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agrees that each of its employees, Subcontractors, and agents assigned to perform any Services under this Agreement shall have the skills, training, and background reasonably </w:t>
      </w:r>
      <w:r w:rsidRPr="00554B03">
        <w:lastRenderedPageBreak/>
        <w:t>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w:t>
      </w:r>
      <w:r w:rsidRPr="00554B03">
        <w:lastRenderedPageBreak/>
        <w:t>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lastRenderedPageBreak/>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lastRenderedPageBreak/>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w:t>
      </w:r>
      <w:r w:rsidRPr="00554B03">
        <w:lastRenderedPageBreak/>
        <w:t xml:space="preserve">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representation as its withdrawal is not permitted for the reasons in the immediately </w:t>
      </w:r>
      <w:r w:rsidRPr="00554B03">
        <w:lastRenderedPageBreak/>
        <w:t>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t>
      </w:r>
      <w:r w:rsidRPr="00554B03">
        <w:lastRenderedPageBreak/>
        <w:t xml:space="preserve">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lastRenderedPageBreak/>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lastRenderedPageBreak/>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lastRenderedPageBreak/>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w:t>
      </w:r>
      <w:r w:rsidRPr="00554B03">
        <w:rPr>
          <w:rStyle w:val="StyleExhibitA2UnderlineChar"/>
          <w:u w:val="none"/>
        </w:rPr>
        <w:lastRenderedPageBreak/>
        <w:t xml:space="preserve">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35" w:rsidRDefault="00337A35" w:rsidP="00DC6DD0">
      <w:r>
        <w:separator/>
      </w:r>
    </w:p>
  </w:endnote>
  <w:endnote w:type="continuationSeparator" w:id="0">
    <w:p w:rsidR="00337A35" w:rsidRDefault="00337A35"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Pr>
                <w:b/>
                <w:sz w:val="24"/>
              </w:rPr>
              <w:fldChar w:fldCharType="begin"/>
            </w:r>
            <w:r>
              <w:rPr>
                <w:b/>
              </w:rPr>
              <w:instrText xml:space="preserve"> PAGE </w:instrText>
            </w:r>
            <w:r>
              <w:rPr>
                <w:b/>
                <w:sz w:val="24"/>
              </w:rPr>
              <w:fldChar w:fldCharType="separate"/>
            </w:r>
            <w:r w:rsidR="00E714F2">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E714F2">
              <w:rPr>
                <w:b/>
                <w:noProof/>
              </w:rPr>
              <w:t>18</w:t>
            </w:r>
            <w:r>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35" w:rsidRDefault="00337A35" w:rsidP="00DC6DD0">
      <w:r>
        <w:separator/>
      </w:r>
    </w:p>
  </w:footnote>
  <w:footnote w:type="continuationSeparator" w:id="0">
    <w:p w:rsidR="00337A35" w:rsidRDefault="00337A35"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F2" w:rsidRDefault="00E714F2">
    <w:pPr>
      <w:pStyle w:val="Header"/>
      <w:rPr>
        <w:sz w:val="20"/>
        <w:szCs w:val="20"/>
      </w:rPr>
    </w:pPr>
    <w:r>
      <w:rPr>
        <w:sz w:val="20"/>
        <w:szCs w:val="20"/>
      </w:rPr>
      <w:t>RFP Title:  Court Security Modification</w:t>
    </w:r>
  </w:p>
  <w:p w:rsidR="00E714F2" w:rsidRPr="00E714F2" w:rsidRDefault="00E714F2">
    <w:pPr>
      <w:pStyle w:val="Header"/>
      <w:rPr>
        <w:sz w:val="20"/>
        <w:szCs w:val="20"/>
      </w:rPr>
    </w:pPr>
    <w:r>
      <w:rPr>
        <w:sz w:val="20"/>
        <w:szCs w:val="20"/>
      </w:rPr>
      <w:t>RFP Number:  4DCA RFP 12/13-01CK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rsids>
    <w:rsidRoot w:val="00DC6DD0"/>
    <w:rsid w:val="00062F60"/>
    <w:rsid w:val="000676D1"/>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20EE0"/>
    <w:rsid w:val="00325933"/>
    <w:rsid w:val="00335364"/>
    <w:rsid w:val="00336153"/>
    <w:rsid w:val="00337A35"/>
    <w:rsid w:val="0034134D"/>
    <w:rsid w:val="0035437E"/>
    <w:rsid w:val="00367666"/>
    <w:rsid w:val="003C4DC8"/>
    <w:rsid w:val="003F57FE"/>
    <w:rsid w:val="00432FB6"/>
    <w:rsid w:val="0043387D"/>
    <w:rsid w:val="00476ADE"/>
    <w:rsid w:val="004A0F82"/>
    <w:rsid w:val="004A60FB"/>
    <w:rsid w:val="004B244B"/>
    <w:rsid w:val="005023CB"/>
    <w:rsid w:val="00530649"/>
    <w:rsid w:val="00532FF4"/>
    <w:rsid w:val="0054162B"/>
    <w:rsid w:val="00545797"/>
    <w:rsid w:val="00546E86"/>
    <w:rsid w:val="00554B03"/>
    <w:rsid w:val="005D0891"/>
    <w:rsid w:val="005F6CF9"/>
    <w:rsid w:val="005F7D1E"/>
    <w:rsid w:val="006000B8"/>
    <w:rsid w:val="006168ED"/>
    <w:rsid w:val="006423B1"/>
    <w:rsid w:val="0067363E"/>
    <w:rsid w:val="006A5A98"/>
    <w:rsid w:val="006B7972"/>
    <w:rsid w:val="006C1278"/>
    <w:rsid w:val="00720D4E"/>
    <w:rsid w:val="007711F0"/>
    <w:rsid w:val="007B3C78"/>
    <w:rsid w:val="007E3F96"/>
    <w:rsid w:val="00807154"/>
    <w:rsid w:val="00807B93"/>
    <w:rsid w:val="00816F84"/>
    <w:rsid w:val="00832954"/>
    <w:rsid w:val="008342A4"/>
    <w:rsid w:val="00887FAD"/>
    <w:rsid w:val="008A3B3E"/>
    <w:rsid w:val="008F1613"/>
    <w:rsid w:val="009207F7"/>
    <w:rsid w:val="00926AD7"/>
    <w:rsid w:val="009348C1"/>
    <w:rsid w:val="00975A9B"/>
    <w:rsid w:val="009E1296"/>
    <w:rsid w:val="00A25E68"/>
    <w:rsid w:val="00A76A67"/>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714F2"/>
    <w:rsid w:val="00E8262A"/>
    <w:rsid w:val="00EF72FA"/>
    <w:rsid w:val="00F03283"/>
    <w:rsid w:val="00F21A9D"/>
    <w:rsid w:val="00F60663"/>
    <w:rsid w:val="00F6126D"/>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0C02-1541-4A5B-820F-6C49141B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2012-11-15T20:28:00Z</dcterms:created>
  <dcterms:modified xsi:type="dcterms:W3CDTF">2012-11-15T20:28:00Z</dcterms:modified>
</cp:coreProperties>
</file>