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EE4E4C">
        <w:rPr>
          <w:rFonts w:ascii="Times New Roman Bold" w:hAnsi="Times New Roman Bold"/>
          <w:b/>
          <w:caps/>
          <w:color w:val="000000" w:themeColor="text1"/>
          <w:szCs w:val="20"/>
          <w:u w:val="none"/>
        </w:rPr>
        <w:t>COURT</w:t>
      </w:r>
      <w:r w:rsidRPr="0046465F">
        <w:rPr>
          <w:rFonts w:ascii="Times New Roman Bold" w:hAnsi="Times New Roman Bold"/>
          <w:b/>
          <w:caps/>
          <w:color w:val="000000" w:themeColor="text1"/>
          <w:szCs w:val="20"/>
          <w:u w:val="none"/>
        </w:rPr>
        <w:t xml:space="preserve"> </w:t>
      </w:r>
      <w:r w:rsidR="000706D1">
        <w:rPr>
          <w:rFonts w:ascii="Times New Roman Bold" w:hAnsi="Times New Roman Bold"/>
          <w:b/>
          <w:caps/>
          <w:color w:val="000000" w:themeColor="text1"/>
          <w:szCs w:val="20"/>
          <w:u w:val="none"/>
        </w:rPr>
        <w:t xml:space="preserve">OR AOC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776A0B" w:rsidRPr="00AF7D78">
          <w:rPr>
            <w:rStyle w:val="Hyperlink"/>
          </w:rPr>
          <w:t>Solicitations@jud.ca.gov</w:t>
        </w:r>
      </w:hyperlink>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sidR="000706D1">
        <w:rPr>
          <w:color w:val="000000" w:themeColor="text1"/>
        </w:rPr>
        <w:t>AOC</w:t>
      </w:r>
      <w:r w:rsidR="000706D1" w:rsidRPr="0046465F">
        <w:rPr>
          <w:color w:val="000000" w:themeColor="text1"/>
        </w:rPr>
        <w:t xml:space="preserve"> </w:t>
      </w:r>
      <w:r w:rsidRPr="0046465F">
        <w:rPr>
          <w:color w:val="000000" w:themeColor="text1"/>
        </w:rPr>
        <w:t>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sidR="000706D1">
        <w:rPr>
          <w:color w:val="000000" w:themeColor="text1"/>
        </w:rPr>
        <w:t>AOC</w:t>
      </w:r>
      <w:r w:rsidR="000706D1" w:rsidRPr="0046465F">
        <w:rPr>
          <w:color w:val="000000" w:themeColor="text1"/>
        </w:rPr>
        <w:t xml:space="preserve"> </w:t>
      </w:r>
      <w:r w:rsidRPr="0046465F">
        <w:rPr>
          <w:color w:val="000000" w:themeColor="text1"/>
        </w:rPr>
        <w:t>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0706D1">
        <w:rPr>
          <w:color w:val="000000" w:themeColor="text1"/>
        </w:rPr>
        <w:t>AOC</w:t>
      </w:r>
      <w:r w:rsidR="000706D1" w:rsidRPr="0046465F">
        <w:rPr>
          <w:color w:val="000000" w:themeColor="text1"/>
        </w:rPr>
        <w:t xml:space="preserve">’s </w:t>
      </w:r>
      <w:r w:rsidRPr="0046465F">
        <w:rPr>
          <w:color w:val="000000" w:themeColor="text1"/>
        </w:rPr>
        <w:t>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0706D1">
        <w:rPr>
          <w:color w:val="000000" w:themeColor="text1"/>
        </w:rPr>
        <w:t>AOC</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0706D1">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0706D1">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0706D1">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0706D1">
        <w:rPr>
          <w:color w:val="000000" w:themeColor="text1"/>
        </w:rPr>
        <w:t>AOC</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0706D1">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0706D1">
        <w:rPr>
          <w:color w:val="000000" w:themeColor="text1"/>
        </w:rPr>
        <w:t>AOC</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EE4E4C">
        <w:rPr>
          <w:color w:val="000000" w:themeColor="text1"/>
        </w:rPr>
        <w:t>Court</w:t>
      </w:r>
      <w:r w:rsidRPr="0046465F">
        <w:rPr>
          <w:color w:val="000000" w:themeColor="text1"/>
        </w:rPr>
        <w:t xml:space="preserve"> may reject the proposal; however, </w:t>
      </w:r>
      <w:r w:rsidR="00142052">
        <w:rPr>
          <w:color w:val="000000" w:themeColor="text1"/>
        </w:rPr>
        <w:t xml:space="preserve">the </w:t>
      </w:r>
      <w:r w:rsidR="00EE4E4C">
        <w:rPr>
          <w:color w:val="000000" w:themeColor="text1"/>
        </w:rPr>
        <w:t>Court</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0706D1">
        <w:rPr>
          <w:color w:val="000000" w:themeColor="text1"/>
        </w:rPr>
        <w:t>AOC</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EE4E4C">
        <w:rPr>
          <w:color w:val="000000" w:themeColor="text1"/>
        </w:rPr>
        <w:t>Court</w:t>
      </w:r>
      <w:r w:rsidRPr="00C32AF4">
        <w:rPr>
          <w:color w:val="000000" w:themeColor="text1"/>
        </w:rPr>
        <w:t xml:space="preserve"> may reject all proposals and cancel the RFP if the </w:t>
      </w:r>
      <w:r w:rsidR="00EE4E4C">
        <w:rPr>
          <w:color w:val="000000" w:themeColor="text1"/>
        </w:rPr>
        <w:t>Court</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EE4E4C">
        <w:rPr>
          <w:color w:val="000000" w:themeColor="text1"/>
        </w:rPr>
        <w:t>Court</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EE4E4C">
        <w:rPr>
          <w:color w:val="000000" w:themeColor="text1"/>
        </w:rPr>
        <w:t>Court</w:t>
      </w:r>
      <w:r w:rsidRPr="00C32AF4">
        <w:rPr>
          <w:color w:val="000000" w:themeColor="text1"/>
        </w:rPr>
        <w:t xml:space="preserve"> may or may not waive an immaterial deviation or defect in a proposal. The </w:t>
      </w:r>
      <w:r w:rsidR="00EE4E4C">
        <w:rPr>
          <w:color w:val="000000" w:themeColor="text1"/>
        </w:rPr>
        <w:t>Court</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4D7CA0">
        <w:rPr>
          <w:color w:val="000000" w:themeColor="text1"/>
        </w:rPr>
        <w:t>Court</w:t>
      </w:r>
      <w:r w:rsidR="004D7CA0" w:rsidRPr="00C32AF4">
        <w:rPr>
          <w:color w:val="000000" w:themeColor="text1"/>
        </w:rPr>
        <w:t xml:space="preserve"> reserves the right to accept or reject any or all of the items in the proposal, to award the contract in whole or </w:t>
      </w:r>
      <w:r w:rsidR="004D7CA0" w:rsidRPr="00C32AF4">
        <w:rPr>
          <w:color w:val="000000" w:themeColor="text1"/>
        </w:rPr>
        <w:lastRenderedPageBreak/>
        <w:t xml:space="preserve">in part and/or negotiate any or all items with individual Proposers if it is deemed in the AOC’s 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366AF3">
        <w:rPr>
          <w:color w:val="000000" w:themeColor="text1"/>
        </w:rPr>
        <w:t>AOC and</w:t>
      </w:r>
      <w:r w:rsidR="003B3787">
        <w:rPr>
          <w:color w:val="000000" w:themeColor="text1"/>
        </w:rPr>
        <w:t xml:space="preserve"> </w:t>
      </w:r>
      <w:r w:rsidR="00EE4E4C">
        <w:rPr>
          <w:color w:val="000000" w:themeColor="text1"/>
        </w:rPr>
        <w:t>Court</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3B3787">
        <w:rPr>
          <w:color w:val="000000" w:themeColor="text1"/>
        </w:rPr>
        <w:t xml:space="preserve">AOC, </w:t>
      </w:r>
      <w:r w:rsidR="00EE4E4C">
        <w:rPr>
          <w:color w:val="000000" w:themeColor="text1"/>
        </w:rPr>
        <w:t>Court</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3B3787">
        <w:rPr>
          <w:color w:val="000000" w:themeColor="text1"/>
        </w:rPr>
        <w:t xml:space="preserve">AOC or </w:t>
      </w:r>
      <w:r w:rsidR="00EE4E4C">
        <w:rPr>
          <w:color w:val="000000" w:themeColor="text1"/>
        </w:rPr>
        <w:t>Court</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3B3787">
        <w:rPr>
          <w:color w:val="000000" w:themeColor="text1"/>
        </w:rPr>
        <w:t xml:space="preserve">AOC or </w:t>
      </w:r>
      <w:r w:rsidR="00EE4E4C">
        <w:rPr>
          <w:color w:val="000000" w:themeColor="text1"/>
        </w:rPr>
        <w:t>Court</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3B3787">
        <w:rPr>
          <w:rFonts w:cs="Arial"/>
        </w:rPr>
        <w:t xml:space="preserve">AOC and </w:t>
      </w:r>
      <w:r w:rsidR="00BB6B96">
        <w:rPr>
          <w:rFonts w:cs="Arial"/>
        </w:rPr>
        <w:t>Court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3B3787">
        <w:rPr>
          <w:color w:val="000000" w:themeColor="text1"/>
        </w:rPr>
        <w:t xml:space="preserve">AOC </w:t>
      </w:r>
      <w:r w:rsidR="00472189">
        <w:rPr>
          <w:color w:val="000000" w:themeColor="text1"/>
        </w:rPr>
        <w:t xml:space="preserve">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The Court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Pr="003E6C8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3B45E1" w:rsidRPr="003E6C85">
        <w:rPr>
          <w:rFonts w:cs="Arial"/>
        </w:rPr>
        <w:t xml:space="preserve">The results of the completed non-cost evaluation will be posted at the following location: http://www.courts.ca.gov/rfps.htm. </w:t>
      </w:r>
    </w:p>
    <w:p w:rsidR="00382635" w:rsidRDefault="003B45E1" w:rsidP="00382635">
      <w:pPr>
        <w:pStyle w:val="ExhibitC2"/>
        <w:numPr>
          <w:ilvl w:val="0"/>
          <w:numId w:val="0"/>
        </w:numPr>
        <w:spacing w:before="120" w:after="120"/>
        <w:ind w:left="2160" w:hanging="720"/>
        <w:rPr>
          <w:rFonts w:cs="Arial"/>
        </w:rPr>
      </w:pPr>
      <w:r w:rsidRPr="003E6C85">
        <w:rPr>
          <w:rFonts w:cs="Arial"/>
        </w:rPr>
        <w:t>4.</w:t>
      </w:r>
      <w:r w:rsidRPr="003E6C85">
        <w:rPr>
          <w:rFonts w:cs="Arial"/>
        </w:rPr>
        <w:tab/>
        <w:t>The AOC will publicly open the cost portion of the proposals as specified in the RFP.</w:t>
      </w:r>
      <w:r w:rsidR="00382635">
        <w:rPr>
          <w:rFonts w:cs="Arial"/>
        </w:rPr>
        <w:t xml:space="preserve"> </w:t>
      </w:r>
      <w:r w:rsidR="003B3787">
        <w:rPr>
          <w:rFonts w:cs="Arial"/>
        </w:rPr>
        <w:t xml:space="preserve">AOC </w:t>
      </w:r>
      <w:r w:rsidR="00382635">
        <w:rPr>
          <w:rFonts w:cs="Arial"/>
        </w:rPr>
        <w:t xml:space="preserve">will not, however, open the cost portion of any proposal </w:t>
      </w:r>
      <w:r w:rsidR="00382635" w:rsidRPr="00330362">
        <w:rPr>
          <w:rFonts w:cs="Arial"/>
        </w:rPr>
        <w:t xml:space="preserve">determined to have a material deviation in </w:t>
      </w:r>
      <w:r w:rsidR="00382635">
        <w:rPr>
          <w:rFonts w:cs="Arial"/>
        </w:rPr>
        <w:t>the</w:t>
      </w:r>
      <w:r w:rsidR="00382635" w:rsidRPr="00330362">
        <w:rPr>
          <w:rFonts w:cs="Arial"/>
        </w:rPr>
        <w:t xml:space="preserve"> non-</w:t>
      </w:r>
      <w:r w:rsidR="00382635">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Pr>
          <w:rFonts w:cs="Arial"/>
        </w:rPr>
        <w:t xml:space="preserve">Court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D1BFE">
        <w:rPr>
          <w:color w:val="000000" w:themeColor="text1"/>
        </w:rPr>
        <w:t xml:space="preserve">AOC or </w:t>
      </w:r>
      <w:r w:rsidR="00EE4E4C">
        <w:rPr>
          <w:color w:val="000000" w:themeColor="text1"/>
        </w:rPr>
        <w:t>Court</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EE4E4C">
        <w:rPr>
          <w:color w:val="000000" w:themeColor="text1"/>
        </w:rPr>
        <w:t>Court</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EE4E4C">
        <w:rPr>
          <w:color w:val="000000" w:themeColor="text1"/>
        </w:rPr>
        <w:t>Court</w:t>
      </w:r>
      <w:r w:rsidR="0065558F">
        <w:rPr>
          <w:color w:val="000000" w:themeColor="text1"/>
        </w:rPr>
        <w:t xml:space="preserve"> employees.  The </w:t>
      </w:r>
      <w:r w:rsidR="00EE4E4C">
        <w:rPr>
          <w:color w:val="000000" w:themeColor="text1"/>
        </w:rPr>
        <w:t>Court</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EE4E4C">
        <w:rPr>
          <w:color w:val="000000" w:themeColor="text1"/>
        </w:rPr>
        <w:t>Court</w:t>
      </w:r>
      <w:r>
        <w:rPr>
          <w:color w:val="000000" w:themeColor="text1"/>
        </w:rPr>
        <w:t xml:space="preserve"> </w:t>
      </w:r>
      <w:r w:rsidRPr="0046465F">
        <w:rPr>
          <w:color w:val="000000" w:themeColor="text1"/>
        </w:rPr>
        <w:t xml:space="preserve">and will be returned only at the </w:t>
      </w:r>
      <w:r w:rsidR="00EE4E4C">
        <w:rPr>
          <w:color w:val="000000" w:themeColor="text1"/>
        </w:rPr>
        <w:t>Court</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EE4E4C">
        <w:rPr>
          <w:b/>
          <w:color w:val="000000" w:themeColor="text1"/>
        </w:rPr>
        <w:t>COURT</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EE4E4C">
        <w:rPr>
          <w:color w:val="000000" w:themeColor="text1"/>
        </w:rPr>
        <w:t>Court</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EE4E4C">
        <w:rPr>
          <w:color w:val="000000" w:themeColor="text1"/>
        </w:rPr>
        <w:t>Court</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EE4E4C">
        <w:rPr>
          <w:color w:val="000000" w:themeColor="text1"/>
        </w:rPr>
        <w:t>Court</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Pr>
          <w:color w:val="000000" w:themeColor="text1"/>
        </w:rPr>
        <w:t>If Proposer</w:t>
      </w:r>
      <w:r w:rsidRPr="0029196A">
        <w:rPr>
          <w:color w:val="000000" w:themeColor="text1"/>
        </w:rPr>
        <w:t xml:space="preserve"> requests such consideration at least </w:t>
      </w:r>
      <w:r w:rsidR="003A7A66">
        <w:rPr>
          <w:color w:val="000000" w:themeColor="text1"/>
        </w:rPr>
        <w:t>thirty (</w:t>
      </w:r>
      <w:r w:rsidRPr="0029196A">
        <w:rPr>
          <w:color w:val="000000" w:themeColor="text1"/>
        </w:rPr>
        <w:t>30</w:t>
      </w:r>
      <w:r w:rsidR="003A7A66">
        <w:rPr>
          <w:color w:val="000000" w:themeColor="text1"/>
        </w:rPr>
        <w:t>)</w:t>
      </w:r>
      <w:r w:rsidRPr="0029196A">
        <w:rPr>
          <w:color w:val="000000" w:themeColor="text1"/>
        </w:rPr>
        <w:t xml:space="preserve"> days before the </w:t>
      </w:r>
      <w:r w:rsidR="00DA05FC" w:rsidRPr="00173CFE">
        <w:rPr>
          <w:color w:val="000000" w:themeColor="text1"/>
        </w:rPr>
        <w:t>proposal due date</w:t>
      </w:r>
      <w:r w:rsidR="003A7A66">
        <w:rPr>
          <w:color w:val="000000" w:themeColor="text1"/>
        </w:rPr>
        <w:t xml:space="preserve"> and time</w:t>
      </w:r>
      <w:r>
        <w:rPr>
          <w:color w:val="000000" w:themeColor="text1"/>
        </w:rPr>
        <w:t>, the Court may</w:t>
      </w:r>
      <w:r w:rsidRPr="0029196A">
        <w:rPr>
          <w:color w:val="000000" w:themeColor="text1"/>
        </w:rPr>
        <w:t xml:space="preserve"> consider 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The Court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366AF3">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EE4E4C">
        <w:rPr>
          <w:color w:val="000000" w:themeColor="text1"/>
        </w:rPr>
        <w:t>Court</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EE4E4C">
        <w:rPr>
          <w:color w:val="000000" w:themeColor="text1"/>
        </w:rPr>
        <w:t>Court</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EE4E4C">
        <w:rPr>
          <w:color w:val="000000" w:themeColor="text1"/>
        </w:rPr>
        <w:t>Court</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w:t>
      </w:r>
      <w:r w:rsidR="00C35F57">
        <w:rPr>
          <w:color w:val="000000" w:themeColor="text1"/>
        </w:rPr>
        <w:t>sixty</w:t>
      </w:r>
      <w:r w:rsidR="00C35F57" w:rsidRPr="00C35F57">
        <w:rPr>
          <w:color w:val="000000" w:themeColor="text1"/>
        </w:rPr>
        <w:t xml:space="preserve"> (60</w:t>
      </w:r>
      <w:r w:rsidR="003B45E1" w:rsidRPr="00C35F57">
        <w:rPr>
          <w:color w:val="000000" w:themeColor="text1"/>
        </w:rPr>
        <w:t>) days</w:t>
      </w:r>
      <w:r w:rsidRPr="0046465F">
        <w:rPr>
          <w:color w:val="000000" w:themeColor="text1"/>
        </w:rPr>
        <w:t xml:space="preserve">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EE4E4C">
        <w:rPr>
          <w:color w:val="000000" w:themeColor="text1"/>
        </w:rPr>
        <w:t>Court</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 xml:space="preserve">Agreements are not effective until executed by both parties and approved by the appropriate </w:t>
      </w:r>
      <w:r w:rsidR="00EE4E4C">
        <w:rPr>
          <w:color w:val="000000" w:themeColor="text1"/>
        </w:rPr>
        <w:t>Court</w:t>
      </w:r>
      <w:r w:rsidR="00307672" w:rsidRPr="0046465F">
        <w:rPr>
          <w:color w:val="000000" w:themeColor="text1"/>
        </w:rPr>
        <w:t xml:space="preserve">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EE4E4C">
        <w:rPr>
          <w:color w:val="000000" w:themeColor="text1"/>
        </w:rPr>
        <w:t>Court</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3E6C85">
        <w:rPr>
          <w:color w:val="000000" w:themeColor="text1"/>
        </w:rPr>
        <w:t>Susan Matherly, CEO of San Luis Obispo Superior Court.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Proposer will assign to the </w:t>
      </w:r>
      <w:r w:rsidR="00EE4E4C">
        <w:rPr>
          <w:b w:val="0"/>
          <w:caps w:val="0"/>
          <w:color w:val="000000" w:themeColor="text1"/>
        </w:rPr>
        <w:t>Court</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EE4E4C">
        <w:rPr>
          <w:b w:val="0"/>
          <w:caps w:val="0"/>
          <w:color w:val="000000" w:themeColor="text1"/>
        </w:rPr>
        <w:t>Court</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EE4E4C">
        <w:rPr>
          <w:b w:val="0"/>
          <w:caps w:val="0"/>
          <w:color w:val="000000" w:themeColor="text1"/>
        </w:rPr>
        <w:t>Court</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EE4E4C">
        <w:rPr>
          <w:b w:val="0"/>
          <w:caps w:val="0"/>
          <w:color w:val="000000" w:themeColor="text1"/>
        </w:rPr>
        <w:t>Court</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EE4E4C">
        <w:rPr>
          <w:b w:val="0"/>
          <w:caps w:val="0"/>
          <w:color w:val="000000" w:themeColor="text1"/>
        </w:rPr>
        <w:t>Court</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EE4E4C">
        <w:rPr>
          <w:b w:val="0"/>
          <w:caps w:val="0"/>
          <w:color w:val="000000" w:themeColor="text1"/>
        </w:rPr>
        <w:t>Court</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EE4E4C">
        <w:rPr>
          <w:b w:val="0"/>
          <w:caps w:val="0"/>
          <w:color w:val="000000" w:themeColor="text1"/>
        </w:rPr>
        <w:t>Court</w:t>
      </w:r>
      <w:r w:rsidRPr="00C46D7F">
        <w:rPr>
          <w:b w:val="0"/>
          <w:caps w:val="0"/>
          <w:color w:val="000000" w:themeColor="text1"/>
        </w:rPr>
        <w:t xml:space="preserve"> has not been inju</w:t>
      </w:r>
      <w:r>
        <w:rPr>
          <w:b w:val="0"/>
          <w:caps w:val="0"/>
          <w:color w:val="000000" w:themeColor="text1"/>
        </w:rPr>
        <w:t xml:space="preserve">red thereby, or (b) the </w:t>
      </w:r>
      <w:r w:rsidR="00EE4E4C">
        <w:rPr>
          <w:b w:val="0"/>
          <w:caps w:val="0"/>
          <w:color w:val="000000" w:themeColor="text1"/>
        </w:rPr>
        <w:t>Court</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CD614D" w:rsidRPr="0046465F"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The 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w:t>
      </w:r>
      <w:r w:rsidR="00776A0B">
        <w:rPr>
          <w:b w:val="0"/>
          <w:caps w:val="0"/>
          <w:color w:val="000000" w:themeColor="text1"/>
        </w:rPr>
        <w:t>to Solicitations@jud.ca.gov</w:t>
      </w:r>
      <w:r w:rsidRPr="00CD614D">
        <w:rPr>
          <w:b w:val="0"/>
          <w:caps w:val="0"/>
          <w:color w:val="000000" w:themeColor="text1"/>
        </w:rPr>
        <w:t>.</w:t>
      </w:r>
    </w:p>
    <w:p w:rsidR="009E085B" w:rsidRDefault="009E085B" w:rsidP="00CD614D">
      <w:pPr>
        <w:pStyle w:val="Heading10"/>
        <w:keepNext w:val="0"/>
        <w:ind w:left="720" w:right="288" w:firstLine="0"/>
        <w:jc w:val="left"/>
        <w:rPr>
          <w:b w:val="0"/>
          <w:caps w:val="0"/>
          <w:color w:val="000000" w:themeColor="text1"/>
        </w:rPr>
      </w:pP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Court</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AF" w:rsidRDefault="00E17DAF" w:rsidP="0046784D">
      <w:r>
        <w:separator/>
      </w:r>
    </w:p>
  </w:endnote>
  <w:endnote w:type="continuationSeparator" w:id="0">
    <w:p w:rsidR="00E17DAF" w:rsidRDefault="00E17DAF" w:rsidP="0046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4D" w:rsidRPr="005B12CA" w:rsidRDefault="0046784D" w:rsidP="0046784D">
    <w:pPr>
      <w:pStyle w:val="Footer"/>
      <w:jc w:val="right"/>
      <w:rPr>
        <w:color w:val="000000" w:themeColor="text1"/>
        <w:sz w:val="20"/>
        <w:szCs w:val="20"/>
      </w:rPr>
    </w:pPr>
    <w:r w:rsidRPr="005B12CA">
      <w:rPr>
        <w:color w:val="000000" w:themeColor="text1"/>
        <w:sz w:val="20"/>
        <w:szCs w:val="20"/>
      </w:rPr>
      <w:t xml:space="preserve">Page </w:t>
    </w:r>
    <w:r w:rsidR="0062639C" w:rsidRPr="005B12CA">
      <w:rPr>
        <w:color w:val="000000" w:themeColor="text1"/>
        <w:sz w:val="20"/>
        <w:szCs w:val="20"/>
      </w:rPr>
      <w:fldChar w:fldCharType="begin"/>
    </w:r>
    <w:r w:rsidRPr="005B12CA">
      <w:rPr>
        <w:color w:val="000000" w:themeColor="text1"/>
        <w:sz w:val="20"/>
        <w:szCs w:val="20"/>
      </w:rPr>
      <w:instrText xml:space="preserve"> PAGE </w:instrText>
    </w:r>
    <w:r w:rsidR="0062639C" w:rsidRPr="005B12CA">
      <w:rPr>
        <w:color w:val="000000" w:themeColor="text1"/>
        <w:sz w:val="20"/>
        <w:szCs w:val="20"/>
      </w:rPr>
      <w:fldChar w:fldCharType="separate"/>
    </w:r>
    <w:r w:rsidR="0004564B">
      <w:rPr>
        <w:noProof/>
        <w:color w:val="000000" w:themeColor="text1"/>
        <w:sz w:val="20"/>
        <w:szCs w:val="20"/>
      </w:rPr>
      <w:t>1</w:t>
    </w:r>
    <w:r w:rsidR="0062639C" w:rsidRPr="005B12CA">
      <w:rPr>
        <w:color w:val="000000" w:themeColor="text1"/>
        <w:sz w:val="20"/>
        <w:szCs w:val="20"/>
      </w:rPr>
      <w:fldChar w:fldCharType="end"/>
    </w:r>
    <w:r w:rsidRPr="005B12CA">
      <w:rPr>
        <w:color w:val="000000" w:themeColor="text1"/>
        <w:sz w:val="20"/>
        <w:szCs w:val="20"/>
      </w:rPr>
      <w:t xml:space="preserve"> of </w:t>
    </w:r>
    <w:r w:rsidR="0062639C" w:rsidRPr="005B12CA">
      <w:rPr>
        <w:color w:val="000000" w:themeColor="text1"/>
        <w:sz w:val="20"/>
        <w:szCs w:val="20"/>
      </w:rPr>
      <w:fldChar w:fldCharType="begin"/>
    </w:r>
    <w:r w:rsidRPr="005B12CA">
      <w:rPr>
        <w:color w:val="000000" w:themeColor="text1"/>
        <w:sz w:val="20"/>
        <w:szCs w:val="20"/>
      </w:rPr>
      <w:instrText xml:space="preserve"> NUMPAGES  </w:instrText>
    </w:r>
    <w:r w:rsidR="0062639C" w:rsidRPr="005B12CA">
      <w:rPr>
        <w:color w:val="000000" w:themeColor="text1"/>
        <w:sz w:val="20"/>
        <w:szCs w:val="20"/>
      </w:rPr>
      <w:fldChar w:fldCharType="separate"/>
    </w:r>
    <w:r w:rsidR="0004564B">
      <w:rPr>
        <w:noProof/>
        <w:color w:val="000000" w:themeColor="text1"/>
        <w:sz w:val="20"/>
        <w:szCs w:val="20"/>
      </w:rPr>
      <w:t>6</w:t>
    </w:r>
    <w:r w:rsidR="0062639C" w:rsidRPr="005B12CA">
      <w:rPr>
        <w:color w:val="000000" w:themeColor="text1"/>
        <w:sz w:val="20"/>
        <w:szCs w:val="20"/>
      </w:rPr>
      <w:fldChar w:fldCharType="end"/>
    </w:r>
  </w:p>
  <w:p w:rsidR="0046784D" w:rsidRDefault="00467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AF" w:rsidRDefault="00E17DAF" w:rsidP="0046784D">
      <w:r>
        <w:separator/>
      </w:r>
    </w:p>
  </w:footnote>
  <w:footnote w:type="continuationSeparator" w:id="0">
    <w:p w:rsidR="00E17DAF" w:rsidRDefault="00E17DAF" w:rsidP="00467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4B" w:rsidRDefault="0004564B" w:rsidP="0004564B">
    <w:pPr>
      <w:pStyle w:val="CommentText"/>
      <w:tabs>
        <w:tab w:val="left" w:pos="1242"/>
      </w:tabs>
      <w:ind w:right="252"/>
      <w:jc w:val="both"/>
      <w:rPr>
        <w:color w:val="000000" w:themeColor="text1"/>
        <w:sz w:val="22"/>
        <w:szCs w:val="22"/>
      </w:rPr>
    </w:pPr>
    <w:r>
      <w:rPr>
        <w:i/>
        <w:color w:val="000000" w:themeColor="text1"/>
        <w:sz w:val="22"/>
        <w:szCs w:val="22"/>
      </w:rPr>
      <w:t>Project Title: San Luis Obispo Case Management System Replacement</w:t>
    </w:r>
  </w:p>
  <w:p w:rsidR="0004564B" w:rsidRDefault="0004564B" w:rsidP="0004564B">
    <w:pPr>
      <w:pStyle w:val="CommentText"/>
      <w:tabs>
        <w:tab w:val="left" w:pos="1242"/>
      </w:tabs>
      <w:ind w:right="252"/>
      <w:jc w:val="both"/>
      <w:rPr>
        <w:color w:val="000000" w:themeColor="text1"/>
        <w:sz w:val="22"/>
        <w:szCs w:val="22"/>
      </w:rPr>
    </w:pPr>
    <w:r>
      <w:rPr>
        <w:i/>
        <w:color w:val="000000" w:themeColor="text1"/>
        <w:sz w:val="22"/>
        <w:szCs w:val="22"/>
      </w:rPr>
      <w:t>RFP#: ISD – 06192012 - SLO</w:t>
    </w:r>
  </w:p>
  <w:p w:rsidR="0004564B" w:rsidRDefault="00045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21F0"/>
    <w:rsid w:val="000437C1"/>
    <w:rsid w:val="0004564B"/>
    <w:rsid w:val="00062867"/>
    <w:rsid w:val="00065EC2"/>
    <w:rsid w:val="000706D1"/>
    <w:rsid w:val="00080391"/>
    <w:rsid w:val="000F0BA1"/>
    <w:rsid w:val="00110583"/>
    <w:rsid w:val="00113EFB"/>
    <w:rsid w:val="00137A48"/>
    <w:rsid w:val="00142052"/>
    <w:rsid w:val="00166D99"/>
    <w:rsid w:val="001A3E9D"/>
    <w:rsid w:val="001B30D0"/>
    <w:rsid w:val="001D1BFE"/>
    <w:rsid w:val="00204B2E"/>
    <w:rsid w:val="00205E91"/>
    <w:rsid w:val="00212091"/>
    <w:rsid w:val="00215813"/>
    <w:rsid w:val="00220B58"/>
    <w:rsid w:val="00235CFB"/>
    <w:rsid w:val="00236877"/>
    <w:rsid w:val="002B34E4"/>
    <w:rsid w:val="002E646B"/>
    <w:rsid w:val="00307672"/>
    <w:rsid w:val="0034217D"/>
    <w:rsid w:val="003433AE"/>
    <w:rsid w:val="003631CE"/>
    <w:rsid w:val="00366AF3"/>
    <w:rsid w:val="00382635"/>
    <w:rsid w:val="003A29FC"/>
    <w:rsid w:val="003A7A66"/>
    <w:rsid w:val="003B3787"/>
    <w:rsid w:val="003B45E1"/>
    <w:rsid w:val="003E6C85"/>
    <w:rsid w:val="00410195"/>
    <w:rsid w:val="004666E4"/>
    <w:rsid w:val="0046784D"/>
    <w:rsid w:val="00471CA0"/>
    <w:rsid w:val="00472189"/>
    <w:rsid w:val="004878B7"/>
    <w:rsid w:val="004C4568"/>
    <w:rsid w:val="004D012D"/>
    <w:rsid w:val="004D26FC"/>
    <w:rsid w:val="004D7CA0"/>
    <w:rsid w:val="00502034"/>
    <w:rsid w:val="005977C3"/>
    <w:rsid w:val="005A70D1"/>
    <w:rsid w:val="005A75FE"/>
    <w:rsid w:val="005B12CA"/>
    <w:rsid w:val="005F46B8"/>
    <w:rsid w:val="0062639C"/>
    <w:rsid w:val="00633DA3"/>
    <w:rsid w:val="0065558F"/>
    <w:rsid w:val="00693F86"/>
    <w:rsid w:val="006A7502"/>
    <w:rsid w:val="006D02D3"/>
    <w:rsid w:val="00704015"/>
    <w:rsid w:val="0071240B"/>
    <w:rsid w:val="007166BF"/>
    <w:rsid w:val="00776A0B"/>
    <w:rsid w:val="007F2BAD"/>
    <w:rsid w:val="008011C2"/>
    <w:rsid w:val="008036AF"/>
    <w:rsid w:val="00806692"/>
    <w:rsid w:val="0082765C"/>
    <w:rsid w:val="00830E35"/>
    <w:rsid w:val="008472CB"/>
    <w:rsid w:val="00875A22"/>
    <w:rsid w:val="0088206E"/>
    <w:rsid w:val="008A51CF"/>
    <w:rsid w:val="008A7439"/>
    <w:rsid w:val="008D5BD5"/>
    <w:rsid w:val="009931F5"/>
    <w:rsid w:val="009D1BBC"/>
    <w:rsid w:val="009E085B"/>
    <w:rsid w:val="00A1373D"/>
    <w:rsid w:val="00A24954"/>
    <w:rsid w:val="00A27B51"/>
    <w:rsid w:val="00A830A3"/>
    <w:rsid w:val="00A94588"/>
    <w:rsid w:val="00AA1F23"/>
    <w:rsid w:val="00AB12FC"/>
    <w:rsid w:val="00AB5D79"/>
    <w:rsid w:val="00AC6D76"/>
    <w:rsid w:val="00B5411A"/>
    <w:rsid w:val="00B85D31"/>
    <w:rsid w:val="00BA46D4"/>
    <w:rsid w:val="00BB6B96"/>
    <w:rsid w:val="00BD3DD2"/>
    <w:rsid w:val="00BE675F"/>
    <w:rsid w:val="00C13807"/>
    <w:rsid w:val="00C32AF4"/>
    <w:rsid w:val="00C35F57"/>
    <w:rsid w:val="00C56F44"/>
    <w:rsid w:val="00C70747"/>
    <w:rsid w:val="00C94B9A"/>
    <w:rsid w:val="00CB4253"/>
    <w:rsid w:val="00CC3379"/>
    <w:rsid w:val="00CD614D"/>
    <w:rsid w:val="00D33AE9"/>
    <w:rsid w:val="00D85E1E"/>
    <w:rsid w:val="00D945DA"/>
    <w:rsid w:val="00D94E5D"/>
    <w:rsid w:val="00DA05FC"/>
    <w:rsid w:val="00DA41A7"/>
    <w:rsid w:val="00DD1F41"/>
    <w:rsid w:val="00DE1F89"/>
    <w:rsid w:val="00E17DAF"/>
    <w:rsid w:val="00E42720"/>
    <w:rsid w:val="00EE33CB"/>
    <w:rsid w:val="00EE4386"/>
    <w:rsid w:val="00EE4E4C"/>
    <w:rsid w:val="00F00C83"/>
    <w:rsid w:val="00F0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46784D"/>
    <w:pPr>
      <w:tabs>
        <w:tab w:val="center" w:pos="4680"/>
        <w:tab w:val="right" w:pos="9360"/>
      </w:tabs>
    </w:pPr>
  </w:style>
  <w:style w:type="character" w:customStyle="1" w:styleId="HeaderChar">
    <w:name w:val="Header Char"/>
    <w:basedOn w:val="DefaultParagraphFont"/>
    <w:link w:val="Header"/>
    <w:uiPriority w:val="99"/>
    <w:semiHidden/>
    <w:rsid w:val="0046784D"/>
    <w:rPr>
      <w:rFonts w:ascii="Times New Roman" w:eastAsia="Times New Roman" w:hAnsi="Times New Roman"/>
      <w:lang w:bidi="ar-SA"/>
    </w:rPr>
  </w:style>
  <w:style w:type="paragraph" w:styleId="Footer">
    <w:name w:val="footer"/>
    <w:basedOn w:val="Normal"/>
    <w:link w:val="FooterChar"/>
    <w:uiPriority w:val="99"/>
    <w:unhideWhenUsed/>
    <w:rsid w:val="0046784D"/>
    <w:pPr>
      <w:tabs>
        <w:tab w:val="center" w:pos="4680"/>
        <w:tab w:val="right" w:pos="9360"/>
      </w:tabs>
    </w:pPr>
  </w:style>
  <w:style w:type="character" w:customStyle="1" w:styleId="FooterChar">
    <w:name w:val="Footer Char"/>
    <w:basedOn w:val="DefaultParagraphFont"/>
    <w:link w:val="Footer"/>
    <w:uiPriority w:val="99"/>
    <w:rsid w:val="0046784D"/>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5439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867C-8A4E-454D-BBF1-FD2A154F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cp:revision>
  <dcterms:created xsi:type="dcterms:W3CDTF">2012-06-18T16:15:00Z</dcterms:created>
  <dcterms:modified xsi:type="dcterms:W3CDTF">2012-06-18T16:47:00Z</dcterms:modified>
</cp:coreProperties>
</file>