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663" w:rsidRDefault="00C42663"/>
    <w:p w:rsidR="00C42663" w:rsidRDefault="00C42663"/>
    <w:p w:rsidR="00C42663" w:rsidRDefault="00C42663" w:rsidP="00C42663">
      <w:pPr>
        <w:pStyle w:val="Heading1"/>
      </w:pPr>
      <w:bookmarkStart w:id="0" w:name="_Toc208292383"/>
      <w:bookmarkStart w:id="1" w:name="_Toc228849784"/>
      <w:r>
        <w:t>7.0</w:t>
      </w:r>
      <w:r>
        <w:tab/>
      </w:r>
      <w:r>
        <w:rPr>
          <w:caps/>
        </w:rPr>
        <w:t>Mitigation Monitoring Plan</w:t>
      </w:r>
      <w:bookmarkEnd w:id="0"/>
      <w:bookmarkEnd w:id="1"/>
    </w:p>
    <w:p w:rsidR="00C42663" w:rsidRDefault="00C42663" w:rsidP="00C42663"/>
    <w:p w:rsidR="00C42663" w:rsidRDefault="00C42663" w:rsidP="00C42663">
      <w:r>
        <w:t xml:space="preserve">Section 15097 of the California Environmental Quality Act (CEQA) requires all state and local agencies to establish monitoring or reporting programs for projects approved by a public agency whenever approval involves the adoption of either a Mitigated Negative Declaration or specified environmental findings related to an Environmental Impact Report. The Administrative Office of the Courts intends that its staff and other parties shall use this plan to ensure compliance with mitigation measures during project implementation. </w:t>
      </w:r>
    </w:p>
    <w:p w:rsidR="00C42663" w:rsidRDefault="00C42663" w:rsidP="00C42663"/>
    <w:p w:rsidR="00C42663" w:rsidRDefault="00C42663" w:rsidP="00C42663"/>
    <w:p w:rsidR="00C42663" w:rsidRDefault="00C42663" w:rsidP="00C42663">
      <w:r>
        <w:t xml:space="preserve">The Administrative Office of the Courts prepared this Mitigation Monitoring Plan for the New Hollister Courthouse project.  The intent of the Mitigation Monitoring Plan is to identify responsibilities and time periods for properly and successfully implementing the project’s mitigation measures to reduce or avoid significant environmental impacts.  </w:t>
      </w:r>
    </w:p>
    <w:p w:rsidR="00C42663" w:rsidRDefault="00C42663" w:rsidP="00C42663"/>
    <w:p w:rsidR="00C42663" w:rsidRDefault="00C42663" w:rsidP="00C42663">
      <w:r>
        <w:t>Table 8 provides a summary of all mitigation measures and monitoring actions for the project.  It also identifies the responsible monitoring party and implementation phase.</w:t>
      </w:r>
    </w:p>
    <w:p w:rsidR="00C42663" w:rsidRDefault="00C42663" w:rsidP="00C42663"/>
    <w:p w:rsidR="00C42663" w:rsidRDefault="00C42663" w:rsidP="00C42663">
      <w:pPr>
        <w:pStyle w:val="Caption"/>
        <w:keepNext/>
        <w:jc w:val="center"/>
        <w:rPr>
          <w:sz w:val="28"/>
        </w:rPr>
      </w:pPr>
      <w:bookmarkStart w:id="2" w:name="_Toc228849799"/>
      <w:proofErr w:type="gramStart"/>
      <w:r>
        <w:rPr>
          <w:sz w:val="28"/>
        </w:rPr>
        <w:t xml:space="preserve">Table </w:t>
      </w:r>
      <w:r w:rsidR="005E5FCA">
        <w:rPr>
          <w:sz w:val="28"/>
        </w:rPr>
        <w:fldChar w:fldCharType="begin"/>
      </w:r>
      <w:r>
        <w:rPr>
          <w:sz w:val="28"/>
        </w:rPr>
        <w:instrText xml:space="preserve"> SEQ Table \* ARABIC </w:instrText>
      </w:r>
      <w:r w:rsidR="005E5FCA">
        <w:rPr>
          <w:sz w:val="28"/>
        </w:rPr>
        <w:fldChar w:fldCharType="separate"/>
      </w:r>
      <w:r>
        <w:rPr>
          <w:noProof/>
          <w:sz w:val="28"/>
        </w:rPr>
        <w:t>8</w:t>
      </w:r>
      <w:r w:rsidR="005E5FCA">
        <w:rPr>
          <w:sz w:val="28"/>
        </w:rPr>
        <w:fldChar w:fldCharType="end"/>
      </w:r>
      <w:r>
        <w:rPr>
          <w:sz w:val="28"/>
        </w:rPr>
        <w:t>.</w:t>
      </w:r>
      <w:proofErr w:type="gramEnd"/>
      <w:r>
        <w:rPr>
          <w:sz w:val="28"/>
        </w:rPr>
        <w:t xml:space="preserve"> Mitigation Monitoring Features</w:t>
      </w:r>
      <w:bookmarkEnd w:id="2"/>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2850"/>
        <w:gridCol w:w="2040"/>
        <w:gridCol w:w="1950"/>
        <w:gridCol w:w="1980"/>
      </w:tblGrid>
      <w:tr w:rsidR="00C42663" w:rsidTr="00090419">
        <w:trPr>
          <w:tblHeader/>
        </w:trPr>
        <w:tc>
          <w:tcPr>
            <w:tcW w:w="1818" w:type="dxa"/>
            <w:tcBorders>
              <w:bottom w:val="single" w:sz="4" w:space="0" w:color="auto"/>
            </w:tcBorders>
            <w:vAlign w:val="center"/>
          </w:tcPr>
          <w:p w:rsidR="00C42663" w:rsidRDefault="00C42663" w:rsidP="00090419">
            <w:pPr>
              <w:jc w:val="center"/>
              <w:rPr>
                <w:b/>
              </w:rPr>
            </w:pPr>
            <w:r>
              <w:rPr>
                <w:b/>
              </w:rPr>
              <w:t>Impact</w:t>
            </w:r>
          </w:p>
        </w:tc>
        <w:tc>
          <w:tcPr>
            <w:tcW w:w="2850" w:type="dxa"/>
            <w:tcBorders>
              <w:bottom w:val="single" w:sz="4" w:space="0" w:color="auto"/>
            </w:tcBorders>
            <w:vAlign w:val="center"/>
          </w:tcPr>
          <w:p w:rsidR="00C42663" w:rsidRDefault="00C42663" w:rsidP="00090419">
            <w:pPr>
              <w:jc w:val="center"/>
              <w:rPr>
                <w:b/>
              </w:rPr>
            </w:pPr>
            <w:r>
              <w:rPr>
                <w:b/>
              </w:rPr>
              <w:t>Mitigation Measure</w:t>
            </w:r>
          </w:p>
        </w:tc>
        <w:tc>
          <w:tcPr>
            <w:tcW w:w="2040" w:type="dxa"/>
            <w:tcBorders>
              <w:bottom w:val="single" w:sz="4" w:space="0" w:color="auto"/>
            </w:tcBorders>
            <w:vAlign w:val="center"/>
          </w:tcPr>
          <w:p w:rsidR="00C42663" w:rsidRDefault="00C42663" w:rsidP="00090419">
            <w:pPr>
              <w:jc w:val="center"/>
              <w:rPr>
                <w:b/>
              </w:rPr>
            </w:pPr>
            <w:r>
              <w:rPr>
                <w:b/>
              </w:rPr>
              <w:t>Implementation Method/ Monitoring Action</w:t>
            </w:r>
          </w:p>
        </w:tc>
        <w:tc>
          <w:tcPr>
            <w:tcW w:w="1950" w:type="dxa"/>
            <w:tcBorders>
              <w:bottom w:val="single" w:sz="4" w:space="0" w:color="auto"/>
            </w:tcBorders>
            <w:vAlign w:val="center"/>
          </w:tcPr>
          <w:p w:rsidR="00C42663" w:rsidRDefault="00C42663" w:rsidP="00090419">
            <w:pPr>
              <w:jc w:val="center"/>
              <w:rPr>
                <w:b/>
              </w:rPr>
            </w:pPr>
            <w:r>
              <w:rPr>
                <w:b/>
              </w:rPr>
              <w:t>Mitigation Timing</w:t>
            </w:r>
          </w:p>
        </w:tc>
        <w:tc>
          <w:tcPr>
            <w:tcW w:w="1980" w:type="dxa"/>
            <w:tcBorders>
              <w:bottom w:val="single" w:sz="4" w:space="0" w:color="auto"/>
            </w:tcBorders>
            <w:vAlign w:val="center"/>
          </w:tcPr>
          <w:p w:rsidR="00C42663" w:rsidRDefault="00C42663" w:rsidP="00090419">
            <w:pPr>
              <w:jc w:val="center"/>
              <w:rPr>
                <w:b/>
              </w:rPr>
            </w:pPr>
            <w:r>
              <w:rPr>
                <w:b/>
              </w:rPr>
              <w:t>Monitoring Party/ Parties</w:t>
            </w:r>
          </w:p>
        </w:tc>
      </w:tr>
      <w:tr w:rsidR="00C42663" w:rsidTr="00090419">
        <w:tc>
          <w:tcPr>
            <w:tcW w:w="10638" w:type="dxa"/>
            <w:gridSpan w:val="5"/>
            <w:shd w:val="clear" w:color="auto" w:fill="D9D9D9"/>
            <w:vAlign w:val="center"/>
          </w:tcPr>
          <w:p w:rsidR="00C42663" w:rsidRDefault="00C42663" w:rsidP="00090419">
            <w:r>
              <w:t>CULTURAL RESOURCES</w:t>
            </w:r>
          </w:p>
        </w:tc>
      </w:tr>
      <w:tr w:rsidR="00C42663" w:rsidTr="00090419">
        <w:tc>
          <w:tcPr>
            <w:tcW w:w="1818" w:type="dxa"/>
            <w:vAlign w:val="center"/>
          </w:tcPr>
          <w:p w:rsidR="00C42663" w:rsidRDefault="00C42663" w:rsidP="00090419">
            <w:pPr>
              <w:rPr>
                <w:sz w:val="20"/>
              </w:rPr>
            </w:pPr>
            <w:r>
              <w:rPr>
                <w:sz w:val="20"/>
              </w:rPr>
              <w:t xml:space="preserve">Potential effects involving </w:t>
            </w:r>
          </w:p>
          <w:p w:rsidR="00C42663" w:rsidRDefault="00C42663" w:rsidP="00090419">
            <w:pPr>
              <w:rPr>
                <w:sz w:val="20"/>
              </w:rPr>
            </w:pPr>
            <w:r>
              <w:rPr>
                <w:sz w:val="20"/>
              </w:rPr>
              <w:t>archaeological or historic resources</w:t>
            </w:r>
          </w:p>
          <w:p w:rsidR="00C42663" w:rsidRDefault="00C42663" w:rsidP="00090419">
            <w:pPr>
              <w:rPr>
                <w:sz w:val="20"/>
              </w:rPr>
            </w:pPr>
            <w:r>
              <w:rPr>
                <w:rFonts w:eastAsiaTheme="majorEastAsia"/>
                <w:sz w:val="20"/>
              </w:rPr>
              <w:t>(Sec</w:t>
            </w:r>
            <w:r w:rsidRPr="001E0E92">
              <w:rPr>
                <w:rFonts w:eastAsiaTheme="majorEastAsia"/>
                <w:sz w:val="20"/>
              </w:rPr>
              <w:t>tion 4.03.1)</w:t>
            </w:r>
          </w:p>
        </w:tc>
        <w:tc>
          <w:tcPr>
            <w:tcW w:w="2850" w:type="dxa"/>
            <w:vAlign w:val="center"/>
          </w:tcPr>
          <w:p w:rsidR="00C42663" w:rsidRDefault="00C42663" w:rsidP="00090419">
            <w:pPr>
              <w:rPr>
                <w:sz w:val="20"/>
              </w:rPr>
            </w:pPr>
            <w:r>
              <w:rPr>
                <w:b/>
                <w:sz w:val="20"/>
              </w:rPr>
              <w:t xml:space="preserve">Cultural Resources 1: </w:t>
            </w:r>
            <w:r>
              <w:rPr>
                <w:sz w:val="20"/>
              </w:rPr>
              <w:t>During construction, an archaeological monitor will be present during site-clearing activities that expose bare ground. AOC and construction contractor personnel will not collect cultural resources found on the project site. If the construction contractor encounters archaeological resources during initial construction clearing, the construction contractor will halt all work within 100 feet of the discovery, and a qualified archaeologist will ascertain the nature of the discovery and the significance of the find. The archaeologist will provide proper management recommendations including avoidance, evaluation, or a mitigation plan to prevent any significant adverse effects on the resource.</w:t>
            </w:r>
          </w:p>
        </w:tc>
        <w:tc>
          <w:tcPr>
            <w:tcW w:w="2040" w:type="dxa"/>
            <w:tcBorders>
              <w:top w:val="single" w:sz="4" w:space="0" w:color="auto"/>
              <w:bottom w:val="single" w:sz="4" w:space="0" w:color="auto"/>
            </w:tcBorders>
            <w:vAlign w:val="center"/>
          </w:tcPr>
          <w:p w:rsidR="00C42663" w:rsidRDefault="00C42663" w:rsidP="00090419">
            <w:pPr>
              <w:pStyle w:val="Date"/>
              <w:rPr>
                <w:sz w:val="20"/>
              </w:rPr>
            </w:pPr>
            <w:r>
              <w:rPr>
                <w:sz w:val="20"/>
              </w:rPr>
              <w:t>Ensure monitoring requirements are included in contract specifications and ensure construction contractor’s compliance with contract specifications.</w:t>
            </w:r>
          </w:p>
        </w:tc>
        <w:tc>
          <w:tcPr>
            <w:tcW w:w="1950" w:type="dxa"/>
            <w:tcBorders>
              <w:top w:val="single" w:sz="4" w:space="0" w:color="auto"/>
              <w:bottom w:val="single" w:sz="4" w:space="0" w:color="auto"/>
            </w:tcBorders>
            <w:vAlign w:val="center"/>
          </w:tcPr>
          <w:p w:rsidR="00C42663" w:rsidRDefault="00C42663" w:rsidP="00090419">
            <w:pPr>
              <w:rPr>
                <w:sz w:val="20"/>
              </w:rPr>
            </w:pPr>
            <w:r>
              <w:rPr>
                <w:sz w:val="20"/>
              </w:rPr>
              <w:t xml:space="preserve">During preparation of contract documents and during </w:t>
            </w:r>
          </w:p>
          <w:p w:rsidR="00C42663" w:rsidRDefault="00C42663" w:rsidP="00090419">
            <w:pPr>
              <w:rPr>
                <w:sz w:val="20"/>
              </w:rPr>
            </w:pPr>
            <w:r>
              <w:rPr>
                <w:sz w:val="20"/>
              </w:rPr>
              <w:t>construction excavation operations</w:t>
            </w:r>
          </w:p>
        </w:tc>
        <w:tc>
          <w:tcPr>
            <w:tcW w:w="1980" w:type="dxa"/>
            <w:tcBorders>
              <w:top w:val="single" w:sz="4" w:space="0" w:color="auto"/>
              <w:bottom w:val="single" w:sz="4" w:space="0" w:color="auto"/>
            </w:tcBorders>
            <w:vAlign w:val="center"/>
          </w:tcPr>
          <w:p w:rsidR="00C42663" w:rsidRDefault="00C42663" w:rsidP="00090419">
            <w:pPr>
              <w:rPr>
                <w:sz w:val="20"/>
              </w:rPr>
            </w:pPr>
            <w:r>
              <w:rPr>
                <w:sz w:val="20"/>
              </w:rPr>
              <w:t>AOC’s Project Manager and Construction Inspector</w:t>
            </w:r>
          </w:p>
        </w:tc>
      </w:tr>
    </w:tbl>
    <w:p w:rsidR="00C42663" w:rsidRDefault="00C42663"/>
    <w:sectPr w:rsidR="00C42663" w:rsidSect="00C426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663" w:rsidRDefault="00C42663" w:rsidP="00C42663">
      <w:r>
        <w:separator/>
      </w:r>
    </w:p>
  </w:endnote>
  <w:endnote w:type="continuationSeparator" w:id="0">
    <w:p w:rsidR="00C42663" w:rsidRDefault="00C42663" w:rsidP="00C42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79" w:rsidRDefault="00A76D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79" w:rsidRDefault="00A76D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79" w:rsidRDefault="00A76D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663" w:rsidRDefault="00C42663" w:rsidP="00C42663">
      <w:r>
        <w:separator/>
      </w:r>
    </w:p>
  </w:footnote>
  <w:footnote w:type="continuationSeparator" w:id="0">
    <w:p w:rsidR="00C42663" w:rsidRDefault="00C42663" w:rsidP="00C42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79" w:rsidRDefault="00A76D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63" w:rsidRDefault="00A76D79">
    <w:pPr>
      <w:pStyle w:val="Header"/>
    </w:pPr>
    <w:r>
      <w:t xml:space="preserve">ADDENDUM </w:t>
    </w:r>
    <w:r>
      <w:t>4</w:t>
    </w:r>
    <w:r w:rsidR="00C42663">
      <w:tab/>
      <w:t>New Hollister Courthouse</w:t>
    </w:r>
  </w:p>
  <w:p w:rsidR="003A7C62" w:rsidRDefault="003A7C62" w:rsidP="003A7C62">
    <w:pPr>
      <w:pStyle w:val="Header"/>
      <w:jc w:val="center"/>
    </w:pPr>
    <w:r>
      <w:t>Solicitation Number:  OCCM-FY-2008-14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D79" w:rsidRDefault="00A76D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2663"/>
    <w:rsid w:val="002371BF"/>
    <w:rsid w:val="00303B04"/>
    <w:rsid w:val="00393BD7"/>
    <w:rsid w:val="003A7C62"/>
    <w:rsid w:val="005E5FCA"/>
    <w:rsid w:val="007B79EC"/>
    <w:rsid w:val="008311B6"/>
    <w:rsid w:val="00A76D79"/>
    <w:rsid w:val="00C42663"/>
    <w:rsid w:val="00D61B58"/>
    <w:rsid w:val="00FB6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2663"/>
    <w:pPr>
      <w:spacing w:line="240" w:lineRule="auto"/>
    </w:pPr>
    <w:rPr>
      <w:rFonts w:ascii="Garamond" w:eastAsia="Times New Roman" w:hAnsi="Garamond"/>
      <w:sz w:val="22"/>
      <w:szCs w:val="20"/>
      <w:lang w:bidi="ar-SA"/>
    </w:rPr>
  </w:style>
  <w:style w:type="paragraph" w:styleId="Heading1">
    <w:name w:val="heading 1"/>
    <w:basedOn w:val="Normal"/>
    <w:next w:val="Normal"/>
    <w:link w:val="Heading1Char"/>
    <w:uiPriority w:val="9"/>
    <w:qFormat/>
    <w:rsid w:val="00393BD7"/>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393BD7"/>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393BD7"/>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393BD7"/>
    <w:pPr>
      <w:spacing w:before="240" w:after="60" w:line="276" w:lineRule="auto"/>
      <w:outlineLvl w:val="5"/>
    </w:pPr>
    <w:rPr>
      <w:rFonts w:asciiTheme="minorHAnsi" w:eastAsiaTheme="minorHAnsi" w:hAnsiTheme="minorHAnsi"/>
      <w:b/>
      <w:bCs/>
      <w:sz w:val="24"/>
      <w:szCs w:val="24"/>
      <w:lang w:bidi="en-US"/>
    </w:rPr>
  </w:style>
  <w:style w:type="paragraph" w:styleId="Heading7">
    <w:name w:val="heading 7"/>
    <w:basedOn w:val="Normal"/>
    <w:next w:val="Normal"/>
    <w:link w:val="Heading7Char"/>
    <w:uiPriority w:val="9"/>
    <w:semiHidden/>
    <w:unhideWhenUsed/>
    <w:qFormat/>
    <w:rsid w:val="00393BD7"/>
    <w:pPr>
      <w:spacing w:before="240" w:after="60" w:line="276" w:lineRule="auto"/>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393BD7"/>
    <w:pPr>
      <w:spacing w:before="240" w:after="60" w:line="276" w:lineRule="auto"/>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393BD7"/>
    <w:pPr>
      <w:spacing w:before="240" w:after="60" w:line="276" w:lineRule="auto"/>
      <w:outlineLvl w:val="8"/>
    </w:pPr>
    <w:rPr>
      <w:rFonts w:asciiTheme="majorHAnsi" w:eastAsiaTheme="majorEastAsia" w:hAnsiTheme="majorHAns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BD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93BD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93BD7"/>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393BD7"/>
    <w:rPr>
      <w:b/>
      <w:bCs/>
    </w:rPr>
  </w:style>
  <w:style w:type="character" w:customStyle="1" w:styleId="Heading7Char">
    <w:name w:val="Heading 7 Char"/>
    <w:basedOn w:val="DefaultParagraphFont"/>
    <w:link w:val="Heading7"/>
    <w:uiPriority w:val="9"/>
    <w:semiHidden/>
    <w:rsid w:val="00393BD7"/>
    <w:rPr>
      <w:sz w:val="24"/>
      <w:szCs w:val="24"/>
    </w:rPr>
  </w:style>
  <w:style w:type="character" w:customStyle="1" w:styleId="Heading8Char">
    <w:name w:val="Heading 8 Char"/>
    <w:basedOn w:val="DefaultParagraphFont"/>
    <w:link w:val="Heading8"/>
    <w:uiPriority w:val="9"/>
    <w:semiHidden/>
    <w:rsid w:val="00393BD7"/>
    <w:rPr>
      <w:i/>
      <w:iCs/>
      <w:sz w:val="24"/>
      <w:szCs w:val="24"/>
    </w:rPr>
  </w:style>
  <w:style w:type="character" w:customStyle="1" w:styleId="Heading9Char">
    <w:name w:val="Heading 9 Char"/>
    <w:basedOn w:val="DefaultParagraphFont"/>
    <w:link w:val="Heading9"/>
    <w:uiPriority w:val="9"/>
    <w:semiHidden/>
    <w:rsid w:val="00393BD7"/>
    <w:rPr>
      <w:rFonts w:asciiTheme="majorHAnsi" w:eastAsiaTheme="majorEastAsia" w:hAnsiTheme="majorHAnsi"/>
    </w:rPr>
  </w:style>
  <w:style w:type="paragraph" w:styleId="Title">
    <w:name w:val="Title"/>
    <w:basedOn w:val="Normal"/>
    <w:next w:val="Normal"/>
    <w:link w:val="TitleChar"/>
    <w:uiPriority w:val="10"/>
    <w:qFormat/>
    <w:rsid w:val="00393BD7"/>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393BD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93BD7"/>
    <w:pPr>
      <w:spacing w:after="60" w:line="276" w:lineRule="auto"/>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393BD7"/>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393BD7"/>
    <w:pPr>
      <w:outlineLvl w:val="9"/>
    </w:pPr>
  </w:style>
  <w:style w:type="paragraph" w:styleId="Caption">
    <w:name w:val="caption"/>
    <w:basedOn w:val="Normal"/>
    <w:next w:val="Normal"/>
    <w:qFormat/>
    <w:rsid w:val="00C42663"/>
    <w:pPr>
      <w:overflowPunct w:val="0"/>
      <w:autoSpaceDE w:val="0"/>
      <w:autoSpaceDN w:val="0"/>
      <w:adjustRightInd w:val="0"/>
      <w:textAlignment w:val="baseline"/>
    </w:pPr>
    <w:rPr>
      <w:rFonts w:ascii="Times New Roman" w:hAnsi="Times New Roman"/>
      <w:b/>
      <w:bCs/>
      <w:sz w:val="20"/>
    </w:rPr>
  </w:style>
  <w:style w:type="paragraph" w:styleId="Date">
    <w:name w:val="Date"/>
    <w:basedOn w:val="Normal"/>
    <w:next w:val="Normal"/>
    <w:link w:val="DateChar"/>
    <w:semiHidden/>
    <w:rsid w:val="00C42663"/>
    <w:pPr>
      <w:overflowPunct w:val="0"/>
      <w:autoSpaceDE w:val="0"/>
      <w:autoSpaceDN w:val="0"/>
      <w:adjustRightInd w:val="0"/>
      <w:textAlignment w:val="baseline"/>
    </w:pPr>
    <w:rPr>
      <w:rFonts w:ascii="Times New Roman" w:hAnsi="Times New Roman"/>
      <w:bCs/>
      <w:sz w:val="24"/>
    </w:rPr>
  </w:style>
  <w:style w:type="character" w:customStyle="1" w:styleId="DateChar">
    <w:name w:val="Date Char"/>
    <w:basedOn w:val="DefaultParagraphFont"/>
    <w:link w:val="Date"/>
    <w:semiHidden/>
    <w:rsid w:val="00C42663"/>
    <w:rPr>
      <w:rFonts w:ascii="Times New Roman" w:eastAsia="Times New Roman" w:hAnsi="Times New Roman"/>
      <w:bCs/>
      <w:szCs w:val="20"/>
      <w:lang w:bidi="ar-SA"/>
    </w:rPr>
  </w:style>
  <w:style w:type="paragraph" w:styleId="Header">
    <w:name w:val="header"/>
    <w:basedOn w:val="Normal"/>
    <w:link w:val="HeaderChar"/>
    <w:uiPriority w:val="99"/>
    <w:semiHidden/>
    <w:unhideWhenUsed/>
    <w:rsid w:val="00C42663"/>
    <w:pPr>
      <w:tabs>
        <w:tab w:val="center" w:pos="4680"/>
        <w:tab w:val="right" w:pos="9360"/>
      </w:tabs>
    </w:pPr>
  </w:style>
  <w:style w:type="character" w:customStyle="1" w:styleId="HeaderChar">
    <w:name w:val="Header Char"/>
    <w:basedOn w:val="DefaultParagraphFont"/>
    <w:link w:val="Header"/>
    <w:uiPriority w:val="99"/>
    <w:semiHidden/>
    <w:rsid w:val="00C42663"/>
    <w:rPr>
      <w:rFonts w:ascii="Garamond" w:eastAsia="Times New Roman" w:hAnsi="Garamond"/>
      <w:sz w:val="22"/>
      <w:szCs w:val="20"/>
      <w:lang w:bidi="ar-SA"/>
    </w:rPr>
  </w:style>
  <w:style w:type="paragraph" w:styleId="Footer">
    <w:name w:val="footer"/>
    <w:basedOn w:val="Normal"/>
    <w:link w:val="FooterChar"/>
    <w:uiPriority w:val="99"/>
    <w:semiHidden/>
    <w:unhideWhenUsed/>
    <w:rsid w:val="00C42663"/>
    <w:pPr>
      <w:tabs>
        <w:tab w:val="center" w:pos="4680"/>
        <w:tab w:val="right" w:pos="9360"/>
      </w:tabs>
    </w:pPr>
  </w:style>
  <w:style w:type="character" w:customStyle="1" w:styleId="FooterChar">
    <w:name w:val="Footer Char"/>
    <w:basedOn w:val="DefaultParagraphFont"/>
    <w:link w:val="Footer"/>
    <w:uiPriority w:val="99"/>
    <w:semiHidden/>
    <w:rsid w:val="00C42663"/>
    <w:rPr>
      <w:rFonts w:ascii="Garamond" w:eastAsia="Times New Roman" w:hAnsi="Garamond"/>
      <w:sz w:val="22"/>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2066</Characters>
  <Application>Microsoft Office Word</Application>
  <DocSecurity>0</DocSecurity>
  <Lines>79</Lines>
  <Paragraphs>22</Paragraphs>
  <ScaleCrop>false</ScaleCrop>
  <Company>Administrative Office of the Courts</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BRobinson</dc:creator>
  <cp:keywords/>
  <dc:description/>
  <cp:lastModifiedBy>BRobinson</cp:lastModifiedBy>
  <cp:revision>4</cp:revision>
  <dcterms:created xsi:type="dcterms:W3CDTF">2009-07-08T17:53:00Z</dcterms:created>
  <dcterms:modified xsi:type="dcterms:W3CDTF">2009-07-13T18:21:00Z</dcterms:modified>
</cp:coreProperties>
</file>