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B7" w:rsidRDefault="003A10B7" w:rsidP="005F4FB0">
      <w:pPr>
        <w:pStyle w:val="ListParagraph"/>
        <w:numPr>
          <w:ilvl w:val="0"/>
          <w:numId w:val="1"/>
        </w:numPr>
        <w:ind w:left="1890" w:hanging="1530"/>
      </w:pPr>
      <w:r>
        <w:t xml:space="preserve">What does the court see as </w:t>
      </w:r>
      <w:r w:rsidR="005F4FB0">
        <w:t xml:space="preserve">its </w:t>
      </w:r>
      <w:r>
        <w:t>long</w:t>
      </w:r>
      <w:r w:rsidR="005F4FB0">
        <w:t xml:space="preserve"> term</w:t>
      </w:r>
      <w:r>
        <w:t xml:space="preserve"> and short terms goals for system reforms?</w:t>
      </w:r>
    </w:p>
    <w:p w:rsidR="003A10B7" w:rsidRDefault="000E7A42" w:rsidP="000E7A42">
      <w:pPr>
        <w:pStyle w:val="ListParagraph"/>
        <w:numPr>
          <w:ilvl w:val="0"/>
          <w:numId w:val="3"/>
        </w:numPr>
        <w:ind w:left="1890" w:hanging="1530"/>
      </w:pPr>
      <w:r>
        <w:t xml:space="preserve">Long term goals are based on the report of the Blue Ribbon Commission on Children in Foster care, which emphasized that families in dependency court need more time in front of the bench.  The court is having ongoing discussions about adding another dependency department, in an effort to further this goal.  Unfortunately, this would require moving some dependency departments to the building that currently houses the delinquency court, </w:t>
      </w:r>
      <w:r w:rsidR="003E2C45">
        <w:t xml:space="preserve">which is not as conveniently located for families as the current dependency courthouse, and </w:t>
      </w:r>
      <w:r>
        <w:t xml:space="preserve">which would impact dependency service providers, including attorneys, </w:t>
      </w:r>
      <w:r w:rsidR="00F72ACB">
        <w:t>as well as</w:t>
      </w:r>
      <w:r>
        <w:t xml:space="preserve"> the families in these cases.</w:t>
      </w:r>
      <w:r>
        <w:br/>
      </w:r>
      <w:r>
        <w:br/>
        <w:t>The court’s s</w:t>
      </w:r>
      <w:r w:rsidR="003A10B7">
        <w:t>hort term goal</w:t>
      </w:r>
      <w:r>
        <w:t xml:space="preserve"> is to improve the</w:t>
      </w:r>
      <w:r w:rsidR="003A10B7">
        <w:t xml:space="preserve"> stability</w:t>
      </w:r>
      <w:r>
        <w:t xml:space="preserve"> of the court and its system partners</w:t>
      </w:r>
      <w:r w:rsidR="003A10B7">
        <w:t xml:space="preserve">.  </w:t>
      </w:r>
      <w:r>
        <w:t>We c</w:t>
      </w:r>
      <w:r w:rsidR="003A10B7">
        <w:t xml:space="preserve">ontinue to work together to </w:t>
      </w:r>
      <w:r w:rsidR="00AA216C">
        <w:t>strengthen collaborative ties</w:t>
      </w:r>
      <w:r>
        <w:t xml:space="preserve"> that </w:t>
      </w:r>
      <w:r w:rsidR="003A10B7">
        <w:t>provide</w:t>
      </w:r>
      <w:r>
        <w:t xml:space="preserve"> that stability</w:t>
      </w:r>
      <w:r w:rsidR="003A10B7">
        <w:t>.</w:t>
      </w:r>
    </w:p>
    <w:p w:rsidR="003A10B7" w:rsidRDefault="003A10B7" w:rsidP="003A10B7">
      <w:pPr>
        <w:ind w:left="360"/>
      </w:pPr>
    </w:p>
    <w:p w:rsidR="008C6D5F" w:rsidRDefault="0050455C" w:rsidP="008C6D5F">
      <w:pPr>
        <w:pStyle w:val="ListParagraph"/>
        <w:numPr>
          <w:ilvl w:val="0"/>
          <w:numId w:val="1"/>
        </w:numPr>
        <w:ind w:left="1890" w:hanging="1530"/>
      </w:pPr>
      <w:r>
        <w:t xml:space="preserve">Is the addition of a department in </w:t>
      </w:r>
      <w:r w:rsidR="00F35850">
        <w:t>the other</w:t>
      </w:r>
      <w:r>
        <w:t xml:space="preserve"> location l</w:t>
      </w:r>
      <w:r w:rsidR="008C6D5F">
        <w:t xml:space="preserve">ikely </w:t>
      </w:r>
      <w:r>
        <w:t>with</w:t>
      </w:r>
      <w:r w:rsidR="008C6D5F">
        <w:t xml:space="preserve">in </w:t>
      </w:r>
      <w:r w:rsidR="003E2C45">
        <w:t xml:space="preserve">the </w:t>
      </w:r>
      <w:r w:rsidR="008C6D5F">
        <w:t>next 5 years?</w:t>
      </w:r>
    </w:p>
    <w:p w:rsidR="008C6D5F" w:rsidRDefault="0050455C" w:rsidP="008C6D5F">
      <w:pPr>
        <w:pStyle w:val="ListParagraph"/>
        <w:numPr>
          <w:ilvl w:val="0"/>
          <w:numId w:val="3"/>
        </w:numPr>
        <w:ind w:left="1890" w:hanging="1530"/>
      </w:pPr>
      <w:r>
        <w:t>This growth is something we’re hoping for, but the conditions are not ideal.  The</w:t>
      </w:r>
      <w:r w:rsidR="008C6D5F">
        <w:t xml:space="preserve"> location</w:t>
      </w:r>
      <w:r>
        <w:t xml:space="preserve"> of the main dependency court</w:t>
      </w:r>
      <w:r w:rsidR="008C6D5F">
        <w:t xml:space="preserve"> is easier for children and parents to </w:t>
      </w:r>
      <w:r>
        <w:t xml:space="preserve">use, in terms of </w:t>
      </w:r>
      <w:r w:rsidR="008C6D5F">
        <w:t>transporta</w:t>
      </w:r>
      <w:r>
        <w:t>tion and the</w:t>
      </w:r>
      <w:r w:rsidR="008C6D5F">
        <w:t xml:space="preserve"> </w:t>
      </w:r>
      <w:r>
        <w:t xml:space="preserve">availability of </w:t>
      </w:r>
      <w:r w:rsidR="008C6D5F">
        <w:t>food</w:t>
      </w:r>
      <w:r>
        <w:t xml:space="preserve"> and other services</w:t>
      </w:r>
      <w:r w:rsidR="008C6D5F">
        <w:t xml:space="preserve">.  </w:t>
      </w:r>
      <w:r>
        <w:t xml:space="preserve">In addition, there are advantages for the </w:t>
      </w:r>
      <w:r w:rsidR="008C6D5F">
        <w:t xml:space="preserve">bench </w:t>
      </w:r>
      <w:r>
        <w:t>in</w:t>
      </w:r>
      <w:r w:rsidR="008C6D5F">
        <w:t xml:space="preserve"> be</w:t>
      </w:r>
      <w:r>
        <w:t>ing</w:t>
      </w:r>
      <w:r w:rsidR="008C6D5F">
        <w:t xml:space="preserve"> together</w:t>
      </w:r>
      <w:r>
        <w:t xml:space="preserve"> in one location</w:t>
      </w:r>
      <w:r w:rsidR="008C6D5F">
        <w:t xml:space="preserve">.  </w:t>
      </w:r>
    </w:p>
    <w:p w:rsidR="00E30241" w:rsidRDefault="00E30241" w:rsidP="00E30241"/>
    <w:p w:rsidR="00E30241" w:rsidRDefault="00E30241" w:rsidP="00E30241">
      <w:pPr>
        <w:pStyle w:val="ListParagraph"/>
        <w:numPr>
          <w:ilvl w:val="0"/>
          <w:numId w:val="1"/>
        </w:numPr>
        <w:ind w:left="1890" w:hanging="1530"/>
      </w:pPr>
      <w:r>
        <w:t>What is distance to the building that houses the delinquency court?</w:t>
      </w:r>
    </w:p>
    <w:p w:rsidR="00E30241" w:rsidRDefault="00E30241" w:rsidP="00E30241">
      <w:pPr>
        <w:pStyle w:val="ListParagraph"/>
        <w:numPr>
          <w:ilvl w:val="0"/>
          <w:numId w:val="3"/>
        </w:numPr>
        <w:ind w:left="1890" w:hanging="1530"/>
      </w:pPr>
      <w:r>
        <w:t>7.5 miles.</w:t>
      </w:r>
    </w:p>
    <w:p w:rsidR="008C6D5F" w:rsidRDefault="008C6D5F" w:rsidP="003A10B7">
      <w:pPr>
        <w:ind w:left="360"/>
      </w:pPr>
    </w:p>
    <w:p w:rsidR="003A10B7" w:rsidRDefault="000E7A42" w:rsidP="000E7A42">
      <w:pPr>
        <w:pStyle w:val="ListParagraph"/>
        <w:numPr>
          <w:ilvl w:val="0"/>
          <w:numId w:val="1"/>
        </w:numPr>
        <w:ind w:left="1890" w:hanging="1530"/>
      </w:pPr>
      <w:r>
        <w:t xml:space="preserve">The </w:t>
      </w:r>
      <w:r w:rsidR="003A10B7">
        <w:t xml:space="preserve">RFP mentions </w:t>
      </w:r>
      <w:r w:rsidR="000C2A7B">
        <w:t xml:space="preserve">a </w:t>
      </w:r>
      <w:r w:rsidR="003A10B7">
        <w:t>standing c</w:t>
      </w:r>
      <w:r w:rsidR="000C2A7B">
        <w:t>ommitt</w:t>
      </w:r>
      <w:r w:rsidR="003A10B7">
        <w:t>ee and subc</w:t>
      </w:r>
      <w:r w:rsidR="00346527">
        <w:t>ommitt</w:t>
      </w:r>
      <w:r w:rsidR="003A10B7">
        <w:t xml:space="preserve">ees.  </w:t>
      </w:r>
      <w:r w:rsidR="00346527">
        <w:t>Can you please specify these committees</w:t>
      </w:r>
      <w:r w:rsidR="003A10B7">
        <w:t>?</w:t>
      </w:r>
    </w:p>
    <w:p w:rsidR="003A10B7" w:rsidRDefault="00346527" w:rsidP="005F4FB0">
      <w:pPr>
        <w:pStyle w:val="ListParagraph"/>
        <w:numPr>
          <w:ilvl w:val="0"/>
          <w:numId w:val="3"/>
        </w:numPr>
        <w:ind w:left="1890" w:hanging="1530"/>
      </w:pPr>
      <w:r>
        <w:t>They are the standing committee and subcommittees listed in Attach</w:t>
      </w:r>
      <w:r w:rsidR="00AA216C">
        <w:t>ment C, Section 3.0 of the RFP,</w:t>
      </w:r>
      <w:r>
        <w:t xml:space="preserve"> under the paragraph titled “Systems Meetings”</w:t>
      </w:r>
      <w:r w:rsidR="00AA216C">
        <w:t xml:space="preserve"> and also listed below:</w:t>
      </w:r>
    </w:p>
    <w:p w:rsidR="00AA216C" w:rsidRDefault="00AA216C" w:rsidP="00AA216C"/>
    <w:p w:rsidR="00AA216C" w:rsidRDefault="00AA216C" w:rsidP="00AA216C">
      <w:pPr>
        <w:ind w:left="1890"/>
      </w:pPr>
      <w:r>
        <w:t>•</w:t>
      </w:r>
      <w:r>
        <w:tab/>
        <w:t>Dependency Standing Committee</w:t>
      </w:r>
    </w:p>
    <w:p w:rsidR="00AA216C" w:rsidRDefault="00AA216C" w:rsidP="00AA216C">
      <w:pPr>
        <w:ind w:left="1890"/>
      </w:pPr>
      <w:r>
        <w:t>•</w:t>
      </w:r>
      <w:r>
        <w:tab/>
        <w:t>Subcommittees of the Dependency Standing Committee</w:t>
      </w:r>
    </w:p>
    <w:p w:rsidR="00AA216C" w:rsidRDefault="00AA216C" w:rsidP="00AA216C">
      <w:pPr>
        <w:ind w:left="1890"/>
      </w:pPr>
      <w:r>
        <w:t>•</w:t>
      </w:r>
      <w:r>
        <w:tab/>
        <w:t>Schools Advisory Committee</w:t>
      </w:r>
    </w:p>
    <w:p w:rsidR="00AA216C" w:rsidRDefault="00AA216C" w:rsidP="00AA216C">
      <w:pPr>
        <w:ind w:left="1890"/>
      </w:pPr>
      <w:proofErr w:type="gramStart"/>
      <w:r>
        <w:t>•</w:t>
      </w:r>
      <w:r>
        <w:tab/>
        <w:t>241.1 Committee</w:t>
      </w:r>
      <w:proofErr w:type="gramEnd"/>
    </w:p>
    <w:p w:rsidR="00AA216C" w:rsidRDefault="00AA216C" w:rsidP="00AA216C">
      <w:pPr>
        <w:ind w:left="1890"/>
      </w:pPr>
      <w:r>
        <w:lastRenderedPageBreak/>
        <w:t>•</w:t>
      </w:r>
      <w:r>
        <w:tab/>
        <w:t>Medical and Mental Health Subcommittee of the Criminal Justice Cabinet</w:t>
      </w:r>
    </w:p>
    <w:p w:rsidR="00AA216C" w:rsidRDefault="00AA216C" w:rsidP="00AA216C">
      <w:pPr>
        <w:ind w:left="1890"/>
      </w:pPr>
      <w:r>
        <w:t>•</w:t>
      </w:r>
      <w:r>
        <w:tab/>
        <w:t>Statewide or local multi-disciplinary trainings or conferences</w:t>
      </w:r>
    </w:p>
    <w:p w:rsidR="00AA216C" w:rsidRDefault="00AA216C" w:rsidP="00AA216C"/>
    <w:p w:rsidR="003A10B7" w:rsidRDefault="003A10B7" w:rsidP="003A10B7"/>
    <w:p w:rsidR="003A10B7" w:rsidRDefault="003A10B7" w:rsidP="000E7A42">
      <w:pPr>
        <w:pStyle w:val="ListParagraph"/>
        <w:numPr>
          <w:ilvl w:val="0"/>
          <w:numId w:val="1"/>
        </w:numPr>
        <w:ind w:left="1890" w:hanging="1530"/>
      </w:pPr>
      <w:r>
        <w:t>There has been a decline in filings from 2</w:t>
      </w:r>
      <w:r w:rsidR="0049162A">
        <w:t>,407</w:t>
      </w:r>
      <w:r>
        <w:t xml:space="preserve"> </w:t>
      </w:r>
      <w:r w:rsidR="0049162A">
        <w:t xml:space="preserve">in 2008-09 </w:t>
      </w:r>
      <w:r>
        <w:t>to 9</w:t>
      </w:r>
      <w:r w:rsidR="0049162A">
        <w:t>79</w:t>
      </w:r>
      <w:r>
        <w:t xml:space="preserve"> in </w:t>
      </w:r>
      <w:r w:rsidR="0049162A">
        <w:t>20</w:t>
      </w:r>
      <w:r>
        <w:t>09-10.  Does</w:t>
      </w:r>
      <w:r w:rsidR="003E2C45">
        <w:t xml:space="preserve"> the</w:t>
      </w:r>
      <w:r>
        <w:t xml:space="preserve"> court envision </w:t>
      </w:r>
      <w:r w:rsidR="0049162A">
        <w:t>an increase in filings now that CPS is</w:t>
      </w:r>
      <w:r>
        <w:t xml:space="preserve"> stabilizing?</w:t>
      </w:r>
    </w:p>
    <w:p w:rsidR="003A10B7" w:rsidRDefault="0049162A" w:rsidP="005F4FB0">
      <w:pPr>
        <w:pStyle w:val="ListParagraph"/>
        <w:numPr>
          <w:ilvl w:val="0"/>
          <w:numId w:val="3"/>
        </w:numPr>
        <w:ind w:left="1890" w:hanging="1530"/>
      </w:pPr>
      <w:r>
        <w:t>The court is not in a position to predict the number of annual filings, which are determined by CPS.</w:t>
      </w:r>
    </w:p>
    <w:p w:rsidR="003A10B7" w:rsidRDefault="003A10B7" w:rsidP="003A10B7">
      <w:pPr>
        <w:ind w:left="360"/>
      </w:pPr>
    </w:p>
    <w:p w:rsidR="003A10B7" w:rsidRDefault="0032107C" w:rsidP="000E7A42">
      <w:pPr>
        <w:pStyle w:val="ListParagraph"/>
        <w:numPr>
          <w:ilvl w:val="0"/>
          <w:numId w:val="1"/>
        </w:numPr>
        <w:ind w:left="1890" w:hanging="1530"/>
      </w:pPr>
      <w:r>
        <w:t xml:space="preserve">Is the funding level provided </w:t>
      </w:r>
      <w:r w:rsidR="003A10B7">
        <w:t xml:space="preserve">in </w:t>
      </w:r>
      <w:r>
        <w:t xml:space="preserve">the RFP the </w:t>
      </w:r>
      <w:r w:rsidR="003A10B7">
        <w:t>same as</w:t>
      </w:r>
      <w:r>
        <w:t xml:space="preserve"> the</w:t>
      </w:r>
      <w:r w:rsidR="003A10B7">
        <w:t xml:space="preserve"> current allocation?</w:t>
      </w:r>
    </w:p>
    <w:p w:rsidR="003A10B7" w:rsidRDefault="003A10B7" w:rsidP="005F4FB0">
      <w:pPr>
        <w:pStyle w:val="ListParagraph"/>
        <w:numPr>
          <w:ilvl w:val="0"/>
          <w:numId w:val="3"/>
        </w:numPr>
        <w:ind w:left="1890" w:hanging="1530"/>
      </w:pPr>
      <w:r>
        <w:t>Yes.</w:t>
      </w:r>
    </w:p>
    <w:p w:rsidR="003A10B7" w:rsidRDefault="003A10B7" w:rsidP="003A10B7"/>
    <w:p w:rsidR="00551C4E" w:rsidRDefault="00551C4E" w:rsidP="00551C4E">
      <w:pPr>
        <w:pStyle w:val="ListParagraph"/>
        <w:numPr>
          <w:ilvl w:val="0"/>
          <w:numId w:val="1"/>
        </w:numPr>
        <w:ind w:left="1890" w:hanging="1530"/>
      </w:pPr>
      <w:r>
        <w:t xml:space="preserve">Is the funding level static for the five year period of the contracts, or </w:t>
      </w:r>
      <w:proofErr w:type="gramStart"/>
      <w:r>
        <w:t>are</w:t>
      </w:r>
      <w:proofErr w:type="gramEnd"/>
      <w:r>
        <w:t xml:space="preserve"> cost of living adjustments (COLAs) anticipated?</w:t>
      </w:r>
    </w:p>
    <w:p w:rsidR="00551C4E" w:rsidRDefault="00551C4E" w:rsidP="00551C4E">
      <w:pPr>
        <w:pStyle w:val="ListParagraph"/>
        <w:numPr>
          <w:ilvl w:val="0"/>
          <w:numId w:val="3"/>
        </w:numPr>
        <w:ind w:left="1890" w:hanging="1530"/>
      </w:pPr>
      <w:r>
        <w:t xml:space="preserve"> </w:t>
      </w:r>
      <w:r w:rsidR="00854C0A">
        <w:t xml:space="preserve">While we were able to provide for </w:t>
      </w:r>
      <w:r>
        <w:t>annual COLA</w:t>
      </w:r>
      <w:r w:rsidR="00854C0A">
        <w:t xml:space="preserve">s in contracts in past years, the current budget situation does not allow us to provide them at the present time.  If improvements to the state </w:t>
      </w:r>
      <w:r>
        <w:t xml:space="preserve">budget allows, </w:t>
      </w:r>
      <w:r w:rsidR="00854C0A">
        <w:t xml:space="preserve">we </w:t>
      </w:r>
      <w:r>
        <w:t>ma</w:t>
      </w:r>
      <w:r w:rsidR="00854C0A">
        <w:t>y be able to make adjustments during the course of the contract.</w:t>
      </w:r>
    </w:p>
    <w:p w:rsidR="00E30241" w:rsidRDefault="00E30241" w:rsidP="00E30241"/>
    <w:p w:rsidR="00612175" w:rsidRDefault="00612175" w:rsidP="00612175">
      <w:pPr>
        <w:pStyle w:val="ListParagraph"/>
        <w:numPr>
          <w:ilvl w:val="0"/>
          <w:numId w:val="1"/>
        </w:numPr>
        <w:ind w:left="1890" w:hanging="1530"/>
      </w:pPr>
      <w:r>
        <w:t>The RFP indicates that contracts will go from July 1 to June 30 each year.  Will the AOC consider extending contracts so that they do not coincide with the state’s fiscal year?</w:t>
      </w:r>
    </w:p>
    <w:p w:rsidR="00612175" w:rsidRDefault="00AA216C" w:rsidP="00612175">
      <w:pPr>
        <w:pStyle w:val="ListParagraph"/>
        <w:numPr>
          <w:ilvl w:val="0"/>
          <w:numId w:val="3"/>
        </w:numPr>
        <w:ind w:left="1890" w:hanging="1530"/>
      </w:pPr>
      <w:r>
        <w:t>O</w:t>
      </w:r>
      <w:r w:rsidR="00612175">
        <w:t>ur goal is to move all DRAFT contracts off the state’s fiscal year.  However, meeting this goal depends on the availability of funding, as it requires paying for more than one year’s worth of service during the initial year when such an extension implemented.</w:t>
      </w:r>
      <w:r>
        <w:t xml:space="preserve"> There are no specific plans with regard to Sacramento contracts at this time.</w:t>
      </w:r>
    </w:p>
    <w:p w:rsidR="00612175" w:rsidRDefault="00612175" w:rsidP="00612175"/>
    <w:p w:rsidR="00504B89" w:rsidRDefault="00504B89" w:rsidP="00504B89">
      <w:pPr>
        <w:pStyle w:val="ListParagraph"/>
        <w:numPr>
          <w:ilvl w:val="0"/>
          <w:numId w:val="1"/>
        </w:numPr>
        <w:ind w:left="1890" w:hanging="1530"/>
      </w:pPr>
      <w:r>
        <w:t>Is there any indication yet of the budget for the next fiscal year?</w:t>
      </w:r>
    </w:p>
    <w:p w:rsidR="00504B89" w:rsidRDefault="00504B89" w:rsidP="00504B89">
      <w:pPr>
        <w:pStyle w:val="ListParagraph"/>
        <w:numPr>
          <w:ilvl w:val="0"/>
          <w:numId w:val="3"/>
        </w:numPr>
        <w:ind w:left="1890" w:hanging="1530"/>
      </w:pPr>
      <w:r>
        <w:t>No, the budget process is quite lengthy, and we do not yet know what is planned for the next year.</w:t>
      </w:r>
    </w:p>
    <w:p w:rsidR="00504B89" w:rsidRDefault="00504B89" w:rsidP="00504B89">
      <w:r>
        <w:t xml:space="preserve"> </w:t>
      </w:r>
    </w:p>
    <w:p w:rsidR="003A10B7" w:rsidRDefault="002B6E93" w:rsidP="000E7A42">
      <w:pPr>
        <w:pStyle w:val="ListParagraph"/>
        <w:numPr>
          <w:ilvl w:val="0"/>
          <w:numId w:val="1"/>
        </w:numPr>
        <w:ind w:left="1890" w:hanging="1530"/>
      </w:pPr>
      <w:r>
        <w:t>Does the court have p</w:t>
      </w:r>
      <w:r w:rsidR="003A10B7">
        <w:t xml:space="preserve">lans for specialized courts </w:t>
      </w:r>
      <w:r>
        <w:t>in addition to the D</w:t>
      </w:r>
      <w:r w:rsidR="003A10B7">
        <w:t xml:space="preserve">rug </w:t>
      </w:r>
      <w:r>
        <w:t>C</w:t>
      </w:r>
      <w:r w:rsidR="003A10B7">
        <w:t>ourt?</w:t>
      </w:r>
    </w:p>
    <w:p w:rsidR="003A10B7" w:rsidRDefault="003A10B7" w:rsidP="005F4FB0">
      <w:pPr>
        <w:pStyle w:val="ListParagraph"/>
        <w:numPr>
          <w:ilvl w:val="0"/>
          <w:numId w:val="3"/>
        </w:numPr>
        <w:ind w:left="1890" w:hanging="1530"/>
      </w:pPr>
      <w:r>
        <w:t xml:space="preserve">Not at </w:t>
      </w:r>
      <w:r w:rsidR="002B6E93">
        <w:t>the present time.</w:t>
      </w:r>
    </w:p>
    <w:p w:rsidR="003A10B7" w:rsidRDefault="003A10B7" w:rsidP="003A10B7"/>
    <w:p w:rsidR="003A10B7" w:rsidRDefault="008C7B49" w:rsidP="000E7A42">
      <w:pPr>
        <w:pStyle w:val="ListParagraph"/>
        <w:numPr>
          <w:ilvl w:val="0"/>
          <w:numId w:val="1"/>
        </w:numPr>
        <w:ind w:left="1890" w:hanging="1530"/>
      </w:pPr>
      <w:r>
        <w:lastRenderedPageBreak/>
        <w:t>Will JCATS be used to comply with all of the m</w:t>
      </w:r>
      <w:r w:rsidR="003A10B7">
        <w:t>onthly reporting requirement</w:t>
      </w:r>
      <w:r>
        <w:t>s listed in the scope of services</w:t>
      </w:r>
      <w:r w:rsidR="003A10B7">
        <w:t>?</w:t>
      </w:r>
    </w:p>
    <w:p w:rsidR="003A10B7" w:rsidRDefault="008C7B49" w:rsidP="005F4FB0">
      <w:pPr>
        <w:pStyle w:val="ListParagraph"/>
        <w:numPr>
          <w:ilvl w:val="0"/>
          <w:numId w:val="3"/>
        </w:numPr>
        <w:ind w:left="1890" w:hanging="1530"/>
      </w:pPr>
      <w:r>
        <w:t>A</w:t>
      </w:r>
      <w:r w:rsidR="003A10B7">
        <w:t xml:space="preserve">ll </w:t>
      </w:r>
      <w:r>
        <w:t>of the monthly and quarterly case reporting requirements will be completed through JCATS.  Monthly staffing reports will be completed separately, in a simple Excel format.</w:t>
      </w:r>
    </w:p>
    <w:p w:rsidR="003A10B7" w:rsidRDefault="003A10B7" w:rsidP="003A10B7">
      <w:pPr>
        <w:ind w:left="360"/>
      </w:pPr>
    </w:p>
    <w:p w:rsidR="008E7332" w:rsidRDefault="008E7332" w:rsidP="008E7332">
      <w:pPr>
        <w:pStyle w:val="ListParagraph"/>
        <w:numPr>
          <w:ilvl w:val="0"/>
          <w:numId w:val="1"/>
        </w:numPr>
        <w:ind w:left="1890" w:hanging="1530"/>
      </w:pPr>
      <w:r>
        <w:t>Is it anticipated that JCATS will be ready for use by July 1?</w:t>
      </w:r>
    </w:p>
    <w:p w:rsidR="008E7332" w:rsidRDefault="008E7332" w:rsidP="008E7332">
      <w:pPr>
        <w:pStyle w:val="ListParagraph"/>
        <w:numPr>
          <w:ilvl w:val="0"/>
          <w:numId w:val="3"/>
        </w:numPr>
        <w:ind w:left="1890" w:hanging="1530"/>
      </w:pPr>
      <w:r>
        <w:t>Yes.</w:t>
      </w:r>
    </w:p>
    <w:p w:rsidR="008E7332" w:rsidRDefault="008E7332" w:rsidP="003A10B7">
      <w:pPr>
        <w:ind w:left="360"/>
      </w:pPr>
    </w:p>
    <w:p w:rsidR="003A10B7" w:rsidRDefault="008C7B49" w:rsidP="000E7A42">
      <w:pPr>
        <w:pStyle w:val="ListParagraph"/>
        <w:numPr>
          <w:ilvl w:val="0"/>
          <w:numId w:val="1"/>
        </w:numPr>
        <w:ind w:left="1890" w:hanging="1530"/>
      </w:pPr>
      <w:r>
        <w:t xml:space="preserve">The RFP states that </w:t>
      </w:r>
      <w:r w:rsidR="003A10B7">
        <w:t>21.4% of children placed out of county.  Can we get a breakdown of where they are placed?</w:t>
      </w:r>
    </w:p>
    <w:p w:rsidR="003A10B7" w:rsidRDefault="003A10B7" w:rsidP="005F4FB0">
      <w:pPr>
        <w:pStyle w:val="ListParagraph"/>
        <w:numPr>
          <w:ilvl w:val="0"/>
          <w:numId w:val="3"/>
        </w:numPr>
        <w:ind w:left="1890" w:hanging="1530"/>
      </w:pPr>
    </w:p>
    <w:tbl>
      <w:tblPr>
        <w:tblStyle w:val="TableGrid"/>
        <w:tblW w:w="0" w:type="auto"/>
        <w:tblInd w:w="2088" w:type="dxa"/>
        <w:tblLook w:val="04A0"/>
      </w:tblPr>
      <w:tblGrid>
        <w:gridCol w:w="3420"/>
        <w:gridCol w:w="2880"/>
      </w:tblGrid>
      <w:tr w:rsidR="0084403F" w:rsidTr="0084403F">
        <w:tc>
          <w:tcPr>
            <w:tcW w:w="3420" w:type="dxa"/>
            <w:shd w:val="clear" w:color="auto" w:fill="E5DFEC" w:themeFill="accent4" w:themeFillTint="33"/>
            <w:vAlign w:val="bottom"/>
          </w:tcPr>
          <w:p w:rsidR="0084403F" w:rsidRDefault="0084403F" w:rsidP="0084403F">
            <w:pPr>
              <w:jc w:val="center"/>
            </w:pPr>
            <w:r>
              <w:t>County</w:t>
            </w:r>
          </w:p>
        </w:tc>
        <w:tc>
          <w:tcPr>
            <w:tcW w:w="2880" w:type="dxa"/>
            <w:shd w:val="clear" w:color="auto" w:fill="E5DFEC" w:themeFill="accent4" w:themeFillTint="33"/>
            <w:vAlign w:val="bottom"/>
          </w:tcPr>
          <w:p w:rsidR="0084403F" w:rsidRDefault="0084403F" w:rsidP="0084403F">
            <w:pPr>
              <w:jc w:val="center"/>
            </w:pPr>
            <w:r>
              <w:t>Percent of Sacramento Children Placed in County</w:t>
            </w:r>
            <w:r w:rsidR="00FF6BC1">
              <w:rPr>
                <w:rStyle w:val="FootnoteReference"/>
              </w:rPr>
              <w:footnoteReference w:id="1"/>
            </w:r>
          </w:p>
        </w:tc>
      </w:tr>
      <w:tr w:rsidR="0084403F" w:rsidTr="0084403F">
        <w:tc>
          <w:tcPr>
            <w:tcW w:w="3420" w:type="dxa"/>
          </w:tcPr>
          <w:p w:rsidR="0084403F" w:rsidRDefault="0084403F" w:rsidP="0084403F">
            <w:r>
              <w:t>Placer</w:t>
            </w:r>
          </w:p>
        </w:tc>
        <w:tc>
          <w:tcPr>
            <w:tcW w:w="2880" w:type="dxa"/>
          </w:tcPr>
          <w:p w:rsidR="0084403F" w:rsidRDefault="0084403F" w:rsidP="00141A25">
            <w:pPr>
              <w:jc w:val="center"/>
            </w:pPr>
            <w:r>
              <w:t>2.9%</w:t>
            </w:r>
          </w:p>
        </w:tc>
      </w:tr>
      <w:tr w:rsidR="0084403F" w:rsidTr="0084403F">
        <w:tc>
          <w:tcPr>
            <w:tcW w:w="3420" w:type="dxa"/>
          </w:tcPr>
          <w:p w:rsidR="0084403F" w:rsidRDefault="0084403F" w:rsidP="0084403F">
            <w:r>
              <w:t>San Joaquin</w:t>
            </w:r>
          </w:p>
        </w:tc>
        <w:tc>
          <w:tcPr>
            <w:tcW w:w="2880" w:type="dxa"/>
          </w:tcPr>
          <w:p w:rsidR="0084403F" w:rsidRDefault="0084403F" w:rsidP="00141A25">
            <w:pPr>
              <w:jc w:val="center"/>
            </w:pPr>
            <w:r>
              <w:t>2.6%</w:t>
            </w:r>
          </w:p>
        </w:tc>
      </w:tr>
      <w:tr w:rsidR="0084403F" w:rsidTr="0084403F">
        <w:tc>
          <w:tcPr>
            <w:tcW w:w="3420" w:type="dxa"/>
          </w:tcPr>
          <w:p w:rsidR="0084403F" w:rsidRDefault="0084403F" w:rsidP="0084403F">
            <w:r>
              <w:t>Yolo</w:t>
            </w:r>
          </w:p>
        </w:tc>
        <w:tc>
          <w:tcPr>
            <w:tcW w:w="2880" w:type="dxa"/>
          </w:tcPr>
          <w:p w:rsidR="0084403F" w:rsidRDefault="0084403F" w:rsidP="00141A25">
            <w:pPr>
              <w:jc w:val="center"/>
            </w:pPr>
            <w:r>
              <w:t>1.7%</w:t>
            </w:r>
          </w:p>
        </w:tc>
      </w:tr>
      <w:tr w:rsidR="0084403F" w:rsidTr="0084403F">
        <w:tc>
          <w:tcPr>
            <w:tcW w:w="3420" w:type="dxa"/>
          </w:tcPr>
          <w:p w:rsidR="0084403F" w:rsidRDefault="0084403F" w:rsidP="0084403F">
            <w:r>
              <w:t>El Dorado</w:t>
            </w:r>
          </w:p>
        </w:tc>
        <w:tc>
          <w:tcPr>
            <w:tcW w:w="2880" w:type="dxa"/>
          </w:tcPr>
          <w:p w:rsidR="0084403F" w:rsidRDefault="0084403F" w:rsidP="00141A25">
            <w:pPr>
              <w:jc w:val="center"/>
            </w:pPr>
            <w:r>
              <w:t>1.2%</w:t>
            </w:r>
          </w:p>
        </w:tc>
      </w:tr>
      <w:tr w:rsidR="0084403F" w:rsidTr="0084403F">
        <w:tc>
          <w:tcPr>
            <w:tcW w:w="3420" w:type="dxa"/>
          </w:tcPr>
          <w:p w:rsidR="0084403F" w:rsidRDefault="0084403F" w:rsidP="0084403F">
            <w:r>
              <w:t>Stanislaus</w:t>
            </w:r>
          </w:p>
        </w:tc>
        <w:tc>
          <w:tcPr>
            <w:tcW w:w="2880" w:type="dxa"/>
          </w:tcPr>
          <w:p w:rsidR="0084403F" w:rsidRDefault="0084403F" w:rsidP="00141A25">
            <w:pPr>
              <w:jc w:val="center"/>
            </w:pPr>
            <w:r>
              <w:t>1.0%</w:t>
            </w:r>
          </w:p>
        </w:tc>
      </w:tr>
      <w:tr w:rsidR="0084403F" w:rsidTr="0084403F">
        <w:tc>
          <w:tcPr>
            <w:tcW w:w="3420" w:type="dxa"/>
          </w:tcPr>
          <w:p w:rsidR="0084403F" w:rsidRDefault="0084403F" w:rsidP="0084403F">
            <w:r>
              <w:t>Yuba</w:t>
            </w:r>
          </w:p>
        </w:tc>
        <w:tc>
          <w:tcPr>
            <w:tcW w:w="2880" w:type="dxa"/>
          </w:tcPr>
          <w:p w:rsidR="0084403F" w:rsidRDefault="0084403F" w:rsidP="00141A25">
            <w:pPr>
              <w:jc w:val="center"/>
            </w:pPr>
            <w:r>
              <w:t>1.0%</w:t>
            </w:r>
          </w:p>
        </w:tc>
      </w:tr>
      <w:tr w:rsidR="0084403F" w:rsidTr="0084403F">
        <w:tc>
          <w:tcPr>
            <w:tcW w:w="3420" w:type="dxa"/>
          </w:tcPr>
          <w:p w:rsidR="0084403F" w:rsidRDefault="0084403F" w:rsidP="0084403F">
            <w:r>
              <w:t>Alameda</w:t>
            </w:r>
          </w:p>
        </w:tc>
        <w:tc>
          <w:tcPr>
            <w:tcW w:w="2880" w:type="dxa"/>
          </w:tcPr>
          <w:p w:rsidR="0084403F" w:rsidRDefault="0084403F" w:rsidP="00141A25">
            <w:pPr>
              <w:jc w:val="center"/>
            </w:pPr>
            <w:r>
              <w:t>0.8%</w:t>
            </w:r>
          </w:p>
        </w:tc>
      </w:tr>
      <w:tr w:rsidR="0084403F" w:rsidTr="0084403F">
        <w:tc>
          <w:tcPr>
            <w:tcW w:w="3420" w:type="dxa"/>
          </w:tcPr>
          <w:p w:rsidR="0084403F" w:rsidRDefault="0084403F" w:rsidP="0084403F">
            <w:r>
              <w:t>Solano</w:t>
            </w:r>
          </w:p>
        </w:tc>
        <w:tc>
          <w:tcPr>
            <w:tcW w:w="2880" w:type="dxa"/>
          </w:tcPr>
          <w:p w:rsidR="0084403F" w:rsidRDefault="0084403F" w:rsidP="00141A25">
            <w:pPr>
              <w:jc w:val="center"/>
            </w:pPr>
            <w:r>
              <w:t>0.6%</w:t>
            </w:r>
          </w:p>
        </w:tc>
      </w:tr>
      <w:tr w:rsidR="0084403F" w:rsidTr="0084403F">
        <w:tc>
          <w:tcPr>
            <w:tcW w:w="3420" w:type="dxa"/>
          </w:tcPr>
          <w:p w:rsidR="0084403F" w:rsidRDefault="00DB0F62" w:rsidP="0084403F">
            <w:r>
              <w:t>Contra Costa</w:t>
            </w:r>
          </w:p>
        </w:tc>
        <w:tc>
          <w:tcPr>
            <w:tcW w:w="2880" w:type="dxa"/>
          </w:tcPr>
          <w:p w:rsidR="0084403F" w:rsidRDefault="0084403F" w:rsidP="00141A25">
            <w:pPr>
              <w:jc w:val="center"/>
            </w:pPr>
            <w:r>
              <w:t>0.5%</w:t>
            </w:r>
          </w:p>
        </w:tc>
      </w:tr>
      <w:tr w:rsidR="0084403F" w:rsidTr="0084403F">
        <w:tc>
          <w:tcPr>
            <w:tcW w:w="3420" w:type="dxa"/>
          </w:tcPr>
          <w:p w:rsidR="0084403F" w:rsidRPr="0084403F" w:rsidRDefault="0084403F" w:rsidP="0084403F">
            <w:pPr>
              <w:rPr>
                <w:rFonts w:cstheme="minorHAnsi"/>
              </w:rPr>
            </w:pPr>
            <w:r w:rsidRPr="00E14099">
              <w:rPr>
                <w:rFonts w:eastAsia="Times New Roman" w:cstheme="minorHAnsi"/>
                <w:color w:val="000000"/>
                <w:lang w:bidi="ar-SA"/>
              </w:rPr>
              <w:t>Amador</w:t>
            </w:r>
            <w:r w:rsidRPr="0084403F">
              <w:rPr>
                <w:rFonts w:eastAsia="Times New Roman" w:cstheme="minorHAnsi"/>
                <w:color w:val="000000"/>
                <w:lang w:bidi="ar-SA"/>
              </w:rPr>
              <w:t xml:space="preserve">, </w:t>
            </w:r>
            <w:r w:rsidRPr="00E14099">
              <w:rPr>
                <w:rFonts w:eastAsia="Times New Roman" w:cstheme="minorHAnsi"/>
                <w:color w:val="000000"/>
                <w:lang w:bidi="ar-SA"/>
              </w:rPr>
              <w:t>Butte</w:t>
            </w:r>
            <w:r w:rsidRPr="0084403F">
              <w:rPr>
                <w:rFonts w:eastAsia="Times New Roman" w:cstheme="minorHAnsi"/>
                <w:color w:val="000000"/>
                <w:lang w:bidi="ar-SA"/>
              </w:rPr>
              <w:t xml:space="preserve">, </w:t>
            </w:r>
            <w:r w:rsidRPr="00E14099">
              <w:rPr>
                <w:rFonts w:eastAsia="Times New Roman" w:cstheme="minorHAnsi"/>
                <w:color w:val="000000"/>
                <w:lang w:bidi="ar-SA"/>
              </w:rPr>
              <w:t>Calaveras</w:t>
            </w:r>
            <w:r w:rsidRPr="0084403F">
              <w:rPr>
                <w:rFonts w:eastAsia="Times New Roman" w:cstheme="minorHAnsi"/>
                <w:color w:val="000000"/>
                <w:lang w:bidi="ar-SA"/>
              </w:rPr>
              <w:t xml:space="preserve">, </w:t>
            </w:r>
            <w:r w:rsidRPr="00E14099">
              <w:rPr>
                <w:rFonts w:eastAsia="Times New Roman" w:cstheme="minorHAnsi"/>
                <w:color w:val="000000"/>
                <w:lang w:bidi="ar-SA"/>
              </w:rPr>
              <w:t>Fresno</w:t>
            </w:r>
            <w:r w:rsidRPr="0084403F">
              <w:rPr>
                <w:rFonts w:eastAsia="Times New Roman" w:cstheme="minorHAnsi"/>
                <w:color w:val="000000"/>
                <w:lang w:bidi="ar-SA"/>
              </w:rPr>
              <w:t xml:space="preserve">, </w:t>
            </w:r>
            <w:r w:rsidRPr="00E14099">
              <w:rPr>
                <w:rFonts w:eastAsia="Times New Roman" w:cstheme="minorHAnsi"/>
                <w:color w:val="000000"/>
                <w:lang w:bidi="ar-SA"/>
              </w:rPr>
              <w:t>Glenn</w:t>
            </w:r>
            <w:r w:rsidRPr="0084403F">
              <w:rPr>
                <w:rFonts w:eastAsia="Times New Roman" w:cstheme="minorHAnsi"/>
                <w:color w:val="000000"/>
                <w:lang w:bidi="ar-SA"/>
              </w:rPr>
              <w:t xml:space="preserve">, </w:t>
            </w:r>
            <w:r w:rsidRPr="00E14099">
              <w:rPr>
                <w:rFonts w:eastAsia="Times New Roman" w:cstheme="minorHAnsi"/>
                <w:color w:val="000000"/>
                <w:lang w:bidi="ar-SA"/>
              </w:rPr>
              <w:t>Humboldt</w:t>
            </w:r>
            <w:r w:rsidRPr="0084403F">
              <w:rPr>
                <w:rFonts w:eastAsia="Times New Roman" w:cstheme="minorHAnsi"/>
                <w:color w:val="000000"/>
                <w:lang w:bidi="ar-SA"/>
              </w:rPr>
              <w:t xml:space="preserve">, </w:t>
            </w:r>
            <w:r w:rsidRPr="00E14099">
              <w:rPr>
                <w:rFonts w:eastAsia="Times New Roman" w:cstheme="minorHAnsi"/>
                <w:color w:val="000000"/>
                <w:lang w:bidi="ar-SA"/>
              </w:rPr>
              <w:t>Kern</w:t>
            </w:r>
            <w:r w:rsidRPr="0084403F">
              <w:rPr>
                <w:rFonts w:eastAsia="Times New Roman" w:cstheme="minorHAnsi"/>
                <w:color w:val="000000"/>
                <w:lang w:bidi="ar-SA"/>
              </w:rPr>
              <w:t xml:space="preserve">, </w:t>
            </w:r>
            <w:r w:rsidRPr="00E14099">
              <w:rPr>
                <w:rFonts w:eastAsia="Times New Roman" w:cstheme="minorHAnsi"/>
                <w:color w:val="000000"/>
                <w:lang w:bidi="ar-SA"/>
              </w:rPr>
              <w:t>Los Angeles</w:t>
            </w:r>
            <w:r w:rsidRPr="0084403F">
              <w:rPr>
                <w:rFonts w:eastAsia="Times New Roman" w:cstheme="minorHAnsi"/>
                <w:color w:val="000000"/>
                <w:lang w:bidi="ar-SA"/>
              </w:rPr>
              <w:t xml:space="preserve">, </w:t>
            </w:r>
            <w:r w:rsidRPr="00E14099">
              <w:rPr>
                <w:rFonts w:eastAsia="Times New Roman" w:cstheme="minorHAnsi"/>
                <w:color w:val="000000"/>
                <w:lang w:bidi="ar-SA"/>
              </w:rPr>
              <w:t>Madera</w:t>
            </w:r>
            <w:r w:rsidRPr="0084403F">
              <w:rPr>
                <w:rFonts w:eastAsia="Times New Roman" w:cstheme="minorHAnsi"/>
                <w:color w:val="000000"/>
                <w:lang w:bidi="ar-SA"/>
              </w:rPr>
              <w:t xml:space="preserve">, </w:t>
            </w:r>
            <w:r w:rsidRPr="00E14099">
              <w:rPr>
                <w:rFonts w:eastAsia="Times New Roman" w:cstheme="minorHAnsi"/>
                <w:color w:val="000000"/>
                <w:lang w:bidi="ar-SA"/>
              </w:rPr>
              <w:t>Marin</w:t>
            </w:r>
            <w:r w:rsidRPr="0084403F">
              <w:rPr>
                <w:rFonts w:eastAsia="Times New Roman" w:cstheme="minorHAnsi"/>
                <w:color w:val="000000"/>
                <w:lang w:bidi="ar-SA"/>
              </w:rPr>
              <w:t xml:space="preserve">, </w:t>
            </w:r>
            <w:r w:rsidRPr="00E14099">
              <w:rPr>
                <w:rFonts w:eastAsia="Times New Roman" w:cstheme="minorHAnsi"/>
                <w:color w:val="000000"/>
                <w:lang w:bidi="ar-SA"/>
              </w:rPr>
              <w:t>Mariposa</w:t>
            </w:r>
            <w:r w:rsidRPr="0084403F">
              <w:rPr>
                <w:rFonts w:eastAsia="Times New Roman" w:cstheme="minorHAnsi"/>
                <w:color w:val="000000"/>
                <w:lang w:bidi="ar-SA"/>
              </w:rPr>
              <w:t xml:space="preserve">, </w:t>
            </w:r>
            <w:r w:rsidRPr="00E14099">
              <w:rPr>
                <w:rFonts w:eastAsia="Times New Roman" w:cstheme="minorHAnsi"/>
                <w:color w:val="000000"/>
                <w:lang w:bidi="ar-SA"/>
              </w:rPr>
              <w:t>Mendocino</w:t>
            </w:r>
            <w:r w:rsidRPr="0084403F">
              <w:rPr>
                <w:rFonts w:eastAsia="Times New Roman" w:cstheme="minorHAnsi"/>
                <w:color w:val="000000"/>
                <w:lang w:bidi="ar-SA"/>
              </w:rPr>
              <w:t xml:space="preserve">, </w:t>
            </w:r>
            <w:r w:rsidRPr="00E14099">
              <w:rPr>
                <w:rFonts w:eastAsia="Times New Roman" w:cstheme="minorHAnsi"/>
                <w:color w:val="000000"/>
                <w:lang w:bidi="ar-SA"/>
              </w:rPr>
              <w:t>Merced</w:t>
            </w:r>
            <w:r w:rsidRPr="0084403F">
              <w:rPr>
                <w:rFonts w:eastAsia="Times New Roman" w:cstheme="minorHAnsi"/>
                <w:color w:val="000000"/>
                <w:lang w:bidi="ar-SA"/>
              </w:rPr>
              <w:t xml:space="preserve">, </w:t>
            </w:r>
            <w:r w:rsidRPr="00E14099">
              <w:rPr>
                <w:rFonts w:eastAsia="Times New Roman" w:cstheme="minorHAnsi"/>
                <w:color w:val="000000"/>
                <w:lang w:bidi="ar-SA"/>
              </w:rPr>
              <w:t>Napa</w:t>
            </w:r>
            <w:r w:rsidRPr="0084403F">
              <w:rPr>
                <w:rFonts w:eastAsia="Times New Roman" w:cstheme="minorHAnsi"/>
                <w:color w:val="000000"/>
                <w:lang w:bidi="ar-SA"/>
              </w:rPr>
              <w:t xml:space="preserve">, </w:t>
            </w:r>
            <w:r w:rsidRPr="00E14099">
              <w:rPr>
                <w:rFonts w:eastAsia="Times New Roman" w:cstheme="minorHAnsi"/>
                <w:color w:val="000000"/>
                <w:lang w:bidi="ar-SA"/>
              </w:rPr>
              <w:t>Nevada</w:t>
            </w:r>
            <w:r w:rsidRPr="0084403F">
              <w:rPr>
                <w:rFonts w:eastAsia="Times New Roman" w:cstheme="minorHAnsi"/>
                <w:color w:val="000000"/>
                <w:lang w:bidi="ar-SA"/>
              </w:rPr>
              <w:t xml:space="preserve">, </w:t>
            </w:r>
            <w:r w:rsidRPr="00E14099">
              <w:rPr>
                <w:rFonts w:eastAsia="Times New Roman" w:cstheme="minorHAnsi"/>
                <w:color w:val="000000"/>
                <w:lang w:bidi="ar-SA"/>
              </w:rPr>
              <w:t>Orange</w:t>
            </w:r>
            <w:r w:rsidRPr="0084403F">
              <w:rPr>
                <w:rFonts w:eastAsia="Times New Roman" w:cstheme="minorHAnsi"/>
                <w:color w:val="000000"/>
                <w:lang w:bidi="ar-SA"/>
              </w:rPr>
              <w:t xml:space="preserve">, </w:t>
            </w:r>
            <w:r w:rsidRPr="00E14099">
              <w:rPr>
                <w:rFonts w:eastAsia="Times New Roman" w:cstheme="minorHAnsi"/>
                <w:color w:val="000000"/>
                <w:lang w:bidi="ar-SA"/>
              </w:rPr>
              <w:t>Riverside</w:t>
            </w:r>
            <w:r w:rsidRPr="0084403F">
              <w:rPr>
                <w:rFonts w:eastAsia="Times New Roman" w:cstheme="minorHAnsi"/>
                <w:color w:val="000000"/>
                <w:lang w:bidi="ar-SA"/>
              </w:rPr>
              <w:t xml:space="preserve">, </w:t>
            </w:r>
            <w:r w:rsidRPr="00E14099">
              <w:rPr>
                <w:rFonts w:eastAsia="Times New Roman" w:cstheme="minorHAnsi"/>
                <w:color w:val="000000"/>
                <w:lang w:bidi="ar-SA"/>
              </w:rPr>
              <w:t>San Benito</w:t>
            </w:r>
            <w:r w:rsidRPr="0084403F">
              <w:rPr>
                <w:rFonts w:eastAsia="Times New Roman" w:cstheme="minorHAnsi"/>
                <w:color w:val="000000"/>
                <w:lang w:bidi="ar-SA"/>
              </w:rPr>
              <w:t xml:space="preserve">, </w:t>
            </w:r>
            <w:r w:rsidRPr="00E14099">
              <w:rPr>
                <w:rFonts w:eastAsia="Times New Roman" w:cstheme="minorHAnsi"/>
                <w:color w:val="000000"/>
                <w:lang w:bidi="ar-SA"/>
              </w:rPr>
              <w:t>San Bernardino</w:t>
            </w:r>
            <w:r w:rsidRPr="0084403F">
              <w:rPr>
                <w:rFonts w:eastAsia="Times New Roman" w:cstheme="minorHAnsi"/>
                <w:color w:val="000000"/>
                <w:lang w:bidi="ar-SA"/>
              </w:rPr>
              <w:t xml:space="preserve">, </w:t>
            </w:r>
            <w:r w:rsidRPr="00E14099">
              <w:rPr>
                <w:rFonts w:eastAsia="Times New Roman" w:cstheme="minorHAnsi"/>
                <w:color w:val="000000"/>
                <w:lang w:bidi="ar-SA"/>
              </w:rPr>
              <w:t>San Diego</w:t>
            </w:r>
            <w:r w:rsidRPr="0084403F">
              <w:rPr>
                <w:rFonts w:eastAsia="Times New Roman" w:cstheme="minorHAnsi"/>
                <w:color w:val="000000"/>
                <w:lang w:bidi="ar-SA"/>
              </w:rPr>
              <w:t xml:space="preserve">, </w:t>
            </w:r>
            <w:r w:rsidRPr="00E14099">
              <w:rPr>
                <w:rFonts w:eastAsia="Times New Roman" w:cstheme="minorHAnsi"/>
                <w:color w:val="000000"/>
                <w:lang w:bidi="ar-SA"/>
              </w:rPr>
              <w:t>San Francisco</w:t>
            </w:r>
            <w:r w:rsidRPr="0084403F">
              <w:rPr>
                <w:rFonts w:eastAsia="Times New Roman" w:cstheme="minorHAnsi"/>
                <w:color w:val="000000"/>
                <w:lang w:bidi="ar-SA"/>
              </w:rPr>
              <w:t xml:space="preserve">, </w:t>
            </w:r>
            <w:r w:rsidRPr="00E14099">
              <w:rPr>
                <w:rFonts w:eastAsia="Times New Roman" w:cstheme="minorHAnsi"/>
                <w:color w:val="000000"/>
                <w:lang w:bidi="ar-SA"/>
              </w:rPr>
              <w:t>San Luis Obispo</w:t>
            </w:r>
            <w:r w:rsidRPr="0084403F">
              <w:rPr>
                <w:rFonts w:eastAsia="Times New Roman" w:cstheme="minorHAnsi"/>
                <w:color w:val="000000"/>
                <w:lang w:bidi="ar-SA"/>
              </w:rPr>
              <w:t xml:space="preserve">, </w:t>
            </w:r>
            <w:r w:rsidRPr="00E14099">
              <w:rPr>
                <w:rFonts w:eastAsia="Times New Roman" w:cstheme="minorHAnsi"/>
                <w:color w:val="000000"/>
                <w:lang w:bidi="ar-SA"/>
              </w:rPr>
              <w:t>San Mateo</w:t>
            </w:r>
            <w:r w:rsidRPr="0084403F">
              <w:rPr>
                <w:rFonts w:eastAsia="Times New Roman" w:cstheme="minorHAnsi"/>
                <w:color w:val="000000"/>
                <w:lang w:bidi="ar-SA"/>
              </w:rPr>
              <w:t xml:space="preserve">, </w:t>
            </w:r>
            <w:r w:rsidRPr="00E14099">
              <w:rPr>
                <w:rFonts w:eastAsia="Times New Roman" w:cstheme="minorHAnsi"/>
                <w:color w:val="000000"/>
                <w:lang w:bidi="ar-SA"/>
              </w:rPr>
              <w:t>Santa Clara</w:t>
            </w:r>
            <w:r w:rsidRPr="0084403F">
              <w:rPr>
                <w:rFonts w:eastAsia="Times New Roman" w:cstheme="minorHAnsi"/>
                <w:color w:val="000000"/>
                <w:lang w:bidi="ar-SA"/>
              </w:rPr>
              <w:t xml:space="preserve">, </w:t>
            </w:r>
            <w:r w:rsidRPr="00E14099">
              <w:rPr>
                <w:rFonts w:eastAsia="Times New Roman" w:cstheme="minorHAnsi"/>
                <w:color w:val="000000"/>
                <w:lang w:bidi="ar-SA"/>
              </w:rPr>
              <w:t>Santa Cruz</w:t>
            </w:r>
            <w:r w:rsidRPr="0084403F">
              <w:rPr>
                <w:rFonts w:eastAsia="Times New Roman" w:cstheme="minorHAnsi"/>
                <w:color w:val="000000"/>
                <w:lang w:bidi="ar-SA"/>
              </w:rPr>
              <w:t xml:space="preserve">, </w:t>
            </w:r>
            <w:r w:rsidRPr="00E14099">
              <w:rPr>
                <w:rFonts w:eastAsia="Times New Roman" w:cstheme="minorHAnsi"/>
                <w:color w:val="000000"/>
                <w:lang w:bidi="ar-SA"/>
              </w:rPr>
              <w:t>Shasta</w:t>
            </w:r>
            <w:r w:rsidRPr="0084403F">
              <w:rPr>
                <w:rFonts w:eastAsia="Times New Roman" w:cstheme="minorHAnsi"/>
                <w:color w:val="000000"/>
                <w:lang w:bidi="ar-SA"/>
              </w:rPr>
              <w:t xml:space="preserve">, </w:t>
            </w:r>
            <w:r w:rsidRPr="00E14099">
              <w:rPr>
                <w:rFonts w:eastAsia="Times New Roman" w:cstheme="minorHAnsi"/>
                <w:color w:val="000000"/>
                <w:lang w:bidi="ar-SA"/>
              </w:rPr>
              <w:t>Sonoma</w:t>
            </w:r>
            <w:r w:rsidRPr="0084403F">
              <w:rPr>
                <w:rFonts w:eastAsia="Times New Roman" w:cstheme="minorHAnsi"/>
                <w:color w:val="000000"/>
                <w:lang w:bidi="ar-SA"/>
              </w:rPr>
              <w:t xml:space="preserve">, </w:t>
            </w:r>
            <w:r w:rsidRPr="00E14099">
              <w:rPr>
                <w:rFonts w:eastAsia="Times New Roman" w:cstheme="minorHAnsi"/>
                <w:color w:val="000000"/>
                <w:lang w:bidi="ar-SA"/>
              </w:rPr>
              <w:t>Sutter</w:t>
            </w:r>
            <w:r w:rsidRPr="0084403F">
              <w:rPr>
                <w:rFonts w:eastAsia="Times New Roman" w:cstheme="minorHAnsi"/>
                <w:color w:val="000000"/>
                <w:lang w:bidi="ar-SA"/>
              </w:rPr>
              <w:t xml:space="preserve">, </w:t>
            </w:r>
            <w:r w:rsidRPr="00E14099">
              <w:rPr>
                <w:rFonts w:eastAsia="Times New Roman" w:cstheme="minorHAnsi"/>
                <w:color w:val="000000"/>
                <w:lang w:bidi="ar-SA"/>
              </w:rPr>
              <w:t>Tehama</w:t>
            </w:r>
            <w:r w:rsidRPr="0084403F">
              <w:rPr>
                <w:rFonts w:eastAsia="Times New Roman" w:cstheme="minorHAnsi"/>
                <w:color w:val="000000"/>
                <w:lang w:bidi="ar-SA"/>
              </w:rPr>
              <w:t xml:space="preserve">, </w:t>
            </w:r>
            <w:r w:rsidRPr="00E14099">
              <w:rPr>
                <w:rFonts w:eastAsia="Times New Roman" w:cstheme="minorHAnsi"/>
                <w:color w:val="000000"/>
                <w:lang w:bidi="ar-SA"/>
              </w:rPr>
              <w:t>Tulare</w:t>
            </w:r>
            <w:r w:rsidRPr="0084403F">
              <w:rPr>
                <w:rFonts w:eastAsia="Times New Roman" w:cstheme="minorHAnsi"/>
                <w:color w:val="000000"/>
                <w:lang w:bidi="ar-SA"/>
              </w:rPr>
              <w:t xml:space="preserve">, </w:t>
            </w:r>
            <w:r w:rsidRPr="00E14099">
              <w:rPr>
                <w:rFonts w:eastAsia="Times New Roman" w:cstheme="minorHAnsi"/>
                <w:color w:val="000000"/>
                <w:lang w:bidi="ar-SA"/>
              </w:rPr>
              <w:t>Tuolumne</w:t>
            </w:r>
            <w:r w:rsidRPr="0084403F">
              <w:rPr>
                <w:rFonts w:eastAsia="Times New Roman" w:cstheme="minorHAnsi"/>
                <w:color w:val="000000"/>
                <w:lang w:bidi="ar-SA"/>
              </w:rPr>
              <w:t xml:space="preserve">, </w:t>
            </w:r>
            <w:r w:rsidRPr="00E14099">
              <w:rPr>
                <w:rFonts w:eastAsia="Times New Roman" w:cstheme="minorHAnsi"/>
                <w:color w:val="000000"/>
                <w:lang w:bidi="ar-SA"/>
              </w:rPr>
              <w:t>Ventura</w:t>
            </w:r>
          </w:p>
        </w:tc>
        <w:tc>
          <w:tcPr>
            <w:tcW w:w="2880" w:type="dxa"/>
            <w:vAlign w:val="center"/>
          </w:tcPr>
          <w:p w:rsidR="0084403F" w:rsidRDefault="0084403F" w:rsidP="0084403F">
            <w:pPr>
              <w:jc w:val="center"/>
            </w:pPr>
            <w:r>
              <w:t>&lt;0.5%</w:t>
            </w:r>
          </w:p>
        </w:tc>
      </w:tr>
    </w:tbl>
    <w:p w:rsidR="008C7B49" w:rsidRDefault="008C7B49" w:rsidP="008C7B49"/>
    <w:p w:rsidR="004D3AA6" w:rsidRDefault="00504B89" w:rsidP="000E7A42">
      <w:pPr>
        <w:pStyle w:val="ListParagraph"/>
        <w:numPr>
          <w:ilvl w:val="0"/>
          <w:numId w:val="1"/>
        </w:numPr>
        <w:ind w:left="1890" w:hanging="1530"/>
      </w:pPr>
      <w:r>
        <w:t xml:space="preserve">There is conflicting information in different parts of the RFP about the requirements for </w:t>
      </w:r>
      <w:r w:rsidR="004D3AA6">
        <w:t xml:space="preserve">Cost </w:t>
      </w:r>
      <w:r>
        <w:t>R</w:t>
      </w:r>
      <w:r w:rsidR="004D3AA6">
        <w:t>ecovery</w:t>
      </w:r>
      <w:r>
        <w:t>.   Will participation be limited to distribution of financial declaration forms, or will parents’ counsel be required to represent clients at hearings set to determine the ability to pay for the cost of court appointed counsel?</w:t>
      </w:r>
    </w:p>
    <w:p w:rsidR="00261FBF" w:rsidRDefault="003E2C45" w:rsidP="005F4FB0">
      <w:pPr>
        <w:pStyle w:val="ListParagraph"/>
        <w:numPr>
          <w:ilvl w:val="0"/>
          <w:numId w:val="3"/>
        </w:numPr>
        <w:ind w:left="1890" w:hanging="1530"/>
      </w:pPr>
      <w:r>
        <w:t>It is our intent that t</w:t>
      </w:r>
      <w:r w:rsidR="00504B89">
        <w:t>he c</w:t>
      </w:r>
      <w:r w:rsidR="00261FBF">
        <w:t>ontract for parent</w:t>
      </w:r>
      <w:r w:rsidR="00504B89">
        <w:t>s’</w:t>
      </w:r>
      <w:r w:rsidR="00261FBF">
        <w:t xml:space="preserve"> rep</w:t>
      </w:r>
      <w:r w:rsidR="00504B89">
        <w:t>resentation</w:t>
      </w:r>
      <w:r w:rsidR="00261FBF">
        <w:t xml:space="preserve"> will include representation in financial evaluation hearings if parents contest</w:t>
      </w:r>
      <w:r w:rsidR="00504B89">
        <w:t xml:space="preserve"> the</w:t>
      </w:r>
      <w:r w:rsidR="00261FBF">
        <w:t xml:space="preserve"> ability to pay.</w:t>
      </w:r>
      <w:r w:rsidR="00AA216C">
        <w:t xml:space="preserve">  Please also refer item F in Addendum #1. </w:t>
      </w:r>
    </w:p>
    <w:p w:rsidR="00261FBF" w:rsidRDefault="00261FBF" w:rsidP="00261FBF">
      <w:pPr>
        <w:ind w:left="360"/>
      </w:pPr>
    </w:p>
    <w:p w:rsidR="00261FBF" w:rsidRDefault="00261FBF" w:rsidP="000E7A42">
      <w:pPr>
        <w:pStyle w:val="ListParagraph"/>
        <w:numPr>
          <w:ilvl w:val="0"/>
          <w:numId w:val="1"/>
        </w:numPr>
        <w:ind w:left="1890" w:hanging="1530"/>
      </w:pPr>
      <w:r>
        <w:t>Isn’t there a conflict of interest for the att</w:t>
      </w:r>
      <w:r w:rsidR="003D7657">
        <w:t>orne</w:t>
      </w:r>
      <w:r>
        <w:t>y to represent parents in fee hearing</w:t>
      </w:r>
      <w:r w:rsidR="003D7657">
        <w:t>s</w:t>
      </w:r>
      <w:r>
        <w:t>?</w:t>
      </w:r>
    </w:p>
    <w:p w:rsidR="00165DAD" w:rsidRDefault="003E2C45" w:rsidP="0041483F">
      <w:pPr>
        <w:pStyle w:val="ListParagraph"/>
        <w:numPr>
          <w:ilvl w:val="0"/>
          <w:numId w:val="3"/>
        </w:numPr>
        <w:ind w:left="1890" w:hanging="1530"/>
      </w:pPr>
      <w:r>
        <w:t>Although we do not believe that any conflict exists,</w:t>
      </w:r>
      <w:r w:rsidR="00261FBF">
        <w:t xml:space="preserve"> because </w:t>
      </w:r>
      <w:r>
        <w:t xml:space="preserve">DRAFT </w:t>
      </w:r>
      <w:r w:rsidR="00261FBF">
        <w:t>attorn</w:t>
      </w:r>
      <w:r w:rsidR="003D7657">
        <w:t>eys</w:t>
      </w:r>
      <w:r>
        <w:t>’</w:t>
      </w:r>
      <w:r w:rsidR="003D7657">
        <w:t xml:space="preserve"> contract</w:t>
      </w:r>
      <w:r>
        <w:t>s</w:t>
      </w:r>
      <w:r w:rsidR="003D7657">
        <w:t xml:space="preserve"> </w:t>
      </w:r>
      <w:r>
        <w:t>are with the AOC and thus any provider’s payment is not</w:t>
      </w:r>
      <w:r w:rsidR="00261FBF">
        <w:t xml:space="preserve"> dependent on </w:t>
      </w:r>
      <w:r w:rsidR="003D7657">
        <w:t xml:space="preserve">the </w:t>
      </w:r>
      <w:r w:rsidR="00261FBF">
        <w:t>outcome of fee hearing</w:t>
      </w:r>
      <w:r>
        <w:t>s, staff will request further review of the question b</w:t>
      </w:r>
      <w:r w:rsidR="006D5EAE">
        <w:t>y the Office of General Counsel however an opinion is not expected prior to the due date of this RFP.</w:t>
      </w:r>
    </w:p>
    <w:p w:rsidR="00AA216C" w:rsidRDefault="00AA216C" w:rsidP="00AA216C"/>
    <w:p w:rsidR="00261FBF" w:rsidRDefault="003D7657" w:rsidP="000E7A42">
      <w:pPr>
        <w:pStyle w:val="ListParagraph"/>
        <w:numPr>
          <w:ilvl w:val="0"/>
          <w:numId w:val="1"/>
        </w:numPr>
        <w:ind w:left="1890" w:hanging="1530"/>
      </w:pPr>
      <w:r>
        <w:t>Does the c</w:t>
      </w:r>
      <w:r w:rsidR="00261FBF">
        <w:t xml:space="preserve">ost recovery statute provide for </w:t>
      </w:r>
      <w:r>
        <w:t xml:space="preserve">recovery of </w:t>
      </w:r>
      <w:r w:rsidR="00261FBF">
        <w:t>the cost of representation for the children?</w:t>
      </w:r>
    </w:p>
    <w:p w:rsidR="00165DAD" w:rsidRDefault="003D7657">
      <w:pPr>
        <w:pStyle w:val="ListParagraph"/>
        <w:numPr>
          <w:ilvl w:val="0"/>
          <w:numId w:val="3"/>
        </w:numPr>
        <w:ind w:left="1890" w:hanging="1530"/>
      </w:pPr>
      <w:r>
        <w:t>Yes, the s</w:t>
      </w:r>
      <w:r w:rsidR="00261FBF">
        <w:t xml:space="preserve">tatute allows for </w:t>
      </w:r>
      <w:r>
        <w:t xml:space="preserve">recovery of these costs.  </w:t>
      </w:r>
    </w:p>
    <w:p w:rsidR="0041483F" w:rsidRDefault="0041483F" w:rsidP="0041483F">
      <w:pPr>
        <w:ind w:left="360"/>
      </w:pPr>
    </w:p>
    <w:p w:rsidR="00261FBF" w:rsidRDefault="003D7657" w:rsidP="000E7A42">
      <w:pPr>
        <w:pStyle w:val="ListParagraph"/>
        <w:numPr>
          <w:ilvl w:val="0"/>
          <w:numId w:val="1"/>
        </w:numPr>
        <w:ind w:left="1890" w:hanging="1530"/>
      </w:pPr>
      <w:r>
        <w:t>Will parents’ attorneys have to represent their clients at a fee hearing with regard to the cost of representation of their children, or only for the cost of their own representation?</w:t>
      </w:r>
    </w:p>
    <w:p w:rsidR="00261FBF" w:rsidRDefault="003D7657" w:rsidP="005F4FB0">
      <w:pPr>
        <w:pStyle w:val="ListParagraph"/>
        <w:numPr>
          <w:ilvl w:val="0"/>
          <w:numId w:val="3"/>
        </w:numPr>
        <w:ind w:left="1890" w:hanging="1530"/>
      </w:pPr>
      <w:r>
        <w:t xml:space="preserve">We do not anticipate separate hearings; if a parent is determined able to pay, they would be assessed the costs for all representation up to that point.  If they dispute the ability to pay, the hearing </w:t>
      </w:r>
      <w:r w:rsidR="00A57A38">
        <w:t>will</w:t>
      </w:r>
      <w:r>
        <w:t xml:space="preserve"> address their overall ability to pay, and </w:t>
      </w:r>
      <w:r w:rsidR="00A57A38">
        <w:t>will not</w:t>
      </w:r>
      <w:r>
        <w:t xml:space="preserve"> consider the costs separately.</w:t>
      </w:r>
    </w:p>
    <w:p w:rsidR="00261FBF" w:rsidRDefault="00261FBF" w:rsidP="00261FBF"/>
    <w:p w:rsidR="00261FBF" w:rsidRDefault="00261FBF" w:rsidP="000E7A42">
      <w:pPr>
        <w:pStyle w:val="ListParagraph"/>
        <w:numPr>
          <w:ilvl w:val="0"/>
          <w:numId w:val="1"/>
        </w:numPr>
        <w:ind w:left="1890" w:hanging="1530"/>
      </w:pPr>
      <w:r>
        <w:t xml:space="preserve">Based on a county of this size, </w:t>
      </w:r>
      <w:r w:rsidR="00F553BB">
        <w:t xml:space="preserve">can you provide an estimate of the number of </w:t>
      </w:r>
      <w:r>
        <w:t>fee review hearings</w:t>
      </w:r>
      <w:r w:rsidR="00F553BB">
        <w:t xml:space="preserve"> that are likely to</w:t>
      </w:r>
      <w:r>
        <w:t xml:space="preserve"> take place?</w:t>
      </w:r>
    </w:p>
    <w:p w:rsidR="00261FBF" w:rsidRDefault="00C152C8" w:rsidP="005F4FB0">
      <w:pPr>
        <w:pStyle w:val="ListParagraph"/>
        <w:numPr>
          <w:ilvl w:val="0"/>
          <w:numId w:val="3"/>
        </w:numPr>
        <w:ind w:left="1890" w:hanging="1530"/>
      </w:pPr>
      <w:r>
        <w:t>The Los Angeles court, which reported 11,212</w:t>
      </w:r>
      <w:r w:rsidR="00FF6BC1">
        <w:t xml:space="preserve"> dependency</w:t>
      </w:r>
      <w:r>
        <w:t xml:space="preserve"> filings in 2010, informed AOC staff that, in 2010, one party requested a hearing to contest fees after meeting with the Financial Evaluator.  San Diego County’s Office of Revenue and Recovery informed AOC staff that two to three clients per month request hearings; there were 1</w:t>
      </w:r>
      <w:r w:rsidR="003E2C45">
        <w:t>,</w:t>
      </w:r>
      <w:r>
        <w:t>733 dependency petitions filed in San Diego in fiscal year 2009-10.</w:t>
      </w:r>
      <w:r w:rsidR="0041483F">
        <w:t xml:space="preserve">  As noted in Table 2 in Attac</w:t>
      </w:r>
      <w:r w:rsidR="00FF6BC1">
        <w:t>h</w:t>
      </w:r>
      <w:r w:rsidR="0041483F">
        <w:t>ment C of the RFP, 979 dependency petitions were filed in Sacramento in 2009-10.</w:t>
      </w:r>
    </w:p>
    <w:p w:rsidR="00261FBF" w:rsidRDefault="00261FBF" w:rsidP="00261FBF"/>
    <w:p w:rsidR="00261FBF" w:rsidRDefault="00261FBF" w:rsidP="000E7A42">
      <w:pPr>
        <w:pStyle w:val="ListParagraph"/>
        <w:numPr>
          <w:ilvl w:val="0"/>
          <w:numId w:val="1"/>
        </w:numPr>
        <w:ind w:left="1890" w:hanging="1530"/>
      </w:pPr>
      <w:r>
        <w:t>Has</w:t>
      </w:r>
      <w:r w:rsidR="003E2C45">
        <w:t xml:space="preserve"> the</w:t>
      </w:r>
      <w:r>
        <w:t xml:space="preserve"> court determined how these hearings will be calendared?</w:t>
      </w:r>
    </w:p>
    <w:p w:rsidR="00261FBF" w:rsidRDefault="00261FBF" w:rsidP="005F4FB0">
      <w:pPr>
        <w:pStyle w:val="ListParagraph"/>
        <w:numPr>
          <w:ilvl w:val="0"/>
          <w:numId w:val="3"/>
        </w:numPr>
        <w:ind w:left="1890" w:hanging="1530"/>
      </w:pPr>
      <w:r>
        <w:t>Not yet.</w:t>
      </w:r>
    </w:p>
    <w:p w:rsidR="00261FBF" w:rsidRDefault="00261FBF" w:rsidP="00261FBF"/>
    <w:p w:rsidR="003D7657" w:rsidRDefault="003D7657" w:rsidP="003D7657">
      <w:pPr>
        <w:pStyle w:val="ListParagraph"/>
        <w:numPr>
          <w:ilvl w:val="0"/>
          <w:numId w:val="1"/>
        </w:numPr>
        <w:ind w:left="1890" w:hanging="1530"/>
      </w:pPr>
      <w:r>
        <w:t xml:space="preserve">The contract terms forbid subcontracting without the approval of the </w:t>
      </w:r>
      <w:r w:rsidR="00025D08">
        <w:t>AOC</w:t>
      </w:r>
      <w:r>
        <w:t>. Does the RFP preclude use of subcontractors for conflicts representation?</w:t>
      </w:r>
    </w:p>
    <w:p w:rsidR="003D7657" w:rsidRDefault="003D7657" w:rsidP="003D7657">
      <w:pPr>
        <w:pStyle w:val="ListParagraph"/>
        <w:numPr>
          <w:ilvl w:val="0"/>
          <w:numId w:val="3"/>
        </w:numPr>
        <w:ind w:left="1890" w:hanging="1530"/>
      </w:pPr>
      <w:r>
        <w:t xml:space="preserve">The contract does not preclude the use of subcontractors; rather, it requires that subcontractors be approved by the AOC and the court. </w:t>
      </w:r>
    </w:p>
    <w:p w:rsidR="003D7657" w:rsidRDefault="003D7657" w:rsidP="00261FBF"/>
    <w:p w:rsidR="00261FBF" w:rsidRDefault="00C45169" w:rsidP="000E7A42">
      <w:pPr>
        <w:pStyle w:val="ListParagraph"/>
        <w:numPr>
          <w:ilvl w:val="0"/>
          <w:numId w:val="1"/>
        </w:numPr>
        <w:ind w:left="1890" w:hanging="1530"/>
      </w:pPr>
      <w:r>
        <w:t>The RFP indicates that L</w:t>
      </w:r>
      <w:r w:rsidR="00261FBF">
        <w:t xml:space="preserve">ot 2 </w:t>
      </w:r>
      <w:r>
        <w:t>includes the</w:t>
      </w:r>
      <w:r w:rsidR="00261FBF">
        <w:t xml:space="preserve"> representation of </w:t>
      </w:r>
      <w:r w:rsidR="00A926C6">
        <w:t xml:space="preserve">legal </w:t>
      </w:r>
      <w:r>
        <w:t>guardians and de facto parents, who are not currently</w:t>
      </w:r>
      <w:r w:rsidR="00261FBF">
        <w:t xml:space="preserve"> represented</w:t>
      </w:r>
      <w:r>
        <w:t xml:space="preserve"> by court appointed counsel</w:t>
      </w:r>
      <w:r w:rsidR="00261FBF">
        <w:t>.</w:t>
      </w:r>
      <w:r>
        <w:t xml:space="preserve">  Is this accurate?</w:t>
      </w:r>
    </w:p>
    <w:p w:rsidR="00A926C6" w:rsidRDefault="00C45169" w:rsidP="00261FBF">
      <w:pPr>
        <w:pStyle w:val="ListParagraph"/>
        <w:numPr>
          <w:ilvl w:val="0"/>
          <w:numId w:val="3"/>
        </w:numPr>
        <w:ind w:left="1890" w:hanging="1530"/>
      </w:pPr>
      <w:r>
        <w:t xml:space="preserve">Yes, </w:t>
      </w:r>
      <w:r w:rsidR="00870F84">
        <w:t xml:space="preserve">de facto parents are not </w:t>
      </w:r>
      <w:r w:rsidR="00870F84" w:rsidRPr="00870F84">
        <w:rPr>
          <w:iCs/>
        </w:rPr>
        <w:t>entitled</w:t>
      </w:r>
      <w:r w:rsidR="00870F84">
        <w:t xml:space="preserve"> to appointed counsel; the court, in its discretion, </w:t>
      </w:r>
      <w:r w:rsidR="00870F84" w:rsidRPr="00870F84">
        <w:t>may</w:t>
      </w:r>
      <w:r w:rsidR="00870F84">
        <w:t xml:space="preserve"> </w:t>
      </w:r>
      <w:r w:rsidR="00870F84" w:rsidRPr="00870F84">
        <w:t>appoint</w:t>
      </w:r>
      <w:r w:rsidR="00870F84">
        <w:t xml:space="preserve"> counsel to represent de facto parents. When it does so, the cost of such counsel is an allowable court appointed counsel expense under the Trial Court Funding Act (see California Rule of Court </w:t>
      </w:r>
      <w:proofErr w:type="gramStart"/>
      <w:r w:rsidR="00870F84">
        <w:t>10.810 ,</w:t>
      </w:r>
      <w:proofErr w:type="gramEnd"/>
      <w:r w:rsidR="00870F84">
        <w:t xml:space="preserve"> function 7). </w:t>
      </w:r>
      <w:r w:rsidR="0008780A">
        <w:t xml:space="preserve"> </w:t>
      </w:r>
      <w:r w:rsidR="00870F84">
        <w:t>De facto parent representation is included in all DRAFT contracts that include representation of parents.</w:t>
      </w:r>
    </w:p>
    <w:p w:rsidR="00A926C6" w:rsidRDefault="00A926C6" w:rsidP="000E7A42">
      <w:pPr>
        <w:pStyle w:val="ListParagraph"/>
        <w:numPr>
          <w:ilvl w:val="0"/>
          <w:numId w:val="1"/>
        </w:numPr>
        <w:ind w:left="1890" w:hanging="1530"/>
      </w:pPr>
      <w:r>
        <w:t xml:space="preserve">Will </w:t>
      </w:r>
      <w:r w:rsidR="00987903">
        <w:t xml:space="preserve">the </w:t>
      </w:r>
      <w:r>
        <w:t>court begin app</w:t>
      </w:r>
      <w:r w:rsidR="00987903">
        <w:t>oin</w:t>
      </w:r>
      <w:r>
        <w:t>ting</w:t>
      </w:r>
      <w:r w:rsidR="00987903">
        <w:t xml:space="preserve"> counsel</w:t>
      </w:r>
      <w:r>
        <w:t xml:space="preserve"> for de facto parents?</w:t>
      </w:r>
    </w:p>
    <w:p w:rsidR="00A926C6" w:rsidRDefault="00D574C1" w:rsidP="005F4FB0">
      <w:pPr>
        <w:pStyle w:val="ListParagraph"/>
        <w:numPr>
          <w:ilvl w:val="0"/>
          <w:numId w:val="3"/>
        </w:numPr>
        <w:ind w:left="1890" w:hanging="1530"/>
      </w:pPr>
      <w:r>
        <w:t>This has n</w:t>
      </w:r>
      <w:r w:rsidR="00A926C6">
        <w:t>ot yet</w:t>
      </w:r>
      <w:r>
        <w:t xml:space="preserve"> been</w:t>
      </w:r>
      <w:r w:rsidR="00A926C6">
        <w:t xml:space="preserve"> determined.</w:t>
      </w:r>
    </w:p>
    <w:p w:rsidR="00A926C6" w:rsidRDefault="00A926C6" w:rsidP="00A926C6"/>
    <w:p w:rsidR="00323DAD" w:rsidRDefault="008E7332" w:rsidP="000E7A42">
      <w:pPr>
        <w:pStyle w:val="ListParagraph"/>
        <w:numPr>
          <w:ilvl w:val="0"/>
          <w:numId w:val="1"/>
        </w:numPr>
        <w:ind w:left="1890" w:hanging="1530"/>
      </w:pPr>
      <w:r>
        <w:t>Will r</w:t>
      </w:r>
      <w:r w:rsidR="00A57A38">
        <w:t>epresentation at</w:t>
      </w:r>
      <w:r w:rsidR="00BD39B5">
        <w:t xml:space="preserve"> 241.1 hearings be </w:t>
      </w:r>
      <w:r>
        <w:t xml:space="preserve">included </w:t>
      </w:r>
      <w:r w:rsidR="00BD39B5">
        <w:t>in new contracts?</w:t>
      </w:r>
    </w:p>
    <w:p w:rsidR="00BD39B5" w:rsidRDefault="008E7332" w:rsidP="005F4FB0">
      <w:pPr>
        <w:pStyle w:val="ListParagraph"/>
        <w:numPr>
          <w:ilvl w:val="0"/>
          <w:numId w:val="3"/>
        </w:numPr>
        <w:ind w:left="1890" w:hanging="1530"/>
      </w:pPr>
      <w:r>
        <w:t>Current contracts require attorneys to prepare for and participate in 241.1 hearings</w:t>
      </w:r>
      <w:r w:rsidR="00BD39B5">
        <w:t>.</w:t>
      </w:r>
      <w:r>
        <w:t xml:space="preserve">  This requirement will be in the contracts executed pursuant to this RFP.</w:t>
      </w:r>
    </w:p>
    <w:p w:rsidR="00BD39B5" w:rsidRDefault="00BD39B5" w:rsidP="00BD39B5"/>
    <w:p w:rsidR="00BD39B5" w:rsidRDefault="007D64A4" w:rsidP="000E7A42">
      <w:pPr>
        <w:pStyle w:val="ListParagraph"/>
        <w:numPr>
          <w:ilvl w:val="0"/>
          <w:numId w:val="1"/>
        </w:numPr>
        <w:ind w:left="1890" w:hanging="1530"/>
      </w:pPr>
      <w:r>
        <w:t>The contract terms included in the RFP have a provision regarding</w:t>
      </w:r>
      <w:r w:rsidR="00BD39B5">
        <w:t xml:space="preserve"> </w:t>
      </w:r>
      <w:r w:rsidR="00AE646A">
        <w:t>proprietary or confidential information of the State</w:t>
      </w:r>
      <w:r>
        <w:t>.</w:t>
      </w:r>
      <w:r w:rsidR="00BD39B5">
        <w:t xml:space="preserve">  </w:t>
      </w:r>
      <w:r>
        <w:t>Is this a n</w:t>
      </w:r>
      <w:r w:rsidR="00BD39B5">
        <w:t>ew provision?</w:t>
      </w:r>
      <w:r>
        <w:t xml:space="preserve">  If so, what types</w:t>
      </w:r>
      <w:r w:rsidR="00AE646A">
        <w:t xml:space="preserve"> of information are contemplated by this provision?</w:t>
      </w:r>
    </w:p>
    <w:p w:rsidR="00AE646A" w:rsidRDefault="00AE646A" w:rsidP="00BD39B5">
      <w:pPr>
        <w:pStyle w:val="ListParagraph"/>
        <w:numPr>
          <w:ilvl w:val="0"/>
          <w:numId w:val="3"/>
        </w:numPr>
        <w:ind w:left="1890" w:hanging="1530"/>
      </w:pPr>
      <w:r>
        <w:t>This is part of the AOC’s s</w:t>
      </w:r>
      <w:r w:rsidR="00BD39B5">
        <w:t>tandard</w:t>
      </w:r>
      <w:r w:rsidR="00A57A38">
        <w:t>, boilerplate</w:t>
      </w:r>
      <w:r w:rsidR="00BD39B5">
        <w:t xml:space="preserve"> contract </w:t>
      </w:r>
      <w:r>
        <w:t>language</w:t>
      </w:r>
      <w:r w:rsidR="00A57A38">
        <w:t xml:space="preserve">; it </w:t>
      </w:r>
      <w:r>
        <w:t xml:space="preserve">appears in current </w:t>
      </w:r>
      <w:r w:rsidR="00A57A38">
        <w:t xml:space="preserve">DRAFT dependency </w:t>
      </w:r>
      <w:r>
        <w:t>contracts.</w:t>
      </w:r>
      <w:r w:rsidR="00A57A38">
        <w:t xml:space="preserve"> </w:t>
      </w:r>
      <w:r w:rsidR="006D5EAE">
        <w:t xml:space="preserve"> We do not contemplate any specific type of </w:t>
      </w:r>
      <w:r w:rsidR="009B4E62">
        <w:t xml:space="preserve">proprietary </w:t>
      </w:r>
      <w:r w:rsidR="006D5EAE">
        <w:t xml:space="preserve">information </w:t>
      </w:r>
      <w:r w:rsidR="009B4E62">
        <w:t xml:space="preserve">to be covered by the language, however please see the definition of “Confidential Information” in Exhibit A, Contract Terms and Conditions; Exhibit A, Terms and Conditions; Section 1, Definitions, which describes the types of confidential information that would be covered under the language.  </w:t>
      </w:r>
    </w:p>
    <w:p w:rsidR="00BD39B5" w:rsidRDefault="00AE646A" w:rsidP="00AE646A">
      <w:r>
        <w:t xml:space="preserve"> </w:t>
      </w:r>
    </w:p>
    <w:p w:rsidR="00BD39B5" w:rsidRDefault="00AE646A" w:rsidP="000E7A42">
      <w:pPr>
        <w:pStyle w:val="ListParagraph"/>
        <w:numPr>
          <w:ilvl w:val="0"/>
          <w:numId w:val="1"/>
        </w:numPr>
        <w:ind w:left="1890" w:hanging="1530"/>
      </w:pPr>
      <w:r>
        <w:t>Does the court currently calendar t</w:t>
      </w:r>
      <w:r w:rsidR="008F4ACF">
        <w:t xml:space="preserve">rials in </w:t>
      </w:r>
      <w:r>
        <w:t>the afternoon and other matters in the morning?</w:t>
      </w:r>
    </w:p>
    <w:p w:rsidR="002D6BD2" w:rsidRDefault="00AE646A" w:rsidP="005F4FB0">
      <w:pPr>
        <w:pStyle w:val="ListParagraph"/>
        <w:numPr>
          <w:ilvl w:val="0"/>
          <w:numId w:val="3"/>
        </w:numPr>
        <w:ind w:left="1890" w:hanging="1530"/>
      </w:pPr>
      <w:r>
        <w:t>Yes.  The court’s c</w:t>
      </w:r>
      <w:r w:rsidR="00006128">
        <w:t>urrent calendar configuration</w:t>
      </w:r>
      <w:r>
        <w:t xml:space="preserve"> </w:t>
      </w:r>
      <w:r w:rsidR="002D6BD2">
        <w:t>is shown on the following page</w:t>
      </w:r>
      <w:r>
        <w:t>.</w:t>
      </w:r>
    </w:p>
    <w:p w:rsidR="002D6BD2" w:rsidRDefault="002D6BD2" w:rsidP="002D6BD2">
      <w:pPr>
        <w:ind w:left="-1260"/>
        <w:jc w:val="right"/>
      </w:pPr>
      <w:r>
        <w:rPr>
          <w:noProof/>
          <w:lang w:bidi="ar-SA"/>
        </w:rPr>
        <w:drawing>
          <wp:inline distT="0" distB="0" distL="0" distR="0">
            <wp:extent cx="7191514" cy="5530091"/>
            <wp:effectExtent l="0" t="857250" r="0" b="851659"/>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rot="16200000">
                      <a:off x="0" y="0"/>
                      <a:ext cx="7193297" cy="5531462"/>
                    </a:xfrm>
                    <a:prstGeom prst="rect">
                      <a:avLst/>
                    </a:prstGeom>
                    <a:noFill/>
                    <a:ln w="3175">
                      <a:solidFill>
                        <a:schemeClr val="tx1"/>
                      </a:solidFill>
                      <a:miter lim="800000"/>
                      <a:headEnd/>
                      <a:tailEnd/>
                    </a:ln>
                  </pic:spPr>
                </pic:pic>
              </a:graphicData>
            </a:graphic>
          </wp:inline>
        </w:drawing>
      </w:r>
    </w:p>
    <w:p w:rsidR="002D6BD2" w:rsidRDefault="002D6BD2"/>
    <w:p w:rsidR="002D6BD2" w:rsidRDefault="002D6BD2"/>
    <w:p w:rsidR="002D6BD2" w:rsidRDefault="002D6BD2"/>
    <w:p w:rsidR="009C4F00" w:rsidRDefault="009C4F00" w:rsidP="008F4ACF">
      <w:pPr>
        <w:ind w:left="360"/>
      </w:pPr>
    </w:p>
    <w:p w:rsidR="009C4F00" w:rsidRDefault="00AE646A" w:rsidP="000E7A42">
      <w:pPr>
        <w:pStyle w:val="ListParagraph"/>
        <w:numPr>
          <w:ilvl w:val="0"/>
          <w:numId w:val="1"/>
        </w:numPr>
        <w:ind w:left="1890" w:hanging="1530"/>
      </w:pPr>
      <w:r>
        <w:t>What is the c</w:t>
      </w:r>
      <w:r w:rsidR="009C4F00">
        <w:t>urrent practice w</w:t>
      </w:r>
      <w:r>
        <w:t xml:space="preserve">ith </w:t>
      </w:r>
      <w:r w:rsidR="009C4F00">
        <w:t>r</w:t>
      </w:r>
      <w:r>
        <w:t>egard to</w:t>
      </w:r>
      <w:r w:rsidR="009C4F00">
        <w:t xml:space="preserve"> youth participation in </w:t>
      </w:r>
      <w:r w:rsidR="00665B76">
        <w:t xml:space="preserve">dependency </w:t>
      </w:r>
      <w:r w:rsidR="009C4F00">
        <w:t>proceedings?</w:t>
      </w:r>
    </w:p>
    <w:p w:rsidR="009C4F00" w:rsidRDefault="009C4F00" w:rsidP="00AE646A">
      <w:pPr>
        <w:pStyle w:val="ListParagraph"/>
        <w:numPr>
          <w:ilvl w:val="0"/>
          <w:numId w:val="3"/>
        </w:numPr>
        <w:ind w:left="1890" w:hanging="1530"/>
      </w:pPr>
      <w:r>
        <w:t>Youth are typically</w:t>
      </w:r>
      <w:r w:rsidR="00AE646A">
        <w:t xml:space="preserve"> present</w:t>
      </w:r>
      <w:r>
        <w:t xml:space="preserve"> in court.  </w:t>
      </w:r>
      <w:r w:rsidR="00AE646A">
        <w:t xml:space="preserve">Their participation in hearings is determined by the individual judicial officers, with deference to the youth with regard to their desires for participation. </w:t>
      </w:r>
    </w:p>
    <w:p w:rsidR="00AE646A" w:rsidRDefault="00AE646A" w:rsidP="00AE646A"/>
    <w:p w:rsidR="009C4F00" w:rsidRDefault="0041483F" w:rsidP="000E7A42">
      <w:pPr>
        <w:pStyle w:val="ListParagraph"/>
        <w:numPr>
          <w:ilvl w:val="0"/>
          <w:numId w:val="1"/>
        </w:numPr>
        <w:ind w:left="1890" w:hanging="1530"/>
      </w:pPr>
      <w:r>
        <w:t xml:space="preserve">Attorney caseloads are not specified among the evaluation criteria.  </w:t>
      </w:r>
      <w:r w:rsidR="009C4F00">
        <w:t xml:space="preserve">Does either </w:t>
      </w:r>
      <w:r w:rsidR="008C6D5F">
        <w:t>the court</w:t>
      </w:r>
      <w:r w:rsidR="009C4F00">
        <w:t xml:space="preserve"> or</w:t>
      </w:r>
      <w:r w:rsidR="008C6D5F">
        <w:t xml:space="preserve"> the</w:t>
      </w:r>
      <w:r w:rsidR="009C4F00">
        <w:t xml:space="preserve"> state intend to use</w:t>
      </w:r>
      <w:r w:rsidR="008C6D5F">
        <w:t xml:space="preserve"> attorney</w:t>
      </w:r>
      <w:r w:rsidR="009C4F00">
        <w:t xml:space="preserve"> caseload</w:t>
      </w:r>
      <w:r w:rsidR="008C6D5F">
        <w:t>s</w:t>
      </w:r>
      <w:r w:rsidR="009C4F00">
        <w:t xml:space="preserve"> </w:t>
      </w:r>
      <w:r w:rsidR="008C6D5F">
        <w:t>in evaluating proposals</w:t>
      </w:r>
      <w:r w:rsidR="009C4F00">
        <w:t>?</w:t>
      </w:r>
    </w:p>
    <w:p w:rsidR="00E4361D" w:rsidRDefault="008C6D5F" w:rsidP="009C4F00">
      <w:pPr>
        <w:pStyle w:val="ListParagraph"/>
        <w:numPr>
          <w:ilvl w:val="0"/>
          <w:numId w:val="3"/>
        </w:numPr>
        <w:ind w:left="1890" w:hanging="1530"/>
      </w:pPr>
      <w:r>
        <w:t>The evaluation team will strictly adhere to the c</w:t>
      </w:r>
      <w:r w:rsidR="009C4F00">
        <w:t xml:space="preserve">riteria for </w:t>
      </w:r>
      <w:r>
        <w:t xml:space="preserve">proposal </w:t>
      </w:r>
      <w:r w:rsidR="009C4F00">
        <w:t>evaluation</w:t>
      </w:r>
      <w:r>
        <w:t>, which</w:t>
      </w:r>
      <w:r w:rsidR="009C4F00">
        <w:t xml:space="preserve"> are delineated in </w:t>
      </w:r>
      <w:r>
        <w:t>Section 7.0 of the RFP.</w:t>
      </w:r>
      <w:r w:rsidR="0041483F" w:rsidRPr="0041483F">
        <w:t xml:space="preserve"> </w:t>
      </w:r>
      <w:r w:rsidR="0041483F">
        <w:t xml:space="preserve"> The Judicial Council has adopted a caseload standard; while it is the AOC’s long term goal to implement this </w:t>
      </w:r>
      <w:proofErr w:type="gramStart"/>
      <w:r w:rsidR="0041483F">
        <w:t>standard,</w:t>
      </w:r>
      <w:proofErr w:type="gramEnd"/>
      <w:r w:rsidR="0041483F">
        <w:t xml:space="preserve"> funding limitations have precluded its implementation to date.  It would be unfair to hold bidders to a caseload level that cannot be supported fiscally</w:t>
      </w:r>
    </w:p>
    <w:p w:rsidR="008C6D5F" w:rsidRDefault="008C6D5F" w:rsidP="008C6D5F"/>
    <w:p w:rsidR="006D2319" w:rsidRDefault="006D2319" w:rsidP="000E7A42">
      <w:pPr>
        <w:pStyle w:val="ListParagraph"/>
        <w:numPr>
          <w:ilvl w:val="0"/>
          <w:numId w:val="1"/>
        </w:numPr>
        <w:ind w:left="1890" w:hanging="1530"/>
      </w:pPr>
      <w:r>
        <w:t>Who currently represents minor parent clients?</w:t>
      </w:r>
    </w:p>
    <w:p w:rsidR="006D2319" w:rsidRDefault="006D2319" w:rsidP="00A404DC">
      <w:pPr>
        <w:pStyle w:val="ListParagraph"/>
        <w:numPr>
          <w:ilvl w:val="0"/>
          <w:numId w:val="3"/>
        </w:numPr>
        <w:ind w:left="1890" w:hanging="1530"/>
      </w:pPr>
      <w:r>
        <w:t>If client is a dependent minor represented by S</w:t>
      </w:r>
      <w:r w:rsidR="008C6D5F">
        <w:t xml:space="preserve">acramento </w:t>
      </w:r>
      <w:r>
        <w:t>C</w:t>
      </w:r>
      <w:r w:rsidR="008C6D5F">
        <w:t xml:space="preserve">hild </w:t>
      </w:r>
      <w:r>
        <w:t>A</w:t>
      </w:r>
      <w:r w:rsidR="008C6D5F">
        <w:t>dvocates (SCA)</w:t>
      </w:r>
      <w:r>
        <w:t>, that representation continues.</w:t>
      </w:r>
    </w:p>
    <w:p w:rsidR="006D2319" w:rsidRDefault="006D2319" w:rsidP="006D2319"/>
    <w:p w:rsidR="006D2319" w:rsidRDefault="006D2319" w:rsidP="000E7A42">
      <w:pPr>
        <w:pStyle w:val="ListParagraph"/>
        <w:numPr>
          <w:ilvl w:val="0"/>
          <w:numId w:val="1"/>
        </w:numPr>
        <w:ind w:left="1890" w:hanging="1530"/>
      </w:pPr>
      <w:r>
        <w:t xml:space="preserve">How </w:t>
      </w:r>
      <w:r w:rsidR="00665B76">
        <w:t>are</w:t>
      </w:r>
      <w:r>
        <w:t xml:space="preserve"> </w:t>
      </w:r>
      <w:r w:rsidR="008C6D5F">
        <w:t xml:space="preserve">conflicts among </w:t>
      </w:r>
      <w:r>
        <w:t xml:space="preserve">sibling groups or </w:t>
      </w:r>
      <w:r w:rsidR="008C6D5F">
        <w:t>between</w:t>
      </w:r>
      <w:r>
        <w:t xml:space="preserve"> minor parents and their children</w:t>
      </w:r>
      <w:r w:rsidR="008C6D5F">
        <w:t xml:space="preserve"> currently handled</w:t>
      </w:r>
      <w:r>
        <w:t>?</w:t>
      </w:r>
    </w:p>
    <w:p w:rsidR="008C6D5F" w:rsidRDefault="006D2319" w:rsidP="00BA1603">
      <w:pPr>
        <w:pStyle w:val="ListParagraph"/>
        <w:numPr>
          <w:ilvl w:val="0"/>
          <w:numId w:val="3"/>
        </w:numPr>
        <w:ind w:left="1890" w:hanging="1530"/>
      </w:pPr>
      <w:r>
        <w:t xml:space="preserve">SCA provides representation </w:t>
      </w:r>
      <w:r w:rsidR="008C6D5F">
        <w:t xml:space="preserve">through subcontracts with </w:t>
      </w:r>
      <w:r>
        <w:t>conflicts counsel</w:t>
      </w:r>
      <w:r w:rsidR="006711A1">
        <w:t>.</w:t>
      </w:r>
    </w:p>
    <w:p w:rsidR="006D2319" w:rsidRDefault="006D2319" w:rsidP="008C6D5F"/>
    <w:p w:rsidR="008C6D5F" w:rsidRDefault="008C6D5F" w:rsidP="008C6D5F">
      <w:pPr>
        <w:pStyle w:val="ListParagraph"/>
        <w:numPr>
          <w:ilvl w:val="0"/>
          <w:numId w:val="1"/>
        </w:numPr>
        <w:ind w:left="1890" w:hanging="1530"/>
      </w:pPr>
      <w:r>
        <w:t>The RFP provides information about primary and secondary child clients.</w:t>
      </w:r>
      <w:r w:rsidRPr="008C6D5F">
        <w:t xml:space="preserve"> </w:t>
      </w:r>
      <w:r>
        <w:t>Is information about tertiary level representation available?</w:t>
      </w:r>
    </w:p>
    <w:p w:rsidR="00261FBF" w:rsidRDefault="008C6D5F" w:rsidP="00665B76">
      <w:pPr>
        <w:pStyle w:val="ListParagraph"/>
        <w:numPr>
          <w:ilvl w:val="0"/>
          <w:numId w:val="3"/>
        </w:numPr>
        <w:ind w:left="1890" w:hanging="1530"/>
      </w:pPr>
      <w:r>
        <w:t>No, t</w:t>
      </w:r>
      <w:r w:rsidR="000778CE">
        <w:t>his level of information i</w:t>
      </w:r>
      <w:r w:rsidR="006D2319">
        <w:t>s not available.</w:t>
      </w:r>
    </w:p>
    <w:p w:rsidR="009D1B74" w:rsidRDefault="009D1B74" w:rsidP="009D1B74"/>
    <w:p w:rsidR="009D1B74" w:rsidRDefault="009D1B74" w:rsidP="009D1B74"/>
    <w:p w:rsidR="009D1B74" w:rsidRPr="009D1B74" w:rsidRDefault="009D1B74" w:rsidP="009D1B74">
      <w:pPr>
        <w:jc w:val="center"/>
        <w:rPr>
          <w:i/>
        </w:rPr>
      </w:pPr>
      <w:r w:rsidRPr="009D1B74">
        <w:rPr>
          <w:i/>
        </w:rPr>
        <w:t>[END OF QUESTIONS AND ANSWERS]</w:t>
      </w:r>
    </w:p>
    <w:sectPr w:rsidR="009D1B74" w:rsidRPr="009D1B74" w:rsidSect="00E9157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EAE" w:rsidRDefault="006D5EAE" w:rsidP="00247DB7">
      <w:pPr>
        <w:spacing w:line="240" w:lineRule="auto"/>
      </w:pPr>
      <w:r>
        <w:separator/>
      </w:r>
    </w:p>
  </w:endnote>
  <w:endnote w:type="continuationSeparator" w:id="0">
    <w:p w:rsidR="006D5EAE" w:rsidRDefault="006D5EAE" w:rsidP="00247D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AE" w:rsidRPr="002D6BD2" w:rsidRDefault="006D5EAE" w:rsidP="002D6BD2">
    <w:pPr>
      <w:pStyle w:val="Footer"/>
      <w:jc w:val="center"/>
    </w:pPr>
    <w:r w:rsidRPr="002D6BD2">
      <w:t xml:space="preserve">Page </w:t>
    </w:r>
    <w:fldSimple w:instr=" PAGE   \* MERGEFORMAT ">
      <w:r w:rsidR="0045277E">
        <w:rPr>
          <w:noProof/>
        </w:rPr>
        <w:t>1</w:t>
      </w:r>
    </w:fldSimple>
    <w:r w:rsidRPr="002D6BD2">
      <w:t xml:space="preserve"> of </w:t>
    </w:r>
    <w:fldSimple w:instr=" SECTIONPAGES   \* MERGEFORMAT ">
      <w:r w:rsidR="0045277E">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EAE" w:rsidRDefault="006D5EAE" w:rsidP="00247DB7">
      <w:pPr>
        <w:spacing w:line="240" w:lineRule="auto"/>
      </w:pPr>
      <w:r>
        <w:separator/>
      </w:r>
    </w:p>
  </w:footnote>
  <w:footnote w:type="continuationSeparator" w:id="0">
    <w:p w:rsidR="006D5EAE" w:rsidRDefault="006D5EAE" w:rsidP="00247DB7">
      <w:pPr>
        <w:spacing w:line="240" w:lineRule="auto"/>
      </w:pPr>
      <w:r>
        <w:continuationSeparator/>
      </w:r>
    </w:p>
  </w:footnote>
  <w:footnote w:id="1">
    <w:p w:rsidR="006D5EAE" w:rsidRDefault="006D5EAE">
      <w:pPr>
        <w:pStyle w:val="FootnoteText"/>
      </w:pPr>
      <w:r w:rsidRPr="00A84D27">
        <w:rPr>
          <w:rStyle w:val="FootnoteReference"/>
        </w:rPr>
        <w:footnoteRef/>
      </w:r>
      <w:r w:rsidRPr="00A84D27">
        <w:t xml:space="preserve"> Source: </w:t>
      </w:r>
      <w:proofErr w:type="spellStart"/>
      <w:r w:rsidRPr="00A84D27">
        <w:t>Needell</w:t>
      </w:r>
      <w:proofErr w:type="spellEnd"/>
      <w:r w:rsidRPr="00A84D27">
        <w:t xml:space="preserve">, B., Webster, D., </w:t>
      </w:r>
      <w:smartTag w:uri="urn:schemas-microsoft-com:office:smarttags" w:element="place">
        <w:r w:rsidRPr="00A84D27">
          <w:t>Armijo</w:t>
        </w:r>
      </w:smartTag>
      <w:r w:rsidRPr="00A84D27">
        <w:t xml:space="preserve">, M., Lee, S., Dawson, W., </w:t>
      </w:r>
      <w:proofErr w:type="spellStart"/>
      <w:r w:rsidRPr="00A84D27">
        <w:t>Magruder</w:t>
      </w:r>
      <w:proofErr w:type="spellEnd"/>
      <w:r w:rsidRPr="00A84D27">
        <w:t xml:space="preserve">, J., </w:t>
      </w:r>
      <w:proofErr w:type="spellStart"/>
      <w:r w:rsidRPr="00A84D27">
        <w:t>Exel</w:t>
      </w:r>
      <w:proofErr w:type="spellEnd"/>
      <w:r w:rsidRPr="00A84D27">
        <w:t xml:space="preserve">, M., </w:t>
      </w:r>
      <w:proofErr w:type="spellStart"/>
      <w:r w:rsidRPr="00A84D27">
        <w:t>Glasser</w:t>
      </w:r>
      <w:proofErr w:type="spellEnd"/>
      <w:r w:rsidRPr="00A84D27">
        <w:t>, T., Williams, D., Zimmerman, K., Simon, V., Putnam-</w:t>
      </w:r>
      <w:proofErr w:type="spellStart"/>
      <w:r w:rsidRPr="00A84D27">
        <w:t>Hornstein</w:t>
      </w:r>
      <w:proofErr w:type="spellEnd"/>
      <w:r w:rsidRPr="00A84D27">
        <w:t xml:space="preserve">, E., </w:t>
      </w:r>
      <w:proofErr w:type="spellStart"/>
      <w:r w:rsidRPr="00A84D27">
        <w:t>Frerer</w:t>
      </w:r>
      <w:proofErr w:type="spellEnd"/>
      <w:r w:rsidRPr="00A84D27">
        <w:t xml:space="preserve">, K., </w:t>
      </w:r>
      <w:proofErr w:type="spellStart"/>
      <w:r w:rsidRPr="00A84D27">
        <w:t>Cuccaro-Alamin</w:t>
      </w:r>
      <w:proofErr w:type="spellEnd"/>
      <w:r w:rsidRPr="00A84D27">
        <w:t>, S., Win</w:t>
      </w:r>
      <w:r>
        <w:t xml:space="preserve">n, A., Lou, C., &amp; </w:t>
      </w:r>
      <w:proofErr w:type="spellStart"/>
      <w:r>
        <w:t>Peng</w:t>
      </w:r>
      <w:proofErr w:type="spellEnd"/>
      <w:r>
        <w:t>, C. (2010</w:t>
      </w:r>
      <w:r w:rsidRPr="00A84D27">
        <w:t xml:space="preserve">). </w:t>
      </w:r>
      <w:proofErr w:type="gramStart"/>
      <w:r w:rsidRPr="00A84D27">
        <w:t>Child Welfare Services Reports for California.</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AE" w:rsidRDefault="006D5EAE" w:rsidP="00247DB7">
    <w:pPr>
      <w:pStyle w:val="Header"/>
      <w:jc w:val="center"/>
      <w:rPr>
        <w:rFonts w:ascii="Times New Roman" w:eastAsia="Times New Roman" w:hAnsi="Times New Roman"/>
      </w:rPr>
    </w:pPr>
    <w:r>
      <w:t xml:space="preserve">Sacramento </w:t>
    </w:r>
    <w:r>
      <w:rPr>
        <w:rFonts w:ascii="Times New Roman" w:eastAsia="Times New Roman" w:hAnsi="Times New Roman"/>
      </w:rPr>
      <w:t>Dependency Representation</w:t>
    </w:r>
  </w:p>
  <w:p w:rsidR="006D5EAE" w:rsidRDefault="006D5EAE" w:rsidP="00247DB7">
    <w:pPr>
      <w:pStyle w:val="Header"/>
      <w:jc w:val="center"/>
      <w:rPr>
        <w:rFonts w:ascii="Times New Roman" w:eastAsia="Times New Roman" w:hAnsi="Times New Roman"/>
      </w:rPr>
    </w:pPr>
    <w:r>
      <w:t>RFP Number CFCC-201</w:t>
    </w:r>
    <w:r>
      <w:rPr>
        <w:rFonts w:ascii="Times New Roman" w:eastAsia="Times New Roman" w:hAnsi="Times New Roman"/>
      </w:rPr>
      <w:t>0</w:t>
    </w:r>
    <w:r>
      <w:t>01</w:t>
    </w:r>
    <w:r>
      <w:rPr>
        <w:rFonts w:ascii="Times New Roman" w:eastAsia="Times New Roman" w:hAnsi="Times New Roman"/>
      </w:rPr>
      <w:t>-RB</w:t>
    </w:r>
  </w:p>
  <w:p w:rsidR="006D5EAE" w:rsidRDefault="006D5EAE" w:rsidP="00247DB7">
    <w:pPr>
      <w:pStyle w:val="Header"/>
      <w:jc w:val="center"/>
      <w:rPr>
        <w:rFonts w:ascii="Times New Roman" w:eastAsia="Times New Roman" w:hAnsi="Times New Roman"/>
      </w:rPr>
    </w:pPr>
  </w:p>
  <w:p w:rsidR="006D5EAE" w:rsidRDefault="006D5EAE" w:rsidP="00247DB7">
    <w:pPr>
      <w:pStyle w:val="Header"/>
      <w:jc w:val="center"/>
      <w:rPr>
        <w:rFonts w:ascii="Times New Roman" w:eastAsia="Times New Roman" w:hAnsi="Times New Roman"/>
      </w:rPr>
    </w:pPr>
    <w:r>
      <w:rPr>
        <w:rFonts w:ascii="Times New Roman" w:eastAsia="Times New Roman" w:hAnsi="Times New Roman"/>
      </w:rPr>
      <w:t>QUESTIONS AND ANSWERS FROM</w:t>
    </w:r>
  </w:p>
  <w:p w:rsidR="006D5EAE" w:rsidRDefault="006D5EAE" w:rsidP="00247DB7">
    <w:pPr>
      <w:pStyle w:val="Header"/>
      <w:jc w:val="center"/>
      <w:rPr>
        <w:rFonts w:ascii="Times New Roman" w:eastAsia="Times New Roman" w:hAnsi="Times New Roman"/>
      </w:rPr>
    </w:pPr>
    <w:r>
      <w:rPr>
        <w:rFonts w:ascii="Times New Roman" w:eastAsia="Times New Roman" w:hAnsi="Times New Roman"/>
      </w:rPr>
      <w:t xml:space="preserve">PROPOSERS’ CONFERENCE OF </w:t>
    </w:r>
    <w:r>
      <w:t>JANUARY</w:t>
    </w:r>
    <w:r>
      <w:rPr>
        <w:rFonts w:ascii="Times New Roman" w:eastAsia="Times New Roman" w:hAnsi="Times New Roman"/>
      </w:rPr>
      <w:t xml:space="preserve"> </w:t>
    </w:r>
    <w:r>
      <w:t>5,</w:t>
    </w:r>
    <w:r>
      <w:rPr>
        <w:rFonts w:ascii="Times New Roman" w:eastAsia="Times New Roman" w:hAnsi="Times New Roman"/>
      </w:rPr>
      <w:t xml:space="preserve"> 201</w:t>
    </w:r>
    <w:r>
      <w:t>1</w:t>
    </w:r>
  </w:p>
  <w:p w:rsidR="006D5EAE" w:rsidRDefault="006D5EAE">
    <w:pPr>
      <w:pStyle w:val="Header"/>
    </w:pPr>
  </w:p>
  <w:p w:rsidR="006D5EAE" w:rsidRDefault="006D5E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2E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B656EFE"/>
    <w:multiLevelType w:val="hybridMultilevel"/>
    <w:tmpl w:val="DEE0E83E"/>
    <w:lvl w:ilvl="0" w:tplc="1E3EAB6A">
      <w:start w:val="1"/>
      <w:numFmt w:val="decimal"/>
      <w:lvlText w:val="Question #%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C030F"/>
    <w:multiLevelType w:val="hybridMultilevel"/>
    <w:tmpl w:val="60ECB79A"/>
    <w:lvl w:ilvl="0" w:tplc="28DE42BA">
      <w:start w:val="1"/>
      <w:numFmt w:val="decimal"/>
      <w:lvlText w:val="Answer #%1."/>
      <w:lvlJc w:val="left"/>
      <w:pPr>
        <w:ind w:left="3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791B"/>
    <w:rsid w:val="00005B7C"/>
    <w:rsid w:val="00006128"/>
    <w:rsid w:val="00025D08"/>
    <w:rsid w:val="000778CE"/>
    <w:rsid w:val="0008780A"/>
    <w:rsid w:val="000C2A7B"/>
    <w:rsid w:val="000E2896"/>
    <w:rsid w:val="000E7A42"/>
    <w:rsid w:val="00121064"/>
    <w:rsid w:val="00141A25"/>
    <w:rsid w:val="00165DAD"/>
    <w:rsid w:val="002058FF"/>
    <w:rsid w:val="00232092"/>
    <w:rsid w:val="00247DB7"/>
    <w:rsid w:val="00261FBF"/>
    <w:rsid w:val="00271B35"/>
    <w:rsid w:val="00290414"/>
    <w:rsid w:val="002B4418"/>
    <w:rsid w:val="002B6E93"/>
    <w:rsid w:val="002D6BD2"/>
    <w:rsid w:val="002E0E86"/>
    <w:rsid w:val="0032107C"/>
    <w:rsid w:val="00323DAD"/>
    <w:rsid w:val="00346527"/>
    <w:rsid w:val="00370CEE"/>
    <w:rsid w:val="00377986"/>
    <w:rsid w:val="003A10B7"/>
    <w:rsid w:val="003D7657"/>
    <w:rsid w:val="003E2C45"/>
    <w:rsid w:val="00402438"/>
    <w:rsid w:val="0041483F"/>
    <w:rsid w:val="00426824"/>
    <w:rsid w:val="0045277E"/>
    <w:rsid w:val="0049162A"/>
    <w:rsid w:val="004B6D05"/>
    <w:rsid w:val="004D3AA6"/>
    <w:rsid w:val="00503A8D"/>
    <w:rsid w:val="0050455C"/>
    <w:rsid w:val="00504B89"/>
    <w:rsid w:val="00551C4E"/>
    <w:rsid w:val="005F4FB0"/>
    <w:rsid w:val="00612175"/>
    <w:rsid w:val="0064470B"/>
    <w:rsid w:val="00665B76"/>
    <w:rsid w:val="006711A1"/>
    <w:rsid w:val="006D2319"/>
    <w:rsid w:val="006D5EAE"/>
    <w:rsid w:val="00783DE4"/>
    <w:rsid w:val="007B20A2"/>
    <w:rsid w:val="007B55B5"/>
    <w:rsid w:val="007D64A4"/>
    <w:rsid w:val="0084403F"/>
    <w:rsid w:val="00854C0A"/>
    <w:rsid w:val="00870F84"/>
    <w:rsid w:val="008C6D5F"/>
    <w:rsid w:val="008C7B49"/>
    <w:rsid w:val="008E7332"/>
    <w:rsid w:val="008F4ACF"/>
    <w:rsid w:val="00925EF1"/>
    <w:rsid w:val="009811D5"/>
    <w:rsid w:val="00987903"/>
    <w:rsid w:val="009B4E62"/>
    <w:rsid w:val="009B6C72"/>
    <w:rsid w:val="009C4F00"/>
    <w:rsid w:val="009D1B74"/>
    <w:rsid w:val="009E6D40"/>
    <w:rsid w:val="00A404DC"/>
    <w:rsid w:val="00A57A38"/>
    <w:rsid w:val="00A926C6"/>
    <w:rsid w:val="00AA216C"/>
    <w:rsid w:val="00AE646A"/>
    <w:rsid w:val="00B8791B"/>
    <w:rsid w:val="00BA1603"/>
    <w:rsid w:val="00BA2231"/>
    <w:rsid w:val="00BD39B5"/>
    <w:rsid w:val="00C03726"/>
    <w:rsid w:val="00C12E68"/>
    <w:rsid w:val="00C152C8"/>
    <w:rsid w:val="00C45169"/>
    <w:rsid w:val="00CA1106"/>
    <w:rsid w:val="00CB46ED"/>
    <w:rsid w:val="00D574C1"/>
    <w:rsid w:val="00D74070"/>
    <w:rsid w:val="00DB0F62"/>
    <w:rsid w:val="00DC5586"/>
    <w:rsid w:val="00E239AD"/>
    <w:rsid w:val="00E30241"/>
    <w:rsid w:val="00E4361D"/>
    <w:rsid w:val="00E91574"/>
    <w:rsid w:val="00F35850"/>
    <w:rsid w:val="00F553BB"/>
    <w:rsid w:val="00F72ACB"/>
    <w:rsid w:val="00F93155"/>
    <w:rsid w:val="00FA73D6"/>
    <w:rsid w:val="00FC1EB8"/>
    <w:rsid w:val="00FF6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5EF1"/>
  </w:style>
  <w:style w:type="paragraph" w:styleId="Heading1">
    <w:name w:val="heading 1"/>
    <w:basedOn w:val="Normal"/>
    <w:next w:val="Normal"/>
    <w:link w:val="Heading1Char"/>
    <w:uiPriority w:val="9"/>
    <w:qFormat/>
    <w:rsid w:val="00925E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25E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925EF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925EF1"/>
    <w:pPr>
      <w:spacing w:before="240" w:after="60"/>
      <w:outlineLvl w:val="5"/>
    </w:pPr>
    <w:rPr>
      <w:b/>
      <w:bCs/>
    </w:rPr>
  </w:style>
  <w:style w:type="paragraph" w:styleId="Heading7">
    <w:name w:val="heading 7"/>
    <w:basedOn w:val="Normal"/>
    <w:next w:val="Normal"/>
    <w:link w:val="Heading7Char"/>
    <w:uiPriority w:val="9"/>
    <w:semiHidden/>
    <w:unhideWhenUsed/>
    <w:qFormat/>
    <w:rsid w:val="00925EF1"/>
    <w:pPr>
      <w:spacing w:before="240" w:after="60"/>
      <w:outlineLvl w:val="6"/>
    </w:pPr>
  </w:style>
  <w:style w:type="paragraph" w:styleId="Heading8">
    <w:name w:val="heading 8"/>
    <w:basedOn w:val="Normal"/>
    <w:next w:val="Normal"/>
    <w:link w:val="Heading8Char"/>
    <w:uiPriority w:val="9"/>
    <w:semiHidden/>
    <w:unhideWhenUsed/>
    <w:qFormat/>
    <w:rsid w:val="00925EF1"/>
    <w:pPr>
      <w:spacing w:before="240" w:after="60"/>
      <w:outlineLvl w:val="7"/>
    </w:pPr>
    <w:rPr>
      <w:i/>
      <w:iCs/>
    </w:rPr>
  </w:style>
  <w:style w:type="paragraph" w:styleId="Heading9">
    <w:name w:val="heading 9"/>
    <w:basedOn w:val="Normal"/>
    <w:next w:val="Normal"/>
    <w:link w:val="Heading9Char"/>
    <w:uiPriority w:val="9"/>
    <w:semiHidden/>
    <w:unhideWhenUsed/>
    <w:qFormat/>
    <w:rsid w:val="00925EF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E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25E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25EF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25EF1"/>
    <w:rPr>
      <w:b/>
      <w:bCs/>
    </w:rPr>
  </w:style>
  <w:style w:type="character" w:customStyle="1" w:styleId="Heading7Char">
    <w:name w:val="Heading 7 Char"/>
    <w:basedOn w:val="DefaultParagraphFont"/>
    <w:link w:val="Heading7"/>
    <w:uiPriority w:val="9"/>
    <w:semiHidden/>
    <w:rsid w:val="00925EF1"/>
    <w:rPr>
      <w:sz w:val="24"/>
      <w:szCs w:val="24"/>
    </w:rPr>
  </w:style>
  <w:style w:type="character" w:customStyle="1" w:styleId="Heading8Char">
    <w:name w:val="Heading 8 Char"/>
    <w:basedOn w:val="DefaultParagraphFont"/>
    <w:link w:val="Heading8"/>
    <w:uiPriority w:val="9"/>
    <w:semiHidden/>
    <w:rsid w:val="00925EF1"/>
    <w:rPr>
      <w:i/>
      <w:iCs/>
      <w:sz w:val="24"/>
      <w:szCs w:val="24"/>
    </w:rPr>
  </w:style>
  <w:style w:type="character" w:customStyle="1" w:styleId="Heading9Char">
    <w:name w:val="Heading 9 Char"/>
    <w:basedOn w:val="DefaultParagraphFont"/>
    <w:link w:val="Heading9"/>
    <w:uiPriority w:val="9"/>
    <w:semiHidden/>
    <w:rsid w:val="00925EF1"/>
    <w:rPr>
      <w:rFonts w:asciiTheme="majorHAnsi" w:eastAsiaTheme="majorEastAsia" w:hAnsiTheme="majorHAnsi"/>
    </w:rPr>
  </w:style>
  <w:style w:type="paragraph" w:styleId="Title">
    <w:name w:val="Title"/>
    <w:basedOn w:val="Normal"/>
    <w:next w:val="Normal"/>
    <w:link w:val="TitleChar"/>
    <w:uiPriority w:val="10"/>
    <w:qFormat/>
    <w:rsid w:val="00925E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5E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5E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5EF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925EF1"/>
    <w:pPr>
      <w:outlineLvl w:val="9"/>
    </w:pPr>
  </w:style>
  <w:style w:type="paragraph" w:styleId="ListParagraph">
    <w:name w:val="List Paragraph"/>
    <w:basedOn w:val="Normal"/>
    <w:uiPriority w:val="34"/>
    <w:rsid w:val="003A10B7"/>
    <w:pPr>
      <w:ind w:left="720"/>
      <w:contextualSpacing/>
    </w:pPr>
  </w:style>
  <w:style w:type="paragraph" w:styleId="Header">
    <w:name w:val="header"/>
    <w:basedOn w:val="Normal"/>
    <w:link w:val="HeaderChar"/>
    <w:unhideWhenUsed/>
    <w:rsid w:val="00247DB7"/>
    <w:pPr>
      <w:tabs>
        <w:tab w:val="center" w:pos="4680"/>
        <w:tab w:val="right" w:pos="9360"/>
      </w:tabs>
      <w:spacing w:line="240" w:lineRule="auto"/>
    </w:pPr>
  </w:style>
  <w:style w:type="character" w:customStyle="1" w:styleId="HeaderChar">
    <w:name w:val="Header Char"/>
    <w:basedOn w:val="DefaultParagraphFont"/>
    <w:link w:val="Header"/>
    <w:rsid w:val="00247DB7"/>
  </w:style>
  <w:style w:type="paragraph" w:styleId="Footer">
    <w:name w:val="footer"/>
    <w:basedOn w:val="Normal"/>
    <w:link w:val="FooterChar"/>
    <w:uiPriority w:val="99"/>
    <w:semiHidden/>
    <w:unhideWhenUsed/>
    <w:rsid w:val="00247DB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47DB7"/>
  </w:style>
  <w:style w:type="table" w:styleId="TableGrid">
    <w:name w:val="Table Grid"/>
    <w:basedOn w:val="TableNormal"/>
    <w:uiPriority w:val="59"/>
    <w:rsid w:val="0084403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2C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45"/>
    <w:rPr>
      <w:rFonts w:ascii="Tahoma" w:hAnsi="Tahoma" w:cs="Tahoma"/>
      <w:sz w:val="16"/>
      <w:szCs w:val="16"/>
    </w:rPr>
  </w:style>
  <w:style w:type="paragraph" w:styleId="FootnoteText">
    <w:name w:val="footnote text"/>
    <w:basedOn w:val="Normal"/>
    <w:link w:val="FootnoteTextChar"/>
    <w:uiPriority w:val="99"/>
    <w:semiHidden/>
    <w:unhideWhenUsed/>
    <w:rsid w:val="00FF6BC1"/>
    <w:pPr>
      <w:spacing w:line="240" w:lineRule="auto"/>
    </w:pPr>
    <w:rPr>
      <w:sz w:val="20"/>
      <w:szCs w:val="20"/>
    </w:rPr>
  </w:style>
  <w:style w:type="character" w:customStyle="1" w:styleId="FootnoteTextChar">
    <w:name w:val="Footnote Text Char"/>
    <w:basedOn w:val="DefaultParagraphFont"/>
    <w:link w:val="FootnoteText"/>
    <w:uiPriority w:val="99"/>
    <w:semiHidden/>
    <w:rsid w:val="00FF6BC1"/>
    <w:rPr>
      <w:sz w:val="20"/>
      <w:szCs w:val="20"/>
    </w:rPr>
  </w:style>
  <w:style w:type="character" w:styleId="FootnoteReference">
    <w:name w:val="footnote reference"/>
    <w:basedOn w:val="DefaultParagraphFont"/>
    <w:uiPriority w:val="99"/>
    <w:semiHidden/>
    <w:unhideWhenUsed/>
    <w:rsid w:val="00FF6BC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CEA49-463C-4A8A-BC6E-BC5398E9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Katz</dc:creator>
  <cp:keywords/>
  <dc:description/>
  <cp:lastModifiedBy>Ron Bacurin 10-1</cp:lastModifiedBy>
  <cp:revision>6</cp:revision>
  <cp:lastPrinted>2011-01-13T00:05:00Z</cp:lastPrinted>
  <dcterms:created xsi:type="dcterms:W3CDTF">2011-01-13T00:03:00Z</dcterms:created>
  <dcterms:modified xsi:type="dcterms:W3CDTF">2011-01-14T02:15:00Z</dcterms:modified>
</cp:coreProperties>
</file>