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75" w:rsidRDefault="009C5A75" w:rsidP="009C5A75">
      <w:pPr>
        <w:spacing w:line="240" w:lineRule="auto"/>
        <w:rPr>
          <w:sz w:val="20"/>
        </w:rPr>
      </w:pPr>
      <w:r>
        <w:rPr>
          <w:sz w:val="20"/>
        </w:rPr>
        <w:t xml:space="preserve">Filed </w:t>
      </w:r>
      <w:r w:rsidR="0012769A">
        <w:rPr>
          <w:sz w:val="20"/>
        </w:rPr>
        <w:t>4/27/17</w:t>
      </w:r>
    </w:p>
    <w:p w:rsidR="009C5A75" w:rsidRDefault="009C5A75" w:rsidP="009C5A75">
      <w:pPr>
        <w:spacing w:line="240" w:lineRule="auto"/>
        <w:jc w:val="center"/>
        <w:rPr>
          <w:b/>
        </w:rPr>
      </w:pPr>
      <w:r>
        <w:rPr>
          <w:b/>
        </w:rPr>
        <w:t>CERTIFIED FOR PUBLICATION</w:t>
      </w:r>
    </w:p>
    <w:p w:rsidR="009C5A75" w:rsidRDefault="009C5A75" w:rsidP="009C5A75">
      <w:pPr>
        <w:spacing w:line="240" w:lineRule="auto"/>
        <w:jc w:val="center"/>
      </w:pPr>
    </w:p>
    <w:p w:rsidR="00AE59ED" w:rsidRDefault="0004327E" w:rsidP="009C5A75">
      <w:pPr>
        <w:spacing w:line="240" w:lineRule="auto"/>
        <w:jc w:val="center"/>
      </w:pPr>
      <w:r>
        <w:t>IN THE COURT OF APPEAL OF THE STATE OF CALIFORNIA</w:t>
      </w:r>
    </w:p>
    <w:p w:rsidR="0004327E" w:rsidRDefault="0004327E" w:rsidP="0004327E">
      <w:pPr>
        <w:spacing w:line="240" w:lineRule="auto"/>
        <w:jc w:val="center"/>
      </w:pPr>
    </w:p>
    <w:p w:rsidR="0004327E" w:rsidRDefault="0004327E" w:rsidP="0004327E">
      <w:pPr>
        <w:spacing w:line="240" w:lineRule="auto"/>
        <w:jc w:val="center"/>
      </w:pPr>
      <w:r>
        <w:t>FIRST APPELLATE DISTRICT</w:t>
      </w:r>
    </w:p>
    <w:p w:rsidR="0004327E" w:rsidRDefault="0004327E" w:rsidP="0004327E">
      <w:pPr>
        <w:spacing w:line="240" w:lineRule="auto"/>
        <w:jc w:val="center"/>
      </w:pPr>
    </w:p>
    <w:p w:rsidR="0004327E" w:rsidRDefault="0004327E" w:rsidP="0004327E">
      <w:pPr>
        <w:spacing w:line="240" w:lineRule="auto"/>
        <w:jc w:val="center"/>
      </w:pPr>
      <w:r>
        <w:t>DIVISION ONE</w:t>
      </w:r>
    </w:p>
    <w:p w:rsidR="0004327E" w:rsidRDefault="0004327E" w:rsidP="0004327E">
      <w:pPr>
        <w:spacing w:line="240" w:lineRule="auto"/>
        <w:jc w:val="center"/>
      </w:pPr>
    </w:p>
    <w:p w:rsidR="0004327E" w:rsidRDefault="0004327E" w:rsidP="0004327E">
      <w:pPr>
        <w:spacing w:line="240" w:lineRule="auto"/>
        <w:jc w:val="center"/>
      </w:pPr>
    </w:p>
    <w:tbl>
      <w:tblPr>
        <w:tblW w:w="0" w:type="auto"/>
        <w:tblLayout w:type="fixed"/>
        <w:tblLook w:val="0000" w:firstRow="0" w:lastRow="0" w:firstColumn="0" w:lastColumn="0" w:noHBand="0" w:noVBand="0"/>
      </w:tblPr>
      <w:tblGrid>
        <w:gridCol w:w="4680"/>
        <w:gridCol w:w="4680"/>
      </w:tblGrid>
      <w:tr w:rsidR="0004327E" w:rsidTr="0004327E">
        <w:tc>
          <w:tcPr>
            <w:tcW w:w="4680" w:type="dxa"/>
            <w:tcBorders>
              <w:bottom w:val="single" w:sz="4" w:space="0" w:color="auto"/>
              <w:right w:val="single" w:sz="4" w:space="0" w:color="auto"/>
            </w:tcBorders>
            <w:shd w:val="clear" w:color="auto" w:fill="auto"/>
          </w:tcPr>
          <w:p w:rsidR="0004327E" w:rsidRDefault="00317F28" w:rsidP="0004327E">
            <w:pPr>
              <w:spacing w:after="120" w:line="240" w:lineRule="auto"/>
            </w:pPr>
            <w:r>
              <w:t>BRIAN CUEVAS</w:t>
            </w:r>
            <w:r w:rsidR="0004327E">
              <w:t>,</w:t>
            </w:r>
            <w:r w:rsidR="00E24E42">
              <w:t xml:space="preserve"> a </w:t>
            </w:r>
            <w:r w:rsidR="00422A1B">
              <w:t>M</w:t>
            </w:r>
            <w:r w:rsidR="00E24E42">
              <w:t>inor,</w:t>
            </w:r>
            <w:r w:rsidR="00422A1B">
              <w:t xml:space="preserve"> etc., et al.,</w:t>
            </w:r>
          </w:p>
          <w:p w:rsidR="0004327E" w:rsidRDefault="0004327E" w:rsidP="0004327E">
            <w:pPr>
              <w:spacing w:after="120" w:line="240" w:lineRule="auto"/>
            </w:pPr>
            <w:r>
              <w:tab/>
              <w:t>Plaintiff</w:t>
            </w:r>
            <w:r w:rsidR="00C74B8F">
              <w:t>s</w:t>
            </w:r>
            <w:r>
              <w:t xml:space="preserve"> and Respondent</w:t>
            </w:r>
            <w:r w:rsidR="00C74B8F">
              <w:t>s</w:t>
            </w:r>
            <w:r>
              <w:t>,</w:t>
            </w:r>
          </w:p>
          <w:p w:rsidR="0004327E" w:rsidRDefault="0004327E" w:rsidP="0004327E">
            <w:pPr>
              <w:spacing w:after="120" w:line="240" w:lineRule="auto"/>
            </w:pPr>
            <w:r>
              <w:t>v.</w:t>
            </w:r>
          </w:p>
          <w:p w:rsidR="0004327E" w:rsidRDefault="0004327E" w:rsidP="0004327E">
            <w:pPr>
              <w:spacing w:after="120" w:line="240" w:lineRule="auto"/>
            </w:pPr>
            <w:r>
              <w:t>CONTRA COSTA COUNTY,</w:t>
            </w:r>
          </w:p>
          <w:p w:rsidR="0004327E" w:rsidRDefault="0004327E" w:rsidP="0004327E">
            <w:pPr>
              <w:spacing w:after="120" w:line="240" w:lineRule="auto"/>
            </w:pPr>
            <w:r>
              <w:tab/>
              <w:t>Defendant and Appellant.</w:t>
            </w:r>
          </w:p>
        </w:tc>
        <w:tc>
          <w:tcPr>
            <w:tcW w:w="4680" w:type="dxa"/>
            <w:tcBorders>
              <w:left w:val="single" w:sz="4" w:space="0" w:color="auto"/>
            </w:tcBorders>
            <w:shd w:val="clear" w:color="auto" w:fill="auto"/>
          </w:tcPr>
          <w:p w:rsidR="0004327E" w:rsidRDefault="0004327E" w:rsidP="0004327E">
            <w:pPr>
              <w:spacing w:line="240" w:lineRule="auto"/>
            </w:pPr>
          </w:p>
          <w:p w:rsidR="0004327E" w:rsidRDefault="0004327E" w:rsidP="0004327E">
            <w:pPr>
              <w:spacing w:line="240" w:lineRule="auto"/>
            </w:pPr>
          </w:p>
          <w:p w:rsidR="0004327E" w:rsidRDefault="0004327E" w:rsidP="0004327E">
            <w:pPr>
              <w:spacing w:line="240" w:lineRule="auto"/>
            </w:pPr>
            <w:r>
              <w:t xml:space="preserve">      A143440 &amp; A144041</w:t>
            </w:r>
          </w:p>
          <w:p w:rsidR="0004327E" w:rsidRDefault="0004327E" w:rsidP="0004327E">
            <w:pPr>
              <w:spacing w:line="240" w:lineRule="auto"/>
            </w:pPr>
          </w:p>
          <w:p w:rsidR="0004327E" w:rsidRDefault="0004327E" w:rsidP="0004327E">
            <w:pPr>
              <w:spacing w:line="240" w:lineRule="auto"/>
            </w:pPr>
            <w:r>
              <w:t xml:space="preserve">      (Contra Costa County</w:t>
            </w:r>
          </w:p>
          <w:p w:rsidR="0004327E" w:rsidRDefault="0004327E" w:rsidP="0004327E">
            <w:pPr>
              <w:spacing w:line="240" w:lineRule="auto"/>
            </w:pPr>
            <w:r>
              <w:t xml:space="preserve">      Super. Ct. No. MSC09-01786)</w:t>
            </w:r>
          </w:p>
          <w:p w:rsidR="0004327E" w:rsidRDefault="0004327E" w:rsidP="0004327E">
            <w:pPr>
              <w:spacing w:line="240" w:lineRule="auto"/>
            </w:pPr>
          </w:p>
        </w:tc>
      </w:tr>
    </w:tbl>
    <w:p w:rsidR="0004327E" w:rsidRDefault="0004327E" w:rsidP="0004327E">
      <w:pPr>
        <w:spacing w:line="360" w:lineRule="auto"/>
      </w:pPr>
    </w:p>
    <w:p w:rsidR="0004327E" w:rsidRDefault="0002640C" w:rsidP="00C37E71">
      <w:r>
        <w:tab/>
      </w:r>
      <w:r w:rsidR="00BD049E">
        <w:t xml:space="preserve">Plaintiff </w:t>
      </w:r>
      <w:r w:rsidR="00E24E42">
        <w:t xml:space="preserve">Brian Cuevas, </w:t>
      </w:r>
      <w:r w:rsidR="00261757">
        <w:t xml:space="preserve">through his guardian ad litem, </w:t>
      </w:r>
      <w:r w:rsidRPr="0002640C">
        <w:t xml:space="preserve">brought an action for medical malpractice against </w:t>
      </w:r>
      <w:r w:rsidR="00BD049E">
        <w:t xml:space="preserve">defendant the </w:t>
      </w:r>
      <w:r w:rsidRPr="0002640C">
        <w:t xml:space="preserve">County of </w:t>
      </w:r>
      <w:r w:rsidR="00261757">
        <w:t>Contra Costa</w:t>
      </w:r>
      <w:r w:rsidRPr="0002640C">
        <w:t xml:space="preserve">, </w:t>
      </w:r>
      <w:r w:rsidR="000E101D">
        <w:t>among</w:t>
      </w:r>
      <w:r w:rsidR="00261757">
        <w:t xml:space="preserve"> others, </w:t>
      </w:r>
      <w:r w:rsidRPr="0002640C">
        <w:t xml:space="preserve">arising out of injuries </w:t>
      </w:r>
      <w:r w:rsidR="00BD049E">
        <w:t xml:space="preserve">he </w:t>
      </w:r>
      <w:r w:rsidRPr="0002640C">
        <w:t xml:space="preserve">sustained </w:t>
      </w:r>
      <w:r w:rsidR="003B6590">
        <w:t>at</w:t>
      </w:r>
      <w:r w:rsidRPr="0002640C">
        <w:t xml:space="preserve"> birth.</w:t>
      </w:r>
      <w:r w:rsidR="0028590F">
        <w:t xml:space="preserve">  </w:t>
      </w:r>
      <w:r w:rsidR="00BD049E">
        <w:t xml:space="preserve">A jury awarded him </w:t>
      </w:r>
      <w:r w:rsidR="00E324FC">
        <w:t>$9,577,000</w:t>
      </w:r>
      <w:r w:rsidR="00BD049E">
        <w:t xml:space="preserve"> as the present </w:t>
      </w:r>
      <w:r w:rsidR="00E24E42">
        <w:t xml:space="preserve">cash </w:t>
      </w:r>
      <w:r w:rsidR="00BD049E">
        <w:t xml:space="preserve">value of his future medical and </w:t>
      </w:r>
      <w:r w:rsidR="00E324FC">
        <w:t xml:space="preserve">rehabilitation </w:t>
      </w:r>
      <w:r w:rsidR="00BD049E">
        <w:t xml:space="preserve">care expenses.  Defendant appeals from the damages verdict, asserting, among other things, that the trial court erred in excluding evidence that </w:t>
      </w:r>
      <w:r w:rsidR="0065732F">
        <w:t>health</w:t>
      </w:r>
      <w:r w:rsidR="00BD049E">
        <w:t xml:space="preserve"> insurance benefits under the </w:t>
      </w:r>
      <w:r w:rsidR="00E324FC">
        <w:t xml:space="preserve">Patient Protection and Affordable Care Act </w:t>
      </w:r>
      <w:r w:rsidR="009454EB">
        <w:t xml:space="preserve">(ACA) </w:t>
      </w:r>
      <w:r w:rsidR="009454EB" w:rsidRPr="009454EB">
        <w:t>(</w:t>
      </w:r>
      <w:proofErr w:type="spellStart"/>
      <w:r w:rsidR="009454EB" w:rsidRPr="009454EB">
        <w:t>Pub.L</w:t>
      </w:r>
      <w:proofErr w:type="spellEnd"/>
      <w:r w:rsidR="009454EB" w:rsidRPr="009454EB">
        <w:t xml:space="preserve">. No. 111-148 (Mar. 23, 2010) 124 Stat. 119) </w:t>
      </w:r>
      <w:r w:rsidR="00BD049E">
        <w:t xml:space="preserve">would </w:t>
      </w:r>
      <w:r w:rsidR="008D06EC">
        <w:t xml:space="preserve">be available to </w:t>
      </w:r>
      <w:r w:rsidR="0065732F">
        <w:t>mitigate</w:t>
      </w:r>
      <w:r w:rsidR="00BD049E">
        <w:t xml:space="preserve"> </w:t>
      </w:r>
      <w:r w:rsidR="00E24E42">
        <w:t>plaintiff’s</w:t>
      </w:r>
      <w:r w:rsidR="00BD049E">
        <w:t xml:space="preserve"> future medical costs.  We </w:t>
      </w:r>
      <w:r w:rsidR="00C827BF">
        <w:t xml:space="preserve">agree that the trial court erred in ruling that evidence </w:t>
      </w:r>
      <w:r w:rsidR="0065732F">
        <w:t>of</w:t>
      </w:r>
      <w:r w:rsidR="00C827BF">
        <w:t xml:space="preserve"> future ACA benefits is inadmissible</w:t>
      </w:r>
      <w:r w:rsidR="00BD049E">
        <w:t>.</w:t>
      </w:r>
      <w:r w:rsidR="00C827BF">
        <w:t xml:space="preserve">  We reverse </w:t>
      </w:r>
      <w:r w:rsidR="008D06EC">
        <w:t xml:space="preserve">the judgment </w:t>
      </w:r>
      <w:r w:rsidR="00C827BF">
        <w:t>a</w:t>
      </w:r>
      <w:r w:rsidR="008D06EC">
        <w:t>nd</w:t>
      </w:r>
      <w:r w:rsidR="00C827BF">
        <w:t xml:space="preserve"> remand </w:t>
      </w:r>
      <w:r w:rsidR="008D06EC">
        <w:t xml:space="preserve">the case </w:t>
      </w:r>
      <w:r w:rsidR="00C827BF">
        <w:t>for a new trial on the amount of plai</w:t>
      </w:r>
      <w:r w:rsidR="0038295A">
        <w:t>ntiff’s future medical damages.  In light of our concl</w:t>
      </w:r>
      <w:r w:rsidR="001D240C">
        <w:t xml:space="preserve">usion, we also reverse the </w:t>
      </w:r>
      <w:proofErr w:type="spellStart"/>
      <w:r w:rsidR="001D240C">
        <w:t>post</w:t>
      </w:r>
      <w:r w:rsidR="0038295A">
        <w:t>judgment</w:t>
      </w:r>
      <w:proofErr w:type="spellEnd"/>
      <w:r w:rsidR="0038295A">
        <w:t xml:space="preserve"> orders awarding costs and expert fees. </w:t>
      </w:r>
    </w:p>
    <w:p w:rsidR="0004327E" w:rsidRPr="00543625" w:rsidRDefault="00543625" w:rsidP="00C37E71">
      <w:pPr>
        <w:jc w:val="center"/>
        <w:rPr>
          <w:b/>
        </w:rPr>
      </w:pPr>
      <w:r w:rsidRPr="00543625">
        <w:rPr>
          <w:b/>
        </w:rPr>
        <w:t>FACTUAL BACKGROUND AND PROCEDURAL HISTORY</w:t>
      </w:r>
    </w:p>
    <w:p w:rsidR="009454EB" w:rsidRPr="009454EB" w:rsidRDefault="009454EB" w:rsidP="00C37E71">
      <w:pPr>
        <w:rPr>
          <w:b/>
          <w:i/>
        </w:rPr>
      </w:pPr>
      <w:r w:rsidRPr="009454EB">
        <w:rPr>
          <w:b/>
          <w:i/>
        </w:rPr>
        <w:t>Background</w:t>
      </w:r>
    </w:p>
    <w:p w:rsidR="0090797D" w:rsidRDefault="00543625" w:rsidP="00C37E71">
      <w:r>
        <w:tab/>
      </w:r>
      <w:r w:rsidR="00443FDC">
        <w:t>Because defendant does not contest the jury’s finding</w:t>
      </w:r>
      <w:r w:rsidR="0065732F">
        <w:t>s</w:t>
      </w:r>
      <w:r w:rsidR="00443FDC">
        <w:t xml:space="preserve"> of liability</w:t>
      </w:r>
      <w:r w:rsidR="005F0614">
        <w:t xml:space="preserve"> and proximate cause</w:t>
      </w:r>
      <w:r w:rsidR="00443FDC">
        <w:t>,</w:t>
      </w:r>
      <w:r w:rsidR="000F4A8F">
        <w:t xml:space="preserve"> </w:t>
      </w:r>
      <w:r w:rsidR="00443FDC">
        <w:t xml:space="preserve">we need not address the facts of this case in </w:t>
      </w:r>
      <w:r w:rsidR="00E324FC">
        <w:t xml:space="preserve">great </w:t>
      </w:r>
      <w:r w:rsidR="00443FDC">
        <w:t xml:space="preserve">detail.  </w:t>
      </w:r>
      <w:r w:rsidR="00C94EB2">
        <w:t xml:space="preserve">Plaintiff </w:t>
      </w:r>
      <w:r>
        <w:t xml:space="preserve">suffered </w:t>
      </w:r>
      <w:r>
        <w:lastRenderedPageBreak/>
        <w:t xml:space="preserve">irreversible brain damage </w:t>
      </w:r>
      <w:r w:rsidR="00443FDC">
        <w:t xml:space="preserve">in utero while his mother’s </w:t>
      </w:r>
      <w:r w:rsidR="000E101D">
        <w:t>pregnancy</w:t>
      </w:r>
      <w:r w:rsidR="00443FDC">
        <w:t xml:space="preserve"> was being managed by </w:t>
      </w:r>
      <w:r w:rsidR="00332048">
        <w:t xml:space="preserve">Dr. Teresa Madrigal, </w:t>
      </w:r>
      <w:r w:rsidR="00443FDC">
        <w:t>a physician employ</w:t>
      </w:r>
      <w:bookmarkStart w:id="0" w:name="_GoBack"/>
      <w:bookmarkEnd w:id="0"/>
      <w:r w:rsidR="00443FDC">
        <w:t>ed by defendant</w:t>
      </w:r>
      <w:r>
        <w:t>.</w:t>
      </w:r>
      <w:r w:rsidR="005F0614">
        <w:t xml:space="preserve">  Plaintiff is the surviving twin of a </w:t>
      </w:r>
      <w:proofErr w:type="spellStart"/>
      <w:r w:rsidR="00942BC5">
        <w:t>m</w:t>
      </w:r>
      <w:r w:rsidR="005F0614">
        <w:t>onochorionic-</w:t>
      </w:r>
      <w:r w:rsidR="00942BC5">
        <w:t>d</w:t>
      </w:r>
      <w:r w:rsidR="005F0614">
        <w:t>iamniotic</w:t>
      </w:r>
      <w:proofErr w:type="spellEnd"/>
      <w:r w:rsidR="005F0614">
        <w:t xml:space="preserve"> pregnancy—a condition whereby identical twins share a placenta, but have </w:t>
      </w:r>
      <w:r w:rsidR="000E101D">
        <w:t>separate</w:t>
      </w:r>
      <w:r w:rsidR="005F0614">
        <w:t xml:space="preserve"> amniotic sacs.  </w:t>
      </w:r>
    </w:p>
    <w:p w:rsidR="002331F7" w:rsidRDefault="005F0614" w:rsidP="00C37E71">
      <w:r>
        <w:tab/>
        <w:t xml:space="preserve">When plaintiff’s mother reported for an appointment </w:t>
      </w:r>
      <w:r w:rsidR="003B2893">
        <w:t>at</w:t>
      </w:r>
      <w:r>
        <w:t xml:space="preserve"> 37 weeks and </w:t>
      </w:r>
      <w:r w:rsidR="00422A1B">
        <w:t>six</w:t>
      </w:r>
      <w:r>
        <w:t xml:space="preserve"> days</w:t>
      </w:r>
      <w:r w:rsidR="00422A1B">
        <w:t xml:space="preserve"> pregnant, only one fetal heart</w:t>
      </w:r>
      <w:r>
        <w:t xml:space="preserve">beat could be detected.  </w:t>
      </w:r>
      <w:r w:rsidR="002331F7">
        <w:t>She</w:t>
      </w:r>
      <w:r>
        <w:t xml:space="preserve"> was tr</w:t>
      </w:r>
      <w:r w:rsidR="00332048">
        <w:t>a</w:t>
      </w:r>
      <w:r>
        <w:t xml:space="preserve">nsferred to a hospital by ambulance, where the twins were delivered via </w:t>
      </w:r>
      <w:r w:rsidR="000E101D">
        <w:t>caesarian</w:t>
      </w:r>
      <w:r>
        <w:t xml:space="preserve"> section.  Plaintiff’s twin had died, and plaintiff had suffered a hypoxic brain injury.  </w:t>
      </w:r>
      <w:r w:rsidR="002331F7">
        <w:t>As a result, p</w:t>
      </w:r>
      <w:r>
        <w:t xml:space="preserve">laintiff </w:t>
      </w:r>
      <w:r w:rsidR="007D6F02">
        <w:t>has a very low verbal IQ and will never be a functional reader</w:t>
      </w:r>
      <w:r>
        <w:t>.</w:t>
      </w:r>
      <w:r w:rsidR="007D6F02">
        <w:t xml:space="preserve">  He also has serious </w:t>
      </w:r>
      <w:r w:rsidR="00A67100">
        <w:t>language</w:t>
      </w:r>
      <w:r w:rsidR="007D6F02">
        <w:t xml:space="preserve"> communication difficulties, significant behavioral problems, and has been diagnosed with cerebral palsy. </w:t>
      </w:r>
      <w:r>
        <w:t xml:space="preserve"> </w:t>
      </w:r>
      <w:r w:rsidR="002331F7">
        <w:t xml:space="preserve">Though he has </w:t>
      </w:r>
      <w:r w:rsidR="000D4D3D">
        <w:t xml:space="preserve">severe </w:t>
      </w:r>
      <w:r w:rsidR="002331F7">
        <w:t xml:space="preserve">developmental delay, he is sociable.  He is toilet trained and can walk, run, and feed himself.  </w:t>
      </w:r>
      <w:r w:rsidR="00E24E42">
        <w:t>In the future, he</w:t>
      </w:r>
      <w:r w:rsidR="002331F7">
        <w:t xml:space="preserve"> will be able to feed, dress, and bathe himself. </w:t>
      </w:r>
      <w:r w:rsidR="007D6F02">
        <w:t xml:space="preserve"> However, he will be dependent on others for </w:t>
      </w:r>
      <w:r w:rsidR="000D4D3D">
        <w:t xml:space="preserve">his </w:t>
      </w:r>
      <w:r w:rsidR="007D6F02">
        <w:t xml:space="preserve">personal care </w:t>
      </w:r>
      <w:r w:rsidR="00E24E42">
        <w:t xml:space="preserve">and safety </w:t>
      </w:r>
      <w:r w:rsidR="007D6F02">
        <w:t xml:space="preserve">for the rest of his life.  </w:t>
      </w:r>
    </w:p>
    <w:p w:rsidR="002331F7" w:rsidRDefault="0090797D" w:rsidP="00C37E71">
      <w:r>
        <w:tab/>
        <w:t>On April 19, 2010,</w:t>
      </w:r>
      <w:r w:rsidR="00C94EB2">
        <w:t xml:space="preserve"> plaintiff</w:t>
      </w:r>
      <w:r w:rsidR="001D240C">
        <w:t>,</w:t>
      </w:r>
      <w:r>
        <w:t xml:space="preserve"> t</w:t>
      </w:r>
      <w:r w:rsidR="00543625">
        <w:t>hrough his gua</w:t>
      </w:r>
      <w:r>
        <w:t>rdian ad litem</w:t>
      </w:r>
      <w:r w:rsidR="00C94EB2">
        <w:t xml:space="preserve">, </w:t>
      </w:r>
      <w:r w:rsidR="002331F7">
        <w:t xml:space="preserve">filed a </w:t>
      </w:r>
      <w:r w:rsidR="00C94EB2">
        <w:t xml:space="preserve">first amended complaint </w:t>
      </w:r>
      <w:r w:rsidR="00E24E42">
        <w:t xml:space="preserve">(FAC) </w:t>
      </w:r>
      <w:r w:rsidR="00C94EB2">
        <w:t xml:space="preserve">against Contra Costa County Health Services and 13 other defendant health care providers and medical centers.  The </w:t>
      </w:r>
      <w:r w:rsidR="00E24E42">
        <w:t>FAC</w:t>
      </w:r>
      <w:r w:rsidR="00C94EB2">
        <w:t xml:space="preserve"> alleges two causes of action</w:t>
      </w:r>
      <w:r w:rsidR="00C827BF">
        <w:t>:</w:t>
      </w:r>
      <w:r w:rsidR="00C94EB2">
        <w:t xml:space="preserve"> </w:t>
      </w:r>
      <w:r w:rsidR="00C827BF">
        <w:t>(1)</w:t>
      </w:r>
      <w:r w:rsidR="00942BC5">
        <w:t> </w:t>
      </w:r>
      <w:r w:rsidR="00C94EB2">
        <w:t xml:space="preserve">medical malpractice as to plaintiff, and </w:t>
      </w:r>
      <w:r w:rsidR="00C827BF">
        <w:t xml:space="preserve">(2) </w:t>
      </w:r>
      <w:r w:rsidR="00C94EB2">
        <w:t xml:space="preserve">negligent infliction of emotional distress as to </w:t>
      </w:r>
      <w:r w:rsidR="002331F7">
        <w:t>his mother</w:t>
      </w:r>
      <w:r w:rsidR="00C94EB2">
        <w:t>.</w:t>
      </w:r>
      <w:r w:rsidR="002331F7">
        <w:rPr>
          <w:rStyle w:val="FootnoteReference"/>
        </w:rPr>
        <w:footnoteReference w:id="1"/>
      </w:r>
      <w:r w:rsidR="00C94EB2">
        <w:t xml:space="preserve"> </w:t>
      </w:r>
      <w:r w:rsidR="00332048">
        <w:t xml:space="preserve"> </w:t>
      </w:r>
      <w:r w:rsidR="002331F7">
        <w:t xml:space="preserve">Plaintiff’s theory at trial was that he sustained his injury because Madrigal breached the applicable standard of care by failing to schedule his delivery prior to 37 weeks’ gestation.  </w:t>
      </w:r>
      <w:r w:rsidR="00220653">
        <w:t xml:space="preserve">The case was </w:t>
      </w:r>
      <w:proofErr w:type="spellStart"/>
      <w:r w:rsidR="00220653">
        <w:t>tried</w:t>
      </w:r>
      <w:proofErr w:type="spellEnd"/>
      <w:r w:rsidR="00220653">
        <w:t xml:space="preserve"> to a jury, which</w:t>
      </w:r>
      <w:r w:rsidR="002331F7">
        <w:t xml:space="preserve"> found in </w:t>
      </w:r>
      <w:r w:rsidR="00220653">
        <w:t xml:space="preserve">plaintiff’s </w:t>
      </w:r>
      <w:r w:rsidR="002331F7">
        <w:t>favor on liabi</w:t>
      </w:r>
      <w:r w:rsidR="00220653">
        <w:t xml:space="preserve">lity.  Defendant does not contest </w:t>
      </w:r>
      <w:r w:rsidR="00E24E42">
        <w:t xml:space="preserve">this </w:t>
      </w:r>
      <w:r w:rsidR="00220653">
        <w:t>finding on appeal.</w:t>
      </w:r>
      <w:r w:rsidR="00E24E42">
        <w:t xml:space="preserve"> </w:t>
      </w:r>
    </w:p>
    <w:p w:rsidR="0002640C" w:rsidRPr="00213C6A" w:rsidRDefault="00BF2D81" w:rsidP="00C37E71">
      <w:pPr>
        <w:keepNext/>
        <w:rPr>
          <w:b/>
          <w:i/>
        </w:rPr>
      </w:pPr>
      <w:r>
        <w:rPr>
          <w:b/>
          <w:i/>
        </w:rPr>
        <w:t xml:space="preserve">Plaintiff’s and Defendant’s </w:t>
      </w:r>
      <w:r w:rsidR="00213C6A" w:rsidRPr="00213C6A">
        <w:rPr>
          <w:b/>
          <w:i/>
        </w:rPr>
        <w:t>Life Care Plans</w:t>
      </w:r>
    </w:p>
    <w:p w:rsidR="00FD24DE" w:rsidRDefault="00FD24DE" w:rsidP="00C37E71">
      <w:r>
        <w:tab/>
        <w:t xml:space="preserve">During discovery, plaintiff disclosed a </w:t>
      </w:r>
      <w:r w:rsidR="0002640C">
        <w:t>l</w:t>
      </w:r>
      <w:r>
        <w:t xml:space="preserve">ife </w:t>
      </w:r>
      <w:r w:rsidR="0002640C">
        <w:t>c</w:t>
      </w:r>
      <w:r>
        <w:t xml:space="preserve">are </w:t>
      </w:r>
      <w:r w:rsidR="0002640C">
        <w:t>p</w:t>
      </w:r>
      <w:r>
        <w:t xml:space="preserve">lan prepared by Jan </w:t>
      </w:r>
      <w:proofErr w:type="spellStart"/>
      <w:r>
        <w:t>Roughan</w:t>
      </w:r>
      <w:proofErr w:type="spellEnd"/>
      <w:r>
        <w:t xml:space="preserve">, in which she provided her opinion </w:t>
      </w:r>
      <w:r w:rsidR="00E24E42">
        <w:t>as to the kind of medical and rehabilitative care</w:t>
      </w:r>
      <w:r>
        <w:t xml:space="preserve"> he will need for the rest of his life, </w:t>
      </w:r>
      <w:r w:rsidR="00E24E42">
        <w:t>along with</w:t>
      </w:r>
      <w:r>
        <w:t xml:space="preserve"> the </w:t>
      </w:r>
      <w:r w:rsidR="00E24E42">
        <w:t xml:space="preserve">projected </w:t>
      </w:r>
      <w:r>
        <w:t>cost</w:t>
      </w:r>
      <w:r w:rsidR="00E24E42">
        <w:t>s</w:t>
      </w:r>
      <w:r>
        <w:t xml:space="preserve"> for each </w:t>
      </w:r>
      <w:r w:rsidR="00E24E42">
        <w:t xml:space="preserve">specific </w:t>
      </w:r>
      <w:r w:rsidR="008D06EC">
        <w:t xml:space="preserve">care </w:t>
      </w:r>
      <w:r>
        <w:t xml:space="preserve">item.  </w:t>
      </w:r>
      <w:r w:rsidR="00AE1855">
        <w:t xml:space="preserve">Her plan was based on the recommendations of medical specialists who testified on plaintiff’s behalf.  </w:t>
      </w:r>
      <w:r w:rsidR="000D4D3D">
        <w:t>As to future medical costs, t</w:t>
      </w:r>
      <w:r>
        <w:t>he plan d</w:t>
      </w:r>
      <w:r w:rsidR="000D4D3D">
        <w:t>oes</w:t>
      </w:r>
      <w:r>
        <w:t xml:space="preserve"> not account for service discounts </w:t>
      </w:r>
      <w:r w:rsidR="00AA48A0">
        <w:t xml:space="preserve">associated with </w:t>
      </w:r>
      <w:proofErr w:type="spellStart"/>
      <w:r>
        <w:t>Medi</w:t>
      </w:r>
      <w:proofErr w:type="spellEnd"/>
      <w:r>
        <w:t>-Cal</w:t>
      </w:r>
      <w:r w:rsidR="00A65E2F">
        <w:t xml:space="preserve">, even though plaintiff is currently receiving </w:t>
      </w:r>
      <w:proofErr w:type="spellStart"/>
      <w:r w:rsidR="00A65E2F">
        <w:t>Medi</w:t>
      </w:r>
      <w:proofErr w:type="spellEnd"/>
      <w:r w:rsidR="00A65E2F">
        <w:t>-Cal benefits</w:t>
      </w:r>
      <w:r w:rsidR="00AA48A0">
        <w:t xml:space="preserve">.  Nor does it reflect negotiated </w:t>
      </w:r>
      <w:r w:rsidR="0002640C">
        <w:t xml:space="preserve">discounts that </w:t>
      </w:r>
      <w:r w:rsidR="00AA48A0">
        <w:t>would</w:t>
      </w:r>
      <w:r w:rsidR="0002640C">
        <w:t xml:space="preserve"> </w:t>
      </w:r>
      <w:r w:rsidR="008D06EC">
        <w:t xml:space="preserve">potentially </w:t>
      </w:r>
      <w:r w:rsidR="0002640C">
        <w:t xml:space="preserve">be available </w:t>
      </w:r>
      <w:r w:rsidR="00AA48A0">
        <w:t xml:space="preserve">under </w:t>
      </w:r>
      <w:r w:rsidR="000E101D">
        <w:t>insurance</w:t>
      </w:r>
      <w:r w:rsidR="0002640C">
        <w:t xml:space="preserve"> </w:t>
      </w:r>
      <w:r w:rsidR="00AA48A0">
        <w:t xml:space="preserve">procured </w:t>
      </w:r>
      <w:r w:rsidR="0002640C">
        <w:t xml:space="preserve">through the ACA.  Instead, </w:t>
      </w:r>
      <w:proofErr w:type="spellStart"/>
      <w:r w:rsidR="00E24E42">
        <w:t>Roughan</w:t>
      </w:r>
      <w:proofErr w:type="spellEnd"/>
      <w:r w:rsidR="00E24E42">
        <w:t xml:space="preserve"> determined </w:t>
      </w:r>
      <w:r w:rsidR="0002640C">
        <w:t>future cost</w:t>
      </w:r>
      <w:r w:rsidR="000D4D3D">
        <w:t>s</w:t>
      </w:r>
      <w:r w:rsidR="0002640C">
        <w:t xml:space="preserve"> </w:t>
      </w:r>
      <w:r w:rsidR="000D4D3D">
        <w:t xml:space="preserve">for </w:t>
      </w:r>
      <w:r w:rsidR="0065732F">
        <w:t xml:space="preserve">plaintiff’s </w:t>
      </w:r>
      <w:r w:rsidR="000D4D3D">
        <w:t>medical care</w:t>
      </w:r>
      <w:r w:rsidR="0002640C">
        <w:t xml:space="preserve"> </w:t>
      </w:r>
      <w:r w:rsidR="000D4D3D">
        <w:t xml:space="preserve">by </w:t>
      </w:r>
      <w:r w:rsidR="00AA48A0">
        <w:t xml:space="preserve">referencing </w:t>
      </w:r>
      <w:r w:rsidR="000D4D3D">
        <w:t>a</w:t>
      </w:r>
      <w:r w:rsidR="0002640C">
        <w:t xml:space="preserve"> </w:t>
      </w:r>
      <w:r w:rsidR="00E87A73">
        <w:t xml:space="preserve">national </w:t>
      </w:r>
      <w:r w:rsidR="0002640C">
        <w:t xml:space="preserve">database </w:t>
      </w:r>
      <w:r w:rsidR="0012769A">
        <w:t xml:space="preserve">that </w:t>
      </w:r>
      <w:r w:rsidR="00E87A73">
        <w:t xml:space="preserve">reflects </w:t>
      </w:r>
      <w:r w:rsidR="0002640C">
        <w:t>the average charge</w:t>
      </w:r>
      <w:r w:rsidR="00AA48A0">
        <w:t>s</w:t>
      </w:r>
      <w:r w:rsidR="0002640C">
        <w:t xml:space="preserve"> </w:t>
      </w:r>
      <w:r w:rsidR="00D2378E">
        <w:t xml:space="preserve">billed </w:t>
      </w:r>
      <w:r w:rsidR="0002640C">
        <w:t xml:space="preserve">for each </w:t>
      </w:r>
      <w:r w:rsidR="009454EB">
        <w:t xml:space="preserve">type of </w:t>
      </w:r>
      <w:r w:rsidR="00E24E42">
        <w:t>service</w:t>
      </w:r>
      <w:r w:rsidR="0002640C">
        <w:t xml:space="preserve">.  </w:t>
      </w:r>
    </w:p>
    <w:p w:rsidR="00A65E2F" w:rsidRDefault="00213C6A" w:rsidP="00C37E71">
      <w:r>
        <w:tab/>
      </w:r>
      <w:r w:rsidR="00AE1855">
        <w:t>D</w:t>
      </w:r>
      <w:r w:rsidR="00D2378E">
        <w:t xml:space="preserve">efendant’s life care planner, Linda </w:t>
      </w:r>
      <w:proofErr w:type="spellStart"/>
      <w:r w:rsidR="00D2378E">
        <w:t>Olzack</w:t>
      </w:r>
      <w:proofErr w:type="spellEnd"/>
      <w:r w:rsidR="001D240C">
        <w:t>,</w:t>
      </w:r>
      <w:r>
        <w:t xml:space="preserve"> prepared life care plans</w:t>
      </w:r>
      <w:r w:rsidR="00AE1855">
        <w:t xml:space="preserve"> based on services recommended by a defense pediatric neurologist. </w:t>
      </w:r>
      <w:r>
        <w:t xml:space="preserve"> </w:t>
      </w:r>
      <w:r w:rsidR="00AE1855">
        <w:t xml:space="preserve">In contrast to </w:t>
      </w:r>
      <w:proofErr w:type="spellStart"/>
      <w:r w:rsidR="00AE1855">
        <w:t>Roughan</w:t>
      </w:r>
      <w:proofErr w:type="spellEnd"/>
      <w:r w:rsidR="00AE1855">
        <w:t xml:space="preserve">, </w:t>
      </w:r>
      <w:proofErr w:type="spellStart"/>
      <w:r w:rsidR="00AE1855">
        <w:t>Olzack’s</w:t>
      </w:r>
      <w:proofErr w:type="spellEnd"/>
      <w:r w:rsidR="00AE1855">
        <w:t xml:space="preserve"> plans </w:t>
      </w:r>
      <w:r>
        <w:t xml:space="preserve">reflect </w:t>
      </w:r>
      <w:r w:rsidR="00D2378E">
        <w:t xml:space="preserve">three </w:t>
      </w:r>
      <w:r w:rsidR="00BF2D81">
        <w:t>alternate</w:t>
      </w:r>
      <w:r w:rsidR="0065732F">
        <w:t xml:space="preserve"> cost</w:t>
      </w:r>
      <w:r>
        <w:t xml:space="preserve"> scenarios, </w:t>
      </w:r>
      <w:r w:rsidR="000E101D">
        <w:t>including</w:t>
      </w:r>
      <w:r>
        <w:t xml:space="preserve"> one in which </w:t>
      </w:r>
      <w:r w:rsidR="00C7365F">
        <w:t>plaintiff</w:t>
      </w:r>
      <w:r>
        <w:t xml:space="preserve"> would </w:t>
      </w:r>
      <w:r w:rsidR="000E101D">
        <w:t>continue</w:t>
      </w:r>
      <w:r>
        <w:t xml:space="preserve"> to be covered by </w:t>
      </w:r>
      <w:proofErr w:type="spellStart"/>
      <w:r>
        <w:t>Medi</w:t>
      </w:r>
      <w:proofErr w:type="spellEnd"/>
      <w:r>
        <w:t xml:space="preserve">-Cal, one in which he would procure private insurance under the ACA, and one in which he would pay for </w:t>
      </w:r>
      <w:r w:rsidR="00AA48A0">
        <w:t xml:space="preserve">his </w:t>
      </w:r>
      <w:r>
        <w:t xml:space="preserve">expenses out of </w:t>
      </w:r>
      <w:r w:rsidR="00AA48A0">
        <w:t>p</w:t>
      </w:r>
      <w:r>
        <w:t xml:space="preserve">ocket. </w:t>
      </w:r>
      <w:r w:rsidR="00257BB6">
        <w:t xml:space="preserve"> </w:t>
      </w:r>
      <w:r w:rsidR="00D2378E">
        <w:t xml:space="preserve">With respect to the private pay scenario, </w:t>
      </w:r>
      <w:proofErr w:type="spellStart"/>
      <w:r w:rsidR="00D2378E">
        <w:t>Olzack</w:t>
      </w:r>
      <w:proofErr w:type="spellEnd"/>
      <w:r w:rsidR="00D2378E">
        <w:t xml:space="preserve"> did not rely on amounts billed by healthcare providers in calculating future medical expenses.  </w:t>
      </w:r>
      <w:r w:rsidR="009454EB">
        <w:t>Instead</w:t>
      </w:r>
      <w:r w:rsidR="00D2378E">
        <w:t xml:space="preserve">, she contacted local health care providers and asked them how much individuals without insurance </w:t>
      </w:r>
      <w:r w:rsidR="00AA48A0">
        <w:t>are</w:t>
      </w:r>
      <w:r w:rsidR="00D2378E">
        <w:t xml:space="preserve"> required to pay.  These rates typically are less than what providers would </w:t>
      </w:r>
      <w:r w:rsidR="009454EB">
        <w:t>state</w:t>
      </w:r>
      <w:r w:rsidR="00D2378E">
        <w:t xml:space="preserve"> on a bill. </w:t>
      </w:r>
      <w:r w:rsidR="00AA48A0">
        <w:t xml:space="preserve"> </w:t>
      </w:r>
    </w:p>
    <w:p w:rsidR="00213C6A" w:rsidRDefault="00A65E2F" w:rsidP="00C37E71">
      <w:r>
        <w:tab/>
      </w:r>
      <w:proofErr w:type="spellStart"/>
      <w:r w:rsidR="00AA48A0">
        <w:t>Olzack’s</w:t>
      </w:r>
      <w:proofErr w:type="spellEnd"/>
      <w:r w:rsidR="00257BB6">
        <w:t xml:space="preserve"> </w:t>
      </w:r>
      <w:r w:rsidR="00AA48A0">
        <w:t xml:space="preserve">alternative </w:t>
      </w:r>
      <w:r w:rsidR="009454EB">
        <w:t xml:space="preserve">plans reflect the wide variations that </w:t>
      </w:r>
      <w:r w:rsidR="00C119D1">
        <w:t xml:space="preserve">presently </w:t>
      </w:r>
      <w:r w:rsidR="009454EB">
        <w:t xml:space="preserve">exist in medical charging practices.  Her </w:t>
      </w:r>
      <w:proofErr w:type="spellStart"/>
      <w:r w:rsidR="00AA48A0">
        <w:t>Medi</w:t>
      </w:r>
      <w:proofErr w:type="spellEnd"/>
      <w:r w:rsidR="00AA48A0">
        <w:t xml:space="preserve">-Cal life care plan </w:t>
      </w:r>
      <w:r w:rsidR="00C119D1">
        <w:t>reflects</w:t>
      </w:r>
      <w:r w:rsidR="00AA48A0">
        <w:t xml:space="preserve"> </w:t>
      </w:r>
      <w:r w:rsidR="00257BB6">
        <w:t xml:space="preserve">reimbursement rates </w:t>
      </w:r>
      <w:r w:rsidR="00AA48A0">
        <w:t xml:space="preserve">that </w:t>
      </w:r>
      <w:r w:rsidR="00257BB6">
        <w:t xml:space="preserve">appear to be substantially lower than the rates paid by persons without insurance.  </w:t>
      </w:r>
      <w:r w:rsidR="00C7365F">
        <w:t>For example, one category of expenses reflect</w:t>
      </w:r>
      <w:r w:rsidR="00AA48A0">
        <w:t>s</w:t>
      </w:r>
      <w:r w:rsidR="00C7365F">
        <w:t xml:space="preserve"> a more than 60 percent difference between the private pay </w:t>
      </w:r>
      <w:r w:rsidR="00AA48A0">
        <w:t xml:space="preserve">rate </w:t>
      </w:r>
      <w:r w:rsidR="00C7365F">
        <w:t>and</w:t>
      </w:r>
      <w:r w:rsidR="00AA48A0">
        <w:t xml:space="preserve"> the</w:t>
      </w:r>
      <w:r w:rsidR="00C7365F">
        <w:t xml:space="preserve"> </w:t>
      </w:r>
      <w:proofErr w:type="spellStart"/>
      <w:r w:rsidR="00C7365F">
        <w:t>Medi</w:t>
      </w:r>
      <w:proofErr w:type="spellEnd"/>
      <w:r w:rsidR="00C7365F">
        <w:t xml:space="preserve">-Cal rate.  </w:t>
      </w:r>
      <w:r w:rsidR="00AA48A0">
        <w:t>Within her plans, s</w:t>
      </w:r>
      <w:r w:rsidR="00213C6A">
        <w:t xml:space="preserve">he also took into consideration the free benefits </w:t>
      </w:r>
      <w:r w:rsidR="000D4D3D">
        <w:t>that</w:t>
      </w:r>
      <w:r w:rsidR="00213C6A">
        <w:t xml:space="preserve"> </w:t>
      </w:r>
      <w:r w:rsidR="00257BB6">
        <w:t>plaintiff</w:t>
      </w:r>
      <w:r w:rsidR="00213C6A">
        <w:t xml:space="preserve"> </w:t>
      </w:r>
      <w:r w:rsidR="00BF2D81">
        <w:t>i</w:t>
      </w:r>
      <w:r w:rsidR="00213C6A">
        <w:t>s</w:t>
      </w:r>
      <w:r w:rsidR="00E87A73">
        <w:t xml:space="preserve"> currently </w:t>
      </w:r>
      <w:r w:rsidR="000E101D">
        <w:t>entitled</w:t>
      </w:r>
      <w:r w:rsidR="00213C6A">
        <w:t xml:space="preserve"> </w:t>
      </w:r>
      <w:r w:rsidR="00BF2D81">
        <w:t xml:space="preserve">to receive </w:t>
      </w:r>
      <w:r w:rsidR="00213C6A">
        <w:t xml:space="preserve">from the regional center and </w:t>
      </w:r>
      <w:r w:rsidR="00E87A73">
        <w:t xml:space="preserve">public </w:t>
      </w:r>
      <w:r w:rsidR="00213C6A">
        <w:t xml:space="preserve">school system. </w:t>
      </w:r>
    </w:p>
    <w:p w:rsidR="00C7365F" w:rsidRDefault="00C7365F" w:rsidP="00C37E71">
      <w:r>
        <w:tab/>
      </w:r>
      <w:proofErr w:type="spellStart"/>
      <w:r>
        <w:t>Olzack</w:t>
      </w:r>
      <w:proofErr w:type="spellEnd"/>
      <w:r>
        <w:t xml:space="preserve"> also prepared a report c</w:t>
      </w:r>
      <w:r w:rsidR="00AA48A0">
        <w:t xml:space="preserve">omparing the costs </w:t>
      </w:r>
      <w:r w:rsidR="00236948">
        <w:t xml:space="preserve">for the </w:t>
      </w:r>
      <w:r w:rsidR="00C119D1">
        <w:t>services itemized</w:t>
      </w:r>
      <w:r w:rsidR="00236948">
        <w:t xml:space="preserve"> </w:t>
      </w:r>
      <w:r w:rsidR="00AA48A0">
        <w:t xml:space="preserve">in </w:t>
      </w:r>
      <w:proofErr w:type="spellStart"/>
      <w:r w:rsidR="00AA48A0">
        <w:t>Roughan’s</w:t>
      </w:r>
      <w:proofErr w:type="spellEnd"/>
      <w:r>
        <w:t xml:space="preserve"> plan with the </w:t>
      </w:r>
      <w:proofErr w:type="spellStart"/>
      <w:r>
        <w:t>Medi</w:t>
      </w:r>
      <w:proofErr w:type="spellEnd"/>
      <w:r>
        <w:t xml:space="preserve">-Cal payment rate for the same goods and services, revealing that </w:t>
      </w:r>
      <w:proofErr w:type="spellStart"/>
      <w:r>
        <w:t>Roughan’s</w:t>
      </w:r>
      <w:proofErr w:type="spellEnd"/>
      <w:r>
        <w:t xml:space="preserve"> costs were substantially higher.  </w:t>
      </w:r>
      <w:r w:rsidR="00D22841">
        <w:t>F</w:t>
      </w:r>
      <w:r>
        <w:t xml:space="preserve">or example, the cost for a wide </w:t>
      </w:r>
      <w:r w:rsidR="002B2D75">
        <w:t>variety</w:t>
      </w:r>
      <w:r>
        <w:t xml:space="preserve"> of physician visits listed in </w:t>
      </w:r>
      <w:proofErr w:type="spellStart"/>
      <w:r>
        <w:t>Roughan’s</w:t>
      </w:r>
      <w:proofErr w:type="spellEnd"/>
      <w:r>
        <w:t xml:space="preserve"> plan were four to six times higher than the </w:t>
      </w:r>
      <w:r w:rsidR="00C119D1">
        <w:t xml:space="preserve">corresponding </w:t>
      </w:r>
      <w:proofErr w:type="spellStart"/>
      <w:r>
        <w:t>Medi</w:t>
      </w:r>
      <w:proofErr w:type="spellEnd"/>
      <w:r>
        <w:t>-Cal rates.</w:t>
      </w:r>
      <w:r w:rsidR="00A268F5">
        <w:rPr>
          <w:rStyle w:val="FootnoteReference"/>
        </w:rPr>
        <w:footnoteReference w:id="2"/>
      </w:r>
      <w:r>
        <w:t xml:space="preserve">  </w:t>
      </w:r>
    </w:p>
    <w:p w:rsidR="0002640C" w:rsidRPr="00BF2D81" w:rsidRDefault="00BF2D81" w:rsidP="00C37E71">
      <w:pPr>
        <w:rPr>
          <w:b/>
          <w:i/>
        </w:rPr>
      </w:pPr>
      <w:r w:rsidRPr="00BF2D81">
        <w:rPr>
          <w:b/>
          <w:i/>
        </w:rPr>
        <w:t>Evidentiary Rulings</w:t>
      </w:r>
    </w:p>
    <w:p w:rsidR="00327EF9" w:rsidRDefault="00C94EB2" w:rsidP="00C37E71">
      <w:r>
        <w:tab/>
      </w:r>
      <w:r w:rsidR="00555D6B">
        <w:t xml:space="preserve">On January 10, 2014, plaintiff filed various motions in </w:t>
      </w:r>
      <w:proofErr w:type="spellStart"/>
      <w:r w:rsidR="00555D6B">
        <w:t>limine</w:t>
      </w:r>
      <w:proofErr w:type="spellEnd"/>
      <w:r w:rsidR="00555D6B">
        <w:t xml:space="preserve">, including one seeking </w:t>
      </w:r>
      <w:r>
        <w:t xml:space="preserve">to exclude evidence of collateral source payments from </w:t>
      </w:r>
      <w:proofErr w:type="spellStart"/>
      <w:r>
        <w:t>Medi</w:t>
      </w:r>
      <w:proofErr w:type="spellEnd"/>
      <w:r>
        <w:t>-Cal and other public sources</w:t>
      </w:r>
      <w:r w:rsidR="00555D6B">
        <w:t>,</w:t>
      </w:r>
      <w:r w:rsidR="000F4A8F">
        <w:t xml:space="preserve"> </w:t>
      </w:r>
      <w:r w:rsidR="00F14CE6">
        <w:t xml:space="preserve">and </w:t>
      </w:r>
      <w:r w:rsidR="00555D6B">
        <w:t xml:space="preserve">another </w:t>
      </w:r>
      <w:r w:rsidR="00F377C1">
        <w:t xml:space="preserve">to exclude evidence of future collateral sources.  </w:t>
      </w:r>
      <w:r w:rsidR="00346812">
        <w:t xml:space="preserve">Plaintiff also filed a motion to exclude evidence, opinion, or argument regarding any possible future medical benefits </w:t>
      </w:r>
      <w:r w:rsidR="00466C4F">
        <w:t>available through</w:t>
      </w:r>
      <w:r w:rsidR="00346812">
        <w:t xml:space="preserve"> ACA-mandated insurance.  In part, p</w:t>
      </w:r>
      <w:r w:rsidR="00F377C1">
        <w:t xml:space="preserve">laintiff </w:t>
      </w:r>
      <w:r w:rsidR="00466C4F">
        <w:t>asserted</w:t>
      </w:r>
      <w:r w:rsidR="00F377C1">
        <w:t xml:space="preserve"> that Civil Code section 3333.1</w:t>
      </w:r>
      <w:r w:rsidR="009A37A8">
        <w:t xml:space="preserve"> (section 3333.1), a statute contained within the </w:t>
      </w:r>
      <w:r w:rsidR="009A37A8" w:rsidRPr="009A37A8">
        <w:t>Medical Injury Compensation Reform Act</w:t>
      </w:r>
      <w:r w:rsidR="009A37A8">
        <w:t xml:space="preserve"> (MICRA), </w:t>
      </w:r>
      <w:r w:rsidR="00E02EF5">
        <w:t>does not allow</w:t>
      </w:r>
      <w:r w:rsidR="00F377C1">
        <w:t xml:space="preserve"> the introduction of evidence regarding future collateral source medical benefits</w:t>
      </w:r>
      <w:r w:rsidR="00466C4F">
        <w:t xml:space="preserve">.  He contended </w:t>
      </w:r>
      <w:r w:rsidR="00F377C1">
        <w:t>defendant’</w:t>
      </w:r>
      <w:r w:rsidR="00BF2D81">
        <w:t>s</w:t>
      </w:r>
      <w:r w:rsidR="00F377C1">
        <w:t xml:space="preserve"> expert should be prohibited from offering opinions as to such evidence. </w:t>
      </w:r>
      <w:r w:rsidR="00327EF9">
        <w:t xml:space="preserve"> </w:t>
      </w:r>
    </w:p>
    <w:p w:rsidR="00BD77E8" w:rsidRDefault="00BD77E8" w:rsidP="00C37E71">
      <w:r>
        <w:tab/>
        <w:t xml:space="preserve">On July 14, 2014, defendant filed further briefing on </w:t>
      </w:r>
      <w:r w:rsidR="00A65E2F">
        <w:t xml:space="preserve">the issue of </w:t>
      </w:r>
      <w:r>
        <w:t xml:space="preserve">future medical </w:t>
      </w:r>
      <w:r w:rsidR="0012769A">
        <w:t>benefits</w:t>
      </w:r>
      <w:r w:rsidR="00C119D1">
        <w:t>.</w:t>
      </w:r>
      <w:r>
        <w:t xml:space="preserve">  </w:t>
      </w:r>
      <w:r w:rsidR="00C119D1">
        <w:t xml:space="preserve">In support of its argument that evidence of </w:t>
      </w:r>
      <w:r w:rsidR="001F5659">
        <w:t xml:space="preserve">prospective </w:t>
      </w:r>
      <w:r w:rsidR="00C119D1">
        <w:t xml:space="preserve">ACA benefits should be </w:t>
      </w:r>
      <w:r w:rsidR="00B13FB3">
        <w:t>offered</w:t>
      </w:r>
      <w:r w:rsidR="00C119D1">
        <w:t xml:space="preserve"> to the jury, it </w:t>
      </w:r>
      <w:r>
        <w:t>includ</w:t>
      </w:r>
      <w:r w:rsidR="00C119D1">
        <w:t>ed</w:t>
      </w:r>
      <w:r>
        <w:t xml:space="preserve"> a declaration prepared by Thomas J. Dawson, an expert on the ACA </w:t>
      </w:r>
      <w:r w:rsidR="00236948">
        <w:t>and</w:t>
      </w:r>
      <w:r>
        <w:t xml:space="preserve"> regulatory and health care policy</w:t>
      </w:r>
      <w:r w:rsidR="001D240C">
        <w:t>,</w:t>
      </w:r>
      <w:r>
        <w:t xml:space="preserve"> who worked for the United States House of Representatives during the passage of the ACA and was directly involve</w:t>
      </w:r>
      <w:r w:rsidR="00422A1B">
        <w:t>d</w:t>
      </w:r>
      <w:r>
        <w:t xml:space="preserve"> in negotiating key provisions of the legislation.  </w:t>
      </w:r>
    </w:p>
    <w:p w:rsidR="000D20E4" w:rsidRDefault="00C94EB2" w:rsidP="00C37E71">
      <w:r>
        <w:tab/>
      </w:r>
      <w:r w:rsidR="00CC3F67">
        <w:t xml:space="preserve">After hearing argument, the trial court ruled that </w:t>
      </w:r>
      <w:r w:rsidR="00BF2D81">
        <w:t>defendant</w:t>
      </w:r>
      <w:r w:rsidR="00CC3F67">
        <w:t xml:space="preserve"> could not present </w:t>
      </w:r>
      <w:r w:rsidR="00466C4F">
        <w:t xml:space="preserve">as a collateral-source offset any </w:t>
      </w:r>
      <w:r w:rsidR="00CC3F67">
        <w:t xml:space="preserve">evidence concerning </w:t>
      </w:r>
      <w:r w:rsidR="00F14CE6">
        <w:t xml:space="preserve">publicly funded </w:t>
      </w:r>
      <w:r w:rsidR="00CC3F67">
        <w:t xml:space="preserve">benefits </w:t>
      </w:r>
      <w:r w:rsidR="00F14CE6">
        <w:t>available through</w:t>
      </w:r>
      <w:r w:rsidR="00CC3F67">
        <w:t xml:space="preserve"> regional center</w:t>
      </w:r>
      <w:r w:rsidR="00F14CE6">
        <w:t>s</w:t>
      </w:r>
      <w:r w:rsidR="00CC3F67">
        <w:t xml:space="preserve"> and </w:t>
      </w:r>
      <w:r w:rsidR="00F14CE6">
        <w:t xml:space="preserve">the public </w:t>
      </w:r>
      <w:r w:rsidR="00CC3F67">
        <w:t xml:space="preserve">school system.  </w:t>
      </w:r>
      <w:r w:rsidR="00CF3265">
        <w:t>Relying on section 3333.1, i</w:t>
      </w:r>
      <w:r w:rsidR="00CC3F67">
        <w:t xml:space="preserve">t also ruled </w:t>
      </w:r>
      <w:r w:rsidR="00BF2D81">
        <w:t>defendant</w:t>
      </w:r>
      <w:r w:rsidR="00CC3F67">
        <w:t xml:space="preserve"> could not </w:t>
      </w:r>
      <w:r w:rsidR="000E101D">
        <w:t>introduce</w:t>
      </w:r>
      <w:r w:rsidR="00CC3F67">
        <w:t xml:space="preserve"> any evidence of </w:t>
      </w:r>
      <w:proofErr w:type="spellStart"/>
      <w:r w:rsidR="00CC3F67">
        <w:t>Medi</w:t>
      </w:r>
      <w:proofErr w:type="spellEnd"/>
      <w:r w:rsidR="00CC3F67">
        <w:t>-Cal benefits</w:t>
      </w:r>
      <w:r w:rsidR="0007718F">
        <w:t>,</w:t>
      </w:r>
      <w:r w:rsidR="000F4A8F">
        <w:t xml:space="preserve"> </w:t>
      </w:r>
      <w:r w:rsidR="007D15BE">
        <w:t>n</w:t>
      </w:r>
      <w:r w:rsidR="00CC3F67">
        <w:t xml:space="preserve">or </w:t>
      </w:r>
      <w:r w:rsidR="007D15BE">
        <w:t xml:space="preserve">could </w:t>
      </w:r>
      <w:r w:rsidR="0007718F">
        <w:t>it</w:t>
      </w:r>
      <w:r w:rsidR="00F14CE6">
        <w:t xml:space="preserve"> </w:t>
      </w:r>
      <w:r w:rsidR="007D15BE">
        <w:t xml:space="preserve">introduce </w:t>
      </w:r>
      <w:r w:rsidR="00CC3F67">
        <w:t xml:space="preserve">evidence of </w:t>
      </w:r>
      <w:r w:rsidR="00CF3265">
        <w:t xml:space="preserve">ACA </w:t>
      </w:r>
      <w:r w:rsidR="00F50002">
        <w:t xml:space="preserve">insurance </w:t>
      </w:r>
      <w:r w:rsidR="00CF3265">
        <w:t>benefits</w:t>
      </w:r>
      <w:r w:rsidR="00CC3F67">
        <w:t xml:space="preserve">. </w:t>
      </w:r>
      <w:r w:rsidR="00E02EF5">
        <w:t xml:space="preserve"> </w:t>
      </w:r>
      <w:r w:rsidR="00D632FB">
        <w:t xml:space="preserve">With respect to </w:t>
      </w:r>
      <w:proofErr w:type="spellStart"/>
      <w:r w:rsidR="00D632FB">
        <w:t>Medi</w:t>
      </w:r>
      <w:proofErr w:type="spellEnd"/>
      <w:r w:rsidR="00D632FB">
        <w:t xml:space="preserve">-Cal, the court ruled that </w:t>
      </w:r>
      <w:proofErr w:type="spellStart"/>
      <w:r w:rsidR="00D632FB">
        <w:t>Medi</w:t>
      </w:r>
      <w:proofErr w:type="spellEnd"/>
      <w:r w:rsidR="00D632FB">
        <w:t xml:space="preserve">-Cal is not subject to MICRA’s exception to the collateral source rule.  </w:t>
      </w:r>
      <w:r w:rsidR="00D31018">
        <w:t xml:space="preserve">With respect to the ACA, the court </w:t>
      </w:r>
      <w:r w:rsidR="00CF3265">
        <w:t xml:space="preserve">also </w:t>
      </w:r>
      <w:r w:rsidR="009F2CFA">
        <w:t>reasoned</w:t>
      </w:r>
      <w:r w:rsidR="00D31018">
        <w:t xml:space="preserve">: </w:t>
      </w:r>
      <w:r w:rsidR="00422A1B">
        <w:t xml:space="preserve"> </w:t>
      </w:r>
      <w:r w:rsidR="00D31018">
        <w:t xml:space="preserve">“I believe that there is no reasonable </w:t>
      </w:r>
      <w:r w:rsidR="002B2D75">
        <w:t>certainty</w:t>
      </w:r>
      <w:r w:rsidR="00D31018">
        <w:t xml:space="preserve"> that that benefit will be in place, and that’s something that</w:t>
      </w:r>
      <w:r w:rsidR="001D240C">
        <w:t>—</w:t>
      </w:r>
      <w:r w:rsidR="00D31018">
        <w:t xml:space="preserve">you have to cross that barrier in order to be considered as something that should be presented to the jury for factual consideration.”  </w:t>
      </w:r>
    </w:p>
    <w:p w:rsidR="0040170B" w:rsidRDefault="000D20E4" w:rsidP="00C37E71">
      <w:r>
        <w:tab/>
        <w:t xml:space="preserve">On August 28, 2014, defendant filed a request for clarification regarding </w:t>
      </w:r>
      <w:r w:rsidR="00D632FB">
        <w:t xml:space="preserve">the presentation of </w:t>
      </w:r>
      <w:r>
        <w:t xml:space="preserve">evidence </w:t>
      </w:r>
      <w:r w:rsidR="00D632FB">
        <w:t>as to</w:t>
      </w:r>
      <w:r>
        <w:t xml:space="preserve"> </w:t>
      </w:r>
      <w:r w:rsidR="006E583C">
        <w:t>plaintiff’s</w:t>
      </w:r>
      <w:r w:rsidR="00D632FB">
        <w:t xml:space="preserve"> </w:t>
      </w:r>
      <w:r>
        <w:t xml:space="preserve">future medical expenses.  Specifically, it </w:t>
      </w:r>
      <w:r w:rsidR="003C12E3">
        <w:t>asserted</w:t>
      </w:r>
      <w:r>
        <w:t xml:space="preserve"> </w:t>
      </w:r>
      <w:proofErr w:type="spellStart"/>
      <w:r w:rsidR="00D632FB">
        <w:t>Roughan</w:t>
      </w:r>
      <w:proofErr w:type="spellEnd"/>
      <w:r w:rsidR="00D632FB">
        <w:t xml:space="preserve"> </w:t>
      </w:r>
      <w:r w:rsidR="003261BC">
        <w:t>had relied on</w:t>
      </w:r>
      <w:r w:rsidR="00D632FB">
        <w:t xml:space="preserve"> </w:t>
      </w:r>
      <w:r w:rsidR="006E583C">
        <w:t>“</w:t>
      </w:r>
      <w:r w:rsidR="00D632FB">
        <w:t>inflated</w:t>
      </w:r>
      <w:r w:rsidR="00D63939">
        <w:t>”</w:t>
      </w:r>
      <w:r w:rsidR="00D632FB">
        <w:t xml:space="preserve"> billed amounts in calculating the cost of plaintiff’s future medical care, rat</w:t>
      </w:r>
      <w:r>
        <w:t>her</w:t>
      </w:r>
      <w:r w:rsidR="0040622E">
        <w:t xml:space="preserve"> </w:t>
      </w:r>
      <w:r>
        <w:t xml:space="preserve">than the lower amounts </w:t>
      </w:r>
      <w:r w:rsidR="00D632FB">
        <w:t>providers actually</w:t>
      </w:r>
      <w:r>
        <w:t xml:space="preserve"> accept as full payment</w:t>
      </w:r>
      <w:r w:rsidR="0040622E">
        <w:t>.</w:t>
      </w:r>
      <w:r>
        <w:t xml:space="preserve"> </w:t>
      </w:r>
      <w:r w:rsidR="00F50002">
        <w:t xml:space="preserve"> </w:t>
      </w:r>
      <w:r w:rsidR="0040622E">
        <w:t xml:space="preserve">Defendant </w:t>
      </w:r>
      <w:r w:rsidR="003261BC">
        <w:t xml:space="preserve">questioned whether the </w:t>
      </w:r>
      <w:r w:rsidR="006E583C">
        <w:t xml:space="preserve">trial </w:t>
      </w:r>
      <w:r w:rsidR="003261BC">
        <w:t xml:space="preserve">court had intended to allow </w:t>
      </w:r>
      <w:r w:rsidR="006E583C">
        <w:t xml:space="preserve">the introduction of </w:t>
      </w:r>
      <w:r w:rsidR="003261BC">
        <w:t xml:space="preserve">such evidence when it made its earlier rulings on plaintiff’s motions in </w:t>
      </w:r>
      <w:proofErr w:type="spellStart"/>
      <w:r w:rsidR="003261BC">
        <w:t>lim</w:t>
      </w:r>
      <w:r w:rsidR="006E583C">
        <w:t>in</w:t>
      </w:r>
      <w:r w:rsidR="003261BC">
        <w:t>e</w:t>
      </w:r>
      <w:proofErr w:type="spellEnd"/>
      <w:r w:rsidR="00C52AE4">
        <w:t>.  Defendant</w:t>
      </w:r>
      <w:r w:rsidR="003261BC">
        <w:t xml:space="preserve"> </w:t>
      </w:r>
      <w:r w:rsidR="0040170B">
        <w:t>suggest</w:t>
      </w:r>
      <w:r w:rsidR="00C52AE4">
        <w:t>ed</w:t>
      </w:r>
      <w:r w:rsidR="003261BC">
        <w:t xml:space="preserve"> </w:t>
      </w:r>
      <w:r w:rsidR="00466C4F">
        <w:t>the</w:t>
      </w:r>
      <w:r w:rsidR="0040170B">
        <w:t xml:space="preserve"> evidence </w:t>
      </w:r>
      <w:r w:rsidR="00D63939">
        <w:t>should</w:t>
      </w:r>
      <w:r w:rsidR="003261BC">
        <w:t xml:space="preserve"> </w:t>
      </w:r>
      <w:r w:rsidR="003C12E3">
        <w:t xml:space="preserve">instead </w:t>
      </w:r>
      <w:r w:rsidR="003261BC">
        <w:t xml:space="preserve">be limited to </w:t>
      </w:r>
      <w:r w:rsidR="0040170B">
        <w:t xml:space="preserve">the </w:t>
      </w:r>
      <w:r w:rsidR="003261BC">
        <w:t xml:space="preserve">amounts health care providers will accept in the future as full payment.  </w:t>
      </w:r>
    </w:p>
    <w:p w:rsidR="00D63939" w:rsidRDefault="0040170B" w:rsidP="00C37E71">
      <w:r>
        <w:tab/>
        <w:t>Defendant noted</w:t>
      </w:r>
      <w:r w:rsidR="00710BEE">
        <w:t xml:space="preserve"> </w:t>
      </w:r>
      <w:proofErr w:type="spellStart"/>
      <w:r w:rsidR="00710BEE">
        <w:t>Roughan’s</w:t>
      </w:r>
      <w:proofErr w:type="spellEnd"/>
      <w:r w:rsidR="00710BEE">
        <w:t xml:space="preserve"> life care plan did not reflect the substantially lower amounts that would be accepted as full payment under </w:t>
      </w:r>
      <w:proofErr w:type="spellStart"/>
      <w:r w:rsidR="00710BEE">
        <w:t>Medi</w:t>
      </w:r>
      <w:proofErr w:type="spellEnd"/>
      <w:r w:rsidR="00710BEE">
        <w:t>-Cal or private insurance.</w:t>
      </w:r>
      <w:r w:rsidR="00710BEE">
        <w:rPr>
          <w:rStyle w:val="FootnoteReference"/>
        </w:rPr>
        <w:footnoteReference w:id="3"/>
      </w:r>
      <w:r w:rsidR="00710BEE">
        <w:t xml:space="preserve">  </w:t>
      </w:r>
      <w:r>
        <w:t xml:space="preserve">It </w:t>
      </w:r>
      <w:r w:rsidR="00710BEE">
        <w:t xml:space="preserve">relied heavily on </w:t>
      </w:r>
      <w:r w:rsidR="00710BEE" w:rsidRPr="00710BEE">
        <w:rPr>
          <w:i/>
        </w:rPr>
        <w:t>Howe</w:t>
      </w:r>
      <w:r>
        <w:rPr>
          <w:i/>
        </w:rPr>
        <w:t>l</w:t>
      </w:r>
      <w:r w:rsidR="00710BEE" w:rsidRPr="00710BEE">
        <w:rPr>
          <w:i/>
        </w:rPr>
        <w:t>l</w:t>
      </w:r>
      <w:r>
        <w:rPr>
          <w:i/>
        </w:rPr>
        <w:t xml:space="preserve"> v. Hamilton Meats &amp; Provisions, Inc.</w:t>
      </w:r>
      <w:r>
        <w:t xml:space="preserve"> (2011)</w:t>
      </w:r>
      <w:r w:rsidR="00710BEE">
        <w:t xml:space="preserve"> 52 Cal.4th </w:t>
      </w:r>
      <w:r>
        <w:t>541</w:t>
      </w:r>
      <w:r w:rsidR="00710BEE">
        <w:t xml:space="preserve"> </w:t>
      </w:r>
      <w:r w:rsidR="00A743B4">
        <w:t>(</w:t>
      </w:r>
      <w:r w:rsidR="00A743B4" w:rsidRPr="00A743B4">
        <w:rPr>
          <w:i/>
        </w:rPr>
        <w:t>Howell</w:t>
      </w:r>
      <w:r w:rsidR="00A743B4">
        <w:t xml:space="preserve">) </w:t>
      </w:r>
      <w:r w:rsidR="00710BEE">
        <w:t xml:space="preserve">and </w:t>
      </w:r>
      <w:proofErr w:type="spellStart"/>
      <w:r w:rsidR="00710BEE" w:rsidRPr="00710BEE">
        <w:rPr>
          <w:i/>
        </w:rPr>
        <w:t>Corenbaum</w:t>
      </w:r>
      <w:proofErr w:type="spellEnd"/>
      <w:r>
        <w:rPr>
          <w:i/>
        </w:rPr>
        <w:t xml:space="preserve"> v. Lampkin</w:t>
      </w:r>
      <w:r>
        <w:t xml:space="preserve"> (2013) 215 Cal.App.4th 1308</w:t>
      </w:r>
      <w:r w:rsidR="00710BEE">
        <w:t xml:space="preserve"> </w:t>
      </w:r>
      <w:r w:rsidR="00A743B4">
        <w:t>(</w:t>
      </w:r>
      <w:proofErr w:type="spellStart"/>
      <w:r w:rsidR="00A743B4" w:rsidRPr="00A743B4">
        <w:rPr>
          <w:i/>
        </w:rPr>
        <w:t>Corenbaum</w:t>
      </w:r>
      <w:proofErr w:type="spellEnd"/>
      <w:r w:rsidR="00A743B4">
        <w:t xml:space="preserve">) </w:t>
      </w:r>
      <w:r w:rsidR="00710BEE">
        <w:t xml:space="preserve">in arguing that plaintiff’s recovery should be limited to the amount he proves is likely to be paid to providers for his future medical care, not the amount </w:t>
      </w:r>
      <w:r w:rsidR="0065732F">
        <w:t xml:space="preserve">his </w:t>
      </w:r>
      <w:r w:rsidR="00710BEE">
        <w:t xml:space="preserve">providers are likely to bill. </w:t>
      </w:r>
      <w:r w:rsidR="00B90BBB">
        <w:t xml:space="preserve"> It </w:t>
      </w:r>
      <w:r w:rsidR="00257BB6">
        <w:t>contended that</w:t>
      </w:r>
      <w:r w:rsidR="00B90BBB">
        <w:t xml:space="preserve"> the billed rates reflected in </w:t>
      </w:r>
      <w:proofErr w:type="spellStart"/>
      <w:r w:rsidR="00B90BBB">
        <w:t>Roughan’s</w:t>
      </w:r>
      <w:proofErr w:type="spellEnd"/>
      <w:r w:rsidR="00B90BBB">
        <w:t xml:space="preserve"> plan were </w:t>
      </w:r>
      <w:r>
        <w:t xml:space="preserve">therefore </w:t>
      </w:r>
      <w:r w:rsidR="00B90BBB">
        <w:t xml:space="preserve">inadmissible.  </w:t>
      </w:r>
    </w:p>
    <w:p w:rsidR="000D20E4" w:rsidRDefault="00D63939" w:rsidP="00C37E71">
      <w:r>
        <w:tab/>
        <w:t xml:space="preserve">Defendant </w:t>
      </w:r>
      <w:r w:rsidR="0040622E">
        <w:t xml:space="preserve">also asked </w:t>
      </w:r>
      <w:r w:rsidR="000D20E4">
        <w:t xml:space="preserve">whether </w:t>
      </w:r>
      <w:r w:rsidR="0040622E">
        <w:t>it</w:t>
      </w:r>
      <w:r w:rsidR="000D20E4">
        <w:t xml:space="preserve"> </w:t>
      </w:r>
      <w:r w:rsidR="00D632FB">
        <w:t xml:space="preserve">would be allowed </w:t>
      </w:r>
      <w:r w:rsidR="00736D5E">
        <w:t xml:space="preserve">to </w:t>
      </w:r>
      <w:r w:rsidR="000D20E4">
        <w:t>introduce evide</w:t>
      </w:r>
      <w:r w:rsidR="0040622E">
        <w:t>n</w:t>
      </w:r>
      <w:r w:rsidR="000D20E4">
        <w:t>ce concerning the range of amounts healthcare providers accept as full payment</w:t>
      </w:r>
      <w:r w:rsidR="00C52AE4">
        <w:t>,</w:t>
      </w:r>
      <w:r w:rsidR="000D20E4">
        <w:t xml:space="preserve"> without </w:t>
      </w:r>
      <w:r w:rsidR="009440FB">
        <w:t xml:space="preserve">making </w:t>
      </w:r>
      <w:r w:rsidR="000D20E4">
        <w:t xml:space="preserve">reference to the </w:t>
      </w:r>
      <w:r w:rsidR="0017202D">
        <w:t xml:space="preserve">actual </w:t>
      </w:r>
      <w:r w:rsidR="000D20E4">
        <w:t>source</w:t>
      </w:r>
      <w:r w:rsidR="006E583C">
        <w:t>s</w:t>
      </w:r>
      <w:r w:rsidR="000D20E4">
        <w:t xml:space="preserve"> </w:t>
      </w:r>
      <w:r>
        <w:t>(</w:t>
      </w:r>
      <w:r w:rsidR="0040170B" w:rsidRPr="001D240C">
        <w:t>i.e</w:t>
      </w:r>
      <w:r w:rsidR="0040170B">
        <w:t xml:space="preserve">., </w:t>
      </w:r>
      <w:proofErr w:type="spellStart"/>
      <w:r>
        <w:t>Medi</w:t>
      </w:r>
      <w:proofErr w:type="spellEnd"/>
      <w:r>
        <w:t xml:space="preserve">-Cal or private insurance) </w:t>
      </w:r>
      <w:r w:rsidR="000D20E4">
        <w:t xml:space="preserve">of those payments.  </w:t>
      </w:r>
      <w:r>
        <w:t xml:space="preserve">Defendant asserted that introducing these </w:t>
      </w:r>
      <w:r w:rsidR="0065732F">
        <w:t xml:space="preserve">reduced </w:t>
      </w:r>
      <w:r>
        <w:t xml:space="preserve">amounts “would assist the jury in evaluating the reasonable value of plaintiff’s future medical care, without violating the collateral source rule by disclosing the third party source of payment.”  </w:t>
      </w:r>
      <w:r w:rsidR="00CF3265">
        <w:t>It</w:t>
      </w:r>
      <w:r w:rsidR="003709FA">
        <w:t xml:space="preserve"> </w:t>
      </w:r>
      <w:r w:rsidR="0017202D">
        <w:t>reasoned</w:t>
      </w:r>
      <w:r w:rsidR="003709FA">
        <w:t xml:space="preserve"> “[t]he fact that </w:t>
      </w:r>
      <w:proofErr w:type="spellStart"/>
      <w:r w:rsidR="003709FA">
        <w:t>Medi</w:t>
      </w:r>
      <w:proofErr w:type="spellEnd"/>
      <w:r w:rsidR="003709FA">
        <w:t xml:space="preserve">-Cal does not fall within the exception to the collateral source rule of MICRA is completely separate from the issue of whether the County may introduce evidence regarding the amounts </w:t>
      </w:r>
      <w:proofErr w:type="spellStart"/>
      <w:r w:rsidR="003709FA">
        <w:t>Medi</w:t>
      </w:r>
      <w:proofErr w:type="spellEnd"/>
      <w:r w:rsidR="003709FA">
        <w:t xml:space="preserve">-Cal will pay for a service, without referencing the source of payment.  In the former scenario, the County would be seeking to be completely relieved from paying for a service that </w:t>
      </w:r>
      <w:proofErr w:type="spellStart"/>
      <w:r w:rsidR="003709FA">
        <w:t>Medi</w:t>
      </w:r>
      <w:proofErr w:type="spellEnd"/>
      <w:r w:rsidR="003709FA">
        <w:t>-Cal will cover, while in the lat</w:t>
      </w:r>
      <w:r w:rsidR="00422A1B">
        <w:t>t</w:t>
      </w:r>
      <w:r w:rsidR="003709FA">
        <w:t xml:space="preserve">er, </w:t>
      </w:r>
      <w:r w:rsidR="00BB6A10">
        <w:t>the County simply seeks to provide</w:t>
      </w:r>
      <w:r w:rsidR="003709FA">
        <w:t xml:space="preserve"> the jury with all of the information needed to determine the rea</w:t>
      </w:r>
      <w:r w:rsidR="00A743B4">
        <w:t>s</w:t>
      </w:r>
      <w:r w:rsidR="003709FA">
        <w:t xml:space="preserve">onable value of plaintiff’s future medical care.” </w:t>
      </w:r>
    </w:p>
    <w:p w:rsidR="0040622E" w:rsidRDefault="0040622E" w:rsidP="00C37E71">
      <w:r>
        <w:tab/>
        <w:t xml:space="preserve">The trial court </w:t>
      </w:r>
      <w:r w:rsidR="0017202D">
        <w:t>stated that</w:t>
      </w:r>
      <w:r w:rsidR="007076EF">
        <w:t xml:space="preserve"> it would allow</w:t>
      </w:r>
      <w:r w:rsidR="00257BB6">
        <w:t xml:space="preserve"> evidence of</w:t>
      </w:r>
      <w:r w:rsidR="00D10C7A">
        <w:t xml:space="preserve"> </w:t>
      </w:r>
      <w:proofErr w:type="spellStart"/>
      <w:r w:rsidR="00F50002">
        <w:t>Roughan</w:t>
      </w:r>
      <w:r w:rsidR="007076EF">
        <w:t>’s</w:t>
      </w:r>
      <w:proofErr w:type="spellEnd"/>
      <w:r w:rsidR="007076EF">
        <w:t xml:space="preserve"> </w:t>
      </w:r>
      <w:r w:rsidR="0017202D">
        <w:t>reliance on</w:t>
      </w:r>
      <w:r w:rsidR="00A743B4">
        <w:t xml:space="preserve"> </w:t>
      </w:r>
      <w:r w:rsidR="0017202D">
        <w:t xml:space="preserve">the </w:t>
      </w:r>
      <w:r w:rsidR="0012769A">
        <w:t xml:space="preserve">national </w:t>
      </w:r>
      <w:r w:rsidR="0017202D">
        <w:t>database</w:t>
      </w:r>
      <w:r>
        <w:t xml:space="preserve"> </w:t>
      </w:r>
      <w:r w:rsidR="00D10C7A">
        <w:t>to</w:t>
      </w:r>
      <w:r>
        <w:t xml:space="preserve"> project </w:t>
      </w:r>
      <w:r w:rsidR="007076EF">
        <w:t xml:space="preserve">plaintiff’s </w:t>
      </w:r>
      <w:r w:rsidR="00F50002">
        <w:t xml:space="preserve">medical costs </w:t>
      </w:r>
      <w:r>
        <w:t>into the future</w:t>
      </w:r>
      <w:r w:rsidR="00D7738D">
        <w:t xml:space="preserve"> “because it’s not relying on past billed amounts</w:t>
      </w:r>
      <w:r>
        <w:t>.</w:t>
      </w:r>
      <w:r w:rsidR="00D7738D">
        <w:t>”</w:t>
      </w:r>
      <w:r>
        <w:t xml:space="preserve"> </w:t>
      </w:r>
      <w:r w:rsidR="009440FB">
        <w:t xml:space="preserve"> </w:t>
      </w:r>
      <w:r w:rsidR="00D7738D">
        <w:t>T</w:t>
      </w:r>
      <w:r w:rsidR="009440FB">
        <w:t xml:space="preserve">he court </w:t>
      </w:r>
      <w:r w:rsidR="00FB49D6">
        <w:t xml:space="preserve">also </w:t>
      </w:r>
      <w:r w:rsidR="00F50002">
        <w:t>indicated it</w:t>
      </w:r>
      <w:r w:rsidR="007F434E">
        <w:t xml:space="preserve"> </w:t>
      </w:r>
      <w:r w:rsidR="00F50002">
        <w:t xml:space="preserve">would permit </w:t>
      </w:r>
      <w:proofErr w:type="spellStart"/>
      <w:r w:rsidR="00F50002">
        <w:t>Olzack</w:t>
      </w:r>
      <w:proofErr w:type="spellEnd"/>
      <w:r w:rsidR="00F50002">
        <w:t xml:space="preserve"> to testify that she </w:t>
      </w:r>
      <w:r w:rsidR="009440FB">
        <w:t xml:space="preserve">had based her </w:t>
      </w:r>
      <w:r w:rsidR="00257BB6">
        <w:t xml:space="preserve">own </w:t>
      </w:r>
      <w:r w:rsidR="009440FB">
        <w:t xml:space="preserve">calculations on </w:t>
      </w:r>
      <w:r w:rsidR="00257BB6">
        <w:t xml:space="preserve">the </w:t>
      </w:r>
      <w:r w:rsidR="007F434E">
        <w:t xml:space="preserve">lower </w:t>
      </w:r>
      <w:r w:rsidR="009440FB">
        <w:t xml:space="preserve">amounts that </w:t>
      </w:r>
      <w:r w:rsidR="00257BB6">
        <w:t>are</w:t>
      </w:r>
      <w:r w:rsidR="009440FB">
        <w:t xml:space="preserve"> accepted by </w:t>
      </w:r>
      <w:r w:rsidR="00D10C7A">
        <w:t>healthcare providers</w:t>
      </w:r>
      <w:r w:rsidR="007F434E">
        <w:t xml:space="preserve"> under </w:t>
      </w:r>
      <w:r w:rsidR="008A0B39">
        <w:t>certain</w:t>
      </w:r>
      <w:r w:rsidR="007F434E">
        <w:t xml:space="preserve"> circumstances</w:t>
      </w:r>
      <w:r w:rsidR="00422A1B">
        <w:t xml:space="preserve"> (the private </w:t>
      </w:r>
      <w:r w:rsidR="0065732F">
        <w:t>pay scenario)</w:t>
      </w:r>
      <w:r w:rsidR="009440FB">
        <w:t>.</w:t>
      </w:r>
      <w:r w:rsidR="00D7738D">
        <w:t xml:space="preserve">  </w:t>
      </w:r>
      <w:r w:rsidR="007F434E">
        <w:t>However, d</w:t>
      </w:r>
      <w:r w:rsidR="00D7738D">
        <w:t>efenda</w:t>
      </w:r>
      <w:r w:rsidR="008A0B39">
        <w:t xml:space="preserve">nt would not be </w:t>
      </w:r>
      <w:r w:rsidR="00FB49D6">
        <w:t>allowed to attempt to establish that</w:t>
      </w:r>
      <w:r w:rsidR="00D7738D">
        <w:t xml:space="preserve"> </w:t>
      </w:r>
      <w:r w:rsidR="008A0B39">
        <w:t xml:space="preserve">future </w:t>
      </w:r>
      <w:r w:rsidR="007F434E">
        <w:t>billed amount</w:t>
      </w:r>
      <w:r w:rsidR="008A0B39">
        <w:t>s</w:t>
      </w:r>
      <w:r w:rsidR="007F434E">
        <w:t xml:space="preserve"> </w:t>
      </w:r>
      <w:r w:rsidR="00257BB6">
        <w:t>do not reflect the</w:t>
      </w:r>
      <w:r w:rsidR="007F434E">
        <w:t xml:space="preserve"> amount</w:t>
      </w:r>
      <w:r w:rsidR="00257BB6">
        <w:t>s</w:t>
      </w:r>
      <w:r w:rsidR="007F434E">
        <w:t xml:space="preserve"> </w:t>
      </w:r>
      <w:r w:rsidR="0017202D">
        <w:t xml:space="preserve">that </w:t>
      </w:r>
      <w:r w:rsidR="007F434E">
        <w:t>will ac</w:t>
      </w:r>
      <w:r w:rsidR="008A0B39">
        <w:t>t</w:t>
      </w:r>
      <w:r w:rsidR="007F434E">
        <w:t xml:space="preserve">ually be </w:t>
      </w:r>
      <w:r w:rsidR="00257BB6">
        <w:t xml:space="preserve">accepted by </w:t>
      </w:r>
      <w:r w:rsidR="008A0B39">
        <w:t>the provider</w:t>
      </w:r>
      <w:r w:rsidR="0017202D">
        <w:t>s</w:t>
      </w:r>
      <w:r w:rsidR="007F434E">
        <w:t>.</w:t>
      </w:r>
      <w:r w:rsidR="009440FB">
        <w:t xml:space="preserve">  </w:t>
      </w:r>
    </w:p>
    <w:p w:rsidR="00F50002" w:rsidRDefault="0040622E" w:rsidP="00C37E71">
      <w:r>
        <w:tab/>
        <w:t xml:space="preserve">Defendant also </w:t>
      </w:r>
      <w:r w:rsidR="00F50002">
        <w:t>sought</w:t>
      </w:r>
      <w:r>
        <w:t xml:space="preserve"> a modified version of CACI </w:t>
      </w:r>
      <w:r w:rsidR="001D240C">
        <w:t>No. </w:t>
      </w:r>
      <w:r>
        <w:t>3903A</w:t>
      </w:r>
      <w:r w:rsidR="00F50002">
        <w:t xml:space="preserve"> (</w:t>
      </w:r>
      <w:r>
        <w:t>with the modification italicized</w:t>
      </w:r>
      <w:r w:rsidR="00F50002">
        <w:t>)</w:t>
      </w:r>
      <w:r>
        <w:t xml:space="preserve">: </w:t>
      </w:r>
      <w:r w:rsidR="001D240C">
        <w:t xml:space="preserve"> </w:t>
      </w:r>
      <w:r>
        <w:t xml:space="preserve">“To recover damages for future medical expenses, plaintiff </w:t>
      </w:r>
      <w:r w:rsidR="0007718F">
        <w:t>Brian Cuevas</w:t>
      </w:r>
      <w:r>
        <w:t xml:space="preserve"> must prove the reasonable cost of reasonably necessary medical care that he is reasonably certain to need in the future.  </w:t>
      </w:r>
      <w:r w:rsidRPr="0040622E">
        <w:rPr>
          <w:i/>
        </w:rPr>
        <w:t xml:space="preserve">The damages awarded for future medical </w:t>
      </w:r>
      <w:r w:rsidR="003B6590" w:rsidRPr="0040622E">
        <w:rPr>
          <w:i/>
        </w:rPr>
        <w:t>expenses</w:t>
      </w:r>
      <w:r w:rsidRPr="0040622E">
        <w:rPr>
          <w:i/>
        </w:rPr>
        <w:t xml:space="preserve"> cannot exceed the </w:t>
      </w:r>
      <w:r w:rsidR="003B6590" w:rsidRPr="0040622E">
        <w:rPr>
          <w:i/>
        </w:rPr>
        <w:t>amount</w:t>
      </w:r>
      <w:r w:rsidRPr="0040622E">
        <w:rPr>
          <w:i/>
        </w:rPr>
        <w:t xml:space="preserve"> that is </w:t>
      </w:r>
      <w:r w:rsidR="003B6590" w:rsidRPr="0040622E">
        <w:rPr>
          <w:i/>
        </w:rPr>
        <w:t>reason</w:t>
      </w:r>
      <w:r w:rsidR="003B6590">
        <w:rPr>
          <w:i/>
        </w:rPr>
        <w:t>ab</w:t>
      </w:r>
      <w:r w:rsidR="003B6590" w:rsidRPr="0040622E">
        <w:rPr>
          <w:i/>
        </w:rPr>
        <w:t>ly</w:t>
      </w:r>
      <w:r w:rsidRPr="0040622E">
        <w:rPr>
          <w:i/>
        </w:rPr>
        <w:t xml:space="preserve"> certain to be owed or paid to plaintiff’s healthcare providers in the future for that care</w:t>
      </w:r>
      <w:r>
        <w:t xml:space="preserve">.”  </w:t>
      </w:r>
      <w:r w:rsidR="00157402">
        <w:t>The trial court rejected</w:t>
      </w:r>
      <w:r w:rsidR="0007718F">
        <w:t xml:space="preserve"> defendant’s</w:t>
      </w:r>
      <w:r w:rsidR="00157402">
        <w:t xml:space="preserve"> </w:t>
      </w:r>
      <w:r w:rsidR="0017202D">
        <w:t xml:space="preserve">proposed </w:t>
      </w:r>
      <w:r w:rsidR="0007718F">
        <w:t>modification</w:t>
      </w:r>
      <w:r w:rsidR="00157402">
        <w:t xml:space="preserve">. </w:t>
      </w:r>
      <w:r w:rsidR="00F50002">
        <w:t xml:space="preserve"> </w:t>
      </w:r>
    </w:p>
    <w:p w:rsidR="003C12E3" w:rsidRPr="003C12E3" w:rsidRDefault="001D240C" w:rsidP="00C37E71">
      <w:pPr>
        <w:rPr>
          <w:b/>
          <w:i/>
        </w:rPr>
      </w:pPr>
      <w:r>
        <w:rPr>
          <w:b/>
          <w:i/>
        </w:rPr>
        <w:t>Evidence Offered a</w:t>
      </w:r>
      <w:r w:rsidR="003C12E3" w:rsidRPr="003C12E3">
        <w:rPr>
          <w:b/>
          <w:i/>
        </w:rPr>
        <w:t>t Trial</w:t>
      </w:r>
    </w:p>
    <w:p w:rsidR="0070108F" w:rsidRDefault="0070108F" w:rsidP="00C37E71">
      <w:r>
        <w:tab/>
      </w:r>
      <w:proofErr w:type="spellStart"/>
      <w:r>
        <w:t>Roughan’s</w:t>
      </w:r>
      <w:proofErr w:type="spellEnd"/>
      <w:r>
        <w:t xml:space="preserve"> life care plan was admitted in evidence</w:t>
      </w:r>
      <w:r w:rsidR="001C0C1C">
        <w:t xml:space="preserve"> during her testimony</w:t>
      </w:r>
      <w:r>
        <w:t xml:space="preserve">.  </w:t>
      </w:r>
      <w:r w:rsidR="002B2D75">
        <w:t>Subsequently</w:t>
      </w:r>
      <w:r w:rsidR="00C334E5">
        <w:t xml:space="preserve">, </w:t>
      </w:r>
      <w:proofErr w:type="spellStart"/>
      <w:r>
        <w:t>Olzack</w:t>
      </w:r>
      <w:proofErr w:type="spellEnd"/>
      <w:r>
        <w:t xml:space="preserve"> </w:t>
      </w:r>
      <w:r w:rsidR="00C334E5">
        <w:t xml:space="preserve">was permitted to </w:t>
      </w:r>
      <w:r>
        <w:t>testif</w:t>
      </w:r>
      <w:r w:rsidR="00C334E5">
        <w:t>y</w:t>
      </w:r>
      <w:r>
        <w:t xml:space="preserve"> </w:t>
      </w:r>
      <w:r w:rsidR="00C334E5">
        <w:t>about</w:t>
      </w:r>
      <w:r>
        <w:t xml:space="preserve"> </w:t>
      </w:r>
      <w:r w:rsidR="003C12E3">
        <w:t>her</w:t>
      </w:r>
      <w:r>
        <w:t xml:space="preserve"> </w:t>
      </w:r>
      <w:r w:rsidR="003C12E3">
        <w:t>priva</w:t>
      </w:r>
      <w:r w:rsidR="008B59BF">
        <w:t>te-</w:t>
      </w:r>
      <w:r w:rsidR="003C12E3">
        <w:t xml:space="preserve">pay </w:t>
      </w:r>
      <w:r>
        <w:t>life care plan</w:t>
      </w:r>
      <w:r w:rsidR="003C12E3">
        <w:t xml:space="preserve">, the only </w:t>
      </w:r>
      <w:r w:rsidR="008B59BF">
        <w:t xml:space="preserve">version of her three plans </w:t>
      </w:r>
      <w:r>
        <w:t>that the trial court allowed</w:t>
      </w:r>
      <w:r w:rsidR="0065732F">
        <w:t xml:space="preserve"> into evidence</w:t>
      </w:r>
      <w:r>
        <w:t xml:space="preserve">.  </w:t>
      </w:r>
      <w:proofErr w:type="spellStart"/>
      <w:r w:rsidR="005F1C8C">
        <w:t>Olzack</w:t>
      </w:r>
      <w:proofErr w:type="spellEnd"/>
      <w:r w:rsidR="005F1C8C">
        <w:t xml:space="preserve"> </w:t>
      </w:r>
      <w:r w:rsidR="007C0236">
        <w:t>noted</w:t>
      </w:r>
      <w:r w:rsidR="008B59BF">
        <w:t xml:space="preserve"> </w:t>
      </w:r>
      <w:r w:rsidR="00C334E5">
        <w:t xml:space="preserve">that </w:t>
      </w:r>
      <w:r w:rsidR="008B59BF">
        <w:t>her plan</w:t>
      </w:r>
      <w:r w:rsidR="005F1C8C">
        <w:t xml:space="preserve"> identifie</w:t>
      </w:r>
      <w:r w:rsidR="008B59BF">
        <w:t>s</w:t>
      </w:r>
      <w:r w:rsidR="005F1C8C">
        <w:t xml:space="preserve"> the providers her office contacted to obtain </w:t>
      </w:r>
      <w:r w:rsidR="008B59BF">
        <w:t>her</w:t>
      </w:r>
      <w:r w:rsidR="00223A32">
        <w:t xml:space="preserve"> </w:t>
      </w:r>
      <w:r w:rsidR="005F1C8C">
        <w:t xml:space="preserve">cost estimates. </w:t>
      </w:r>
      <w:r w:rsidR="00B96A0D">
        <w:t xml:space="preserve"> </w:t>
      </w:r>
      <w:r w:rsidR="008B59BF">
        <w:t>As to</w:t>
      </w:r>
      <w:r w:rsidR="00B96A0D">
        <w:t xml:space="preserve"> </w:t>
      </w:r>
      <w:r w:rsidR="008B59BF">
        <w:t xml:space="preserve">the </w:t>
      </w:r>
      <w:r w:rsidR="00C334E5">
        <w:t xml:space="preserve">specific </w:t>
      </w:r>
      <w:r w:rsidR="008B59BF">
        <w:t xml:space="preserve">services listed for </w:t>
      </w:r>
      <w:r w:rsidR="00B96A0D">
        <w:t xml:space="preserve">future medical care, </w:t>
      </w:r>
      <w:r w:rsidR="0065732F">
        <w:t>h</w:t>
      </w:r>
      <w:r w:rsidR="00B96A0D">
        <w:t xml:space="preserve">er task was not to make </w:t>
      </w:r>
      <w:r w:rsidR="008B59BF">
        <w:t xml:space="preserve">care </w:t>
      </w:r>
      <w:r w:rsidR="00B96A0D">
        <w:t>recommendations</w:t>
      </w:r>
      <w:r w:rsidR="0065732F">
        <w:t>,</w:t>
      </w:r>
      <w:r w:rsidR="00B96A0D">
        <w:t xml:space="preserve"> but </w:t>
      </w:r>
      <w:r w:rsidR="0065732F">
        <w:t xml:space="preserve">only </w:t>
      </w:r>
      <w:r w:rsidR="00B96A0D">
        <w:t>to determine how much the</w:t>
      </w:r>
      <w:r w:rsidR="00F674E1">
        <w:t xml:space="preserve"> recommended services</w:t>
      </w:r>
      <w:r w:rsidR="00B96A0D">
        <w:t xml:space="preserve"> will cost.  </w:t>
      </w:r>
      <w:r w:rsidR="00F674E1">
        <w:t xml:space="preserve">Unlike </w:t>
      </w:r>
      <w:proofErr w:type="spellStart"/>
      <w:r w:rsidR="00F674E1">
        <w:t>Roughan</w:t>
      </w:r>
      <w:proofErr w:type="spellEnd"/>
      <w:r w:rsidR="00F674E1">
        <w:t xml:space="preserve">, </w:t>
      </w:r>
      <w:proofErr w:type="spellStart"/>
      <w:r w:rsidR="00F674E1">
        <w:t>Olzack</w:t>
      </w:r>
      <w:proofErr w:type="spellEnd"/>
      <w:r w:rsidR="00F674E1">
        <w:t xml:space="preserve"> did not rely on the charged amounts that appear in </w:t>
      </w:r>
      <w:r w:rsidR="0012769A">
        <w:t xml:space="preserve">national health care cost </w:t>
      </w:r>
      <w:r w:rsidR="00F674E1">
        <w:t>database</w:t>
      </w:r>
      <w:r w:rsidR="0012769A">
        <w:t>s</w:t>
      </w:r>
      <w:r w:rsidR="00F674E1">
        <w:t xml:space="preserve">. </w:t>
      </w:r>
      <w:r w:rsidR="00892914">
        <w:t xml:space="preserve"> Notwithstanding th</w:t>
      </w:r>
      <w:r w:rsidR="00F4609B">
        <w:t>eir</w:t>
      </w:r>
      <w:r w:rsidR="00892914">
        <w:t xml:space="preserve"> differen</w:t>
      </w:r>
      <w:r w:rsidR="00F4609B">
        <w:t>t approaches</w:t>
      </w:r>
      <w:r w:rsidR="00892914">
        <w:t xml:space="preserve">, </w:t>
      </w:r>
      <w:proofErr w:type="spellStart"/>
      <w:r w:rsidR="00892914">
        <w:t>Olza</w:t>
      </w:r>
      <w:r w:rsidR="002B2D75">
        <w:t>c</w:t>
      </w:r>
      <w:r w:rsidR="00892914">
        <w:t>k</w:t>
      </w:r>
      <w:r w:rsidR="007C0236">
        <w:t>’s</w:t>
      </w:r>
      <w:proofErr w:type="spellEnd"/>
      <w:r w:rsidR="007C0236">
        <w:t xml:space="preserve"> </w:t>
      </w:r>
      <w:r w:rsidR="0065732F">
        <w:t xml:space="preserve">private-pay </w:t>
      </w:r>
      <w:r w:rsidR="007C0236">
        <w:t>plan reflect</w:t>
      </w:r>
      <w:r w:rsidR="0065732F">
        <w:t>s</w:t>
      </w:r>
      <w:r w:rsidR="00892914">
        <w:t xml:space="preserve"> essentially the same costs </w:t>
      </w:r>
      <w:r w:rsidR="0065732F">
        <w:t xml:space="preserve">as </w:t>
      </w:r>
      <w:proofErr w:type="spellStart"/>
      <w:r w:rsidR="0065732F">
        <w:t>Roughan’s</w:t>
      </w:r>
      <w:proofErr w:type="spellEnd"/>
      <w:r w:rsidR="0065732F">
        <w:t xml:space="preserve"> plan </w:t>
      </w:r>
      <w:r w:rsidR="00892914">
        <w:t xml:space="preserve">for many </w:t>
      </w:r>
      <w:r w:rsidR="001D240C">
        <w:t xml:space="preserve">life </w:t>
      </w:r>
      <w:r w:rsidR="00C334E5">
        <w:t xml:space="preserve">care </w:t>
      </w:r>
      <w:r w:rsidR="00892914">
        <w:t xml:space="preserve">categories.  </w:t>
      </w:r>
    </w:p>
    <w:p w:rsidR="00CC3F67" w:rsidRDefault="00CC3F67" w:rsidP="00C37E71">
      <w:r>
        <w:tab/>
      </w:r>
      <w:r w:rsidR="00AE1855">
        <w:t>Based on a pro</w:t>
      </w:r>
      <w:r w:rsidR="00422A1B">
        <w:t>jected remaining life expectancy</w:t>
      </w:r>
      <w:r w:rsidR="00AE1855">
        <w:t xml:space="preserve"> of 74 years, p</w:t>
      </w:r>
      <w:r w:rsidR="00D30E62">
        <w:t xml:space="preserve">laintiff’s economist calculated the </w:t>
      </w:r>
      <w:r w:rsidR="00BF2D81">
        <w:t xml:space="preserve">total </w:t>
      </w:r>
      <w:r w:rsidR="00D30E62">
        <w:t xml:space="preserve">value of </w:t>
      </w:r>
      <w:r w:rsidR="0065732F">
        <w:t>his</w:t>
      </w:r>
      <w:r w:rsidR="00D30E62">
        <w:t xml:space="preserve"> future care </w:t>
      </w:r>
      <w:r w:rsidR="000E101D">
        <w:t>expenses</w:t>
      </w:r>
      <w:r w:rsidR="00D30E62">
        <w:t xml:space="preserve"> under </w:t>
      </w:r>
      <w:proofErr w:type="spellStart"/>
      <w:r w:rsidR="00D30E62">
        <w:t>Roughan’s</w:t>
      </w:r>
      <w:proofErr w:type="spellEnd"/>
      <w:r w:rsidR="00D30E62">
        <w:t xml:space="preserve"> </w:t>
      </w:r>
      <w:r w:rsidR="00D10C7A">
        <w:t>li</w:t>
      </w:r>
      <w:r w:rsidR="001D240C">
        <w:t xml:space="preserve">fe </w:t>
      </w:r>
      <w:r w:rsidR="00D10C7A">
        <w:t xml:space="preserve">care </w:t>
      </w:r>
      <w:r w:rsidR="00D30E62">
        <w:t xml:space="preserve">plan </w:t>
      </w:r>
      <w:r w:rsidR="00D10C7A">
        <w:t>to</w:t>
      </w:r>
      <w:r w:rsidR="00A743B4">
        <w:t xml:space="preserve"> be</w:t>
      </w:r>
      <w:r w:rsidR="00D30E62">
        <w:t xml:space="preserve"> $285 million, with a present value of nearly $29 million.  In contrast, </w:t>
      </w:r>
      <w:r w:rsidR="00BF2D81">
        <w:t>defendant’s</w:t>
      </w:r>
      <w:r w:rsidR="00D30E62">
        <w:t xml:space="preserve"> economist took the rates </w:t>
      </w:r>
      <w:r w:rsidR="001D240C">
        <w:t xml:space="preserve">to which </w:t>
      </w:r>
      <w:proofErr w:type="spellStart"/>
      <w:r w:rsidR="00D30E62">
        <w:t>Olzack</w:t>
      </w:r>
      <w:proofErr w:type="spellEnd"/>
      <w:r w:rsidR="00D30E62">
        <w:t xml:space="preserve"> was permitted </w:t>
      </w:r>
      <w:r w:rsidR="001D240C">
        <w:t xml:space="preserve">to </w:t>
      </w:r>
      <w:r w:rsidR="00D30E62">
        <w:t xml:space="preserve">testify and concluded that the present value of </w:t>
      </w:r>
      <w:r w:rsidR="009A37A8">
        <w:t xml:space="preserve">plaintiff’s </w:t>
      </w:r>
      <w:r w:rsidR="00D30E62">
        <w:t>future service</w:t>
      </w:r>
      <w:r w:rsidR="009A37A8">
        <w:t xml:space="preserve"> needs</w:t>
      </w:r>
      <w:r w:rsidR="00D30E62">
        <w:t xml:space="preserve"> totaled </w:t>
      </w:r>
      <w:r w:rsidR="00F50002">
        <w:t xml:space="preserve">somewhere </w:t>
      </w:r>
      <w:r w:rsidR="0012769A">
        <w:t>between $3,233,670 and $3,340</w:t>
      </w:r>
      <w:r w:rsidR="00422A1B">
        <w:t>,</w:t>
      </w:r>
      <w:r w:rsidR="0012769A">
        <w:t>222</w:t>
      </w:r>
      <w:r w:rsidR="00D30E62">
        <w:t xml:space="preserve">.  </w:t>
      </w:r>
      <w:r w:rsidR="00D10C7A">
        <w:t>D</w:t>
      </w:r>
      <w:r w:rsidR="00D30E62">
        <w:t>efendant</w:t>
      </w:r>
      <w:r w:rsidR="00D10C7A">
        <w:t xml:space="preserve"> </w:t>
      </w:r>
      <w:r w:rsidR="0007718F">
        <w:t xml:space="preserve">claims </w:t>
      </w:r>
      <w:r w:rsidR="00D10C7A">
        <w:t>t</w:t>
      </w:r>
      <w:r w:rsidR="00D30E62">
        <w:t xml:space="preserve">hese estimates would have been significantly lower if </w:t>
      </w:r>
      <w:proofErr w:type="spellStart"/>
      <w:r w:rsidR="00D30E62">
        <w:t>Olzack</w:t>
      </w:r>
      <w:proofErr w:type="spellEnd"/>
      <w:r w:rsidR="00D30E62">
        <w:t xml:space="preserve"> had been able to factor into her analysis the free benefits </w:t>
      </w:r>
      <w:r w:rsidR="00BF2D81">
        <w:t>plaintiff</w:t>
      </w:r>
      <w:r w:rsidR="00D30E62">
        <w:t xml:space="preserve"> receives from the regional center and the school system</w:t>
      </w:r>
      <w:r w:rsidR="00F50002">
        <w:t>,</w:t>
      </w:r>
      <w:r w:rsidR="00BF2D81">
        <w:t xml:space="preserve"> </w:t>
      </w:r>
      <w:r w:rsidR="00D10C7A">
        <w:t>as well as</w:t>
      </w:r>
      <w:r w:rsidR="00BF2D81">
        <w:t xml:space="preserve"> </w:t>
      </w:r>
      <w:r w:rsidR="00D30E62">
        <w:t xml:space="preserve">discounted </w:t>
      </w:r>
      <w:r w:rsidR="00C52AE4">
        <w:t xml:space="preserve">medical care </w:t>
      </w:r>
      <w:r w:rsidR="00D30E62">
        <w:t xml:space="preserve">rates that would apply under </w:t>
      </w:r>
      <w:proofErr w:type="spellStart"/>
      <w:r w:rsidR="00D30E62">
        <w:t>Medi</w:t>
      </w:r>
      <w:proofErr w:type="spellEnd"/>
      <w:r w:rsidR="00D30E62">
        <w:t xml:space="preserve">-Cal or a private insurance policy. </w:t>
      </w:r>
    </w:p>
    <w:p w:rsidR="00D30E62" w:rsidRPr="00D30E62" w:rsidRDefault="00BF2D81" w:rsidP="00C37E71">
      <w:pPr>
        <w:rPr>
          <w:b/>
          <w:i/>
        </w:rPr>
      </w:pPr>
      <w:r>
        <w:rPr>
          <w:b/>
          <w:i/>
        </w:rPr>
        <w:t>Jury Instructions and</w:t>
      </w:r>
      <w:r w:rsidR="00D30E62" w:rsidRPr="00D30E62">
        <w:rPr>
          <w:b/>
          <w:i/>
        </w:rPr>
        <w:t xml:space="preserve"> Verdict</w:t>
      </w:r>
    </w:p>
    <w:p w:rsidR="00D30E62" w:rsidRDefault="00D30E62" w:rsidP="00C37E71">
      <w:r>
        <w:tab/>
        <w:t>The jury found in favor of plaintiff and awarded</w:t>
      </w:r>
      <w:r w:rsidR="00B132CB">
        <w:t xml:space="preserve"> $100 million</w:t>
      </w:r>
      <w:r>
        <w:t xml:space="preserve"> </w:t>
      </w:r>
      <w:r w:rsidR="00B132CB">
        <w:t xml:space="preserve">for </w:t>
      </w:r>
      <w:r>
        <w:t>future medical</w:t>
      </w:r>
      <w:r w:rsidR="00B132CB">
        <w:t>, hospital, surgical</w:t>
      </w:r>
      <w:r w:rsidR="00C918F9">
        <w:t>,</w:t>
      </w:r>
      <w:r w:rsidR="00B132CB">
        <w:t xml:space="preserve"> and rehabilitation care</w:t>
      </w:r>
      <w:r>
        <w:t xml:space="preserve"> expenses</w:t>
      </w:r>
      <w:r w:rsidR="00B132CB">
        <w:t xml:space="preserve">, </w:t>
      </w:r>
      <w:r w:rsidR="00C918F9">
        <w:t xml:space="preserve">which it reduced to </w:t>
      </w:r>
      <w:r w:rsidR="00B132CB">
        <w:t xml:space="preserve">$9,577,000 </w:t>
      </w:r>
      <w:r w:rsidR="00C918F9">
        <w:t xml:space="preserve">in </w:t>
      </w:r>
      <w:r w:rsidR="00B132CB">
        <w:t xml:space="preserve">present </w:t>
      </w:r>
      <w:r w:rsidR="00C918F9">
        <w:t xml:space="preserve">cash </w:t>
      </w:r>
      <w:r w:rsidR="00B132CB">
        <w:t>value</w:t>
      </w:r>
      <w:r>
        <w:t xml:space="preserve">. </w:t>
      </w:r>
      <w:r w:rsidR="00C3211C">
        <w:t xml:space="preserve"> </w:t>
      </w:r>
      <w:r w:rsidR="009A37A8">
        <w:t>The total represents approximately one-third of what plaintiff had sought</w:t>
      </w:r>
      <w:r w:rsidR="00D10C7A">
        <w:t xml:space="preserve">, and about three times the total in </w:t>
      </w:r>
      <w:r w:rsidR="00947023">
        <w:t xml:space="preserve">the </w:t>
      </w:r>
      <w:r w:rsidR="007C0236">
        <w:t xml:space="preserve">private pay </w:t>
      </w:r>
      <w:r w:rsidR="00947023">
        <w:t xml:space="preserve">version of </w:t>
      </w:r>
      <w:proofErr w:type="spellStart"/>
      <w:r w:rsidR="00D10C7A">
        <w:t>Olzack’s</w:t>
      </w:r>
      <w:proofErr w:type="spellEnd"/>
      <w:r w:rsidR="00D10C7A">
        <w:t xml:space="preserve"> plan</w:t>
      </w:r>
      <w:r w:rsidR="00947023">
        <w:t xml:space="preserve"> that the trial court admitted into evidence</w:t>
      </w:r>
      <w:r w:rsidR="009A37A8">
        <w:t xml:space="preserve">.  </w:t>
      </w:r>
      <w:r w:rsidR="001D240C">
        <w:t xml:space="preserve">Following </w:t>
      </w:r>
      <w:proofErr w:type="spellStart"/>
      <w:r w:rsidR="001D240C">
        <w:t>post</w:t>
      </w:r>
      <w:r w:rsidR="002E586D">
        <w:t>trial</w:t>
      </w:r>
      <w:proofErr w:type="spellEnd"/>
      <w:r w:rsidR="002E586D">
        <w:t xml:space="preserve"> motions, </w:t>
      </w:r>
      <w:r w:rsidR="00BF2D81">
        <w:t>defendant</w:t>
      </w:r>
      <w:r w:rsidR="002E586D">
        <w:t xml:space="preserve"> appe</w:t>
      </w:r>
      <w:r w:rsidR="001D240C">
        <w:t xml:space="preserve">aled from the judgment and </w:t>
      </w:r>
      <w:proofErr w:type="spellStart"/>
      <w:r w:rsidR="001D240C">
        <w:t>post</w:t>
      </w:r>
      <w:r w:rsidR="002E586D">
        <w:t>judgment</w:t>
      </w:r>
      <w:proofErr w:type="spellEnd"/>
      <w:r w:rsidR="002E586D">
        <w:t xml:space="preserve"> orders awarding plaintiff costs and expert witness fees.  </w:t>
      </w:r>
    </w:p>
    <w:p w:rsidR="0004327E" w:rsidRDefault="0004327E" w:rsidP="00DE3E7E">
      <w:pPr>
        <w:keepNext/>
        <w:jc w:val="center"/>
        <w:rPr>
          <w:b/>
        </w:rPr>
      </w:pPr>
      <w:r w:rsidRPr="0004327E">
        <w:rPr>
          <w:b/>
        </w:rPr>
        <w:t>DISCUSSION</w:t>
      </w:r>
    </w:p>
    <w:p w:rsidR="00F377C1" w:rsidRPr="001D240C" w:rsidRDefault="009948BA" w:rsidP="00DE3E7E">
      <w:pPr>
        <w:pStyle w:val="ListParagraph"/>
        <w:keepNext/>
        <w:numPr>
          <w:ilvl w:val="0"/>
          <w:numId w:val="10"/>
        </w:numPr>
        <w:ind w:hanging="1080"/>
        <w:rPr>
          <w:b/>
          <w:i/>
        </w:rPr>
      </w:pPr>
      <w:r w:rsidRPr="001D240C">
        <w:rPr>
          <w:b/>
          <w:i/>
        </w:rPr>
        <w:t xml:space="preserve">Issues and </w:t>
      </w:r>
      <w:r w:rsidR="00F377C1" w:rsidRPr="001D240C">
        <w:rPr>
          <w:b/>
          <w:i/>
        </w:rPr>
        <w:t>Standard of Review</w:t>
      </w:r>
    </w:p>
    <w:p w:rsidR="009948BA" w:rsidRDefault="00BA048C" w:rsidP="00DE3E7E">
      <w:pPr>
        <w:keepNext/>
      </w:pPr>
      <w:r>
        <w:tab/>
      </w:r>
      <w:r w:rsidR="00137FD8">
        <w:t>On appeal, d</w:t>
      </w:r>
      <w:r>
        <w:t>efendant asserts the trial court committed four categories of error</w:t>
      </w:r>
      <w:r w:rsidR="00D73009">
        <w:t xml:space="preserve">, all pertaining to </w:t>
      </w:r>
      <w:r w:rsidR="007C0236">
        <w:t xml:space="preserve">its rulings regarding </w:t>
      </w:r>
      <w:r w:rsidR="00941978">
        <w:t xml:space="preserve">evidence of the costs for </w:t>
      </w:r>
      <w:r w:rsidR="007C0236">
        <w:t>plaintiff’s</w:t>
      </w:r>
      <w:r w:rsidR="00D73009">
        <w:t xml:space="preserve"> future care</w:t>
      </w:r>
      <w:r w:rsidR="009948BA">
        <w:t>.</w:t>
      </w:r>
      <w:r w:rsidR="000A1A40">
        <w:rPr>
          <w:rStyle w:val="FootnoteReference"/>
        </w:rPr>
        <w:footnoteReference w:id="4"/>
      </w:r>
      <w:r w:rsidR="009948BA">
        <w:t xml:space="preserve">  Defendant claims the court erred in (1) barring evidence </w:t>
      </w:r>
      <w:r w:rsidR="00805C48">
        <w:t xml:space="preserve">under section 3333.1 </w:t>
      </w:r>
      <w:r w:rsidR="009948BA">
        <w:t xml:space="preserve">of future benefits </w:t>
      </w:r>
      <w:r w:rsidR="00805C48">
        <w:t xml:space="preserve">that will be </w:t>
      </w:r>
      <w:r w:rsidR="009948BA">
        <w:t xml:space="preserve">available to plaintiff through the ACA; (2) ruling </w:t>
      </w:r>
      <w:r w:rsidR="00C52AE4">
        <w:t xml:space="preserve">that </w:t>
      </w:r>
      <w:r w:rsidR="009948BA">
        <w:t xml:space="preserve">his future medical expenses could be based upon </w:t>
      </w:r>
      <w:r w:rsidR="00C52AE4">
        <w:t xml:space="preserve">figures derived from </w:t>
      </w:r>
      <w:r w:rsidR="009948BA">
        <w:t xml:space="preserve">billed rates; (3) relying on the collateral source rule to exclude evidence concerning insurance benefits </w:t>
      </w:r>
      <w:r w:rsidR="00C52AE4">
        <w:t xml:space="preserve">available </w:t>
      </w:r>
      <w:r w:rsidR="009948BA">
        <w:t>under the ACA; and (4) relying on the collateral source rule to exclude evidence of free regional center and educational benefits.</w:t>
      </w:r>
      <w:r>
        <w:t xml:space="preserve"> </w:t>
      </w:r>
      <w:r w:rsidR="000F4A8F">
        <w:t xml:space="preserve"> </w:t>
      </w:r>
    </w:p>
    <w:p w:rsidR="00ED771B" w:rsidRDefault="009948BA" w:rsidP="00C37E71">
      <w:r>
        <w:tab/>
      </w:r>
      <w:r w:rsidR="006A3AA3" w:rsidRPr="006A3AA3">
        <w:t xml:space="preserve">Trial courts ordinarily enjoy broad discretion with respect to the admission and exclusion of evidence in ruling on motions in </w:t>
      </w:r>
      <w:proofErr w:type="spellStart"/>
      <w:r w:rsidR="006A3AA3" w:rsidRPr="006A3AA3">
        <w:t>limine</w:t>
      </w:r>
      <w:proofErr w:type="spellEnd"/>
      <w:r w:rsidR="006A3AA3" w:rsidRPr="006A3AA3">
        <w:t xml:space="preserve">. </w:t>
      </w:r>
      <w:r w:rsidR="006A3AA3">
        <w:t xml:space="preserve"> </w:t>
      </w:r>
      <w:r w:rsidR="006A3AA3" w:rsidRPr="006A3AA3">
        <w:t>(</w:t>
      </w:r>
      <w:proofErr w:type="spellStart"/>
      <w:r w:rsidR="006A3AA3" w:rsidRPr="006A3AA3">
        <w:rPr>
          <w:i/>
        </w:rPr>
        <w:t>Katiuzhinsky</w:t>
      </w:r>
      <w:proofErr w:type="spellEnd"/>
      <w:r w:rsidR="006A3AA3" w:rsidRPr="006A3AA3">
        <w:rPr>
          <w:i/>
        </w:rPr>
        <w:t xml:space="preserve"> v. Perry</w:t>
      </w:r>
      <w:r w:rsidR="006A3AA3" w:rsidRPr="006A3AA3">
        <w:t xml:space="preserve"> (2007) 152</w:t>
      </w:r>
      <w:r w:rsidR="001D240C">
        <w:t> </w:t>
      </w:r>
      <w:r w:rsidR="006A3AA3" w:rsidRPr="006A3AA3">
        <w:t xml:space="preserve">Cal.App.4th 1288, 1294.) </w:t>
      </w:r>
      <w:r w:rsidR="006A3AA3">
        <w:t xml:space="preserve"> </w:t>
      </w:r>
      <w:r w:rsidR="006A3AA3" w:rsidRPr="006A3AA3">
        <w:t xml:space="preserve">Nonetheless, that discretion </w:t>
      </w:r>
      <w:r w:rsidR="006A3AA3">
        <w:t>“</w:t>
      </w:r>
      <w:r w:rsidR="006A3AA3" w:rsidRPr="006A3AA3">
        <w:t>is limited by the legal principles applicable to the case.</w:t>
      </w:r>
      <w:r w:rsidR="006A3AA3">
        <w:t>”</w:t>
      </w:r>
      <w:r w:rsidR="006A3AA3" w:rsidRPr="006A3AA3">
        <w:t xml:space="preserve"> </w:t>
      </w:r>
      <w:r w:rsidR="006A3AA3">
        <w:t xml:space="preserve"> </w:t>
      </w:r>
      <w:r w:rsidR="006A3AA3" w:rsidRPr="006A3AA3">
        <w:t>(</w:t>
      </w:r>
      <w:r w:rsidR="006A3AA3" w:rsidRPr="006A3AA3">
        <w:rPr>
          <w:i/>
        </w:rPr>
        <w:t>Ibid</w:t>
      </w:r>
      <w:r w:rsidR="006A3AA3" w:rsidRPr="006A3AA3">
        <w:t xml:space="preserve">.) </w:t>
      </w:r>
      <w:r w:rsidR="006A3AA3">
        <w:t xml:space="preserve"> </w:t>
      </w:r>
      <w:r w:rsidR="00805C48">
        <w:t>Where a trial court’</w:t>
      </w:r>
      <w:r w:rsidR="006A3AA3" w:rsidRPr="006A3AA3">
        <w:t xml:space="preserve">s exclusion or admission of evidence </w:t>
      </w:r>
      <w:r w:rsidR="006A3AA3">
        <w:t>“</w:t>
      </w:r>
      <w:r w:rsidR="00422A1B">
        <w:t> </w:t>
      </w:r>
      <w:r w:rsidR="006A3AA3">
        <w:t>‘</w:t>
      </w:r>
      <w:r w:rsidR="00422A1B">
        <w:t> </w:t>
      </w:r>
      <w:r w:rsidR="006A3AA3">
        <w:t>“</w:t>
      </w:r>
      <w:r w:rsidR="00422A1B">
        <w:t> ‘</w:t>
      </w:r>
      <w:r w:rsidR="006A3AA3" w:rsidRPr="006A3AA3">
        <w:t>transgresses the confines of the applicable principles of law,</w:t>
      </w:r>
      <w:r w:rsidR="00422A1B">
        <w:t>’ </w:t>
      </w:r>
      <w:r w:rsidR="006A3AA3">
        <w:t>”</w:t>
      </w:r>
      <w:r w:rsidR="001D240C">
        <w:t> </w:t>
      </w:r>
      <w:r w:rsidR="006A3AA3">
        <w:t>’</w:t>
      </w:r>
      <w:r w:rsidR="001D240C">
        <w:t> </w:t>
      </w:r>
      <w:r w:rsidR="006A3AA3">
        <w:t xml:space="preserve">” </w:t>
      </w:r>
      <w:r w:rsidR="006A3AA3" w:rsidRPr="006A3AA3">
        <w:t xml:space="preserve">it is an abuse of discretion. </w:t>
      </w:r>
      <w:r w:rsidR="006A3AA3">
        <w:t xml:space="preserve"> </w:t>
      </w:r>
      <w:r w:rsidR="006A3AA3" w:rsidRPr="006A3AA3">
        <w:t>(</w:t>
      </w:r>
      <w:r w:rsidR="006A3AA3" w:rsidRPr="006A3AA3">
        <w:rPr>
          <w:i/>
        </w:rPr>
        <w:t>Ibid.</w:t>
      </w:r>
      <w:r w:rsidR="006A3AA3" w:rsidRPr="006A3AA3">
        <w:t xml:space="preserve">) </w:t>
      </w:r>
      <w:r w:rsidR="006A3AA3">
        <w:t xml:space="preserve"> </w:t>
      </w:r>
      <w:r w:rsidR="006A3AA3" w:rsidRPr="006A3AA3">
        <w:t>Thus, to determine whether the trial court abused its discretion</w:t>
      </w:r>
      <w:r w:rsidR="006A3AA3">
        <w:t xml:space="preserve"> here,</w:t>
      </w:r>
      <w:r w:rsidR="006A3AA3" w:rsidRPr="006A3AA3">
        <w:t xml:space="preserve"> we must first determine what the law permits and requires with respect to the recovery of </w:t>
      </w:r>
      <w:r w:rsidR="006A3AA3">
        <w:t xml:space="preserve">future </w:t>
      </w:r>
      <w:r w:rsidR="006A3AA3" w:rsidRPr="006A3AA3">
        <w:t>medical damages</w:t>
      </w:r>
      <w:r w:rsidR="006A3AA3">
        <w:t xml:space="preserve"> under MICRA</w:t>
      </w:r>
      <w:r w:rsidR="006A3AA3" w:rsidRPr="006A3AA3">
        <w:t>.</w:t>
      </w:r>
    </w:p>
    <w:p w:rsidR="00ED771B" w:rsidRPr="001D240C" w:rsidRDefault="00E02EF5" w:rsidP="00C37E71">
      <w:pPr>
        <w:pStyle w:val="ListParagraph"/>
        <w:numPr>
          <w:ilvl w:val="0"/>
          <w:numId w:val="10"/>
        </w:numPr>
        <w:ind w:hanging="1080"/>
        <w:rPr>
          <w:b/>
          <w:i/>
        </w:rPr>
      </w:pPr>
      <w:r w:rsidRPr="001D240C">
        <w:rPr>
          <w:b/>
          <w:i/>
        </w:rPr>
        <w:t xml:space="preserve">The </w:t>
      </w:r>
      <w:r w:rsidR="00ED771B" w:rsidRPr="001D240C">
        <w:rPr>
          <w:b/>
          <w:i/>
        </w:rPr>
        <w:t>Collateral Source Rule and Section 3333.1</w:t>
      </w:r>
    </w:p>
    <w:p w:rsidR="00ED771B" w:rsidRDefault="00ED771B" w:rsidP="00C37E71">
      <w:r>
        <w:tab/>
        <w:t xml:space="preserve">The collateral source rule provides that “ ‘if an injured party received some compensation for his injuries from a source </w:t>
      </w:r>
      <w:r w:rsidR="00137210">
        <w:t xml:space="preserve">wholly independent of the </w:t>
      </w:r>
      <w:proofErr w:type="spellStart"/>
      <w:r w:rsidR="00137210">
        <w:t>tortfeasor</w:t>
      </w:r>
      <w:proofErr w:type="spellEnd"/>
      <w:r w:rsidR="00137210">
        <w:t xml:space="preserve">, such payment should not be deducted from the damages which the plaintiff would otherwise collect from the </w:t>
      </w:r>
      <w:proofErr w:type="spellStart"/>
      <w:r w:rsidR="00137210">
        <w:t>tortfeasor</w:t>
      </w:r>
      <w:proofErr w:type="spellEnd"/>
      <w:r w:rsidR="00137210">
        <w:t>.</w:t>
      </w:r>
      <w:r>
        <w:t xml:space="preserve">’  [Citation.]  </w:t>
      </w:r>
      <w:r w:rsidR="00137210">
        <w:t>Therefore, the collateral source rule precludes a defendant from presenting evi</w:t>
      </w:r>
      <w:r>
        <w:t>dence that an injured plaintiff’</w:t>
      </w:r>
      <w:r w:rsidR="00137210">
        <w:t xml:space="preserve">s medical expenses have been paid by an independent source. </w:t>
      </w:r>
      <w:r>
        <w:t xml:space="preserve"> [Citation.]  </w:t>
      </w:r>
      <w:r w:rsidR="00137210">
        <w:t xml:space="preserve">While the rule may effectively allow a plaintiff to receive a double recovery, </w:t>
      </w:r>
      <w:r>
        <w:t>‘ “</w:t>
      </w:r>
      <w:r w:rsidR="00137210">
        <w:t xml:space="preserve">[t]he collateral source rule expresses a policy judgment in favor of encouraging citizens to purchase and maintain insurance for personal injuries and for other eventualities. . . . </w:t>
      </w:r>
      <w:r>
        <w:t xml:space="preserve"> </w:t>
      </w:r>
      <w:r w:rsidR="00137210">
        <w:t>To permit the defendant to tell the jury that the plaintiff has been recompensed by a collateral source for his medical costs might irretrievably upset the complex, delicate, and somewhat indefinable calculations which result in the</w:t>
      </w:r>
      <w:r w:rsidR="007E153C">
        <w:t xml:space="preserve"> </w:t>
      </w:r>
      <w:r>
        <w:t>normal jury verdict. . . .”</w:t>
      </w:r>
      <w:r w:rsidR="001D240C">
        <w:t> </w:t>
      </w:r>
      <w:r>
        <w:t>’</w:t>
      </w:r>
      <w:r w:rsidR="001D240C">
        <w:t> </w:t>
      </w:r>
      <w:r>
        <w:t>”  (</w:t>
      </w:r>
      <w:r w:rsidRPr="007E153C">
        <w:rPr>
          <w:i/>
        </w:rPr>
        <w:t>Hernandez v. California Hospital Medical Center</w:t>
      </w:r>
      <w:r>
        <w:t xml:space="preserve"> (2000) 78 Cal.App.4th 498, 504</w:t>
      </w:r>
      <w:r w:rsidR="001D240C">
        <w:t>–</w:t>
      </w:r>
      <w:r>
        <w:t>505 (</w:t>
      </w:r>
      <w:r w:rsidRPr="007E153C">
        <w:rPr>
          <w:i/>
        </w:rPr>
        <w:t>Hernandez</w:t>
      </w:r>
      <w:r>
        <w:t>).)</w:t>
      </w:r>
    </w:p>
    <w:p w:rsidR="00F377C1" w:rsidRDefault="00ED771B" w:rsidP="00C37E71">
      <w:r>
        <w:tab/>
      </w:r>
      <w:r w:rsidR="00974C6E" w:rsidRPr="00974C6E">
        <w:t xml:space="preserve">In response to a medical malpractice insurance crisis in California, the Legislature </w:t>
      </w:r>
      <w:r w:rsidR="009A37A8">
        <w:t xml:space="preserve">in 1975 </w:t>
      </w:r>
      <w:r w:rsidR="00974C6E" w:rsidRPr="00974C6E">
        <w:t xml:space="preserve">adopted MICRA. </w:t>
      </w:r>
      <w:r w:rsidR="00974C6E">
        <w:t xml:space="preserve"> </w:t>
      </w:r>
      <w:r w:rsidR="00974C6E" w:rsidRPr="00974C6E">
        <w:t>(</w:t>
      </w:r>
      <w:proofErr w:type="spellStart"/>
      <w:r w:rsidR="00974C6E" w:rsidRPr="00974C6E">
        <w:rPr>
          <w:i/>
        </w:rPr>
        <w:t>Barme</w:t>
      </w:r>
      <w:proofErr w:type="spellEnd"/>
      <w:r w:rsidR="00974C6E" w:rsidRPr="00974C6E">
        <w:rPr>
          <w:i/>
        </w:rPr>
        <w:t xml:space="preserve"> v. Wood</w:t>
      </w:r>
      <w:r w:rsidR="00974C6E" w:rsidRPr="00974C6E">
        <w:t xml:space="preserve"> (1984) 37 Cal.3d 174, 178</w:t>
      </w:r>
      <w:r w:rsidR="001D240C">
        <w:t>–</w:t>
      </w:r>
      <w:r w:rsidR="00974C6E" w:rsidRPr="00974C6E">
        <w:t>179</w:t>
      </w:r>
      <w:r w:rsidR="0032485A">
        <w:t xml:space="preserve"> (</w:t>
      </w:r>
      <w:proofErr w:type="spellStart"/>
      <w:r w:rsidR="0032485A" w:rsidRPr="0032485A">
        <w:rPr>
          <w:i/>
        </w:rPr>
        <w:t>Barme</w:t>
      </w:r>
      <w:proofErr w:type="spellEnd"/>
      <w:r w:rsidR="0032485A">
        <w:t>)</w:t>
      </w:r>
      <w:r w:rsidR="00974C6E" w:rsidRPr="00974C6E">
        <w:t>.)</w:t>
      </w:r>
      <w:r w:rsidR="00974C6E">
        <w:t xml:space="preserve"> </w:t>
      </w:r>
      <w:r w:rsidR="00974C6E" w:rsidRPr="00974C6E">
        <w:t xml:space="preserve"> Section 3333.1 alters the collateral source rule in medical malpractice cases. </w:t>
      </w:r>
      <w:r w:rsidR="00974C6E">
        <w:t xml:space="preserve"> </w:t>
      </w:r>
      <w:r w:rsidR="00974C6E" w:rsidRPr="00974C6E">
        <w:t xml:space="preserve">A medical malpractice defendant may introduce evidence of </w:t>
      </w:r>
      <w:r w:rsidR="00974C6E">
        <w:t>“</w:t>
      </w:r>
      <w:r w:rsidR="00974C6E" w:rsidRPr="00C03DDC">
        <w:t>any amount payable as a benefit</w:t>
      </w:r>
      <w:r w:rsidR="00974C6E" w:rsidRPr="00974C6E">
        <w:t xml:space="preserve"> to the plaintiff as a result of the </w:t>
      </w:r>
      <w:r w:rsidR="00942BC5">
        <w:t xml:space="preserve">personal </w:t>
      </w:r>
      <w:r w:rsidR="00974C6E" w:rsidRPr="00974C6E">
        <w:t>injury pursuant to the United States Social Security Act, any state or fede</w:t>
      </w:r>
      <w:r w:rsidR="009A37A8">
        <w:t>ral income disability or worker’</w:t>
      </w:r>
      <w:r w:rsidR="00974C6E" w:rsidRPr="00974C6E">
        <w:t>s compensation act, any health, sickness or income-disability insurance, accident insurance that provides health benefits or income-disability coverage, and any contract or agreement of any group, organization, partnership, or corporation to provide, pay for, or reimburse the cost of medical, hospital, dental, or other health care services.</w:t>
      </w:r>
      <w:r w:rsidR="00974C6E">
        <w:t xml:space="preserve">” </w:t>
      </w:r>
      <w:r w:rsidR="00974C6E" w:rsidRPr="00974C6E">
        <w:t xml:space="preserve"> (§ 3333.1, </w:t>
      </w:r>
      <w:proofErr w:type="spellStart"/>
      <w:r w:rsidR="00974C6E" w:rsidRPr="00974C6E">
        <w:t>subd</w:t>
      </w:r>
      <w:proofErr w:type="spellEnd"/>
      <w:r w:rsidR="00974C6E" w:rsidRPr="00974C6E">
        <w:t>. (a)</w:t>
      </w:r>
      <w:r w:rsidR="00422A1B">
        <w:t>, fn. omitted</w:t>
      </w:r>
      <w:r w:rsidR="00974C6E" w:rsidRPr="00974C6E">
        <w:t xml:space="preserve">.) </w:t>
      </w:r>
      <w:r w:rsidR="00974C6E">
        <w:t xml:space="preserve"> </w:t>
      </w:r>
      <w:r w:rsidR="00974C6E" w:rsidRPr="00974C6E">
        <w:t>If the medical malpractice defendant intro</w:t>
      </w:r>
      <w:r w:rsidR="00974C6E">
        <w:t>duces evidence of the plaintiff’</w:t>
      </w:r>
      <w:r w:rsidR="00974C6E" w:rsidRPr="00974C6E">
        <w:t>s collateral source benefits, the plaintiff may introduce evidence of any payments made to obtain the</w:t>
      </w:r>
      <w:r w:rsidR="009A37A8">
        <w:t>se</w:t>
      </w:r>
      <w:r w:rsidR="00974C6E" w:rsidRPr="00974C6E">
        <w:t xml:space="preserve"> benefits. </w:t>
      </w:r>
      <w:r w:rsidR="00974C6E">
        <w:t xml:space="preserve"> </w:t>
      </w:r>
      <w:r w:rsidR="00974C6E" w:rsidRPr="00974C6E">
        <w:t>(</w:t>
      </w:r>
      <w:r w:rsidR="00974C6E" w:rsidRPr="00974C6E">
        <w:rPr>
          <w:i/>
        </w:rPr>
        <w:t>Ibid</w:t>
      </w:r>
      <w:r w:rsidR="00974C6E" w:rsidRPr="00974C6E">
        <w:t>.)</w:t>
      </w:r>
      <w:r w:rsidR="0038295A">
        <w:t xml:space="preserve">  </w:t>
      </w:r>
      <w:r w:rsidR="0065732F">
        <w:t xml:space="preserve">This section also provides that “[n]o source of collateral benefits introduced pursuant to subdivision (a) shall recover any amount against the plaintiff nor shall it be subrogated to the rights of the plaintiff against a defendant.”  (§ 3333.1, </w:t>
      </w:r>
      <w:proofErr w:type="spellStart"/>
      <w:r w:rsidR="0065732F">
        <w:t>subd</w:t>
      </w:r>
      <w:proofErr w:type="spellEnd"/>
      <w:r w:rsidR="0065732F">
        <w:t xml:space="preserve">. (b).)  </w:t>
      </w:r>
      <w:r w:rsidR="0038295A">
        <w:t>Under section</w:t>
      </w:r>
      <w:r w:rsidR="0065732F">
        <w:t xml:space="preserve"> 3333.1</w:t>
      </w:r>
      <w:r w:rsidR="0038295A">
        <w:t xml:space="preserve">, the jury is informed of collateral source benefits and </w:t>
      </w:r>
      <w:r w:rsidR="0038295A" w:rsidRPr="0065732F">
        <w:rPr>
          <w:i/>
        </w:rPr>
        <w:t>may</w:t>
      </w:r>
      <w:r w:rsidR="0038295A">
        <w:t xml:space="preserve"> elect not to award damages that duplicate those benefits.  (</w:t>
      </w:r>
      <w:proofErr w:type="spellStart"/>
      <w:r w:rsidR="0038295A" w:rsidRPr="0038295A">
        <w:rPr>
          <w:i/>
        </w:rPr>
        <w:t>Barme</w:t>
      </w:r>
      <w:proofErr w:type="spellEnd"/>
      <w:r w:rsidR="00C03DDC">
        <w:rPr>
          <w:i/>
        </w:rPr>
        <w:t xml:space="preserve">, </w:t>
      </w:r>
      <w:r w:rsidR="00C03DDC">
        <w:t xml:space="preserve">at p. </w:t>
      </w:r>
      <w:r w:rsidR="0038295A">
        <w:t xml:space="preserve">179, fn. 5.) </w:t>
      </w:r>
      <w:r w:rsidR="00C03DDC">
        <w:t xml:space="preserve"> </w:t>
      </w:r>
    </w:p>
    <w:p w:rsidR="00974C6E" w:rsidRPr="00F377C1" w:rsidRDefault="00974C6E" w:rsidP="00C37E71">
      <w:r>
        <w:tab/>
      </w:r>
      <w:r w:rsidR="003A52D1">
        <w:t>Courts have held that s</w:t>
      </w:r>
      <w:r w:rsidRPr="00974C6E">
        <w:t xml:space="preserve">ection 3333.1 does not apply to payments made on behalf of an injured party by </w:t>
      </w:r>
      <w:proofErr w:type="spellStart"/>
      <w:r w:rsidRPr="00974C6E">
        <w:t>Medi</w:t>
      </w:r>
      <w:proofErr w:type="spellEnd"/>
      <w:r w:rsidR="008D5485">
        <w:t>-</w:t>
      </w:r>
      <w:r w:rsidRPr="00974C6E">
        <w:t>Cal (</w:t>
      </w:r>
      <w:proofErr w:type="spellStart"/>
      <w:r w:rsidRPr="00974C6E">
        <w:t>Welf</w:t>
      </w:r>
      <w:proofErr w:type="spellEnd"/>
      <w:r w:rsidRPr="00974C6E">
        <w:t>. &amp; Inst. Code, § 14000 et seq.).</w:t>
      </w:r>
      <w:r w:rsidR="00E02EF5">
        <w:rPr>
          <w:rStyle w:val="FootnoteReference"/>
        </w:rPr>
        <w:footnoteReference w:id="5"/>
      </w:r>
      <w:r w:rsidRPr="00974C6E">
        <w:t xml:space="preserve"> </w:t>
      </w:r>
      <w:r>
        <w:t xml:space="preserve"> </w:t>
      </w:r>
      <w:r w:rsidRPr="00974C6E">
        <w:t>(</w:t>
      </w:r>
      <w:r w:rsidRPr="00974C6E">
        <w:rPr>
          <w:i/>
        </w:rPr>
        <w:t>Hernandez, supra,</w:t>
      </w:r>
      <w:r>
        <w:t xml:space="preserve"> </w:t>
      </w:r>
      <w:r w:rsidRPr="00974C6E">
        <w:t xml:space="preserve">78 Cal.App.4th </w:t>
      </w:r>
      <w:r>
        <w:t xml:space="preserve">at p. </w:t>
      </w:r>
      <w:r w:rsidRPr="00974C6E">
        <w:t xml:space="preserve">506.) </w:t>
      </w:r>
      <w:r>
        <w:t xml:space="preserve"> </w:t>
      </w:r>
      <w:r w:rsidRPr="00974C6E">
        <w:t xml:space="preserve">In </w:t>
      </w:r>
      <w:r w:rsidRPr="00974C6E">
        <w:rPr>
          <w:i/>
        </w:rPr>
        <w:t>Brown v. Stewart</w:t>
      </w:r>
      <w:r w:rsidRPr="00974C6E">
        <w:t xml:space="preserve"> (1982) 129 Cal.App.3d 331, 341</w:t>
      </w:r>
      <w:r w:rsidR="00282C89">
        <w:t xml:space="preserve"> (</w:t>
      </w:r>
      <w:r w:rsidR="00282C89" w:rsidRPr="00282C89">
        <w:rPr>
          <w:i/>
        </w:rPr>
        <w:t>Brown</w:t>
      </w:r>
      <w:r w:rsidR="00282C89">
        <w:t>)</w:t>
      </w:r>
      <w:r w:rsidRPr="00974C6E">
        <w:t xml:space="preserve">, the </w:t>
      </w:r>
      <w:r>
        <w:t xml:space="preserve">appellate </w:t>
      </w:r>
      <w:r w:rsidRPr="00974C6E">
        <w:t xml:space="preserve">court </w:t>
      </w:r>
      <w:r w:rsidR="00CB54A5">
        <w:t>concluded</w:t>
      </w:r>
      <w:r w:rsidRPr="00974C6E">
        <w:t xml:space="preserve"> that applying section 3333.1 to Medicaid payments for medical services would create a direct conflict with provisions of federal law that require states to seek reimbursement of Medicaid payments from third party </w:t>
      </w:r>
      <w:proofErr w:type="spellStart"/>
      <w:r w:rsidRPr="00974C6E">
        <w:t>tortfeasors</w:t>
      </w:r>
      <w:proofErr w:type="spellEnd"/>
      <w:r w:rsidRPr="00974C6E">
        <w:t xml:space="preserve">. </w:t>
      </w:r>
      <w:r>
        <w:t xml:space="preserve"> </w:t>
      </w:r>
      <w:r w:rsidRPr="00974C6E">
        <w:t xml:space="preserve">Therefore, the collateral source rule continues to apply in medical malpractice </w:t>
      </w:r>
      <w:r w:rsidR="00C03DDC">
        <w:t>cases</w:t>
      </w:r>
      <w:r w:rsidRPr="00974C6E">
        <w:t xml:space="preserve"> as to </w:t>
      </w:r>
      <w:proofErr w:type="spellStart"/>
      <w:r w:rsidRPr="00974C6E">
        <w:t>Medi</w:t>
      </w:r>
      <w:proofErr w:type="spellEnd"/>
      <w:r w:rsidRPr="00974C6E">
        <w:t>-Cal payments.</w:t>
      </w:r>
      <w:r w:rsidR="00E40214">
        <w:t xml:space="preserve"> </w:t>
      </w:r>
    </w:p>
    <w:p w:rsidR="0004327E" w:rsidRPr="0004327E" w:rsidRDefault="00F377C1" w:rsidP="00C37E71">
      <w:pPr>
        <w:rPr>
          <w:b/>
          <w:i/>
        </w:rPr>
      </w:pPr>
      <w:r>
        <w:rPr>
          <w:b/>
          <w:i/>
        </w:rPr>
        <w:t>II</w:t>
      </w:r>
      <w:r w:rsidR="00E56549">
        <w:rPr>
          <w:b/>
          <w:i/>
        </w:rPr>
        <w:t>I.</w:t>
      </w:r>
      <w:r w:rsidR="00E56549">
        <w:rPr>
          <w:b/>
          <w:i/>
        </w:rPr>
        <w:tab/>
      </w:r>
      <w:r w:rsidR="0004327E" w:rsidRPr="0004327E">
        <w:rPr>
          <w:b/>
          <w:i/>
        </w:rPr>
        <w:t xml:space="preserve">Evidence Regarding Future Benefits </w:t>
      </w:r>
      <w:r w:rsidR="00422A1B">
        <w:rPr>
          <w:b/>
          <w:i/>
        </w:rPr>
        <w:t>I</w:t>
      </w:r>
      <w:r w:rsidR="0004327E" w:rsidRPr="0004327E">
        <w:rPr>
          <w:b/>
          <w:i/>
        </w:rPr>
        <w:t>s Admissible Under Section 3333.1</w:t>
      </w:r>
    </w:p>
    <w:p w:rsidR="003A52D1" w:rsidRPr="003A52D1" w:rsidRDefault="00E56549" w:rsidP="00C37E71">
      <w:pPr>
        <w:rPr>
          <w:b/>
          <w:i/>
        </w:rPr>
      </w:pPr>
      <w:r>
        <w:rPr>
          <w:b/>
          <w:i/>
        </w:rPr>
        <w:tab/>
      </w:r>
      <w:r w:rsidR="003A52D1" w:rsidRPr="003A52D1">
        <w:rPr>
          <w:b/>
          <w:i/>
        </w:rPr>
        <w:t xml:space="preserve">A.  Section 3333.1 </w:t>
      </w:r>
      <w:r w:rsidR="00422A1B">
        <w:rPr>
          <w:b/>
          <w:i/>
        </w:rPr>
        <w:t>I</w:t>
      </w:r>
      <w:r w:rsidR="003A52D1" w:rsidRPr="003A52D1">
        <w:rPr>
          <w:b/>
          <w:i/>
        </w:rPr>
        <w:t xml:space="preserve">s Ambiguous </w:t>
      </w:r>
      <w:r>
        <w:rPr>
          <w:b/>
          <w:i/>
        </w:rPr>
        <w:t>w</w:t>
      </w:r>
      <w:r w:rsidR="003A52D1" w:rsidRPr="003A52D1">
        <w:rPr>
          <w:b/>
          <w:i/>
        </w:rPr>
        <w:t xml:space="preserve">ith Respect </w:t>
      </w:r>
      <w:r w:rsidR="00822177">
        <w:rPr>
          <w:b/>
          <w:i/>
        </w:rPr>
        <w:t>t</w:t>
      </w:r>
      <w:r w:rsidR="003A52D1" w:rsidRPr="003A52D1">
        <w:rPr>
          <w:b/>
          <w:i/>
        </w:rPr>
        <w:t xml:space="preserve">o </w:t>
      </w:r>
      <w:r w:rsidR="00822177">
        <w:rPr>
          <w:b/>
          <w:i/>
        </w:rPr>
        <w:t xml:space="preserve">Awards of </w:t>
      </w:r>
      <w:r w:rsidR="003A52D1" w:rsidRPr="003A52D1">
        <w:rPr>
          <w:b/>
          <w:i/>
        </w:rPr>
        <w:t>Future Damages</w:t>
      </w:r>
    </w:p>
    <w:p w:rsidR="00137FD8" w:rsidRDefault="0004327E" w:rsidP="00C37E71">
      <w:r w:rsidRPr="0004327E">
        <w:tab/>
      </w:r>
      <w:r w:rsidR="00473061">
        <w:t xml:space="preserve">The trial court ruled that section 3333.1 does not </w:t>
      </w:r>
      <w:r w:rsidR="002B2D75">
        <w:t>allow</w:t>
      </w:r>
      <w:r w:rsidR="00473061">
        <w:t xml:space="preserve"> the introduction of evidence regarding </w:t>
      </w:r>
      <w:r w:rsidR="00473061" w:rsidRPr="00473061">
        <w:rPr>
          <w:i/>
        </w:rPr>
        <w:t>future</w:t>
      </w:r>
      <w:r w:rsidR="00473061">
        <w:t xml:space="preserve"> health insurance benefits—only </w:t>
      </w:r>
      <w:r w:rsidR="00473061" w:rsidRPr="00473061">
        <w:rPr>
          <w:i/>
        </w:rPr>
        <w:t>past</w:t>
      </w:r>
      <w:r w:rsidR="00473061">
        <w:t xml:space="preserve"> benefits.  </w:t>
      </w:r>
      <w:r w:rsidR="008D5485">
        <w:t>Defendant</w:t>
      </w:r>
      <w:r w:rsidRPr="0004327E">
        <w:t xml:space="preserve"> </w:t>
      </w:r>
      <w:r>
        <w:t xml:space="preserve">asserts </w:t>
      </w:r>
      <w:r w:rsidR="002524B6">
        <w:t xml:space="preserve">that section 3333.1 allows the introduction of future as well as past </w:t>
      </w:r>
      <w:r w:rsidR="009A37A8">
        <w:t xml:space="preserve">collateral source </w:t>
      </w:r>
      <w:r w:rsidR="002524B6">
        <w:t>medical benefits</w:t>
      </w:r>
      <w:r w:rsidR="003A52D1">
        <w:t xml:space="preserve">, </w:t>
      </w:r>
      <w:r w:rsidR="00822177">
        <w:t xml:space="preserve">thereby </w:t>
      </w:r>
      <w:r w:rsidR="003A52D1">
        <w:t>a</w:t>
      </w:r>
      <w:r w:rsidR="002524B6">
        <w:t>llow</w:t>
      </w:r>
      <w:r w:rsidR="003A52D1">
        <w:t>ing</w:t>
      </w:r>
      <w:r w:rsidR="002524B6">
        <w:t xml:space="preserve"> the jury </w:t>
      </w:r>
      <w:r w:rsidR="009052F8">
        <w:t xml:space="preserve">to decide whether </w:t>
      </w:r>
      <w:r w:rsidR="002524B6">
        <w:t>to reduce a plaintiff’s damages award</w:t>
      </w:r>
      <w:r w:rsidR="00822177">
        <w:t xml:space="preserve"> for future medical expenses</w:t>
      </w:r>
      <w:r w:rsidR="002524B6">
        <w:t xml:space="preserve">.  </w:t>
      </w:r>
    </w:p>
    <w:p w:rsidR="0066762E" w:rsidRDefault="00137FD8" w:rsidP="00C37E71">
      <w:r>
        <w:tab/>
      </w:r>
      <w:r w:rsidR="00F440C9">
        <w:t xml:space="preserve">The issue is one of statutory interpretation.  A court’s “primary task in interpreting a statute is to determine the Legislature’s </w:t>
      </w:r>
      <w:r w:rsidR="003B6590">
        <w:t>intent</w:t>
      </w:r>
      <w:r w:rsidR="00F440C9">
        <w:t>, giving effect to the law’s purpose.  [Citation.]  [</w:t>
      </w:r>
      <w:r w:rsidR="00AF5B5F">
        <w:t>T</w:t>
      </w:r>
      <w:r w:rsidR="00F440C9">
        <w:t xml:space="preserve">he court] consider[s] first the words of a statute, as the most reliable indicator of legislative intent.  [Citation.]  </w:t>
      </w:r>
      <w:r w:rsidR="00422A1B">
        <w:t>‘ “ ‘</w:t>
      </w:r>
      <w:r w:rsidR="00F440C9">
        <w:t xml:space="preserve">Words must be construed in context, and statutes must be harmonized, both internally and with each other, to the </w:t>
      </w:r>
      <w:r w:rsidR="003B6590">
        <w:t>extent</w:t>
      </w:r>
      <w:r w:rsidR="00F440C9">
        <w:t xml:space="preserve"> possible.</w:t>
      </w:r>
      <w:r w:rsidR="00422A1B">
        <w:t>’ </w:t>
      </w:r>
      <w:r w:rsidR="00F440C9">
        <w:t>”</w:t>
      </w:r>
      <w:r w:rsidR="00422A1B">
        <w:t> ’ ”</w:t>
      </w:r>
      <w:r w:rsidR="00F440C9">
        <w:t xml:space="preserve"> </w:t>
      </w:r>
      <w:r w:rsidR="00422A1B">
        <w:t xml:space="preserve"> </w:t>
      </w:r>
      <w:r w:rsidR="00F440C9">
        <w:t>(</w:t>
      </w:r>
      <w:r w:rsidR="00F440C9" w:rsidRPr="00F440C9">
        <w:rPr>
          <w:i/>
        </w:rPr>
        <w:t>Tuolumne Jobs &amp; Small Business Alliance v. Superior Court</w:t>
      </w:r>
      <w:r w:rsidR="00F440C9">
        <w:t xml:space="preserve"> (2014) 59</w:t>
      </w:r>
      <w:r w:rsidR="00422A1B">
        <w:t> </w:t>
      </w:r>
      <w:r w:rsidR="00F440C9">
        <w:t xml:space="preserve">Cal.4th 1029, 1037.) </w:t>
      </w:r>
      <w:r w:rsidR="000F4A8F">
        <w:t xml:space="preserve"> </w:t>
      </w:r>
      <w:r w:rsidR="001D47C9" w:rsidRPr="001D47C9">
        <w:t xml:space="preserve">If, however, </w:t>
      </w:r>
      <w:r w:rsidR="001D47C9">
        <w:t>“</w:t>
      </w:r>
      <w:r w:rsidR="00422A1B">
        <w:t> ‘</w:t>
      </w:r>
      <w:r w:rsidR="001D47C9" w:rsidRPr="001D47C9">
        <w:t>the statutory language may reasonably be given more than one interpretation, “</w:t>
      </w:r>
      <w:r w:rsidR="00422A1B">
        <w:t> ‘ “</w:t>
      </w:r>
      <w:r w:rsidR="001D47C9" w:rsidRPr="001D47C9">
        <w:t>courts may consider various extrinsic aids, including the purpose of the statute, the evils to be remedied, the legislative history, public policy, and the statutory scheme encompassing the statute.”</w:t>
      </w:r>
      <w:r w:rsidR="00422A1B">
        <w:t> </w:t>
      </w:r>
      <w:r w:rsidR="001D47C9" w:rsidRPr="001D47C9">
        <w:t>’</w:t>
      </w:r>
      <w:r w:rsidR="00422A1B">
        <w:t> </w:t>
      </w:r>
      <w:r w:rsidR="001D47C9" w:rsidRPr="001D47C9">
        <w:t>”</w:t>
      </w:r>
      <w:r w:rsidR="00422A1B">
        <w:t> ’ ”</w:t>
      </w:r>
      <w:r w:rsidR="00942BC5">
        <w:t xml:space="preserve">  </w:t>
      </w:r>
      <w:r w:rsidR="001D47C9" w:rsidRPr="001D47C9">
        <w:t>(</w:t>
      </w:r>
      <w:r w:rsidR="001D47C9" w:rsidRPr="001D47C9">
        <w:rPr>
          <w:i/>
        </w:rPr>
        <w:t>People v. Cornett</w:t>
      </w:r>
      <w:r w:rsidR="001D47C9" w:rsidRPr="001D47C9">
        <w:t xml:space="preserve"> (2012) 53</w:t>
      </w:r>
      <w:r w:rsidR="00422A1B">
        <w:t> </w:t>
      </w:r>
      <w:r w:rsidR="001D47C9" w:rsidRPr="001D47C9">
        <w:t>Cal.4th 1261, 1265.)</w:t>
      </w:r>
    </w:p>
    <w:p w:rsidR="002B3B32" w:rsidRDefault="002524B6" w:rsidP="00C37E71">
      <w:r>
        <w:tab/>
      </w:r>
      <w:r w:rsidR="002B3B32">
        <w:t xml:space="preserve">Again, </w:t>
      </w:r>
      <w:r w:rsidR="001D598D">
        <w:t>section 3333.1</w:t>
      </w:r>
      <w:r w:rsidR="001F30FB">
        <w:t xml:space="preserve"> provides</w:t>
      </w:r>
      <w:r w:rsidR="001D598D">
        <w:t>, in relevant part</w:t>
      </w:r>
      <w:r>
        <w:t xml:space="preserve">: </w:t>
      </w:r>
      <w:r w:rsidR="00E56549">
        <w:t xml:space="preserve"> </w:t>
      </w:r>
      <w:r>
        <w:t>“</w:t>
      </w:r>
      <w:r w:rsidRPr="002524B6">
        <w:t>In the event the defendant so elects</w:t>
      </w:r>
      <w:r>
        <w:t xml:space="preserve"> </w:t>
      </w:r>
      <w:r w:rsidR="00E56549">
        <w:t>. . .</w:t>
      </w:r>
      <w:r w:rsidRPr="002524B6">
        <w:t xml:space="preserve">, he may introduce evidence </w:t>
      </w:r>
      <w:r w:rsidRPr="006E6CDB">
        <w:t xml:space="preserve">of </w:t>
      </w:r>
      <w:r w:rsidRPr="006E6CDB">
        <w:rPr>
          <w:i/>
        </w:rPr>
        <w:t>any amount</w:t>
      </w:r>
      <w:r w:rsidRPr="004C5E54">
        <w:rPr>
          <w:i/>
        </w:rPr>
        <w:t xml:space="preserve"> payable </w:t>
      </w:r>
      <w:r w:rsidRPr="001D598D">
        <w:t>as a benefit to</w:t>
      </w:r>
      <w:r w:rsidRPr="002524B6">
        <w:t xml:space="preserve"> the plaintiff as a result of the personal </w:t>
      </w:r>
      <w:r w:rsidRPr="004B1D53">
        <w:t>injury pursuant to the United</w:t>
      </w:r>
      <w:r w:rsidRPr="002524B6">
        <w:t xml:space="preserve"> States Social Security Act, any state or federal income disability or worker’s compensation act, any health, sickness or income-disability insurance, accident insurance that provides health benefits or income-disability coverage, </w:t>
      </w:r>
      <w:r w:rsidRPr="004B1D53">
        <w:t>and any contract or agreement of any group, organization, partnership, or corporation to</w:t>
      </w:r>
      <w:r w:rsidRPr="002524B6">
        <w:t xml:space="preserve"> provide, pay for, or reimburse the cost of medical, hospital, dental, or other health care services.  </w:t>
      </w:r>
      <w:r w:rsidR="006E6CDB" w:rsidRPr="006E6CDB">
        <w:t xml:space="preserve">Where the defendant elects to introduce such evidence, the plaintiff may introduce evidence of any amount which </w:t>
      </w:r>
      <w:r w:rsidR="006E6CDB" w:rsidRPr="006E6CDB">
        <w:rPr>
          <w:i/>
        </w:rPr>
        <w:t>the plaintiff has paid</w:t>
      </w:r>
      <w:r w:rsidR="006E6CDB" w:rsidRPr="006E6CDB">
        <w:t xml:space="preserve"> or contributed to secure his right to any insurance benefits concerning which the defendant has introduced evidence</w:t>
      </w:r>
      <w:r w:rsidRPr="002524B6">
        <w:t>.</w:t>
      </w:r>
      <w:r>
        <w:t xml:space="preserve">”  </w:t>
      </w:r>
      <w:r w:rsidR="00AF5B5F">
        <w:t>(</w:t>
      </w:r>
      <w:r w:rsidR="002B3B32">
        <w:t xml:space="preserve">§ </w:t>
      </w:r>
      <w:r w:rsidR="001F30FB">
        <w:t xml:space="preserve">3333.1, </w:t>
      </w:r>
      <w:proofErr w:type="spellStart"/>
      <w:r w:rsidR="001F30FB">
        <w:t>subd</w:t>
      </w:r>
      <w:proofErr w:type="spellEnd"/>
      <w:r w:rsidR="001F30FB">
        <w:t>. (a), i</w:t>
      </w:r>
      <w:r w:rsidR="00AF5B5F">
        <w:t>talics added</w:t>
      </w:r>
      <w:r w:rsidR="00422A1B">
        <w:t>, fn. omitted</w:t>
      </w:r>
      <w:r w:rsidR="00AF5B5F">
        <w:t xml:space="preserve">.)  </w:t>
      </w:r>
      <w:r w:rsidR="002B3B32">
        <w:t>Defendant argues that the statute’s use of the term “</w:t>
      </w:r>
      <w:r w:rsidR="003A52D1">
        <w:t>a</w:t>
      </w:r>
      <w:r w:rsidR="002B3B32">
        <w:t>mount payable,” instead of “amount paid,” “contemplates that evidence of future benefits should be admissible</w:t>
      </w:r>
      <w:r w:rsidR="003A52D1">
        <w:t xml:space="preserve"> as well</w:t>
      </w:r>
      <w:r w:rsidR="002B3B32">
        <w:t>.”</w:t>
      </w:r>
      <w:r w:rsidR="002B3B32">
        <w:rPr>
          <w:rStyle w:val="FootnoteReference"/>
        </w:rPr>
        <w:footnoteReference w:id="6"/>
      </w:r>
      <w:r w:rsidR="002B3B32">
        <w:t xml:space="preserve"> </w:t>
      </w:r>
      <w:r w:rsidR="001D598D">
        <w:t xml:space="preserve"> </w:t>
      </w:r>
      <w:r w:rsidR="006E6CDB">
        <w:t>We agree.</w:t>
      </w:r>
    </w:p>
    <w:p w:rsidR="006E6CDB" w:rsidRDefault="002B3B32" w:rsidP="00C37E71">
      <w:r>
        <w:tab/>
      </w:r>
      <w:r w:rsidR="00862BA2">
        <w:t xml:space="preserve">While the </w:t>
      </w:r>
      <w:r w:rsidR="0038295A">
        <w:t xml:space="preserve">meaning of </w:t>
      </w:r>
      <w:r w:rsidR="00862BA2">
        <w:t xml:space="preserve">“paid” </w:t>
      </w:r>
      <w:r w:rsidR="0038295A">
        <w:t>as</w:t>
      </w:r>
      <w:r w:rsidR="001D598D">
        <w:t xml:space="preserve"> </w:t>
      </w:r>
      <w:r w:rsidR="00862BA2">
        <w:t xml:space="preserve">used in </w:t>
      </w:r>
      <w:r w:rsidR="00C03DDC">
        <w:t xml:space="preserve">subdivision (a) of </w:t>
      </w:r>
      <w:r w:rsidR="00862BA2">
        <w:t xml:space="preserve">this section </w:t>
      </w:r>
      <w:r w:rsidR="0038295A">
        <w:t>is clear</w:t>
      </w:r>
      <w:r w:rsidR="00862BA2">
        <w:t xml:space="preserve">, in that it references that </w:t>
      </w:r>
      <w:r w:rsidR="0038295A">
        <w:t xml:space="preserve">amount </w:t>
      </w:r>
      <w:r w:rsidR="00862BA2">
        <w:t>which a plaintiff has already paid to obtain insurance benefits, w</w:t>
      </w:r>
      <w:r>
        <w:t>e agree with defendant that “amount payable”</w:t>
      </w:r>
      <w:r w:rsidR="00F4609B">
        <w:t xml:space="preserve"> is ambiguous insofar as it could apply to amounts </w:t>
      </w:r>
      <w:r w:rsidR="001C1521">
        <w:t xml:space="preserve">that will be </w:t>
      </w:r>
      <w:r w:rsidR="00F4609B">
        <w:t xml:space="preserve">payable in the future as well as </w:t>
      </w:r>
      <w:r w:rsidR="00C03DDC">
        <w:t xml:space="preserve">to </w:t>
      </w:r>
      <w:r w:rsidR="001C1521">
        <w:t xml:space="preserve">amounts that were payable </w:t>
      </w:r>
      <w:r w:rsidR="00F4609B">
        <w:t>in the past.</w:t>
      </w:r>
      <w:r w:rsidR="00447671">
        <w:rPr>
          <w:rStyle w:val="FootnoteReference"/>
        </w:rPr>
        <w:footnoteReference w:id="7"/>
      </w:r>
      <w:r w:rsidR="00F4609B">
        <w:t xml:space="preserve">  An argument can be made that “amount payable” should be restricted to past medical expenses because the statute only includes an offset for those premiums that a plaintiff has already “paid</w:t>
      </w:r>
      <w:r w:rsidR="006E6CDB">
        <w:t xml:space="preserve"> or contributed</w:t>
      </w:r>
      <w:r w:rsidR="00F4609B">
        <w:t>.”</w:t>
      </w:r>
      <w:r w:rsidR="00862BA2">
        <w:t xml:space="preserve">  </w:t>
      </w:r>
      <w:r w:rsidR="00F4609B">
        <w:t xml:space="preserve">However, </w:t>
      </w:r>
      <w:r w:rsidR="00CF3265">
        <w:t xml:space="preserve">section 3333.1 </w:t>
      </w:r>
      <w:r w:rsidR="00F4609B">
        <w:t>does not explicitly limit the presentation of a defendant’s evidence to past</w:t>
      </w:r>
      <w:r w:rsidR="00CF3265">
        <w:t xml:space="preserve"> benefits</w:t>
      </w:r>
      <w:r w:rsidR="00F4609B">
        <w:t xml:space="preserve">.  </w:t>
      </w:r>
    </w:p>
    <w:p w:rsidR="001F30FB" w:rsidRDefault="006E6CDB" w:rsidP="00C37E71">
      <w:r>
        <w:tab/>
      </w:r>
      <w:r w:rsidR="001D598D">
        <w:t>Preliminarily, w</w:t>
      </w:r>
      <w:r w:rsidR="00862BA2">
        <w:t xml:space="preserve">e </w:t>
      </w:r>
      <w:r w:rsidR="001D598D">
        <w:t xml:space="preserve">observe </w:t>
      </w:r>
      <w:r w:rsidR="003F6588">
        <w:t xml:space="preserve">we </w:t>
      </w:r>
      <w:r w:rsidR="00862BA2">
        <w:t xml:space="preserve">are not alone in </w:t>
      </w:r>
      <w:r w:rsidR="001D598D">
        <w:t>entertaining the notion</w:t>
      </w:r>
      <w:r w:rsidR="00862BA2">
        <w:t xml:space="preserve"> that section 3333.1 </w:t>
      </w:r>
      <w:r w:rsidR="001D598D">
        <w:t xml:space="preserve">permits the introduction of </w:t>
      </w:r>
      <w:r w:rsidR="00862BA2">
        <w:t xml:space="preserve">evidence of future collateral source benefits </w:t>
      </w:r>
      <w:r w:rsidR="003A52D1">
        <w:t xml:space="preserve">that </w:t>
      </w:r>
      <w:r w:rsidR="00862BA2">
        <w:t>a plaintiff</w:t>
      </w:r>
      <w:r w:rsidR="003A52D1">
        <w:t xml:space="preserve"> </w:t>
      </w:r>
      <w:r w:rsidR="001D598D">
        <w:t>is</w:t>
      </w:r>
      <w:r w:rsidR="003A52D1">
        <w:t xml:space="preserve"> likely</w:t>
      </w:r>
      <w:r w:rsidR="001D598D">
        <w:t xml:space="preserve"> to</w:t>
      </w:r>
      <w:r w:rsidR="003A52D1">
        <w:t xml:space="preserve"> receive</w:t>
      </w:r>
      <w:r w:rsidR="00862BA2">
        <w:t xml:space="preserve">. </w:t>
      </w:r>
      <w:r>
        <w:t xml:space="preserve"> </w:t>
      </w:r>
      <w:r w:rsidR="001D598D">
        <w:t xml:space="preserve">A </w:t>
      </w:r>
      <w:r w:rsidR="001F30FB">
        <w:t xml:space="preserve">footnote in </w:t>
      </w:r>
      <w:r w:rsidR="001F30FB" w:rsidRPr="006A3146">
        <w:rPr>
          <w:i/>
        </w:rPr>
        <w:t>Fein v. Permanente Medical Group</w:t>
      </w:r>
      <w:r w:rsidR="00422A1B">
        <w:t xml:space="preserve"> (198</w:t>
      </w:r>
      <w:r w:rsidR="001F30FB">
        <w:t>5) 38</w:t>
      </w:r>
      <w:r w:rsidR="00E56549">
        <w:t> </w:t>
      </w:r>
      <w:r w:rsidR="001F30FB">
        <w:t>Cal.3d 137, 165</w:t>
      </w:r>
      <w:r w:rsidR="00422A1B">
        <w:t xml:space="preserve"> </w:t>
      </w:r>
      <w:r w:rsidR="001F30FB">
        <w:t>(</w:t>
      </w:r>
      <w:r w:rsidR="001F30FB" w:rsidRPr="00B262A7">
        <w:rPr>
          <w:i/>
        </w:rPr>
        <w:t>Fein</w:t>
      </w:r>
      <w:r w:rsidR="001F30FB">
        <w:t>)</w:t>
      </w:r>
      <w:r w:rsidR="002B3B32">
        <w:t xml:space="preserve"> supports the conclusion that available medical insurance can be used by the </w:t>
      </w:r>
      <w:r w:rsidR="00862BA2">
        <w:t>jury</w:t>
      </w:r>
      <w:r w:rsidR="002B3B32">
        <w:t xml:space="preserve"> to reduce a medical malpractice plaintiff’s </w:t>
      </w:r>
      <w:r w:rsidR="002B3B32" w:rsidRPr="002B3B32">
        <w:rPr>
          <w:i/>
        </w:rPr>
        <w:t>future</w:t>
      </w:r>
      <w:r w:rsidR="002B3B32">
        <w:t xml:space="preserve"> medical damages award</w:t>
      </w:r>
      <w:r w:rsidR="001F30FB">
        <w:t>.</w:t>
      </w:r>
      <w:r w:rsidR="003C0123">
        <w:rPr>
          <w:rStyle w:val="FootnoteReference"/>
        </w:rPr>
        <w:footnoteReference w:id="8"/>
      </w:r>
      <w:r w:rsidR="001F30FB">
        <w:t xml:space="preserve">  </w:t>
      </w:r>
      <w:r w:rsidR="0012769A">
        <w:t>(</w:t>
      </w:r>
      <w:r w:rsidR="0012769A" w:rsidRPr="0012769A">
        <w:rPr>
          <w:i/>
        </w:rPr>
        <w:t>Fein</w:t>
      </w:r>
      <w:r w:rsidR="0012769A">
        <w:t xml:space="preserve">, at p.165, fn. 21.)  </w:t>
      </w:r>
      <w:r w:rsidR="001F30FB">
        <w:t xml:space="preserve">In </w:t>
      </w:r>
      <w:r w:rsidR="001F30FB" w:rsidRPr="006A3146">
        <w:rPr>
          <w:i/>
        </w:rPr>
        <w:t>Fein,</w:t>
      </w:r>
      <w:r w:rsidR="001F30FB">
        <w:t xml:space="preserve"> the trial court used an anomalous procedure in implementing section 3333.1.  It did not permit evidence of collateral source benefits to be introduced into evidence.  Rather, because the amount of such benefits was not in dispute, the court ruled that it would simply reduce the verdict by the amount of the benefits.  Neither party objected.  (</w:t>
      </w:r>
      <w:r w:rsidR="001F30FB" w:rsidRPr="006A3146">
        <w:rPr>
          <w:i/>
        </w:rPr>
        <w:t xml:space="preserve">Fein, </w:t>
      </w:r>
      <w:r w:rsidR="001F30FB">
        <w:t>at pp. 146, fn. 2, 165, fn. 21.)  Thereafter, the jury awarded, inter alia, $63,000 in future medical expenses, and the trial court ordered the defendant to pay the first $63,000 of those expenses “not covered by medical insurance provided by plaintiff’s employer, as such expenses were incurred.”  (</w:t>
      </w:r>
      <w:r w:rsidR="001F30FB" w:rsidRPr="006A3146">
        <w:rPr>
          <w:i/>
        </w:rPr>
        <w:t>Id</w:t>
      </w:r>
      <w:r w:rsidR="001F30FB">
        <w:t>. at p</w:t>
      </w:r>
      <w:r w:rsidR="0012769A">
        <w:t>p</w:t>
      </w:r>
      <w:r w:rsidR="001F30FB">
        <w:t>.</w:t>
      </w:r>
      <w:r w:rsidR="000F4A8F">
        <w:t> </w:t>
      </w:r>
      <w:r w:rsidR="0012769A">
        <w:t>145–</w:t>
      </w:r>
      <w:r w:rsidR="001F30FB">
        <w:t>146.)</w:t>
      </w:r>
    </w:p>
    <w:p w:rsidR="001F30FB" w:rsidRDefault="001F30FB" w:rsidP="00C37E71">
      <w:r>
        <w:tab/>
        <w:t xml:space="preserve">Although this </w:t>
      </w:r>
      <w:r w:rsidR="00862BA2">
        <w:t xml:space="preserve">reimbursement </w:t>
      </w:r>
      <w:r>
        <w:t xml:space="preserve">procedure was not raised as an issue on appeal, the Supreme Court observed in the footnote </w:t>
      </w:r>
      <w:r w:rsidR="003A52D1">
        <w:t xml:space="preserve">referenced above </w:t>
      </w:r>
      <w:r>
        <w:t>that the plaintiff did “raise a minor contention . . . which is somewhat related to this matter.”  (</w:t>
      </w:r>
      <w:r w:rsidRPr="006A3146">
        <w:rPr>
          <w:i/>
        </w:rPr>
        <w:t>Fein, supra,</w:t>
      </w:r>
      <w:r>
        <w:t xml:space="preserve"> 38 Cal.3d at p. 165, fn. 21.)  The court explained: </w:t>
      </w:r>
      <w:r w:rsidR="00942BC5">
        <w:t xml:space="preserve"> </w:t>
      </w:r>
      <w:r>
        <w:t xml:space="preserve">“In awarding damages applicable to plaintiff’s future medical expenses, the trial court indicated that defendant was to pay the first $63,000 of such expenses </w:t>
      </w:r>
      <w:r w:rsidRPr="00422A1B">
        <w:rPr>
          <w:i/>
        </w:rPr>
        <w:t>that were not covered by employer-provided medical insurance</w:t>
      </w:r>
      <w:r>
        <w:t xml:space="preserve">.  Plaintiff, pointing out that he may not be covered by medical insurance in the future, apparently objects to any reduction of future damages on the basis of potential future collateral source benefits.  Under the terms of the trial court’s judgment, however, defendant’s liability for such damages will be postponed only if plaintiff does in fact receive such collateral benefits; thus, it is difficult to see how plaintiff has any cause to complain about this aspect of the award.  Indeed, if anything, the trial court </w:t>
      </w:r>
      <w:r w:rsidRPr="00D60F9D">
        <w:rPr>
          <w:i/>
        </w:rPr>
        <w:t>may have given plaintiff more than he was entitled to,</w:t>
      </w:r>
      <w:r>
        <w:t xml:space="preserve"> since it did not reduce the jury’s $63,000 award by the collateral source benefits plaintiff was likely to receive, but instead imposed a continuing liability on defendant to pay up to a total of $63,000 for any </w:t>
      </w:r>
      <w:proofErr w:type="spellStart"/>
      <w:r>
        <w:t>noncovered</w:t>
      </w:r>
      <w:proofErr w:type="spellEnd"/>
      <w:r>
        <w:t xml:space="preserve"> medical expenses that plaintiff may incur in the future as a result of the injury.  Defendant has not objected to this portion of the judgment.”  (</w:t>
      </w:r>
      <w:r w:rsidRPr="006A3146">
        <w:rPr>
          <w:i/>
        </w:rPr>
        <w:t>Ibid.</w:t>
      </w:r>
      <w:r>
        <w:rPr>
          <w:i/>
        </w:rPr>
        <w:t xml:space="preserve">, </w:t>
      </w:r>
      <w:r w:rsidR="00422A1B">
        <w:t xml:space="preserve">first italics in orig., second </w:t>
      </w:r>
      <w:r>
        <w:t>italics added.)</w:t>
      </w:r>
    </w:p>
    <w:p w:rsidR="00D57D9D" w:rsidRDefault="001F30FB" w:rsidP="00C37E71">
      <w:r>
        <w:tab/>
      </w:r>
      <w:r w:rsidR="00862BA2">
        <w:t>Concededly, t</w:t>
      </w:r>
      <w:r w:rsidRPr="00D57D9D">
        <w:t xml:space="preserve">he </w:t>
      </w:r>
      <w:r>
        <w:t>relevant</w:t>
      </w:r>
      <w:r w:rsidRPr="00D57D9D">
        <w:t xml:space="preserve"> language in </w:t>
      </w:r>
      <w:r w:rsidRPr="00D57D9D">
        <w:rPr>
          <w:i/>
        </w:rPr>
        <w:t>Fein</w:t>
      </w:r>
      <w:r w:rsidR="003434F4">
        <w:t xml:space="preserve"> appears to be dicta;</w:t>
      </w:r>
      <w:r w:rsidR="00862BA2">
        <w:t xml:space="preserve"> however, i</w:t>
      </w:r>
      <w:r w:rsidR="00B262A7">
        <w:t>n support of its argument, d</w:t>
      </w:r>
      <w:r w:rsidR="00D57D9D">
        <w:t xml:space="preserve">efendant </w:t>
      </w:r>
      <w:r>
        <w:t xml:space="preserve">also </w:t>
      </w:r>
      <w:r w:rsidR="00203467">
        <w:t xml:space="preserve">draws our attention to </w:t>
      </w:r>
      <w:r w:rsidR="00862BA2">
        <w:t>several</w:t>
      </w:r>
      <w:r w:rsidR="00203467">
        <w:t xml:space="preserve"> </w:t>
      </w:r>
      <w:r w:rsidR="00D57D9D">
        <w:t>federal court</w:t>
      </w:r>
      <w:r w:rsidR="00203467">
        <w:t xml:space="preserve"> cases</w:t>
      </w:r>
      <w:r w:rsidR="00862BA2">
        <w:t xml:space="preserve"> holding that section 3333.1 allows the admission of </w:t>
      </w:r>
      <w:r w:rsidR="002537A4">
        <w:t xml:space="preserve">evidence of </w:t>
      </w:r>
      <w:r w:rsidR="00862BA2">
        <w:t>future insurance benefits</w:t>
      </w:r>
      <w:r w:rsidR="00D57D9D">
        <w:t xml:space="preserve">.  In </w:t>
      </w:r>
      <w:proofErr w:type="spellStart"/>
      <w:r w:rsidR="00D57D9D" w:rsidRPr="00404F1D">
        <w:rPr>
          <w:i/>
        </w:rPr>
        <w:t>Brewington</w:t>
      </w:r>
      <w:proofErr w:type="spellEnd"/>
      <w:r w:rsidR="00D57D9D" w:rsidRPr="00404F1D">
        <w:rPr>
          <w:i/>
        </w:rPr>
        <w:t xml:space="preserve"> v. United States</w:t>
      </w:r>
      <w:r w:rsidR="00D57D9D">
        <w:t xml:space="preserve"> (</w:t>
      </w:r>
      <w:proofErr w:type="spellStart"/>
      <w:r w:rsidR="00D57D9D">
        <w:t>C.D.</w:t>
      </w:r>
      <w:r w:rsidR="003434F4">
        <w:t>Cal</w:t>
      </w:r>
      <w:proofErr w:type="spellEnd"/>
      <w:r w:rsidR="003434F4">
        <w:t>.</w:t>
      </w:r>
      <w:r w:rsidR="00D57D9D">
        <w:t xml:space="preserve"> July 24, 2015, No. CV 13-07672-DMG (</w:t>
      </w:r>
      <w:proofErr w:type="spellStart"/>
      <w:r w:rsidR="00D57D9D">
        <w:t>CWx</w:t>
      </w:r>
      <w:proofErr w:type="spellEnd"/>
      <w:r w:rsidR="00D57D9D">
        <w:t xml:space="preserve">)) </w:t>
      </w:r>
      <w:r w:rsidR="00404F1D" w:rsidRPr="00404F1D">
        <w:t xml:space="preserve">2015 U.S. Dist. LEXIS 97720 </w:t>
      </w:r>
      <w:r w:rsidR="00DC0AE0">
        <w:t>(</w:t>
      </w:r>
      <w:proofErr w:type="spellStart"/>
      <w:r w:rsidR="00DC0AE0" w:rsidRPr="00DC0AE0">
        <w:rPr>
          <w:i/>
        </w:rPr>
        <w:t>Brewington</w:t>
      </w:r>
      <w:proofErr w:type="spellEnd"/>
      <w:r w:rsidR="00DC0AE0">
        <w:t>)</w:t>
      </w:r>
      <w:r w:rsidR="00D57D9D">
        <w:t xml:space="preserve">, the district court </w:t>
      </w:r>
      <w:r w:rsidR="001D598D">
        <w:t>concluded</w:t>
      </w:r>
      <w:r w:rsidR="00D57D9D">
        <w:t xml:space="preserve"> section 3333.1 applies to future benefits</w:t>
      </w:r>
      <w:r w:rsidR="001D598D">
        <w:t>,</w:t>
      </w:r>
      <w:r w:rsidR="00D57D9D">
        <w:t xml:space="preserve"> and </w:t>
      </w:r>
      <w:r w:rsidR="001D598D">
        <w:t xml:space="preserve">held </w:t>
      </w:r>
      <w:r w:rsidR="00D57D9D">
        <w:t xml:space="preserve">that evidence concerning future benefits could be introduced at trial.  </w:t>
      </w:r>
      <w:r w:rsidR="0012769A">
        <w:t>(</w:t>
      </w:r>
      <w:r w:rsidR="0012769A" w:rsidRPr="0012769A">
        <w:rPr>
          <w:i/>
        </w:rPr>
        <w:t>Id</w:t>
      </w:r>
      <w:r w:rsidR="0012769A">
        <w:t xml:space="preserve">. at pp. *16–*17.)  </w:t>
      </w:r>
      <w:r w:rsidR="00D57D9D">
        <w:t xml:space="preserve">However, that decision </w:t>
      </w:r>
      <w:r w:rsidR="00404F1D">
        <w:t>noted</w:t>
      </w:r>
      <w:r w:rsidR="00D57D9D">
        <w:t xml:space="preserve"> </w:t>
      </w:r>
      <w:r w:rsidR="00404F1D">
        <w:t>t</w:t>
      </w:r>
      <w:r w:rsidR="00D57D9D">
        <w:t xml:space="preserve">he Ninth Circuit had not yet </w:t>
      </w:r>
      <w:r w:rsidR="003B6590">
        <w:t>explicitly</w:t>
      </w:r>
      <w:r w:rsidR="00D57D9D">
        <w:t xml:space="preserve"> held that section 3333.1 applies to actio</w:t>
      </w:r>
      <w:r w:rsidR="00404F1D">
        <w:t>n</w:t>
      </w:r>
      <w:r w:rsidR="00D57D9D">
        <w:t>s under the Federal Tort Claims Act</w:t>
      </w:r>
      <w:r w:rsidR="00DC0AE0">
        <w:t xml:space="preserve"> </w:t>
      </w:r>
      <w:r w:rsidR="003434F4">
        <w:t>(28 U.S.C. § 2671 et seq.)</w:t>
      </w:r>
      <w:r w:rsidR="00D57D9D">
        <w:t xml:space="preserve">.  </w:t>
      </w:r>
      <w:r w:rsidR="0012769A">
        <w:t>(</w:t>
      </w:r>
      <w:proofErr w:type="spellStart"/>
      <w:r w:rsidR="0012769A" w:rsidRPr="0012769A">
        <w:rPr>
          <w:i/>
        </w:rPr>
        <w:t>Brewington</w:t>
      </w:r>
      <w:proofErr w:type="spellEnd"/>
      <w:r w:rsidR="0012769A">
        <w:t xml:space="preserve">, at p. *17.)  </w:t>
      </w:r>
      <w:r w:rsidR="00404F1D">
        <w:t xml:space="preserve">Nevertheless, it relied on unpublished California authority and a district court case, </w:t>
      </w:r>
      <w:proofErr w:type="spellStart"/>
      <w:r w:rsidR="00404F1D" w:rsidRPr="00404F1D">
        <w:rPr>
          <w:i/>
        </w:rPr>
        <w:t>Silong</w:t>
      </w:r>
      <w:proofErr w:type="spellEnd"/>
      <w:r w:rsidR="00404F1D" w:rsidRPr="00404F1D">
        <w:rPr>
          <w:i/>
        </w:rPr>
        <w:t xml:space="preserve"> v. United States</w:t>
      </w:r>
      <w:r w:rsidR="003434F4">
        <w:t xml:space="preserve"> </w:t>
      </w:r>
      <w:r w:rsidR="0012769A">
        <w:t>(</w:t>
      </w:r>
      <w:proofErr w:type="spellStart"/>
      <w:r w:rsidR="0012769A">
        <w:t>E.D.</w:t>
      </w:r>
      <w:r w:rsidR="003434F4" w:rsidRPr="00404F1D">
        <w:t>Cal</w:t>
      </w:r>
      <w:proofErr w:type="spellEnd"/>
      <w:r w:rsidR="003434F4" w:rsidRPr="00404F1D">
        <w:t>. Sept. 5, 2007)</w:t>
      </w:r>
      <w:r w:rsidR="003434F4">
        <w:t xml:space="preserve"> </w:t>
      </w:r>
      <w:r w:rsidR="00404F1D" w:rsidRPr="00404F1D">
        <w:t xml:space="preserve">2007 U.S. Dist. LEXIS 68724, at </w:t>
      </w:r>
      <w:r w:rsidR="003434F4">
        <w:t>pp. </w:t>
      </w:r>
      <w:r w:rsidR="00404F1D" w:rsidRPr="00404F1D">
        <w:t>*13</w:t>
      </w:r>
      <w:r w:rsidR="003434F4">
        <w:t>–</w:t>
      </w:r>
      <w:r w:rsidR="00422A1B">
        <w:t>*</w:t>
      </w:r>
      <w:r w:rsidR="003434F4">
        <w:t>18</w:t>
      </w:r>
      <w:r w:rsidR="00DC0AE0">
        <w:t xml:space="preserve"> (</w:t>
      </w:r>
      <w:proofErr w:type="spellStart"/>
      <w:r w:rsidR="00DC0AE0" w:rsidRPr="00DC0AE0">
        <w:rPr>
          <w:i/>
        </w:rPr>
        <w:t>Silong</w:t>
      </w:r>
      <w:proofErr w:type="spellEnd"/>
      <w:r w:rsidR="00DC0AE0">
        <w:t>)</w:t>
      </w:r>
      <w:r w:rsidR="00404F1D">
        <w:t xml:space="preserve">, in finding it “appropriate to take insurance benefits </w:t>
      </w:r>
      <w:r w:rsidR="003B6590">
        <w:t>available</w:t>
      </w:r>
      <w:r w:rsidR="00404F1D">
        <w:t xml:space="preserve"> under the ACA into consideration in calculating reasonable future life care plan needs.”  (</w:t>
      </w:r>
      <w:proofErr w:type="spellStart"/>
      <w:r w:rsidR="00DC0AE0">
        <w:rPr>
          <w:i/>
        </w:rPr>
        <w:t>Brewington</w:t>
      </w:r>
      <w:proofErr w:type="spellEnd"/>
      <w:r w:rsidR="003434F4">
        <w:t>,</w:t>
      </w:r>
      <w:r w:rsidR="00DC0AE0">
        <w:t xml:space="preserve"> at p.</w:t>
      </w:r>
      <w:r w:rsidR="0012769A">
        <w:t> </w:t>
      </w:r>
      <w:r w:rsidR="00404F1D">
        <w:t>*17.)</w:t>
      </w:r>
      <w:r w:rsidR="001B416D">
        <w:rPr>
          <w:rStyle w:val="FootnoteReference"/>
        </w:rPr>
        <w:footnoteReference w:id="9"/>
      </w:r>
      <w:r w:rsidR="00DC0AE0">
        <w:t xml:space="preserve">  </w:t>
      </w:r>
      <w:r w:rsidR="00C03DDC">
        <w:t xml:space="preserve">Because </w:t>
      </w:r>
      <w:r w:rsidR="002537A4">
        <w:t xml:space="preserve">we conclude </w:t>
      </w:r>
      <w:r w:rsidR="00C03DDC">
        <w:t xml:space="preserve">the term “amount payable” is ambiguous, we turn to extrinsic interpretation aids. </w:t>
      </w:r>
    </w:p>
    <w:p w:rsidR="000C0A72" w:rsidRPr="00106536" w:rsidRDefault="003434F4" w:rsidP="00C37E71">
      <w:pPr>
        <w:keepNext/>
        <w:rPr>
          <w:b/>
          <w:i/>
        </w:rPr>
      </w:pPr>
      <w:r>
        <w:rPr>
          <w:b/>
          <w:i/>
        </w:rPr>
        <w:tab/>
      </w:r>
      <w:r w:rsidR="000C0A72" w:rsidRPr="00106536">
        <w:rPr>
          <w:b/>
          <w:i/>
        </w:rPr>
        <w:t xml:space="preserve">B.  Purpose of MICRA </w:t>
      </w:r>
      <w:r w:rsidRPr="00106536">
        <w:rPr>
          <w:b/>
          <w:i/>
        </w:rPr>
        <w:t>a</w:t>
      </w:r>
      <w:r w:rsidR="000C0A72" w:rsidRPr="00106536">
        <w:rPr>
          <w:b/>
          <w:i/>
        </w:rPr>
        <w:t>nd Public Policy</w:t>
      </w:r>
    </w:p>
    <w:p w:rsidR="000E424E" w:rsidRDefault="00F30940" w:rsidP="00C37E71">
      <w:pPr>
        <w:rPr>
          <w:b/>
        </w:rPr>
      </w:pPr>
      <w:r w:rsidRPr="00106536">
        <w:tab/>
      </w:r>
      <w:r w:rsidR="000E424E" w:rsidRPr="00106536">
        <w:t xml:space="preserve">We recently had occasion to reflect on the significant reform created by MICRA legislation. </w:t>
      </w:r>
      <w:r w:rsidR="00106536" w:rsidRPr="00106536">
        <w:t xml:space="preserve"> </w:t>
      </w:r>
      <w:r w:rsidR="000E424E" w:rsidRPr="00106536">
        <w:t>“</w:t>
      </w:r>
      <w:r w:rsidR="006552F4">
        <w:t> ‘</w:t>
      </w:r>
      <w:r w:rsidR="000E424E" w:rsidRPr="00106536">
        <w:t>In May 1975, the Governor</w:t>
      </w:r>
      <w:r w:rsidR="00106536" w:rsidRPr="00106536">
        <w:t>—</w:t>
      </w:r>
      <w:r w:rsidR="000E424E" w:rsidRPr="00106536">
        <w:t>citing serious problems that had arisen throughout the state as a result of a rapid increase in medical malpractice insurance premiums</w:t>
      </w:r>
      <w:r w:rsidR="00106536" w:rsidRPr="00106536">
        <w:t>—conven</w:t>
      </w:r>
      <w:r w:rsidR="000E424E" w:rsidRPr="00106536">
        <w:t>ed the Legislature in extraordinary session to consider measures aimed at remedying the situation.  In response, the Legislature enacted . . . MICRA . . .</w:t>
      </w:r>
      <w:r w:rsidR="00942BC5">
        <w:t>,</w:t>
      </w:r>
      <w:r w:rsidR="000E424E" w:rsidRPr="00106536">
        <w:t xml:space="preserve"> a lengthy statute which attacked the problem on several fronts.</w:t>
      </w:r>
      <w:r w:rsidR="006552F4">
        <w:t>’  [Citation.]</w:t>
      </w:r>
      <w:r w:rsidR="000E424E" w:rsidRPr="00106536">
        <w:t xml:space="preserve"> </w:t>
      </w:r>
      <w:r w:rsidR="00106536" w:rsidRPr="00106536">
        <w:t xml:space="preserve"> </w:t>
      </w:r>
      <w:r w:rsidR="006552F4">
        <w:t>‘</w:t>
      </w:r>
      <w:r w:rsidR="000E424E" w:rsidRPr="00106536">
        <w:t xml:space="preserve">In broad outline, the act . . . sought to curtail unwarranted insurance premium increases by authorizing alternative insurance coverage programs and by establishing new procedures to review substantial rate increases, and </w:t>
      </w:r>
      <w:r w:rsidR="006552F4">
        <w:t xml:space="preserve">. . . </w:t>
      </w:r>
      <w:r w:rsidR="000E424E" w:rsidRPr="00106536">
        <w:t>attempted to reduce the cost and increase the efficiency of medical malpractice litigation by revising a number of legal rules applicable to such litigation.</w:t>
      </w:r>
      <w:r w:rsidR="006552F4">
        <w:t>’ </w:t>
      </w:r>
      <w:r w:rsidR="000E424E" w:rsidRPr="00106536">
        <w:t xml:space="preserve">” </w:t>
      </w:r>
      <w:r w:rsidR="00106536" w:rsidRPr="00106536">
        <w:t xml:space="preserve"> (</w:t>
      </w:r>
      <w:r w:rsidR="000E424E" w:rsidRPr="00106536">
        <w:rPr>
          <w:i/>
        </w:rPr>
        <w:t xml:space="preserve">Chan v. </w:t>
      </w:r>
      <w:r w:rsidR="006552F4">
        <w:rPr>
          <w:i/>
        </w:rPr>
        <w:t>Curran</w:t>
      </w:r>
      <w:r w:rsidR="000E424E" w:rsidRPr="00106536">
        <w:rPr>
          <w:i/>
        </w:rPr>
        <w:t xml:space="preserve"> </w:t>
      </w:r>
      <w:r w:rsidR="000E424E" w:rsidRPr="00106536">
        <w:t>(20</w:t>
      </w:r>
      <w:r w:rsidR="00106536" w:rsidRPr="00106536">
        <w:t>15) 237 Cal.App.4th 601, 607</w:t>
      </w:r>
      <w:r w:rsidR="006552F4">
        <w:t>, fn. omitted</w:t>
      </w:r>
      <w:r w:rsidR="00106536" w:rsidRPr="00106536">
        <w:t>; s</w:t>
      </w:r>
      <w:r w:rsidR="000E424E" w:rsidRPr="00106536">
        <w:t xml:space="preserve">ee </w:t>
      </w:r>
      <w:r w:rsidR="000E424E" w:rsidRPr="00106536">
        <w:rPr>
          <w:i/>
        </w:rPr>
        <w:t xml:space="preserve">American Bank &amp; Trust Co. v. Community Hospital </w:t>
      </w:r>
      <w:r w:rsidR="000E424E" w:rsidRPr="00106536">
        <w:t>(1984) 36 Cal.3d 359, 363</w:t>
      </w:r>
      <w:r w:rsidR="006552F4">
        <w:t>–3</w:t>
      </w:r>
      <w:r w:rsidR="000E424E" w:rsidRPr="00106536">
        <w:t>64.</w:t>
      </w:r>
      <w:r w:rsidR="00106536" w:rsidRPr="00106536">
        <w:t>)</w:t>
      </w:r>
      <w:r w:rsidR="000E424E">
        <w:rPr>
          <w:b/>
        </w:rPr>
        <w:t xml:space="preserve"> </w:t>
      </w:r>
    </w:p>
    <w:p w:rsidR="00447671" w:rsidRDefault="000E424E" w:rsidP="00C37E71">
      <w:r>
        <w:rPr>
          <w:b/>
        </w:rPr>
        <w:tab/>
      </w:r>
      <w:r w:rsidR="00862BA2">
        <w:t>D</w:t>
      </w:r>
      <w:r w:rsidR="00F30940">
        <w:t>efendant asserts that as a matter of practice and p</w:t>
      </w:r>
      <w:r w:rsidR="00203467">
        <w:t>o</w:t>
      </w:r>
      <w:r w:rsidR="00F30940">
        <w:t xml:space="preserve">licy, </w:t>
      </w:r>
      <w:r w:rsidR="000C0A72">
        <w:t>maintaining a</w:t>
      </w:r>
      <w:r w:rsidR="00F30940">
        <w:t xml:space="preserve"> distinction between past and future insurance benefits “makes no sense” because of the public’s strong interest in containing medical malpractice liability</w:t>
      </w:r>
      <w:r w:rsidR="00862BA2">
        <w:t>.</w:t>
      </w:r>
      <w:r w:rsidR="00F30940">
        <w:t xml:space="preserve">  </w:t>
      </w:r>
      <w:r w:rsidR="006E6CDB">
        <w:t xml:space="preserve">We note </w:t>
      </w:r>
      <w:r w:rsidR="00447671">
        <w:t>“</w:t>
      </w:r>
      <w:r w:rsidR="006E6CDB">
        <w:t>[t]</w:t>
      </w:r>
      <w:r w:rsidR="00447671">
        <w:t>he cases agree that MICRA provisions should be construed liberally in order to promote the legislative interest in negotiated resolution of medical malpractice disputes and to reduce malpractice insurance premiums.”  (</w:t>
      </w:r>
      <w:r w:rsidR="00447671" w:rsidRPr="00447671">
        <w:rPr>
          <w:i/>
        </w:rPr>
        <w:t>Preferred</w:t>
      </w:r>
      <w:r w:rsidR="00942BC5">
        <w:rPr>
          <w:i/>
        </w:rPr>
        <w:t xml:space="preserve"> Risk Mutual</w:t>
      </w:r>
      <w:r w:rsidR="00447671" w:rsidRPr="00447671">
        <w:rPr>
          <w:i/>
        </w:rPr>
        <w:t xml:space="preserve"> Ins. Co. v. </w:t>
      </w:r>
      <w:proofErr w:type="spellStart"/>
      <w:r w:rsidR="00447671" w:rsidRPr="00447671">
        <w:rPr>
          <w:i/>
        </w:rPr>
        <w:t>Reiswig</w:t>
      </w:r>
      <w:proofErr w:type="spellEnd"/>
      <w:r w:rsidR="00447671">
        <w:t xml:space="preserve"> </w:t>
      </w:r>
      <w:r w:rsidR="00684596">
        <w:t xml:space="preserve">(1999) </w:t>
      </w:r>
      <w:r w:rsidR="00447671">
        <w:t>21</w:t>
      </w:r>
      <w:r w:rsidR="003434F4">
        <w:t> </w:t>
      </w:r>
      <w:r w:rsidR="00447671">
        <w:t>Cal.4th 208, 215.)</w:t>
      </w:r>
    </w:p>
    <w:p w:rsidR="00F30940" w:rsidRDefault="00447671" w:rsidP="00C37E71">
      <w:r>
        <w:tab/>
      </w:r>
      <w:r w:rsidR="00862BA2">
        <w:t xml:space="preserve">As the Supreme Court stated in </w:t>
      </w:r>
      <w:r w:rsidR="00862BA2" w:rsidRPr="00862BA2">
        <w:rPr>
          <w:i/>
        </w:rPr>
        <w:t>Fein</w:t>
      </w:r>
      <w:r w:rsidR="00862BA2">
        <w:t>:</w:t>
      </w:r>
      <w:r w:rsidR="00F30940">
        <w:t xml:space="preserve"> </w:t>
      </w:r>
      <w:r w:rsidR="003434F4">
        <w:t xml:space="preserve"> </w:t>
      </w:r>
      <w:r w:rsidR="00862BA2">
        <w:t xml:space="preserve">“Because section 3333.1, subdivision (a) is likely to lead to lower malpractice awards, there can be no question but that this provision </w:t>
      </w:r>
      <w:r w:rsidR="003434F4">
        <w:t xml:space="preserve">. . . </w:t>
      </w:r>
      <w:r w:rsidR="00862BA2">
        <w:t>directly relates to MICRA’s objective of reducing the costs incurred by malpractice defendants and their insurers.  And, as we have seen, the Legislature could reasonably have determined that the reduction of such costs would serve the public interest by preserving the availability of medical care throughout the state and by helping to assure that patients who were injured by medical malpractice in the future would have a source of medical liability insurance to cover their losses.”  (</w:t>
      </w:r>
      <w:r w:rsidR="00862BA2" w:rsidRPr="000B0FE6">
        <w:rPr>
          <w:i/>
        </w:rPr>
        <w:t xml:space="preserve">Fein, supra, </w:t>
      </w:r>
      <w:r w:rsidR="00862BA2">
        <w:t>38 Cal.3d at p.</w:t>
      </w:r>
      <w:r w:rsidR="003434F4">
        <w:t> </w:t>
      </w:r>
      <w:r w:rsidR="00862BA2">
        <w:t>166.)</w:t>
      </w:r>
      <w:r w:rsidR="00BA6A19">
        <w:t xml:space="preserve">  Interpreting the statute </w:t>
      </w:r>
      <w:r w:rsidR="000C0A72">
        <w:t>as abrogating the collateral source rule with respect to</w:t>
      </w:r>
      <w:r w:rsidR="00BA6A19">
        <w:t xml:space="preserve"> future medical benefits </w:t>
      </w:r>
      <w:r w:rsidR="000C0A72">
        <w:t xml:space="preserve">as well as past benefits </w:t>
      </w:r>
      <w:r w:rsidR="00BA6A19">
        <w:t>is consistent with the legislative purpose of reducing malpractice</w:t>
      </w:r>
      <w:r w:rsidR="000C0A72">
        <w:t xml:space="preserve"> insurance</w:t>
      </w:r>
      <w:r w:rsidR="00BA6A19">
        <w:t xml:space="preserve"> costs.</w:t>
      </w:r>
    </w:p>
    <w:p w:rsidR="000C0A72" w:rsidRPr="000B0FE6" w:rsidRDefault="003434F4" w:rsidP="00C37E71">
      <w:pPr>
        <w:rPr>
          <w:b/>
          <w:i/>
        </w:rPr>
      </w:pPr>
      <w:r>
        <w:rPr>
          <w:b/>
          <w:i/>
        </w:rPr>
        <w:tab/>
      </w:r>
      <w:r w:rsidR="005173B8">
        <w:rPr>
          <w:b/>
          <w:i/>
        </w:rPr>
        <w:t>C</w:t>
      </w:r>
      <w:r w:rsidR="000C0A72" w:rsidRPr="000B0FE6">
        <w:rPr>
          <w:b/>
          <w:i/>
        </w:rPr>
        <w:t>.  Legislative History</w:t>
      </w:r>
    </w:p>
    <w:p w:rsidR="00C03DDC" w:rsidRDefault="0038295A" w:rsidP="00C37E71">
      <w:r>
        <w:tab/>
      </w:r>
      <w:r w:rsidR="001C1521">
        <w:t xml:space="preserve">The legislative history of section 3333.1 </w:t>
      </w:r>
      <w:r w:rsidR="00684596">
        <w:t xml:space="preserve">also </w:t>
      </w:r>
      <w:r w:rsidR="006E6CDB">
        <w:t xml:space="preserve">supports our conclusion, as it </w:t>
      </w:r>
      <w:r w:rsidR="001C1521">
        <w:t xml:space="preserve">suggests the Legislature intended to allow evidence of </w:t>
      </w:r>
      <w:r w:rsidR="00684596">
        <w:t>b</w:t>
      </w:r>
      <w:r w:rsidR="001C1521">
        <w:t>enefits payable both in the past and in the future.</w:t>
      </w:r>
      <w:r w:rsidR="00C40E1B">
        <w:rPr>
          <w:rStyle w:val="FootnoteReference"/>
        </w:rPr>
        <w:footnoteReference w:id="10"/>
      </w:r>
      <w:r w:rsidR="001C1521">
        <w:t xml:space="preserve">  </w:t>
      </w:r>
    </w:p>
    <w:p w:rsidR="00C03DDC" w:rsidRDefault="00C03DDC" w:rsidP="00C37E71">
      <w:r>
        <w:tab/>
      </w:r>
      <w:r w:rsidR="001C1521">
        <w:t xml:space="preserve">Assembly Bill No. 1 (1975-1976 2d Ex. Sess.) </w:t>
      </w:r>
      <w:r w:rsidR="00C40E1B">
        <w:t>(</w:t>
      </w:r>
      <w:proofErr w:type="spellStart"/>
      <w:r w:rsidR="00C40E1B">
        <w:t>A</w:t>
      </w:r>
      <w:r w:rsidR="006552F4">
        <w:t>ssem</w:t>
      </w:r>
      <w:proofErr w:type="spellEnd"/>
      <w:r w:rsidR="006552F4">
        <w:t xml:space="preserve">. </w:t>
      </w:r>
      <w:r w:rsidR="00C40E1B">
        <w:t>B</w:t>
      </w:r>
      <w:r w:rsidR="006552F4">
        <w:t>ill</w:t>
      </w:r>
      <w:r w:rsidR="00C40E1B">
        <w:t xml:space="preserve"> 1) </w:t>
      </w:r>
      <w:r w:rsidR="001C1521">
        <w:t xml:space="preserve">was enacted and codified as section 3333.1.  </w:t>
      </w:r>
      <w:r w:rsidR="00C40E1B">
        <w:t xml:space="preserve">All of </w:t>
      </w:r>
      <w:proofErr w:type="spellStart"/>
      <w:r w:rsidR="00942BC5">
        <w:t>Assem</w:t>
      </w:r>
      <w:proofErr w:type="spellEnd"/>
      <w:r w:rsidR="00942BC5">
        <w:t>. Bill</w:t>
      </w:r>
      <w:r w:rsidR="006E6CDB">
        <w:t xml:space="preserve"> 1’s</w:t>
      </w:r>
      <w:r w:rsidR="00C40E1B">
        <w:t xml:space="preserve"> predecessor bills, incl</w:t>
      </w:r>
      <w:r w:rsidR="006E6CDB">
        <w:t xml:space="preserve">uding </w:t>
      </w:r>
      <w:r w:rsidR="00942BC5">
        <w:t>Assembly Bill</w:t>
      </w:r>
      <w:r w:rsidR="006E6CDB">
        <w:t xml:space="preserve"> </w:t>
      </w:r>
      <w:r w:rsidR="003434F4">
        <w:t xml:space="preserve">Nos. </w:t>
      </w:r>
      <w:r w:rsidR="00942BC5">
        <w:t>21</w:t>
      </w:r>
      <w:r w:rsidR="00C134B6">
        <w:t xml:space="preserve"> (1975-1976 2d Ex. Sess., as introduced May 28, 1975</w:t>
      </w:r>
      <w:r w:rsidR="00942BC5">
        <w:t xml:space="preserve"> (</w:t>
      </w:r>
      <w:proofErr w:type="spellStart"/>
      <w:r w:rsidR="00942BC5">
        <w:t>Assem</w:t>
      </w:r>
      <w:proofErr w:type="spellEnd"/>
      <w:r w:rsidR="00942BC5">
        <w:t>. Bill 21)</w:t>
      </w:r>
      <w:r w:rsidR="00C134B6">
        <w:t>, §</w:t>
      </w:r>
      <w:r w:rsidR="00942BC5">
        <w:t> </w:t>
      </w:r>
      <w:r w:rsidR="00C134B6">
        <w:t xml:space="preserve">2) </w:t>
      </w:r>
      <w:r w:rsidR="006E6CDB">
        <w:t>and 27</w:t>
      </w:r>
      <w:r w:rsidR="00942BC5">
        <w:t xml:space="preserve"> (</w:t>
      </w:r>
      <w:r w:rsidR="00C134B6">
        <w:t>1975-1976 2d Ex. Sess.) as introduced June 2, 1975</w:t>
      </w:r>
      <w:r w:rsidR="00E445CC">
        <w:t xml:space="preserve"> (</w:t>
      </w:r>
      <w:proofErr w:type="spellStart"/>
      <w:r w:rsidR="00E445CC">
        <w:t>Assem</w:t>
      </w:r>
      <w:proofErr w:type="spellEnd"/>
      <w:r w:rsidR="00E445CC">
        <w:t>. Bill 27)</w:t>
      </w:r>
      <w:r w:rsidR="00C134B6">
        <w:t>, §</w:t>
      </w:r>
      <w:r w:rsidR="00E445CC">
        <w:t> </w:t>
      </w:r>
      <w:r w:rsidR="00C134B6">
        <w:t>2)</w:t>
      </w:r>
      <w:r w:rsidR="006E6CDB">
        <w:t>, identified</w:t>
      </w:r>
      <w:r w:rsidR="00C40E1B">
        <w:t xml:space="preserve"> the Legislature’s </w:t>
      </w:r>
      <w:r w:rsidR="006E6CDB">
        <w:t>desire</w:t>
      </w:r>
      <w:r w:rsidR="00C40E1B">
        <w:t xml:space="preserve"> </w:t>
      </w:r>
      <w:r w:rsidR="006E6CDB">
        <w:t>t</w:t>
      </w:r>
      <w:r w:rsidR="00C40E1B">
        <w:t>o eliminate duplicative damages</w:t>
      </w:r>
      <w:r w:rsidR="006E6CDB">
        <w:t>, including duplicative future damages,</w:t>
      </w:r>
      <w:r w:rsidR="00C40E1B">
        <w:t xml:space="preserve"> “for the cost of medica</w:t>
      </w:r>
      <w:r w:rsidR="003F6588">
        <w:t>l</w:t>
      </w:r>
      <w:r w:rsidR="00C40E1B">
        <w:t xml:space="preserve"> care in actions for personal injuries against health care providers or health care institutions when such care has already been </w:t>
      </w:r>
      <w:r w:rsidR="00C40E1B" w:rsidRPr="006E6CDB">
        <w:rPr>
          <w:i/>
        </w:rPr>
        <w:t>or will be</w:t>
      </w:r>
      <w:r w:rsidR="00C40E1B">
        <w:t xml:space="preserve"> provided by a collateral source.”  (Sen.</w:t>
      </w:r>
      <w:r w:rsidR="003F6588">
        <w:t xml:space="preserve"> </w:t>
      </w:r>
      <w:r w:rsidR="00C40E1B">
        <w:t>Bill No. 697 (1975-1976 Reg. Sess.) as amended May 13, 1975</w:t>
      </w:r>
      <w:r w:rsidR="00C134B6">
        <w:t xml:space="preserve"> (Sen. Bill 697)</w:t>
      </w:r>
      <w:r w:rsidR="00027FA0">
        <w:t>, § 3</w:t>
      </w:r>
      <w:r w:rsidR="00C40E1B">
        <w:t>,</w:t>
      </w:r>
      <w:r w:rsidR="003F6588">
        <w:t xml:space="preserve"> </w:t>
      </w:r>
      <w:proofErr w:type="spellStart"/>
      <w:r w:rsidR="00C40E1B">
        <w:t>subd</w:t>
      </w:r>
      <w:proofErr w:type="spellEnd"/>
      <w:r w:rsidR="00C40E1B">
        <w:t>. (d)</w:t>
      </w:r>
      <w:r w:rsidR="006E6CDB">
        <w:t>, italics added</w:t>
      </w:r>
      <w:r w:rsidR="00C40E1B">
        <w:t>; accord</w:t>
      </w:r>
      <w:r w:rsidR="003F6588">
        <w:t xml:space="preserve"> </w:t>
      </w:r>
      <w:proofErr w:type="spellStart"/>
      <w:r w:rsidR="00C40E1B">
        <w:t>Assem</w:t>
      </w:r>
      <w:proofErr w:type="spellEnd"/>
      <w:r w:rsidR="00C40E1B">
        <w:t>. Bill</w:t>
      </w:r>
      <w:r w:rsidR="00411770">
        <w:t> </w:t>
      </w:r>
      <w:r w:rsidR="00C40E1B">
        <w:t>21</w:t>
      </w:r>
      <w:r w:rsidR="003F6588">
        <w:t>;</w:t>
      </w:r>
      <w:r w:rsidR="00C40E1B">
        <w:t xml:space="preserve"> </w:t>
      </w:r>
      <w:proofErr w:type="spellStart"/>
      <w:r w:rsidR="00C40E1B">
        <w:t>Assem</w:t>
      </w:r>
      <w:proofErr w:type="spellEnd"/>
      <w:r w:rsidR="00C40E1B">
        <w:t>. Bill No. 22</w:t>
      </w:r>
      <w:r w:rsidR="003F6588">
        <w:t xml:space="preserve"> </w:t>
      </w:r>
      <w:r w:rsidR="00C40E1B">
        <w:t>(1975-1976 2d Ex. Sess.) as amended Aug. 4, 1975</w:t>
      </w:r>
      <w:r w:rsidR="00411770">
        <w:t xml:space="preserve"> (</w:t>
      </w:r>
      <w:proofErr w:type="spellStart"/>
      <w:r w:rsidR="00411770">
        <w:t>Assem</w:t>
      </w:r>
      <w:proofErr w:type="spellEnd"/>
      <w:r w:rsidR="00411770">
        <w:t>. Bill 22)</w:t>
      </w:r>
      <w:r w:rsidR="00C40E1B">
        <w:t xml:space="preserve">, § 3, </w:t>
      </w:r>
      <w:proofErr w:type="spellStart"/>
      <w:r w:rsidR="00C40E1B">
        <w:t>subd</w:t>
      </w:r>
      <w:proofErr w:type="spellEnd"/>
      <w:r w:rsidR="00C40E1B">
        <w:t>. (c)</w:t>
      </w:r>
      <w:r w:rsidR="003F6588">
        <w:t xml:space="preserve">; </w:t>
      </w:r>
      <w:proofErr w:type="spellStart"/>
      <w:r w:rsidR="00C40E1B">
        <w:t>Assem</w:t>
      </w:r>
      <w:proofErr w:type="spellEnd"/>
      <w:r w:rsidR="00C40E1B">
        <w:t>. Bill 27</w:t>
      </w:r>
      <w:r w:rsidR="003F6588">
        <w:t>;</w:t>
      </w:r>
      <w:r w:rsidR="00C40E1B">
        <w:t xml:space="preserve"> </w:t>
      </w:r>
      <w:proofErr w:type="spellStart"/>
      <w:r w:rsidR="00C40E1B">
        <w:t>Assem</w:t>
      </w:r>
      <w:proofErr w:type="spellEnd"/>
      <w:r w:rsidR="00C40E1B">
        <w:t>. Bill No. 1997 (1975-1976 Reg. Sess.)</w:t>
      </w:r>
      <w:r w:rsidR="003F6588">
        <w:t xml:space="preserve"> </w:t>
      </w:r>
      <w:r w:rsidR="00C40E1B">
        <w:t xml:space="preserve">as introduced Apr. 21, 1975, § 2; see also </w:t>
      </w:r>
      <w:proofErr w:type="spellStart"/>
      <w:r w:rsidR="00C40E1B">
        <w:t>Assem</w:t>
      </w:r>
      <w:proofErr w:type="spellEnd"/>
      <w:r w:rsidR="00C40E1B">
        <w:t>. Bill No.</w:t>
      </w:r>
      <w:r w:rsidR="003F6588">
        <w:t xml:space="preserve"> </w:t>
      </w:r>
      <w:r w:rsidR="00C40E1B">
        <w:t>1943 (1975-1976 Reg. Sess.) as introduced Apr. 17, 1975, § 2,</w:t>
      </w:r>
      <w:r w:rsidR="003F6588">
        <w:t xml:space="preserve"> </w:t>
      </w:r>
      <w:r w:rsidR="00C40E1B">
        <w:t xml:space="preserve">containing substantially similar language.) </w:t>
      </w:r>
      <w:r w:rsidR="003F6588">
        <w:t xml:space="preserve"> </w:t>
      </w:r>
    </w:p>
    <w:p w:rsidR="003F6588" w:rsidRDefault="00C03DDC" w:rsidP="00C37E71">
      <w:r>
        <w:tab/>
        <w:t>While “[p]</w:t>
      </w:r>
      <w:proofErr w:type="spellStart"/>
      <w:r>
        <w:t>rior</w:t>
      </w:r>
      <w:proofErr w:type="spellEnd"/>
      <w:r>
        <w:t xml:space="preserve"> unpassed bills generally have little valu</w:t>
      </w:r>
      <w:r w:rsidR="003434F4">
        <w:t xml:space="preserve">e in showing legislative intent” </w:t>
      </w:r>
      <w:r>
        <w:t>(</w:t>
      </w:r>
      <w:r w:rsidRPr="001C1521">
        <w:rPr>
          <w:i/>
        </w:rPr>
        <w:t>Medical Board v. Superior Court</w:t>
      </w:r>
      <w:r>
        <w:t xml:space="preserve"> (2003) 111 Cal.</w:t>
      </w:r>
      <w:r w:rsidR="003434F4">
        <w:t>A</w:t>
      </w:r>
      <w:r>
        <w:t xml:space="preserve">pp.4th 163, 181), here the predecessor bills are instructive.  This is because the </w:t>
      </w:r>
      <w:r w:rsidR="002537A4">
        <w:t>A</w:t>
      </w:r>
      <w:r>
        <w:t>ssembly Committee on Judiciary acknowle</w:t>
      </w:r>
      <w:r w:rsidR="00C134B6">
        <w:t xml:space="preserve">dged the relationship between </w:t>
      </w:r>
      <w:proofErr w:type="spellStart"/>
      <w:r w:rsidR="00C134B6">
        <w:t>Assem</w:t>
      </w:r>
      <w:proofErr w:type="spellEnd"/>
      <w:r w:rsidR="00C134B6">
        <w:t>. Bill</w:t>
      </w:r>
      <w:r>
        <w:t xml:space="preserve"> 1 and its predecessor bills, stating that </w:t>
      </w:r>
      <w:proofErr w:type="spellStart"/>
      <w:r w:rsidR="00C134B6">
        <w:t>Assem</w:t>
      </w:r>
      <w:proofErr w:type="spellEnd"/>
      <w:r w:rsidR="00C134B6">
        <w:t>. Bill</w:t>
      </w:r>
      <w:r w:rsidR="003434F4">
        <w:t> </w:t>
      </w:r>
      <w:r>
        <w:t xml:space="preserve">1 “incorporates the concepts or language of the following assembly bills introduced during the regular or special session,” referencing </w:t>
      </w:r>
      <w:proofErr w:type="spellStart"/>
      <w:r>
        <w:t>Assem</w:t>
      </w:r>
      <w:proofErr w:type="spellEnd"/>
      <w:r w:rsidR="00C134B6">
        <w:t>.</w:t>
      </w:r>
      <w:r>
        <w:t xml:space="preserve"> Bills 21 </w:t>
      </w:r>
      <w:r w:rsidR="002537A4">
        <w:t xml:space="preserve">and </w:t>
      </w:r>
      <w:r>
        <w:t xml:space="preserve">27.  </w:t>
      </w:r>
      <w:r w:rsidR="00C40E1B">
        <w:t>Since the adopted bill,</w:t>
      </w:r>
      <w:r w:rsidR="003F6588">
        <w:t xml:space="preserve"> </w:t>
      </w:r>
      <w:proofErr w:type="spellStart"/>
      <w:r w:rsidR="00C134B6">
        <w:t>Assem</w:t>
      </w:r>
      <w:proofErr w:type="spellEnd"/>
      <w:r w:rsidR="00C134B6">
        <w:t>. Bill 1</w:t>
      </w:r>
      <w:r w:rsidR="00C40E1B">
        <w:t>, incorporate</w:t>
      </w:r>
      <w:r w:rsidR="002537A4">
        <w:t>d</w:t>
      </w:r>
      <w:r w:rsidR="00C40E1B">
        <w:t xml:space="preserve"> “the concepts or language” of the</w:t>
      </w:r>
      <w:r w:rsidR="003F6588">
        <w:t xml:space="preserve"> </w:t>
      </w:r>
      <w:r w:rsidR="00C40E1B">
        <w:t xml:space="preserve">prior bills, </w:t>
      </w:r>
      <w:r w:rsidR="003F6588">
        <w:t xml:space="preserve">it is not unreasonable to conclude </w:t>
      </w:r>
      <w:r w:rsidR="00C40E1B">
        <w:t xml:space="preserve">the </w:t>
      </w:r>
      <w:r w:rsidR="002537A4">
        <w:t xml:space="preserve">legislative intent to extend the statute’s reach to </w:t>
      </w:r>
      <w:r w:rsidR="00C40E1B">
        <w:t>future damages</w:t>
      </w:r>
      <w:r w:rsidR="002537A4">
        <w:t xml:space="preserve"> was adopted as well</w:t>
      </w:r>
      <w:r w:rsidR="00C40E1B">
        <w:t>.</w:t>
      </w:r>
      <w:r w:rsidR="003F6588">
        <w:rPr>
          <w:rStyle w:val="FootnoteReference"/>
        </w:rPr>
        <w:footnoteReference w:id="11"/>
      </w:r>
      <w:r w:rsidR="00C40E1B">
        <w:t xml:space="preserve"> </w:t>
      </w:r>
      <w:r w:rsidR="003F6588">
        <w:t xml:space="preserve"> </w:t>
      </w:r>
    </w:p>
    <w:p w:rsidR="002E60B3" w:rsidRDefault="00391F0A" w:rsidP="00C37E71">
      <w:r>
        <w:tab/>
      </w:r>
      <w:r w:rsidR="003F6588">
        <w:t xml:space="preserve">And while the Legislature used the past tense </w:t>
      </w:r>
      <w:r w:rsidR="002537A4">
        <w:t xml:space="preserve">in section 3333.1, subdivision (a) </w:t>
      </w:r>
      <w:r w:rsidR="003F6588">
        <w:t xml:space="preserve">with respect to </w:t>
      </w:r>
      <w:r w:rsidR="001E2A6D">
        <w:t>a</w:t>
      </w:r>
      <w:r w:rsidR="003F6588">
        <w:t xml:space="preserve"> plaintiff’s right to offer evidence regarding the amo</w:t>
      </w:r>
      <w:r w:rsidR="001E2A6D">
        <w:t>u</w:t>
      </w:r>
      <w:r w:rsidR="003F6588">
        <w:t xml:space="preserve">nt </w:t>
      </w:r>
      <w:r w:rsidR="001E2A6D">
        <w:t>he or she</w:t>
      </w:r>
      <w:r w:rsidR="003F6588">
        <w:t xml:space="preserve"> “has paid or contributed” to secure a collateral source benefit, prior </w:t>
      </w:r>
      <w:r w:rsidR="002B2D75">
        <w:t>versions</w:t>
      </w:r>
      <w:r w:rsidR="003F6588">
        <w:t xml:space="preserve"> of the bills, including those that expressly provided that a defendant could introduce evidence of future care that “will be provided by a collateral source,” contained this same </w:t>
      </w:r>
      <w:r w:rsidR="002B2D75">
        <w:t>language</w:t>
      </w:r>
      <w:r w:rsidR="003F6588">
        <w:t xml:space="preserve"> </w:t>
      </w:r>
      <w:r w:rsidR="00C03DDC">
        <w:t>concerning</w:t>
      </w:r>
      <w:r w:rsidR="003F6588">
        <w:t xml:space="preserve"> the amount </w:t>
      </w:r>
      <w:r w:rsidR="001E2A6D">
        <w:t xml:space="preserve">a plaintiff “has </w:t>
      </w:r>
      <w:r w:rsidR="00725D00">
        <w:t xml:space="preserve">. . . </w:t>
      </w:r>
      <w:r w:rsidR="003F6588">
        <w:t xml:space="preserve">paid or contributed.”  </w:t>
      </w:r>
      <w:r w:rsidR="009B4947">
        <w:t xml:space="preserve">(Sen. Bill 697; </w:t>
      </w:r>
      <w:proofErr w:type="spellStart"/>
      <w:r w:rsidR="009B4947">
        <w:t>Assem</w:t>
      </w:r>
      <w:proofErr w:type="spellEnd"/>
      <w:r w:rsidR="009B4947">
        <w:t xml:space="preserve">. Bill 22.)  This suggests the Legislature did not understand the </w:t>
      </w:r>
      <w:r w:rsidR="001E2A6D">
        <w:t xml:space="preserve">use of “paid or contributed” to restrict the term </w:t>
      </w:r>
      <w:r w:rsidR="009B4947">
        <w:t>“</w:t>
      </w:r>
      <w:r w:rsidR="001E2A6D">
        <w:t xml:space="preserve">amount </w:t>
      </w:r>
      <w:r w:rsidR="009B4947">
        <w:t xml:space="preserve">payable” </w:t>
      </w:r>
      <w:r w:rsidR="001E2A6D">
        <w:t>to past</w:t>
      </w:r>
      <w:r w:rsidR="009B4947">
        <w:t xml:space="preserve"> collateral source benefits</w:t>
      </w:r>
      <w:r w:rsidR="001E2A6D">
        <w:t xml:space="preserve"> only</w:t>
      </w:r>
      <w:r w:rsidR="009B4947">
        <w:t>.</w:t>
      </w:r>
      <w:r w:rsidR="00110BB0">
        <w:t xml:space="preserve">  Further, </w:t>
      </w:r>
      <w:r w:rsidR="001E2A6D">
        <w:t>our</w:t>
      </w:r>
      <w:r w:rsidR="00110BB0">
        <w:t xml:space="preserve"> interpretation is consistent </w:t>
      </w:r>
      <w:r w:rsidR="003434F4">
        <w:t xml:space="preserve">with </w:t>
      </w:r>
      <w:r w:rsidR="00110BB0">
        <w:t xml:space="preserve">the cardinal principle </w:t>
      </w:r>
      <w:r w:rsidR="000A2B4A">
        <w:t>of statutory construction that “ ‘</w:t>
      </w:r>
      <w:r w:rsidR="00110BB0">
        <w:t>we are required to give it an interpretation based upon the legislative intent with which it was passed.</w:t>
      </w:r>
      <w:r w:rsidR="000A2B4A">
        <w:t>’</w:t>
      </w:r>
      <w:r w:rsidR="00725D00">
        <w:t> </w:t>
      </w:r>
      <w:r w:rsidR="000A2B4A">
        <w:t>”  (</w:t>
      </w:r>
      <w:r w:rsidR="00110BB0" w:rsidRPr="000A2B4A">
        <w:rPr>
          <w:i/>
        </w:rPr>
        <w:t>Friends of Mammoth v. Board of Supervisors</w:t>
      </w:r>
      <w:r w:rsidR="000A2B4A">
        <w:t xml:space="preserve"> (1972) </w:t>
      </w:r>
      <w:r w:rsidR="00110BB0">
        <w:t>8 Cal.3d 247, 256</w:t>
      </w:r>
      <w:r w:rsidR="000A2B4A">
        <w:t>.</w:t>
      </w:r>
      <w:r w:rsidR="00110BB0">
        <w:t>)</w:t>
      </w:r>
      <w:r w:rsidR="001E2A6D">
        <w:t xml:space="preserve">  </w:t>
      </w:r>
      <w:r w:rsidR="002537A4">
        <w:t xml:space="preserve">In sum, we conclude section 3333.1 permits the introduction of evidence regarding future as well as past medical benefits. </w:t>
      </w:r>
      <w:r w:rsidR="002E60B3">
        <w:t xml:space="preserve"> The trial court thus erred in relying on this section to bar defendant from introducing evidence of future benefits.</w:t>
      </w:r>
      <w:r w:rsidR="002E60B3">
        <w:rPr>
          <w:rStyle w:val="FootnoteReference"/>
        </w:rPr>
        <w:footnoteReference w:id="12"/>
      </w:r>
    </w:p>
    <w:p w:rsidR="004E62DB" w:rsidRPr="006E1EBB" w:rsidRDefault="003434F4" w:rsidP="00C37E71">
      <w:pPr>
        <w:rPr>
          <w:b/>
        </w:rPr>
      </w:pPr>
      <w:r>
        <w:rPr>
          <w:b/>
          <w:i/>
        </w:rPr>
        <w:tab/>
      </w:r>
      <w:r w:rsidR="004E62DB" w:rsidRPr="004E62DB">
        <w:rPr>
          <w:b/>
          <w:i/>
        </w:rPr>
        <w:t xml:space="preserve">D.  </w:t>
      </w:r>
      <w:r w:rsidR="006E1EBB">
        <w:rPr>
          <w:b/>
          <w:i/>
        </w:rPr>
        <w:t xml:space="preserve">The Collateral Source Rule </w:t>
      </w:r>
      <w:r>
        <w:rPr>
          <w:b/>
          <w:i/>
        </w:rPr>
        <w:t>a</w:t>
      </w:r>
      <w:r w:rsidR="006E1EBB">
        <w:rPr>
          <w:b/>
          <w:i/>
        </w:rPr>
        <w:t xml:space="preserve">nd </w:t>
      </w:r>
      <w:r w:rsidR="004E62DB" w:rsidRPr="006E1EBB">
        <w:rPr>
          <w:b/>
        </w:rPr>
        <w:t>Howell</w:t>
      </w:r>
    </w:p>
    <w:p w:rsidR="006E1EBB" w:rsidRDefault="006E1EBB" w:rsidP="00C37E71">
      <w:r>
        <w:tab/>
        <w:t xml:space="preserve">Defendant asserts the trial court erred independent of section 3333.1 by relying on the collateral source rule to exclude evidence of the ACA and the amounts that healthcare providers typically accept as payment for their services.  Defendant relies on </w:t>
      </w:r>
      <w:r w:rsidRPr="00F473C5">
        <w:rPr>
          <w:i/>
        </w:rPr>
        <w:t>Howell</w:t>
      </w:r>
      <w:r>
        <w:rPr>
          <w:i/>
        </w:rPr>
        <w:t>, supra,</w:t>
      </w:r>
      <w:r>
        <w:t xml:space="preserve"> </w:t>
      </w:r>
      <w:r w:rsidR="003434F4">
        <w:t xml:space="preserve">52 Cal.4th 541 </w:t>
      </w:r>
      <w:r>
        <w:t xml:space="preserve">for the proposition that negotiated </w:t>
      </w:r>
      <w:r w:rsidR="002E60B3">
        <w:t>payment</w:t>
      </w:r>
      <w:r>
        <w:t xml:space="preserve"> amounts and “the ACA’s guaranteed issue and renewal requirements are highly probative because they </w:t>
      </w:r>
      <w:r w:rsidR="003434F4">
        <w:t xml:space="preserve">. . . </w:t>
      </w:r>
      <w:r>
        <w:t>are ‘of substantial probative value’ in determining the reasonable value of plaintiff’s medical service</w:t>
      </w:r>
      <w:r w:rsidR="00725D00">
        <w:t>s</w:t>
      </w:r>
      <w:r>
        <w:t>.”</w:t>
      </w:r>
      <w:r>
        <w:rPr>
          <w:rStyle w:val="FootnoteReference"/>
        </w:rPr>
        <w:footnoteReference w:id="13"/>
      </w:r>
      <w:r>
        <w:t xml:space="preserve"> </w:t>
      </w:r>
      <w:r w:rsidR="000F4A8F">
        <w:t xml:space="preserve"> </w:t>
      </w:r>
      <w:r>
        <w:t>Defendant’s reasoning is persuasive.</w:t>
      </w:r>
    </w:p>
    <w:p w:rsidR="002E60B3" w:rsidRDefault="006E1EBB" w:rsidP="00C37E71">
      <w:r>
        <w:tab/>
      </w:r>
      <w:r w:rsidRPr="006E1EBB">
        <w:rPr>
          <w:i/>
        </w:rPr>
        <w:t>Howell</w:t>
      </w:r>
      <w:r w:rsidR="002E220C">
        <w:rPr>
          <w:i/>
        </w:rPr>
        <w:t xml:space="preserve"> </w:t>
      </w:r>
      <w:r w:rsidRPr="006E1EBB">
        <w:t xml:space="preserve">addressed whether a plaintiff could recover from a </w:t>
      </w:r>
      <w:proofErr w:type="spellStart"/>
      <w:r w:rsidRPr="006E1EBB">
        <w:t>tortfeasor</w:t>
      </w:r>
      <w:proofErr w:type="spellEnd"/>
      <w:r w:rsidRPr="006E1EBB">
        <w:t xml:space="preserve"> economic damages for amounts billed by a medical provider in excess of the discounted sum the provider agreed to accept as full payment for </w:t>
      </w:r>
      <w:r w:rsidRPr="00B56B54">
        <w:rPr>
          <w:i/>
        </w:rPr>
        <w:t>past</w:t>
      </w:r>
      <w:r w:rsidRPr="006E1EBB">
        <w:t xml:space="preserve"> medical services pursuant to a preexisting contract with the plaintiff’s health insurance carrier.  </w:t>
      </w:r>
      <w:r w:rsidRPr="00B56B54">
        <w:rPr>
          <w:i/>
        </w:rPr>
        <w:t xml:space="preserve">Howell </w:t>
      </w:r>
      <w:r w:rsidRPr="006E1EBB">
        <w:t>ultimately concluded the plaintiff was limited to recovering the amount actually paid on his behalf because the billed amounts did not represent an economic loss the plaintiff incurred.  (</w:t>
      </w:r>
      <w:r w:rsidR="002E220C" w:rsidRPr="002E220C">
        <w:rPr>
          <w:i/>
        </w:rPr>
        <w:t>Howell</w:t>
      </w:r>
      <w:r w:rsidR="002E220C">
        <w:t xml:space="preserve">, </w:t>
      </w:r>
      <w:r w:rsidR="002E220C" w:rsidRPr="002E220C">
        <w:rPr>
          <w:i/>
        </w:rPr>
        <w:t>supra</w:t>
      </w:r>
      <w:r w:rsidR="002E220C">
        <w:t xml:space="preserve">, 52 Cal.4th </w:t>
      </w:r>
      <w:r w:rsidRPr="002E220C">
        <w:t>at</w:t>
      </w:r>
      <w:r w:rsidRPr="006E1EBB">
        <w:t xml:space="preserve"> pp. 548</w:t>
      </w:r>
      <w:r w:rsidR="002E220C">
        <w:t>–</w:t>
      </w:r>
      <w:r w:rsidRPr="006E1EBB">
        <w:t>549.)</w:t>
      </w:r>
      <w:r w:rsidR="00B56B54">
        <w:t xml:space="preserve">  </w:t>
      </w:r>
    </w:p>
    <w:p w:rsidR="004E62DB" w:rsidRDefault="002E60B3" w:rsidP="00C37E71">
      <w:r>
        <w:tab/>
      </w:r>
      <w:r w:rsidR="00E72EF2">
        <w:t xml:space="preserve">The </w:t>
      </w:r>
      <w:r w:rsidRPr="002E60B3">
        <w:rPr>
          <w:i/>
        </w:rPr>
        <w:t>Howell</w:t>
      </w:r>
      <w:r>
        <w:t xml:space="preserve"> </w:t>
      </w:r>
      <w:r w:rsidR="00E72EF2">
        <w:t xml:space="preserve">court explained it was not abrogating or modifying the collateral source rule, it simply found </w:t>
      </w:r>
      <w:r>
        <w:t xml:space="preserve">the rule </w:t>
      </w:r>
      <w:r w:rsidR="00E72EF2">
        <w:t xml:space="preserve">inapplicable: </w:t>
      </w:r>
      <w:r w:rsidR="002E220C">
        <w:t xml:space="preserve"> </w:t>
      </w:r>
      <w:r w:rsidR="00E72EF2">
        <w:t>“The rule . . . has no bearing on amounts t</w:t>
      </w:r>
      <w:r w:rsidR="00E116FD">
        <w:t>hat were included in a provider’</w:t>
      </w:r>
      <w:r w:rsidR="00E72EF2">
        <w:t xml:space="preserve">s bill but for which the plaintiff never incurred liability because the provider, by prior agreement, accepted a lesser amount as full payment. </w:t>
      </w:r>
      <w:r w:rsidR="00E116FD">
        <w:t xml:space="preserve"> </w:t>
      </w:r>
      <w:r w:rsidR="00E72EF2">
        <w:t xml:space="preserve">Such sums are not damages the plaintiff would otherwise have collected from the defendant. </w:t>
      </w:r>
      <w:r w:rsidR="00E116FD">
        <w:t xml:space="preserve"> </w:t>
      </w:r>
      <w:r w:rsidR="00E72EF2">
        <w:t>They are neither paid to the providers on the plaintiff</w:t>
      </w:r>
      <w:r w:rsidR="00E116FD">
        <w:t>’</w:t>
      </w:r>
      <w:r w:rsidR="00E72EF2">
        <w:t xml:space="preserve">s behalf nor paid to the plaintiff in indemnity of his or her expenses. </w:t>
      </w:r>
      <w:r w:rsidR="00E116FD">
        <w:t xml:space="preserve"> </w:t>
      </w:r>
      <w:r w:rsidR="00E72EF2">
        <w:t>Because they do not represent an economic loss for the plaintiff, they are not recoverable in the first instance.</w:t>
      </w:r>
      <w:r w:rsidR="00E116FD">
        <w:t xml:space="preserve">” </w:t>
      </w:r>
      <w:r w:rsidR="00E72EF2">
        <w:t xml:space="preserve"> (</w:t>
      </w:r>
      <w:r w:rsidR="00E72EF2" w:rsidRPr="00E116FD">
        <w:rPr>
          <w:i/>
        </w:rPr>
        <w:t xml:space="preserve">Howell, supra, </w:t>
      </w:r>
      <w:r w:rsidR="00E72EF2">
        <w:t>52 Cal.4th at p</w:t>
      </w:r>
      <w:r w:rsidR="002E220C">
        <w:t>p</w:t>
      </w:r>
      <w:r w:rsidR="00E72EF2">
        <w:t>. 548</w:t>
      </w:r>
      <w:r w:rsidR="002E220C">
        <w:t>–</w:t>
      </w:r>
      <w:r w:rsidR="00E72EF2">
        <w:t xml:space="preserve">549.) </w:t>
      </w:r>
      <w:r w:rsidR="00E116FD">
        <w:t xml:space="preserve"> </w:t>
      </w:r>
      <w:r w:rsidR="00E116FD" w:rsidRPr="00E116FD">
        <w:rPr>
          <w:i/>
        </w:rPr>
        <w:t>Howell</w:t>
      </w:r>
      <w:r w:rsidR="00E116FD" w:rsidRPr="00E116FD">
        <w:t xml:space="preserve"> affirmed the vitality of the evidentiary aspect of the collateral source rule</w:t>
      </w:r>
      <w:r w:rsidR="00E116FD">
        <w:t>,</w:t>
      </w:r>
      <w:r w:rsidR="00E116FD" w:rsidRPr="00E116FD">
        <w:t xml:space="preserve"> stating evidence that </w:t>
      </w:r>
      <w:r w:rsidR="00E116FD">
        <w:t>“</w:t>
      </w:r>
      <w:r w:rsidR="00E116FD" w:rsidRPr="00E116FD">
        <w:t>payments were made in whole or in part by an insurer remains . . . generally inadmissible.</w:t>
      </w:r>
      <w:r w:rsidR="00E116FD">
        <w:t xml:space="preserve">” </w:t>
      </w:r>
      <w:r w:rsidR="00E116FD" w:rsidRPr="00E116FD">
        <w:t xml:space="preserve"> (</w:t>
      </w:r>
      <w:r w:rsidR="002E220C">
        <w:rPr>
          <w:i/>
        </w:rPr>
        <w:t>Id</w:t>
      </w:r>
      <w:r w:rsidR="002E220C">
        <w:t>.</w:t>
      </w:r>
      <w:r w:rsidR="00E116FD" w:rsidRPr="00E116FD">
        <w:t xml:space="preserve"> at </w:t>
      </w:r>
      <w:r w:rsidR="002E220C">
        <w:t>p. </w:t>
      </w:r>
      <w:r w:rsidR="00E116FD" w:rsidRPr="00E116FD">
        <w:t>567.)</w:t>
      </w:r>
      <w:r w:rsidR="00E116FD">
        <w:t xml:space="preserve">  </w:t>
      </w:r>
      <w:r w:rsidR="00B56B54">
        <w:t xml:space="preserve">The court declined to opine as to the relevance or admissibility of the full billed amount with respect to noneconomic </w:t>
      </w:r>
      <w:r w:rsidR="00282C89">
        <w:t>damages</w:t>
      </w:r>
      <w:r w:rsidR="00B56B54">
        <w:t xml:space="preserve"> or future medical expenses.  (</w:t>
      </w:r>
      <w:r w:rsidR="00B56B54" w:rsidRPr="00B56B54">
        <w:rPr>
          <w:i/>
        </w:rPr>
        <w:t>I</w:t>
      </w:r>
      <w:r w:rsidR="002E220C">
        <w:rPr>
          <w:i/>
        </w:rPr>
        <w:t>bi</w:t>
      </w:r>
      <w:r w:rsidR="00B56B54" w:rsidRPr="00B56B54">
        <w:rPr>
          <w:i/>
        </w:rPr>
        <w:t>d.</w:t>
      </w:r>
      <w:r w:rsidR="00B56B54">
        <w:t xml:space="preserve">)  </w:t>
      </w:r>
    </w:p>
    <w:p w:rsidR="00CC5CB7" w:rsidRDefault="00CC5CB7" w:rsidP="00C37E71">
      <w:r>
        <w:tab/>
        <w:t xml:space="preserve">The appellate court in </w:t>
      </w:r>
      <w:proofErr w:type="spellStart"/>
      <w:r w:rsidRPr="00CC5CB7">
        <w:rPr>
          <w:i/>
        </w:rPr>
        <w:t>Corenbaum</w:t>
      </w:r>
      <w:proofErr w:type="spellEnd"/>
      <w:r w:rsidR="00E116FD">
        <w:rPr>
          <w:i/>
        </w:rPr>
        <w:t xml:space="preserve"> </w:t>
      </w:r>
      <w:r>
        <w:t xml:space="preserve">addressed issues left open in </w:t>
      </w:r>
      <w:r w:rsidRPr="00CC5CB7">
        <w:rPr>
          <w:i/>
        </w:rPr>
        <w:t>Howell, supra,</w:t>
      </w:r>
      <w:r>
        <w:t xml:space="preserve"> 52</w:t>
      </w:r>
      <w:r w:rsidR="002E220C">
        <w:t> </w:t>
      </w:r>
      <w:r>
        <w:t>Cal.4th at page 567.  The court held evidence of the full amount billed for a plaintiff’s medical care is not relevant to damages for future medical care or noneconomic damages</w:t>
      </w:r>
      <w:r w:rsidR="00A25E53">
        <w:t>,</w:t>
      </w:r>
      <w:r>
        <w:t xml:space="preserve"> </w:t>
      </w:r>
      <w:r w:rsidR="002E60B3">
        <w:t xml:space="preserve">concluding </w:t>
      </w:r>
      <w:r w:rsidR="00A25E53">
        <w:t xml:space="preserve">that the </w:t>
      </w:r>
      <w:r>
        <w:t xml:space="preserve">admission </w:t>
      </w:r>
      <w:r w:rsidR="00A25E53">
        <w:t xml:space="preserve">of such evidence </w:t>
      </w:r>
      <w:r w:rsidR="007D5B02">
        <w:t>was</w:t>
      </w:r>
      <w:r>
        <w:t xml:space="preserve"> error.  (</w:t>
      </w:r>
      <w:proofErr w:type="spellStart"/>
      <w:r w:rsidRPr="00B132CB">
        <w:rPr>
          <w:i/>
        </w:rPr>
        <w:t>Corenbaum</w:t>
      </w:r>
      <w:proofErr w:type="spellEnd"/>
      <w:r w:rsidRPr="00B132CB">
        <w:rPr>
          <w:i/>
        </w:rPr>
        <w:t>, supra,</w:t>
      </w:r>
      <w:r>
        <w:t xml:space="preserve"> 215</w:t>
      </w:r>
      <w:r w:rsidR="002E220C">
        <w:t> </w:t>
      </w:r>
      <w:r>
        <w:t xml:space="preserve">Cal.App.4th at pp. 1319, 1330–1333.)  The court </w:t>
      </w:r>
      <w:r w:rsidR="00A25E53">
        <w:t>reasoned</w:t>
      </w:r>
      <w:r>
        <w:t xml:space="preserve"> the trial court’s erroneous admission of such evidence was prejudicial in that case because the record “clearly demonstrate[d]” that the damages awards were based on the full amount billed and not on the lesser amount the plaintiff’s medical providers had accepted as full payment.</w:t>
      </w:r>
      <w:r w:rsidR="002D3B63">
        <w:t xml:space="preserve"> </w:t>
      </w:r>
      <w:r>
        <w:t xml:space="preserve"> (</w:t>
      </w:r>
      <w:r w:rsidRPr="00CC5CB7">
        <w:rPr>
          <w:i/>
        </w:rPr>
        <w:t>Id.</w:t>
      </w:r>
      <w:r>
        <w:t xml:space="preserve"> at p. 1333.)  The court reversed and remanded for a new trial limited to the issue of compensatory damages.  (</w:t>
      </w:r>
      <w:r w:rsidRPr="00CC5CB7">
        <w:rPr>
          <w:i/>
        </w:rPr>
        <w:t>Id.</w:t>
      </w:r>
      <w:r>
        <w:t xml:space="preserve"> at pp. 1333–1334.)</w:t>
      </w:r>
    </w:p>
    <w:p w:rsidR="00FD2052" w:rsidRDefault="00C743BA" w:rsidP="00C37E71">
      <w:r>
        <w:tab/>
      </w:r>
      <w:r w:rsidRPr="00C743BA">
        <w:t>A recent case</w:t>
      </w:r>
      <w:r>
        <w:t xml:space="preserve"> from the Second Appellate District</w:t>
      </w:r>
      <w:r w:rsidRPr="00C743BA">
        <w:t xml:space="preserve">, </w:t>
      </w:r>
      <w:proofErr w:type="spellStart"/>
      <w:r w:rsidRPr="00C743BA">
        <w:rPr>
          <w:i/>
        </w:rPr>
        <w:t>Markow</w:t>
      </w:r>
      <w:proofErr w:type="spellEnd"/>
      <w:r w:rsidRPr="00C743BA">
        <w:rPr>
          <w:i/>
        </w:rPr>
        <w:t xml:space="preserve"> v. </w:t>
      </w:r>
      <w:proofErr w:type="spellStart"/>
      <w:r w:rsidRPr="00C743BA">
        <w:rPr>
          <w:i/>
        </w:rPr>
        <w:t>Rosner</w:t>
      </w:r>
      <w:proofErr w:type="spellEnd"/>
      <w:r w:rsidRPr="00C743BA">
        <w:t xml:space="preserve"> (2016) 3</w:t>
      </w:r>
      <w:r w:rsidR="002E220C">
        <w:t> </w:t>
      </w:r>
      <w:r w:rsidRPr="00C743BA">
        <w:t>Cal.App.5th 1027</w:t>
      </w:r>
      <w:r>
        <w:t xml:space="preserve"> (</w:t>
      </w:r>
      <w:proofErr w:type="spellStart"/>
      <w:r w:rsidRPr="00C743BA">
        <w:rPr>
          <w:i/>
        </w:rPr>
        <w:t>Markow</w:t>
      </w:r>
      <w:proofErr w:type="spellEnd"/>
      <w:r>
        <w:t>)</w:t>
      </w:r>
      <w:r w:rsidRPr="00C743BA">
        <w:t>, cite</w:t>
      </w:r>
      <w:r>
        <w:t>s</w:t>
      </w:r>
      <w:r w:rsidRPr="00C743BA">
        <w:t xml:space="preserve"> to </w:t>
      </w:r>
      <w:r w:rsidRPr="00C743BA">
        <w:rPr>
          <w:i/>
        </w:rPr>
        <w:t>Howell</w:t>
      </w:r>
      <w:r w:rsidRPr="00C743BA">
        <w:t xml:space="preserve"> and </w:t>
      </w:r>
      <w:proofErr w:type="spellStart"/>
      <w:r w:rsidRPr="00C743BA">
        <w:rPr>
          <w:i/>
        </w:rPr>
        <w:t>Corenbaum</w:t>
      </w:r>
      <w:proofErr w:type="spellEnd"/>
      <w:r w:rsidRPr="00C743BA">
        <w:rPr>
          <w:i/>
        </w:rPr>
        <w:t>,</w:t>
      </w:r>
      <w:r w:rsidRPr="00C743BA">
        <w:t xml:space="preserve"> explaining: </w:t>
      </w:r>
      <w:r w:rsidR="002E220C">
        <w:t xml:space="preserve"> </w:t>
      </w:r>
      <w:r w:rsidRPr="00C743BA">
        <w:t xml:space="preserve">“Our Supreme Court has endorsed a market or exchange value as the proper way to think about the reasonable value of medical services.  [Citation.]  This applies to the calculation of future medical expenses.  [Citation.]  For insured plaintiffs, the reasonable market or exchange value of medical services will not be the amount </w:t>
      </w:r>
      <w:r w:rsidRPr="00725D00">
        <w:rPr>
          <w:i/>
        </w:rPr>
        <w:t>billed</w:t>
      </w:r>
      <w:r w:rsidRPr="00C743BA">
        <w:t xml:space="preserve"> by a medical provider or hospital, but the </w:t>
      </w:r>
      <w:r>
        <w:t>‘</w:t>
      </w:r>
      <w:r w:rsidRPr="00C743BA">
        <w:t xml:space="preserve">amount </w:t>
      </w:r>
      <w:r w:rsidRPr="00725D00">
        <w:rPr>
          <w:i/>
        </w:rPr>
        <w:t>paid</w:t>
      </w:r>
      <w:r w:rsidRPr="00C743BA">
        <w:t xml:space="preserve"> pursuant to the reduced rate negotiated by the plaintiff’s insurance company.</w:t>
      </w:r>
      <w:r>
        <w:t>’</w:t>
      </w:r>
      <w:r w:rsidR="002E220C">
        <w:t> </w:t>
      </w:r>
      <w:r w:rsidRPr="00C743BA">
        <w:t>”  (</w:t>
      </w:r>
      <w:proofErr w:type="spellStart"/>
      <w:r w:rsidRPr="004B611E">
        <w:rPr>
          <w:i/>
        </w:rPr>
        <w:t>Markow</w:t>
      </w:r>
      <w:proofErr w:type="spellEnd"/>
      <w:r w:rsidR="004B611E" w:rsidRPr="004B611E">
        <w:rPr>
          <w:i/>
        </w:rPr>
        <w:t>,</w:t>
      </w:r>
      <w:r w:rsidRPr="004B611E">
        <w:rPr>
          <w:i/>
        </w:rPr>
        <w:t xml:space="preserve"> </w:t>
      </w:r>
      <w:r w:rsidRPr="00C743BA">
        <w:t>at pp. 1050</w:t>
      </w:r>
      <w:r w:rsidR="002E220C">
        <w:t>–</w:t>
      </w:r>
      <w:r w:rsidRPr="00C743BA">
        <w:t>1051.)</w:t>
      </w:r>
      <w:r w:rsidR="00FA60E1">
        <w:t xml:space="preserve">  </w:t>
      </w:r>
    </w:p>
    <w:p w:rsidR="00C743BA" w:rsidRDefault="00FD2052" w:rsidP="00C37E71">
      <w:r>
        <w:tab/>
      </w:r>
      <w:r w:rsidR="00FA60E1">
        <w:t xml:space="preserve">In </w:t>
      </w:r>
      <w:proofErr w:type="spellStart"/>
      <w:r w:rsidRPr="00FD2052">
        <w:rPr>
          <w:i/>
        </w:rPr>
        <w:t>Markow</w:t>
      </w:r>
      <w:proofErr w:type="spellEnd"/>
      <w:r w:rsidR="00FA60E1" w:rsidRPr="00FD2052">
        <w:rPr>
          <w:i/>
        </w:rPr>
        <w:t>,</w:t>
      </w:r>
      <w:r w:rsidR="00FA60E1">
        <w:t xml:space="preserve"> the p</w:t>
      </w:r>
      <w:r w:rsidR="00FA60E1" w:rsidRPr="00FA60E1">
        <w:t>laintiffs</w:t>
      </w:r>
      <w:r w:rsidR="00FA60E1">
        <w:t>’</w:t>
      </w:r>
      <w:r w:rsidR="002E220C">
        <w:t xml:space="preserve"> life </w:t>
      </w:r>
      <w:r w:rsidR="00FA60E1" w:rsidRPr="00FA60E1">
        <w:t>care planning expert</w:t>
      </w:r>
      <w:r w:rsidR="00FA60E1">
        <w:t xml:space="preserve"> e</w:t>
      </w:r>
      <w:r w:rsidR="00FA60E1" w:rsidRPr="00FA60E1">
        <w:t xml:space="preserve">stimated that the amount billed for </w:t>
      </w:r>
      <w:r>
        <w:t xml:space="preserve">the injured party’s </w:t>
      </w:r>
      <w:r w:rsidR="00FA60E1" w:rsidRPr="00FA60E1">
        <w:t xml:space="preserve">future hospitalizations would be approximately $2 million. </w:t>
      </w:r>
      <w:r w:rsidR="00FA60E1">
        <w:t xml:space="preserve"> She also </w:t>
      </w:r>
      <w:r w:rsidR="00FA60E1" w:rsidRPr="00FA60E1">
        <w:t>testified that the amount actually paid is usually 50 to 75 percent of the total amount billed</w:t>
      </w:r>
      <w:r w:rsidR="00FA60E1">
        <w:t xml:space="preserve">, </w:t>
      </w:r>
      <w:r w:rsidR="00074E64">
        <w:t xml:space="preserve">while </w:t>
      </w:r>
      <w:r w:rsidR="00FA60E1">
        <w:t xml:space="preserve">noting </w:t>
      </w:r>
      <w:r w:rsidR="00FA60E1" w:rsidRPr="00FA60E1">
        <w:t xml:space="preserve">that with respect to one particular hospitalization, the </w:t>
      </w:r>
      <w:r w:rsidR="00FA60E1">
        <w:t xml:space="preserve">injured </w:t>
      </w:r>
      <w:r>
        <w:t>party’s</w:t>
      </w:r>
      <w:r w:rsidR="00FA60E1">
        <w:t xml:space="preserve"> </w:t>
      </w:r>
      <w:r w:rsidR="00FA60E1" w:rsidRPr="00FA60E1">
        <w:t xml:space="preserve">cost </w:t>
      </w:r>
      <w:r w:rsidR="00074E64">
        <w:t xml:space="preserve">had been </w:t>
      </w:r>
      <w:r w:rsidR="00FA60E1" w:rsidRPr="00FA60E1">
        <w:t xml:space="preserve">reimbursed at a much lower rate of 12.9 percent. </w:t>
      </w:r>
      <w:r w:rsidR="00FA60E1">
        <w:t xml:space="preserve"> </w:t>
      </w:r>
      <w:r w:rsidR="0062585B">
        <w:t>She also testified that “</w:t>
      </w:r>
      <w:r w:rsidR="0062585B" w:rsidRPr="0062585B">
        <w:t xml:space="preserve">reimbursement rates vary and that there is no one </w:t>
      </w:r>
      <w:r w:rsidR="0062585B">
        <w:t>‘</w:t>
      </w:r>
      <w:r w:rsidR="0062585B" w:rsidRPr="0062585B">
        <w:t>across-the-board, set percentage.</w:t>
      </w:r>
      <w:r w:rsidR="0062585B">
        <w:t>’</w:t>
      </w:r>
      <w:r w:rsidR="002E220C">
        <w:t> </w:t>
      </w:r>
      <w:r w:rsidR="0062585B" w:rsidRPr="0062585B">
        <w:t xml:space="preserve">” </w:t>
      </w:r>
      <w:r w:rsidR="0062585B">
        <w:t xml:space="preserve"> (</w:t>
      </w:r>
      <w:proofErr w:type="spellStart"/>
      <w:r w:rsidR="002E220C" w:rsidRPr="002E220C">
        <w:rPr>
          <w:i/>
        </w:rPr>
        <w:t>Markow</w:t>
      </w:r>
      <w:proofErr w:type="spellEnd"/>
      <w:r w:rsidR="002E220C">
        <w:t xml:space="preserve">, </w:t>
      </w:r>
      <w:r w:rsidR="002E220C" w:rsidRPr="002E220C">
        <w:rPr>
          <w:i/>
        </w:rPr>
        <w:t>supra</w:t>
      </w:r>
      <w:r w:rsidR="002E220C">
        <w:t xml:space="preserve">, 3 Cal.App.5th </w:t>
      </w:r>
      <w:r w:rsidR="0062585B" w:rsidRPr="002E220C">
        <w:t>at</w:t>
      </w:r>
      <w:r w:rsidR="0062585B">
        <w:t xml:space="preserve"> p. 1051.)  </w:t>
      </w:r>
      <w:r>
        <w:t>The jury awarded $1.3 million for the cost of future hospitalizations, which the defendant claimed was excessive because the plaintiffs’ expert did not consider amounts act</w:t>
      </w:r>
      <w:r w:rsidR="0062585B">
        <w:t>u</w:t>
      </w:r>
      <w:r>
        <w:t>ally paid for hospitalization.  (</w:t>
      </w:r>
      <w:r w:rsidRPr="005E2688">
        <w:rPr>
          <w:i/>
        </w:rPr>
        <w:t>Id.</w:t>
      </w:r>
      <w:r>
        <w:t xml:space="preserve"> at p. 1050.)  </w:t>
      </w:r>
      <w:r w:rsidR="005E2688">
        <w:t>If the jury had applied the 12.9 percent rate, he argued, the award for future hospitalizations would have been reduced to $260,000.  (</w:t>
      </w:r>
      <w:r w:rsidR="005E2688" w:rsidRPr="005E2688">
        <w:rPr>
          <w:i/>
        </w:rPr>
        <w:t>Id</w:t>
      </w:r>
      <w:r w:rsidR="005E2688">
        <w:t xml:space="preserve">. at p. 1051.)  </w:t>
      </w:r>
      <w:r w:rsidR="0062585B">
        <w:t>Citing the expert testimony, t</w:t>
      </w:r>
      <w:r w:rsidR="00FA60E1" w:rsidRPr="00FA60E1">
        <w:t xml:space="preserve">he </w:t>
      </w:r>
      <w:r w:rsidR="00FA60E1">
        <w:t>appellate court found substantial evidence supported the jury’</w:t>
      </w:r>
      <w:r w:rsidR="00FA60E1" w:rsidRPr="00FA60E1">
        <w:t>s award of $1.3 million</w:t>
      </w:r>
      <w:r w:rsidR="00FA60E1">
        <w:t xml:space="preserve">, which was </w:t>
      </w:r>
      <w:r w:rsidR="00FA60E1" w:rsidRPr="00FA60E1">
        <w:t>roughly halfway between the</w:t>
      </w:r>
      <w:r w:rsidR="00FA60E1">
        <w:t xml:space="preserve"> expert’s 50 to 75 percent reimbursement figure</w:t>
      </w:r>
      <w:r w:rsidR="00FA60E1" w:rsidRPr="00FA60E1">
        <w:t>.</w:t>
      </w:r>
      <w:r w:rsidR="005E2688">
        <w:t xml:space="preserve"> </w:t>
      </w:r>
      <w:r w:rsidR="00CA17A6">
        <w:t xml:space="preserve"> </w:t>
      </w:r>
      <w:r w:rsidR="0012769A">
        <w:t>(</w:t>
      </w:r>
      <w:r w:rsidR="0012769A" w:rsidRPr="0012769A">
        <w:rPr>
          <w:i/>
        </w:rPr>
        <w:t>Ibid</w:t>
      </w:r>
      <w:r w:rsidR="0012769A">
        <w:t xml:space="preserve">.)  </w:t>
      </w:r>
      <w:r w:rsidR="00CA17A6">
        <w:t xml:space="preserve">These cases support the conclusion that the collateral source rule is not violated when a defendant is allowed to offer evidence of the market value of future medical benefits. </w:t>
      </w:r>
    </w:p>
    <w:p w:rsidR="00080C91" w:rsidRPr="00BA6A19" w:rsidRDefault="002E220C" w:rsidP="00FD3A60">
      <w:pPr>
        <w:keepNext/>
        <w:rPr>
          <w:b/>
          <w:i/>
        </w:rPr>
      </w:pPr>
      <w:r>
        <w:rPr>
          <w:b/>
          <w:i/>
        </w:rPr>
        <w:tab/>
      </w:r>
      <w:r w:rsidR="00080C91" w:rsidRPr="00BA6A19">
        <w:rPr>
          <w:b/>
          <w:i/>
        </w:rPr>
        <w:t>IV.  The ACA</w:t>
      </w:r>
    </w:p>
    <w:p w:rsidR="00080C91" w:rsidRDefault="00080C91" w:rsidP="00C37E71">
      <w:r>
        <w:tab/>
        <w:t>In a related argument, defendant further faults the trial court for preventing it from introducing evidence of future benefits that will be available to plaintiff under the ACA</w:t>
      </w:r>
      <w:r w:rsidR="00CA17A6">
        <w:t xml:space="preserve"> based on its conclusion that </w:t>
      </w:r>
      <w:r>
        <w:t xml:space="preserve">it was speculative to assume the ACA will continue to exist.  It is noteworthy that this case was briefed before the 2016 presidential election, the aftermath of which did place the ACA’s continued viability into question.  However, in spite of recent efforts to abolish or substantially alter the ACA, as of the writing of this opinion the ACA remains essentially intact.  </w:t>
      </w:r>
    </w:p>
    <w:p w:rsidR="00080C91" w:rsidRDefault="00080C91" w:rsidP="00C37E71">
      <w:r>
        <w:tab/>
        <w:t xml:space="preserve">Defendant’s expert Dawson’s declaration supports the proposition that plaintiff will be able to acquire comprehensive health care insurance </w:t>
      </w:r>
      <w:r w:rsidR="00CA17A6">
        <w:t>going forward</w:t>
      </w:r>
      <w:r>
        <w:t>.</w:t>
      </w:r>
      <w:r w:rsidR="00450CC8">
        <w:t xml:space="preserve"> </w:t>
      </w:r>
      <w:r>
        <w:t xml:space="preserve"> </w:t>
      </w:r>
      <w:r w:rsidR="003B7BD5" w:rsidRPr="00450CC8">
        <w:t xml:space="preserve">In other words, it provides a defense expert assessment of the availability of insurance benefits compatible with defense health care expert </w:t>
      </w:r>
      <w:proofErr w:type="spellStart"/>
      <w:r w:rsidR="003B7BD5" w:rsidRPr="00450CC8">
        <w:t>Olzack’s</w:t>
      </w:r>
      <w:proofErr w:type="spellEnd"/>
      <w:r w:rsidR="003B7BD5" w:rsidRPr="00450CC8">
        <w:t xml:space="preserve"> analysis of sources to finance plaintiff’s future need satisfaction.</w:t>
      </w:r>
      <w:r w:rsidR="00450CC8" w:rsidRPr="00450CC8">
        <w:t xml:space="preserve"> </w:t>
      </w:r>
      <w:r w:rsidRPr="00450CC8">
        <w:t xml:space="preserve"> </w:t>
      </w:r>
      <w:r w:rsidR="00CA17A6" w:rsidRPr="00450CC8">
        <w:t>D</w:t>
      </w:r>
      <w:r w:rsidR="00CA17A6" w:rsidRPr="00C119D1">
        <w:t xml:space="preserve">awson opined that the ACA is reasonably certain to continue well into the future and that plaintiff will </w:t>
      </w:r>
      <w:r w:rsidR="00CA17A6">
        <w:t xml:space="preserve">be able to acquire comprehensive </w:t>
      </w:r>
      <w:r w:rsidR="00CA17A6" w:rsidRPr="00C119D1">
        <w:t>health insurance</w:t>
      </w:r>
      <w:r w:rsidR="00CA17A6">
        <w:t xml:space="preserve"> notwithstanding his disability</w:t>
      </w:r>
      <w:r w:rsidR="00CA17A6" w:rsidRPr="00C119D1">
        <w:t xml:space="preserve">.  </w:t>
      </w:r>
      <w:r>
        <w:t xml:space="preserve">Dawson </w:t>
      </w:r>
      <w:r w:rsidRPr="00C119D1">
        <w:t xml:space="preserve">reviewed </w:t>
      </w:r>
      <w:proofErr w:type="spellStart"/>
      <w:r w:rsidRPr="00C119D1">
        <w:t>Roughan’s</w:t>
      </w:r>
      <w:proofErr w:type="spellEnd"/>
      <w:r w:rsidRPr="00C119D1">
        <w:t xml:space="preserve"> and </w:t>
      </w:r>
      <w:proofErr w:type="spellStart"/>
      <w:r w:rsidRPr="00C119D1">
        <w:t>Olzack’s</w:t>
      </w:r>
      <w:proofErr w:type="spellEnd"/>
      <w:r w:rsidRPr="00C119D1">
        <w:t xml:space="preserve"> life care plans and compared them both to plaintiff’s current </w:t>
      </w:r>
      <w:proofErr w:type="spellStart"/>
      <w:r w:rsidRPr="00C119D1">
        <w:t>Medi</w:t>
      </w:r>
      <w:proofErr w:type="spellEnd"/>
      <w:r w:rsidRPr="00C119D1">
        <w:t xml:space="preserve">-Cal coverage and to insurance available on the Covered California health care exchange.  Dawson identified specific California insurance plans that would be available to meet many of his needs.  He also explained that plaintiff could use funds held in his special needs trust to purchase private health insurance, in which case private insurance would pay first, and </w:t>
      </w:r>
      <w:proofErr w:type="spellStart"/>
      <w:r w:rsidRPr="00C119D1">
        <w:t>Medi</w:t>
      </w:r>
      <w:proofErr w:type="spellEnd"/>
      <w:r w:rsidRPr="00C119D1">
        <w:t xml:space="preserve">-Cal would have a right to reimbursement from the corpus of the trust </w:t>
      </w:r>
      <w:r>
        <w:t xml:space="preserve">only </w:t>
      </w:r>
      <w:r w:rsidRPr="00C119D1">
        <w:t xml:space="preserve">upon his death. </w:t>
      </w:r>
      <w:r w:rsidR="000F4A8F">
        <w:t xml:space="preserve"> </w:t>
      </w:r>
    </w:p>
    <w:p w:rsidR="00080C91" w:rsidRDefault="00080C91" w:rsidP="00C37E71">
      <w:r>
        <w:tab/>
      </w:r>
      <w:r w:rsidR="00CA17A6">
        <w:t xml:space="preserve">Defendant presented evidence sufficient to support the continued </w:t>
      </w:r>
      <w:r w:rsidR="00882E1C">
        <w:t>viability</w:t>
      </w:r>
      <w:r w:rsidR="00CA17A6">
        <w:t xml:space="preserve"> of the ACA, as well as its application to plaintiff’s circumstances.  </w:t>
      </w:r>
      <w:r>
        <w:t>Accordingly, we conclude the trial court’s decision to exclude evidence of future insurance benefits that might be available under the ACA on the basis that the ACA is unlikely to continue was an abuse of discretion.</w:t>
      </w:r>
      <w:r>
        <w:rPr>
          <w:rStyle w:val="FootnoteReference"/>
        </w:rPr>
        <w:footnoteReference w:id="14"/>
      </w:r>
      <w:r>
        <w:t xml:space="preserve">  </w:t>
      </w:r>
    </w:p>
    <w:p w:rsidR="00925EBD" w:rsidRPr="00925EBD" w:rsidRDefault="002E220C" w:rsidP="00C37E71">
      <w:pPr>
        <w:rPr>
          <w:b/>
          <w:i/>
        </w:rPr>
      </w:pPr>
      <w:r>
        <w:rPr>
          <w:b/>
          <w:i/>
        </w:rPr>
        <w:tab/>
      </w:r>
      <w:r w:rsidR="00925EBD" w:rsidRPr="00925EBD">
        <w:rPr>
          <w:b/>
          <w:i/>
        </w:rPr>
        <w:t>V</w:t>
      </w:r>
      <w:r w:rsidR="00C81EB3">
        <w:rPr>
          <w:b/>
          <w:i/>
        </w:rPr>
        <w:t>.  Evidence of Regional Center a</w:t>
      </w:r>
      <w:r w:rsidR="00925EBD" w:rsidRPr="00925EBD">
        <w:rPr>
          <w:b/>
          <w:i/>
        </w:rPr>
        <w:t>nd School District Services</w:t>
      </w:r>
    </w:p>
    <w:p w:rsidR="008761CF" w:rsidRDefault="008560F1" w:rsidP="00C37E71">
      <w:r>
        <w:tab/>
      </w:r>
      <w:r w:rsidR="00E72EF2">
        <w:t>D</w:t>
      </w:r>
      <w:r>
        <w:t xml:space="preserve">efendant asserts the trial court erred in </w:t>
      </w:r>
      <w:r w:rsidR="00D515CE">
        <w:t>excluding</w:t>
      </w:r>
      <w:r>
        <w:t xml:space="preserve"> evidence regarding the free services that </w:t>
      </w:r>
      <w:r w:rsidR="00D515CE">
        <w:t>plaintiff</w:t>
      </w:r>
      <w:r>
        <w:t xml:space="preserve"> is entitled to receive from the regional center and school district.  Defendant acknowledges that the trial court </w:t>
      </w:r>
      <w:r w:rsidR="00D515CE">
        <w:t>concluded</w:t>
      </w:r>
      <w:r>
        <w:t xml:space="preserve"> those benefits did not qualify as collateral source</w:t>
      </w:r>
      <w:r w:rsidR="00CA17A6">
        <w:t>s</w:t>
      </w:r>
      <w:r>
        <w:t xml:space="preserve"> </w:t>
      </w:r>
      <w:r w:rsidR="00D515CE">
        <w:t>admissible</w:t>
      </w:r>
      <w:r>
        <w:t xml:space="preserve"> under section 3333.1, but claims the benefits plaintiff receives </w:t>
      </w:r>
      <w:r w:rsidR="008761CF">
        <w:t>are not collateral sources at all, relying on two out-of-state cases.  Defendant</w:t>
      </w:r>
      <w:r w:rsidR="002E220C">
        <w:t>’</w:t>
      </w:r>
      <w:r w:rsidR="008761CF">
        <w:t>s contention is not persuasive.</w:t>
      </w:r>
    </w:p>
    <w:p w:rsidR="006E1EBB" w:rsidRDefault="008761CF" w:rsidP="00C37E71">
      <w:r>
        <w:tab/>
      </w:r>
      <w:r w:rsidR="00CE55F2">
        <w:t xml:space="preserve">As </w:t>
      </w:r>
      <w:r w:rsidR="00CA17A6">
        <w:t>we discussed above</w:t>
      </w:r>
      <w:r w:rsidR="00CE55F2">
        <w:t>, t</w:t>
      </w:r>
      <w:r w:rsidRPr="008761CF">
        <w:t xml:space="preserve">he collateral source rule </w:t>
      </w:r>
      <w:r>
        <w:t>“</w:t>
      </w:r>
      <w:r w:rsidRPr="008761CF">
        <w:t xml:space="preserve">provides that if an injured party received some compensation for his injuries from a source wholly independent of the </w:t>
      </w:r>
      <w:proofErr w:type="spellStart"/>
      <w:r w:rsidRPr="008761CF">
        <w:t>tortfeasor</w:t>
      </w:r>
      <w:proofErr w:type="spellEnd"/>
      <w:r w:rsidRPr="008761CF">
        <w:t xml:space="preserve">, such payment should not be deducted from the damages which the plaintiff would otherwise collect from the </w:t>
      </w:r>
      <w:proofErr w:type="spellStart"/>
      <w:r w:rsidRPr="008761CF">
        <w:t>tortfeasor</w:t>
      </w:r>
      <w:proofErr w:type="spellEnd"/>
      <w:r w:rsidRPr="008761CF">
        <w:t>.</w:t>
      </w:r>
      <w:r>
        <w:t xml:space="preserve">” </w:t>
      </w:r>
      <w:r w:rsidRPr="008761CF">
        <w:t xml:space="preserve"> (</w:t>
      </w:r>
      <w:proofErr w:type="spellStart"/>
      <w:r w:rsidRPr="008761CF">
        <w:rPr>
          <w:i/>
        </w:rPr>
        <w:t>Hrnjak</w:t>
      </w:r>
      <w:proofErr w:type="spellEnd"/>
      <w:r w:rsidRPr="008761CF">
        <w:rPr>
          <w:i/>
        </w:rPr>
        <w:t xml:space="preserve"> v. </w:t>
      </w:r>
      <w:proofErr w:type="spellStart"/>
      <w:r w:rsidRPr="008761CF">
        <w:rPr>
          <w:i/>
        </w:rPr>
        <w:t>Graymar</w:t>
      </w:r>
      <w:proofErr w:type="spellEnd"/>
      <w:r w:rsidRPr="008761CF">
        <w:rPr>
          <w:i/>
        </w:rPr>
        <w:t>, Inc.</w:t>
      </w:r>
      <w:r w:rsidRPr="008761CF">
        <w:t xml:space="preserve"> (1971) 4 Cal.3d 725, 729; </w:t>
      </w:r>
      <w:proofErr w:type="spellStart"/>
      <w:r w:rsidR="00725D00">
        <w:rPr>
          <w:i/>
        </w:rPr>
        <w:t>Helfend</w:t>
      </w:r>
      <w:proofErr w:type="spellEnd"/>
      <w:r w:rsidR="00725D00">
        <w:rPr>
          <w:i/>
        </w:rPr>
        <w:t xml:space="preserve"> v. Southern California</w:t>
      </w:r>
      <w:r w:rsidRPr="008761CF">
        <w:rPr>
          <w:i/>
        </w:rPr>
        <w:t xml:space="preserve"> Rapid Transit Dist.</w:t>
      </w:r>
      <w:r w:rsidRPr="008761CF">
        <w:t xml:space="preserve"> (1970) 2 Cal.3d 1, 6, 13</w:t>
      </w:r>
      <w:r w:rsidR="002E220C">
        <w:t>–</w:t>
      </w:r>
      <w:r w:rsidRPr="008761CF">
        <w:t xml:space="preserve">14.) </w:t>
      </w:r>
      <w:r w:rsidR="00CA17A6">
        <w:t xml:space="preserve"> </w:t>
      </w:r>
      <w:r w:rsidR="006E1EBB">
        <w:t xml:space="preserve">In enacting section 3333.1, the Legislature did not totally abrogate the collateral source rule.  The Legislature was precise in delineating which sources were to be included in this exception to the collateral source rule.  Not all payments made by the state or the federal government were included. </w:t>
      </w:r>
      <w:r w:rsidR="00CA17A6">
        <w:t xml:space="preserve"> </w:t>
      </w:r>
      <w:r w:rsidR="006E1EBB">
        <w:t xml:space="preserve">(See, e.g., </w:t>
      </w:r>
      <w:r w:rsidR="006E1EBB" w:rsidRPr="006E1EBB">
        <w:rPr>
          <w:i/>
        </w:rPr>
        <w:t>Brown, supra,</w:t>
      </w:r>
      <w:r w:rsidR="006E1EBB">
        <w:t xml:space="preserve"> 129 Cal.App.3d </w:t>
      </w:r>
      <w:r w:rsidR="0012769A">
        <w:t xml:space="preserve">at p. 341 </w:t>
      </w:r>
      <w:r w:rsidR="006E1EBB">
        <w:t>[</w:t>
      </w:r>
      <w:proofErr w:type="spellStart"/>
      <w:r w:rsidR="006E1EBB">
        <w:t>Medi</w:t>
      </w:r>
      <w:proofErr w:type="spellEnd"/>
      <w:r w:rsidR="006E1EBB">
        <w:t xml:space="preserve">-Cal payments not covered by § 3333.1].) </w:t>
      </w:r>
    </w:p>
    <w:p w:rsidR="008761CF" w:rsidRDefault="008761CF" w:rsidP="00C37E71">
      <w:r>
        <w:tab/>
        <w:t xml:space="preserve">Regional center benefits, like </w:t>
      </w:r>
      <w:proofErr w:type="spellStart"/>
      <w:r>
        <w:t>Medi</w:t>
      </w:r>
      <w:proofErr w:type="spellEnd"/>
      <w:r>
        <w:t xml:space="preserve">-Cal benefits, are not paid to the disabled directly.  They are paid to the providers by the Department of Developmental Services.  </w:t>
      </w:r>
      <w:r w:rsidRPr="008761CF">
        <w:t xml:space="preserve">The services rendered to </w:t>
      </w:r>
      <w:r>
        <w:t xml:space="preserve">plaintiff </w:t>
      </w:r>
      <w:r w:rsidR="00CE55F2">
        <w:t>will</w:t>
      </w:r>
      <w:r>
        <w:t xml:space="preserve"> be </w:t>
      </w:r>
      <w:r w:rsidRPr="008761CF">
        <w:t xml:space="preserve">paid for by a regional center funded under the comprehensive statutory scheme designed to meet the needs of the developmentally disabled. </w:t>
      </w:r>
      <w:r>
        <w:t xml:space="preserve"> </w:t>
      </w:r>
      <w:r w:rsidRPr="008761CF">
        <w:t>(</w:t>
      </w:r>
      <w:proofErr w:type="spellStart"/>
      <w:r w:rsidRPr="008761CF">
        <w:t>Welf</w:t>
      </w:r>
      <w:proofErr w:type="spellEnd"/>
      <w:r w:rsidRPr="008761CF">
        <w:t xml:space="preserve">. &amp; Inst. Code, § 4500 et seq.; see discussion in </w:t>
      </w:r>
      <w:r w:rsidRPr="008761CF">
        <w:rPr>
          <w:i/>
        </w:rPr>
        <w:t>Association for Retarded Citizens v. Department of Developmental Services</w:t>
      </w:r>
      <w:r w:rsidRPr="008761CF">
        <w:t xml:space="preserve"> (1985) 38 Cal.3d 384</w:t>
      </w:r>
      <w:r w:rsidR="0012769A">
        <w:t>, 388</w:t>
      </w:r>
      <w:r w:rsidRPr="008761CF">
        <w:t>.)</w:t>
      </w:r>
      <w:r>
        <w:t xml:space="preserve"> </w:t>
      </w:r>
      <w:r w:rsidRPr="008761CF">
        <w:t xml:space="preserve"> </w:t>
      </w:r>
      <w:r w:rsidR="00621C58">
        <w:t xml:space="preserve">Like </w:t>
      </w:r>
      <w:proofErr w:type="spellStart"/>
      <w:r w:rsidR="00621C58">
        <w:t>Medi</w:t>
      </w:r>
      <w:proofErr w:type="spellEnd"/>
      <w:r w:rsidR="00621C58">
        <w:t xml:space="preserve">-Cal payments, regional center benefits do not fall into any category enumerated by section 3333.1.  </w:t>
      </w:r>
      <w:r w:rsidR="001B7186">
        <w:t>Contrary to defendant’s contention,</w:t>
      </w:r>
      <w:r w:rsidR="000F4A8F">
        <w:t xml:space="preserve"> </w:t>
      </w:r>
      <w:r w:rsidR="001B7186">
        <w:t>r</w:t>
      </w:r>
      <w:r w:rsidR="00621C58">
        <w:t xml:space="preserve">egional centers also have subrogation rights enforceable by a lien on a client’s </w:t>
      </w:r>
      <w:r w:rsidR="00D515CE">
        <w:t>recovery</w:t>
      </w:r>
      <w:r w:rsidR="00621C58">
        <w:t xml:space="preserve">, just as does </w:t>
      </w:r>
      <w:proofErr w:type="spellStart"/>
      <w:r w:rsidR="00621C58">
        <w:t>Medi</w:t>
      </w:r>
      <w:proofErr w:type="spellEnd"/>
      <w:r w:rsidR="00621C58">
        <w:t>-Cal.  (</w:t>
      </w:r>
      <w:proofErr w:type="spellStart"/>
      <w:r w:rsidR="00621C58">
        <w:t>Welf</w:t>
      </w:r>
      <w:proofErr w:type="spellEnd"/>
      <w:r w:rsidR="00621C58">
        <w:t xml:space="preserve">. &amp; Inst. Code, </w:t>
      </w:r>
      <w:r w:rsidR="001B7186">
        <w:t>§</w:t>
      </w:r>
      <w:r w:rsidR="00CE55F2">
        <w:t>§</w:t>
      </w:r>
      <w:r w:rsidR="00621C58">
        <w:t xml:space="preserve"> 4659.10, </w:t>
      </w:r>
      <w:r w:rsidR="001B7186">
        <w:t xml:space="preserve">4659.11, </w:t>
      </w:r>
      <w:r w:rsidR="00621C58">
        <w:t xml:space="preserve">4659.15.)  </w:t>
      </w:r>
      <w:r>
        <w:t>A</w:t>
      </w:r>
      <w:r w:rsidRPr="008761CF">
        <w:t xml:space="preserve">lthough </w:t>
      </w:r>
      <w:r>
        <w:t>the</w:t>
      </w:r>
      <w:r w:rsidRPr="008761CF">
        <w:t xml:space="preserve"> care </w:t>
      </w:r>
      <w:r w:rsidR="002E220C">
        <w:t>is</w:t>
      </w:r>
      <w:r>
        <w:t xml:space="preserve"> </w:t>
      </w:r>
      <w:r w:rsidRPr="008761CF">
        <w:t xml:space="preserve">paid for by the State of California, </w:t>
      </w:r>
      <w:r w:rsidR="00CA17A6">
        <w:t xml:space="preserve">we conclude </w:t>
      </w:r>
      <w:r>
        <w:t xml:space="preserve">the exception under </w:t>
      </w:r>
      <w:r w:rsidRPr="008761CF">
        <w:t xml:space="preserve">section 3333.1 </w:t>
      </w:r>
      <w:r>
        <w:t>i</w:t>
      </w:r>
      <w:r w:rsidRPr="008761CF">
        <w:t xml:space="preserve">s not applicable, </w:t>
      </w:r>
      <w:r>
        <w:t xml:space="preserve">and </w:t>
      </w:r>
      <w:r w:rsidRPr="008761CF">
        <w:t>the general collateral source rule applie</w:t>
      </w:r>
      <w:r>
        <w:t xml:space="preserve">s. </w:t>
      </w:r>
    </w:p>
    <w:p w:rsidR="00621C58" w:rsidRDefault="00621C58" w:rsidP="00C37E71">
      <w:r>
        <w:tab/>
        <w:t xml:space="preserve">As to the availability of the public schools to address plaintiff’s needs, defendant was, in fact, allowed to introduce evidence of benefits he would receive at a public school.  Defendant presented evidence to support its argument that plaintiff could get </w:t>
      </w:r>
      <w:r w:rsidR="00CA17A6">
        <w:t>many of his</w:t>
      </w:r>
      <w:r>
        <w:t xml:space="preserve"> needs </w:t>
      </w:r>
      <w:r w:rsidR="00CA17A6">
        <w:t xml:space="preserve">met through the </w:t>
      </w:r>
      <w:r>
        <w:t xml:space="preserve">public school.  </w:t>
      </w:r>
      <w:r w:rsidR="00A10E82">
        <w:t xml:space="preserve">Plaintiff offered contrary evidence.  </w:t>
      </w:r>
      <w:r w:rsidR="00CA17A6">
        <w:t xml:space="preserve">We find no error.  </w:t>
      </w:r>
      <w:r w:rsidR="00A10E82" w:rsidRPr="00A10E82">
        <w:t xml:space="preserve">The task of measuring such damages falls to the jury, and its resolution of disputed issues of probability and extent of harm will be affirmed if supported by substantial evidence. </w:t>
      </w:r>
      <w:r w:rsidR="00A10E82">
        <w:t xml:space="preserve"> (</w:t>
      </w:r>
      <w:r w:rsidR="00A10E82" w:rsidRPr="00A10E82">
        <w:rPr>
          <w:i/>
        </w:rPr>
        <w:t>J.P. v. Carlsbad Unifie</w:t>
      </w:r>
      <w:r w:rsidR="00725D00">
        <w:rPr>
          <w:i/>
        </w:rPr>
        <w:t>d School</w:t>
      </w:r>
      <w:r w:rsidR="00A10E82" w:rsidRPr="00A10E82">
        <w:rPr>
          <w:i/>
        </w:rPr>
        <w:t xml:space="preserve"> Dist.</w:t>
      </w:r>
      <w:r w:rsidR="00A10E82">
        <w:t xml:space="preserve"> (2014) 232 Cal.App.4th 323, 341</w:t>
      </w:r>
      <w:r w:rsidR="002E220C">
        <w:t>–</w:t>
      </w:r>
      <w:r w:rsidR="00A10E82">
        <w:t xml:space="preserve">342.)  </w:t>
      </w:r>
    </w:p>
    <w:p w:rsidR="003124DA" w:rsidRPr="006C4A75" w:rsidRDefault="002E220C" w:rsidP="00C81EB3">
      <w:pPr>
        <w:keepNext/>
        <w:rPr>
          <w:b/>
          <w:i/>
        </w:rPr>
      </w:pPr>
      <w:r>
        <w:rPr>
          <w:b/>
          <w:i/>
        </w:rPr>
        <w:tab/>
      </w:r>
      <w:r w:rsidR="003124DA">
        <w:rPr>
          <w:b/>
          <w:i/>
        </w:rPr>
        <w:t>VI.  Remaining Issues</w:t>
      </w:r>
    </w:p>
    <w:p w:rsidR="00DF0221" w:rsidRDefault="003124DA" w:rsidP="00C37E71">
      <w:r>
        <w:tab/>
        <w:t xml:space="preserve">As noted above, defendant also argues that the trial court erred in allowing the admission of evidence of plaintiff’s future medical expenses </w:t>
      </w:r>
      <w:r w:rsidR="00CA17A6">
        <w:t xml:space="preserve">that was </w:t>
      </w:r>
      <w:r>
        <w:t xml:space="preserve">based upon billed rates, and in refusing its related modification to the standard jury instruction on damages for future medical care.  </w:t>
      </w:r>
      <w:r w:rsidR="00DF0221">
        <w:t>Because we have concluded that defendant is entitled to a new trial on the issue of plaintiff</w:t>
      </w:r>
      <w:r w:rsidR="002E220C">
        <w:t>’</w:t>
      </w:r>
      <w:r w:rsidR="00DF0221">
        <w:t xml:space="preserve">s future medical costs, we </w:t>
      </w:r>
      <w:r w:rsidR="00CA17A6">
        <w:t>offer some guidance to the trial court</w:t>
      </w:r>
      <w:r w:rsidR="00DF0221">
        <w:t>.</w:t>
      </w:r>
    </w:p>
    <w:p w:rsidR="003124DA" w:rsidRDefault="00DF0221" w:rsidP="00C37E71">
      <w:r>
        <w:tab/>
        <w:t>W</w:t>
      </w:r>
      <w:r w:rsidR="008305F7">
        <w:t xml:space="preserve">e agree with </w:t>
      </w:r>
      <w:proofErr w:type="spellStart"/>
      <w:r w:rsidR="002E220C">
        <w:rPr>
          <w:i/>
        </w:rPr>
        <w:t>Corenbaum</w:t>
      </w:r>
      <w:proofErr w:type="spellEnd"/>
      <w:r w:rsidR="008305F7" w:rsidRPr="008305F7">
        <w:rPr>
          <w:i/>
        </w:rPr>
        <w:t xml:space="preserve"> </w:t>
      </w:r>
      <w:r w:rsidR="008305F7">
        <w:t xml:space="preserve">that </w:t>
      </w:r>
      <w:r>
        <w:t xml:space="preserve">while an injured plaintiff is entitled to recover the reasonable value of medical services that are reasonably certain to be necessary in the future, </w:t>
      </w:r>
      <w:r w:rsidR="008305F7">
        <w:t xml:space="preserve">evidence of the </w:t>
      </w:r>
      <w:r w:rsidR="008305F7" w:rsidRPr="00E116FD">
        <w:rPr>
          <w:i/>
        </w:rPr>
        <w:t>full amount billed</w:t>
      </w:r>
      <w:r w:rsidR="008305F7">
        <w:t xml:space="preserve"> for past medical services cannot support an </w:t>
      </w:r>
      <w:r w:rsidR="00C261FC">
        <w:t>expert</w:t>
      </w:r>
      <w:r w:rsidR="008305F7">
        <w:t xml:space="preserve"> opinion on the </w:t>
      </w:r>
      <w:r w:rsidR="00C261FC">
        <w:t>reasonable</w:t>
      </w:r>
      <w:r w:rsidR="008305F7">
        <w:t xml:space="preserve"> value of future medical services.  </w:t>
      </w:r>
      <w:r>
        <w:t>(</w:t>
      </w:r>
      <w:proofErr w:type="spellStart"/>
      <w:r w:rsidR="002E220C" w:rsidRPr="001D2DFE">
        <w:rPr>
          <w:i/>
        </w:rPr>
        <w:t>Corenbaum</w:t>
      </w:r>
      <w:proofErr w:type="spellEnd"/>
      <w:r w:rsidR="002E220C">
        <w:t xml:space="preserve">, </w:t>
      </w:r>
      <w:r w:rsidR="002E220C" w:rsidRPr="001D2DFE">
        <w:rPr>
          <w:i/>
        </w:rPr>
        <w:t>supra</w:t>
      </w:r>
      <w:r w:rsidR="002E220C">
        <w:t xml:space="preserve">, </w:t>
      </w:r>
      <w:r w:rsidR="001D2DFE">
        <w:t xml:space="preserve">215 Cal.App.4th </w:t>
      </w:r>
      <w:r w:rsidRPr="002E220C">
        <w:t>at</w:t>
      </w:r>
      <w:r>
        <w:t xml:space="preserve"> pp. 1330</w:t>
      </w:r>
      <w:r w:rsidR="001D2DFE">
        <w:t>–</w:t>
      </w:r>
      <w:r>
        <w:t xml:space="preserve">1333.)  </w:t>
      </w:r>
      <w:r w:rsidR="00CA17A6">
        <w:t xml:space="preserve">It does not appear, however, that </w:t>
      </w:r>
      <w:proofErr w:type="spellStart"/>
      <w:r w:rsidR="00CA17A6">
        <w:t>Roughan</w:t>
      </w:r>
      <w:proofErr w:type="spellEnd"/>
      <w:r w:rsidR="00CA17A6">
        <w:t xml:space="preserve"> </w:t>
      </w:r>
      <w:r w:rsidR="008854A8">
        <w:t>used</w:t>
      </w:r>
      <w:r w:rsidR="00CA17A6">
        <w:t xml:space="preserve"> the full amount billed for past medical services in making the calculations for her life care plan.  </w:t>
      </w:r>
      <w:r w:rsidR="008854A8">
        <w:t xml:space="preserve">We observe </w:t>
      </w:r>
      <w:r w:rsidR="00E116FD">
        <w:t>“</w:t>
      </w:r>
      <w:r w:rsidR="008854A8">
        <w:t>t</w:t>
      </w:r>
      <w:r w:rsidR="00E116FD" w:rsidRPr="00E116FD">
        <w:t xml:space="preserve">he </w:t>
      </w:r>
      <w:r w:rsidR="00E116FD">
        <w:t>‘</w:t>
      </w:r>
      <w:r w:rsidR="00E116FD" w:rsidRPr="00E116FD">
        <w:t>requirement of certainty . . . cannot be strictly applied where prospective damages are sought, because probabilities are really the basis for the award.</w:t>
      </w:r>
      <w:r w:rsidR="00E116FD">
        <w:t>’</w:t>
      </w:r>
      <w:r w:rsidR="000F4A8F">
        <w:t> </w:t>
      </w:r>
      <w:r w:rsidR="00E116FD">
        <w:t>”</w:t>
      </w:r>
      <w:r w:rsidR="00E116FD" w:rsidRPr="00E116FD">
        <w:t xml:space="preserve"> </w:t>
      </w:r>
      <w:r w:rsidR="00E116FD">
        <w:t xml:space="preserve"> </w:t>
      </w:r>
      <w:r w:rsidR="00E116FD" w:rsidRPr="00E116FD">
        <w:t>(</w:t>
      </w:r>
      <w:r w:rsidR="00E116FD" w:rsidRPr="00E116FD">
        <w:rPr>
          <w:i/>
        </w:rPr>
        <w:t>Behr v. Redmond</w:t>
      </w:r>
      <w:r w:rsidR="00E116FD" w:rsidRPr="00E116FD">
        <w:t xml:space="preserve"> (2011) 193 Cal.App.4th 517, 533.) </w:t>
      </w:r>
      <w:r w:rsidR="00E116FD">
        <w:t xml:space="preserve"> </w:t>
      </w:r>
      <w:r w:rsidR="00E116FD" w:rsidRPr="00E116FD">
        <w:t xml:space="preserve">At the time of trial, the precise medical costs a plaintiff will incur in the future are not known. </w:t>
      </w:r>
      <w:r w:rsidR="00E116FD">
        <w:t xml:space="preserve"> </w:t>
      </w:r>
      <w:r w:rsidR="00E116FD" w:rsidRPr="00E116FD">
        <w:t xml:space="preserve">Nor is it known how a plaintiff will necessarily pay for such expenses. </w:t>
      </w:r>
      <w:r w:rsidR="00E116FD">
        <w:t xml:space="preserve"> </w:t>
      </w:r>
      <w:r w:rsidR="00E116FD" w:rsidRPr="00E116FD">
        <w:t>It is unknown</w:t>
      </w:r>
      <w:r w:rsidR="001D2DFE">
        <w:t>,</w:t>
      </w:r>
      <w:r w:rsidR="00E116FD" w:rsidRPr="00E116FD">
        <w:t xml:space="preserve"> for example, what, if any, insurance a plaintiff will have at any given time or what rate an insurer will have negotiated with any given medical provider for a particular service at the time and location the plaintiff will require the medical care</w:t>
      </w:r>
      <w:r w:rsidR="00E116FD">
        <w:t xml:space="preserve">.  </w:t>
      </w:r>
      <w:r w:rsidR="008854A8">
        <w:t xml:space="preserve">The fact finder is entrusted with the tasks of evaluating the probabilities based on the evidence presented and arriving at a reasonable result.  </w:t>
      </w:r>
      <w:r w:rsidR="00E72EF2">
        <w:t>If issues arise during retrial, the court is directed to address them in a matter not inconsistent with this opinion.</w:t>
      </w:r>
      <w:r>
        <w:rPr>
          <w:rStyle w:val="FootnoteReference"/>
        </w:rPr>
        <w:footnoteReference w:id="15"/>
      </w:r>
      <w:r w:rsidR="00E72EF2">
        <w:t xml:space="preserve"> </w:t>
      </w:r>
    </w:p>
    <w:p w:rsidR="00CA17A6" w:rsidRDefault="00CA17A6" w:rsidP="00C37E71">
      <w:r>
        <w:tab/>
      </w:r>
      <w:r w:rsidRPr="00CA17A6">
        <w:t>As to the requested jury modification, we observe the standard jury instruction (CACI No. 3903A</w:t>
      </w:r>
      <w:r w:rsidR="00725D00">
        <w:t>)</w:t>
      </w:r>
      <w:r w:rsidRPr="00CA17A6">
        <w:t xml:space="preserve"> states, in relevant part:</w:t>
      </w:r>
      <w:r w:rsidR="001D2DFE">
        <w:t xml:space="preserve"> </w:t>
      </w:r>
      <w:r w:rsidRPr="00CA17A6">
        <w:t xml:space="preserve"> “To recover damages for future medical expenses, [name of plaintiff] must prove the reasonable cost of reasonably necessary medical care that [he/she] is reasonably certain to need in the future.”  The instruction is an accurate statement of the law and is not, on its face, inconsistent with our decision here.</w:t>
      </w:r>
    </w:p>
    <w:p w:rsidR="00725D00" w:rsidRDefault="00725D00" w:rsidP="00C37E71">
      <w:r>
        <w:tab/>
        <w:t>During oral argument both sides agreed that if the case is remanded for a trial on future medical damages, the jury verdict on future lost earnings should be affirmed.  Appellant is not disputing this portion of the jury award.  Therefore, we affirm the jury award of future lost earnings in this case.</w:t>
      </w:r>
    </w:p>
    <w:p w:rsidR="00A10E82" w:rsidRPr="00A10E82" w:rsidRDefault="00A10E82" w:rsidP="00450CC8">
      <w:pPr>
        <w:keepNext/>
        <w:jc w:val="center"/>
        <w:rPr>
          <w:b/>
        </w:rPr>
      </w:pPr>
      <w:r w:rsidRPr="00A10E82">
        <w:rPr>
          <w:b/>
        </w:rPr>
        <w:t>DISPOSITION</w:t>
      </w:r>
    </w:p>
    <w:p w:rsidR="00FF38DF" w:rsidRDefault="00A10E82" w:rsidP="00C37E71">
      <w:r>
        <w:tab/>
      </w:r>
      <w:r w:rsidR="0038295A">
        <w:t>The judgment is reversed in part.  The matter is remanded for a new trial on the issue of the amount of plaintiff’s future medical damages.</w:t>
      </w:r>
      <w:r w:rsidR="0027151E">
        <w:t xml:space="preserve"> </w:t>
      </w:r>
      <w:r w:rsidR="0038295A">
        <w:t xml:space="preserve"> </w:t>
      </w:r>
      <w:r w:rsidR="00AA0F4B">
        <w:t>Consequently, t</w:t>
      </w:r>
      <w:r w:rsidR="001D2DFE">
        <w:t xml:space="preserve">he </w:t>
      </w:r>
      <w:proofErr w:type="spellStart"/>
      <w:r w:rsidR="001D2DFE">
        <w:t>post</w:t>
      </w:r>
      <w:r w:rsidR="0038295A">
        <w:t>judgment</w:t>
      </w:r>
      <w:proofErr w:type="spellEnd"/>
      <w:r w:rsidR="0038295A">
        <w:t xml:space="preserve"> orders awarding costs an</w:t>
      </w:r>
      <w:r w:rsidR="00AA0F4B">
        <w:t xml:space="preserve">d expert fees are also reversed.  </w:t>
      </w:r>
      <w:r w:rsidR="00E445CC">
        <w:t xml:space="preserve">The jury award of future lost earnings is affirmed. </w:t>
      </w:r>
      <w:r w:rsidR="00AA0F4B">
        <w:t xml:space="preserve">The parties are to bear their own costs on appeal. </w:t>
      </w:r>
    </w:p>
    <w:p w:rsidR="00692A40" w:rsidRDefault="00692A40" w:rsidP="00C37E71">
      <w:pPr>
        <w:sectPr w:rsidR="00692A40" w:rsidSect="001276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726483" w:rsidRDefault="00726483" w:rsidP="00FF38DF">
      <w:pPr>
        <w:spacing w:line="240" w:lineRule="auto"/>
      </w:pPr>
    </w:p>
    <w:p w:rsidR="00FF38DF" w:rsidRDefault="00FF38DF" w:rsidP="00FF38DF">
      <w:pPr>
        <w:spacing w:line="240" w:lineRule="auto"/>
      </w:pPr>
      <w:r>
        <w:tab/>
      </w:r>
      <w:r>
        <w:tab/>
      </w:r>
      <w:r>
        <w:tab/>
      </w:r>
      <w:r>
        <w:tab/>
      </w:r>
      <w:r>
        <w:tab/>
      </w:r>
      <w:r>
        <w:tab/>
      </w:r>
      <w:r>
        <w:tab/>
        <w:t>_________________________</w:t>
      </w:r>
    </w:p>
    <w:p w:rsidR="00FF38DF" w:rsidRDefault="00FF38DF" w:rsidP="00FF38DF">
      <w:pPr>
        <w:spacing w:line="240" w:lineRule="auto"/>
      </w:pPr>
      <w:r>
        <w:tab/>
      </w:r>
      <w:r>
        <w:tab/>
      </w:r>
      <w:r>
        <w:tab/>
      </w:r>
      <w:r>
        <w:tab/>
      </w:r>
      <w:r>
        <w:tab/>
      </w:r>
      <w:r>
        <w:tab/>
      </w:r>
      <w:r>
        <w:tab/>
      </w:r>
      <w:proofErr w:type="spellStart"/>
      <w:r>
        <w:t>Dondero</w:t>
      </w:r>
      <w:proofErr w:type="spellEnd"/>
      <w:r>
        <w:t>, J.</w:t>
      </w: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r>
        <w:t>We concur:</w:t>
      </w: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r>
        <w:t>_________________________</w:t>
      </w:r>
    </w:p>
    <w:p w:rsidR="00FF38DF" w:rsidRDefault="00FF38DF" w:rsidP="00FF38DF">
      <w:pPr>
        <w:spacing w:line="240" w:lineRule="auto"/>
      </w:pPr>
      <w:proofErr w:type="spellStart"/>
      <w:r>
        <w:t>Humes</w:t>
      </w:r>
      <w:proofErr w:type="spellEnd"/>
      <w:r>
        <w:t>, P. J.</w:t>
      </w: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r>
        <w:t>_________________________</w:t>
      </w:r>
    </w:p>
    <w:p w:rsidR="00FF38DF" w:rsidRDefault="00FF38DF" w:rsidP="00FF38DF">
      <w:pPr>
        <w:spacing w:line="240" w:lineRule="auto"/>
      </w:pPr>
      <w:r>
        <w:t>Margulies, J.</w:t>
      </w:r>
    </w:p>
    <w:p w:rsidR="00FF38DF" w:rsidRDefault="00FF38DF" w:rsidP="00FF38DF">
      <w:pPr>
        <w:spacing w:line="240" w:lineRule="auto"/>
      </w:pPr>
    </w:p>
    <w:p w:rsidR="00692A40" w:rsidRDefault="00692A40">
      <w:pPr>
        <w:tabs>
          <w:tab w:val="clear" w:pos="720"/>
        </w:tabs>
        <w:spacing w:after="160" w:line="259" w:lineRule="auto"/>
      </w:pPr>
      <w:r>
        <w:br w:type="page"/>
      </w:r>
    </w:p>
    <w:p w:rsidR="00C94AF4" w:rsidRDefault="00C94AF4" w:rsidP="00C94AF4">
      <w:pPr>
        <w:tabs>
          <w:tab w:val="left" w:pos="2160"/>
        </w:tabs>
        <w:spacing w:line="240" w:lineRule="auto"/>
        <w:rPr>
          <w:rFonts w:eastAsia="Calibri"/>
        </w:rPr>
      </w:pPr>
      <w:r>
        <w:rPr>
          <w:rFonts w:eastAsia="Calibri"/>
        </w:rPr>
        <w:t>Trial Court:</w:t>
      </w:r>
      <w:r>
        <w:rPr>
          <w:rFonts w:eastAsia="Calibri"/>
        </w:rPr>
        <w:tab/>
        <w:t>Contra Costa County Superior Court</w:t>
      </w:r>
    </w:p>
    <w:p w:rsidR="00C94AF4" w:rsidRDefault="00C94AF4" w:rsidP="00C94AF4">
      <w:pPr>
        <w:spacing w:line="240" w:lineRule="auto"/>
        <w:rPr>
          <w:rFonts w:eastAsia="Calibri"/>
        </w:rPr>
      </w:pPr>
    </w:p>
    <w:p w:rsidR="00C94AF4" w:rsidRDefault="00C94AF4" w:rsidP="00C94AF4">
      <w:pPr>
        <w:tabs>
          <w:tab w:val="left" w:pos="2160"/>
        </w:tabs>
        <w:spacing w:line="240" w:lineRule="auto"/>
        <w:ind w:left="4320" w:hanging="4320"/>
        <w:rPr>
          <w:rFonts w:eastAsia="Calibri"/>
        </w:rPr>
      </w:pPr>
      <w:r>
        <w:rPr>
          <w:rFonts w:eastAsia="Calibri"/>
        </w:rPr>
        <w:t>Trial Judge:</w:t>
      </w:r>
      <w:r>
        <w:rPr>
          <w:rFonts w:eastAsia="Calibri"/>
        </w:rPr>
        <w:tab/>
        <w:t>Hon. Steven K. Austin</w:t>
      </w:r>
    </w:p>
    <w:p w:rsidR="00C94AF4" w:rsidRDefault="00C94AF4" w:rsidP="00C94AF4">
      <w:pPr>
        <w:spacing w:line="240" w:lineRule="auto"/>
        <w:ind w:firstLine="720"/>
        <w:rPr>
          <w:rFonts w:eastAsia="Calibri"/>
        </w:rPr>
      </w:pPr>
    </w:p>
    <w:p w:rsidR="00C94AF4" w:rsidRDefault="00C94AF4" w:rsidP="00C94AF4">
      <w:pPr>
        <w:spacing w:line="240" w:lineRule="auto"/>
        <w:rPr>
          <w:rFonts w:eastAsia="Calibri"/>
        </w:rPr>
      </w:pPr>
      <w:r>
        <w:rPr>
          <w:rFonts w:eastAsia="Calibri"/>
        </w:rPr>
        <w:t xml:space="preserve">Counsel: </w:t>
      </w:r>
    </w:p>
    <w:p w:rsidR="00C94AF4" w:rsidRDefault="00C94AF4" w:rsidP="00C94AF4">
      <w:pPr>
        <w:spacing w:line="240" w:lineRule="auto"/>
        <w:rPr>
          <w:rFonts w:eastAsia="Calibri"/>
        </w:rPr>
      </w:pPr>
    </w:p>
    <w:p w:rsidR="00FF38DF" w:rsidRDefault="0005705F" w:rsidP="00FF38DF">
      <w:pPr>
        <w:spacing w:line="240" w:lineRule="auto"/>
      </w:pPr>
      <w:r>
        <w:tab/>
        <w:t xml:space="preserve">Horvitz &amp; Levy, H. Thomas Watson, Karen M. Bray, Robert H. Wright; Craddick, </w:t>
      </w:r>
      <w:proofErr w:type="spellStart"/>
      <w:r>
        <w:t>Candland</w:t>
      </w:r>
      <w:proofErr w:type="spellEnd"/>
      <w:r>
        <w:t xml:space="preserve"> &amp; Conti, W. David Walker</w:t>
      </w:r>
      <w:r w:rsidR="00A05F60">
        <w:t xml:space="preserve">; Mauro </w:t>
      </w:r>
      <w:proofErr w:type="spellStart"/>
      <w:r w:rsidR="00A05F60">
        <w:t>Lilling</w:t>
      </w:r>
      <w:proofErr w:type="spellEnd"/>
      <w:r w:rsidR="00A05F60">
        <w:t xml:space="preserve"> </w:t>
      </w:r>
      <w:proofErr w:type="spellStart"/>
      <w:r w:rsidR="00A05F60">
        <w:t>Naparty</w:t>
      </w:r>
      <w:proofErr w:type="spellEnd"/>
      <w:r w:rsidR="00A05F60">
        <w:t>, Richard J. Montes</w:t>
      </w:r>
      <w:r>
        <w:t xml:space="preserve"> for Defendant and Appellant</w:t>
      </w:r>
    </w:p>
    <w:p w:rsidR="0005705F" w:rsidRDefault="0005705F" w:rsidP="00FF38DF">
      <w:pPr>
        <w:spacing w:line="240" w:lineRule="auto"/>
      </w:pPr>
    </w:p>
    <w:p w:rsidR="0005705F" w:rsidRDefault="0005705F" w:rsidP="00FF38DF">
      <w:pPr>
        <w:spacing w:line="240" w:lineRule="auto"/>
      </w:pPr>
      <w:r>
        <w:tab/>
        <w:t xml:space="preserve">Cole </w:t>
      </w:r>
      <w:proofErr w:type="spellStart"/>
      <w:r>
        <w:t>Pedroza</w:t>
      </w:r>
      <w:proofErr w:type="spellEnd"/>
      <w:r>
        <w:t xml:space="preserve">, Curtis A. Cole, Matthew S. Levinson for California Medical Association, California Dental Association, and California Hospital Association as Amici Curiae on behalf of </w:t>
      </w:r>
      <w:r w:rsidR="005903CB">
        <w:t>Defendant and Appellant</w:t>
      </w:r>
    </w:p>
    <w:p w:rsidR="005903CB" w:rsidRDefault="005903CB" w:rsidP="00FF38DF">
      <w:pPr>
        <w:spacing w:line="240" w:lineRule="auto"/>
      </w:pPr>
    </w:p>
    <w:p w:rsidR="005903CB" w:rsidRDefault="005903CB" w:rsidP="00FF38DF">
      <w:pPr>
        <w:spacing w:line="240" w:lineRule="auto"/>
      </w:pPr>
      <w:r>
        <w:tab/>
        <w:t xml:space="preserve">Fred J. </w:t>
      </w:r>
      <w:proofErr w:type="spellStart"/>
      <w:r>
        <w:t>Hiestand</w:t>
      </w:r>
      <w:proofErr w:type="spellEnd"/>
      <w:r>
        <w:t xml:space="preserve"> for Civil Justice Association of California as Amicus Curiae on behalf of Defendant and Appellant</w:t>
      </w:r>
    </w:p>
    <w:p w:rsidR="005903CB" w:rsidRDefault="005903CB" w:rsidP="00FF38DF">
      <w:pPr>
        <w:spacing w:line="240" w:lineRule="auto"/>
      </w:pPr>
    </w:p>
    <w:p w:rsidR="005903CB" w:rsidRDefault="005903CB" w:rsidP="00FF38DF">
      <w:pPr>
        <w:spacing w:line="240" w:lineRule="auto"/>
      </w:pPr>
      <w:r>
        <w:tab/>
        <w:t xml:space="preserve">Alston &amp; Bird, David </w:t>
      </w:r>
      <w:proofErr w:type="spellStart"/>
      <w:r>
        <w:t>Venderbush</w:t>
      </w:r>
      <w:proofErr w:type="spellEnd"/>
      <w:r>
        <w:t xml:space="preserve">, </w:t>
      </w:r>
      <w:r w:rsidR="00A05F60">
        <w:t xml:space="preserve">Brian Boone; California Chamber of Commerce, Heather Wallace; U.S. Chamber Litigation Center, Janet </w:t>
      </w:r>
      <w:proofErr w:type="spellStart"/>
      <w:r w:rsidR="00A05F60">
        <w:t>Galeria</w:t>
      </w:r>
      <w:proofErr w:type="spellEnd"/>
      <w:r>
        <w:t xml:space="preserve"> for Chamber of Commerce of the United States as Amicus Curiae on behalf of Defendant and Appellant</w:t>
      </w:r>
    </w:p>
    <w:p w:rsidR="005903CB" w:rsidRDefault="005903CB" w:rsidP="00FF38DF">
      <w:pPr>
        <w:spacing w:line="240" w:lineRule="auto"/>
      </w:pPr>
    </w:p>
    <w:p w:rsidR="005903CB" w:rsidRDefault="005903CB" w:rsidP="00FF38DF">
      <w:pPr>
        <w:spacing w:line="240" w:lineRule="auto"/>
      </w:pPr>
      <w:r>
        <w:tab/>
      </w:r>
      <w:proofErr w:type="spellStart"/>
      <w:r w:rsidR="00A77E98">
        <w:t>Greines</w:t>
      </w:r>
      <w:proofErr w:type="spellEnd"/>
      <w:r w:rsidR="00A77E98">
        <w:t>, Martin, Stei</w:t>
      </w:r>
      <w:r>
        <w:t>n &amp; Richland, Robert Olson for Association of Southern California Defense Counsel as Amicus Curiae on behalf of Defendant and Appellant</w:t>
      </w:r>
    </w:p>
    <w:p w:rsidR="005903CB" w:rsidRDefault="005903CB" w:rsidP="00FF38DF">
      <w:pPr>
        <w:spacing w:line="240" w:lineRule="auto"/>
      </w:pPr>
    </w:p>
    <w:p w:rsidR="005903CB" w:rsidRDefault="005903CB" w:rsidP="00FF38DF">
      <w:pPr>
        <w:spacing w:line="240" w:lineRule="auto"/>
      </w:pPr>
      <w:r>
        <w:tab/>
      </w:r>
      <w:r w:rsidR="00A77E98">
        <w:t xml:space="preserve">The </w:t>
      </w:r>
      <w:proofErr w:type="spellStart"/>
      <w:r w:rsidR="00A77E98">
        <w:t>Veen</w:t>
      </w:r>
      <w:proofErr w:type="spellEnd"/>
      <w:r w:rsidR="00A77E98">
        <w:t xml:space="preserve"> Firm, William L. </w:t>
      </w:r>
      <w:proofErr w:type="spellStart"/>
      <w:r w:rsidR="00A77E98">
        <w:t>Veen</w:t>
      </w:r>
      <w:proofErr w:type="spellEnd"/>
      <w:r w:rsidR="00A77E98">
        <w:t xml:space="preserve">, </w:t>
      </w:r>
      <w:proofErr w:type="spellStart"/>
      <w:r w:rsidR="00A77E98">
        <w:t>Elinor</w:t>
      </w:r>
      <w:proofErr w:type="spellEnd"/>
      <w:r w:rsidR="00A77E98">
        <w:t xml:space="preserve"> Leary; Alan Charles </w:t>
      </w:r>
      <w:proofErr w:type="spellStart"/>
      <w:r w:rsidR="00A77E98">
        <w:t>Dell’Ario</w:t>
      </w:r>
      <w:proofErr w:type="spellEnd"/>
      <w:r w:rsidR="00A77E98">
        <w:t xml:space="preserve"> for Plaintiff and Respondent</w:t>
      </w: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p>
    <w:p w:rsidR="00FF38DF" w:rsidRDefault="00FF38DF" w:rsidP="00FF38DF">
      <w:pPr>
        <w:spacing w:line="240" w:lineRule="auto"/>
      </w:pPr>
      <w:r>
        <w:t xml:space="preserve">A143440/144041  </w:t>
      </w:r>
      <w:r w:rsidRPr="00FF38DF">
        <w:rPr>
          <w:i/>
        </w:rPr>
        <w:t>Cuevas v. Contra Costa County</w:t>
      </w:r>
    </w:p>
    <w:sectPr w:rsidR="00FF38DF" w:rsidSect="00043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47" w:rsidRDefault="00F66847" w:rsidP="0004327E">
      <w:pPr>
        <w:spacing w:line="240" w:lineRule="auto"/>
      </w:pPr>
      <w:r>
        <w:separator/>
      </w:r>
    </w:p>
  </w:endnote>
  <w:endnote w:type="continuationSeparator" w:id="0">
    <w:p w:rsidR="00F66847" w:rsidRDefault="00F66847" w:rsidP="00043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7E" w:rsidRDefault="0004327E" w:rsidP="008F66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706F">
      <w:rPr>
        <w:rStyle w:val="PageNumber"/>
        <w:noProof/>
      </w:rPr>
      <w:t>1</w:t>
    </w:r>
    <w:r>
      <w:rPr>
        <w:rStyle w:val="PageNumber"/>
      </w:rPr>
      <w:fldChar w:fldCharType="end"/>
    </w:r>
  </w:p>
  <w:p w:rsidR="0004327E" w:rsidRDefault="0004327E" w:rsidP="008F66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706F">
      <w:rPr>
        <w:rStyle w:val="PageNumber"/>
        <w:noProof/>
      </w:rPr>
      <w:t>1</w:t>
    </w:r>
    <w:r>
      <w:rPr>
        <w:rStyle w:val="PageNumber"/>
      </w:rPr>
      <w:fldChar w:fldCharType="end"/>
    </w:r>
  </w:p>
  <w:p w:rsidR="0004327E" w:rsidRDefault="00043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7E" w:rsidRDefault="0004327E" w:rsidP="000432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260F">
      <w:rPr>
        <w:rStyle w:val="PageNumber"/>
        <w:noProof/>
      </w:rPr>
      <w:t>2</w:t>
    </w:r>
    <w:r>
      <w:rPr>
        <w:rStyle w:val="PageNumber"/>
      </w:rPr>
      <w:fldChar w:fldCharType="end"/>
    </w:r>
  </w:p>
  <w:p w:rsidR="0004327E" w:rsidRDefault="00043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6F" w:rsidRDefault="009F7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47" w:rsidRDefault="00F66847" w:rsidP="0004327E">
      <w:pPr>
        <w:spacing w:line="240" w:lineRule="auto"/>
      </w:pPr>
      <w:r>
        <w:separator/>
      </w:r>
    </w:p>
  </w:footnote>
  <w:footnote w:type="continuationSeparator" w:id="0">
    <w:p w:rsidR="00F66847" w:rsidRDefault="00F66847" w:rsidP="0004327E">
      <w:pPr>
        <w:spacing w:line="240" w:lineRule="auto"/>
      </w:pPr>
      <w:r>
        <w:continuationSeparator/>
      </w:r>
    </w:p>
  </w:footnote>
  <w:footnote w:id="1">
    <w:p w:rsidR="002331F7" w:rsidRDefault="002331F7" w:rsidP="00942BC5">
      <w:pPr>
        <w:pStyle w:val="FootnoteText"/>
        <w:spacing w:before="120"/>
        <w:ind w:firstLine="720"/>
      </w:pPr>
      <w:r>
        <w:rPr>
          <w:rStyle w:val="FootnoteReference"/>
        </w:rPr>
        <w:footnoteRef/>
      </w:r>
      <w:r>
        <w:t xml:space="preserve"> Plaintiff’s mother’s claims are not at issue in this appeal.</w:t>
      </w:r>
    </w:p>
  </w:footnote>
  <w:footnote w:id="2">
    <w:p w:rsidR="00A268F5" w:rsidRDefault="00A268F5" w:rsidP="00942BC5">
      <w:pPr>
        <w:pStyle w:val="FootnoteText"/>
        <w:spacing w:before="120"/>
        <w:ind w:firstLine="720"/>
      </w:pPr>
      <w:r>
        <w:rPr>
          <w:rStyle w:val="FootnoteReference"/>
        </w:rPr>
        <w:footnoteRef/>
      </w:r>
      <w:r>
        <w:t xml:space="preserve"> </w:t>
      </w:r>
      <w:proofErr w:type="spellStart"/>
      <w:r>
        <w:t>Roughan</w:t>
      </w:r>
      <w:proofErr w:type="spellEnd"/>
      <w:r>
        <w:t xml:space="preserve"> also estimated the cost of a surgical procedure to correct plaintiff’s strabismus (crossed eyes) at $14,785.  </w:t>
      </w:r>
      <w:proofErr w:type="spellStart"/>
      <w:r>
        <w:t>Olzack’s</w:t>
      </w:r>
      <w:proofErr w:type="spellEnd"/>
      <w:r>
        <w:t xml:space="preserve"> report stated that the </w:t>
      </w:r>
      <w:proofErr w:type="spellStart"/>
      <w:r>
        <w:t>Medi</w:t>
      </w:r>
      <w:proofErr w:type="spellEnd"/>
      <w:r>
        <w:t xml:space="preserve">-Cal reimbursement rate for this procedure would be only $4,527. </w:t>
      </w:r>
    </w:p>
  </w:footnote>
  <w:footnote w:id="3">
    <w:p w:rsidR="00827BBB" w:rsidRDefault="00710BEE" w:rsidP="00942BC5">
      <w:pPr>
        <w:pStyle w:val="FootnoteText"/>
        <w:spacing w:before="120"/>
        <w:ind w:firstLine="720"/>
      </w:pPr>
      <w:r>
        <w:rPr>
          <w:rStyle w:val="FootnoteReference"/>
        </w:rPr>
        <w:footnoteRef/>
      </w:r>
      <w:r>
        <w:t xml:space="preserve"> </w:t>
      </w:r>
      <w:r w:rsidRPr="00BF2D81">
        <w:t xml:space="preserve">The parties stipulated that plaintiff’s medical expenses up to the time of trial totaled $55,780. </w:t>
      </w:r>
    </w:p>
  </w:footnote>
  <w:footnote w:id="4">
    <w:p w:rsidR="00257BB6" w:rsidRDefault="000A1A40" w:rsidP="00942BC5">
      <w:pPr>
        <w:pStyle w:val="FootnoteText"/>
        <w:spacing w:before="120"/>
        <w:ind w:firstLine="720"/>
      </w:pPr>
      <w:r>
        <w:rPr>
          <w:rStyle w:val="FootnoteReference"/>
        </w:rPr>
        <w:footnoteRef/>
      </w:r>
      <w:r>
        <w:t xml:space="preserve"> Plaintiff asserts defendant cannot show prejudice because it did not ask the jury to segre</w:t>
      </w:r>
      <w:r w:rsidR="00D10C7A">
        <w:t>g</w:t>
      </w:r>
      <w:r>
        <w:t xml:space="preserve">ate the elements of his future medical damages.  </w:t>
      </w:r>
      <w:r w:rsidRPr="000A1A40">
        <w:t xml:space="preserve">By constitutional mandate, we cannot reverse a judgment based on instructional error, evidentiary error, or procedural error unless, based on </w:t>
      </w:r>
      <w:r w:rsidR="007C0338">
        <w:t>“</w:t>
      </w:r>
      <w:r w:rsidRPr="000A1A40">
        <w:t>an examination of the entire cause, including the evidence,</w:t>
      </w:r>
      <w:r w:rsidR="007C0338">
        <w:t>”</w:t>
      </w:r>
      <w:r w:rsidRPr="000A1A40">
        <w:t xml:space="preserve"> we are </w:t>
      </w:r>
      <w:r w:rsidR="007C0338">
        <w:t>“</w:t>
      </w:r>
      <w:r w:rsidRPr="000A1A40">
        <w:t>of the opinion that the error complained of has resulted in a miscarriage of justice.</w:t>
      </w:r>
      <w:r w:rsidR="007C0338">
        <w:t xml:space="preserve">” </w:t>
      </w:r>
      <w:r w:rsidRPr="000A1A40">
        <w:t xml:space="preserve"> (Cal. Const., art. VI, § 13.) </w:t>
      </w:r>
      <w:r w:rsidR="007C0338">
        <w:t xml:space="preserve"> </w:t>
      </w:r>
      <w:r w:rsidR="002B034A">
        <w:t>Under this standard, a</w:t>
      </w:r>
      <w:r w:rsidR="002A5C88">
        <w:t xml:space="preserve"> trial court’</w:t>
      </w:r>
      <w:r w:rsidR="002A5C88" w:rsidRPr="002A5C88">
        <w:t xml:space="preserve">s errors require reversal if it is reasonably probable that they affected the verdict. </w:t>
      </w:r>
      <w:r w:rsidR="002A5C88">
        <w:t xml:space="preserve"> </w:t>
      </w:r>
      <w:r w:rsidR="002A5C88" w:rsidRPr="002A5C88">
        <w:t>(</w:t>
      </w:r>
      <w:r w:rsidR="002A5C88" w:rsidRPr="002B034A">
        <w:rPr>
          <w:i/>
        </w:rPr>
        <w:t>College Hospital Inc. v. Superior Court</w:t>
      </w:r>
      <w:r w:rsidR="002A5C88" w:rsidRPr="002A5C88">
        <w:t xml:space="preserve"> (1994) 8 Cal.4th 704, 715.) </w:t>
      </w:r>
      <w:r w:rsidR="002A5C88">
        <w:t xml:space="preserve"> </w:t>
      </w:r>
      <w:r w:rsidR="002A5C88" w:rsidRPr="002A5C88">
        <w:t xml:space="preserve">“We have made clear that a ‘probability’ in this context does not mean more likely than not, but merely a </w:t>
      </w:r>
      <w:r w:rsidR="002A5C88" w:rsidRPr="002B034A">
        <w:rPr>
          <w:i/>
        </w:rPr>
        <w:t>reasonable chance,</w:t>
      </w:r>
      <w:r w:rsidR="002A5C88" w:rsidRPr="002A5C88">
        <w:t xml:space="preserve"> more than an </w:t>
      </w:r>
      <w:r w:rsidR="002A5C88" w:rsidRPr="002B034A">
        <w:rPr>
          <w:i/>
        </w:rPr>
        <w:t>abstract possibility</w:t>
      </w:r>
      <w:r w:rsidR="002A5C88" w:rsidRPr="002A5C88">
        <w:t xml:space="preserve">.” </w:t>
      </w:r>
      <w:r w:rsidR="002A5C88">
        <w:t xml:space="preserve"> </w:t>
      </w:r>
      <w:r w:rsidR="002A5C88" w:rsidRPr="002A5C88">
        <w:t>(</w:t>
      </w:r>
      <w:r w:rsidR="002B034A" w:rsidRPr="002B034A">
        <w:rPr>
          <w:i/>
        </w:rPr>
        <w:t>Ibid</w:t>
      </w:r>
      <w:r w:rsidR="002B034A">
        <w:t>.</w:t>
      </w:r>
      <w:r w:rsidR="002A5C88" w:rsidRPr="002A5C88">
        <w:t>)</w:t>
      </w:r>
      <w:r w:rsidR="002A5C88">
        <w:t xml:space="preserve">  </w:t>
      </w:r>
      <w:r w:rsidR="002B034A">
        <w:t xml:space="preserve">We conclude defendant’s claims raise more than an “abstract possibility” as to the effects of the alleged errors on the damages awarded, and elect to address its arguments on their merits. </w:t>
      </w:r>
    </w:p>
  </w:footnote>
  <w:footnote w:id="5">
    <w:p w:rsidR="00E02EF5" w:rsidRDefault="00E02EF5" w:rsidP="00942BC5">
      <w:pPr>
        <w:pStyle w:val="FootnoteText"/>
        <w:spacing w:before="120"/>
        <w:ind w:firstLine="720"/>
      </w:pPr>
      <w:r>
        <w:rPr>
          <w:rStyle w:val="FootnoteReference"/>
        </w:rPr>
        <w:footnoteRef/>
      </w:r>
      <w:r>
        <w:t xml:space="preserve"> </w:t>
      </w:r>
      <w:r w:rsidRPr="00E02EF5">
        <w:t>“</w:t>
      </w:r>
      <w:proofErr w:type="spellStart"/>
      <w:r w:rsidRPr="00E02EF5">
        <w:t>Medi</w:t>
      </w:r>
      <w:proofErr w:type="spellEnd"/>
      <w:r w:rsidRPr="00E02EF5">
        <w:t>-Cal is California’s implementation of the federal Medicaid program.”  (</w:t>
      </w:r>
      <w:r w:rsidRPr="00E56549">
        <w:rPr>
          <w:i/>
        </w:rPr>
        <w:t>Howell</w:t>
      </w:r>
      <w:r w:rsidR="00E56549">
        <w:t xml:space="preserve">, </w:t>
      </w:r>
      <w:r w:rsidR="00E56549" w:rsidRPr="00E56549">
        <w:rPr>
          <w:i/>
        </w:rPr>
        <w:t>supra</w:t>
      </w:r>
      <w:r w:rsidR="00E56549">
        <w:t xml:space="preserve">, </w:t>
      </w:r>
      <w:r w:rsidRPr="00E56549">
        <w:t>52</w:t>
      </w:r>
      <w:r w:rsidRPr="00E02EF5">
        <w:t xml:space="preserve"> Cal.4th </w:t>
      </w:r>
      <w:r w:rsidR="00E56549">
        <w:t>at p. </w:t>
      </w:r>
      <w:r w:rsidRPr="00E02EF5">
        <w:t>553</w:t>
      </w:r>
      <w:r w:rsidR="00422A1B">
        <w:t>, fn. 3</w:t>
      </w:r>
      <w:r w:rsidRPr="00E02EF5">
        <w:t>.)</w:t>
      </w:r>
    </w:p>
  </w:footnote>
  <w:footnote w:id="6">
    <w:p w:rsidR="006E6CDB" w:rsidRDefault="002B3B32" w:rsidP="00942BC5">
      <w:pPr>
        <w:pStyle w:val="FootnoteText"/>
        <w:spacing w:before="120"/>
        <w:ind w:firstLine="720"/>
      </w:pPr>
      <w:r>
        <w:rPr>
          <w:rStyle w:val="FootnoteReference"/>
        </w:rPr>
        <w:footnoteRef/>
      </w:r>
      <w:r>
        <w:t xml:space="preserve"> </w:t>
      </w:r>
      <w:r w:rsidRPr="002B3B32">
        <w:t>Amici curiae the California Medical Association, California Dental Association</w:t>
      </w:r>
      <w:r w:rsidR="00E56549">
        <w:t>,</w:t>
      </w:r>
      <w:r w:rsidRPr="002B3B32">
        <w:t xml:space="preserve"> and California Hospital Association</w:t>
      </w:r>
      <w:r w:rsidR="00323FEA">
        <w:t>, on behalf of defendant, assert</w:t>
      </w:r>
      <w:r w:rsidRPr="002B3B32">
        <w:t xml:space="preserve"> that the plain language of section 3333.1, subdivision (a), “applies to economic damages ‘payable</w:t>
      </w:r>
      <w:r w:rsidR="00422A1B">
        <w:t>’ in the future.</w:t>
      </w:r>
      <w:r w:rsidRPr="002B3B32">
        <w:t xml:space="preserve">” </w:t>
      </w:r>
    </w:p>
  </w:footnote>
  <w:footnote w:id="7">
    <w:p w:rsidR="003C0123" w:rsidRDefault="00447671" w:rsidP="00942BC5">
      <w:pPr>
        <w:pStyle w:val="FootnoteText"/>
        <w:spacing w:before="120"/>
        <w:ind w:firstLine="720"/>
      </w:pPr>
      <w:r>
        <w:rPr>
          <w:rStyle w:val="FootnoteReference"/>
        </w:rPr>
        <w:footnoteRef/>
      </w:r>
      <w:r>
        <w:t xml:space="preserve"> Merriam-Webster’s online dictionary defines “payable” as “that may, can, or must be paid.” </w:t>
      </w:r>
      <w:r w:rsidR="0012769A">
        <w:t xml:space="preserve"> </w:t>
      </w:r>
      <w:r w:rsidR="00422A1B">
        <w:t>(</w:t>
      </w:r>
      <w:r w:rsidR="00422A1B" w:rsidRPr="009F706F">
        <w:t>http://www.merriam-webster.com/dictionary/payable</w:t>
      </w:r>
      <w:r w:rsidR="00422A1B">
        <w:t xml:space="preserve">, as of </w:t>
      </w:r>
      <w:r w:rsidR="0012769A">
        <w:t>Apr. 27, 2017</w:t>
      </w:r>
      <w:r w:rsidR="00422A1B">
        <w:t>.</w:t>
      </w:r>
      <w:r w:rsidR="0012769A">
        <w:t>)</w:t>
      </w:r>
    </w:p>
  </w:footnote>
  <w:footnote w:id="8">
    <w:p w:rsidR="003C0123" w:rsidRDefault="003C0123" w:rsidP="00942BC5">
      <w:pPr>
        <w:pStyle w:val="FootnoteText"/>
        <w:spacing w:before="120"/>
        <w:ind w:firstLine="720"/>
      </w:pPr>
      <w:r>
        <w:rPr>
          <w:rStyle w:val="FootnoteReference"/>
        </w:rPr>
        <w:footnoteRef/>
      </w:r>
      <w:r>
        <w:t xml:space="preserve"> Plaintiff’s cites to two passages from </w:t>
      </w:r>
      <w:r w:rsidRPr="003C0123">
        <w:rPr>
          <w:i/>
        </w:rPr>
        <w:t>Howell, supra,</w:t>
      </w:r>
      <w:r>
        <w:t xml:space="preserve"> </w:t>
      </w:r>
      <w:r w:rsidR="003434F4">
        <w:t xml:space="preserve">52 Cal.4th 541 </w:t>
      </w:r>
      <w:r>
        <w:t xml:space="preserve">asserting that the court’s “consistent use of the past tense in describing the operation of [section 3333.1] leaves little doubt about the court’s view that the section does not apply to future benefits.”  The assertion is not persuasive as the court was clearly not intending to address the proposition that plaintiff advances. </w:t>
      </w:r>
    </w:p>
  </w:footnote>
  <w:footnote w:id="9">
    <w:p w:rsidR="001B416D" w:rsidRDefault="001B416D" w:rsidP="00942BC5">
      <w:pPr>
        <w:pStyle w:val="FootnoteText"/>
        <w:spacing w:before="120"/>
        <w:ind w:firstLine="720"/>
      </w:pPr>
      <w:r>
        <w:rPr>
          <w:rStyle w:val="FootnoteReference"/>
        </w:rPr>
        <w:footnoteRef/>
      </w:r>
      <w:r>
        <w:t xml:space="preserve"> Another federal case cited to by defendant in its reply brief</w:t>
      </w:r>
      <w:r w:rsidR="000A1E66">
        <w:t xml:space="preserve"> </w:t>
      </w:r>
      <w:r>
        <w:t>assumed, without deciding, that section 3333.1 applies to future collateral source benefits.  (</w:t>
      </w:r>
      <w:r w:rsidRPr="001B416D">
        <w:rPr>
          <w:i/>
        </w:rPr>
        <w:t>S.H. v. United States</w:t>
      </w:r>
      <w:r>
        <w:t xml:space="preserve"> (</w:t>
      </w:r>
      <w:proofErr w:type="spellStart"/>
      <w:r>
        <w:t>E.D.Cal</w:t>
      </w:r>
      <w:proofErr w:type="spellEnd"/>
      <w:r>
        <w:t xml:space="preserve">. </w:t>
      </w:r>
      <w:r w:rsidR="003434F4">
        <w:t>Oct. 29, 2014,</w:t>
      </w:r>
      <w:r>
        <w:t xml:space="preserve"> </w:t>
      </w:r>
      <w:r w:rsidR="003434F4">
        <w:t>Civ. No 2:11-cv-01963-MCE-DAD)</w:t>
      </w:r>
      <w:r>
        <w:t xml:space="preserve"> </w:t>
      </w:r>
      <w:r w:rsidR="003434F4">
        <w:t xml:space="preserve">2014 </w:t>
      </w:r>
      <w:r>
        <w:t xml:space="preserve">Dist. LEXIS 154222.)  The court noted, however, that the issue “does not appear to have a clear answer.” </w:t>
      </w:r>
      <w:r w:rsidR="005753A7">
        <w:t xml:space="preserve"> </w:t>
      </w:r>
      <w:r>
        <w:t>(</w:t>
      </w:r>
      <w:r w:rsidR="006E6CDB" w:rsidRPr="003434F4">
        <w:rPr>
          <w:i/>
        </w:rPr>
        <w:t>Id</w:t>
      </w:r>
      <w:r w:rsidR="006E6CDB">
        <w:t xml:space="preserve">. at p. </w:t>
      </w:r>
      <w:r>
        <w:t>*9.)</w:t>
      </w:r>
    </w:p>
  </w:footnote>
  <w:footnote w:id="10">
    <w:p w:rsidR="00C40E1B" w:rsidRDefault="00C40E1B" w:rsidP="00942BC5">
      <w:pPr>
        <w:pStyle w:val="FootnoteText"/>
        <w:spacing w:before="120"/>
        <w:ind w:firstLine="720"/>
      </w:pPr>
      <w:r>
        <w:rPr>
          <w:rStyle w:val="FootnoteReference"/>
        </w:rPr>
        <w:footnoteRef/>
      </w:r>
      <w:r>
        <w:t xml:space="preserve"> We grant defendant’s request for judicial notice of the legislative history of section 3333.1.</w:t>
      </w:r>
    </w:p>
  </w:footnote>
  <w:footnote w:id="11">
    <w:p w:rsidR="00C03DDC" w:rsidRDefault="003F6588" w:rsidP="00942BC5">
      <w:pPr>
        <w:pStyle w:val="FootnoteText"/>
        <w:spacing w:before="120"/>
        <w:ind w:firstLine="720"/>
      </w:pPr>
      <w:r>
        <w:rPr>
          <w:rStyle w:val="FootnoteReference"/>
        </w:rPr>
        <w:footnoteRef/>
      </w:r>
      <w:r>
        <w:t xml:space="preserve"> We disagree with plaintiff’s contention that the Legislature’s statements of intent should be ignored because they were omitted from </w:t>
      </w:r>
      <w:proofErr w:type="spellStart"/>
      <w:r w:rsidR="00725D00">
        <w:t>Assem</w:t>
      </w:r>
      <w:proofErr w:type="spellEnd"/>
      <w:r w:rsidR="00725D00">
        <w:t>. Bill</w:t>
      </w:r>
      <w:r>
        <w:t xml:space="preserve"> 1. </w:t>
      </w:r>
    </w:p>
  </w:footnote>
  <w:footnote w:id="12">
    <w:p w:rsidR="002E60B3" w:rsidRDefault="002E60B3" w:rsidP="00942BC5">
      <w:pPr>
        <w:pStyle w:val="FootnoteText"/>
        <w:spacing w:before="120"/>
        <w:ind w:firstLine="720"/>
      </w:pPr>
      <w:r>
        <w:rPr>
          <w:rStyle w:val="FootnoteReference"/>
        </w:rPr>
        <w:footnoteRef/>
      </w:r>
      <w:r>
        <w:t xml:space="preserve"> In fairness to the trial court, it is notable that section 3333.1 was enacted in 1975 yet it appears no reported California state appellate decision has squarely addressed </w:t>
      </w:r>
      <w:r w:rsidR="00CA17A6">
        <w:t xml:space="preserve">the statute’s </w:t>
      </w:r>
      <w:r>
        <w:t xml:space="preserve">application to future medical damages awards. </w:t>
      </w:r>
    </w:p>
  </w:footnote>
  <w:footnote w:id="13">
    <w:p w:rsidR="006E1EBB" w:rsidRDefault="006E1EBB" w:rsidP="00942BC5">
      <w:pPr>
        <w:pStyle w:val="FootnoteText"/>
        <w:spacing w:before="120"/>
        <w:ind w:firstLine="720"/>
      </w:pPr>
      <w:r>
        <w:rPr>
          <w:rStyle w:val="FootnoteReference"/>
        </w:rPr>
        <w:footnoteRef/>
      </w:r>
      <w:r>
        <w:t xml:space="preserve"> Defendant also relies on two out-of-state cases that deal with past medical damages, not future medical damages, and are therefore not on point.  </w:t>
      </w:r>
    </w:p>
  </w:footnote>
  <w:footnote w:id="14">
    <w:p w:rsidR="00080C91" w:rsidRDefault="00080C91" w:rsidP="00942BC5">
      <w:pPr>
        <w:pStyle w:val="FootnoteText"/>
        <w:spacing w:before="120"/>
        <w:ind w:firstLine="720"/>
      </w:pPr>
      <w:r>
        <w:rPr>
          <w:rStyle w:val="FootnoteReference"/>
        </w:rPr>
        <w:footnoteRef/>
      </w:r>
      <w:r>
        <w:t xml:space="preserve"> We deny plaintiff’s motion for judicial notice of President Donald Trump’s executive order dated January 20, 2017</w:t>
      </w:r>
      <w:r w:rsidR="002E220C">
        <w:t>,</w:t>
      </w:r>
      <w:r>
        <w:t xml:space="preserve"> in which he announced his policy to seek the prompt repeal of the ACA.  The document is not necessary to our decision.</w:t>
      </w:r>
    </w:p>
  </w:footnote>
  <w:footnote w:id="15">
    <w:p w:rsidR="00DF0221" w:rsidRDefault="00DF0221" w:rsidP="00942BC5">
      <w:pPr>
        <w:pStyle w:val="FootnoteText"/>
        <w:spacing w:before="120"/>
        <w:ind w:firstLine="720"/>
      </w:pPr>
      <w:r>
        <w:rPr>
          <w:rStyle w:val="FootnoteReference"/>
        </w:rPr>
        <w:footnoteRef/>
      </w:r>
      <w:r>
        <w:t xml:space="preserve"> </w:t>
      </w:r>
      <w:r w:rsidRPr="00DF0221">
        <w:t xml:space="preserve">We note much of the costs in plaintiff’s life care plan concerned future expenses that do not appear to be covered by medical insurance.  </w:t>
      </w:r>
      <w:proofErr w:type="spellStart"/>
      <w:r w:rsidRPr="00DF0221">
        <w:t>Roughan</w:t>
      </w:r>
      <w:proofErr w:type="spellEnd"/>
      <w:r w:rsidRPr="00DF0221">
        <w:t xml:space="preserve"> testified that once he emancipated at age 22, plaintiff would need to live in a supportive living environment for the rest of his life due to his very low IQ level.  Rather than a simple residential facility, she opined that he would need to be placed in a home that employs personnel who have experience caring for brain-injured individuals.  Attendant care was priced at the sa</w:t>
      </w:r>
      <w:r w:rsidR="001D2DFE">
        <w:t xml:space="preserve">me amount in both parties’ life </w:t>
      </w:r>
      <w:r w:rsidRPr="00DF0221">
        <w:t xml:space="preserve">care plans, presumably because it is not covered by </w:t>
      </w:r>
      <w:proofErr w:type="spellStart"/>
      <w:r w:rsidRPr="00DF0221">
        <w:t>Medi</w:t>
      </w:r>
      <w:proofErr w:type="spellEnd"/>
      <w:r w:rsidRPr="00DF0221">
        <w:t xml:space="preserve">-Cal or any ACA-sponsored private insurance. </w:t>
      </w:r>
      <w:r w:rsidR="000A1E6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6F" w:rsidRDefault="009F7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6F" w:rsidRDefault="009F7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9A" w:rsidRPr="0012769A" w:rsidRDefault="0012769A" w:rsidP="0012769A">
    <w:pPr>
      <w:pStyle w:val="Header"/>
      <w:jc w:val="right"/>
      <w:rPr>
        <w:sz w:val="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6FB5"/>
    <w:multiLevelType w:val="hybridMultilevel"/>
    <w:tmpl w:val="64464230"/>
    <w:lvl w:ilvl="0" w:tplc="E0CEE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D4281"/>
    <w:multiLevelType w:val="hybridMultilevel"/>
    <w:tmpl w:val="4454DBF0"/>
    <w:lvl w:ilvl="0" w:tplc="6812E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E037C"/>
    <w:multiLevelType w:val="hybridMultilevel"/>
    <w:tmpl w:val="B3AEBD60"/>
    <w:lvl w:ilvl="0" w:tplc="23E42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E6409"/>
    <w:multiLevelType w:val="hybridMultilevel"/>
    <w:tmpl w:val="54D26B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A1463"/>
    <w:multiLevelType w:val="hybridMultilevel"/>
    <w:tmpl w:val="130AA47E"/>
    <w:lvl w:ilvl="0" w:tplc="916C7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44FF9"/>
    <w:multiLevelType w:val="hybridMultilevel"/>
    <w:tmpl w:val="0EDC7E2E"/>
    <w:lvl w:ilvl="0" w:tplc="72361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551BB"/>
    <w:multiLevelType w:val="hybridMultilevel"/>
    <w:tmpl w:val="76D087AA"/>
    <w:lvl w:ilvl="0" w:tplc="E0CEE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95068"/>
    <w:multiLevelType w:val="hybridMultilevel"/>
    <w:tmpl w:val="A3C429AC"/>
    <w:lvl w:ilvl="0" w:tplc="07C8E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0605B"/>
    <w:multiLevelType w:val="hybridMultilevel"/>
    <w:tmpl w:val="873ED1F4"/>
    <w:lvl w:ilvl="0" w:tplc="F2706AE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5C934159"/>
    <w:multiLevelType w:val="hybridMultilevel"/>
    <w:tmpl w:val="EA5A25A8"/>
    <w:lvl w:ilvl="0" w:tplc="66183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4"/>
  </w:num>
  <w:num w:numId="5">
    <w:abstractNumId w:val="5"/>
  </w:num>
  <w:num w:numId="6">
    <w:abstractNumId w:val="1"/>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0B"/>
    <w:rsid w:val="00011466"/>
    <w:rsid w:val="0002640C"/>
    <w:rsid w:val="00027FA0"/>
    <w:rsid w:val="0003460B"/>
    <w:rsid w:val="0004327E"/>
    <w:rsid w:val="00043952"/>
    <w:rsid w:val="0005705F"/>
    <w:rsid w:val="00057639"/>
    <w:rsid w:val="00063125"/>
    <w:rsid w:val="00074E64"/>
    <w:rsid w:val="0007718F"/>
    <w:rsid w:val="00080C91"/>
    <w:rsid w:val="000A1A40"/>
    <w:rsid w:val="000A1E66"/>
    <w:rsid w:val="000A2B4A"/>
    <w:rsid w:val="000B0FE6"/>
    <w:rsid w:val="000B1E7F"/>
    <w:rsid w:val="000B692A"/>
    <w:rsid w:val="000C0A72"/>
    <w:rsid w:val="000D20E4"/>
    <w:rsid w:val="000D4D3D"/>
    <w:rsid w:val="000E101D"/>
    <w:rsid w:val="000E424E"/>
    <w:rsid w:val="000F4A8F"/>
    <w:rsid w:val="00106536"/>
    <w:rsid w:val="00110BB0"/>
    <w:rsid w:val="00113474"/>
    <w:rsid w:val="00121779"/>
    <w:rsid w:val="0012769A"/>
    <w:rsid w:val="00131803"/>
    <w:rsid w:val="00137210"/>
    <w:rsid w:val="00137FD8"/>
    <w:rsid w:val="00155D19"/>
    <w:rsid w:val="00157402"/>
    <w:rsid w:val="0017202D"/>
    <w:rsid w:val="001A580F"/>
    <w:rsid w:val="001A7D34"/>
    <w:rsid w:val="001B1794"/>
    <w:rsid w:val="001B416D"/>
    <w:rsid w:val="001B7186"/>
    <w:rsid w:val="001C0C1C"/>
    <w:rsid w:val="001C1521"/>
    <w:rsid w:val="001D240C"/>
    <w:rsid w:val="001D2DFE"/>
    <w:rsid w:val="001D47C9"/>
    <w:rsid w:val="001D598D"/>
    <w:rsid w:val="001E2A6D"/>
    <w:rsid w:val="001F30FB"/>
    <w:rsid w:val="001F45B9"/>
    <w:rsid w:val="001F5659"/>
    <w:rsid w:val="00202888"/>
    <w:rsid w:val="00203467"/>
    <w:rsid w:val="00213C6A"/>
    <w:rsid w:val="00220653"/>
    <w:rsid w:val="00223A32"/>
    <w:rsid w:val="00231838"/>
    <w:rsid w:val="002331F7"/>
    <w:rsid w:val="0023370B"/>
    <w:rsid w:val="00236948"/>
    <w:rsid w:val="00240950"/>
    <w:rsid w:val="00243B0A"/>
    <w:rsid w:val="0024505C"/>
    <w:rsid w:val="002524B6"/>
    <w:rsid w:val="002537A4"/>
    <w:rsid w:val="00257BB6"/>
    <w:rsid w:val="00261757"/>
    <w:rsid w:val="0027151E"/>
    <w:rsid w:val="0027624B"/>
    <w:rsid w:val="00282C89"/>
    <w:rsid w:val="0028590F"/>
    <w:rsid w:val="002A5C88"/>
    <w:rsid w:val="002B034A"/>
    <w:rsid w:val="002B2D75"/>
    <w:rsid w:val="002B3B32"/>
    <w:rsid w:val="002D2A93"/>
    <w:rsid w:val="002D3B63"/>
    <w:rsid w:val="002D7E47"/>
    <w:rsid w:val="002E220C"/>
    <w:rsid w:val="002E586D"/>
    <w:rsid w:val="002E60B3"/>
    <w:rsid w:val="003124DA"/>
    <w:rsid w:val="003146E1"/>
    <w:rsid w:val="00317F28"/>
    <w:rsid w:val="00323FEA"/>
    <w:rsid w:val="0032485A"/>
    <w:rsid w:val="003261BC"/>
    <w:rsid w:val="00327EF9"/>
    <w:rsid w:val="00332048"/>
    <w:rsid w:val="003434F4"/>
    <w:rsid w:val="00346812"/>
    <w:rsid w:val="00364EDB"/>
    <w:rsid w:val="003709FA"/>
    <w:rsid w:val="00373649"/>
    <w:rsid w:val="0038295A"/>
    <w:rsid w:val="00391F0A"/>
    <w:rsid w:val="003A52D1"/>
    <w:rsid w:val="003B2893"/>
    <w:rsid w:val="003B6590"/>
    <w:rsid w:val="003B7BD5"/>
    <w:rsid w:val="003C0123"/>
    <w:rsid w:val="003C12E3"/>
    <w:rsid w:val="003F6588"/>
    <w:rsid w:val="0040170B"/>
    <w:rsid w:val="00404F1D"/>
    <w:rsid w:val="0040622E"/>
    <w:rsid w:val="00411770"/>
    <w:rsid w:val="00422A1B"/>
    <w:rsid w:val="00422C37"/>
    <w:rsid w:val="00443FDC"/>
    <w:rsid w:val="00446E93"/>
    <w:rsid w:val="00447671"/>
    <w:rsid w:val="00450CC8"/>
    <w:rsid w:val="00456209"/>
    <w:rsid w:val="004646CF"/>
    <w:rsid w:val="00466C4F"/>
    <w:rsid w:val="00473061"/>
    <w:rsid w:val="004A3300"/>
    <w:rsid w:val="004B1D53"/>
    <w:rsid w:val="004B611E"/>
    <w:rsid w:val="004B627F"/>
    <w:rsid w:val="004C1350"/>
    <w:rsid w:val="004C5224"/>
    <w:rsid w:val="004C5E54"/>
    <w:rsid w:val="004E62DB"/>
    <w:rsid w:val="004F29A7"/>
    <w:rsid w:val="00507809"/>
    <w:rsid w:val="005147AF"/>
    <w:rsid w:val="005173B8"/>
    <w:rsid w:val="00530C5E"/>
    <w:rsid w:val="005343F9"/>
    <w:rsid w:val="00543625"/>
    <w:rsid w:val="00555D6B"/>
    <w:rsid w:val="0057192E"/>
    <w:rsid w:val="005753A7"/>
    <w:rsid w:val="005903CB"/>
    <w:rsid w:val="00592C4D"/>
    <w:rsid w:val="005E2688"/>
    <w:rsid w:val="005F0614"/>
    <w:rsid w:val="005F1C8C"/>
    <w:rsid w:val="00606E70"/>
    <w:rsid w:val="00621C58"/>
    <w:rsid w:val="0062585B"/>
    <w:rsid w:val="00635548"/>
    <w:rsid w:val="006552F4"/>
    <w:rsid w:val="0065732F"/>
    <w:rsid w:val="0066762E"/>
    <w:rsid w:val="006770AC"/>
    <w:rsid w:val="00684596"/>
    <w:rsid w:val="00692A40"/>
    <w:rsid w:val="006A3146"/>
    <w:rsid w:val="006A3AA3"/>
    <w:rsid w:val="006B2BAF"/>
    <w:rsid w:val="006C4A75"/>
    <w:rsid w:val="006D2274"/>
    <w:rsid w:val="006E1EBB"/>
    <w:rsid w:val="006E583C"/>
    <w:rsid w:val="006E6CDB"/>
    <w:rsid w:val="0070108F"/>
    <w:rsid w:val="007076EF"/>
    <w:rsid w:val="00710BEE"/>
    <w:rsid w:val="007138F7"/>
    <w:rsid w:val="00715B25"/>
    <w:rsid w:val="00725D00"/>
    <w:rsid w:val="00726483"/>
    <w:rsid w:val="00736D5E"/>
    <w:rsid w:val="0074097D"/>
    <w:rsid w:val="00766019"/>
    <w:rsid w:val="0077344C"/>
    <w:rsid w:val="00786800"/>
    <w:rsid w:val="007B6099"/>
    <w:rsid w:val="007C0236"/>
    <w:rsid w:val="007C0338"/>
    <w:rsid w:val="007C726D"/>
    <w:rsid w:val="007D15BE"/>
    <w:rsid w:val="007D5B02"/>
    <w:rsid w:val="007D6F02"/>
    <w:rsid w:val="007E153C"/>
    <w:rsid w:val="007F434E"/>
    <w:rsid w:val="00805C48"/>
    <w:rsid w:val="00822177"/>
    <w:rsid w:val="00827BBB"/>
    <w:rsid w:val="008305F7"/>
    <w:rsid w:val="008560F1"/>
    <w:rsid w:val="00862BA2"/>
    <w:rsid w:val="0087435B"/>
    <w:rsid w:val="008761CF"/>
    <w:rsid w:val="00882E1C"/>
    <w:rsid w:val="008854A8"/>
    <w:rsid w:val="00892914"/>
    <w:rsid w:val="008A0B39"/>
    <w:rsid w:val="008B2371"/>
    <w:rsid w:val="008B59BF"/>
    <w:rsid w:val="008D06EC"/>
    <w:rsid w:val="008D0A45"/>
    <w:rsid w:val="008D34D8"/>
    <w:rsid w:val="008D5485"/>
    <w:rsid w:val="008F6682"/>
    <w:rsid w:val="009052F8"/>
    <w:rsid w:val="0090797D"/>
    <w:rsid w:val="00925EBD"/>
    <w:rsid w:val="00941978"/>
    <w:rsid w:val="00942BC5"/>
    <w:rsid w:val="009440FB"/>
    <w:rsid w:val="009454EB"/>
    <w:rsid w:val="00947023"/>
    <w:rsid w:val="00962E2C"/>
    <w:rsid w:val="00974876"/>
    <w:rsid w:val="00974C6E"/>
    <w:rsid w:val="009766BA"/>
    <w:rsid w:val="0098452F"/>
    <w:rsid w:val="009948BA"/>
    <w:rsid w:val="009A37A8"/>
    <w:rsid w:val="009A4702"/>
    <w:rsid w:val="009B4947"/>
    <w:rsid w:val="009C5A75"/>
    <w:rsid w:val="009E6DD3"/>
    <w:rsid w:val="009F2CFA"/>
    <w:rsid w:val="009F2D2B"/>
    <w:rsid w:val="009F706F"/>
    <w:rsid w:val="00A05F60"/>
    <w:rsid w:val="00A10E82"/>
    <w:rsid w:val="00A207EF"/>
    <w:rsid w:val="00A25E53"/>
    <w:rsid w:val="00A268F5"/>
    <w:rsid w:val="00A41F80"/>
    <w:rsid w:val="00A541E9"/>
    <w:rsid w:val="00A65E2F"/>
    <w:rsid w:val="00A67100"/>
    <w:rsid w:val="00A743B4"/>
    <w:rsid w:val="00A77E98"/>
    <w:rsid w:val="00A85A00"/>
    <w:rsid w:val="00AA0F4B"/>
    <w:rsid w:val="00AA48A0"/>
    <w:rsid w:val="00AA53B7"/>
    <w:rsid w:val="00AC2B94"/>
    <w:rsid w:val="00AC4731"/>
    <w:rsid w:val="00AE1855"/>
    <w:rsid w:val="00AE59ED"/>
    <w:rsid w:val="00AE5E89"/>
    <w:rsid w:val="00AF5B5F"/>
    <w:rsid w:val="00B00475"/>
    <w:rsid w:val="00B06801"/>
    <w:rsid w:val="00B132CB"/>
    <w:rsid w:val="00B13FB3"/>
    <w:rsid w:val="00B262A7"/>
    <w:rsid w:val="00B56B54"/>
    <w:rsid w:val="00B90BBB"/>
    <w:rsid w:val="00B96A0D"/>
    <w:rsid w:val="00BA048C"/>
    <w:rsid w:val="00BA6A19"/>
    <w:rsid w:val="00BA7F7A"/>
    <w:rsid w:val="00BB6A10"/>
    <w:rsid w:val="00BD049E"/>
    <w:rsid w:val="00BD2FCA"/>
    <w:rsid w:val="00BD77E8"/>
    <w:rsid w:val="00BF1E25"/>
    <w:rsid w:val="00BF2D81"/>
    <w:rsid w:val="00C03DDC"/>
    <w:rsid w:val="00C119D1"/>
    <w:rsid w:val="00C134B6"/>
    <w:rsid w:val="00C261FC"/>
    <w:rsid w:val="00C3211C"/>
    <w:rsid w:val="00C334E5"/>
    <w:rsid w:val="00C37E71"/>
    <w:rsid w:val="00C40E1B"/>
    <w:rsid w:val="00C47DED"/>
    <w:rsid w:val="00C52AE4"/>
    <w:rsid w:val="00C72E98"/>
    <w:rsid w:val="00C7365F"/>
    <w:rsid w:val="00C743BA"/>
    <w:rsid w:val="00C74B8F"/>
    <w:rsid w:val="00C81EB3"/>
    <w:rsid w:val="00C827BF"/>
    <w:rsid w:val="00C918F9"/>
    <w:rsid w:val="00C94AF4"/>
    <w:rsid w:val="00C94EB2"/>
    <w:rsid w:val="00CA17A6"/>
    <w:rsid w:val="00CA2E42"/>
    <w:rsid w:val="00CB54A5"/>
    <w:rsid w:val="00CB61B3"/>
    <w:rsid w:val="00CC0CE2"/>
    <w:rsid w:val="00CC3F67"/>
    <w:rsid w:val="00CC5CB7"/>
    <w:rsid w:val="00CC7759"/>
    <w:rsid w:val="00CE55F2"/>
    <w:rsid w:val="00CF3265"/>
    <w:rsid w:val="00D02727"/>
    <w:rsid w:val="00D10C7A"/>
    <w:rsid w:val="00D1141C"/>
    <w:rsid w:val="00D22841"/>
    <w:rsid w:val="00D2378E"/>
    <w:rsid w:val="00D30E62"/>
    <w:rsid w:val="00D31018"/>
    <w:rsid w:val="00D515CE"/>
    <w:rsid w:val="00D5769B"/>
    <w:rsid w:val="00D57D9D"/>
    <w:rsid w:val="00D60F9D"/>
    <w:rsid w:val="00D62F29"/>
    <w:rsid w:val="00D632FB"/>
    <w:rsid w:val="00D63939"/>
    <w:rsid w:val="00D7262F"/>
    <w:rsid w:val="00D73009"/>
    <w:rsid w:val="00D76245"/>
    <w:rsid w:val="00D7738D"/>
    <w:rsid w:val="00D8260F"/>
    <w:rsid w:val="00D93C6A"/>
    <w:rsid w:val="00D96B6F"/>
    <w:rsid w:val="00D96E80"/>
    <w:rsid w:val="00D97DA2"/>
    <w:rsid w:val="00DA35FE"/>
    <w:rsid w:val="00DC0AE0"/>
    <w:rsid w:val="00DE3E7E"/>
    <w:rsid w:val="00DF0221"/>
    <w:rsid w:val="00E02EF5"/>
    <w:rsid w:val="00E04034"/>
    <w:rsid w:val="00E116FD"/>
    <w:rsid w:val="00E11C02"/>
    <w:rsid w:val="00E24E42"/>
    <w:rsid w:val="00E30AA0"/>
    <w:rsid w:val="00E324FC"/>
    <w:rsid w:val="00E3280A"/>
    <w:rsid w:val="00E40214"/>
    <w:rsid w:val="00E445CC"/>
    <w:rsid w:val="00E51B61"/>
    <w:rsid w:val="00E56549"/>
    <w:rsid w:val="00E5684B"/>
    <w:rsid w:val="00E72EF2"/>
    <w:rsid w:val="00E73BDA"/>
    <w:rsid w:val="00E87A73"/>
    <w:rsid w:val="00EB6BAB"/>
    <w:rsid w:val="00ED771B"/>
    <w:rsid w:val="00EE1F6B"/>
    <w:rsid w:val="00F14CE6"/>
    <w:rsid w:val="00F261D3"/>
    <w:rsid w:val="00F27267"/>
    <w:rsid w:val="00F30940"/>
    <w:rsid w:val="00F377C1"/>
    <w:rsid w:val="00F440C9"/>
    <w:rsid w:val="00F4609B"/>
    <w:rsid w:val="00F473C5"/>
    <w:rsid w:val="00F50002"/>
    <w:rsid w:val="00F66847"/>
    <w:rsid w:val="00F674E1"/>
    <w:rsid w:val="00FA1BD6"/>
    <w:rsid w:val="00FA60E1"/>
    <w:rsid w:val="00FB49D6"/>
    <w:rsid w:val="00FB5896"/>
    <w:rsid w:val="00FD2052"/>
    <w:rsid w:val="00FD24DE"/>
    <w:rsid w:val="00FD3A60"/>
    <w:rsid w:val="00FF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after="0"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27E"/>
    <w:pPr>
      <w:tabs>
        <w:tab w:val="center" w:pos="4680"/>
        <w:tab w:val="right" w:pos="9360"/>
      </w:tabs>
      <w:spacing w:line="240" w:lineRule="auto"/>
    </w:pPr>
  </w:style>
  <w:style w:type="character" w:customStyle="1" w:styleId="HeaderChar">
    <w:name w:val="Header Char"/>
    <w:basedOn w:val="DefaultParagraphFont"/>
    <w:link w:val="Header"/>
    <w:uiPriority w:val="99"/>
    <w:rsid w:val="0004327E"/>
  </w:style>
  <w:style w:type="paragraph" w:styleId="Footer">
    <w:name w:val="footer"/>
    <w:basedOn w:val="Normal"/>
    <w:link w:val="FooterChar"/>
    <w:uiPriority w:val="99"/>
    <w:unhideWhenUsed/>
    <w:rsid w:val="0004327E"/>
    <w:pPr>
      <w:tabs>
        <w:tab w:val="center" w:pos="4680"/>
        <w:tab w:val="right" w:pos="9360"/>
      </w:tabs>
      <w:spacing w:line="240" w:lineRule="auto"/>
    </w:pPr>
  </w:style>
  <w:style w:type="character" w:customStyle="1" w:styleId="FooterChar">
    <w:name w:val="Footer Char"/>
    <w:basedOn w:val="DefaultParagraphFont"/>
    <w:link w:val="Footer"/>
    <w:uiPriority w:val="99"/>
    <w:rsid w:val="0004327E"/>
  </w:style>
  <w:style w:type="character" w:styleId="PageNumber">
    <w:name w:val="page number"/>
    <w:basedOn w:val="DefaultParagraphFont"/>
    <w:uiPriority w:val="99"/>
    <w:semiHidden/>
    <w:unhideWhenUsed/>
    <w:rsid w:val="0004327E"/>
  </w:style>
  <w:style w:type="paragraph" w:styleId="FootnoteText">
    <w:name w:val="footnote text"/>
    <w:link w:val="FootnoteTextChar"/>
    <w:uiPriority w:val="99"/>
    <w:unhideWhenUsed/>
    <w:rsid w:val="0004327E"/>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04327E"/>
    <w:rPr>
      <w:rFonts w:cs="Times New Roman"/>
      <w:szCs w:val="20"/>
    </w:rPr>
  </w:style>
  <w:style w:type="paragraph" w:styleId="ListParagraph">
    <w:name w:val="List Paragraph"/>
    <w:basedOn w:val="Normal"/>
    <w:uiPriority w:val="34"/>
    <w:qFormat/>
    <w:rsid w:val="0004327E"/>
    <w:pPr>
      <w:ind w:left="720"/>
      <w:contextualSpacing/>
    </w:pPr>
  </w:style>
  <w:style w:type="paragraph" w:styleId="NoSpacing">
    <w:name w:val="No Spacing"/>
    <w:uiPriority w:val="1"/>
    <w:qFormat/>
    <w:rsid w:val="0004327E"/>
    <w:pPr>
      <w:tabs>
        <w:tab w:val="left" w:pos="720"/>
      </w:tabs>
      <w:spacing w:after="0" w:line="240" w:lineRule="auto"/>
    </w:pPr>
    <w:rPr>
      <w:rFonts w:cs="Times New Roman"/>
    </w:rPr>
  </w:style>
  <w:style w:type="character" w:styleId="FootnoteReference">
    <w:name w:val="footnote reference"/>
    <w:basedOn w:val="DefaultParagraphFont"/>
    <w:uiPriority w:val="99"/>
    <w:semiHidden/>
    <w:unhideWhenUsed/>
    <w:rsid w:val="00974C6E"/>
    <w:rPr>
      <w:vertAlign w:val="superscript"/>
    </w:rPr>
  </w:style>
  <w:style w:type="paragraph" w:styleId="BalloonText">
    <w:name w:val="Balloon Text"/>
    <w:basedOn w:val="Normal"/>
    <w:link w:val="BalloonTextChar"/>
    <w:uiPriority w:val="99"/>
    <w:semiHidden/>
    <w:unhideWhenUsed/>
    <w:rsid w:val="001B71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86"/>
    <w:rPr>
      <w:rFonts w:ascii="Segoe UI" w:hAnsi="Segoe UI" w:cs="Segoe UI"/>
      <w:sz w:val="18"/>
      <w:szCs w:val="18"/>
    </w:rPr>
  </w:style>
  <w:style w:type="character" w:styleId="Hyperlink">
    <w:name w:val="Hyperlink"/>
    <w:basedOn w:val="DefaultParagraphFont"/>
    <w:uiPriority w:val="99"/>
    <w:unhideWhenUsed/>
    <w:rsid w:val="00422A1B"/>
    <w:rPr>
      <w:color w:val="0563C1" w:themeColor="hyperlink"/>
      <w:u w:val="single"/>
    </w:rPr>
  </w:style>
  <w:style w:type="character" w:styleId="FollowedHyperlink">
    <w:name w:val="FollowedHyperlink"/>
    <w:basedOn w:val="DefaultParagraphFont"/>
    <w:uiPriority w:val="99"/>
    <w:semiHidden/>
    <w:unhideWhenUsed/>
    <w:rsid w:val="0012769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after="0"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27E"/>
    <w:pPr>
      <w:tabs>
        <w:tab w:val="center" w:pos="4680"/>
        <w:tab w:val="right" w:pos="9360"/>
      </w:tabs>
      <w:spacing w:line="240" w:lineRule="auto"/>
    </w:pPr>
  </w:style>
  <w:style w:type="character" w:customStyle="1" w:styleId="HeaderChar">
    <w:name w:val="Header Char"/>
    <w:basedOn w:val="DefaultParagraphFont"/>
    <w:link w:val="Header"/>
    <w:uiPriority w:val="99"/>
    <w:rsid w:val="0004327E"/>
  </w:style>
  <w:style w:type="paragraph" w:styleId="Footer">
    <w:name w:val="footer"/>
    <w:basedOn w:val="Normal"/>
    <w:link w:val="FooterChar"/>
    <w:uiPriority w:val="99"/>
    <w:unhideWhenUsed/>
    <w:rsid w:val="0004327E"/>
    <w:pPr>
      <w:tabs>
        <w:tab w:val="center" w:pos="4680"/>
        <w:tab w:val="right" w:pos="9360"/>
      </w:tabs>
      <w:spacing w:line="240" w:lineRule="auto"/>
    </w:pPr>
  </w:style>
  <w:style w:type="character" w:customStyle="1" w:styleId="FooterChar">
    <w:name w:val="Footer Char"/>
    <w:basedOn w:val="DefaultParagraphFont"/>
    <w:link w:val="Footer"/>
    <w:uiPriority w:val="99"/>
    <w:rsid w:val="0004327E"/>
  </w:style>
  <w:style w:type="character" w:styleId="PageNumber">
    <w:name w:val="page number"/>
    <w:basedOn w:val="DefaultParagraphFont"/>
    <w:uiPriority w:val="99"/>
    <w:semiHidden/>
    <w:unhideWhenUsed/>
    <w:rsid w:val="0004327E"/>
  </w:style>
  <w:style w:type="paragraph" w:styleId="FootnoteText">
    <w:name w:val="footnote text"/>
    <w:link w:val="FootnoteTextChar"/>
    <w:uiPriority w:val="99"/>
    <w:unhideWhenUsed/>
    <w:rsid w:val="0004327E"/>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04327E"/>
    <w:rPr>
      <w:rFonts w:cs="Times New Roman"/>
      <w:szCs w:val="20"/>
    </w:rPr>
  </w:style>
  <w:style w:type="paragraph" w:styleId="ListParagraph">
    <w:name w:val="List Paragraph"/>
    <w:basedOn w:val="Normal"/>
    <w:uiPriority w:val="34"/>
    <w:qFormat/>
    <w:rsid w:val="0004327E"/>
    <w:pPr>
      <w:ind w:left="720"/>
      <w:contextualSpacing/>
    </w:pPr>
  </w:style>
  <w:style w:type="paragraph" w:styleId="NoSpacing">
    <w:name w:val="No Spacing"/>
    <w:uiPriority w:val="1"/>
    <w:qFormat/>
    <w:rsid w:val="0004327E"/>
    <w:pPr>
      <w:tabs>
        <w:tab w:val="left" w:pos="720"/>
      </w:tabs>
      <w:spacing w:after="0" w:line="240" w:lineRule="auto"/>
    </w:pPr>
    <w:rPr>
      <w:rFonts w:cs="Times New Roman"/>
    </w:rPr>
  </w:style>
  <w:style w:type="character" w:styleId="FootnoteReference">
    <w:name w:val="footnote reference"/>
    <w:basedOn w:val="DefaultParagraphFont"/>
    <w:uiPriority w:val="99"/>
    <w:semiHidden/>
    <w:unhideWhenUsed/>
    <w:rsid w:val="00974C6E"/>
    <w:rPr>
      <w:vertAlign w:val="superscript"/>
    </w:rPr>
  </w:style>
  <w:style w:type="paragraph" w:styleId="BalloonText">
    <w:name w:val="Balloon Text"/>
    <w:basedOn w:val="Normal"/>
    <w:link w:val="BalloonTextChar"/>
    <w:uiPriority w:val="99"/>
    <w:semiHidden/>
    <w:unhideWhenUsed/>
    <w:rsid w:val="001B71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86"/>
    <w:rPr>
      <w:rFonts w:ascii="Segoe UI" w:hAnsi="Segoe UI" w:cs="Segoe UI"/>
      <w:sz w:val="18"/>
      <w:szCs w:val="18"/>
    </w:rPr>
  </w:style>
  <w:style w:type="character" w:styleId="Hyperlink">
    <w:name w:val="Hyperlink"/>
    <w:basedOn w:val="DefaultParagraphFont"/>
    <w:uiPriority w:val="99"/>
    <w:unhideWhenUsed/>
    <w:rsid w:val="00422A1B"/>
    <w:rPr>
      <w:color w:val="0563C1" w:themeColor="hyperlink"/>
      <w:u w:val="single"/>
    </w:rPr>
  </w:style>
  <w:style w:type="character" w:styleId="FollowedHyperlink">
    <w:name w:val="FollowedHyperlink"/>
    <w:basedOn w:val="DefaultParagraphFont"/>
    <w:uiPriority w:val="99"/>
    <w:semiHidden/>
    <w:unhideWhenUsed/>
    <w:rsid w:val="001276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7114</Words>
  <Characters>38297</Characters>
  <Application>Microsoft Office Word</Application>
  <DocSecurity>0</DocSecurity>
  <Lines>628</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2017-04-27T19:59:00Z</cp:lastPrinted>
  <dcterms:created xsi:type="dcterms:W3CDTF">2017-04-27T20:08:00Z</dcterms:created>
  <dcterms:modified xsi:type="dcterms:W3CDTF">2017-04-27T20:08:00Z</dcterms:modified>
  <cp:category/>
</cp:coreProperties>
</file>