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0424F" w14:textId="5D13A69B" w:rsidR="00DF0B60" w:rsidRPr="007B6B8C" w:rsidRDefault="00DF0B60" w:rsidP="00DF0B60">
      <w:pPr>
        <w:spacing w:line="360" w:lineRule="auto"/>
        <w:rPr>
          <w:sz w:val="20"/>
        </w:rPr>
      </w:pPr>
      <w:r w:rsidRPr="007B6B8C">
        <w:rPr>
          <w:sz w:val="20"/>
        </w:rPr>
        <w:t xml:space="preserve">Filed </w:t>
      </w:r>
      <w:r w:rsidR="00D74247" w:rsidRPr="007B6B8C">
        <w:rPr>
          <w:sz w:val="20"/>
        </w:rPr>
        <w:t>3/21/17</w:t>
      </w:r>
    </w:p>
    <w:p w14:paraId="5DC1D458" w14:textId="77777777" w:rsidR="00DF0B60" w:rsidRPr="00F63FFD" w:rsidRDefault="00DF0B60" w:rsidP="00DF0B60">
      <w:pPr>
        <w:spacing w:line="360" w:lineRule="auto"/>
        <w:jc w:val="center"/>
        <w:rPr>
          <w:b/>
        </w:rPr>
      </w:pPr>
      <w:r w:rsidRPr="00F63FFD">
        <w:rPr>
          <w:b/>
        </w:rPr>
        <w:t>CERTIFIED FOR PUBLICATION</w:t>
      </w:r>
    </w:p>
    <w:p w14:paraId="7F8E1A27" w14:textId="77777777" w:rsidR="00DF0B60" w:rsidRPr="00F63FFD" w:rsidRDefault="00DF0B60" w:rsidP="00DF0B60">
      <w:pPr>
        <w:spacing w:line="360" w:lineRule="auto"/>
        <w:jc w:val="center"/>
      </w:pPr>
    </w:p>
    <w:p w14:paraId="75612E0B" w14:textId="7EF45C83" w:rsidR="00494D91" w:rsidRPr="00F63FFD" w:rsidRDefault="00C810CF" w:rsidP="00DF0B60">
      <w:pPr>
        <w:spacing w:line="360" w:lineRule="auto"/>
        <w:jc w:val="center"/>
      </w:pPr>
      <w:r w:rsidRPr="00F63FFD">
        <w:t>IN THE COURT OF APPEAL OF THE STATE OF CALIFORNIA</w:t>
      </w:r>
    </w:p>
    <w:p w14:paraId="54317A96" w14:textId="77777777" w:rsidR="00494D91" w:rsidRPr="00F63FFD" w:rsidRDefault="00C810CF" w:rsidP="008B4C10">
      <w:pPr>
        <w:spacing w:line="360" w:lineRule="auto"/>
        <w:jc w:val="center"/>
      </w:pPr>
      <w:r w:rsidRPr="00F63FFD">
        <w:t>FIRST APPELLATE DISTRICT</w:t>
      </w:r>
    </w:p>
    <w:p w14:paraId="5F6B645D" w14:textId="77777777" w:rsidR="00494D91" w:rsidRPr="00F63FFD" w:rsidRDefault="00C810CF" w:rsidP="008B4C10">
      <w:pPr>
        <w:spacing w:line="240" w:lineRule="auto"/>
        <w:jc w:val="center"/>
      </w:pPr>
      <w:r w:rsidRPr="00F63FFD">
        <w:t>DIVISION FIVE</w:t>
      </w:r>
    </w:p>
    <w:p w14:paraId="35F6402B" w14:textId="77777777" w:rsidR="00494D91" w:rsidRPr="00F63FFD" w:rsidRDefault="00494D91">
      <w:pPr>
        <w:spacing w:line="240" w:lineRule="auto"/>
        <w:jc w:val="center"/>
      </w:pPr>
    </w:p>
    <w:p w14:paraId="4308792E" w14:textId="77777777" w:rsidR="00494D91" w:rsidRPr="00F63FFD" w:rsidRDefault="00494D91">
      <w:pPr>
        <w:spacing w:line="240" w:lineRule="auto"/>
        <w:jc w:val="center"/>
      </w:pPr>
    </w:p>
    <w:tbl>
      <w:tblPr>
        <w:tblW w:w="9576" w:type="dxa"/>
        <w:tblInd w:w="-108" w:type="dxa"/>
        <w:tblLayout w:type="fixed"/>
        <w:tblLook w:val="0000" w:firstRow="0" w:lastRow="0" w:firstColumn="0" w:lastColumn="0" w:noHBand="0" w:noVBand="0"/>
      </w:tblPr>
      <w:tblGrid>
        <w:gridCol w:w="4788"/>
        <w:gridCol w:w="4788"/>
      </w:tblGrid>
      <w:tr w:rsidR="008B4C10" w:rsidRPr="00F63FFD" w14:paraId="27E42423" w14:textId="77777777" w:rsidTr="008B4C10">
        <w:tc>
          <w:tcPr>
            <w:tcW w:w="4788" w:type="dxa"/>
            <w:tcBorders>
              <w:bottom w:val="single" w:sz="4" w:space="0" w:color="auto"/>
              <w:right w:val="single" w:sz="4" w:space="0" w:color="auto"/>
            </w:tcBorders>
            <w:shd w:val="clear" w:color="auto" w:fill="auto"/>
          </w:tcPr>
          <w:p w14:paraId="7A67DAE1" w14:textId="5A4B6977" w:rsidR="008B4C10" w:rsidRPr="00F63FFD" w:rsidRDefault="008B4C10" w:rsidP="008B4C10">
            <w:pPr>
              <w:spacing w:after="120" w:line="240" w:lineRule="auto"/>
              <w:rPr>
                <w:rFonts w:eastAsia="Calibri"/>
                <w:b/>
              </w:rPr>
            </w:pPr>
            <w:r w:rsidRPr="00F63FFD">
              <w:rPr>
                <w:b/>
              </w:rPr>
              <w:t>MARTIN J. COYNE et al.</w:t>
            </w:r>
            <w:r w:rsidRPr="00F63FFD">
              <w:rPr>
                <w:rFonts w:cstheme="minorBidi"/>
                <w:b/>
              </w:rPr>
              <w:t>,</w:t>
            </w:r>
          </w:p>
          <w:p w14:paraId="7D44E1D8" w14:textId="4D41F433" w:rsidR="008B4C10" w:rsidRPr="00F63FFD" w:rsidRDefault="008B4C10" w:rsidP="008B4C10">
            <w:pPr>
              <w:spacing w:after="120" w:line="240" w:lineRule="auto"/>
              <w:rPr>
                <w:rFonts w:eastAsia="Calibri"/>
                <w:b/>
              </w:rPr>
            </w:pPr>
            <w:r w:rsidRPr="00F63FFD">
              <w:rPr>
                <w:rFonts w:eastAsia="Calibri"/>
                <w:b/>
              </w:rPr>
              <w:tab/>
            </w:r>
            <w:r w:rsidRPr="00F63FFD">
              <w:rPr>
                <w:b/>
              </w:rPr>
              <w:t>Plaintiffs and Respondents</w:t>
            </w:r>
            <w:r w:rsidRPr="00F63FFD">
              <w:rPr>
                <w:rFonts w:eastAsia="Calibri"/>
                <w:b/>
              </w:rPr>
              <w:t>,</w:t>
            </w:r>
          </w:p>
          <w:p w14:paraId="56992244" w14:textId="77777777" w:rsidR="008B4C10" w:rsidRPr="00F63FFD" w:rsidRDefault="008B4C10" w:rsidP="008B4C10">
            <w:pPr>
              <w:spacing w:after="120" w:line="240" w:lineRule="auto"/>
              <w:rPr>
                <w:rFonts w:eastAsia="Calibri"/>
                <w:b/>
              </w:rPr>
            </w:pPr>
            <w:r w:rsidRPr="00F63FFD">
              <w:rPr>
                <w:rFonts w:eastAsia="Calibri"/>
                <w:b/>
              </w:rPr>
              <w:t>v.</w:t>
            </w:r>
          </w:p>
          <w:p w14:paraId="4BC45BDA" w14:textId="2B035741" w:rsidR="008B4C10" w:rsidRPr="00F63FFD" w:rsidRDefault="008B4C10" w:rsidP="008B4C10">
            <w:pPr>
              <w:spacing w:after="120" w:line="240" w:lineRule="auto"/>
              <w:rPr>
                <w:rFonts w:eastAsia="Calibri"/>
                <w:b/>
              </w:rPr>
            </w:pPr>
            <w:r w:rsidRPr="00F63FFD">
              <w:rPr>
                <w:b/>
              </w:rPr>
              <w:t>CITY AND COUNTY OF SAN FRANCISCO</w:t>
            </w:r>
            <w:r w:rsidRPr="00F63FFD">
              <w:rPr>
                <w:rFonts w:eastAsia="Calibri"/>
                <w:b/>
              </w:rPr>
              <w:t>,</w:t>
            </w:r>
          </w:p>
          <w:p w14:paraId="4704892B" w14:textId="75B7D80B" w:rsidR="008B4C10" w:rsidRPr="00F63FFD" w:rsidRDefault="008B4C10" w:rsidP="008B4C10">
            <w:pPr>
              <w:spacing w:after="120" w:line="240" w:lineRule="auto"/>
              <w:rPr>
                <w:rFonts w:eastAsia="Calibri"/>
                <w:b/>
              </w:rPr>
            </w:pPr>
            <w:r w:rsidRPr="00F63FFD">
              <w:rPr>
                <w:rFonts w:eastAsia="Calibri"/>
                <w:b/>
              </w:rPr>
              <w:tab/>
              <w:t>Defendant and Appellant.</w:t>
            </w:r>
          </w:p>
          <w:p w14:paraId="140F21B2" w14:textId="77777777" w:rsidR="008B4C10" w:rsidRPr="00F63FFD" w:rsidRDefault="008B4C10" w:rsidP="008B4C10">
            <w:pPr>
              <w:spacing w:after="120" w:line="240" w:lineRule="auto"/>
              <w:rPr>
                <w:rFonts w:eastAsia="Calibri"/>
                <w:b/>
              </w:rPr>
            </w:pPr>
          </w:p>
        </w:tc>
        <w:tc>
          <w:tcPr>
            <w:tcW w:w="4788" w:type="dxa"/>
            <w:tcBorders>
              <w:left w:val="single" w:sz="4" w:space="0" w:color="auto"/>
            </w:tcBorders>
            <w:shd w:val="clear" w:color="auto" w:fill="auto"/>
          </w:tcPr>
          <w:p w14:paraId="238C72CC" w14:textId="77777777" w:rsidR="008B4C10" w:rsidRPr="00F63FFD" w:rsidRDefault="008B4C10" w:rsidP="008B4C10">
            <w:pPr>
              <w:spacing w:line="240" w:lineRule="auto"/>
              <w:rPr>
                <w:rFonts w:eastAsia="Calibri"/>
                <w:b/>
              </w:rPr>
            </w:pPr>
          </w:p>
          <w:p w14:paraId="5E1CBA60" w14:textId="77777777" w:rsidR="008B4C10" w:rsidRPr="00F63FFD" w:rsidRDefault="008B4C10" w:rsidP="008B4C10">
            <w:pPr>
              <w:spacing w:line="240" w:lineRule="auto"/>
              <w:rPr>
                <w:rFonts w:eastAsia="Calibri"/>
                <w:b/>
              </w:rPr>
            </w:pPr>
          </w:p>
          <w:p w14:paraId="3FDD0F77" w14:textId="77777777" w:rsidR="008B4C10" w:rsidRPr="00F63FFD" w:rsidRDefault="008B4C10" w:rsidP="008B4C10">
            <w:pPr>
              <w:spacing w:line="240" w:lineRule="auto"/>
              <w:rPr>
                <w:b/>
              </w:rPr>
            </w:pPr>
            <w:r w:rsidRPr="00F63FFD">
              <w:rPr>
                <w:rFonts w:eastAsia="Calibri"/>
                <w:b/>
              </w:rPr>
              <w:t xml:space="preserve">      </w:t>
            </w:r>
            <w:r w:rsidRPr="00F63FFD">
              <w:rPr>
                <w:b/>
              </w:rPr>
              <w:t>A145044,</w:t>
            </w:r>
          </w:p>
          <w:p w14:paraId="0F26CC8B" w14:textId="1EA72F56" w:rsidR="008B4C10" w:rsidRPr="00F63FFD" w:rsidRDefault="008B4C10" w:rsidP="008B4C10">
            <w:pPr>
              <w:spacing w:line="240" w:lineRule="auto"/>
              <w:rPr>
                <w:rFonts w:eastAsia="Calibri"/>
                <w:b/>
              </w:rPr>
            </w:pPr>
            <w:r w:rsidRPr="00F63FFD">
              <w:rPr>
                <w:b/>
              </w:rPr>
              <w:t xml:space="preserve">      A146569</w:t>
            </w:r>
          </w:p>
          <w:p w14:paraId="5E81B7E7" w14:textId="77777777" w:rsidR="008B4C10" w:rsidRPr="00F63FFD" w:rsidRDefault="008B4C10" w:rsidP="008B4C10">
            <w:pPr>
              <w:spacing w:line="240" w:lineRule="auto"/>
              <w:rPr>
                <w:rFonts w:eastAsia="Calibri"/>
                <w:b/>
              </w:rPr>
            </w:pPr>
          </w:p>
          <w:p w14:paraId="3178F6BB" w14:textId="0A964D16" w:rsidR="008B4C10" w:rsidRPr="00F63FFD" w:rsidRDefault="008B4C10" w:rsidP="008B4C10">
            <w:pPr>
              <w:spacing w:line="240" w:lineRule="auto"/>
              <w:rPr>
                <w:rFonts w:eastAsia="Calibri"/>
                <w:b/>
              </w:rPr>
            </w:pPr>
            <w:r w:rsidRPr="00F63FFD">
              <w:rPr>
                <w:rFonts w:eastAsia="Calibri"/>
                <w:b/>
              </w:rPr>
              <w:t xml:space="preserve">      (San Francisco County</w:t>
            </w:r>
          </w:p>
          <w:p w14:paraId="089E274C" w14:textId="7EEF81B4" w:rsidR="008B4C10" w:rsidRPr="00F63FFD" w:rsidRDefault="008B4C10" w:rsidP="00DF0B60">
            <w:pPr>
              <w:spacing w:line="240" w:lineRule="auto"/>
              <w:ind w:left="428" w:hanging="428"/>
              <w:rPr>
                <w:rFonts w:eastAsia="Calibri"/>
                <w:b/>
              </w:rPr>
            </w:pPr>
            <w:r w:rsidRPr="00F63FFD">
              <w:rPr>
                <w:rFonts w:eastAsia="Calibri"/>
                <w:b/>
              </w:rPr>
              <w:t xml:space="preserve">      Super. Ct. Nos. </w:t>
            </w:r>
            <w:r w:rsidRPr="00F63FFD">
              <w:rPr>
                <w:b/>
              </w:rPr>
              <w:t>CGC-14-540709, CPF-15-514382</w:t>
            </w:r>
            <w:r w:rsidRPr="00F63FFD">
              <w:rPr>
                <w:rFonts w:eastAsia="Calibri"/>
                <w:b/>
              </w:rPr>
              <w:t>)</w:t>
            </w:r>
          </w:p>
          <w:p w14:paraId="36564D66" w14:textId="77777777" w:rsidR="008B4C10" w:rsidRPr="00F63FFD" w:rsidRDefault="008B4C10" w:rsidP="008B4C10">
            <w:pPr>
              <w:spacing w:line="240" w:lineRule="auto"/>
              <w:rPr>
                <w:rFonts w:eastAsia="Calibri"/>
                <w:b/>
              </w:rPr>
            </w:pPr>
          </w:p>
        </w:tc>
      </w:tr>
    </w:tbl>
    <w:p w14:paraId="0E59D5E3" w14:textId="77777777" w:rsidR="00494D91" w:rsidRPr="00F63FFD" w:rsidRDefault="00494D91">
      <w:pPr>
        <w:spacing w:line="360" w:lineRule="auto"/>
      </w:pPr>
    </w:p>
    <w:p w14:paraId="276F0B62" w14:textId="77A27CE4" w:rsidR="00494D91" w:rsidRPr="00F63FFD" w:rsidRDefault="00C810CF">
      <w:pPr>
        <w:spacing w:line="360" w:lineRule="auto"/>
      </w:pPr>
      <w:r w:rsidRPr="00F63FFD">
        <w:tab/>
        <w:t xml:space="preserve">In this consolidated appeal, </w:t>
      </w:r>
      <w:r w:rsidR="00005D82" w:rsidRPr="00F63FFD">
        <w:t>we consider</w:t>
      </w:r>
      <w:r w:rsidR="004B0951" w:rsidRPr="00F63FFD">
        <w:t xml:space="preserve"> </w:t>
      </w:r>
      <w:r w:rsidR="00BB6824" w:rsidRPr="00F63FFD">
        <w:t>limits</w:t>
      </w:r>
      <w:r w:rsidR="00FB5F54" w:rsidRPr="00F63FFD">
        <w:t xml:space="preserve"> on mitigation measures a municipality may imp</w:t>
      </w:r>
      <w:bookmarkStart w:id="0" w:name="_GoBack"/>
      <w:bookmarkEnd w:id="0"/>
      <w:r w:rsidR="00FB5F54" w:rsidRPr="00F63FFD">
        <w:t xml:space="preserve">ose on landlords </w:t>
      </w:r>
      <w:r w:rsidR="00005D82" w:rsidRPr="00F63FFD">
        <w:t>under the Ellis Act</w:t>
      </w:r>
      <w:r w:rsidR="00B82EE6" w:rsidRPr="00F63FFD">
        <w:t>,</w:t>
      </w:r>
      <w:r w:rsidR="00005D82" w:rsidRPr="00F63FFD">
        <w:t xml:space="preserve"> when a landlord seeks to remove </w:t>
      </w:r>
      <w:r w:rsidR="0098523B" w:rsidRPr="00F63FFD">
        <w:t>residential</w:t>
      </w:r>
      <w:r w:rsidR="000377E7" w:rsidRPr="00F63FFD">
        <w:t xml:space="preserve"> </w:t>
      </w:r>
      <w:r w:rsidR="00005D82" w:rsidRPr="00F63FFD">
        <w:t>property from the rental market.  T</w:t>
      </w:r>
      <w:r w:rsidRPr="00F63FFD">
        <w:t>he City and County of San Francisco (the City) appeals two superior court judgments invalidating City-enacted ordinances increasing the relocation assistance payments property owners owe their tenants</w:t>
      </w:r>
      <w:r w:rsidR="00FB5F54" w:rsidRPr="00F63FFD">
        <w:t xml:space="preserve"> under the Ellis Act</w:t>
      </w:r>
      <w:r w:rsidR="00005D82" w:rsidRPr="00F63FFD">
        <w:t>.</w:t>
      </w:r>
      <w:r w:rsidR="00FB5F54" w:rsidRPr="00F63FFD">
        <w:t xml:space="preserve"> </w:t>
      </w:r>
      <w:r w:rsidRPr="00F63FFD">
        <w:t xml:space="preserve">(Gov. Code, § 7060 et seq.)  The superior court found both ordinances </w:t>
      </w:r>
      <w:r w:rsidR="00BC3778" w:rsidRPr="00F63FFD">
        <w:t xml:space="preserve">facially </w:t>
      </w:r>
      <w:r w:rsidRPr="00F63FFD">
        <w:t>pr</w:t>
      </w:r>
      <w:r w:rsidR="00E43429" w:rsidRPr="00F63FFD">
        <w:t>eempted by the Act.  We affirm.</w:t>
      </w:r>
    </w:p>
    <w:p w14:paraId="6A146A21" w14:textId="77777777" w:rsidR="00494D91" w:rsidRPr="00F63FFD" w:rsidRDefault="00C810CF">
      <w:pPr>
        <w:spacing w:line="360" w:lineRule="auto"/>
        <w:jc w:val="center"/>
      </w:pPr>
      <w:r w:rsidRPr="00F63FFD">
        <w:t>FACTUAL AND PROCEDURAL BACKGROUND</w:t>
      </w:r>
    </w:p>
    <w:p w14:paraId="2C386D09" w14:textId="77777777" w:rsidR="00494D91" w:rsidRPr="00F63FFD" w:rsidRDefault="00C810CF">
      <w:pPr>
        <w:spacing w:line="360" w:lineRule="auto"/>
        <w:jc w:val="center"/>
        <w:rPr>
          <w:i/>
        </w:rPr>
      </w:pPr>
      <w:r w:rsidRPr="00F63FFD">
        <w:rPr>
          <w:i/>
        </w:rPr>
        <w:t>The Ellis Act</w:t>
      </w:r>
    </w:p>
    <w:p w14:paraId="0BBBC9CA" w14:textId="2AAE347B" w:rsidR="008974E9" w:rsidRPr="00F63FFD" w:rsidRDefault="00C810CF">
      <w:pPr>
        <w:spacing w:line="360" w:lineRule="auto"/>
      </w:pPr>
      <w:r w:rsidRPr="00F63FFD">
        <w:tab/>
      </w:r>
      <w:r w:rsidR="008974E9" w:rsidRPr="00F63FFD">
        <w:t>T</w:t>
      </w:r>
      <w:r w:rsidR="008974E9" w:rsidRPr="00F63FFD" w:rsidDel="00460FB9">
        <w:t xml:space="preserve">he Ellis Act prohibits a city or county from “compel[ling] the owner of any residential real property to offer, or to continue to offer, accommodations in the property for rent or lease . . . .”  </w:t>
      </w:r>
      <w:r w:rsidR="008974E9" w:rsidRPr="00F63FFD">
        <w:t>(Gov. Code, § 7060, subd. (a).)</w:t>
      </w:r>
    </w:p>
    <w:p w14:paraId="3E3903DA" w14:textId="65346B6C" w:rsidR="00731487" w:rsidRPr="00F63FFD" w:rsidRDefault="008974E9">
      <w:pPr>
        <w:spacing w:line="360" w:lineRule="auto"/>
      </w:pPr>
      <w:r w:rsidRPr="00F63FFD">
        <w:tab/>
      </w:r>
      <w:r w:rsidR="00460FB9" w:rsidRPr="00F63FFD">
        <w:t>E</w:t>
      </w:r>
      <w:r w:rsidR="00C810CF" w:rsidRPr="00F63FFD">
        <w:t>nacted in 1985,</w:t>
      </w:r>
      <w:r w:rsidRPr="00F63FFD">
        <w:t xml:space="preserve"> t</w:t>
      </w:r>
      <w:r w:rsidR="00460FB9" w:rsidRPr="00F63FFD">
        <w:t>he statute was a</w:t>
      </w:r>
      <w:r w:rsidR="00C810CF" w:rsidRPr="00F63FFD">
        <w:t xml:space="preserve"> </w:t>
      </w:r>
      <w:r w:rsidR="00460FB9" w:rsidRPr="00F63FFD">
        <w:t xml:space="preserve">legislative </w:t>
      </w:r>
      <w:r w:rsidR="00C810CF" w:rsidRPr="00F63FFD">
        <w:t xml:space="preserve">response to the California Supreme Court decision in </w:t>
      </w:r>
      <w:r w:rsidR="00C810CF" w:rsidRPr="00F63FFD">
        <w:rPr>
          <w:i/>
        </w:rPr>
        <w:t xml:space="preserve">Nash v. City of Santa Monica </w:t>
      </w:r>
      <w:r w:rsidR="00C810CF" w:rsidRPr="00F63FFD">
        <w:t>(1984) 37 Cal.3d 97 (</w:t>
      </w:r>
      <w:r w:rsidR="00C810CF" w:rsidRPr="00F63FFD">
        <w:rPr>
          <w:i/>
        </w:rPr>
        <w:t>Nash</w:t>
      </w:r>
      <w:r w:rsidR="00C810CF" w:rsidRPr="00F63FFD">
        <w:t xml:space="preserve">).  In </w:t>
      </w:r>
      <w:r w:rsidR="00C810CF" w:rsidRPr="00F63FFD">
        <w:rPr>
          <w:i/>
        </w:rPr>
        <w:t>Nash</w:t>
      </w:r>
      <w:r w:rsidR="00C810CF" w:rsidRPr="00F63FFD">
        <w:t xml:space="preserve">, a landlord “disenchanted . . . with operating rental housing” wanted to evict his tenants </w:t>
      </w:r>
      <w:r w:rsidR="00C810CF" w:rsidRPr="00F63FFD">
        <w:lastRenderedPageBreak/>
        <w:t xml:space="preserve">from the </w:t>
      </w:r>
      <w:r w:rsidR="005C097F" w:rsidRPr="00F63FFD">
        <w:t xml:space="preserve">rent-controlled </w:t>
      </w:r>
      <w:r w:rsidR="00C810CF" w:rsidRPr="00F63FFD">
        <w:t>apartment building he owned in order to demolish the building and keep the land as an investment.  (</w:t>
      </w:r>
      <w:r w:rsidR="00C810CF" w:rsidRPr="00F63FFD">
        <w:rPr>
          <w:i/>
        </w:rPr>
        <w:t xml:space="preserve">Id. </w:t>
      </w:r>
      <w:r w:rsidR="00C810CF" w:rsidRPr="00F63FFD">
        <w:t xml:space="preserve">at </w:t>
      </w:r>
      <w:r w:rsidR="006667EE" w:rsidRPr="00F63FFD">
        <w:t>p. </w:t>
      </w:r>
      <w:r w:rsidR="00C810CF" w:rsidRPr="00F63FFD">
        <w:t xml:space="preserve">101.)  However, a </w:t>
      </w:r>
      <w:r w:rsidR="00C85AC8" w:rsidRPr="00F63FFD">
        <w:t>city</w:t>
      </w:r>
      <w:r w:rsidR="00C810CF" w:rsidRPr="00F63FFD">
        <w:t xml:space="preserve"> ordinance prohibited the landlord from evicting his tenants and removing his rental units from the housing market without the proper city-issued removal permit.  (</w:t>
      </w:r>
      <w:r w:rsidR="00C810CF" w:rsidRPr="00F63FFD">
        <w:rPr>
          <w:i/>
        </w:rPr>
        <w:t>Id.</w:t>
      </w:r>
      <w:r w:rsidR="00C810CF" w:rsidRPr="00F63FFD">
        <w:t xml:space="preserve"> at p. 99.)  To secure the permit, the landlord had to show he could no longer earn a reasonable return on his investment.  (</w:t>
      </w:r>
      <w:r w:rsidR="00C810CF" w:rsidRPr="00F63FFD">
        <w:rPr>
          <w:i/>
        </w:rPr>
        <w:t>Id.</w:t>
      </w:r>
      <w:r w:rsidR="00C810CF" w:rsidRPr="00F63FFD">
        <w:t xml:space="preserve"> at p. 101.)  </w:t>
      </w:r>
      <w:r w:rsidR="007243C6" w:rsidRPr="00F63FFD">
        <w:t>Knowing he</w:t>
      </w:r>
      <w:r w:rsidR="00C810CF" w:rsidRPr="00F63FFD">
        <w:t xml:space="preserve"> could not make the required showing for the permit, </w:t>
      </w:r>
      <w:r w:rsidR="007243C6" w:rsidRPr="00F63FFD">
        <w:t>t</w:t>
      </w:r>
      <w:r w:rsidR="00C810CF" w:rsidRPr="00F63FFD">
        <w:t>he</w:t>
      </w:r>
      <w:r w:rsidR="007243C6" w:rsidRPr="00F63FFD">
        <w:t xml:space="preserve"> landlord</w:t>
      </w:r>
      <w:r w:rsidR="00C810CF" w:rsidRPr="00F63FFD">
        <w:t xml:space="preserve"> petitioned for a writ of mandate.  (</w:t>
      </w:r>
      <w:r w:rsidR="00C810CF" w:rsidRPr="00F63FFD">
        <w:rPr>
          <w:i/>
        </w:rPr>
        <w:t>I</w:t>
      </w:r>
      <w:r w:rsidR="00D74247">
        <w:rPr>
          <w:i/>
        </w:rPr>
        <w:t>bi</w:t>
      </w:r>
      <w:r w:rsidR="00C810CF" w:rsidRPr="00F63FFD">
        <w:rPr>
          <w:i/>
        </w:rPr>
        <w:t>d.</w:t>
      </w:r>
      <w:r w:rsidR="00C810CF" w:rsidRPr="00F63FFD">
        <w:t xml:space="preserve">)  The California Supreme Court </w:t>
      </w:r>
      <w:r w:rsidR="007243C6" w:rsidRPr="00F63FFD">
        <w:t xml:space="preserve">denied the writ, concluding </w:t>
      </w:r>
      <w:r w:rsidR="00C810CF" w:rsidRPr="00F63FFD">
        <w:t>the ordinance was reasonably related to the city’s legitimate goal of maintaining adequate rental housing. (</w:t>
      </w:r>
      <w:r w:rsidR="00C810CF" w:rsidRPr="00F63FFD">
        <w:rPr>
          <w:i/>
        </w:rPr>
        <w:t>Id.</w:t>
      </w:r>
      <w:r w:rsidR="00C810CF" w:rsidRPr="00F63FFD">
        <w:t xml:space="preserve"> at p. 109.)</w:t>
      </w:r>
    </w:p>
    <w:p w14:paraId="2C55A840" w14:textId="5D5ECE38" w:rsidR="00494D91" w:rsidRPr="00F63FFD" w:rsidRDefault="00731487">
      <w:pPr>
        <w:spacing w:line="360" w:lineRule="auto"/>
      </w:pPr>
      <w:r w:rsidRPr="00F63FFD">
        <w:tab/>
      </w:r>
      <w:r w:rsidR="00460FB9" w:rsidRPr="00F63FFD">
        <w:t>T</w:t>
      </w:r>
      <w:r w:rsidR="00C810CF" w:rsidRPr="00F63FFD">
        <w:t xml:space="preserve">he Ellis Act’s expressed purpose </w:t>
      </w:r>
      <w:r w:rsidR="00460FB9" w:rsidRPr="00F63FFD">
        <w:t>wa</w:t>
      </w:r>
      <w:r w:rsidR="00C810CF" w:rsidRPr="00F63FFD">
        <w:t xml:space="preserve">s to supersede </w:t>
      </w:r>
      <w:r w:rsidR="00C810CF" w:rsidRPr="00F63FFD">
        <w:rPr>
          <w:i/>
        </w:rPr>
        <w:t>Nash</w:t>
      </w:r>
      <w:r w:rsidR="00C810CF" w:rsidRPr="00F63FFD">
        <w:t xml:space="preserve">, to the extent </w:t>
      </w:r>
      <w:r w:rsidR="00C810CF" w:rsidRPr="00F63FFD">
        <w:rPr>
          <w:i/>
        </w:rPr>
        <w:t xml:space="preserve">Nash </w:t>
      </w:r>
      <w:r w:rsidR="00C810CF" w:rsidRPr="00F63FFD">
        <w:t>conflicts with the Act, in order to permit a residential landlord “to go out of business.”  (Gov. Code, §</w:t>
      </w:r>
      <w:r w:rsidR="002A74A6" w:rsidRPr="00F63FFD">
        <w:t>§ </w:t>
      </w:r>
      <w:r w:rsidR="00C810CF" w:rsidRPr="00F63FFD">
        <w:t>7060.7</w:t>
      </w:r>
      <w:r w:rsidR="002A74A6" w:rsidRPr="00F63FFD">
        <w:t>,</w:t>
      </w:r>
      <w:r w:rsidR="006667EE" w:rsidRPr="00F63FFD">
        <w:t> 7060, subd. </w:t>
      </w:r>
      <w:r w:rsidR="00C810CF" w:rsidRPr="00F63FFD">
        <w:t xml:space="preserve">(a).)  </w:t>
      </w:r>
      <w:r w:rsidRPr="00F63FFD">
        <w:t>However, w</w:t>
      </w:r>
      <w:r w:rsidR="00460FB9" w:rsidRPr="00F63FFD">
        <w:t xml:space="preserve">hile </w:t>
      </w:r>
      <w:r w:rsidR="007243C6" w:rsidRPr="00F63FFD">
        <w:t xml:space="preserve">establishing </w:t>
      </w:r>
      <w:r w:rsidR="00460FB9" w:rsidRPr="00F63FFD">
        <w:t>a</w:t>
      </w:r>
      <w:r w:rsidR="007243C6" w:rsidRPr="00F63FFD">
        <w:t>n owner</w:t>
      </w:r>
      <w:r w:rsidR="00460FB9" w:rsidRPr="00F63FFD">
        <w:t xml:space="preserve">’s </w:t>
      </w:r>
      <w:r w:rsidR="007243C6" w:rsidRPr="00F63FFD">
        <w:t>right</w:t>
      </w:r>
      <w:r w:rsidR="00460FB9" w:rsidRPr="00F63FFD">
        <w:t xml:space="preserve"> to exit the residential rental business, the Act did nothing to </w:t>
      </w:r>
      <w:r w:rsidR="00C810CF" w:rsidRPr="00F63FFD">
        <w:t>“[d]iminish</w:t>
      </w:r>
      <w:r w:rsidR="00460FB9" w:rsidRPr="00F63FFD">
        <w:t>[]</w:t>
      </w:r>
      <w:r w:rsidR="00C810CF" w:rsidRPr="00F63FFD">
        <w:t xml:space="preserve"> or enhance</w:t>
      </w:r>
      <w:r w:rsidR="00460FB9" w:rsidRPr="00F63FFD">
        <w:t>[]</w:t>
      </w:r>
      <w:r w:rsidR="00C810CF" w:rsidRPr="00F63FFD">
        <w:t xml:space="preserve"> any power in any public entity to mitigate</w:t>
      </w:r>
      <w:r w:rsidR="00451CF3" w:rsidRPr="00F63FFD">
        <w:t xml:space="preserve"> any adverse impact</w:t>
      </w:r>
      <w:r w:rsidR="00C810CF" w:rsidRPr="00F63FFD">
        <w:t xml:space="preserve"> on persons displaced by reason of the withdrawal from rent or lease of any accommodations.”  (</w:t>
      </w:r>
      <w:r w:rsidRPr="00F63FFD">
        <w:t xml:space="preserve">Gov. Code, </w:t>
      </w:r>
      <w:r w:rsidR="00E43429" w:rsidRPr="00F63FFD">
        <w:t>§ </w:t>
      </w:r>
      <w:r w:rsidR="00C810CF" w:rsidRPr="00F63FFD">
        <w:t>7060.1</w:t>
      </w:r>
      <w:r w:rsidR="005158C8" w:rsidRPr="00F63FFD">
        <w:t>, subd. (c).</w:t>
      </w:r>
      <w:r w:rsidR="00C810CF" w:rsidRPr="00F63FFD">
        <w:t>)</w:t>
      </w:r>
    </w:p>
    <w:p w14:paraId="6D2461DC" w14:textId="25308A86" w:rsidR="00494D91" w:rsidRPr="00F63FFD" w:rsidRDefault="00C810CF">
      <w:pPr>
        <w:spacing w:line="360" w:lineRule="auto"/>
        <w:jc w:val="center"/>
        <w:rPr>
          <w:i/>
        </w:rPr>
      </w:pPr>
      <w:r w:rsidRPr="00F63FFD">
        <w:rPr>
          <w:i/>
        </w:rPr>
        <w:t>San Francisco Ordinances</w:t>
      </w:r>
    </w:p>
    <w:p w14:paraId="27CB211F" w14:textId="742BADAB" w:rsidR="00494D91" w:rsidRPr="00F63FFD" w:rsidRDefault="00C810CF">
      <w:pPr>
        <w:spacing w:line="360" w:lineRule="auto"/>
      </w:pPr>
      <w:r w:rsidRPr="00F63FFD">
        <w:tab/>
        <w:t xml:space="preserve">Since the Ellis Act’s adoption, the City has passed various ordinances setting forth requirements rental property owners must </w:t>
      </w:r>
      <w:r w:rsidR="00232958" w:rsidRPr="00F63FFD">
        <w:t xml:space="preserve">satisfy </w:t>
      </w:r>
      <w:r w:rsidRPr="00F63FFD">
        <w:t>to withdraw units from the rental market.</w:t>
      </w:r>
    </w:p>
    <w:p w14:paraId="36C260D4" w14:textId="33B6A8F2" w:rsidR="00494D91" w:rsidRPr="00F63FFD" w:rsidRDefault="00C810CF">
      <w:pPr>
        <w:spacing w:line="360" w:lineRule="auto"/>
      </w:pPr>
      <w:r w:rsidRPr="00F63FFD">
        <w:tab/>
        <w:t xml:space="preserve">Most relevant for our purposes are the City-enacted ordinances requiring property owners to make relocation payments to their tenants evicted under the Ellis Act.  In 1994, the City enacted ordinance </w:t>
      </w:r>
      <w:r w:rsidR="00DF0B60" w:rsidRPr="00F63FFD">
        <w:t>No.</w:t>
      </w:r>
      <w:r w:rsidRPr="00F63FFD">
        <w:t xml:space="preserve"> 320-94 requiring landlords </w:t>
      </w:r>
      <w:r w:rsidR="00352247" w:rsidRPr="00F63FFD">
        <w:t xml:space="preserve">to </w:t>
      </w:r>
      <w:r w:rsidRPr="00F63FFD">
        <w:t>provide relocation payments ranging from $1,500 to $2,500 (depending on the size of the unit) to</w:t>
      </w:r>
      <w:r w:rsidR="00857569" w:rsidRPr="00F63FFD">
        <w:t xml:space="preserve"> displaced low-</w:t>
      </w:r>
      <w:r w:rsidRPr="00F63FFD">
        <w:t xml:space="preserve">income tenants, and $3,000 to displaced elderly and disabled tenants.  (S.F. Admin. Code, </w:t>
      </w:r>
      <w:r w:rsidR="00857569" w:rsidRPr="00F63FFD">
        <w:t xml:space="preserve">ch. 37, </w:t>
      </w:r>
      <w:r w:rsidR="006667EE" w:rsidRPr="00F63FFD">
        <w:t>§ </w:t>
      </w:r>
      <w:r w:rsidRPr="00F63FFD">
        <w:t>37.9A</w:t>
      </w:r>
      <w:r w:rsidR="00857569" w:rsidRPr="00F63FFD">
        <w:t xml:space="preserve"> former subd. </w:t>
      </w:r>
      <w:r w:rsidRPr="00F63FFD">
        <w:t xml:space="preserve">(e).)  In 2000, the City enacted ordinance </w:t>
      </w:r>
      <w:r w:rsidR="00DF0B60" w:rsidRPr="00F63FFD">
        <w:t>No.</w:t>
      </w:r>
      <w:r w:rsidRPr="00F63FFD">
        <w:t xml:space="preserve"> 5-00, which increased the relocation payment to a standard $4,500 for low-income tenants displaced by Ellis Act withdrawals.  (S.F. Admin. Code,</w:t>
      </w:r>
      <w:r w:rsidR="00857569" w:rsidRPr="00F63FFD">
        <w:t xml:space="preserve"> ch. 37,</w:t>
      </w:r>
      <w:r w:rsidRPr="00F63FFD">
        <w:t xml:space="preserve"> </w:t>
      </w:r>
      <w:r w:rsidR="006667EE" w:rsidRPr="00F63FFD">
        <w:t>§ </w:t>
      </w:r>
      <w:r w:rsidR="00812C09" w:rsidRPr="00F63FFD">
        <w:t xml:space="preserve">37.9A, </w:t>
      </w:r>
      <w:r w:rsidR="005C02C0" w:rsidRPr="00F63FFD">
        <w:t xml:space="preserve">former </w:t>
      </w:r>
      <w:r w:rsidR="00812C09" w:rsidRPr="00F63FFD">
        <w:t>subd.,</w:t>
      </w:r>
      <w:r w:rsidR="004D321C" w:rsidRPr="00F63FFD">
        <w:t xml:space="preserve"> </w:t>
      </w:r>
      <w:r w:rsidRPr="00F63FFD">
        <w:t xml:space="preserve">(f)(1).)  In 2005, the City enacted ordinance </w:t>
      </w:r>
      <w:r w:rsidR="00DF0B60" w:rsidRPr="00F63FFD">
        <w:t>No.</w:t>
      </w:r>
      <w:r w:rsidRPr="00F63FFD">
        <w:t xml:space="preserve"> 21-05 (“Ordinance 21-05”), which lifted </w:t>
      </w:r>
      <w:r w:rsidRPr="00F63FFD">
        <w:lastRenderedPageBreak/>
        <w:t xml:space="preserve">the restrictions limiting the relocation assistance payments to low-income tenants and extended them to all displaced tenants.  (S.F. Admin. Code, ch. 37, </w:t>
      </w:r>
      <w:r w:rsidR="006667EE" w:rsidRPr="00F63FFD">
        <w:t>§ </w:t>
      </w:r>
      <w:r w:rsidRPr="00F63FFD">
        <w:t>37.9A, subd. (e)(3)</w:t>
      </w:r>
      <w:r w:rsidR="0013782E" w:rsidRPr="00F63FFD">
        <w:t>.</w:t>
      </w:r>
      <w:r w:rsidRPr="00F63FFD">
        <w:t xml:space="preserve">)  For units with more than three tenants, Ordinance </w:t>
      </w:r>
      <w:r w:rsidR="0003119C" w:rsidRPr="00F63FFD">
        <w:t xml:space="preserve">21-05 </w:t>
      </w:r>
      <w:r w:rsidRPr="00F63FFD">
        <w:t>set $13,500 as the maximum relocation payment a landlord was required to pay per unit, in addition to the $3,000 add-on for evicted elderly and disabled tenants.  (</w:t>
      </w:r>
      <w:r w:rsidR="00375CD1" w:rsidRPr="00F63FFD">
        <w:rPr>
          <w:i/>
        </w:rPr>
        <w:t>Id.</w:t>
      </w:r>
      <w:r w:rsidRPr="00F63FFD">
        <w:t>, subd</w:t>
      </w:r>
      <w:r w:rsidR="00375CD1" w:rsidRPr="00F63FFD">
        <w:t>s</w:t>
      </w:r>
      <w:r w:rsidRPr="00F63FFD">
        <w:t>. (e)(3)</w:t>
      </w:r>
      <w:r w:rsidR="00375CD1" w:rsidRPr="00F63FFD">
        <w:t>(A), (e)(3)(B), (e)(3)(C)</w:t>
      </w:r>
      <w:r w:rsidR="0013782E" w:rsidRPr="00F63FFD">
        <w:t>.</w:t>
      </w:r>
      <w:r w:rsidRPr="00F63FFD">
        <w:t>)  The ordinance also indexed these payments to annual inflation rates.  (</w:t>
      </w:r>
      <w:r w:rsidR="00375CD1" w:rsidRPr="00F63FFD">
        <w:rPr>
          <w:i/>
        </w:rPr>
        <w:t>Id.</w:t>
      </w:r>
      <w:r w:rsidR="00375CD1" w:rsidRPr="00F63FFD">
        <w:t>, subd. (e)(3)(D)</w:t>
      </w:r>
      <w:r w:rsidR="0013782E" w:rsidRPr="00F63FFD">
        <w:t>.</w:t>
      </w:r>
      <w:r w:rsidRPr="00F63FFD">
        <w:t xml:space="preserve">)  For evictions noticed between March 2015 and February 2016, </w:t>
      </w:r>
      <w:r w:rsidR="00C85AC8" w:rsidRPr="00F63FFD">
        <w:t xml:space="preserve">the time period when </w:t>
      </w:r>
      <w:r w:rsidR="004F4227" w:rsidRPr="00F63FFD">
        <w:t xml:space="preserve">two of the individual plaintiffs </w:t>
      </w:r>
      <w:r w:rsidR="008C4BEE" w:rsidRPr="00F63FFD">
        <w:t xml:space="preserve">here </w:t>
      </w:r>
      <w:r w:rsidR="004F4227" w:rsidRPr="00F63FFD">
        <w:t>invoked the Ellis Act</w:t>
      </w:r>
      <w:r w:rsidR="00C85AC8" w:rsidRPr="00F63FFD">
        <w:t xml:space="preserve">, </w:t>
      </w:r>
      <w:r w:rsidRPr="00F63FFD">
        <w:t>the inflation-adjusted base relocation payout due per tenant was $5,555.21, up to $16,665.59 per unit, with an additional payment of $3,703.46 to each elderly or disabled evicted tenant.</w:t>
      </w:r>
      <w:r w:rsidR="00352247" w:rsidRPr="00F63FFD" w:rsidDel="00352247">
        <w:rPr>
          <w:rStyle w:val="FootnoteReference"/>
        </w:rPr>
        <w:t xml:space="preserve"> </w:t>
      </w:r>
    </w:p>
    <w:p w14:paraId="5A097231" w14:textId="77777777" w:rsidR="00494D91" w:rsidRPr="00F63FFD" w:rsidRDefault="00C810CF">
      <w:pPr>
        <w:spacing w:line="360" w:lineRule="auto"/>
        <w:jc w:val="center"/>
        <w:rPr>
          <w:i/>
        </w:rPr>
      </w:pPr>
      <w:r w:rsidRPr="00F63FFD">
        <w:rPr>
          <w:i/>
        </w:rPr>
        <w:t>Ordinance No. 54-14</w:t>
      </w:r>
    </w:p>
    <w:p w14:paraId="376E9F16" w14:textId="0B0DB5F9" w:rsidR="00494D91" w:rsidRPr="00F63FFD" w:rsidRDefault="00C810CF">
      <w:pPr>
        <w:spacing w:line="360" w:lineRule="auto"/>
      </w:pPr>
      <w:r w:rsidRPr="00F63FFD">
        <w:tab/>
        <w:t xml:space="preserve">On April 15, 2014, the City enacted ordinance </w:t>
      </w:r>
      <w:r w:rsidR="00DF0B60" w:rsidRPr="00F63FFD">
        <w:t>No.</w:t>
      </w:r>
      <w:r w:rsidRPr="00F63FFD">
        <w:t xml:space="preserve"> 54-14 (“Ordinance 54-14”</w:t>
      </w:r>
      <w:r w:rsidR="00731487" w:rsidRPr="00F63FFD">
        <w:t xml:space="preserve">) </w:t>
      </w:r>
      <w:r w:rsidRPr="00F63FFD">
        <w:t>to “mitigate adverse impacts of tenant evictions” under the Ellis Act.</w:t>
      </w:r>
      <w:r w:rsidR="00B1030B" w:rsidRPr="00F63FFD">
        <w:t xml:space="preserve">  Ordinance 54-14 entitles</w:t>
      </w:r>
      <w:r w:rsidRPr="00F63FFD">
        <w:t xml:space="preserve"> a tenant evicted under the Ellis Act to an increased relocation payment set as the greater of the existing relocation payment (under the 2005 Ordinance as described above) or the new, enhanced amount: “the difference between the tenant’s current rent and the prevailing rent for a comparable apartm</w:t>
      </w:r>
      <w:r w:rsidR="008F1428" w:rsidRPr="00F63FFD">
        <w:t xml:space="preserve">ent in San Francisco over a two </w:t>
      </w:r>
      <w:r w:rsidRPr="00F63FFD">
        <w:t>year period.”  (S.F. Admin. Code</w:t>
      </w:r>
      <w:r w:rsidR="00C27BAB" w:rsidRPr="00F63FFD">
        <w:t>, ch. 37,</w:t>
      </w:r>
      <w:r w:rsidRPr="00F63FFD">
        <w:t xml:space="preserve"> </w:t>
      </w:r>
      <w:r w:rsidR="006667EE" w:rsidRPr="00F63FFD">
        <w:t>§ </w:t>
      </w:r>
      <w:r w:rsidRPr="00F63FFD">
        <w:t>37.9</w:t>
      </w:r>
      <w:r w:rsidR="00857569" w:rsidRPr="00F63FFD">
        <w:t>A</w:t>
      </w:r>
      <w:r w:rsidR="00C27BAB" w:rsidRPr="00F63FFD">
        <w:t xml:space="preserve">, subd. </w:t>
      </w:r>
      <w:r w:rsidRPr="00F63FFD">
        <w:t>(e)(3)(E)</w:t>
      </w:r>
      <w:r w:rsidR="0013782E" w:rsidRPr="00F63FFD">
        <w:t>.</w:t>
      </w:r>
      <w:r w:rsidRPr="00F63FFD">
        <w:t>)  The ordinance refer</w:t>
      </w:r>
      <w:r w:rsidR="0098523B" w:rsidRPr="00F63FFD">
        <w:t>s</w:t>
      </w:r>
      <w:r w:rsidRPr="00F63FFD">
        <w:t xml:space="preserve"> to this enhanced payout as the “Rental Payment Differential.”  (</w:t>
      </w:r>
      <w:r w:rsidR="008F1428" w:rsidRPr="00F63FFD">
        <w:rPr>
          <w:i/>
        </w:rPr>
        <w:t>Id.</w:t>
      </w:r>
      <w:r w:rsidR="00C27BAB" w:rsidRPr="00F63FFD">
        <w:t xml:space="preserve">, subd. </w:t>
      </w:r>
      <w:r w:rsidRPr="00F63FFD">
        <w:t>(e)(3)(E)(ii).)  Th</w:t>
      </w:r>
      <w:r w:rsidR="00103D92" w:rsidRPr="00F63FFD">
        <w:t>e current market rental rate is</w:t>
      </w:r>
      <w:r w:rsidRPr="00F63FFD">
        <w:t xml:space="preserve"> to be determined by the City’s Controller’s Office based on market data reasonably reflecting a representative sample of San Francisco rental apartments.  (</w:t>
      </w:r>
      <w:r w:rsidR="00C6491E" w:rsidRPr="00F63FFD">
        <w:rPr>
          <w:i/>
        </w:rPr>
        <w:t>I</w:t>
      </w:r>
      <w:r w:rsidR="00D74247">
        <w:rPr>
          <w:i/>
        </w:rPr>
        <w:t>bi</w:t>
      </w:r>
      <w:r w:rsidR="00C6491E" w:rsidRPr="00F63FFD">
        <w:rPr>
          <w:i/>
        </w:rPr>
        <w:t>d</w:t>
      </w:r>
      <w:r w:rsidRPr="00F63FFD">
        <w:t>.)</w:t>
      </w:r>
      <w:r w:rsidR="00B1030B" w:rsidRPr="00F63FFD">
        <w:t xml:space="preserve">  The 2014 Ordinance places</w:t>
      </w:r>
      <w:r w:rsidRPr="00F63FFD">
        <w:t xml:space="preserve"> no caps on the size of the payout under the Rental Payment Differential and no constraints on the tenant’s use of the payout.</w:t>
      </w:r>
    </w:p>
    <w:p w14:paraId="29D9EE4D" w14:textId="2BC9850A" w:rsidR="00494D91" w:rsidRPr="00F63FFD" w:rsidRDefault="00C810CF">
      <w:pPr>
        <w:spacing w:line="360" w:lineRule="auto"/>
      </w:pPr>
      <w:r w:rsidRPr="00F63FFD">
        <w:tab/>
        <w:t xml:space="preserve">Ordinance </w:t>
      </w:r>
      <w:r w:rsidR="00352247" w:rsidRPr="00F63FFD">
        <w:t xml:space="preserve">54-14 </w:t>
      </w:r>
      <w:r w:rsidR="00B1030B" w:rsidRPr="00F63FFD">
        <w:t>also contains</w:t>
      </w:r>
      <w:r w:rsidRPr="00F63FFD">
        <w:t xml:space="preserve"> provisions for property owners to seek relief from the San Francisco </w:t>
      </w:r>
      <w:r w:rsidR="00C6491E" w:rsidRPr="00F63FFD">
        <w:t xml:space="preserve">Residential Rent Stabilization and Arbitration </w:t>
      </w:r>
      <w:r w:rsidRPr="00F63FFD">
        <w:t xml:space="preserve">Board (“Rent Board”) if the relocation payments would cause them financial hardship.  (S.F. Admin. </w:t>
      </w:r>
      <w:r w:rsidR="00C27BAB" w:rsidRPr="00F63FFD">
        <w:t>Code, ch. 37,</w:t>
      </w:r>
      <w:r w:rsidRPr="00F63FFD">
        <w:t xml:space="preserve"> </w:t>
      </w:r>
      <w:r w:rsidR="006667EE" w:rsidRPr="00F63FFD">
        <w:t>§ </w:t>
      </w:r>
      <w:r w:rsidR="00C27BAB" w:rsidRPr="00F63FFD">
        <w:t xml:space="preserve">37.9A, subd. </w:t>
      </w:r>
      <w:r w:rsidRPr="00F63FFD">
        <w:t xml:space="preserve">(e)(3)(G)(i).)  </w:t>
      </w:r>
      <w:r w:rsidR="008C4BEE" w:rsidRPr="00F63FFD">
        <w:t xml:space="preserve">As we shall discuss, the remedies </w:t>
      </w:r>
      <w:r w:rsidR="0061608F" w:rsidRPr="00F63FFD">
        <w:t>include</w:t>
      </w:r>
      <w:r w:rsidR="008C4BEE" w:rsidRPr="00F63FFD">
        <w:t xml:space="preserve"> a</w:t>
      </w:r>
      <w:r w:rsidRPr="00F63FFD">
        <w:t xml:space="preserve"> Rent Board order</w:t>
      </w:r>
      <w:r w:rsidR="008C4BEE" w:rsidRPr="00F63FFD">
        <w:t>ed</w:t>
      </w:r>
      <w:r w:rsidR="004B0951" w:rsidRPr="00F63FFD">
        <w:t xml:space="preserve"> “hardship adjustment” in the form of a “reduction,</w:t>
      </w:r>
      <w:r w:rsidRPr="00F63FFD">
        <w:t xml:space="preserve"> payment plan, </w:t>
      </w:r>
      <w:r w:rsidR="004B0951" w:rsidRPr="00F63FFD">
        <w:t>or</w:t>
      </w:r>
      <w:r w:rsidRPr="00F63FFD">
        <w:t xml:space="preserve"> any other relief </w:t>
      </w:r>
      <w:r w:rsidR="004B0951" w:rsidRPr="00F63FFD">
        <w:t>[</w:t>
      </w:r>
      <w:r w:rsidR="008C4BEE" w:rsidRPr="00F63FFD">
        <w:t>the Rent Board</w:t>
      </w:r>
      <w:r w:rsidR="004B0951" w:rsidRPr="00F63FFD">
        <w:t>]</w:t>
      </w:r>
      <w:r w:rsidR="00103D92" w:rsidRPr="00F63FFD">
        <w:t xml:space="preserve"> determine</w:t>
      </w:r>
      <w:r w:rsidR="004B0951" w:rsidRPr="00F63FFD">
        <w:t>[</w:t>
      </w:r>
      <w:r w:rsidR="00103D92" w:rsidRPr="00F63FFD">
        <w:t>s</w:t>
      </w:r>
      <w:r w:rsidR="004B0951" w:rsidRPr="00F63FFD">
        <w:t>]</w:t>
      </w:r>
      <w:r w:rsidR="00103D92" w:rsidRPr="00F63FFD">
        <w:t xml:space="preserve"> is</w:t>
      </w:r>
      <w:r w:rsidRPr="00F63FFD">
        <w:t xml:space="preserve"> justified </w:t>
      </w:r>
      <w:r w:rsidR="004B0951" w:rsidRPr="00F63FFD">
        <w:t xml:space="preserve">following a hearing” </w:t>
      </w:r>
      <w:r w:rsidRPr="00F63FFD">
        <w:t xml:space="preserve">after considering </w:t>
      </w:r>
      <w:r w:rsidRPr="00F63FFD">
        <w:lastRenderedPageBreak/>
        <w:t xml:space="preserve">“all relevant factors” including the landlord’s income and other assets excluding retirement accounts and </w:t>
      </w:r>
      <w:r w:rsidR="00BB6824" w:rsidRPr="00F63FFD">
        <w:t>non-liquid personal property.</w:t>
      </w:r>
      <w:r w:rsidR="00E43429" w:rsidRPr="00F63FFD">
        <w:t xml:space="preserve">  </w:t>
      </w:r>
      <w:r w:rsidR="00B1030B" w:rsidRPr="00F63FFD">
        <w:t>(</w:t>
      </w:r>
      <w:r w:rsidR="00C6491E" w:rsidRPr="00F63FFD">
        <w:rPr>
          <w:i/>
        </w:rPr>
        <w:t>Id.</w:t>
      </w:r>
      <w:r w:rsidR="00C27BAB" w:rsidRPr="00F63FFD">
        <w:t xml:space="preserve">, subd. </w:t>
      </w:r>
      <w:r w:rsidR="00B1030B" w:rsidRPr="00F63FFD">
        <w:t>(e)(3)</w:t>
      </w:r>
      <w:r w:rsidR="004B0951" w:rsidRPr="00F63FFD">
        <w:t>(G)</w:t>
      </w:r>
      <w:r w:rsidR="00C6491E" w:rsidRPr="00F63FFD">
        <w:t>(i–</w:t>
      </w:r>
      <w:r w:rsidR="00BB6824" w:rsidRPr="00F63FFD">
        <w:t>ii</w:t>
      </w:r>
      <w:r w:rsidR="00C6491E" w:rsidRPr="00F63FFD">
        <w:t>i</w:t>
      </w:r>
      <w:r w:rsidR="00BB6824" w:rsidRPr="00F63FFD">
        <w:t>)</w:t>
      </w:r>
      <w:r w:rsidR="00B1030B" w:rsidRPr="00F63FFD">
        <w:t>.)  And landlords can</w:t>
      </w:r>
      <w:r w:rsidRPr="00F63FFD">
        <w:t xml:space="preserve"> also seek administrative relief from</w:t>
      </w:r>
      <w:r w:rsidR="00103D92" w:rsidRPr="00F63FFD">
        <w:t xml:space="preserve"> the Rent Board if they believe</w:t>
      </w:r>
      <w:r w:rsidRPr="00F63FFD">
        <w:t xml:space="preserve"> the Controller’s determ</w:t>
      </w:r>
      <w:r w:rsidR="00103D92" w:rsidRPr="00F63FFD">
        <w:t>ination of fair market rents does</w:t>
      </w:r>
      <w:r w:rsidRPr="00F63FFD">
        <w:t xml:space="preserve"> not reasonably reflect the market rents of comparable units in San Francisco.  (</w:t>
      </w:r>
      <w:r w:rsidR="001F7FC1" w:rsidRPr="00F63FFD">
        <w:rPr>
          <w:i/>
        </w:rPr>
        <w:t>Id.</w:t>
      </w:r>
      <w:r w:rsidR="00C27BAB" w:rsidRPr="00F63FFD">
        <w:t xml:space="preserve">, subd. </w:t>
      </w:r>
      <w:r w:rsidRPr="00F63FFD">
        <w:t>(e)(3)(H).)</w:t>
      </w:r>
    </w:p>
    <w:p w14:paraId="2897DB9D" w14:textId="2F15EC7A" w:rsidR="00494D91" w:rsidRPr="00F63FFD" w:rsidRDefault="00C810CF">
      <w:pPr>
        <w:spacing w:line="360" w:lineRule="auto"/>
      </w:pPr>
      <w:r w:rsidRPr="00F63FFD">
        <w:tab/>
        <w:t>The new law took effect on June 1, 2014.  (</w:t>
      </w:r>
      <w:r w:rsidR="00C32AC0" w:rsidRPr="00F63FFD">
        <w:t>San Francisco Ordinance No. 54-14, section 2</w:t>
      </w:r>
      <w:r w:rsidRPr="00F63FFD">
        <w:t>.)</w:t>
      </w:r>
    </w:p>
    <w:p w14:paraId="64D0CF21" w14:textId="77777777" w:rsidR="00494D91" w:rsidRPr="00F63FFD" w:rsidRDefault="00C810CF">
      <w:pPr>
        <w:spacing w:line="360" w:lineRule="auto"/>
        <w:jc w:val="center"/>
        <w:rPr>
          <w:i/>
        </w:rPr>
      </w:pPr>
      <w:r w:rsidRPr="00F63FFD">
        <w:rPr>
          <w:i/>
        </w:rPr>
        <w:t>The Levin and Jacoby Lawsuits Against Ordinance 54-14</w:t>
      </w:r>
    </w:p>
    <w:p w14:paraId="39A70E90" w14:textId="1DAACAF0" w:rsidR="00494D91" w:rsidRPr="00F63FFD" w:rsidRDefault="00C810CF">
      <w:pPr>
        <w:spacing w:line="360" w:lineRule="auto"/>
      </w:pPr>
      <w:r w:rsidRPr="00F63FFD">
        <w:tab/>
        <w:t xml:space="preserve">Ordinance </w:t>
      </w:r>
      <w:r w:rsidR="00352247" w:rsidRPr="00F63FFD">
        <w:t>54-14</w:t>
      </w:r>
      <w:r w:rsidR="00232958" w:rsidRPr="00F63FFD">
        <w:t xml:space="preserve"> </w:t>
      </w:r>
      <w:r w:rsidRPr="00F63FFD">
        <w:t>was challenged in federal</w:t>
      </w:r>
      <w:r w:rsidR="00352247" w:rsidRPr="00F63FFD">
        <w:t xml:space="preserve"> court by </w:t>
      </w:r>
      <w:r w:rsidR="00893277" w:rsidRPr="00F63FFD">
        <w:rPr>
          <w:i/>
        </w:rPr>
        <w:t>Levin v. City and</w:t>
      </w:r>
      <w:r w:rsidR="00352247" w:rsidRPr="00F63FFD">
        <w:rPr>
          <w:i/>
        </w:rPr>
        <w:t xml:space="preserve"> County of San Francisco</w:t>
      </w:r>
      <w:r w:rsidR="00352247" w:rsidRPr="00F63FFD">
        <w:t xml:space="preserve"> </w:t>
      </w:r>
      <w:r w:rsidR="00CC6437" w:rsidRPr="00F63FFD">
        <w:t>(N.D.Cal.</w:t>
      </w:r>
      <w:r w:rsidR="00352247" w:rsidRPr="00F63FFD">
        <w:t xml:space="preserve"> </w:t>
      </w:r>
      <w:r w:rsidR="00CC6437" w:rsidRPr="00F63FFD">
        <w:t xml:space="preserve">2014, </w:t>
      </w:r>
      <w:r w:rsidR="009D7D93" w:rsidRPr="00F63FFD">
        <w:t>No. 3:14-cv</w:t>
      </w:r>
      <w:r w:rsidR="00352247" w:rsidRPr="00F63FFD">
        <w:t>-0335</w:t>
      </w:r>
      <w:r w:rsidR="00893277" w:rsidRPr="00F63FFD">
        <w:t>2</w:t>
      </w:r>
      <w:r w:rsidR="00352247" w:rsidRPr="00F63FFD">
        <w:t>-CRB</w:t>
      </w:r>
      <w:r w:rsidR="00CC6437" w:rsidRPr="00F63FFD">
        <w:t>) (</w:t>
      </w:r>
      <w:r w:rsidR="00CC6437" w:rsidRPr="00F63FFD">
        <w:rPr>
          <w:i/>
        </w:rPr>
        <w:t>Levin</w:t>
      </w:r>
      <w:r w:rsidR="00CC6437" w:rsidRPr="00F63FFD">
        <w:t>)</w:t>
      </w:r>
      <w:r w:rsidRPr="00F63FFD">
        <w:t xml:space="preserve"> and </w:t>
      </w:r>
      <w:r w:rsidR="00352247" w:rsidRPr="00F63FFD">
        <w:t xml:space="preserve">in </w:t>
      </w:r>
      <w:r w:rsidRPr="00F63FFD">
        <w:t>state court</w:t>
      </w:r>
      <w:r w:rsidR="00352247" w:rsidRPr="00F63FFD">
        <w:t xml:space="preserve"> by </w:t>
      </w:r>
      <w:r w:rsidR="00352247" w:rsidRPr="00F63FFD">
        <w:rPr>
          <w:i/>
        </w:rPr>
        <w:t xml:space="preserve">Jacoby v. City </w:t>
      </w:r>
      <w:r w:rsidR="00893277" w:rsidRPr="00F63FFD">
        <w:rPr>
          <w:i/>
        </w:rPr>
        <w:t>and</w:t>
      </w:r>
      <w:r w:rsidR="00352247" w:rsidRPr="00F63FFD">
        <w:rPr>
          <w:i/>
        </w:rPr>
        <w:t xml:space="preserve"> County of San Francisco</w:t>
      </w:r>
      <w:r w:rsidR="00CC6437" w:rsidRPr="00F63FFD">
        <w:t xml:space="preserve"> (Super. Ct. S.F. City and County, 2014, No. CGC-14-540709) (</w:t>
      </w:r>
      <w:r w:rsidR="00CC6437" w:rsidRPr="00F63FFD">
        <w:rPr>
          <w:i/>
        </w:rPr>
        <w:t>Jacoby</w:t>
      </w:r>
      <w:r w:rsidR="00CC6437" w:rsidRPr="00F63FFD">
        <w:t>)</w:t>
      </w:r>
      <w:r w:rsidR="00D74247">
        <w:t>,</w:t>
      </w:r>
      <w:r w:rsidR="00352247" w:rsidRPr="00F63FFD">
        <w:t xml:space="preserve"> which is part of this consolidated appeal</w:t>
      </w:r>
      <w:r w:rsidRPr="00F63FFD">
        <w:t>.</w:t>
      </w:r>
    </w:p>
    <w:p w14:paraId="58E68187" w14:textId="08A4D739" w:rsidR="00494D91" w:rsidRPr="00F63FFD" w:rsidRDefault="00C810CF">
      <w:pPr>
        <w:spacing w:line="360" w:lineRule="auto"/>
      </w:pPr>
      <w:r w:rsidRPr="00F63FFD">
        <w:tab/>
        <w:t xml:space="preserve">In </w:t>
      </w:r>
      <w:r w:rsidRPr="00F63FFD">
        <w:rPr>
          <w:i/>
        </w:rPr>
        <w:t>Levin</w:t>
      </w:r>
      <w:r w:rsidR="00893277" w:rsidRPr="00F63FFD">
        <w:t>, multiple landlords and</w:t>
      </w:r>
      <w:r w:rsidRPr="00F63FFD">
        <w:t xml:space="preserve"> landlord groups filed suit against the City alleging Ordinance</w:t>
      </w:r>
      <w:r w:rsidR="00352247" w:rsidRPr="00F63FFD">
        <w:t xml:space="preserve"> 54-14</w:t>
      </w:r>
      <w:r w:rsidRPr="00F63FFD">
        <w:t xml:space="preserve"> on its face was an unconstitutional taking in violation of the Fifth Amendment.  (</w:t>
      </w:r>
      <w:r w:rsidRPr="00F63FFD">
        <w:rPr>
          <w:i/>
        </w:rPr>
        <w:t>Levin</w:t>
      </w:r>
      <w:r w:rsidRPr="00F63FFD">
        <w:t xml:space="preserve">, </w:t>
      </w:r>
      <w:r w:rsidRPr="00F63FFD">
        <w:rPr>
          <w:i/>
        </w:rPr>
        <w:t>supra</w:t>
      </w:r>
      <w:r w:rsidRPr="00F63FFD">
        <w:t xml:space="preserve">, 71 F.Supp.3d </w:t>
      </w:r>
      <w:r w:rsidR="00310B0C" w:rsidRPr="00F63FFD">
        <w:t>1072,</w:t>
      </w:r>
      <w:r w:rsidR="006667EE" w:rsidRPr="00F63FFD">
        <w:t> </w:t>
      </w:r>
      <w:r w:rsidRPr="00F63FFD">
        <w:t xml:space="preserve">1074.)  The federal district court held Ordinance </w:t>
      </w:r>
      <w:r w:rsidR="00352247" w:rsidRPr="00F63FFD">
        <w:t>54-14</w:t>
      </w:r>
      <w:r w:rsidR="00247011" w:rsidRPr="00F63FFD">
        <w:t xml:space="preserve"> </w:t>
      </w:r>
      <w:r w:rsidRPr="00F63FFD">
        <w:t>worked an uncompensated taking of the plaintiffs’ property.  (</w:t>
      </w:r>
      <w:r w:rsidRPr="00F63FFD">
        <w:rPr>
          <w:i/>
        </w:rPr>
        <w:t>Id.</w:t>
      </w:r>
      <w:r w:rsidRPr="00F63FFD">
        <w:t xml:space="preserve"> at p. 1089.)  It described Ordinance 54-14 as a “laudable” attempt to ameliorate San Francisco’s housing shortage and high market rates but a “policy shortcut” in which the City sought to “ ‘forc[e] some people alone to bear public burdens which, in all fairness and justice, should be borne by the public as a whole.’ </w:t>
      </w:r>
      <w:r w:rsidR="00893277" w:rsidRPr="00F63FFD">
        <w:t xml:space="preserve"> </w:t>
      </w:r>
      <w:r w:rsidRPr="00F63FFD">
        <w:t>[Citation.]”  (</w:t>
      </w:r>
      <w:r w:rsidRPr="00F63FFD">
        <w:rPr>
          <w:i/>
        </w:rPr>
        <w:t>Ibid.</w:t>
      </w:r>
      <w:r w:rsidRPr="00F63FFD">
        <w:t xml:space="preserve">)  The court enjoined the City from enforcing the 2014 Ordinance and stayed its decision to allow the City to </w:t>
      </w:r>
      <w:r w:rsidR="00352247" w:rsidRPr="00F63FFD">
        <w:t>appe</w:t>
      </w:r>
      <w:r w:rsidR="00247011" w:rsidRPr="00F63FFD">
        <w:t>al</w:t>
      </w:r>
      <w:r w:rsidRPr="00F63FFD">
        <w:t>.  (</w:t>
      </w:r>
      <w:r w:rsidRPr="00F63FFD">
        <w:rPr>
          <w:i/>
        </w:rPr>
        <w:t>Id.</w:t>
      </w:r>
      <w:r w:rsidR="006667EE" w:rsidRPr="00F63FFD">
        <w:t xml:space="preserve"> at pp. 1089–</w:t>
      </w:r>
      <w:r w:rsidRPr="00F63FFD">
        <w:t>1090.)</w:t>
      </w:r>
    </w:p>
    <w:p w14:paraId="1E04025E" w14:textId="08F047CB" w:rsidR="00494D91" w:rsidRPr="00F63FFD" w:rsidRDefault="00C810CF">
      <w:pPr>
        <w:spacing w:line="360" w:lineRule="auto"/>
      </w:pPr>
      <w:r w:rsidRPr="00F63FFD">
        <w:tab/>
        <w:t xml:space="preserve">In </w:t>
      </w:r>
      <w:r w:rsidRPr="00F63FFD">
        <w:rPr>
          <w:i/>
        </w:rPr>
        <w:t>Jacoby</w:t>
      </w:r>
      <w:r w:rsidRPr="00F63FFD">
        <w:t>,</w:t>
      </w:r>
      <w:r w:rsidRPr="00F63FFD">
        <w:rPr>
          <w:i/>
        </w:rPr>
        <w:t xml:space="preserve"> </w:t>
      </w:r>
      <w:r w:rsidRPr="00F63FFD">
        <w:t>property owners Jerrold Jacoby, Martin J. Coyne, Golden Properties LLC, and Howard Weston, and an association of property owners, Small Property Owners of San Francisco Institute (collectively Jacoby), filed a complaint and writ petition</w:t>
      </w:r>
      <w:r w:rsidR="00232958" w:rsidRPr="00F63FFD">
        <w:t xml:space="preserve"> and a first amended petition for writ of mandate</w:t>
      </w:r>
      <w:r w:rsidR="00893277" w:rsidRPr="00F63FFD">
        <w:t xml:space="preserve"> also challenging </w:t>
      </w:r>
      <w:r w:rsidRPr="00F63FFD">
        <w:t>Ordinance</w:t>
      </w:r>
      <w:r w:rsidR="00893277" w:rsidRPr="00F63FFD">
        <w:t xml:space="preserve"> </w:t>
      </w:r>
      <w:r w:rsidR="005B53AA" w:rsidRPr="00F63FFD">
        <w:t>54-</w:t>
      </w:r>
      <w:r w:rsidR="005B53AA" w:rsidRPr="00F63FFD">
        <w:lastRenderedPageBreak/>
        <w:t>14</w:t>
      </w:r>
      <w:r w:rsidRPr="00F63FFD">
        <w:t>.</w:t>
      </w:r>
      <w:r w:rsidR="009F5F99" w:rsidRPr="00F63FFD">
        <w:rPr>
          <w:rStyle w:val="FootnoteReference"/>
        </w:rPr>
        <w:footnoteReference w:id="1"/>
      </w:r>
      <w:r w:rsidR="00893277" w:rsidRPr="00F63FFD">
        <w:t xml:space="preserve"> </w:t>
      </w:r>
      <w:r w:rsidR="00247011" w:rsidRPr="00F63FFD">
        <w:t xml:space="preserve"> </w:t>
      </w:r>
      <w:r w:rsidRPr="00F63FFD">
        <w:t>They argued Ordinance</w:t>
      </w:r>
      <w:r w:rsidR="005B53AA" w:rsidRPr="00F63FFD">
        <w:t xml:space="preserve"> 54-14</w:t>
      </w:r>
      <w:r w:rsidRPr="00F63FFD">
        <w:t xml:space="preserve">’s payment requirement was facially </w:t>
      </w:r>
      <w:r w:rsidR="00893277" w:rsidRPr="00F63FFD">
        <w:t xml:space="preserve">invalid and </w:t>
      </w:r>
      <w:r w:rsidRPr="00F63FFD">
        <w:t xml:space="preserve">preempted by the Ellis Act. </w:t>
      </w:r>
      <w:r w:rsidR="008974E9" w:rsidRPr="00F63FFD">
        <w:t xml:space="preserve"> </w:t>
      </w:r>
      <w:r w:rsidRPr="00F63FFD">
        <w:t xml:space="preserve">The superior court granted the </w:t>
      </w:r>
      <w:r w:rsidR="00232958" w:rsidRPr="00F63FFD">
        <w:t xml:space="preserve">first amended </w:t>
      </w:r>
      <w:r w:rsidR="0055263D" w:rsidRPr="00F63FFD">
        <w:t>writ petition.</w:t>
      </w:r>
      <w:r w:rsidRPr="00F63FFD">
        <w:t xml:space="preserve">  Taking judicial notice of </w:t>
      </w:r>
      <w:r w:rsidRPr="00F63FFD">
        <w:rPr>
          <w:i/>
        </w:rPr>
        <w:t>Levin</w:t>
      </w:r>
      <w:r w:rsidRPr="00F63FFD">
        <w:t xml:space="preserve">, the court stated it concurred with the decision in the district court case.  </w:t>
      </w:r>
      <w:r w:rsidR="008974E9" w:rsidRPr="00F63FFD">
        <w:t xml:space="preserve">Citing </w:t>
      </w:r>
      <w:r w:rsidR="00C85AC8" w:rsidRPr="00F63FFD">
        <w:t xml:space="preserve">the First District’s decision in </w:t>
      </w:r>
      <w:r w:rsidR="008974E9" w:rsidRPr="00F63FFD">
        <w:rPr>
          <w:i/>
        </w:rPr>
        <w:t xml:space="preserve">Pieri v. City and County of San Francisco </w:t>
      </w:r>
      <w:r w:rsidR="008974E9" w:rsidRPr="00F63FFD">
        <w:t>(2006) 137 Cal.App.4th 886</w:t>
      </w:r>
      <w:r w:rsidR="00D76F84" w:rsidRPr="00F63FFD">
        <w:t xml:space="preserve"> (</w:t>
      </w:r>
      <w:r w:rsidR="00D76F84" w:rsidRPr="00F63FFD">
        <w:rPr>
          <w:i/>
        </w:rPr>
        <w:t>Pieri</w:t>
      </w:r>
      <w:r w:rsidR="00D76F84" w:rsidRPr="00F63FFD">
        <w:t>)</w:t>
      </w:r>
      <w:r w:rsidR="008974E9" w:rsidRPr="00F63FFD">
        <w:t xml:space="preserve">, the </w:t>
      </w:r>
      <w:r w:rsidR="00C85AC8" w:rsidRPr="00F63FFD">
        <w:t xml:space="preserve">superior </w:t>
      </w:r>
      <w:r w:rsidR="008974E9" w:rsidRPr="00F63FFD">
        <w:t>court concluded the standard for determining the propri</w:t>
      </w:r>
      <w:r w:rsidR="00C85AC8" w:rsidRPr="00F63FFD">
        <w:t xml:space="preserve">ety of the amount of a relocation payment </w:t>
      </w:r>
      <w:r w:rsidR="008974E9" w:rsidRPr="00F63FFD">
        <w:t xml:space="preserve">is </w:t>
      </w:r>
      <w:r w:rsidR="006A25DF" w:rsidRPr="00F63FFD">
        <w:t>“</w:t>
      </w:r>
      <w:r w:rsidR="00672F48" w:rsidRPr="00F63FFD">
        <w:t>whether</w:t>
      </w:r>
      <w:r w:rsidR="006A25DF" w:rsidRPr="00F63FFD">
        <w:t xml:space="preserve"> relocation compensation</w:t>
      </w:r>
      <w:r w:rsidR="008974E9" w:rsidRPr="00F63FFD">
        <w:t xml:space="preserve"> is </w:t>
      </w:r>
      <w:r w:rsidR="006A25DF" w:rsidRPr="00F63FFD">
        <w:t>‘</w:t>
      </w:r>
      <w:r w:rsidR="008974E9" w:rsidRPr="00F63FFD">
        <w:t>reasonable</w:t>
      </w:r>
      <w:r w:rsidR="0098523B" w:rsidRPr="00F63FFD">
        <w:t>,</w:t>
      </w:r>
      <w:r w:rsidR="006A25DF" w:rsidRPr="00F63FFD">
        <w:t>’</w:t>
      </w:r>
      <w:r w:rsidR="008974E9" w:rsidRPr="00F63FFD">
        <w:t xml:space="preserve"> not whether </w:t>
      </w:r>
      <w:r w:rsidR="006A25DF" w:rsidRPr="00F63FFD">
        <w:t xml:space="preserve">it </w:t>
      </w:r>
      <w:r w:rsidR="008974E9" w:rsidRPr="00F63FFD">
        <w:t>is ‘prohibitive.’</w:t>
      </w:r>
      <w:r w:rsidR="00672F48" w:rsidRPr="00F63FFD">
        <w:t> </w:t>
      </w:r>
      <w:r w:rsidR="0055263D" w:rsidRPr="00F63FFD">
        <w:t>”</w:t>
      </w:r>
      <w:r w:rsidR="008974E9" w:rsidRPr="00F63FFD">
        <w:t xml:space="preserve">  </w:t>
      </w:r>
      <w:r w:rsidRPr="00F63FFD">
        <w:t xml:space="preserve">The court held the payments under </w:t>
      </w:r>
      <w:r w:rsidR="00C85AC8" w:rsidRPr="00F63FFD">
        <w:t>O</w:t>
      </w:r>
      <w:r w:rsidRPr="00F63FFD">
        <w:t xml:space="preserve">rdinance </w:t>
      </w:r>
      <w:r w:rsidR="00C85AC8" w:rsidRPr="00F63FFD">
        <w:t xml:space="preserve">54-14 </w:t>
      </w:r>
      <w:r w:rsidRPr="00F63FFD">
        <w:t>were “not ‘reasonable</w:t>
      </w:r>
      <w:r w:rsidR="006A25DF" w:rsidRPr="00F63FFD">
        <w:t>’</w:t>
      </w:r>
      <w:r w:rsidRPr="00F63FFD">
        <w:t xml:space="preserve"> as they are disproportionately hig</w:t>
      </w:r>
      <w:r w:rsidR="00672F48" w:rsidRPr="00F63FFD">
        <w:t>her than</w:t>
      </w:r>
      <w:r w:rsidRPr="00F63FFD">
        <w:t xml:space="preserve"> compensation contemplated by the Legislature in enacting and amending Govt. Code 7060”</w:t>
      </w:r>
      <w:r w:rsidR="00C85AC8" w:rsidRPr="00F63FFD">
        <w:t xml:space="preserve"> and found the ordinance </w:t>
      </w:r>
      <w:r w:rsidR="008974E9" w:rsidRPr="00F63FFD">
        <w:t>preempted by the Ellis Act.</w:t>
      </w:r>
      <w:r w:rsidRPr="00F63FFD">
        <w:t xml:space="preserve">  </w:t>
      </w:r>
      <w:r w:rsidR="00B7598B" w:rsidRPr="00F63FFD">
        <w:t>T</w:t>
      </w:r>
      <w:r w:rsidRPr="00F63FFD">
        <w:t xml:space="preserve">he </w:t>
      </w:r>
      <w:r w:rsidRPr="00F63FFD">
        <w:rPr>
          <w:i/>
        </w:rPr>
        <w:t xml:space="preserve">Jacoby </w:t>
      </w:r>
      <w:r w:rsidRPr="00F63FFD">
        <w:t xml:space="preserve">court </w:t>
      </w:r>
      <w:r w:rsidR="00B7598B" w:rsidRPr="00F63FFD">
        <w:t xml:space="preserve">also </w:t>
      </w:r>
      <w:r w:rsidRPr="00F63FFD">
        <w:t xml:space="preserve">enjoined the City from enforcing the ordinance.  </w:t>
      </w:r>
      <w:r w:rsidR="005B53AA" w:rsidRPr="00F63FFD">
        <w:t>The City</w:t>
      </w:r>
      <w:r w:rsidRPr="00F63FFD">
        <w:t xml:space="preserve"> appealed the judgment</w:t>
      </w:r>
      <w:r w:rsidR="005B53AA" w:rsidRPr="00F63FFD">
        <w:t xml:space="preserve"> granting the writ petition</w:t>
      </w:r>
      <w:r w:rsidRPr="00F63FFD">
        <w:t>.</w:t>
      </w:r>
      <w:r w:rsidR="004629A1" w:rsidRPr="00F63FFD" w:rsidDel="004629A1">
        <w:rPr>
          <w:rStyle w:val="FootnoteReference"/>
        </w:rPr>
        <w:t xml:space="preserve"> </w:t>
      </w:r>
    </w:p>
    <w:p w14:paraId="1ADBA053" w14:textId="77777777" w:rsidR="00494D91" w:rsidRPr="00F63FFD" w:rsidRDefault="00C810CF">
      <w:pPr>
        <w:spacing w:line="360" w:lineRule="auto"/>
        <w:jc w:val="center"/>
        <w:rPr>
          <w:i/>
        </w:rPr>
      </w:pPr>
      <w:r w:rsidRPr="00F63FFD">
        <w:rPr>
          <w:i/>
        </w:rPr>
        <w:t>Ordinance No. 68-15</w:t>
      </w:r>
    </w:p>
    <w:p w14:paraId="76A25143" w14:textId="249F6278" w:rsidR="00494D91" w:rsidRPr="00F63FFD" w:rsidRDefault="00672F48">
      <w:pPr>
        <w:spacing w:line="360" w:lineRule="auto"/>
      </w:pPr>
      <w:r w:rsidRPr="00F63FFD">
        <w:tab/>
        <w:t>Following</w:t>
      </w:r>
      <w:r w:rsidR="00C810CF" w:rsidRPr="00F63FFD">
        <w:t xml:space="preserve"> the </w:t>
      </w:r>
      <w:r w:rsidR="00C810CF" w:rsidRPr="00F63FFD">
        <w:rPr>
          <w:i/>
        </w:rPr>
        <w:t xml:space="preserve">Levin </w:t>
      </w:r>
      <w:r w:rsidR="00C810CF" w:rsidRPr="00F63FFD">
        <w:t xml:space="preserve">and </w:t>
      </w:r>
      <w:r w:rsidR="00C810CF" w:rsidRPr="00F63FFD">
        <w:rPr>
          <w:i/>
        </w:rPr>
        <w:t xml:space="preserve">Jacoby </w:t>
      </w:r>
      <w:r w:rsidRPr="00F63FFD">
        <w:t>trial court decisions</w:t>
      </w:r>
      <w:r w:rsidR="00C810CF" w:rsidRPr="00F63FFD">
        <w:t xml:space="preserve">, the City enacted ordinance </w:t>
      </w:r>
      <w:r w:rsidR="00DF0B60" w:rsidRPr="00F63FFD">
        <w:t>No.</w:t>
      </w:r>
      <w:r w:rsidR="00C810CF" w:rsidRPr="00F63FFD">
        <w:t xml:space="preserve"> 68-15 (“Ordinance 68-15”) to revise the</w:t>
      </w:r>
      <w:r w:rsidR="004629A1" w:rsidRPr="00F63FFD">
        <w:t xml:space="preserve"> invalidated</w:t>
      </w:r>
      <w:r w:rsidR="00C810CF" w:rsidRPr="00F63FFD">
        <w:t xml:space="preserve"> relocation assistance measure.  This amended ordinance preserves parts of its predecessor but modifies several of its elements</w:t>
      </w:r>
      <w:r w:rsidR="00103D92" w:rsidRPr="00F63FFD">
        <w:t>.</w:t>
      </w:r>
      <w:r w:rsidR="00E43429" w:rsidRPr="00F63FFD">
        <w:t xml:space="preserve">  </w:t>
      </w:r>
      <w:r w:rsidR="004629A1" w:rsidRPr="00F63FFD">
        <w:t>It</w:t>
      </w:r>
      <w:r w:rsidR="005B53AA" w:rsidRPr="00F63FFD">
        <w:t xml:space="preserve"> </w:t>
      </w:r>
      <w:r w:rsidR="00C810CF" w:rsidRPr="00F63FFD">
        <w:t>makes no change to the requirement that withdrawing landlords pay Ellis-Act-evicted tenants two years’ worth of increased housing costs following eviction—the Rental Payment Differential—if that amount is greater than the relocation payment allowed under Ordinance</w:t>
      </w:r>
      <w:r w:rsidR="0076153C" w:rsidRPr="00F63FFD">
        <w:t xml:space="preserve"> 68-15</w:t>
      </w:r>
      <w:r w:rsidR="00C810CF" w:rsidRPr="00F63FFD">
        <w:t xml:space="preserve">.  (S.F. Admin. </w:t>
      </w:r>
      <w:r w:rsidR="00C27BAB" w:rsidRPr="00F63FFD">
        <w:t>Code, ch. 37,</w:t>
      </w:r>
      <w:r w:rsidR="00C810CF" w:rsidRPr="00F63FFD">
        <w:t xml:space="preserve"> </w:t>
      </w:r>
      <w:r w:rsidR="006667EE" w:rsidRPr="00F63FFD">
        <w:t>§ </w:t>
      </w:r>
      <w:r w:rsidR="00C27BAB" w:rsidRPr="00F63FFD">
        <w:t>37.9A</w:t>
      </w:r>
      <w:r w:rsidR="00EA5A04" w:rsidRPr="00F63FFD">
        <w:t>,</w:t>
      </w:r>
      <w:r w:rsidR="00C27BAB" w:rsidRPr="00F63FFD">
        <w:t xml:space="preserve"> subd. </w:t>
      </w:r>
      <w:r w:rsidR="00C810CF" w:rsidRPr="00F63FFD">
        <w:t>(e)(3)(E).)  However, in contrast to Ordinance</w:t>
      </w:r>
      <w:r w:rsidR="005B53AA" w:rsidRPr="00F63FFD">
        <w:t xml:space="preserve"> 54-14</w:t>
      </w:r>
      <w:r w:rsidR="00C810CF" w:rsidRPr="00F63FFD">
        <w:t>, which placed no limit on the Rental Payment Differential, Ordinance</w:t>
      </w:r>
      <w:r w:rsidR="005B53AA" w:rsidRPr="00F63FFD">
        <w:t xml:space="preserve"> 68-15</w:t>
      </w:r>
      <w:r w:rsidR="00C810CF" w:rsidRPr="00F63FFD">
        <w:t xml:space="preserve"> caps a landlord’s payout of any Rental Payment Differential at $50,000.  (</w:t>
      </w:r>
      <w:r w:rsidR="00EA5A04" w:rsidRPr="00F63FFD">
        <w:rPr>
          <w:i/>
        </w:rPr>
        <w:t>Id.</w:t>
      </w:r>
      <w:r w:rsidR="00C27BAB" w:rsidRPr="00F63FFD">
        <w:t xml:space="preserve">, subd. </w:t>
      </w:r>
      <w:r w:rsidR="00C810CF" w:rsidRPr="00F63FFD">
        <w:t>(e)(3)(E)(ii).)</w:t>
      </w:r>
    </w:p>
    <w:p w14:paraId="4C14719F" w14:textId="3DC019A9" w:rsidR="00494D91" w:rsidRPr="00F63FFD" w:rsidRDefault="00C810CF">
      <w:pPr>
        <w:spacing w:line="360" w:lineRule="auto"/>
      </w:pPr>
      <w:r w:rsidRPr="00F63FFD">
        <w:tab/>
        <w:t xml:space="preserve">Also, whereas Ordinance </w:t>
      </w:r>
      <w:r w:rsidR="005B53AA" w:rsidRPr="00F63FFD">
        <w:t xml:space="preserve">54-14 </w:t>
      </w:r>
      <w:r w:rsidRPr="00F63FFD">
        <w:t xml:space="preserve">placed no constraints on how an evicted tenant used a relocation assistance payout, Ordinance </w:t>
      </w:r>
      <w:r w:rsidR="005B53AA" w:rsidRPr="00F63FFD">
        <w:t xml:space="preserve">68-15 </w:t>
      </w:r>
      <w:r w:rsidRPr="00F63FFD">
        <w:t xml:space="preserve">adds a requirement for tenants to submit to their landlords a statement signed under penalty of perjury certifying that the </w:t>
      </w:r>
      <w:r w:rsidRPr="00F63FFD">
        <w:lastRenderedPageBreak/>
        <w:t xml:space="preserve">relocation payment will be used solely for “Relocation Costs.” (S.F. Admin. </w:t>
      </w:r>
      <w:r w:rsidR="00C27BAB" w:rsidRPr="00F63FFD">
        <w:t>Code, ch. 37,</w:t>
      </w:r>
      <w:r w:rsidRPr="00F63FFD">
        <w:t xml:space="preserve"> </w:t>
      </w:r>
      <w:r w:rsidR="006667EE" w:rsidRPr="00F63FFD">
        <w:t>§ </w:t>
      </w:r>
      <w:r w:rsidR="00C27BAB" w:rsidRPr="00F63FFD">
        <w:t xml:space="preserve">37.9A, subd. </w:t>
      </w:r>
      <w:r w:rsidRPr="00F63FFD">
        <w:t>(e)(3)(E)(iv).)</w:t>
      </w:r>
      <w:r w:rsidR="008974E9" w:rsidRPr="00F63FFD">
        <w:rPr>
          <w:rStyle w:val="FootnoteReference"/>
        </w:rPr>
        <w:footnoteReference w:id="2"/>
      </w:r>
      <w:r w:rsidRPr="00F63FFD">
        <w:t xml:space="preserve">  The amended ordinance conditions a tenant’s receipt of any relocation payment on submission of this declaration, a sample </w:t>
      </w:r>
      <w:r w:rsidR="00103D92" w:rsidRPr="00F63FFD">
        <w:t xml:space="preserve">of </w:t>
      </w:r>
      <w:r w:rsidRPr="00F63FFD">
        <w:t>which landlords must provide to tenants.  (</w:t>
      </w:r>
      <w:r w:rsidR="00F0691A" w:rsidRPr="00F63FFD">
        <w:rPr>
          <w:i/>
        </w:rPr>
        <w:t>Ibid</w:t>
      </w:r>
      <w:r w:rsidRPr="00F63FFD">
        <w:t xml:space="preserve">.)  In addition, Ordinance 68-15 adds the requirement that </w:t>
      </w:r>
      <w:r w:rsidR="00B7598B" w:rsidRPr="00F63FFD">
        <w:t>displac</w:t>
      </w:r>
      <w:r w:rsidRPr="00F63FFD">
        <w:t>ed tenants document their relocation expenses by keeping receipts and providing them to their former landlords upon request</w:t>
      </w:r>
      <w:r w:rsidR="006A25DF" w:rsidRPr="00F63FFD">
        <w:t>; tenants who fail to do so must</w:t>
      </w:r>
      <w:r w:rsidRPr="00F63FFD">
        <w:t xml:space="preserve"> reimburse landlords for any payments tenant</w:t>
      </w:r>
      <w:r w:rsidR="00B7598B" w:rsidRPr="00F63FFD">
        <w:t>s</w:t>
      </w:r>
      <w:r w:rsidRPr="00F63FFD">
        <w:t xml:space="preserve"> cannot demonstrate were used for allowable </w:t>
      </w:r>
      <w:r w:rsidR="008974E9" w:rsidRPr="00F63FFD">
        <w:t>costs</w:t>
      </w:r>
      <w:r w:rsidRPr="00F63FFD">
        <w:t xml:space="preserve">.  (S.F. Admin. </w:t>
      </w:r>
      <w:r w:rsidR="00C27BAB" w:rsidRPr="00F63FFD">
        <w:t>Code, ch. 37,</w:t>
      </w:r>
      <w:r w:rsidRPr="00F63FFD">
        <w:t xml:space="preserve"> </w:t>
      </w:r>
      <w:r w:rsidR="006667EE" w:rsidRPr="00F63FFD">
        <w:t>§ </w:t>
      </w:r>
      <w:r w:rsidR="00C27BAB" w:rsidRPr="00F63FFD">
        <w:t xml:space="preserve">37.9A, subd. </w:t>
      </w:r>
      <w:r w:rsidR="00F0691A" w:rsidRPr="00F63FFD">
        <w:t>(e)(3)(E)(</w:t>
      </w:r>
      <w:r w:rsidRPr="00F63FFD">
        <w:t>v).)</w:t>
      </w:r>
    </w:p>
    <w:p w14:paraId="4757CB62" w14:textId="3909F9F6" w:rsidR="00494D91" w:rsidRPr="00F63FFD" w:rsidRDefault="00C810CF">
      <w:pPr>
        <w:spacing w:line="360" w:lineRule="auto"/>
      </w:pPr>
      <w:r w:rsidRPr="00F63FFD">
        <w:tab/>
        <w:t xml:space="preserve">The </w:t>
      </w:r>
      <w:r w:rsidR="004629A1" w:rsidRPr="00F63FFD">
        <w:t>amended</w:t>
      </w:r>
      <w:r w:rsidRPr="00F63FFD">
        <w:t xml:space="preserve"> </w:t>
      </w:r>
      <w:r w:rsidR="004629A1" w:rsidRPr="00F63FFD">
        <w:t>o</w:t>
      </w:r>
      <w:r w:rsidRPr="00F63FFD">
        <w:t xml:space="preserve">rdinance leaves largely undisturbed provisions of Ordinance </w:t>
      </w:r>
      <w:r w:rsidR="008974E9" w:rsidRPr="00F63FFD">
        <w:t xml:space="preserve">54-14 </w:t>
      </w:r>
      <w:r w:rsidRPr="00F63FFD">
        <w:t xml:space="preserve">authorizing landlords to seek hardship adjustments from the Rent Board.  (S.F. Admin. </w:t>
      </w:r>
      <w:r w:rsidR="00C27BAB" w:rsidRPr="00F63FFD">
        <w:t>Code, ch. 37,</w:t>
      </w:r>
      <w:r w:rsidRPr="00F63FFD">
        <w:t xml:space="preserve"> </w:t>
      </w:r>
      <w:r w:rsidR="006667EE" w:rsidRPr="00F63FFD">
        <w:t>§ </w:t>
      </w:r>
      <w:r w:rsidR="00C27BAB" w:rsidRPr="00F63FFD">
        <w:t xml:space="preserve">37.9A, subd. </w:t>
      </w:r>
      <w:r w:rsidRPr="00F63FFD">
        <w:t xml:space="preserve">(e)(3)(G).)  </w:t>
      </w:r>
      <w:r w:rsidR="00103D92" w:rsidRPr="00F63FFD">
        <w:t xml:space="preserve">Nor did it </w:t>
      </w:r>
      <w:r w:rsidRPr="00F63FFD">
        <w:t xml:space="preserve">change the ability of landlords to seek administrative relief from the Rent Board if they believe the </w:t>
      </w:r>
      <w:r w:rsidR="009F5F99" w:rsidRPr="00F63FFD">
        <w:t xml:space="preserve">City’s </w:t>
      </w:r>
      <w:r w:rsidRPr="00F63FFD">
        <w:t>average</w:t>
      </w:r>
      <w:r w:rsidR="009F5F99" w:rsidRPr="00F63FFD">
        <w:t>-</w:t>
      </w:r>
      <w:r w:rsidRPr="00F63FFD">
        <w:t>rents</w:t>
      </w:r>
      <w:r w:rsidR="009F5F99" w:rsidRPr="00F63FFD">
        <w:t xml:space="preserve"> report</w:t>
      </w:r>
      <w:r w:rsidRPr="00F63FFD">
        <w:t xml:space="preserve"> does not reflect the market rent for a comparable unit.  (</w:t>
      </w:r>
      <w:r w:rsidR="00402E17" w:rsidRPr="00F63FFD">
        <w:rPr>
          <w:i/>
        </w:rPr>
        <w:t>Id.</w:t>
      </w:r>
      <w:r w:rsidR="00C27BAB" w:rsidRPr="00F63FFD">
        <w:t xml:space="preserve">, subd. </w:t>
      </w:r>
      <w:r w:rsidRPr="00F63FFD">
        <w:t xml:space="preserve">(e)(3)(H).) </w:t>
      </w:r>
    </w:p>
    <w:p w14:paraId="0E225AA7" w14:textId="1B93B1F1" w:rsidR="00494D91" w:rsidRPr="00F63FFD" w:rsidRDefault="00C810CF">
      <w:pPr>
        <w:spacing w:line="360" w:lineRule="auto"/>
      </w:pPr>
      <w:r w:rsidRPr="00F63FFD">
        <w:tab/>
      </w:r>
      <w:r w:rsidR="004629A1" w:rsidRPr="00F63FFD">
        <w:t>O</w:t>
      </w:r>
      <w:r w:rsidRPr="00F63FFD">
        <w:t>rdinance</w:t>
      </w:r>
      <w:r w:rsidR="004629A1" w:rsidRPr="00F63FFD">
        <w:t xml:space="preserve"> 68-15</w:t>
      </w:r>
      <w:r w:rsidRPr="00F63FFD">
        <w:t xml:space="preserve"> took effect on June 14, 2015.  (</w:t>
      </w:r>
      <w:r w:rsidR="00DF120D" w:rsidRPr="00F63FFD">
        <w:t>San Francisco Ordinance No. 54-14, section 3</w:t>
      </w:r>
      <w:r w:rsidR="0009522B" w:rsidRPr="00F63FFD">
        <w:t>.</w:t>
      </w:r>
      <w:r w:rsidRPr="00F63FFD">
        <w:t xml:space="preserve">) </w:t>
      </w:r>
      <w:r w:rsidR="00415024" w:rsidRPr="00F63FFD">
        <w:t xml:space="preserve"> </w:t>
      </w:r>
      <w:r w:rsidRPr="00F63FFD">
        <w:t xml:space="preserve">Although enacted, </w:t>
      </w:r>
      <w:r w:rsidR="004629A1" w:rsidRPr="00F63FFD">
        <w:t>the ordinance</w:t>
      </w:r>
      <w:r w:rsidR="009F5F99" w:rsidRPr="00F63FFD">
        <w:t xml:space="preserve"> has not been enforced by </w:t>
      </w:r>
      <w:r w:rsidRPr="00F63FFD">
        <w:t>the City</w:t>
      </w:r>
      <w:r w:rsidR="00247011" w:rsidRPr="00F63FFD">
        <w:t>, which has taken</w:t>
      </w:r>
      <w:r w:rsidRPr="00F63FFD">
        <w:t xml:space="preserve"> the position that the “amendment [set forth in Ordinance 68-15] is covered by the previous injunction issued by the Court in </w:t>
      </w:r>
      <w:r w:rsidRPr="00F63FFD">
        <w:rPr>
          <w:i/>
        </w:rPr>
        <w:t xml:space="preserve">Levin </w:t>
      </w:r>
      <w:r w:rsidRPr="00F63FFD">
        <w:t>. . . and therefore the City is not enforcing the amended ordinance until permitted to do so by the Court.”</w:t>
      </w:r>
    </w:p>
    <w:p w14:paraId="56FC694C" w14:textId="77777777" w:rsidR="00494D91" w:rsidRPr="00F63FFD" w:rsidRDefault="00C810CF">
      <w:pPr>
        <w:spacing w:line="360" w:lineRule="auto"/>
        <w:jc w:val="center"/>
        <w:rPr>
          <w:i/>
        </w:rPr>
      </w:pPr>
      <w:r w:rsidRPr="00F63FFD">
        <w:rPr>
          <w:i/>
        </w:rPr>
        <w:t>The Coyne Lawsuit Against Ordinance 68-15</w:t>
      </w:r>
    </w:p>
    <w:p w14:paraId="2C605E07" w14:textId="26400C60" w:rsidR="00494D91" w:rsidRPr="00F63FFD" w:rsidRDefault="00C810CF">
      <w:pPr>
        <w:spacing w:line="360" w:lineRule="auto"/>
      </w:pPr>
      <w:r w:rsidRPr="00F63FFD">
        <w:tab/>
        <w:t xml:space="preserve">In response to Ordinance 68-15, property owners Martin J. Coyne, Howard Weston, Edmund A. Chute, and a non-profit corporation, the Small Property Owners of San Francisco Institute (collectively Coyne), filed a petition for writ of mandate and complaint for declaratory relief on the ground that Ordinance 68-15 deprives them of their Ellis Act right to go out of the residential rental business.  Through their writ, they </w:t>
      </w:r>
      <w:r w:rsidRPr="00F63FFD">
        <w:lastRenderedPageBreak/>
        <w:t>sought to stay, rescind, and preclude the City from enforcing Ordinance 68-15.  Their declaratory relief complaint sought a range of declarations, including that Ordinance 68-15 is facially invalid and unreasonable, improperly compels property owners to waive their constitutional right of privacy, violates due process, and amounts to a “monetary exaction” or unconstitutional taking.</w:t>
      </w:r>
    </w:p>
    <w:p w14:paraId="08040F15" w14:textId="400A188B" w:rsidR="00494D91" w:rsidRPr="00F63FFD" w:rsidRDefault="00C810CF">
      <w:pPr>
        <w:spacing w:line="360" w:lineRule="auto"/>
      </w:pPr>
      <w:r w:rsidRPr="00F63FFD">
        <w:tab/>
        <w:t xml:space="preserve">The superior court in </w:t>
      </w:r>
      <w:r w:rsidRPr="00F63FFD">
        <w:rPr>
          <w:i/>
        </w:rPr>
        <w:t xml:space="preserve">Coyne </w:t>
      </w:r>
      <w:r w:rsidR="0076153C" w:rsidRPr="00F63FFD">
        <w:t xml:space="preserve">found </w:t>
      </w:r>
      <w:r w:rsidRPr="00F63FFD">
        <w:t xml:space="preserve">plaintiffs’ facial challenge </w:t>
      </w:r>
      <w:r w:rsidR="0076153C" w:rsidRPr="00F63FFD">
        <w:t>to be “</w:t>
      </w:r>
      <w:r w:rsidRPr="00F63FFD">
        <w:t>successful</w:t>
      </w:r>
      <w:r w:rsidR="0076153C" w:rsidRPr="00F63FFD">
        <w:t>ly alleged”</w:t>
      </w:r>
      <w:r w:rsidRPr="00F63FFD">
        <w:t xml:space="preserve"> and </w:t>
      </w:r>
      <w:r w:rsidR="00D80D7A" w:rsidRPr="00F63FFD">
        <w:t xml:space="preserve">granted </w:t>
      </w:r>
      <w:r w:rsidRPr="00F63FFD">
        <w:t>the writ.</w:t>
      </w:r>
      <w:r w:rsidR="00E43429" w:rsidRPr="00F63FFD">
        <w:t xml:space="preserve">  </w:t>
      </w:r>
      <w:r w:rsidRPr="00F63FFD">
        <w:t>The court held the enhanced relocation assistance amount in the ordinance was not “reasonable” because it “is not directed at t</w:t>
      </w:r>
      <w:r w:rsidR="008B49D9" w:rsidRPr="00F63FFD">
        <w:t>he adverse impacts caused by a</w:t>
      </w:r>
      <w:r w:rsidRPr="00F63FFD">
        <w:t xml:space="preserve"> landlord’s decision (i.e. the need to pay first/last months’ rent and a security deposit and to incur moving expenses), but is instead </w:t>
      </w:r>
      <w:r w:rsidRPr="00F63FFD">
        <w:rPr>
          <w:i/>
        </w:rPr>
        <w:t xml:space="preserve">explicitly </w:t>
      </w:r>
      <w:r w:rsidRPr="00F63FFD">
        <w:t>implemented to subsidize the payment of rent that a displaced tenant will face on the open market, regardless of income, and it requires this subsidy for two years.”</w:t>
      </w:r>
      <w:r w:rsidR="0076153C" w:rsidRPr="00F63FFD">
        <w:t xml:space="preserve">  </w:t>
      </w:r>
      <w:r w:rsidRPr="00F63FFD">
        <w:t xml:space="preserve">Further, the court found the increased amount to “have no relationship to the adverse impact </w:t>
      </w:r>
      <w:r w:rsidRPr="00F63FFD">
        <w:rPr>
          <w:i/>
        </w:rPr>
        <w:t xml:space="preserve">caused </w:t>
      </w:r>
      <w:r w:rsidRPr="00F63FFD">
        <w:t>by a landlord’s decision to exit the rental market, and because they call for</w:t>
      </w:r>
      <w:r w:rsidR="00D83282">
        <w:t xml:space="preserve"> a</w:t>
      </w:r>
      <w:r w:rsidRPr="00F63FFD">
        <w:t xml:space="preserve"> more than </w:t>
      </w:r>
      <w:r w:rsidRPr="00F63FFD">
        <w:rPr>
          <w:i/>
        </w:rPr>
        <w:t xml:space="preserve">300% increase </w:t>
      </w:r>
      <w:r w:rsidRPr="00F63FFD">
        <w:t xml:space="preserve">over the prior lawful relocation </w:t>
      </w:r>
      <w:r w:rsidR="007A3909" w:rsidRPr="00F63FFD">
        <w:t xml:space="preserve">assistance </w:t>
      </w:r>
      <w:r w:rsidRPr="00F63FFD">
        <w:t>scheme.”</w:t>
      </w:r>
      <w:r w:rsidR="0076153C" w:rsidRPr="00F63FFD">
        <w:t xml:space="preserve">  </w:t>
      </w:r>
      <w:r w:rsidRPr="00F63FFD">
        <w:t xml:space="preserve">The court also </w:t>
      </w:r>
      <w:r w:rsidR="00B7598B" w:rsidRPr="00F63FFD">
        <w:t>held</w:t>
      </w:r>
      <w:r w:rsidRPr="00F63FFD">
        <w:t xml:space="preserve"> the Ellis Act preempted procedural elements of Ordinance 68-15 because the ordinance “places several impermissible and unauthorized obstacles before a landlord who seeks to </w:t>
      </w:r>
      <w:r w:rsidR="007A3909" w:rsidRPr="00F63FFD">
        <w:t xml:space="preserve">invoke the Ellis Act to </w:t>
      </w:r>
      <w:r w:rsidRPr="00F63FFD">
        <w:t xml:space="preserve">exit the rental market.”  The court enjoined the City from enforcing </w:t>
      </w:r>
      <w:r w:rsidR="004629A1" w:rsidRPr="00F63FFD">
        <w:t>O</w:t>
      </w:r>
      <w:r w:rsidRPr="00F63FFD">
        <w:t>rdinance</w:t>
      </w:r>
      <w:r w:rsidR="004629A1" w:rsidRPr="00F63FFD">
        <w:t xml:space="preserve"> 68-15</w:t>
      </w:r>
      <w:r w:rsidRPr="00F63FFD">
        <w:t xml:space="preserve">.  </w:t>
      </w:r>
      <w:r w:rsidR="00546FCB" w:rsidRPr="00F63FFD">
        <w:t xml:space="preserve">The City </w:t>
      </w:r>
      <w:r w:rsidR="004629A1" w:rsidRPr="00F63FFD">
        <w:t xml:space="preserve">again </w:t>
      </w:r>
      <w:r w:rsidRPr="00F63FFD">
        <w:t>appealed the judgment</w:t>
      </w:r>
      <w:r w:rsidR="004629A1" w:rsidRPr="00F63FFD">
        <w:t xml:space="preserve"> granting the writ petition</w:t>
      </w:r>
      <w:r w:rsidRPr="00F63FFD">
        <w:t>.</w:t>
      </w:r>
    </w:p>
    <w:p w14:paraId="1EC3589F" w14:textId="10897313" w:rsidR="00494D91" w:rsidRPr="00F63FFD" w:rsidRDefault="00C810CF">
      <w:pPr>
        <w:spacing w:line="360" w:lineRule="auto"/>
      </w:pPr>
      <w:r w:rsidRPr="00F63FFD">
        <w:tab/>
        <w:t xml:space="preserve">We consolidated the </w:t>
      </w:r>
      <w:r w:rsidRPr="00F63FFD">
        <w:rPr>
          <w:i/>
        </w:rPr>
        <w:t xml:space="preserve">Jacoby </w:t>
      </w:r>
      <w:r w:rsidRPr="00F63FFD">
        <w:t xml:space="preserve">and </w:t>
      </w:r>
      <w:r w:rsidRPr="00F63FFD">
        <w:rPr>
          <w:i/>
        </w:rPr>
        <w:t xml:space="preserve">Coyne </w:t>
      </w:r>
      <w:r w:rsidRPr="00F63FFD">
        <w:t xml:space="preserve">appeals pursuant to </w:t>
      </w:r>
      <w:r w:rsidR="00B7598B" w:rsidRPr="00F63FFD">
        <w:t>a</w:t>
      </w:r>
      <w:r w:rsidRPr="00F63FFD">
        <w:t xml:space="preserve"> joint motion made by the</w:t>
      </w:r>
      <w:r w:rsidR="00546FCB" w:rsidRPr="00F63FFD">
        <w:t xml:space="preserve"> parties.</w:t>
      </w:r>
      <w:r w:rsidR="00B630C2" w:rsidRPr="00F63FFD">
        <w:rPr>
          <w:rStyle w:val="FootnoteReference"/>
        </w:rPr>
        <w:footnoteReference w:id="3"/>
      </w:r>
      <w:r w:rsidR="00546FCB" w:rsidRPr="00F63FFD">
        <w:t xml:space="preserve">  </w:t>
      </w:r>
      <w:r w:rsidR="00247011" w:rsidRPr="00F63FFD">
        <w:t>We shall refer to</w:t>
      </w:r>
      <w:r w:rsidR="00546FCB" w:rsidRPr="00F63FFD">
        <w:t xml:space="preserve"> </w:t>
      </w:r>
      <w:r w:rsidRPr="00F63FFD">
        <w:t>Jacoby and Coyne collectively</w:t>
      </w:r>
      <w:r w:rsidR="00546FCB" w:rsidRPr="00F63FFD">
        <w:t xml:space="preserve"> as</w:t>
      </w:r>
      <w:r w:rsidRPr="00F63FFD">
        <w:t xml:space="preserve"> “the </w:t>
      </w:r>
      <w:r w:rsidRPr="00F63FFD">
        <w:rPr>
          <w:i/>
        </w:rPr>
        <w:t xml:space="preserve">Coyne </w:t>
      </w:r>
      <w:r w:rsidR="00546FCB" w:rsidRPr="00F63FFD">
        <w:t>p</w:t>
      </w:r>
      <w:r w:rsidRPr="00F63FFD">
        <w:t>laintiffs</w:t>
      </w:r>
      <w:r w:rsidR="00546FCB" w:rsidRPr="00F63FFD">
        <w:t>.</w:t>
      </w:r>
      <w:r w:rsidRPr="00F63FFD">
        <w:t>”</w:t>
      </w:r>
    </w:p>
    <w:p w14:paraId="472B83E2" w14:textId="77777777" w:rsidR="00494D91" w:rsidRPr="00F63FFD" w:rsidRDefault="00C810CF">
      <w:pPr>
        <w:spacing w:line="360" w:lineRule="auto"/>
        <w:jc w:val="center"/>
      </w:pPr>
      <w:r w:rsidRPr="00F63FFD">
        <w:lastRenderedPageBreak/>
        <w:t>DISCUSSION</w:t>
      </w:r>
    </w:p>
    <w:p w14:paraId="6B6F50D0" w14:textId="0AE1DD19" w:rsidR="00494D91" w:rsidRPr="00F63FFD" w:rsidRDefault="00354252">
      <w:pPr>
        <w:spacing w:line="360" w:lineRule="auto"/>
      </w:pPr>
      <w:r>
        <w:tab/>
      </w:r>
      <w:r w:rsidR="00C810CF" w:rsidRPr="00F63FFD">
        <w:t>“</w:t>
      </w:r>
      <w:r w:rsidR="00716BE7" w:rsidRPr="00F63FFD">
        <w:t> ‘</w:t>
      </w:r>
      <w:r>
        <w:t>T</w:t>
      </w:r>
      <w:r w:rsidR="00C810CF" w:rsidRPr="00F63FFD">
        <w:t>he issue of preemption of a municipal ordinance by state law presents a question of law, subject to de novo review.</w:t>
      </w:r>
      <w:r w:rsidR="00716BE7" w:rsidRPr="00F63FFD">
        <w:t>’ ”</w:t>
      </w:r>
      <w:r>
        <w:t xml:space="preserve">  </w:t>
      </w:r>
      <w:r w:rsidR="00C810CF" w:rsidRPr="00F63FFD">
        <w:t>(</w:t>
      </w:r>
      <w:r w:rsidR="00C810CF" w:rsidRPr="00F63FFD">
        <w:rPr>
          <w:i/>
        </w:rPr>
        <w:t>Apartment Assn. of L</w:t>
      </w:r>
      <w:r w:rsidR="00716BE7" w:rsidRPr="00F63FFD">
        <w:rPr>
          <w:i/>
        </w:rPr>
        <w:t xml:space="preserve">os </w:t>
      </w:r>
      <w:r w:rsidR="00C810CF" w:rsidRPr="00F63FFD">
        <w:rPr>
          <w:i/>
        </w:rPr>
        <w:t>A</w:t>
      </w:r>
      <w:r w:rsidR="00716BE7" w:rsidRPr="00F63FFD">
        <w:rPr>
          <w:i/>
        </w:rPr>
        <w:t>ngeles</w:t>
      </w:r>
      <w:r w:rsidR="003A30D3" w:rsidRPr="00F63FFD">
        <w:rPr>
          <w:i/>
        </w:rPr>
        <w:t>.</w:t>
      </w:r>
      <w:r w:rsidR="00C810CF" w:rsidRPr="00F63FFD">
        <w:rPr>
          <w:i/>
        </w:rPr>
        <w:t xml:space="preserve"> County, Inc. v. City of </w:t>
      </w:r>
      <w:r w:rsidR="00716BE7" w:rsidRPr="00F63FFD">
        <w:rPr>
          <w:i/>
        </w:rPr>
        <w:t>Los Angeles</w:t>
      </w:r>
      <w:r w:rsidR="00C810CF" w:rsidRPr="00F63FFD">
        <w:rPr>
          <w:i/>
        </w:rPr>
        <w:t xml:space="preserve"> </w:t>
      </w:r>
      <w:r w:rsidR="00C810CF" w:rsidRPr="00F63FFD">
        <w:t>(2009) 173 Cal.App.4th 13, 21.</w:t>
      </w:r>
      <w:r w:rsidR="00CC1BBF" w:rsidRPr="00F63FFD">
        <w:t>)</w:t>
      </w:r>
      <w:r>
        <w:t xml:space="preserve">  And b</w:t>
      </w:r>
      <w:r w:rsidRPr="00F63FFD">
        <w:t>ecause the present case involves the interpretation of a statute, we engage in de novo review of the trial court’s determinatio</w:t>
      </w:r>
      <w:r>
        <w:t>n to issue the writ of mandate.</w:t>
      </w:r>
      <w:r w:rsidRPr="00F63FFD">
        <w:t xml:space="preserve">  (</w:t>
      </w:r>
      <w:r>
        <w:rPr>
          <w:i/>
        </w:rPr>
        <w:t>Pomona Police Officers’ Assn. v. City of Pomona</w:t>
      </w:r>
      <w:r w:rsidRPr="00F63FFD">
        <w:rPr>
          <w:i/>
        </w:rPr>
        <w:t xml:space="preserve"> </w:t>
      </w:r>
      <w:r>
        <w:t>(1997) 58</w:t>
      </w:r>
      <w:r w:rsidRPr="00F63FFD">
        <w:t xml:space="preserve"> Cal.</w:t>
      </w:r>
      <w:r>
        <w:t>App.4th 578, 584.)</w:t>
      </w:r>
    </w:p>
    <w:p w14:paraId="287C21FE" w14:textId="77777777" w:rsidR="00494D91" w:rsidRPr="00F63FFD" w:rsidRDefault="00C810CF">
      <w:pPr>
        <w:spacing w:line="360" w:lineRule="auto"/>
        <w:jc w:val="center"/>
      </w:pPr>
      <w:r w:rsidRPr="00F63FFD">
        <w:t>I.</w:t>
      </w:r>
    </w:p>
    <w:p w14:paraId="3D30CC70" w14:textId="77777777" w:rsidR="00494D91" w:rsidRPr="00F63FFD" w:rsidRDefault="00C810CF">
      <w:pPr>
        <w:spacing w:line="360" w:lineRule="auto"/>
        <w:jc w:val="center"/>
        <w:rPr>
          <w:i/>
        </w:rPr>
      </w:pPr>
      <w:r w:rsidRPr="00F63FFD">
        <w:rPr>
          <w:i/>
        </w:rPr>
        <w:t>The Ellis Act Preempts the City’s Enhanced Relocation Assistance Ordinances</w:t>
      </w:r>
    </w:p>
    <w:p w14:paraId="141FC340" w14:textId="77777777" w:rsidR="00494D91" w:rsidRPr="00F63FFD" w:rsidRDefault="00C810CF">
      <w:pPr>
        <w:spacing w:line="360" w:lineRule="auto"/>
        <w:jc w:val="center"/>
        <w:rPr>
          <w:i/>
        </w:rPr>
      </w:pPr>
      <w:r w:rsidRPr="00F63FFD">
        <w:rPr>
          <w:i/>
        </w:rPr>
        <w:t>A.  General Principles of Preemption</w:t>
      </w:r>
    </w:p>
    <w:p w14:paraId="21922A92" w14:textId="4C4CC2B1" w:rsidR="00494D91" w:rsidRPr="00F63FFD" w:rsidRDefault="00C810CF">
      <w:pPr>
        <w:spacing w:line="360" w:lineRule="auto"/>
        <w:rPr>
          <w:i/>
        </w:rPr>
      </w:pPr>
      <w:r w:rsidRPr="00F63FFD">
        <w:tab/>
      </w:r>
      <w:r w:rsidR="003E6F23" w:rsidRPr="00F63FFD">
        <w:t>“ </w:t>
      </w:r>
      <w:r w:rsidRPr="00F63FFD">
        <w:t xml:space="preserve">‘Under article XI, section 7 of the California Constitution, “[a] county or city may make and enforce within its limits all local, police, sanitary, and other ordinances </w:t>
      </w:r>
      <w:r w:rsidRPr="00F63FFD">
        <w:lastRenderedPageBreak/>
        <w:t xml:space="preserve">and regulations not in conflict with general [state] laws.” </w:t>
      </w:r>
      <w:r w:rsidR="003A30D3" w:rsidRPr="00F63FFD">
        <w:t xml:space="preserve"> </w:t>
      </w:r>
      <w:r w:rsidRPr="00F63FFD">
        <w:t xml:space="preserve">[¶] </w:t>
      </w:r>
      <w:r w:rsidR="003A30D3" w:rsidRPr="00F63FFD">
        <w:t xml:space="preserve"> </w:t>
      </w:r>
      <w:r w:rsidRPr="00F63FFD">
        <w:t xml:space="preserve">“If otherwise valid local legislation conflicts with state law, it is preempted by such </w:t>
      </w:r>
      <w:r w:rsidR="003E6F23" w:rsidRPr="00F63FFD">
        <w:t>law and is void.” [Citations.]’ </w:t>
      </w:r>
      <w:r w:rsidRPr="00F63FFD">
        <w:t xml:space="preserve">”  </w:t>
      </w:r>
      <w:r w:rsidR="00B7598B" w:rsidRPr="00F63FFD">
        <w:t>(</w:t>
      </w:r>
      <w:r w:rsidRPr="00F63FFD">
        <w:rPr>
          <w:i/>
        </w:rPr>
        <w:t>O</w:t>
      </w:r>
      <w:r w:rsidR="003A30D3" w:rsidRPr="00F63FFD">
        <w:rPr>
          <w:i/>
        </w:rPr>
        <w:t>’</w:t>
      </w:r>
      <w:r w:rsidRPr="00F63FFD">
        <w:rPr>
          <w:i/>
        </w:rPr>
        <w:t>Connell v. City of Stockton</w:t>
      </w:r>
      <w:r w:rsidRPr="00F63FFD">
        <w:t xml:space="preserve"> (2007) 41 Cal.4th 1061, 1067.</w:t>
      </w:r>
      <w:r w:rsidR="00B7598B" w:rsidRPr="00F63FFD">
        <w:t>)</w:t>
      </w:r>
    </w:p>
    <w:p w14:paraId="7F77DEFA" w14:textId="28343F3F" w:rsidR="00494D91" w:rsidRPr="00F63FFD" w:rsidRDefault="003E6F23">
      <w:pPr>
        <w:spacing w:line="360" w:lineRule="auto"/>
      </w:pPr>
      <w:r w:rsidRPr="00F63FFD">
        <w:tab/>
        <w:t>“ </w:t>
      </w:r>
      <w:r w:rsidR="00C810CF" w:rsidRPr="00F63FFD">
        <w:t>‘</w:t>
      </w:r>
      <w:r w:rsidRPr="00F63FFD">
        <w:t> “</w:t>
      </w:r>
      <w:r w:rsidR="00C810CF" w:rsidRPr="00F63FFD">
        <w:t xml:space="preserve">The first step in a preemption analysis is to determine whether the local regulation explicitly conflicts with any provision of state law. </w:t>
      </w:r>
      <w:r w:rsidR="00546FCB" w:rsidRPr="00F63FFD">
        <w:t xml:space="preserve"> </w:t>
      </w:r>
      <w:r w:rsidR="00C810CF" w:rsidRPr="00F63FFD">
        <w:t>[Citation.]</w:t>
      </w:r>
      <w:r w:rsidRPr="00F63FFD">
        <w:t>” ’ </w:t>
      </w:r>
      <w:r w:rsidR="00C810CF" w:rsidRPr="00F63FFD">
        <w:t xml:space="preserve">”  </w:t>
      </w:r>
      <w:r w:rsidR="00B7598B" w:rsidRPr="00F63FFD">
        <w:t>(</w:t>
      </w:r>
      <w:r w:rsidR="00C810CF" w:rsidRPr="00F63FFD">
        <w:rPr>
          <w:i/>
        </w:rPr>
        <w:t>Calguns Foundation, Inc. v. County of San Mateo</w:t>
      </w:r>
      <w:r w:rsidR="00C810CF" w:rsidRPr="00F63FFD">
        <w:t xml:space="preserve"> (201</w:t>
      </w:r>
      <w:r w:rsidR="00635499">
        <w:t>3) 218 Cal.App.4th 661, 666</w:t>
      </w:r>
      <w:r w:rsidR="00C810CF" w:rsidRPr="00F63FFD">
        <w:t>.</w:t>
      </w:r>
      <w:r w:rsidR="00B7598B" w:rsidRPr="00F63FFD">
        <w:t>)</w:t>
      </w:r>
      <w:r w:rsidR="00E43429" w:rsidRPr="00F63FFD">
        <w:t xml:space="preserve">  </w:t>
      </w:r>
      <w:r w:rsidRPr="00F63FFD">
        <w:t>“ </w:t>
      </w:r>
      <w:r w:rsidR="00C810CF" w:rsidRPr="00F63FFD">
        <w:t>‘A conflict ex</w:t>
      </w:r>
      <w:r w:rsidRPr="00F63FFD">
        <w:t>ists if the local legislation “ </w:t>
      </w:r>
      <w:r w:rsidR="00C810CF" w:rsidRPr="00F63FFD">
        <w:t>‘duplicates, contradicts, or enters an area fully occupied by general law, either expressly or</w:t>
      </w:r>
      <w:r w:rsidRPr="00F63FFD">
        <w:t xml:space="preserve"> b</w:t>
      </w:r>
      <w:r w:rsidR="00635499">
        <w:t>y legislative implication.’ ” ’[Citations.]</w:t>
      </w:r>
      <w:r w:rsidR="00C810CF" w:rsidRPr="00F63FFD">
        <w:t>”  (</w:t>
      </w:r>
      <w:r w:rsidR="00C810CF" w:rsidRPr="00F63FFD">
        <w:rPr>
          <w:i/>
        </w:rPr>
        <w:t>Sherwin-Williams Co. v. City of Los Angeles</w:t>
      </w:r>
      <w:r w:rsidR="00C810CF" w:rsidRPr="00F63FFD">
        <w:t xml:space="preserve"> (1993) 4 Cal.4th 893, 897.</w:t>
      </w:r>
      <w:r w:rsidR="00B7598B" w:rsidRPr="00F63FFD">
        <w:t>)</w:t>
      </w:r>
    </w:p>
    <w:p w14:paraId="34B22903" w14:textId="7635EE97" w:rsidR="00494D91" w:rsidRPr="00F63FFD" w:rsidRDefault="00C810CF">
      <w:pPr>
        <w:spacing w:line="360" w:lineRule="auto"/>
      </w:pPr>
      <w:r w:rsidRPr="00F63FFD">
        <w:tab/>
        <w:t>“Local legislation is ‘duplicative’ of general law when it is coextensive therewith.</w:t>
      </w:r>
      <w:r w:rsidR="00E43429" w:rsidRPr="00F63FFD">
        <w:t xml:space="preserve">  </w:t>
      </w:r>
      <w:r w:rsidRPr="00F63FFD">
        <w:t xml:space="preserve">[Citation.]  [¶]  [L]ocal legislation is ‘contradictory’ to general law when it is inimical thereto.  [Citation.]  [¶]  [L]ocal legislation enters an area that is ‘fully occupied’ by general law when the Legislature has expressly manifested its intent to ‘fully occupy’ the area [citation], or when it has impliedly done so in light of one of the following indicia of intent: </w:t>
      </w:r>
      <w:r w:rsidR="00DE7204" w:rsidRPr="00F63FFD">
        <w:t xml:space="preserve"> </w:t>
      </w:r>
      <w:r w:rsidRPr="00F63FFD">
        <w:t>‘(1) the subject matter has been so fully and completely covered by general law as to clearly indicate that it has become exclusively a matter of state concern; (2) the subject matter has been partially covered by general law couched in such terms as to indicate clearly that a paramount state concern will not tolerate further or additional local action; or (3) the subject matter has been partially covered by general law, and the subject is of such a nature that the adverse effect of a local ordinance on the transient citizens of the state outweighs the possible benefit to the’ locality.  [Citations.]”</w:t>
      </w:r>
      <w:r w:rsidR="00E43429" w:rsidRPr="00F63FFD">
        <w:t xml:space="preserve">  </w:t>
      </w:r>
      <w:r w:rsidRPr="00F63FFD">
        <w:t>(</w:t>
      </w:r>
      <w:r w:rsidRPr="00F63FFD">
        <w:rPr>
          <w:i/>
        </w:rPr>
        <w:t>Id.</w:t>
      </w:r>
      <w:r w:rsidR="006667EE" w:rsidRPr="00F63FFD">
        <w:t xml:space="preserve"> at pp. 897–</w:t>
      </w:r>
      <w:r w:rsidRPr="00F63FFD">
        <w:t>898.)</w:t>
      </w:r>
    </w:p>
    <w:p w14:paraId="31DC2C3C" w14:textId="6EED1194" w:rsidR="00494D91" w:rsidRPr="00F63FFD" w:rsidRDefault="00C810CF">
      <w:pPr>
        <w:spacing w:line="360" w:lineRule="auto"/>
      </w:pPr>
      <w:r w:rsidRPr="00F63FFD">
        <w:tab/>
        <w:t xml:space="preserve">“[W]hen local government regulates in an area over which it traditionally has exercised control . . . California courts will presume, absent a clear indication of preemptive intent from the Legislature, that such regulation is </w:t>
      </w:r>
      <w:r w:rsidRPr="00F63FFD">
        <w:rPr>
          <w:i/>
        </w:rPr>
        <w:t xml:space="preserve">not </w:t>
      </w:r>
      <w:r w:rsidRPr="00F63FFD">
        <w:t>preempted by state statute.  [Citation.]  The presumption against preemption accords with our more general understanding that ‘it is not to be presumed that the legislature in the enactment of statutes intends to overthrow long-established principles of law unless such intention is made clearly to appear either by express declaration or by necessary implication.’  [Citations.]”  (</w:t>
      </w:r>
      <w:r w:rsidRPr="00F63FFD">
        <w:rPr>
          <w:i/>
        </w:rPr>
        <w:t xml:space="preserve">Big Creek Lumber Co. v. County of Santa Cruz </w:t>
      </w:r>
      <w:r w:rsidRPr="00F63FFD">
        <w:t xml:space="preserve">(2006) 38 Cal.4th 1139, </w:t>
      </w:r>
      <w:r w:rsidR="00DE7204" w:rsidRPr="00F63FFD">
        <w:lastRenderedPageBreak/>
        <w:t>1149–</w:t>
      </w:r>
      <w:r w:rsidRPr="00F63FFD">
        <w:t>1150.)</w:t>
      </w:r>
      <w:r w:rsidR="00546FCB" w:rsidRPr="00F63FFD">
        <w:t xml:space="preserve">  </w:t>
      </w:r>
      <w:r w:rsidRPr="00F63FFD">
        <w:t>“The party claiming that general state law preempts a local ordinance has the burden of demonstrating preemption.”  (</w:t>
      </w:r>
      <w:r w:rsidRPr="00F63FFD">
        <w:rPr>
          <w:i/>
        </w:rPr>
        <w:t>Id</w:t>
      </w:r>
      <w:r w:rsidRPr="00F63FFD">
        <w:t>.</w:t>
      </w:r>
      <w:r w:rsidRPr="00F63FFD">
        <w:rPr>
          <w:i/>
        </w:rPr>
        <w:t xml:space="preserve"> </w:t>
      </w:r>
      <w:r w:rsidR="006667EE" w:rsidRPr="00F63FFD">
        <w:t>at p. </w:t>
      </w:r>
      <w:r w:rsidRPr="00F63FFD">
        <w:t>1149.)</w:t>
      </w:r>
    </w:p>
    <w:p w14:paraId="6699D2F6" w14:textId="6499C7BD" w:rsidR="00494D91" w:rsidRPr="00F63FFD" w:rsidRDefault="00C810CF">
      <w:pPr>
        <w:spacing w:line="360" w:lineRule="auto"/>
      </w:pPr>
      <w:r w:rsidRPr="00F63FFD">
        <w:tab/>
      </w:r>
      <w:r w:rsidR="0061608F" w:rsidRPr="00F63FFD">
        <w:t>In its briefing, t</w:t>
      </w:r>
      <w:r w:rsidRPr="00F63FFD">
        <w:t xml:space="preserve">he City </w:t>
      </w:r>
      <w:r w:rsidR="001B52D0" w:rsidRPr="00F63FFD">
        <w:t>questions</w:t>
      </w:r>
      <w:r w:rsidRPr="00F63FFD">
        <w:t xml:space="preserve"> </w:t>
      </w:r>
      <w:r w:rsidR="00171500" w:rsidRPr="00F63FFD">
        <w:t>“</w:t>
      </w:r>
      <w:r w:rsidRPr="00F63FFD">
        <w:t>which of the three kinds of preemption—contradiction preemption, field preemption</w:t>
      </w:r>
      <w:r w:rsidR="003A30D3" w:rsidRPr="00F63FFD">
        <w:t>, or duplication preemption</w:t>
      </w:r>
      <w:r w:rsidRPr="00F63FFD">
        <w:t>—</w:t>
      </w:r>
      <w:r w:rsidR="00171500" w:rsidRPr="00F63FFD">
        <w:t>[</w:t>
      </w:r>
      <w:r w:rsidRPr="00F63FFD">
        <w:t xml:space="preserve">the </w:t>
      </w:r>
      <w:r w:rsidRPr="00F63FFD">
        <w:rPr>
          <w:i/>
        </w:rPr>
        <w:t xml:space="preserve">Coyne </w:t>
      </w:r>
      <w:r w:rsidR="00171500" w:rsidRPr="00F63FFD">
        <w:t>p</w:t>
      </w:r>
      <w:r w:rsidRPr="00F63FFD">
        <w:t>laintiffs</w:t>
      </w:r>
      <w:r w:rsidR="00171500" w:rsidRPr="00F63FFD">
        <w:t>]</w:t>
      </w:r>
      <w:r w:rsidR="001B52D0" w:rsidRPr="00F63FFD">
        <w:t xml:space="preserve"> claim.</w:t>
      </w:r>
      <w:r w:rsidR="00171500" w:rsidRPr="00F63FFD">
        <w:t>”</w:t>
      </w:r>
      <w:r w:rsidR="00E43429" w:rsidRPr="00F63FFD">
        <w:t xml:space="preserve">  </w:t>
      </w:r>
      <w:r w:rsidRPr="00F63FFD">
        <w:t xml:space="preserve">The </w:t>
      </w:r>
      <w:r w:rsidRPr="00F63FFD">
        <w:rPr>
          <w:i/>
        </w:rPr>
        <w:t xml:space="preserve">Coyne </w:t>
      </w:r>
      <w:r w:rsidR="00171500" w:rsidRPr="00F63FFD">
        <w:t>p</w:t>
      </w:r>
      <w:r w:rsidRPr="00F63FFD">
        <w:t xml:space="preserve">laintiffs do not appear to argue that Ordinance 68-15 duplicates the Ellis Act, and the City does not address duplication preemption, finding no such claim plausible.  Rather, the </w:t>
      </w:r>
      <w:r w:rsidRPr="00F63FFD">
        <w:rPr>
          <w:i/>
        </w:rPr>
        <w:t xml:space="preserve">Coyne </w:t>
      </w:r>
      <w:r w:rsidR="00171500" w:rsidRPr="00F63FFD">
        <w:t>p</w:t>
      </w:r>
      <w:r w:rsidRPr="00F63FFD">
        <w:t xml:space="preserve">laintiffs </w:t>
      </w:r>
      <w:r w:rsidR="001B52D0" w:rsidRPr="00F63FFD">
        <w:t>assert</w:t>
      </w:r>
      <w:r w:rsidR="00171500" w:rsidRPr="00F63FFD">
        <w:t xml:space="preserve"> </w:t>
      </w:r>
      <w:r w:rsidRPr="00F63FFD">
        <w:t>that preemption takes place when local laws “conflict,” “contradict</w:t>
      </w:r>
      <w:r w:rsidR="00DE7204" w:rsidRPr="00F63FFD">
        <w:t>[]</w:t>
      </w:r>
      <w:r w:rsidRPr="00F63FFD">
        <w:t xml:space="preserve">,” or are “inimical” to state law, suggesting </w:t>
      </w:r>
      <w:r w:rsidRPr="00F63FFD">
        <w:rPr>
          <w:i/>
        </w:rPr>
        <w:t>contradiction</w:t>
      </w:r>
      <w:r w:rsidRPr="00F63FFD">
        <w:t xml:space="preserve"> preemption </w:t>
      </w:r>
      <w:r w:rsidR="00EA6E14" w:rsidRPr="00F63FFD">
        <w:t>is</w:t>
      </w:r>
      <w:r w:rsidRPr="00F63FFD">
        <w:t xml:space="preserve"> their core preemption claim.  </w:t>
      </w:r>
      <w:r w:rsidR="004130CE" w:rsidRPr="00F63FFD">
        <w:t>T</w:t>
      </w:r>
      <w:r w:rsidRPr="00F63FFD">
        <w:t xml:space="preserve">he City </w:t>
      </w:r>
      <w:r w:rsidR="004130CE" w:rsidRPr="00F63FFD">
        <w:t>rejects this analysis, arguing</w:t>
      </w:r>
      <w:r w:rsidRPr="00F63FFD">
        <w:t xml:space="preserve"> neither contradiction preemption nor field preemption invalidates its amended ordinance.  </w:t>
      </w:r>
      <w:r w:rsidR="00546FCB" w:rsidRPr="00F63FFD">
        <w:t>First a</w:t>
      </w:r>
      <w:r w:rsidR="00171500" w:rsidRPr="00F63FFD">
        <w:t>pplying</w:t>
      </w:r>
      <w:r w:rsidRPr="00F63FFD">
        <w:t xml:space="preserve"> contradiction preemption (or conflict preemption), we consider whether the enhanced relocation assistance payments provisions of the City’s ordinances are valid.</w:t>
      </w:r>
    </w:p>
    <w:p w14:paraId="363F070D" w14:textId="77777777" w:rsidR="00494D91" w:rsidRPr="00F63FFD" w:rsidRDefault="00C810CF" w:rsidP="00507222">
      <w:pPr>
        <w:spacing w:after="180" w:line="240" w:lineRule="auto"/>
        <w:jc w:val="center"/>
        <w:rPr>
          <w:i/>
        </w:rPr>
      </w:pPr>
      <w:r w:rsidRPr="00F63FFD">
        <w:rPr>
          <w:i/>
        </w:rPr>
        <w:t>B.  Local Ordinances Cannot Impose a “Prohibitive Price” on a Landlord’s Ability to Exit the Residential Rental Business</w:t>
      </w:r>
    </w:p>
    <w:p w14:paraId="6BDAD6B2" w14:textId="62D9BBBC" w:rsidR="0061608F" w:rsidRPr="00F63FFD" w:rsidRDefault="00C810CF">
      <w:pPr>
        <w:spacing w:line="360" w:lineRule="auto"/>
      </w:pPr>
      <w:r w:rsidRPr="00F63FFD">
        <w:tab/>
        <w:t>As a threshold matter, the parties</w:t>
      </w:r>
      <w:r w:rsidR="0061608F" w:rsidRPr="00F63FFD">
        <w:t>’ briefs to this Court</w:t>
      </w:r>
      <w:r w:rsidRPr="00F63FFD">
        <w:t xml:space="preserve"> debate the appropriate analytical standard for evaluating the validity of the enhanced payment requirements under a </w:t>
      </w:r>
      <w:r w:rsidR="004130CE" w:rsidRPr="00F63FFD">
        <w:t>contrad</w:t>
      </w:r>
      <w:r w:rsidR="0061608F" w:rsidRPr="00F63FFD">
        <w:t>i</w:t>
      </w:r>
      <w:r w:rsidR="004130CE" w:rsidRPr="00F63FFD">
        <w:t xml:space="preserve">ction or </w:t>
      </w:r>
      <w:r w:rsidRPr="00F63FFD">
        <w:t>conflict</w:t>
      </w:r>
      <w:r w:rsidR="004130CE" w:rsidRPr="00F63FFD">
        <w:t xml:space="preserve"> </w:t>
      </w:r>
      <w:r w:rsidRPr="00F63FFD">
        <w:t xml:space="preserve">preemption analysis.  The </w:t>
      </w:r>
      <w:r w:rsidRPr="00F63FFD">
        <w:rPr>
          <w:i/>
        </w:rPr>
        <w:t xml:space="preserve">Coyne </w:t>
      </w:r>
      <w:r w:rsidR="00171500" w:rsidRPr="00F63FFD">
        <w:t>p</w:t>
      </w:r>
      <w:r w:rsidRPr="00F63FFD">
        <w:t xml:space="preserve">laintiffs insist the standard to use to determine whether the enhanced </w:t>
      </w:r>
      <w:r w:rsidR="00171500" w:rsidRPr="00F63FFD">
        <w:t xml:space="preserve">mitigation </w:t>
      </w:r>
      <w:r w:rsidRPr="00F63FFD">
        <w:t xml:space="preserve">payment provisions conflict with the Ellis Act is a </w:t>
      </w:r>
      <w:r w:rsidRPr="00F63FFD">
        <w:rPr>
          <w:i/>
        </w:rPr>
        <w:t>reasonableness</w:t>
      </w:r>
      <w:r w:rsidRPr="00F63FFD">
        <w:t xml:space="preserve"> standard: </w:t>
      </w:r>
      <w:r w:rsidR="000E675D" w:rsidRPr="00F63FFD">
        <w:t>They posit, “[W]hen the mitigation payment is ‘so disproportiona</w:t>
      </w:r>
      <w:r w:rsidR="00171500" w:rsidRPr="00F63FFD">
        <w:t>tely high</w:t>
      </w:r>
      <w:r w:rsidR="000E675D" w:rsidRPr="00F63FFD">
        <w:t>er . . .</w:t>
      </w:r>
      <w:r w:rsidR="00171500" w:rsidRPr="00F63FFD">
        <w:t xml:space="preserve"> that it is </w:t>
      </w:r>
      <w:r w:rsidR="000E675D" w:rsidRPr="00F63FFD">
        <w:t xml:space="preserve">necessarily </w:t>
      </w:r>
      <w:r w:rsidR="00171500" w:rsidRPr="00F63FFD">
        <w:t xml:space="preserve">beyond </w:t>
      </w:r>
      <w:r w:rsidR="000E675D" w:rsidRPr="00F63FFD">
        <w:t>that contemplated in the Ellis Act,’ ” it is unreasonable and preempted.</w:t>
      </w:r>
      <w:r w:rsidRPr="00F63FFD">
        <w:t xml:space="preserve">  </w:t>
      </w:r>
      <w:r w:rsidRPr="00F63FFD">
        <w:rPr>
          <w:szCs w:val="20"/>
        </w:rPr>
        <w:t xml:space="preserve">The superior court in both underlying cases adopted the reasonableness standard.  </w:t>
      </w:r>
      <w:r w:rsidRPr="00F63FFD">
        <w:t>Meanwhile, the City rejects reasonableness as the proper standard for our review, asserting that “[u]nder the contradiction-preemption test, the City is prohibited by the Ellis Act only from enacting a local law that directly or impliedly ‘compel[s]’ landlords ‘to continue to offer[]</w:t>
      </w:r>
      <w:r w:rsidR="004D3D1B" w:rsidRPr="00F63FFD">
        <w:t>’ units for rent or lease.</w:t>
      </w:r>
      <w:r w:rsidRPr="00F63FFD">
        <w:t xml:space="preserve">”  </w:t>
      </w:r>
      <w:r w:rsidR="00AB710E" w:rsidRPr="00F63FFD">
        <w:t>Under t</w:t>
      </w:r>
      <w:r w:rsidRPr="00F63FFD">
        <w:t>he City</w:t>
      </w:r>
      <w:r w:rsidR="00FE7C0C" w:rsidRPr="00F63FFD">
        <w:t xml:space="preserve">’s </w:t>
      </w:r>
      <w:r w:rsidR="00AB710E" w:rsidRPr="00F63FFD">
        <w:rPr>
          <w:i/>
        </w:rPr>
        <w:t>compulsion</w:t>
      </w:r>
      <w:r w:rsidR="002D6B2E" w:rsidRPr="00F63FFD">
        <w:t xml:space="preserve"> formulation of</w:t>
      </w:r>
      <w:r w:rsidR="00931FB9" w:rsidRPr="00F63FFD">
        <w:t xml:space="preserve"> the contradiction</w:t>
      </w:r>
      <w:r w:rsidR="00D76F84" w:rsidRPr="00F63FFD">
        <w:t>-preemption</w:t>
      </w:r>
      <w:r w:rsidR="00931FB9" w:rsidRPr="00F63FFD">
        <w:t xml:space="preserve"> test</w:t>
      </w:r>
      <w:r w:rsidR="00AB710E" w:rsidRPr="00F63FFD">
        <w:t>,</w:t>
      </w:r>
      <w:r w:rsidR="00931FB9" w:rsidRPr="00F63FFD">
        <w:t xml:space="preserve"> </w:t>
      </w:r>
      <w:r w:rsidRPr="00F63FFD">
        <w:t>the proper preemption inquiry is whether the payment obligation impermissibly compel</w:t>
      </w:r>
      <w:r w:rsidR="00CD5304" w:rsidRPr="00F63FFD">
        <w:t>s</w:t>
      </w:r>
      <w:r w:rsidRPr="00F63FFD">
        <w:t xml:space="preserve"> landlords to remain in the residential rental business.</w:t>
      </w:r>
    </w:p>
    <w:p w14:paraId="2AFE55D7" w14:textId="3376F7E5" w:rsidR="00494D91" w:rsidRPr="00F63FFD" w:rsidRDefault="0061608F">
      <w:pPr>
        <w:spacing w:line="360" w:lineRule="auto"/>
      </w:pPr>
      <w:r w:rsidRPr="00F63FFD">
        <w:lastRenderedPageBreak/>
        <w:tab/>
        <w:t>Prior to oral argument, we asked</w:t>
      </w:r>
      <w:r w:rsidR="006E1681" w:rsidRPr="00F63FFD">
        <w:t xml:space="preserve"> the parties to </w:t>
      </w:r>
      <w:r w:rsidR="00FE7C0C" w:rsidRPr="00F63FFD">
        <w:t xml:space="preserve">address </w:t>
      </w:r>
      <w:r w:rsidR="006E1681" w:rsidRPr="00F63FFD">
        <w:t xml:space="preserve">whether the appropriate analytical standard for evaluating </w:t>
      </w:r>
      <w:r w:rsidR="00FE7C0C" w:rsidRPr="00F63FFD">
        <w:t xml:space="preserve">the plaintiffs’ preemption claim </w:t>
      </w:r>
      <w:r w:rsidR="006E1681" w:rsidRPr="00F63FFD">
        <w:t xml:space="preserve">is “whether they impose a </w:t>
      </w:r>
      <w:r w:rsidR="006E1681" w:rsidRPr="00F63FFD">
        <w:rPr>
          <w:i/>
        </w:rPr>
        <w:t xml:space="preserve">prohibitive price </w:t>
      </w:r>
      <w:r w:rsidR="006E1681" w:rsidRPr="00F63FFD">
        <w:t>on the landlords exercising their rights</w:t>
      </w:r>
      <w:r w:rsidR="00436831" w:rsidRPr="00F63FFD">
        <w:t xml:space="preserve"> </w:t>
      </w:r>
      <w:r w:rsidR="006E1681" w:rsidRPr="00F63FFD">
        <w:t>under the Ellis Act to withdraw from the residential rental business.”</w:t>
      </w:r>
      <w:r w:rsidRPr="00F63FFD">
        <w:t xml:space="preserve"> </w:t>
      </w:r>
      <w:r w:rsidR="00931FB9" w:rsidRPr="00F63FFD">
        <w:t xml:space="preserve"> </w:t>
      </w:r>
      <w:r w:rsidR="0067225A" w:rsidRPr="00F63FFD">
        <w:t>At oral argument, the City</w:t>
      </w:r>
      <w:r w:rsidR="00FE7C0C" w:rsidRPr="00F63FFD">
        <w:t xml:space="preserve"> initially argued </w:t>
      </w:r>
      <w:r w:rsidR="0067225A" w:rsidRPr="00F63FFD">
        <w:t>there should be no doubt that . . . pro</w:t>
      </w:r>
      <w:r w:rsidR="00FE7C0C" w:rsidRPr="00F63FFD">
        <w:t>hibitive price is the standard.</w:t>
      </w:r>
      <w:r w:rsidR="0067225A" w:rsidRPr="00F63FFD">
        <w:t xml:space="preserve"> </w:t>
      </w:r>
      <w:r w:rsidR="004F394E" w:rsidRPr="00F63FFD">
        <w:t xml:space="preserve"> The Cit</w:t>
      </w:r>
      <w:r w:rsidR="002707D0" w:rsidRPr="00F63FFD">
        <w:t>y</w:t>
      </w:r>
      <w:r w:rsidR="004F394E" w:rsidRPr="00F63FFD">
        <w:t xml:space="preserve"> further explained that “prohibitive price is compulsion,” noting that </w:t>
      </w:r>
      <w:r w:rsidR="002707D0" w:rsidRPr="00F63FFD">
        <w:t>“</w:t>
      </w:r>
      <w:r w:rsidR="004F394E" w:rsidRPr="00F63FFD">
        <w:t>the City is not allowed to directly compel landlords to remain in the residential rental busine</w:t>
      </w:r>
      <w:r w:rsidR="002707D0" w:rsidRPr="00F63FFD">
        <w:t>ss.  I</w:t>
      </w:r>
      <w:r w:rsidR="004F394E" w:rsidRPr="00F63FFD">
        <w:t xml:space="preserve">t is not allowed to do the same thing indirectly by exacting a price that is so high that landlords can’t in practice pay it or even that will materially </w:t>
      </w:r>
      <w:r w:rsidR="002707D0" w:rsidRPr="00F63FFD">
        <w:t>deter them from evicting under the Ellis Act</w:t>
      </w:r>
      <w:r w:rsidR="004F394E" w:rsidRPr="00F63FFD">
        <w:t>.”</w:t>
      </w:r>
      <w:r w:rsidR="002707D0" w:rsidRPr="00F63FFD">
        <w:t xml:space="preserve"> </w:t>
      </w:r>
      <w:r w:rsidR="00436831" w:rsidRPr="00F63FFD">
        <w:t xml:space="preserve"> </w:t>
      </w:r>
      <w:r w:rsidR="00FE7C0C" w:rsidRPr="00F63FFD">
        <w:t xml:space="preserve">The </w:t>
      </w:r>
      <w:r w:rsidR="00FE7C0C" w:rsidRPr="00DE368C">
        <w:rPr>
          <w:i/>
        </w:rPr>
        <w:t>Coyne</w:t>
      </w:r>
      <w:r w:rsidR="00FE7C0C" w:rsidRPr="00F63FFD">
        <w:t xml:space="preserve"> plaintiffs </w:t>
      </w:r>
      <w:r w:rsidR="005F047F" w:rsidRPr="00F63FFD">
        <w:t xml:space="preserve">ultimately </w:t>
      </w:r>
      <w:r w:rsidR="00FE7C0C" w:rsidRPr="00F63FFD">
        <w:t xml:space="preserve">agreed, urging this court to adopt the </w:t>
      </w:r>
      <w:r w:rsidR="00BF464C" w:rsidRPr="00F63FFD">
        <w:t xml:space="preserve">prohibitive price </w:t>
      </w:r>
      <w:r w:rsidR="00FE7C0C" w:rsidRPr="00F63FFD">
        <w:t xml:space="preserve">framework applied by our </w:t>
      </w:r>
      <w:r w:rsidR="002954E6" w:rsidRPr="00F63FFD">
        <w:t>c</w:t>
      </w:r>
      <w:r w:rsidR="00FE7C0C" w:rsidRPr="00F63FFD">
        <w:t xml:space="preserve">olleagues in </w:t>
      </w:r>
      <w:r w:rsidR="005F047F" w:rsidRPr="00F63FFD">
        <w:rPr>
          <w:i/>
        </w:rPr>
        <w:t>San Francisco Apartment Association</w:t>
      </w:r>
      <w:r w:rsidR="00436831" w:rsidRPr="00F63FFD">
        <w:t>.</w:t>
      </w:r>
    </w:p>
    <w:p w14:paraId="1A491974" w14:textId="6B0584B3" w:rsidR="00494D91" w:rsidRPr="00F63FFD" w:rsidRDefault="00C810CF" w:rsidP="00547F88">
      <w:pPr>
        <w:spacing w:line="360" w:lineRule="auto"/>
      </w:pPr>
      <w:r w:rsidRPr="00F63FFD">
        <w:tab/>
      </w:r>
      <w:r w:rsidR="00767B1E" w:rsidRPr="00F63FFD">
        <w:t>We conclude the prohibitive price standard is the appropriate standard to determine conflict preemption</w:t>
      </w:r>
      <w:r w:rsidR="00F35936" w:rsidRPr="00F63FFD">
        <w:t xml:space="preserve"> under the Ellis Act</w:t>
      </w:r>
      <w:r w:rsidR="00CD5304" w:rsidRPr="00F63FFD">
        <w:t xml:space="preserve">.  It </w:t>
      </w:r>
      <w:r w:rsidR="00FE7C0C" w:rsidRPr="00F63FFD">
        <w:t>is the</w:t>
      </w:r>
      <w:r w:rsidR="000E675D" w:rsidRPr="00F63FFD">
        <w:t xml:space="preserve"> </w:t>
      </w:r>
      <w:r w:rsidR="00AB710E" w:rsidRPr="00F63FFD">
        <w:t xml:space="preserve">measure </w:t>
      </w:r>
      <w:r w:rsidR="006A25DF" w:rsidRPr="00F63FFD">
        <w:t>appellate courts</w:t>
      </w:r>
      <w:r w:rsidRPr="00F63FFD">
        <w:t xml:space="preserve"> </w:t>
      </w:r>
      <w:r w:rsidR="00D078F1" w:rsidRPr="00F63FFD">
        <w:t>cons</w:t>
      </w:r>
      <w:r w:rsidR="000E675D" w:rsidRPr="00F63FFD">
        <w:t>istently adopt</w:t>
      </w:r>
      <w:r w:rsidRPr="00F63FFD">
        <w:t xml:space="preserve"> to determin</w:t>
      </w:r>
      <w:r w:rsidR="000E675D" w:rsidRPr="00F63FFD">
        <w:t>e</w:t>
      </w:r>
      <w:r w:rsidRPr="00F63FFD">
        <w:t xml:space="preserve"> </w:t>
      </w:r>
      <w:r w:rsidR="008B7DB4" w:rsidRPr="00F63FFD">
        <w:t xml:space="preserve">if </w:t>
      </w:r>
      <w:r w:rsidRPr="00F63FFD">
        <w:t>a</w:t>
      </w:r>
      <w:r w:rsidR="0048099B" w:rsidRPr="00F63FFD">
        <w:t xml:space="preserve"> challenged</w:t>
      </w:r>
      <w:r w:rsidRPr="00F63FFD">
        <w:t xml:space="preserve"> ordinance contradicts</w:t>
      </w:r>
      <w:r w:rsidR="008B7DB4" w:rsidRPr="00F63FFD">
        <w:t xml:space="preserve"> the state law</w:t>
      </w:r>
      <w:r w:rsidRPr="00F63FFD">
        <w:t xml:space="preserve">.  (See </w:t>
      </w:r>
      <w:r w:rsidRPr="00F63FFD">
        <w:rPr>
          <w:i/>
        </w:rPr>
        <w:t>Javidzad</w:t>
      </w:r>
      <w:r w:rsidR="000E675D" w:rsidRPr="00F63FFD">
        <w:rPr>
          <w:i/>
        </w:rPr>
        <w:t xml:space="preserve"> v. City of Santa Monica</w:t>
      </w:r>
      <w:r w:rsidR="00D73772" w:rsidRPr="00F63FFD">
        <w:rPr>
          <w:i/>
        </w:rPr>
        <w:t xml:space="preserve"> </w:t>
      </w:r>
      <w:r w:rsidR="00D73772" w:rsidRPr="00F63FFD">
        <w:t xml:space="preserve">(1988) </w:t>
      </w:r>
      <w:r w:rsidRPr="00F63FFD">
        <w:t xml:space="preserve">204 Cal.App.3d </w:t>
      </w:r>
      <w:r w:rsidR="000E675D" w:rsidRPr="00F63FFD">
        <w:t xml:space="preserve">524, </w:t>
      </w:r>
      <w:r w:rsidRPr="00F63FFD">
        <w:t>531</w:t>
      </w:r>
      <w:r w:rsidR="00D078F1" w:rsidRPr="00F63FFD">
        <w:t xml:space="preserve"> </w:t>
      </w:r>
      <w:r w:rsidR="007961C4" w:rsidRPr="00F63FFD">
        <w:t>(</w:t>
      </w:r>
      <w:r w:rsidR="007961C4" w:rsidRPr="00F63FFD">
        <w:rPr>
          <w:i/>
        </w:rPr>
        <w:t>Javidzad</w:t>
      </w:r>
      <w:r w:rsidR="007961C4" w:rsidRPr="00F63FFD">
        <w:t xml:space="preserve">) </w:t>
      </w:r>
      <w:r w:rsidR="00D078F1" w:rsidRPr="00F63FFD">
        <w:t xml:space="preserve">[ordinance </w:t>
      </w:r>
      <w:r w:rsidR="00D73772" w:rsidRPr="00F63FFD">
        <w:t xml:space="preserve">requiring landlords to </w:t>
      </w:r>
      <w:r w:rsidR="00D078F1" w:rsidRPr="00F63FFD">
        <w:t>obtain permit to remove unit</w:t>
      </w:r>
      <w:r w:rsidR="00D73772" w:rsidRPr="00F63FFD">
        <w:t>s from rental market preempted because criteria for permit</w:t>
      </w:r>
      <w:r w:rsidR="00D078F1" w:rsidRPr="00F63FFD">
        <w:t xml:space="preserve"> “impose[d] a </w:t>
      </w:r>
      <w:r w:rsidR="00D078F1" w:rsidRPr="00F63FFD">
        <w:rPr>
          <w:i/>
        </w:rPr>
        <w:t>prohibitive price</w:t>
      </w:r>
      <w:r w:rsidR="00D078F1" w:rsidRPr="00F63FFD">
        <w:t xml:space="preserve"> on the exercise of the right under the [Ellis] Act” (italics added)]</w:t>
      </w:r>
      <w:r w:rsidRPr="00F63FFD">
        <w:t xml:space="preserve">; </w:t>
      </w:r>
      <w:r w:rsidRPr="00F63FFD">
        <w:rPr>
          <w:i/>
        </w:rPr>
        <w:t>Bullock</w:t>
      </w:r>
      <w:r w:rsidR="00436831" w:rsidRPr="00F63FFD">
        <w:rPr>
          <w:i/>
        </w:rPr>
        <w:t xml:space="preserve"> v. City and</w:t>
      </w:r>
      <w:r w:rsidR="00D73772" w:rsidRPr="00F63FFD">
        <w:rPr>
          <w:i/>
        </w:rPr>
        <w:t xml:space="preserve"> County of San Francisco</w:t>
      </w:r>
      <w:r w:rsidR="00D73772" w:rsidRPr="00F63FFD">
        <w:t xml:space="preserve"> (1990) </w:t>
      </w:r>
      <w:r w:rsidRPr="00F63FFD">
        <w:t xml:space="preserve">221 Cal.App.3d </w:t>
      </w:r>
      <w:r w:rsidR="00D73772" w:rsidRPr="00F63FFD">
        <w:t>1072,</w:t>
      </w:r>
      <w:r w:rsidRPr="00F63FFD">
        <w:t xml:space="preserve"> 1101</w:t>
      </w:r>
      <w:r w:rsidR="00D73772" w:rsidRPr="00F63FFD">
        <w:t xml:space="preserve"> (</w:t>
      </w:r>
      <w:r w:rsidR="00D73772" w:rsidRPr="00F63FFD">
        <w:rPr>
          <w:i/>
        </w:rPr>
        <w:t>Bullock</w:t>
      </w:r>
      <w:r w:rsidR="00D73772" w:rsidRPr="00F63FFD">
        <w:t>)</w:t>
      </w:r>
      <w:r w:rsidR="008146C9" w:rsidRPr="00F63FFD">
        <w:t xml:space="preserve"> </w:t>
      </w:r>
      <w:r w:rsidR="00D078F1" w:rsidRPr="00F63FFD">
        <w:t>[city ordinance requir</w:t>
      </w:r>
      <w:r w:rsidR="00D73772" w:rsidRPr="00F63FFD">
        <w:t>ing owner to replace housing stock</w:t>
      </w:r>
      <w:r w:rsidR="00D078F1" w:rsidRPr="00F63FFD">
        <w:t xml:space="preserve"> </w:t>
      </w:r>
      <w:r w:rsidR="00D73772" w:rsidRPr="00F63FFD">
        <w:t xml:space="preserve">or pay in lieu fee </w:t>
      </w:r>
      <w:r w:rsidR="00D078F1" w:rsidRPr="00F63FFD">
        <w:t>in order to co</w:t>
      </w:r>
      <w:r w:rsidR="00D73772" w:rsidRPr="00F63FFD">
        <w:t>n</w:t>
      </w:r>
      <w:r w:rsidR="00D078F1" w:rsidRPr="00F63FFD">
        <w:t>vert residential units into hotel units “impose</w:t>
      </w:r>
      <w:r w:rsidR="00C50E5F" w:rsidRPr="00F63FFD">
        <w:t>[</w:t>
      </w:r>
      <w:r w:rsidR="00D078F1" w:rsidRPr="00F63FFD">
        <w:t>d</w:t>
      </w:r>
      <w:r w:rsidR="00C50E5F" w:rsidRPr="00F63FFD">
        <w:t>]</w:t>
      </w:r>
      <w:r w:rsidR="00D078F1" w:rsidRPr="00F63FFD">
        <w:t xml:space="preserve"> a </w:t>
      </w:r>
      <w:r w:rsidR="00D078F1" w:rsidRPr="00F63FFD">
        <w:rPr>
          <w:i/>
        </w:rPr>
        <w:t>prohibitive price</w:t>
      </w:r>
      <w:r w:rsidR="00D078F1" w:rsidRPr="00F63FFD">
        <w:t xml:space="preserve"> on the exercise of [the right to go out of business] under the [Ellis] Act” (italics added)</w:t>
      </w:r>
      <w:r w:rsidR="00137707" w:rsidRPr="00F63FFD">
        <w:t>]</w:t>
      </w:r>
      <w:r w:rsidRPr="00F63FFD">
        <w:t xml:space="preserve">; </w:t>
      </w:r>
      <w:r w:rsidRPr="00F63FFD">
        <w:rPr>
          <w:i/>
        </w:rPr>
        <w:t>Channing Properties</w:t>
      </w:r>
      <w:r w:rsidR="00D73772" w:rsidRPr="00F63FFD">
        <w:rPr>
          <w:i/>
        </w:rPr>
        <w:t xml:space="preserve"> v. City of Berkeley </w:t>
      </w:r>
      <w:r w:rsidR="00D73772" w:rsidRPr="00F63FFD">
        <w:t xml:space="preserve">(1992) </w:t>
      </w:r>
      <w:r w:rsidRPr="00F63FFD">
        <w:t xml:space="preserve">11 Cal.App.4th </w:t>
      </w:r>
      <w:r w:rsidR="00C50E5F" w:rsidRPr="00F63FFD">
        <w:t>88, 99–</w:t>
      </w:r>
      <w:r w:rsidR="00D73772" w:rsidRPr="00F63FFD">
        <w:t>100</w:t>
      </w:r>
      <w:r w:rsidR="008146C9" w:rsidRPr="00F63FFD">
        <w:t xml:space="preserve"> </w:t>
      </w:r>
      <w:r w:rsidR="00D73772" w:rsidRPr="00F63FFD">
        <w:t>[city</w:t>
      </w:r>
      <w:r w:rsidR="00D078F1" w:rsidRPr="00F63FFD">
        <w:t xml:space="preserve"> ordinance requiring landlords </w:t>
      </w:r>
      <w:r w:rsidR="00C50E5F" w:rsidRPr="00F63FFD">
        <w:t xml:space="preserve">to </w:t>
      </w:r>
      <w:r w:rsidR="00D078F1" w:rsidRPr="00F63FFD">
        <w:t>pay relocation assi</w:t>
      </w:r>
      <w:r w:rsidR="001A4329" w:rsidRPr="00F63FFD">
        <w:t xml:space="preserve">stance to </w:t>
      </w:r>
      <w:r w:rsidR="00D73772" w:rsidRPr="00F63FFD">
        <w:t xml:space="preserve">all </w:t>
      </w:r>
      <w:r w:rsidR="001A4329" w:rsidRPr="00F63FFD">
        <w:t xml:space="preserve">evicted tenants </w:t>
      </w:r>
      <w:r w:rsidR="00D73772" w:rsidRPr="00F63FFD">
        <w:t xml:space="preserve">invalid </w:t>
      </w:r>
      <w:r w:rsidR="001A4329" w:rsidRPr="00F63FFD">
        <w:t xml:space="preserve">because such payments </w:t>
      </w:r>
      <w:r w:rsidR="00C50E5F" w:rsidRPr="00F63FFD">
        <w:t>“might well ‘</w:t>
      </w:r>
      <w:r w:rsidR="00D078F1" w:rsidRPr="00F63FFD">
        <w:t xml:space="preserve">impose[] a </w:t>
      </w:r>
      <w:r w:rsidR="00D078F1" w:rsidRPr="00F63FFD">
        <w:rPr>
          <w:i/>
        </w:rPr>
        <w:t xml:space="preserve">prohibitive price </w:t>
      </w:r>
      <w:r w:rsidR="00D078F1" w:rsidRPr="00F63FFD">
        <w:t>on the exercise of the right under the [Ellis] Act</w:t>
      </w:r>
      <w:r w:rsidR="00C50E5F" w:rsidRPr="00F63FFD">
        <w:t>’ </w:t>
      </w:r>
      <w:r w:rsidR="00D078F1" w:rsidRPr="00F63FFD">
        <w:t>” (italics added)</w:t>
      </w:r>
      <w:r w:rsidR="00137707" w:rsidRPr="00F63FFD">
        <w:t>]</w:t>
      </w:r>
      <w:r w:rsidRPr="00F63FFD">
        <w:t xml:space="preserve">; </w:t>
      </w:r>
      <w:r w:rsidR="00D73772" w:rsidRPr="00F63FFD">
        <w:rPr>
          <w:i/>
        </w:rPr>
        <w:t xml:space="preserve">Los Angeles </w:t>
      </w:r>
      <w:r w:rsidRPr="00F63FFD">
        <w:rPr>
          <w:i/>
        </w:rPr>
        <w:t>Lincoln Place I</w:t>
      </w:r>
      <w:r w:rsidR="00D73772" w:rsidRPr="00F63FFD">
        <w:rPr>
          <w:i/>
        </w:rPr>
        <w:t xml:space="preserve">nvestors, Ltd. v. City of Los Angeles </w:t>
      </w:r>
      <w:r w:rsidR="00D73772" w:rsidRPr="00F63FFD">
        <w:t xml:space="preserve">(1997) </w:t>
      </w:r>
      <w:r w:rsidRPr="00F63FFD">
        <w:t xml:space="preserve">54 Cal.App.4th </w:t>
      </w:r>
      <w:r w:rsidR="00D73772" w:rsidRPr="00F63FFD">
        <w:t>53,</w:t>
      </w:r>
      <w:r w:rsidRPr="00F63FFD">
        <w:t xml:space="preserve"> 64</w:t>
      </w:r>
      <w:r w:rsidR="001A4329" w:rsidRPr="00F63FFD">
        <w:t xml:space="preserve"> </w:t>
      </w:r>
      <w:r w:rsidR="00DE368C">
        <w:t>(</w:t>
      </w:r>
      <w:r w:rsidR="00DE368C">
        <w:rPr>
          <w:i/>
        </w:rPr>
        <w:t>Lincoln Place</w:t>
      </w:r>
      <w:r w:rsidR="00DE368C">
        <w:t xml:space="preserve">) </w:t>
      </w:r>
      <w:r w:rsidR="001A4329" w:rsidRPr="00F63FFD">
        <w:t xml:space="preserve">[city ordinance prohibiting landlords from demolishing withdrawn rental units absent </w:t>
      </w:r>
      <w:r w:rsidR="00D73772" w:rsidRPr="00F63FFD">
        <w:t xml:space="preserve">removal permit that would impose </w:t>
      </w:r>
      <w:r w:rsidR="001A4329" w:rsidRPr="00F63FFD">
        <w:t>10-yea</w:t>
      </w:r>
      <w:r w:rsidR="00D73772" w:rsidRPr="00F63FFD">
        <w:t xml:space="preserve">r restriction on </w:t>
      </w:r>
      <w:r w:rsidR="001A4329" w:rsidRPr="00F63FFD">
        <w:t>property use was an</w:t>
      </w:r>
      <w:r w:rsidR="00D73772" w:rsidRPr="00F63FFD">
        <w:t xml:space="preserve"> </w:t>
      </w:r>
      <w:r w:rsidR="00D73772" w:rsidRPr="00F63FFD">
        <w:lastRenderedPageBreak/>
        <w:t>invalid</w:t>
      </w:r>
      <w:r w:rsidR="001A4329" w:rsidRPr="00F63FFD">
        <w:t xml:space="preserve"> attempt to impose a “</w:t>
      </w:r>
      <w:r w:rsidR="001A4329" w:rsidRPr="00F63FFD">
        <w:rPr>
          <w:i/>
        </w:rPr>
        <w:t>prohibitive price</w:t>
      </w:r>
      <w:r w:rsidR="001A4329" w:rsidRPr="00F63FFD">
        <w:t xml:space="preserve"> on the exercise of the right under the </w:t>
      </w:r>
      <w:r w:rsidR="00C50E5F" w:rsidRPr="00F63FFD">
        <w:t>[</w:t>
      </w:r>
      <w:r w:rsidR="001A4329" w:rsidRPr="00F63FFD">
        <w:t>Ellis</w:t>
      </w:r>
      <w:r w:rsidR="00C50E5F" w:rsidRPr="00F63FFD">
        <w:t>]</w:t>
      </w:r>
      <w:r w:rsidR="001A4329" w:rsidRPr="00F63FFD">
        <w:t xml:space="preserve"> Act” (italics added)</w:t>
      </w:r>
      <w:r w:rsidR="00137707" w:rsidRPr="00F63FFD">
        <w:t>]</w:t>
      </w:r>
      <w:r w:rsidRPr="00F63FFD">
        <w:t xml:space="preserve">; </w:t>
      </w:r>
      <w:r w:rsidRPr="00F63FFD">
        <w:rPr>
          <w:i/>
        </w:rPr>
        <w:t>Johnson</w:t>
      </w:r>
      <w:r w:rsidR="00C50E5F" w:rsidRPr="00F63FFD">
        <w:rPr>
          <w:i/>
        </w:rPr>
        <w:t xml:space="preserve"> v. City and</w:t>
      </w:r>
      <w:r w:rsidR="00D73772" w:rsidRPr="00F63FFD">
        <w:rPr>
          <w:i/>
        </w:rPr>
        <w:t xml:space="preserve"> County of San Francisco</w:t>
      </w:r>
      <w:r w:rsidR="00C50E5F" w:rsidRPr="00F63FFD">
        <w:t xml:space="preserve"> (2006</w:t>
      </w:r>
      <w:r w:rsidR="00D73772" w:rsidRPr="00F63FFD">
        <w:t>)</w:t>
      </w:r>
      <w:r w:rsidRPr="00F63FFD">
        <w:t xml:space="preserve"> 137 Cal.App.4th </w:t>
      </w:r>
      <w:r w:rsidR="00D73772" w:rsidRPr="00F63FFD">
        <w:t>7,</w:t>
      </w:r>
      <w:r w:rsidRPr="00F63FFD">
        <w:t xml:space="preserve"> 18</w:t>
      </w:r>
      <w:r w:rsidR="00D73772" w:rsidRPr="00F63FFD">
        <w:t xml:space="preserve"> (</w:t>
      </w:r>
      <w:r w:rsidR="00D73772" w:rsidRPr="00F63FFD">
        <w:rPr>
          <w:i/>
        </w:rPr>
        <w:t>Johnson</w:t>
      </w:r>
      <w:r w:rsidR="00D73772" w:rsidRPr="00F63FFD">
        <w:t>)</w:t>
      </w:r>
      <w:r w:rsidR="001A4329" w:rsidRPr="00F63FFD">
        <w:t xml:space="preserve"> [ordinance re</w:t>
      </w:r>
      <w:r w:rsidR="00EE1ACF" w:rsidRPr="00F63FFD">
        <w:t xml:space="preserve">quiring landlords </w:t>
      </w:r>
      <w:r w:rsidR="001A4329" w:rsidRPr="00F63FFD">
        <w:t>to notify their tenants</w:t>
      </w:r>
      <w:r w:rsidR="00EE1ACF" w:rsidRPr="00F63FFD">
        <w:t xml:space="preserve"> upon eviction</w:t>
      </w:r>
      <w:r w:rsidR="001A4329" w:rsidRPr="00F63FFD">
        <w:t xml:space="preserve"> about the relocation payment amount the landlord believes to be due to tenant invalid for placing “</w:t>
      </w:r>
      <w:r w:rsidR="001A4329" w:rsidRPr="00F63FFD">
        <w:rPr>
          <w:i/>
        </w:rPr>
        <w:t>prohibitive price</w:t>
      </w:r>
      <w:r w:rsidR="001A4329" w:rsidRPr="00F63FFD">
        <w:t xml:space="preserve"> on a landlord’s right to exit the rental market” (italics added)</w:t>
      </w:r>
      <w:r w:rsidR="00137707" w:rsidRPr="00F63FFD">
        <w:t>]</w:t>
      </w:r>
      <w:r w:rsidRPr="00F63FFD">
        <w:t xml:space="preserve">; </w:t>
      </w:r>
      <w:r w:rsidR="002D6B2E" w:rsidRPr="00F63FFD">
        <w:t xml:space="preserve">see </w:t>
      </w:r>
      <w:r w:rsidRPr="00F63FFD">
        <w:rPr>
          <w:i/>
        </w:rPr>
        <w:t>Pieri</w:t>
      </w:r>
      <w:r w:rsidRPr="00F63FFD">
        <w:t xml:space="preserve">, </w:t>
      </w:r>
      <w:r w:rsidRPr="00F63FFD">
        <w:rPr>
          <w:i/>
        </w:rPr>
        <w:t>supra</w:t>
      </w:r>
      <w:r w:rsidRPr="00F63FFD">
        <w:t xml:space="preserve">, 137 Cal.App.4th </w:t>
      </w:r>
      <w:r w:rsidR="006667EE" w:rsidRPr="00F63FFD">
        <w:t>at pp. 893–</w:t>
      </w:r>
      <w:r w:rsidRPr="00F63FFD">
        <w:t>894</w:t>
      </w:r>
      <w:r w:rsidR="001A4329" w:rsidRPr="00F63FFD">
        <w:t xml:space="preserve"> [observing “</w:t>
      </w:r>
      <w:r w:rsidR="00297786" w:rsidRPr="00F63FFD">
        <w:t>[</w:t>
      </w:r>
      <w:r w:rsidR="001A4329" w:rsidRPr="00F63FFD">
        <w:t>s</w:t>
      </w:r>
      <w:r w:rsidR="00297786" w:rsidRPr="00F63FFD">
        <w:t>]</w:t>
      </w:r>
      <w:r w:rsidR="001A4329" w:rsidRPr="00F63FFD">
        <w:t xml:space="preserve">everal cases have established that a public entity may not impose a </w:t>
      </w:r>
      <w:r w:rsidR="001A4329" w:rsidRPr="00F63FFD">
        <w:rPr>
          <w:i/>
        </w:rPr>
        <w:t xml:space="preserve">prohibitive price </w:t>
      </w:r>
      <w:r w:rsidR="001A4329" w:rsidRPr="00F63FFD">
        <w:t>o</w:t>
      </w:r>
      <w:r w:rsidR="00297786" w:rsidRPr="00F63FFD">
        <w:t>n a landlord’s exercise of the</w:t>
      </w:r>
      <w:r w:rsidR="001A4329" w:rsidRPr="00F63FFD">
        <w:t xml:space="preserve"> right under the Ellis Act</w:t>
      </w:r>
      <w:r w:rsidR="00297786" w:rsidRPr="00F63FFD">
        <w:t xml:space="preserve"> to go out of business</w:t>
      </w:r>
      <w:r w:rsidR="001A4329" w:rsidRPr="00F63FFD">
        <w:t>” (italics added)</w:t>
      </w:r>
      <w:r w:rsidR="00137707" w:rsidRPr="00F63FFD">
        <w:t>]</w:t>
      </w:r>
      <w:r w:rsidRPr="00F63FFD">
        <w:t>;</w:t>
      </w:r>
      <w:r w:rsidRPr="00F63FFD">
        <w:rPr>
          <w:i/>
        </w:rPr>
        <w:t xml:space="preserve"> S</w:t>
      </w:r>
      <w:r w:rsidR="00297786" w:rsidRPr="00F63FFD">
        <w:rPr>
          <w:i/>
        </w:rPr>
        <w:t xml:space="preserve">an </w:t>
      </w:r>
      <w:r w:rsidR="00EE1ACF" w:rsidRPr="00F63FFD">
        <w:rPr>
          <w:i/>
        </w:rPr>
        <w:t>F</w:t>
      </w:r>
      <w:r w:rsidR="00297786" w:rsidRPr="00F63FFD">
        <w:rPr>
          <w:i/>
        </w:rPr>
        <w:t>rancisco</w:t>
      </w:r>
      <w:r w:rsidRPr="00F63FFD">
        <w:rPr>
          <w:i/>
        </w:rPr>
        <w:t xml:space="preserve"> Apartment Assn.</w:t>
      </w:r>
      <w:r w:rsidR="00EE1ACF" w:rsidRPr="00F63FFD">
        <w:rPr>
          <w:i/>
        </w:rPr>
        <w:t xml:space="preserve"> v. Cit</w:t>
      </w:r>
      <w:r w:rsidR="00297786" w:rsidRPr="00F63FFD">
        <w:rPr>
          <w:i/>
        </w:rPr>
        <w:t>y and</w:t>
      </w:r>
      <w:r w:rsidR="00EE1ACF" w:rsidRPr="00F63FFD">
        <w:rPr>
          <w:i/>
        </w:rPr>
        <w:t xml:space="preserve"> County of San Francisco</w:t>
      </w:r>
      <w:r w:rsidR="00EE1ACF" w:rsidRPr="00F63FFD">
        <w:t xml:space="preserve"> (2016)</w:t>
      </w:r>
      <w:r w:rsidRPr="00F63FFD">
        <w:t xml:space="preserve"> 3 Cal.App.5th </w:t>
      </w:r>
      <w:r w:rsidR="003A30D3" w:rsidRPr="00F63FFD">
        <w:t xml:space="preserve">463, 482 </w:t>
      </w:r>
      <w:r w:rsidR="008146C9" w:rsidRPr="00F63FFD">
        <w:t>(</w:t>
      </w:r>
      <w:r w:rsidR="00721737" w:rsidRPr="00F63FFD">
        <w:rPr>
          <w:i/>
        </w:rPr>
        <w:t xml:space="preserve">San </w:t>
      </w:r>
      <w:r w:rsidR="008146C9" w:rsidRPr="00F63FFD">
        <w:rPr>
          <w:i/>
        </w:rPr>
        <w:t>F</w:t>
      </w:r>
      <w:r w:rsidR="00721737" w:rsidRPr="00F63FFD">
        <w:rPr>
          <w:i/>
        </w:rPr>
        <w:t>rancisco</w:t>
      </w:r>
      <w:r w:rsidR="008146C9" w:rsidRPr="00F63FFD">
        <w:rPr>
          <w:i/>
        </w:rPr>
        <w:t xml:space="preserve"> Apartment Ass</w:t>
      </w:r>
      <w:r w:rsidR="00465FD0">
        <w:rPr>
          <w:i/>
        </w:rPr>
        <w:t>n</w:t>
      </w:r>
      <w:r w:rsidR="00CC56A3">
        <w:rPr>
          <w:i/>
        </w:rPr>
        <w:t>.</w:t>
      </w:r>
      <w:r w:rsidR="008146C9" w:rsidRPr="00F63FFD">
        <w:t>)</w:t>
      </w:r>
      <w:r w:rsidR="001A4329" w:rsidRPr="00F63FFD">
        <w:t xml:space="preserve"> [“[A] public entity may not impose an inevitable and undue burden (to wit, a ‘</w:t>
      </w:r>
      <w:r w:rsidR="001A4329" w:rsidRPr="00F63FFD">
        <w:rPr>
          <w:i/>
        </w:rPr>
        <w:t>prohibitive price</w:t>
      </w:r>
      <w:r w:rsidR="003A30D3" w:rsidRPr="00F63FFD">
        <w:t>’</w:t>
      </w:r>
      <w:r w:rsidR="006A6574">
        <w:t>)</w:t>
      </w:r>
      <w:r w:rsidR="003A30D3" w:rsidRPr="00F63FFD">
        <w:t xml:space="preserve"> on a landlord’s ex</w:t>
      </w:r>
      <w:r w:rsidR="001A4329" w:rsidRPr="00F63FFD">
        <w:t>ercise of its right under the Ellis Act to exit the residential rental business.” (italics added)].</w:t>
      </w:r>
      <w:r w:rsidRPr="00F63FFD">
        <w:t>)</w:t>
      </w:r>
      <w:r w:rsidR="00D6557A" w:rsidRPr="00F63FFD">
        <w:t xml:space="preserve">  </w:t>
      </w:r>
      <w:r w:rsidR="00731800" w:rsidRPr="00F63FFD">
        <w:t>Accordingly, w</w:t>
      </w:r>
      <w:r w:rsidR="00AB710E" w:rsidRPr="00F63FFD">
        <w:t xml:space="preserve">e will apply </w:t>
      </w:r>
      <w:r w:rsidR="00EE1ACF" w:rsidRPr="00F63FFD">
        <w:t xml:space="preserve">the “prohibitive price” standard </w:t>
      </w:r>
      <w:r w:rsidR="009E1C17" w:rsidRPr="00F63FFD">
        <w:t>as broadly inter</w:t>
      </w:r>
      <w:r w:rsidR="00A85365" w:rsidRPr="00F63FFD">
        <w:t>preted</w:t>
      </w:r>
      <w:r w:rsidR="00900D5E" w:rsidRPr="00F63FFD">
        <w:t xml:space="preserve"> </w:t>
      </w:r>
      <w:r w:rsidR="00A85365" w:rsidRPr="00F63FFD">
        <w:t>by the case law</w:t>
      </w:r>
      <w:r w:rsidR="00900D5E" w:rsidRPr="00F63FFD">
        <w:rPr>
          <w:i/>
        </w:rPr>
        <w:t xml:space="preserve"> </w:t>
      </w:r>
      <w:r w:rsidR="00EE1ACF" w:rsidRPr="00F63FFD">
        <w:t>to evaluate whether the enhanced payment requirements in the City’s ordinances are conflict preempted</w:t>
      </w:r>
      <w:r w:rsidR="004209FF" w:rsidRPr="00F63FFD">
        <w:t>.</w:t>
      </w:r>
    </w:p>
    <w:p w14:paraId="01623CE7" w14:textId="77777777" w:rsidR="00494D91" w:rsidRPr="00F63FFD" w:rsidRDefault="00C810CF" w:rsidP="0089411B">
      <w:pPr>
        <w:spacing w:after="180" w:line="240" w:lineRule="auto"/>
        <w:jc w:val="center"/>
        <w:rPr>
          <w:i/>
        </w:rPr>
      </w:pPr>
      <w:r w:rsidRPr="00F63FFD">
        <w:rPr>
          <w:i/>
        </w:rPr>
        <w:t>C.  Payouts Based on the Rental Payment Differential Impose a Prohibitive Price on Landlords Exiting the Residential Rental Business</w:t>
      </w:r>
    </w:p>
    <w:p w14:paraId="6E2A1249" w14:textId="0103965E" w:rsidR="008141A2" w:rsidRPr="00F63FFD" w:rsidRDefault="00C810CF" w:rsidP="00D76F84">
      <w:pPr>
        <w:spacing w:line="360" w:lineRule="auto"/>
      </w:pPr>
      <w:r w:rsidRPr="00F63FFD">
        <w:rPr>
          <w:b/>
        </w:rPr>
        <w:tab/>
      </w:r>
      <w:r w:rsidRPr="00F63FFD">
        <w:t xml:space="preserve">Having concluded a local law </w:t>
      </w:r>
      <w:r w:rsidR="00867900" w:rsidRPr="00F63FFD">
        <w:t xml:space="preserve">must survive a “prohibitive price” test to overcome a </w:t>
      </w:r>
      <w:r w:rsidRPr="00F63FFD">
        <w:t xml:space="preserve">conflict </w:t>
      </w:r>
      <w:r w:rsidR="00867900" w:rsidRPr="00F63FFD">
        <w:t>preemption challenge under the Ellis Act,</w:t>
      </w:r>
      <w:r w:rsidRPr="00F63FFD">
        <w:t xml:space="preserve"> </w:t>
      </w:r>
      <w:r w:rsidR="008B7DB4" w:rsidRPr="00F63FFD">
        <w:t>our analysis focuses on</w:t>
      </w:r>
      <w:r w:rsidRPr="00F63FFD">
        <w:t xml:space="preserve"> whether the City’s newly enacted relocation</w:t>
      </w:r>
      <w:r w:rsidR="008141A2" w:rsidRPr="00F63FFD">
        <w:t xml:space="preserve"> payment provisions survive that test</w:t>
      </w:r>
      <w:r w:rsidRPr="00F63FFD">
        <w:t xml:space="preserve">.  </w:t>
      </w:r>
      <w:r w:rsidR="00D76F84" w:rsidRPr="00F63FFD">
        <w:t>We conclude they do not.</w:t>
      </w:r>
    </w:p>
    <w:p w14:paraId="625D9640" w14:textId="6AF5C21A" w:rsidR="00494D91" w:rsidRPr="00F63FFD" w:rsidRDefault="00C810CF">
      <w:pPr>
        <w:spacing w:line="360" w:lineRule="auto"/>
      </w:pPr>
      <w:r w:rsidRPr="00F63FFD">
        <w:tab/>
        <w:t xml:space="preserve">The </w:t>
      </w:r>
      <w:r w:rsidRPr="00F63FFD">
        <w:rPr>
          <w:i/>
        </w:rPr>
        <w:t xml:space="preserve">Coyne </w:t>
      </w:r>
      <w:r w:rsidR="00D36C59" w:rsidRPr="00F63FFD">
        <w:t>p</w:t>
      </w:r>
      <w:r w:rsidRPr="00F63FFD">
        <w:t xml:space="preserve">laintiffs assert, “There is no case that supports an extension of the City’s authority to require prospective rental subsidies under the guise of relocation assistance.”  They contend </w:t>
      </w:r>
      <w:r w:rsidR="00F02451" w:rsidRPr="00F63FFD">
        <w:t xml:space="preserve">that “in both </w:t>
      </w:r>
      <w:r w:rsidRPr="00F63FFD">
        <w:t>character</w:t>
      </w:r>
      <w:r w:rsidR="00F02451" w:rsidRPr="00F63FFD">
        <w:t xml:space="preserve"> and amount</w:t>
      </w:r>
      <w:r w:rsidRPr="00F63FFD">
        <w:t>” the recently enacted r</w:t>
      </w:r>
      <w:r w:rsidR="0089411B" w:rsidRPr="00F63FFD">
        <w:t>elocation assistance payments are</w:t>
      </w:r>
      <w:r w:rsidRPr="00F63FFD">
        <w:t xml:space="preserve"> “inconsistent with the primary intent of the Act (insuring a landlord’s right to go out of business).”  The City, in its arguments against field preemption, </w:t>
      </w:r>
      <w:r w:rsidR="003A06FE" w:rsidRPr="00F63FFD">
        <w:t>contends section 7060.1</w:t>
      </w:r>
      <w:r w:rsidR="0089411B" w:rsidRPr="00F63FFD">
        <w:t xml:space="preserve"> subdivision </w:t>
      </w:r>
      <w:r w:rsidR="003A06FE" w:rsidRPr="00F63FFD">
        <w:t>(c)</w:t>
      </w:r>
      <w:r w:rsidR="0089411B" w:rsidRPr="00F63FFD">
        <w:t xml:space="preserve"> of the Government Code</w:t>
      </w:r>
      <w:r w:rsidR="003A06FE" w:rsidRPr="00F63FFD">
        <w:t xml:space="preserve"> gives it </w:t>
      </w:r>
      <w:r w:rsidRPr="00F63FFD">
        <w:t xml:space="preserve">authority to mandate enhanced relocation </w:t>
      </w:r>
      <w:r w:rsidR="003A06FE" w:rsidRPr="00F63FFD">
        <w:t xml:space="preserve">payments. </w:t>
      </w:r>
      <w:r w:rsidR="00D76F84" w:rsidRPr="00F63FFD">
        <w:t xml:space="preserve"> </w:t>
      </w:r>
      <w:r w:rsidR="003A06FE" w:rsidRPr="00F63FFD">
        <w:t>S</w:t>
      </w:r>
      <w:r w:rsidRPr="00F63FFD">
        <w:t xml:space="preserve">ection 7060.1(c)’s “safe harbor” </w:t>
      </w:r>
      <w:r w:rsidR="003A06FE" w:rsidRPr="00F63FFD">
        <w:t xml:space="preserve">provision </w:t>
      </w:r>
      <w:r w:rsidRPr="00F63FFD">
        <w:t>authorize</w:t>
      </w:r>
      <w:r w:rsidR="004209FF" w:rsidRPr="00F63FFD">
        <w:t>s</w:t>
      </w:r>
      <w:r w:rsidRPr="00F63FFD">
        <w:t xml:space="preserve"> cities to mitigate “any adverse impact” from displacement.  (Gov. </w:t>
      </w:r>
      <w:r w:rsidRPr="00F63FFD">
        <w:lastRenderedPageBreak/>
        <w:t xml:space="preserve">Code, § 7060.1, subd. (c).) Rent hikes are indisputably an adverse impact caused by eviction, contends the City.  </w:t>
      </w:r>
      <w:r w:rsidR="00D76F84" w:rsidRPr="00F63FFD">
        <w:t>T</w:t>
      </w:r>
      <w:r w:rsidRPr="00F63FFD">
        <w:t>he trial court</w:t>
      </w:r>
      <w:r w:rsidR="00D76F84" w:rsidRPr="00F63FFD">
        <w:t>, however,</w:t>
      </w:r>
      <w:r w:rsidRPr="00F63FFD">
        <w:t xml:space="preserve"> found Ordinance </w:t>
      </w:r>
      <w:r w:rsidR="004209FF" w:rsidRPr="00F63FFD">
        <w:t xml:space="preserve">68-15 </w:t>
      </w:r>
      <w:r w:rsidRPr="00F63FFD">
        <w:t>to be “not directed at the adverse impacts caused by a landlord’s decision (i.e., the need to pay first/last months’ rent and a security deposit and to incur moving expenses</w:t>
      </w:r>
      <w:r w:rsidR="00CC1BBF" w:rsidRPr="00F63FFD">
        <w:t>)</w:t>
      </w:r>
      <w:r w:rsidRPr="00F63FFD">
        <w:t>” but “</w:t>
      </w:r>
      <w:r w:rsidRPr="00F63FFD">
        <w:rPr>
          <w:i/>
        </w:rPr>
        <w:t>explicitly</w:t>
      </w:r>
      <w:r w:rsidRPr="00F63FFD">
        <w:t xml:space="preserve"> implemented to subsidize the payment of rent that a displaced tenant will face on the open market, regardless of income, and it requires this subsidy for two years.</w:t>
      </w:r>
      <w:r w:rsidR="008B7DB4" w:rsidRPr="00F63FFD">
        <w:t>”</w:t>
      </w:r>
    </w:p>
    <w:p w14:paraId="3B59FDAA" w14:textId="0337164A" w:rsidR="00494D91" w:rsidRPr="00F63FFD" w:rsidRDefault="00D6557A" w:rsidP="004D1B5C">
      <w:pPr>
        <w:spacing w:line="360" w:lineRule="auto"/>
        <w:ind w:firstLine="720"/>
      </w:pPr>
      <w:r w:rsidRPr="00F63FFD">
        <w:rPr>
          <w:i/>
        </w:rPr>
        <w:t>Pieri</w:t>
      </w:r>
      <w:r w:rsidRPr="00F63FFD">
        <w:t>, on which the trial court relied,</w:t>
      </w:r>
      <w:r w:rsidR="00C810CF" w:rsidRPr="00F63FFD">
        <w:t xml:space="preserve"> </w:t>
      </w:r>
      <w:r w:rsidR="00126A3C" w:rsidRPr="00F63FFD">
        <w:t>added reasonableness</w:t>
      </w:r>
      <w:r w:rsidRPr="00F63FFD">
        <w:t xml:space="preserve"> to its formulation of the prohibitive price standard.  The</w:t>
      </w:r>
      <w:r w:rsidR="00605218" w:rsidRPr="00F63FFD">
        <w:t>re the</w:t>
      </w:r>
      <w:r w:rsidRPr="00F63FFD">
        <w:t xml:space="preserve"> court </w:t>
      </w:r>
      <w:r w:rsidR="004D1B5C" w:rsidRPr="00F63FFD">
        <w:t>found r</w:t>
      </w:r>
      <w:r w:rsidR="00C810CF" w:rsidRPr="00F63FFD">
        <w:t>elocation assis</w:t>
      </w:r>
      <w:r w:rsidR="004D1B5C" w:rsidRPr="00F63FFD">
        <w:t xml:space="preserve">tance through </w:t>
      </w:r>
      <w:r w:rsidR="00D76F84" w:rsidRPr="00F63FFD">
        <w:t xml:space="preserve">some form of </w:t>
      </w:r>
      <w:r w:rsidR="004D1B5C" w:rsidRPr="00F63FFD">
        <w:t>monetary payments to be</w:t>
      </w:r>
      <w:r w:rsidR="00C810CF" w:rsidRPr="00F63FFD">
        <w:t xml:space="preserve"> a proper form of </w:t>
      </w:r>
      <w:r w:rsidR="00E8237F" w:rsidRPr="00F63FFD">
        <w:t xml:space="preserve">Ellis-Act </w:t>
      </w:r>
      <w:r w:rsidR="00C810CF" w:rsidRPr="00F63FFD">
        <w:t>mit</w:t>
      </w:r>
      <w:r w:rsidR="00E15908" w:rsidRPr="00F63FFD">
        <w:t xml:space="preserve">igation under section 7060.1(c).  </w:t>
      </w:r>
      <w:r w:rsidR="00605218" w:rsidRPr="00F63FFD">
        <w:t>I</w:t>
      </w:r>
      <w:r w:rsidR="00024CC5" w:rsidRPr="00F63FFD">
        <w:t>n considering the validity of relocation expenses,</w:t>
      </w:r>
      <w:r w:rsidR="00C810CF" w:rsidRPr="00F63FFD">
        <w:rPr>
          <w:i/>
        </w:rPr>
        <w:t xml:space="preserve"> </w:t>
      </w:r>
      <w:r w:rsidR="00605218" w:rsidRPr="00F63FFD">
        <w:rPr>
          <w:i/>
        </w:rPr>
        <w:t xml:space="preserve">Pieri </w:t>
      </w:r>
      <w:r w:rsidR="00C810CF" w:rsidRPr="00F63FFD">
        <w:t xml:space="preserve">expressly held </w:t>
      </w:r>
      <w:r w:rsidR="004B7B8D" w:rsidRPr="00F63FFD">
        <w:t xml:space="preserve">“reasonable relocation assistance compensation” </w:t>
      </w:r>
      <w:r w:rsidR="00C810CF" w:rsidRPr="00F63FFD">
        <w:t>to be valid and appropriate exercises of a public entity’s power to mitigate adverse impacts on displaced tenants under section 7060.1(c).  (</w:t>
      </w:r>
      <w:r w:rsidR="00C810CF" w:rsidRPr="00F63FFD">
        <w:rPr>
          <w:i/>
        </w:rPr>
        <w:t>Pieri</w:t>
      </w:r>
      <w:r w:rsidR="00C810CF" w:rsidRPr="00F63FFD">
        <w:t xml:space="preserve">, </w:t>
      </w:r>
      <w:r w:rsidR="00C810CF" w:rsidRPr="00F63FFD">
        <w:rPr>
          <w:i/>
        </w:rPr>
        <w:t>supra</w:t>
      </w:r>
      <w:r w:rsidR="004B7B8D" w:rsidRPr="00F63FFD">
        <w:t xml:space="preserve">, 137 Cal.App.4th </w:t>
      </w:r>
      <w:r w:rsidR="006667EE" w:rsidRPr="00F63FFD">
        <w:t>at p. </w:t>
      </w:r>
      <w:r w:rsidR="004B7B8D" w:rsidRPr="00F63FFD">
        <w:t>893</w:t>
      </w:r>
      <w:r w:rsidR="00C810CF" w:rsidRPr="00F63FFD">
        <w:t>.)</w:t>
      </w:r>
    </w:p>
    <w:p w14:paraId="06652DD7" w14:textId="5CC2F5EC" w:rsidR="00A11C31" w:rsidRPr="00F63FFD" w:rsidRDefault="00C810CF">
      <w:pPr>
        <w:spacing w:line="360" w:lineRule="auto"/>
      </w:pPr>
      <w:r w:rsidRPr="00F63FFD">
        <w:tab/>
      </w:r>
      <w:r w:rsidR="00E8237F" w:rsidRPr="00F63FFD">
        <w:t xml:space="preserve">However, </w:t>
      </w:r>
      <w:r w:rsidR="00D76F84" w:rsidRPr="00F63FFD">
        <w:rPr>
          <w:i/>
        </w:rPr>
        <w:t xml:space="preserve">Pieri </w:t>
      </w:r>
      <w:r w:rsidR="00945724" w:rsidRPr="00F63FFD">
        <w:t xml:space="preserve">did not </w:t>
      </w:r>
      <w:r w:rsidRPr="00F63FFD">
        <w:t>expressly consider the validity of the specific type</w:t>
      </w:r>
      <w:r w:rsidRPr="00F63FFD">
        <w:rPr>
          <w:i/>
        </w:rPr>
        <w:t xml:space="preserve"> </w:t>
      </w:r>
      <w:r w:rsidRPr="00F63FFD">
        <w:t>of monetary payment required by either Ordinance 54-14 or Ordinance 68-15, namely, the payouts based on Rental Payment Differentials</w:t>
      </w:r>
      <w:r w:rsidR="00945724" w:rsidRPr="00F63FFD">
        <w:t>—the difference between the tenant’s current rent and the prevailing market-rate rent.</w:t>
      </w:r>
      <w:r w:rsidR="00B448D2" w:rsidRPr="00F63FFD">
        <w:rPr>
          <w:rStyle w:val="FootnoteReference"/>
        </w:rPr>
        <w:footnoteReference w:id="4"/>
      </w:r>
      <w:r w:rsidR="00E8237F" w:rsidRPr="00F63FFD">
        <w:t xml:space="preserve"> </w:t>
      </w:r>
      <w:r w:rsidRPr="00F63FFD">
        <w:t xml:space="preserve"> </w:t>
      </w:r>
      <w:r w:rsidR="00BE120E" w:rsidRPr="00F63FFD">
        <w:t xml:space="preserve">(S.F. Admin. Code, ch. 37, § 37.9A, </w:t>
      </w:r>
      <w:r w:rsidR="00BE120E" w:rsidRPr="00F63FFD">
        <w:lastRenderedPageBreak/>
        <w:t xml:space="preserve">subd. (e)(3)(E).)  </w:t>
      </w:r>
      <w:r w:rsidR="00CA398B" w:rsidRPr="00F63FFD">
        <w:t>Indeed,</w:t>
      </w:r>
      <w:r w:rsidR="00024CC5" w:rsidRPr="00F63FFD">
        <w:t xml:space="preserve"> the City acknowledges </w:t>
      </w:r>
      <w:r w:rsidR="00024CC5" w:rsidRPr="00F63FFD">
        <w:rPr>
          <w:i/>
        </w:rPr>
        <w:t xml:space="preserve">Pieri </w:t>
      </w:r>
      <w:r w:rsidR="00024CC5" w:rsidRPr="00F63FFD">
        <w:t xml:space="preserve">had </w:t>
      </w:r>
      <w:r w:rsidR="00945724" w:rsidRPr="00F63FFD">
        <w:t>“</w:t>
      </w:r>
      <w:r w:rsidR="00024CC5" w:rsidRPr="00F63FFD">
        <w:t>no occasion to consider any other kind of mitigation payment” beyond relocation expenses.</w:t>
      </w:r>
      <w:r w:rsidR="00CA398B" w:rsidRPr="00F63FFD">
        <w:t xml:space="preserve"> </w:t>
      </w:r>
      <w:r w:rsidR="00024CC5" w:rsidRPr="00F63FFD">
        <w:t xml:space="preserve"> O</w:t>
      </w:r>
      <w:r w:rsidR="00CA398B" w:rsidRPr="00F63FFD">
        <w:t xml:space="preserve">ther than the federal district court’s takings analysis in </w:t>
      </w:r>
      <w:r w:rsidR="00CA398B" w:rsidRPr="00F63FFD">
        <w:rPr>
          <w:i/>
        </w:rPr>
        <w:t>Levin</w:t>
      </w:r>
      <w:r w:rsidR="00CA398B" w:rsidRPr="00F63FFD">
        <w:t xml:space="preserve">, we have found no case which has reviewed an Ellis Act mitigation measure like the rental payment differential before us.  </w:t>
      </w:r>
      <w:r w:rsidR="00D36C59" w:rsidRPr="00F63FFD">
        <w:rPr>
          <w:i/>
        </w:rPr>
        <w:t>Levin</w:t>
      </w:r>
      <w:r w:rsidR="00A11C31" w:rsidRPr="00F63FFD">
        <w:rPr>
          <w:i/>
        </w:rPr>
        <w:t xml:space="preserve"> </w:t>
      </w:r>
      <w:r w:rsidR="00A11C31" w:rsidRPr="00F63FFD">
        <w:t xml:space="preserve">described the payment required by Ordinance 54-14 to be “unprecedented in requiring a massive lump-sum payout from one private party to another in exchange for regaining possession of property,” further noting </w:t>
      </w:r>
      <w:r w:rsidR="008B7DB4" w:rsidRPr="00F63FFD">
        <w:t>“[</w:t>
      </w:r>
      <w:r w:rsidR="00A11C31" w:rsidRPr="00F63FFD">
        <w:t>t</w:t>
      </w:r>
      <w:r w:rsidR="008B7DB4" w:rsidRPr="00F63FFD">
        <w:t>]</w:t>
      </w:r>
      <w:r w:rsidR="00A11C31" w:rsidRPr="00F63FFD">
        <w:t xml:space="preserve">he Court </w:t>
      </w:r>
      <w:r w:rsidR="008B7DB4" w:rsidRPr="00F63FFD">
        <w:t>and</w:t>
      </w:r>
      <w:r w:rsidR="00A11C31" w:rsidRPr="00F63FFD">
        <w:t xml:space="preserve"> the parties </w:t>
      </w:r>
      <w:r w:rsidR="00FF4538" w:rsidRPr="00F63FFD">
        <w:t>[</w:t>
      </w:r>
      <w:r w:rsidR="00A11C31" w:rsidRPr="00F63FFD">
        <w:t>were</w:t>
      </w:r>
      <w:r w:rsidR="00FF4538" w:rsidRPr="00F63FFD">
        <w:t>]</w:t>
      </w:r>
      <w:r w:rsidR="00A11C31" w:rsidRPr="00F63FFD">
        <w:t xml:space="preserve"> unable to find any ordinance, anywhere, that does what San Francisco has attempted to do [with Ordinance 54-14].”  (</w:t>
      </w:r>
      <w:r w:rsidR="00A11C31" w:rsidRPr="00F63FFD">
        <w:rPr>
          <w:i/>
        </w:rPr>
        <w:t>Levin</w:t>
      </w:r>
      <w:r w:rsidR="00A11C31" w:rsidRPr="00F63FFD">
        <w:t xml:space="preserve">, </w:t>
      </w:r>
      <w:r w:rsidR="00A11C31" w:rsidRPr="00F63FFD">
        <w:rPr>
          <w:i/>
        </w:rPr>
        <w:t>supra</w:t>
      </w:r>
      <w:r w:rsidR="00A11C31" w:rsidRPr="00F63FFD">
        <w:t>,</w:t>
      </w:r>
      <w:r w:rsidR="00A11C31" w:rsidRPr="00F63FFD">
        <w:rPr>
          <w:i/>
        </w:rPr>
        <w:t xml:space="preserve"> </w:t>
      </w:r>
      <w:r w:rsidR="00A11C31" w:rsidRPr="00F63FFD">
        <w:t>71 F.Supp.3d at p</w:t>
      </w:r>
      <w:r w:rsidR="008B7DB4" w:rsidRPr="00F63FFD">
        <w:t>p</w:t>
      </w:r>
      <w:r w:rsidR="0035454F" w:rsidRPr="00F63FFD">
        <w:t>. 1080, 1089, fn. 8.)</w:t>
      </w:r>
    </w:p>
    <w:p w14:paraId="32369AFE" w14:textId="5D7FA513" w:rsidR="00263864" w:rsidRPr="00F63FFD" w:rsidRDefault="00A11C31" w:rsidP="00263864">
      <w:pPr>
        <w:spacing w:line="360" w:lineRule="auto"/>
      </w:pPr>
      <w:r w:rsidRPr="00F63FFD">
        <w:tab/>
      </w:r>
      <w:r w:rsidR="00CA398B" w:rsidRPr="00F63FFD">
        <w:t>In addressing this new form of mitigation posed by Ordinance 54-14 and Ordinance 68-15, case</w:t>
      </w:r>
      <w:r w:rsidR="00767B1E" w:rsidRPr="00F63FFD">
        <w:t>s interpreting</w:t>
      </w:r>
      <w:r w:rsidR="00CA398B" w:rsidRPr="00F63FFD">
        <w:t xml:space="preserve"> the Ellis Act </w:t>
      </w:r>
      <w:r w:rsidR="00767B1E" w:rsidRPr="00F63FFD">
        <w:t>are</w:t>
      </w:r>
      <w:r w:rsidR="00CA398B" w:rsidRPr="00F63FFD">
        <w:t xml:space="preserve"> instructive.  </w:t>
      </w:r>
      <w:r w:rsidR="007A3BD6" w:rsidRPr="00F63FFD">
        <w:t>O</w:t>
      </w:r>
      <w:r w:rsidR="00263864" w:rsidRPr="00F63FFD">
        <w:t>rdinance</w:t>
      </w:r>
      <w:r w:rsidR="00B2146C" w:rsidRPr="00F63FFD">
        <w:t>s which</w:t>
      </w:r>
      <w:r w:rsidR="00263864" w:rsidRPr="00F63FFD">
        <w:t xml:space="preserve"> condition a landlord’s right to go out of business on compliance with requirements not found in the Ellis Act</w:t>
      </w:r>
      <w:r w:rsidR="00FF4538" w:rsidRPr="00F63FFD">
        <w:t xml:space="preserve"> </w:t>
      </w:r>
      <w:r w:rsidR="007A3BD6" w:rsidRPr="00F63FFD">
        <w:t xml:space="preserve">have been invalidated </w:t>
      </w:r>
      <w:r w:rsidR="00FF4538" w:rsidRPr="00F63FFD">
        <w:t xml:space="preserve">because they </w:t>
      </w:r>
      <w:r w:rsidR="001F306E" w:rsidRPr="00F63FFD">
        <w:t>impose a</w:t>
      </w:r>
      <w:r w:rsidR="00B2146C" w:rsidRPr="00F63FFD">
        <w:t xml:space="preserve"> prohibitive price on a landlord’s right to go out of business</w:t>
      </w:r>
      <w:r w:rsidR="00263864" w:rsidRPr="00F63FFD">
        <w:t xml:space="preserve">.  (See </w:t>
      </w:r>
      <w:r w:rsidR="00263864" w:rsidRPr="00F63FFD">
        <w:rPr>
          <w:i/>
        </w:rPr>
        <w:t>Javidzad</w:t>
      </w:r>
      <w:r w:rsidR="00263864" w:rsidRPr="00F63FFD">
        <w:t xml:space="preserve">, </w:t>
      </w:r>
      <w:r w:rsidR="00263864" w:rsidRPr="00F63FFD">
        <w:rPr>
          <w:i/>
        </w:rPr>
        <w:t>supra</w:t>
      </w:r>
      <w:r w:rsidR="00263864" w:rsidRPr="00F63FFD">
        <w:t xml:space="preserve">, 204 Cal.App.3d </w:t>
      </w:r>
      <w:r w:rsidR="006667EE" w:rsidRPr="00F63FFD">
        <w:t>at p</w:t>
      </w:r>
      <w:r w:rsidR="003174B4" w:rsidRPr="00F63FFD">
        <w:t>p</w:t>
      </w:r>
      <w:r w:rsidR="006667EE" w:rsidRPr="00F63FFD">
        <w:t>. </w:t>
      </w:r>
      <w:r w:rsidR="003174B4" w:rsidRPr="00F63FFD">
        <w:t xml:space="preserve">530, </w:t>
      </w:r>
      <w:r w:rsidR="00263864" w:rsidRPr="00F63FFD">
        <w:t>531</w:t>
      </w:r>
      <w:r w:rsidR="00B2146C" w:rsidRPr="00F63FFD">
        <w:t xml:space="preserve"> [</w:t>
      </w:r>
      <w:r w:rsidR="001F306E" w:rsidRPr="00F63FFD">
        <w:t xml:space="preserve">ordinance preempted “because it impermissibly condition[ed] the landlord’s right to go out of business on compliance with requirements </w:t>
      </w:r>
      <w:r w:rsidR="00B2146C" w:rsidRPr="00F63FFD">
        <w:t>not</w:t>
      </w:r>
      <w:r w:rsidR="003174B4" w:rsidRPr="00F63FFD">
        <w:t xml:space="preserve"> found</w:t>
      </w:r>
      <w:r w:rsidR="00B2146C" w:rsidRPr="00F63FFD">
        <w:t xml:space="preserve"> in the </w:t>
      </w:r>
      <w:r w:rsidR="003174B4" w:rsidRPr="00F63FFD">
        <w:t>[</w:t>
      </w:r>
      <w:r w:rsidR="00B2146C" w:rsidRPr="00F63FFD">
        <w:t>Ellis</w:t>
      </w:r>
      <w:r w:rsidR="003174B4" w:rsidRPr="00F63FFD">
        <w:t>]</w:t>
      </w:r>
      <w:r w:rsidR="00B2146C" w:rsidRPr="00F63FFD">
        <w:t xml:space="preserve"> Act</w:t>
      </w:r>
      <w:r w:rsidR="001F306E" w:rsidRPr="00F63FFD">
        <w:t>”</w:t>
      </w:r>
      <w:r w:rsidR="00B2146C" w:rsidRPr="00F63FFD">
        <w:t>]</w:t>
      </w:r>
      <w:r w:rsidR="00263864" w:rsidRPr="00F63FFD">
        <w:t xml:space="preserve">; </w:t>
      </w:r>
      <w:r w:rsidR="002425A8" w:rsidRPr="00F63FFD">
        <w:rPr>
          <w:i/>
        </w:rPr>
        <w:t>Lincoln Place</w:t>
      </w:r>
      <w:r w:rsidR="00263864" w:rsidRPr="00F63FFD">
        <w:t xml:space="preserve">, </w:t>
      </w:r>
      <w:r w:rsidR="00263864" w:rsidRPr="00F63FFD">
        <w:rPr>
          <w:i/>
        </w:rPr>
        <w:t>supra</w:t>
      </w:r>
      <w:r w:rsidR="00263864" w:rsidRPr="00F63FFD">
        <w:t xml:space="preserve">, 54 Cal.App.4th </w:t>
      </w:r>
      <w:r w:rsidR="006667EE" w:rsidRPr="00F63FFD">
        <w:t>at p. </w:t>
      </w:r>
      <w:r w:rsidR="00263864" w:rsidRPr="00F63FFD">
        <w:t>64</w:t>
      </w:r>
      <w:r w:rsidR="00B2146C" w:rsidRPr="00F63FFD">
        <w:t xml:space="preserve"> [</w:t>
      </w:r>
      <w:r w:rsidR="001F306E" w:rsidRPr="00F63FFD">
        <w:t>ordinance violated the Ellis Act “because it impermissibly infringed on the owner’s right to simply go out of the rental business . . . by refusing to issue a demolition permit based on conditions which are not a part of the</w:t>
      </w:r>
      <w:r w:rsidR="008E1217" w:rsidRPr="00F63FFD">
        <w:t xml:space="preserve"> </w:t>
      </w:r>
      <w:r w:rsidR="00B2146C" w:rsidRPr="00F63FFD">
        <w:t>Ellis Act</w:t>
      </w:r>
      <w:r w:rsidR="001F306E" w:rsidRPr="00F63FFD">
        <w:t>”</w:t>
      </w:r>
      <w:r w:rsidR="00B2146C" w:rsidRPr="00F63FFD">
        <w:t>]</w:t>
      </w:r>
      <w:r w:rsidR="00263864" w:rsidRPr="00F63FFD">
        <w:t xml:space="preserve">; </w:t>
      </w:r>
      <w:r w:rsidR="00263864" w:rsidRPr="00F63FFD">
        <w:rPr>
          <w:i/>
        </w:rPr>
        <w:t>Reidy</w:t>
      </w:r>
      <w:r w:rsidR="003A6E23" w:rsidRPr="00F63FFD">
        <w:rPr>
          <w:i/>
        </w:rPr>
        <w:t xml:space="preserve"> v. City and County of San Francisco </w:t>
      </w:r>
      <w:r w:rsidR="003A6E23" w:rsidRPr="00F63FFD">
        <w:t>(2004) 123 Cal.App.4th, 580,</w:t>
      </w:r>
      <w:r w:rsidR="006667EE" w:rsidRPr="00F63FFD">
        <w:t> </w:t>
      </w:r>
      <w:r w:rsidR="00263864" w:rsidRPr="00F63FFD">
        <w:t>593</w:t>
      </w:r>
      <w:r w:rsidR="00B2146C" w:rsidRPr="00F63FFD">
        <w:t xml:space="preserve"> [</w:t>
      </w:r>
      <w:r w:rsidR="001F306E" w:rsidRPr="00F63FFD">
        <w:t xml:space="preserve">ordinance requiring hotel owners to provide replacement units or pay in lieu fee before being able to remove rental units from market preempted because it “effectively conditioned the right of a [San Francisco] hotel owner to go out of the rental business” on compliance with requirements not found </w:t>
      </w:r>
      <w:r w:rsidR="00B2146C" w:rsidRPr="00F63FFD">
        <w:t>in the Ellis Act]</w:t>
      </w:r>
      <w:r w:rsidR="00263864" w:rsidRPr="00F63FFD">
        <w:t>.)</w:t>
      </w:r>
    </w:p>
    <w:p w14:paraId="73E4CDF3" w14:textId="60E7450A" w:rsidR="00F44276" w:rsidRPr="00F63FFD" w:rsidRDefault="00263864" w:rsidP="00B16855">
      <w:pPr>
        <w:spacing w:line="360" w:lineRule="auto"/>
      </w:pPr>
      <w:r w:rsidRPr="00F63FFD">
        <w:tab/>
      </w:r>
      <w:r w:rsidR="00B7598B" w:rsidRPr="00F63FFD">
        <w:t xml:space="preserve">In </w:t>
      </w:r>
      <w:r w:rsidR="00B7598B" w:rsidRPr="00F63FFD">
        <w:rPr>
          <w:i/>
        </w:rPr>
        <w:t>Bullock</w:t>
      </w:r>
      <w:r w:rsidR="00B7598B" w:rsidRPr="00F63FFD">
        <w:t>,</w:t>
      </w:r>
      <w:r w:rsidR="00B7598B" w:rsidRPr="00F63FFD">
        <w:rPr>
          <w:i/>
        </w:rPr>
        <w:t xml:space="preserve"> </w:t>
      </w:r>
      <w:r w:rsidR="00B7598B" w:rsidRPr="00F63FFD">
        <w:t>t</w:t>
      </w:r>
      <w:r w:rsidRPr="00F63FFD">
        <w:t>h</w:t>
      </w:r>
      <w:r w:rsidR="00B7598B" w:rsidRPr="00F63FFD">
        <w:t>is</w:t>
      </w:r>
      <w:r w:rsidR="00E83618" w:rsidRPr="00F63FFD">
        <w:t xml:space="preserve"> District</w:t>
      </w:r>
      <w:r w:rsidRPr="00F63FFD">
        <w:t xml:space="preserve"> rejected </w:t>
      </w:r>
      <w:r w:rsidR="00B7598B" w:rsidRPr="00F63FFD">
        <w:t>an</w:t>
      </w:r>
      <w:r w:rsidRPr="00F63FFD">
        <w:t xml:space="preserve"> ordinance </w:t>
      </w:r>
      <w:r w:rsidR="001F306E" w:rsidRPr="00F63FFD">
        <w:t>requir</w:t>
      </w:r>
      <w:r w:rsidR="00B7598B" w:rsidRPr="00F63FFD">
        <w:t xml:space="preserve">ing </w:t>
      </w:r>
      <w:r w:rsidR="008239C7" w:rsidRPr="00F63FFD">
        <w:t>residential hotel</w:t>
      </w:r>
      <w:r w:rsidR="00B7598B" w:rsidRPr="00F63FFD">
        <w:t xml:space="preserve"> owners</w:t>
      </w:r>
      <w:r w:rsidR="008239C7" w:rsidRPr="00F63FFD">
        <w:t xml:space="preserve"> to</w:t>
      </w:r>
      <w:r w:rsidR="001F306E" w:rsidRPr="00F63FFD">
        <w:t xml:space="preserve"> agree to replace their residential hotel units or to contribute to an “in lieu” fee to a city fund before they could secure a permit necessary to convert</w:t>
      </w:r>
      <w:r w:rsidR="008239C7" w:rsidRPr="00F63FFD">
        <w:t xml:space="preserve"> their units into </w:t>
      </w:r>
      <w:r w:rsidR="00B7598B" w:rsidRPr="00F63FFD">
        <w:t xml:space="preserve">hotel </w:t>
      </w:r>
      <w:r w:rsidR="008239C7" w:rsidRPr="00F63FFD">
        <w:t>units</w:t>
      </w:r>
      <w:r w:rsidR="00B7598B" w:rsidRPr="00F63FFD">
        <w:t xml:space="preserve"> for </w:t>
      </w:r>
      <w:r w:rsidR="00B7598B" w:rsidRPr="00F63FFD">
        <w:lastRenderedPageBreak/>
        <w:t>tourists</w:t>
      </w:r>
      <w:r w:rsidR="008239C7" w:rsidRPr="00F63FFD">
        <w:t>.  (</w:t>
      </w:r>
      <w:r w:rsidR="008239C7" w:rsidRPr="00F63FFD">
        <w:rPr>
          <w:i/>
        </w:rPr>
        <w:t>Bullock</w:t>
      </w:r>
      <w:r w:rsidR="008239C7" w:rsidRPr="00F63FFD">
        <w:t xml:space="preserve">, </w:t>
      </w:r>
      <w:r w:rsidR="008239C7" w:rsidRPr="00F63FFD">
        <w:rPr>
          <w:i/>
        </w:rPr>
        <w:t>supra</w:t>
      </w:r>
      <w:r w:rsidR="008239C7" w:rsidRPr="00F63FFD">
        <w:t xml:space="preserve">, 221 Cal.App.3d </w:t>
      </w:r>
      <w:r w:rsidR="006667EE" w:rsidRPr="00F63FFD">
        <w:t>at pp. 1080–1081, 1099–</w:t>
      </w:r>
      <w:r w:rsidR="008239C7" w:rsidRPr="00F63FFD">
        <w:t>1100.)</w:t>
      </w:r>
      <w:r w:rsidR="00FF5ED7" w:rsidRPr="00F63FFD">
        <w:rPr>
          <w:rStyle w:val="FootnoteReference"/>
        </w:rPr>
        <w:footnoteReference w:id="5"/>
      </w:r>
      <w:r w:rsidR="008239C7" w:rsidRPr="00F63FFD">
        <w:t xml:space="preserve">  The court stated, </w:t>
      </w:r>
      <w:r w:rsidRPr="00F63FFD">
        <w:t>“The Ellis Act does not permit the City to condition plaintiff's departure upon th</w:t>
      </w:r>
      <w:r w:rsidR="003A6E23" w:rsidRPr="00F63FFD">
        <w:t xml:space="preserve">e payment of ransom. </w:t>
      </w:r>
      <w:r w:rsidRPr="00F63FFD">
        <w:t xml:space="preserve"> [¶]  To allow the City to so enlarge the concept of mitigation that it prevents plaintiff from exercising his right to go out of business would make the Ellis Act a dead letter except for those owners fortunate enough to have no tenants to displace.”  (</w:t>
      </w:r>
      <w:r w:rsidR="008239C7" w:rsidRPr="00F63FFD">
        <w:rPr>
          <w:i/>
        </w:rPr>
        <w:t>Id.</w:t>
      </w:r>
      <w:r w:rsidRPr="00F63FFD">
        <w:t xml:space="preserve"> </w:t>
      </w:r>
      <w:r w:rsidR="006667EE" w:rsidRPr="00F63FFD">
        <w:t>at p. </w:t>
      </w:r>
      <w:r w:rsidRPr="00F63FFD">
        <w:t>1101.)</w:t>
      </w:r>
    </w:p>
    <w:p w14:paraId="2BBDCEA7" w14:textId="1671A536" w:rsidR="00B16855" w:rsidRPr="00F63FFD" w:rsidRDefault="00B16855">
      <w:pPr>
        <w:spacing w:line="360" w:lineRule="auto"/>
        <w:rPr>
          <w:b/>
        </w:rPr>
      </w:pPr>
      <w:r w:rsidRPr="00F63FFD">
        <w:rPr>
          <w:b/>
        </w:rPr>
        <w:tab/>
      </w:r>
      <w:r w:rsidRPr="00F63FFD">
        <w:t xml:space="preserve">Most recently, in </w:t>
      </w:r>
      <w:r w:rsidRPr="00F63FFD">
        <w:rPr>
          <w:i/>
        </w:rPr>
        <w:t>San Francisco Apartment</w:t>
      </w:r>
      <w:r w:rsidR="008239C7" w:rsidRPr="00F63FFD">
        <w:rPr>
          <w:i/>
        </w:rPr>
        <w:t xml:space="preserve"> Association</w:t>
      </w:r>
      <w:r w:rsidR="008239C7" w:rsidRPr="00F63FFD">
        <w:t>, th</w:t>
      </w:r>
      <w:r w:rsidR="00FF4538" w:rsidRPr="00F63FFD">
        <w:t>is</w:t>
      </w:r>
      <w:r w:rsidR="00547F88" w:rsidRPr="00F63FFD">
        <w:t xml:space="preserve"> District</w:t>
      </w:r>
      <w:r w:rsidR="008239C7" w:rsidRPr="00F63FFD">
        <w:t xml:space="preserve"> </w:t>
      </w:r>
      <w:r w:rsidRPr="00F63FFD">
        <w:t>concluded the Ellis Act preempted a San Francisco ordinance requiring a landlord to wait 10 years to merge a withdrawn rental unit into one or more other units.  (</w:t>
      </w:r>
      <w:r w:rsidR="00561600" w:rsidRPr="00F63FFD">
        <w:rPr>
          <w:i/>
        </w:rPr>
        <w:t xml:space="preserve">San </w:t>
      </w:r>
      <w:r w:rsidR="008239C7" w:rsidRPr="00F63FFD">
        <w:rPr>
          <w:i/>
        </w:rPr>
        <w:t>F</w:t>
      </w:r>
      <w:r w:rsidR="00561600" w:rsidRPr="00F63FFD">
        <w:rPr>
          <w:i/>
        </w:rPr>
        <w:t>rancisco</w:t>
      </w:r>
      <w:r w:rsidR="008239C7" w:rsidRPr="00F63FFD">
        <w:rPr>
          <w:i/>
        </w:rPr>
        <w:t xml:space="preserve"> Apartment Assn</w:t>
      </w:r>
      <w:r w:rsidR="00CC56A3">
        <w:rPr>
          <w:i/>
        </w:rPr>
        <w:t>.</w:t>
      </w:r>
      <w:r w:rsidR="008239C7" w:rsidRPr="00F63FFD">
        <w:t xml:space="preserve">, </w:t>
      </w:r>
      <w:r w:rsidR="008239C7" w:rsidRPr="00F63FFD">
        <w:rPr>
          <w:i/>
        </w:rPr>
        <w:t>supra</w:t>
      </w:r>
      <w:r w:rsidR="008239C7" w:rsidRPr="00F63FFD">
        <w:t xml:space="preserve">, 3 Cal.App.5th </w:t>
      </w:r>
      <w:r w:rsidR="00547F88" w:rsidRPr="00F63FFD">
        <w:t>at p. 469</w:t>
      </w:r>
      <w:r w:rsidRPr="00F63FFD">
        <w:t>.)  In the court’s view, the 10-year waiting period “impose[d] a penalty on the very class entitled to protection under the Ellis Act . . . landowners seeking to exit the residential rental business.”  (</w:t>
      </w:r>
      <w:r w:rsidRPr="00F63FFD">
        <w:rPr>
          <w:i/>
        </w:rPr>
        <w:t>Id.</w:t>
      </w:r>
      <w:r w:rsidR="00547F88" w:rsidRPr="00F63FFD">
        <w:t xml:space="preserve"> at p. 480</w:t>
      </w:r>
      <w:r w:rsidRPr="00F63FFD">
        <w:t>.)  The court found the ordinance “in effect, barred landowners from using their property if their proposed [subsequent] use involves merging a withdrawn unit with another” and “construct[ed] an inevitable substan</w:t>
      </w:r>
      <w:r w:rsidR="00561600" w:rsidRPr="00F63FFD">
        <w:t xml:space="preserve">tive barrier to the statutorily </w:t>
      </w:r>
      <w:r w:rsidRPr="00F63FFD">
        <w:t>protected right of a landlord to leave the residential rental business.”  (</w:t>
      </w:r>
      <w:r w:rsidRPr="00F63FFD">
        <w:rPr>
          <w:i/>
        </w:rPr>
        <w:t>Id.</w:t>
      </w:r>
      <w:r w:rsidR="00547F88" w:rsidRPr="00F63FFD">
        <w:t xml:space="preserve"> at p</w:t>
      </w:r>
      <w:r w:rsidR="00561600" w:rsidRPr="00F63FFD">
        <w:t>p</w:t>
      </w:r>
      <w:r w:rsidR="00547F88" w:rsidRPr="00F63FFD">
        <w:t>. </w:t>
      </w:r>
      <w:r w:rsidR="00561600" w:rsidRPr="00F63FFD">
        <w:t>482–</w:t>
      </w:r>
      <w:r w:rsidR="00547F88" w:rsidRPr="00F63FFD">
        <w:t>484</w:t>
      </w:r>
      <w:r w:rsidRPr="00F63FFD">
        <w:t>.)</w:t>
      </w:r>
    </w:p>
    <w:p w14:paraId="2BAD9B62" w14:textId="362E6566" w:rsidR="00494D91" w:rsidRPr="00F63FFD" w:rsidRDefault="00B16855">
      <w:pPr>
        <w:spacing w:line="360" w:lineRule="auto"/>
      </w:pPr>
      <w:r w:rsidRPr="00F63FFD">
        <w:tab/>
      </w:r>
      <w:r w:rsidR="00886333" w:rsidRPr="00F63FFD">
        <w:t xml:space="preserve">Like provisions in past </w:t>
      </w:r>
      <w:r w:rsidR="007A3BD6" w:rsidRPr="00F63FFD">
        <w:t xml:space="preserve">City-enacted </w:t>
      </w:r>
      <w:r w:rsidR="00886333" w:rsidRPr="00F63FFD">
        <w:t>ordinances which have been invalidated, t</w:t>
      </w:r>
      <w:r w:rsidR="00C810CF" w:rsidRPr="00F63FFD">
        <w:t xml:space="preserve">he City’s Rental Payment Differential </w:t>
      </w:r>
      <w:r w:rsidR="00886333" w:rsidRPr="00F63FFD">
        <w:t>obligation</w:t>
      </w:r>
      <w:r w:rsidR="00C810CF" w:rsidRPr="00F63FFD">
        <w:t xml:space="preserve"> places </w:t>
      </w:r>
      <w:r w:rsidR="007A3BD6" w:rsidRPr="00F63FFD">
        <w:t xml:space="preserve">conditions on </w:t>
      </w:r>
      <w:r w:rsidR="00C810CF" w:rsidRPr="00F63FFD">
        <w:t xml:space="preserve">a landlord’s right to go out of business </w:t>
      </w:r>
      <w:r w:rsidR="008B3F7B" w:rsidRPr="00F63FFD">
        <w:t>that</w:t>
      </w:r>
      <w:r w:rsidR="00C810CF" w:rsidRPr="00F63FFD">
        <w:t xml:space="preserve"> </w:t>
      </w:r>
      <w:r w:rsidR="007A3BD6" w:rsidRPr="00F63FFD">
        <w:t xml:space="preserve">are not </w:t>
      </w:r>
      <w:r w:rsidR="00C810CF" w:rsidRPr="00F63FFD">
        <w:t>found in the Ellis Act.</w:t>
      </w:r>
      <w:r w:rsidR="008B3F7B" w:rsidRPr="00F63FFD">
        <w:t xml:space="preserve">  The Ellis Act contains no requirement that </w:t>
      </w:r>
      <w:r w:rsidR="001C6B3C" w:rsidRPr="00F63FFD">
        <w:t>obliges</w:t>
      </w:r>
      <w:r w:rsidR="008B3F7B" w:rsidRPr="00F63FFD">
        <w:t xml:space="preserve"> a landlord</w:t>
      </w:r>
      <w:r w:rsidR="001C6B3C" w:rsidRPr="00F63FFD">
        <w:t xml:space="preserve"> to pay their former tenants </w:t>
      </w:r>
      <w:r w:rsidR="007F38B1" w:rsidRPr="00F63FFD">
        <w:t>future rental subsidies so that they</w:t>
      </w:r>
      <w:r w:rsidR="001C6B3C" w:rsidRPr="00F63FFD">
        <w:t xml:space="preserve"> </w:t>
      </w:r>
      <w:r w:rsidR="007F38B1" w:rsidRPr="00F63FFD">
        <w:t>can</w:t>
      </w:r>
      <w:r w:rsidR="001C6B3C" w:rsidRPr="00F63FFD">
        <w:t xml:space="preserve"> leave the residential rental business</w:t>
      </w:r>
      <w:r w:rsidR="008B3F7B" w:rsidRPr="00F63FFD">
        <w:t>.</w:t>
      </w:r>
      <w:r w:rsidR="001C6B3C" w:rsidRPr="00F63FFD">
        <w:t xml:space="preserve">  In considering the</w:t>
      </w:r>
      <w:r w:rsidR="008B3F7B" w:rsidRPr="00F63FFD">
        <w:t xml:space="preserve"> substantial in lieu payment to a City fund </w:t>
      </w:r>
      <w:r w:rsidR="001C6B3C" w:rsidRPr="00F63FFD">
        <w:t>that was part of the</w:t>
      </w:r>
      <w:r w:rsidR="008B3F7B" w:rsidRPr="00F63FFD">
        <w:t xml:space="preserve"> challenged ordinance</w:t>
      </w:r>
      <w:r w:rsidR="001C6B3C" w:rsidRPr="00F63FFD">
        <w:t xml:space="preserve"> in </w:t>
      </w:r>
      <w:r w:rsidR="001C6B3C" w:rsidRPr="00F63FFD">
        <w:rPr>
          <w:i/>
        </w:rPr>
        <w:t>Bullock</w:t>
      </w:r>
      <w:r w:rsidR="008B3F7B" w:rsidRPr="00F63FFD">
        <w:t>, we stated, “[t]he Ellis Act does not permit the City to condition plaintiff’s departure upon the payment of a ransom.”  (</w:t>
      </w:r>
      <w:r w:rsidR="008B3F7B" w:rsidRPr="00F63FFD">
        <w:rPr>
          <w:i/>
        </w:rPr>
        <w:t>Bullock</w:t>
      </w:r>
      <w:r w:rsidR="008B3F7B" w:rsidRPr="00F63FFD">
        <w:t xml:space="preserve">, </w:t>
      </w:r>
      <w:r w:rsidR="008B3F7B" w:rsidRPr="00F63FFD">
        <w:rPr>
          <w:i/>
        </w:rPr>
        <w:t>supra</w:t>
      </w:r>
      <w:r w:rsidR="008B3F7B" w:rsidRPr="00F63FFD">
        <w:t xml:space="preserve">, 221 Cal.App.3d </w:t>
      </w:r>
      <w:r w:rsidR="006667EE" w:rsidRPr="00F63FFD">
        <w:t>at p. </w:t>
      </w:r>
      <w:r w:rsidR="008B3F7B" w:rsidRPr="00F63FFD">
        <w:t xml:space="preserve">1101.)  </w:t>
      </w:r>
      <w:r w:rsidR="001C6B3C" w:rsidRPr="00F63FFD">
        <w:t>We see the</w:t>
      </w:r>
      <w:r w:rsidR="007F38B1" w:rsidRPr="00F63FFD">
        <w:t xml:space="preserve"> </w:t>
      </w:r>
      <w:r w:rsidR="007F38B1" w:rsidRPr="00F63FFD">
        <w:lastRenderedPageBreak/>
        <w:t xml:space="preserve">increased rent payment the City’s ordinances obligate landlords </w:t>
      </w:r>
      <w:r w:rsidR="003F2E35" w:rsidRPr="00F63FFD">
        <w:t xml:space="preserve">to </w:t>
      </w:r>
      <w:r w:rsidR="007F38B1" w:rsidRPr="00F63FFD">
        <w:t xml:space="preserve">pay their former tenants as a form of ransom </w:t>
      </w:r>
      <w:r w:rsidR="00900D5E" w:rsidRPr="00F63FFD">
        <w:t xml:space="preserve">which </w:t>
      </w:r>
      <w:r w:rsidR="009E1C17" w:rsidRPr="00F63FFD">
        <w:t>interferes</w:t>
      </w:r>
      <w:r w:rsidR="00900D5E" w:rsidRPr="00F63FFD">
        <w:t xml:space="preserve"> with and</w:t>
      </w:r>
      <w:r w:rsidR="007F38B1" w:rsidRPr="00F63FFD">
        <w:t xml:space="preserve"> places an undue</w:t>
      </w:r>
      <w:r w:rsidR="00192A48" w:rsidRPr="00F63FFD">
        <w:t xml:space="preserve"> burden on landlords who seek</w:t>
      </w:r>
      <w:r w:rsidR="007F38B1" w:rsidRPr="00F63FFD">
        <w:t xml:space="preserve"> simply </w:t>
      </w:r>
      <w:r w:rsidR="00192A48" w:rsidRPr="00F63FFD">
        <w:t xml:space="preserve">to go </w:t>
      </w:r>
      <w:r w:rsidR="007F38B1" w:rsidRPr="00F63FFD">
        <w:t xml:space="preserve">out of business. </w:t>
      </w:r>
      <w:r w:rsidR="00A86FEC" w:rsidRPr="00F63FFD">
        <w:t xml:space="preserve"> </w:t>
      </w:r>
      <w:r w:rsidR="007F38B1" w:rsidRPr="00F63FFD">
        <w:t xml:space="preserve">We </w:t>
      </w:r>
      <w:r w:rsidR="00F35936" w:rsidRPr="00F63FFD">
        <w:t xml:space="preserve">also </w:t>
      </w:r>
      <w:r w:rsidR="007F38B1" w:rsidRPr="00F63FFD">
        <w:t>view the p</w:t>
      </w:r>
      <w:r w:rsidR="00C810CF" w:rsidRPr="00F63FFD">
        <w:t xml:space="preserve">ayouts </w:t>
      </w:r>
      <w:r w:rsidR="00A6785C" w:rsidRPr="00F63FFD">
        <w:t xml:space="preserve">of </w:t>
      </w:r>
      <w:r w:rsidR="00D87998" w:rsidRPr="00F63FFD">
        <w:t xml:space="preserve">two years of </w:t>
      </w:r>
      <w:r w:rsidR="00C810CF" w:rsidRPr="00F63FFD">
        <w:t>ongoing rental subsidies—whether or not they reach the $50,000 ceiling set by Ordinance 68-15—</w:t>
      </w:r>
      <w:r w:rsidR="001C6B3C" w:rsidRPr="00F63FFD">
        <w:t>as a penalty akin</w:t>
      </w:r>
      <w:r w:rsidR="007A3BD6" w:rsidRPr="00F63FFD">
        <w:t xml:space="preserve"> to the 10-year pre-merger wait period </w:t>
      </w:r>
      <w:r w:rsidR="00510E24" w:rsidRPr="00F63FFD">
        <w:t>invalida</w:t>
      </w:r>
      <w:r w:rsidR="007A3BD6" w:rsidRPr="00F63FFD">
        <w:t xml:space="preserve">ted in </w:t>
      </w:r>
      <w:r w:rsidR="007A3BD6" w:rsidRPr="00F63FFD">
        <w:rPr>
          <w:i/>
        </w:rPr>
        <w:t>San Francisco Apartment Associa</w:t>
      </w:r>
      <w:r w:rsidR="00F35936" w:rsidRPr="00F63FFD">
        <w:rPr>
          <w:i/>
        </w:rPr>
        <w:t>tion</w:t>
      </w:r>
      <w:r w:rsidR="00F35936" w:rsidRPr="00F63FFD">
        <w:t>.</w:t>
      </w:r>
      <w:r w:rsidR="007A3BD6" w:rsidRPr="00F63FFD">
        <w:rPr>
          <w:i/>
        </w:rPr>
        <w:t xml:space="preserve">  </w:t>
      </w:r>
      <w:r w:rsidR="007F38B1" w:rsidRPr="00F63FFD">
        <w:t xml:space="preserve">The Rental </w:t>
      </w:r>
      <w:r w:rsidR="003F2E35" w:rsidRPr="00F63FFD">
        <w:t>Payment Differential obligation</w:t>
      </w:r>
      <w:r w:rsidR="007F38B1" w:rsidRPr="00F63FFD">
        <w:t xml:space="preserve"> imposes a prohibitive price on the ability of landlords to exercise their rights under the Ellis Act.</w:t>
      </w:r>
    </w:p>
    <w:p w14:paraId="3F6D2460" w14:textId="2F304BB0" w:rsidR="005D4F64" w:rsidRPr="00F63FFD" w:rsidRDefault="00C810CF" w:rsidP="00FB4849">
      <w:pPr>
        <w:spacing w:line="360" w:lineRule="auto"/>
      </w:pPr>
      <w:r w:rsidRPr="00F63FFD">
        <w:tab/>
      </w:r>
      <w:r w:rsidR="00CC1D1B" w:rsidRPr="00F63FFD">
        <w:t xml:space="preserve">To preserve its </w:t>
      </w:r>
      <w:r w:rsidR="00F508A0" w:rsidRPr="00F63FFD">
        <w:t>ordinances</w:t>
      </w:r>
      <w:r w:rsidR="00CC1D1B" w:rsidRPr="00F63FFD">
        <w:t>, the City relies</w:t>
      </w:r>
      <w:r w:rsidRPr="00F63FFD">
        <w:t xml:space="preserve"> on </w:t>
      </w:r>
      <w:r w:rsidR="00CC1D1B" w:rsidRPr="00F63FFD">
        <w:t xml:space="preserve">the </w:t>
      </w:r>
      <w:r w:rsidR="00246B84" w:rsidRPr="00F63FFD">
        <w:t>safe harbor clause</w:t>
      </w:r>
      <w:r w:rsidR="00CC1D1B" w:rsidRPr="00F63FFD">
        <w:t xml:space="preserve"> in</w:t>
      </w:r>
      <w:r w:rsidR="000616CB" w:rsidRPr="00F63FFD">
        <w:t xml:space="preserve"> </w:t>
      </w:r>
      <w:r w:rsidR="003F2E35" w:rsidRPr="00F63FFD">
        <w:t xml:space="preserve">Government Code </w:t>
      </w:r>
      <w:r w:rsidR="00CC1D1B" w:rsidRPr="00F63FFD">
        <w:t>section 7060.1</w:t>
      </w:r>
      <w:r w:rsidR="003F2E35" w:rsidRPr="00F63FFD">
        <w:t xml:space="preserve">, subdivision </w:t>
      </w:r>
      <w:r w:rsidR="00CC1D1B" w:rsidRPr="00F63FFD">
        <w:t xml:space="preserve">(c), </w:t>
      </w:r>
      <w:r w:rsidR="003050BF" w:rsidRPr="00F63FFD">
        <w:t xml:space="preserve">a savings clause in the Ellis Act </w:t>
      </w:r>
      <w:r w:rsidR="00CC1D1B" w:rsidRPr="00F63FFD">
        <w:t xml:space="preserve">which </w:t>
      </w:r>
      <w:r w:rsidR="003050BF" w:rsidRPr="00F63FFD">
        <w:t>preserves</w:t>
      </w:r>
      <w:r w:rsidR="00CC1D1B" w:rsidRPr="00F63FFD">
        <w:t xml:space="preserve"> </w:t>
      </w:r>
      <w:r w:rsidR="000616CB" w:rsidRPr="00F63FFD">
        <w:t>l</w:t>
      </w:r>
      <w:r w:rsidR="003050BF" w:rsidRPr="00F63FFD">
        <w:t>ocal authority</w:t>
      </w:r>
      <w:r w:rsidR="00CC1D1B" w:rsidRPr="00F63FFD">
        <w:t xml:space="preserve"> </w:t>
      </w:r>
      <w:r w:rsidR="000616CB" w:rsidRPr="00F63FFD">
        <w:t xml:space="preserve">to mitigate </w:t>
      </w:r>
      <w:r w:rsidR="00845C86" w:rsidRPr="00F63FFD">
        <w:t>“any</w:t>
      </w:r>
      <w:r w:rsidR="000616CB" w:rsidRPr="00F63FFD">
        <w:t xml:space="preserve"> adverse </w:t>
      </w:r>
      <w:r w:rsidR="00845C86" w:rsidRPr="00F63FFD">
        <w:t>impact</w:t>
      </w:r>
      <w:r w:rsidR="0065779F" w:rsidRPr="00F63FFD">
        <w:t xml:space="preserve"> on persons displaced by reason of the withdrawal from rent or lease of any accommodations.</w:t>
      </w:r>
      <w:r w:rsidR="00845C86" w:rsidRPr="00F63FFD">
        <w:t>”</w:t>
      </w:r>
      <w:r w:rsidR="0065779F" w:rsidRPr="00F63FFD">
        <w:t xml:space="preserve">  (Gov. Code, </w:t>
      </w:r>
      <w:r w:rsidR="006667EE" w:rsidRPr="00F63FFD">
        <w:t>§ </w:t>
      </w:r>
      <w:r w:rsidR="0065779F" w:rsidRPr="00F63FFD">
        <w:t>7060.1</w:t>
      </w:r>
      <w:r w:rsidR="003F2E35" w:rsidRPr="00F63FFD">
        <w:t>, subd. </w:t>
      </w:r>
      <w:r w:rsidR="005158C8" w:rsidRPr="00F63FFD">
        <w:t>(c)</w:t>
      </w:r>
      <w:r w:rsidR="0065779F" w:rsidRPr="00F63FFD">
        <w:t>.)</w:t>
      </w:r>
      <w:r w:rsidR="00CC1D1B" w:rsidRPr="00F63FFD">
        <w:t xml:space="preserve">  T</w:t>
      </w:r>
      <w:r w:rsidRPr="00F63FFD">
        <w:t xml:space="preserve">he City argues the rent hike a tenant experiences </w:t>
      </w:r>
      <w:r w:rsidR="00B5637D" w:rsidRPr="00F63FFD">
        <w:t>upon losing</w:t>
      </w:r>
      <w:r w:rsidRPr="00F63FFD">
        <w:t xml:space="preserve"> a rent-controlled tenancy “is an adverse impact caused by eviction,” noting “any argument to the contrary flies in the face of common sense”</w:t>
      </w:r>
      <w:r w:rsidR="000278C0" w:rsidRPr="00F63FFD">
        <w:t xml:space="preserve"> and that it “defies language to claim that a rent increase is not an ‘adverse impact’ of eviction.”</w:t>
      </w:r>
      <w:r w:rsidRPr="00F63FFD">
        <w:t xml:space="preserve">  The superior court </w:t>
      </w:r>
      <w:r w:rsidR="00246B84" w:rsidRPr="00F63FFD">
        <w:t xml:space="preserve">declined to endorse the City’s logic; it </w:t>
      </w:r>
      <w:r w:rsidRPr="00F63FFD">
        <w:t>found spiraling rents had no relationship to the adverse impacts caused by a landlord’s decis</w:t>
      </w:r>
      <w:r w:rsidR="005D4F64" w:rsidRPr="00F63FFD">
        <w:t>ion to exit the rental market.</w:t>
      </w:r>
    </w:p>
    <w:p w14:paraId="3E2ED9B7" w14:textId="761DB506" w:rsidR="00881CD7" w:rsidRPr="00F63FFD" w:rsidRDefault="005D4F64" w:rsidP="00FB4849">
      <w:pPr>
        <w:spacing w:line="360" w:lineRule="auto"/>
      </w:pPr>
      <w:r w:rsidRPr="00F63FFD">
        <w:tab/>
        <w:t>Like the City, we recognize that tenants who have benefitted from the price controls of rent control will likely face dramatically higher market-rate rents for comparable units.  But we disagree with the City’s analysis that attributes a tenant’s future increased rent in new housing to his landlord’s decision to exercise Ellis Act rights.  This analysis ignores the impact of the City’s policy decision to impose residential rent control, creating a rent differential.  That policy purposefully causes a tenant’s rent to be artificially below market rate, a gap that could be expected to increase with the length of the tenancy.  For rent-controlled units, a property owner cannot raise rents beyond the allowable annual rent increases set forth in San Francisco Administrative Code</w:t>
      </w:r>
      <w:r w:rsidR="000F1EBD" w:rsidRPr="00F63FFD">
        <w:t>, chapter 37,</w:t>
      </w:r>
      <w:r w:rsidRPr="00F63FFD">
        <w:t xml:space="preserve"> section 37.3 et seq., and California Civil Code section 1954.53, subdivision (a)(1).  As the City recognizes, “the high price of market-rate </w:t>
      </w:r>
      <w:r w:rsidRPr="00F63FFD">
        <w:lastRenderedPageBreak/>
        <w:t>housing” a tenant faces upon eviction as permitted by the Ellis Act is “the most immediate consequence,” a common sense impact, of the artificially low rents a tenant pays as a provided</w:t>
      </w:r>
      <w:r w:rsidR="00CC56A3">
        <w:t xml:space="preserve"> by City-</w:t>
      </w:r>
      <w:r w:rsidR="00285789" w:rsidRPr="00F63FFD">
        <w:t xml:space="preserve">enacted rent control. </w:t>
      </w:r>
      <w:r w:rsidRPr="00F63FFD">
        <w:t xml:space="preserve"> In our view</w:t>
      </w:r>
      <w:r w:rsidR="00CC56A3">
        <w:t xml:space="preserve">, the City’s presumption that </w:t>
      </w:r>
      <w:r w:rsidRPr="00F63FFD">
        <w:t>spiraling</w:t>
      </w:r>
      <w:r w:rsidR="00CC56A3">
        <w:t xml:space="preserve"> rents</w:t>
      </w:r>
      <w:r w:rsidRPr="00F63FFD">
        <w:t xml:space="preserve"> and high housing prices in San Francisco are an adverse impact of individual evictions statutorily permitted under the Ellis Act is a faulty one.  Absent this connection, ongoing rental subsidy payments indisputably enlarge the concept of mitigation in a manner not authorized by the savings clause.</w:t>
      </w:r>
    </w:p>
    <w:p w14:paraId="461B62CF" w14:textId="50D7D277" w:rsidR="00D76F84" w:rsidRPr="00F63FFD" w:rsidRDefault="00881CD7" w:rsidP="00FB4849">
      <w:pPr>
        <w:spacing w:line="360" w:lineRule="auto"/>
      </w:pPr>
      <w:r w:rsidRPr="00F63FFD">
        <w:tab/>
      </w:r>
      <w:r w:rsidR="0065779F" w:rsidRPr="00F63FFD">
        <w:t>Moreover</w:t>
      </w:r>
      <w:r w:rsidR="00E84465" w:rsidRPr="00F63FFD">
        <w:t xml:space="preserve">, </w:t>
      </w:r>
      <w:r w:rsidR="003050BF" w:rsidRPr="00F63FFD">
        <w:t>savings clauses like the one the City relies upon for its authority “are usually strictly construed.  [¶]  . . . [¶]  [C]ourts have refused to interpret savings clauses in a manner that would authorize activity that directly conflicts with the statutory scheme containing the savings clause.”  (</w:t>
      </w:r>
      <w:r w:rsidR="003050BF" w:rsidRPr="00F63FFD">
        <w:rPr>
          <w:i/>
        </w:rPr>
        <w:t xml:space="preserve">City of Dana Point </w:t>
      </w:r>
      <w:r w:rsidR="006B4662" w:rsidRPr="00F63FFD">
        <w:rPr>
          <w:i/>
        </w:rPr>
        <w:t>v. California Coastal Com.</w:t>
      </w:r>
      <w:r w:rsidR="003050BF" w:rsidRPr="00F63FFD">
        <w:rPr>
          <w:i/>
        </w:rPr>
        <w:t xml:space="preserve"> </w:t>
      </w:r>
      <w:r w:rsidR="003050BF" w:rsidRPr="00F63FFD">
        <w:t>(201</w:t>
      </w:r>
      <w:r w:rsidR="006B4662" w:rsidRPr="00F63FFD">
        <w:t>3) 217 Cal.App.4th 170, 195, 203</w:t>
      </w:r>
      <w:r w:rsidR="003050BF" w:rsidRPr="00F63FFD">
        <w:t>.)  A local government’s</w:t>
      </w:r>
      <w:r w:rsidR="00C810CF" w:rsidRPr="00F63FFD">
        <w:t xml:space="preserve"> powers to mitigate are not without limits and cannot be enlarged in such a way to prevent a property owner from exercising her Ellis Act rights.  </w:t>
      </w:r>
      <w:r w:rsidR="00FB4849" w:rsidRPr="00F63FFD">
        <w:t xml:space="preserve">(See </w:t>
      </w:r>
      <w:r w:rsidR="00857A27" w:rsidRPr="00F63FFD">
        <w:rPr>
          <w:i/>
        </w:rPr>
        <w:t>Bullock</w:t>
      </w:r>
      <w:r w:rsidR="00FB4849" w:rsidRPr="00F63FFD">
        <w:t xml:space="preserve">, </w:t>
      </w:r>
      <w:r w:rsidR="00FB4849" w:rsidRPr="00F63FFD">
        <w:rPr>
          <w:i/>
        </w:rPr>
        <w:t>supra</w:t>
      </w:r>
      <w:r w:rsidR="00FB4849" w:rsidRPr="00F63FFD">
        <w:t>,</w:t>
      </w:r>
      <w:r w:rsidR="00857A27" w:rsidRPr="00F63FFD">
        <w:rPr>
          <w:i/>
        </w:rPr>
        <w:t xml:space="preserve"> </w:t>
      </w:r>
      <w:r w:rsidR="00857A27" w:rsidRPr="00F63FFD">
        <w:t xml:space="preserve">221 Cal.App.3d </w:t>
      </w:r>
      <w:r w:rsidR="006667EE" w:rsidRPr="00F63FFD">
        <w:t>at p. </w:t>
      </w:r>
      <w:r w:rsidR="00FB4849" w:rsidRPr="00F63FFD">
        <w:t xml:space="preserve">1101 [circumscribing concept of mitigation by rejecting ordinance provisions that would “require [an] owner to make expenditures that benefit society at large”].)  </w:t>
      </w:r>
      <w:r w:rsidR="00E84465" w:rsidRPr="00F63FFD">
        <w:t>Section 7060.1</w:t>
      </w:r>
      <w:r w:rsidR="006B4662" w:rsidRPr="00F63FFD">
        <w:t xml:space="preserve">, subdivision </w:t>
      </w:r>
      <w:r w:rsidR="00E84465" w:rsidRPr="00F63FFD">
        <w:t xml:space="preserve">(c) </w:t>
      </w:r>
      <w:r w:rsidR="006B4662" w:rsidRPr="00F63FFD">
        <w:t xml:space="preserve">of the Government Code </w:t>
      </w:r>
      <w:r w:rsidR="00E84465" w:rsidRPr="00F63FFD">
        <w:t>does not allow the City to disregard landlord rights set forth in the Ellis Act in the name of mitigation.</w:t>
      </w:r>
    </w:p>
    <w:p w14:paraId="4263F2BD" w14:textId="4EC30CF7" w:rsidR="00494D91" w:rsidRPr="00F63FFD" w:rsidRDefault="00C810CF">
      <w:pPr>
        <w:spacing w:line="360" w:lineRule="auto"/>
      </w:pPr>
      <w:r w:rsidRPr="00F63FFD">
        <w:tab/>
        <w:t xml:space="preserve">The City also points to California and federal law allowing tenants who are displaced by eminent domain to receive payments based on their higher housing costs following displacement to justify both the type and duration of its newly added payouts.  California law, for example, requires </w:t>
      </w:r>
      <w:r w:rsidR="0091289E" w:rsidRPr="00F63FFD">
        <w:t xml:space="preserve">that </w:t>
      </w:r>
      <w:r w:rsidRPr="00F63FFD">
        <w:t>tenants displaced due to eminent domain receive 42 months of rent subsidies not to exceed $5,250 total.  (Gov. Code, § 7264</w:t>
      </w:r>
      <w:r w:rsidR="006B4662" w:rsidRPr="00F63FFD">
        <w:t>, subd. (b)</w:t>
      </w:r>
      <w:r w:rsidRPr="00F63FFD">
        <w:t>.)  We view these eminent domain laws as inapposite.  In eminent domain, governments draw on public funds to pay just compensation for property they take to ensure that particular private parties do not have to shoulder what should be public burdens.  (</w:t>
      </w:r>
      <w:r w:rsidRPr="00F63FFD">
        <w:rPr>
          <w:i/>
        </w:rPr>
        <w:t xml:space="preserve">Armstrong v. United States </w:t>
      </w:r>
      <w:r w:rsidRPr="00F63FFD">
        <w:t>(1960) 364 U.S. 40, 49.)  Unlike eminent domain, the City’s ordinances place the burden of paying rent subsidies to displaced tenants</w:t>
      </w:r>
      <w:r w:rsidR="0092452F" w:rsidRPr="00F63FFD">
        <w:t>, to advance</w:t>
      </w:r>
      <w:r w:rsidRPr="00F63FFD">
        <w:t xml:space="preserve"> the City’s public </w:t>
      </w:r>
      <w:r w:rsidR="0092452F" w:rsidRPr="00F63FFD">
        <w:t xml:space="preserve">policy </w:t>
      </w:r>
      <w:r w:rsidRPr="00F63FFD">
        <w:t>objective</w:t>
      </w:r>
      <w:r w:rsidR="0092452F" w:rsidRPr="00F63FFD">
        <w:t>,</w:t>
      </w:r>
      <w:r w:rsidRPr="00F63FFD">
        <w:t xml:space="preserve"> on the shoulders of </w:t>
      </w:r>
      <w:r w:rsidR="0092452F" w:rsidRPr="00F63FFD">
        <w:t xml:space="preserve">certain </w:t>
      </w:r>
      <w:r w:rsidRPr="00F63FFD">
        <w:t xml:space="preserve">private parties who </w:t>
      </w:r>
      <w:r w:rsidRPr="00F63FFD">
        <w:lastRenderedPageBreak/>
        <w:t>do not draw on public funds</w:t>
      </w:r>
      <w:r w:rsidR="0092452F" w:rsidRPr="00F63FFD">
        <w:t xml:space="preserve"> to pay the subsidies.  O</w:t>
      </w:r>
      <w:r w:rsidRPr="00F63FFD">
        <w:t xml:space="preserve">ur prohibitive price analysis </w:t>
      </w:r>
      <w:r w:rsidR="0092452F" w:rsidRPr="00F63FFD">
        <w:t>reflects</w:t>
      </w:r>
      <w:r w:rsidRPr="00F63FFD">
        <w:t xml:space="preserve"> this di</w:t>
      </w:r>
      <w:r w:rsidR="0092452F" w:rsidRPr="00F63FFD">
        <w:t>stinction</w:t>
      </w:r>
      <w:r w:rsidRPr="00F63FFD">
        <w:t>.</w:t>
      </w:r>
      <w:r w:rsidR="00E33761" w:rsidRPr="00F63FFD">
        <w:t xml:space="preserve">  A property owner’s lawful decision to withdraw from the rental market may not be frustrated by </w:t>
      </w:r>
      <w:r w:rsidR="00EE2FDE" w:rsidRPr="00F63FFD">
        <w:t xml:space="preserve">burdensome </w:t>
      </w:r>
      <w:r w:rsidR="00E33761" w:rsidRPr="00F63FFD">
        <w:t xml:space="preserve">monetary exactions </w:t>
      </w:r>
      <w:r w:rsidR="0091289E" w:rsidRPr="00F63FFD">
        <w:t>from the</w:t>
      </w:r>
      <w:r w:rsidR="00E33761" w:rsidRPr="00F63FFD">
        <w:t xml:space="preserve"> owners to fund the City’s policy goals.</w:t>
      </w:r>
    </w:p>
    <w:p w14:paraId="0F641142" w14:textId="1AB89C38" w:rsidR="00494D91" w:rsidRPr="00F63FFD" w:rsidRDefault="00C810CF">
      <w:pPr>
        <w:spacing w:line="360" w:lineRule="auto"/>
      </w:pPr>
      <w:r w:rsidRPr="00F63FFD">
        <w:tab/>
        <w:t xml:space="preserve">The City also </w:t>
      </w:r>
      <w:r w:rsidR="000958A2" w:rsidRPr="00F63FFD">
        <w:t xml:space="preserve">argues </w:t>
      </w:r>
      <w:r w:rsidR="0092452F" w:rsidRPr="00F63FFD">
        <w:t xml:space="preserve">that </w:t>
      </w:r>
      <w:r w:rsidRPr="00F63FFD">
        <w:t xml:space="preserve">a </w:t>
      </w:r>
      <w:r w:rsidR="0092452F" w:rsidRPr="00F63FFD">
        <w:t>decision</w:t>
      </w:r>
      <w:r w:rsidRPr="00F63FFD">
        <w:t xml:space="preserve"> </w:t>
      </w:r>
      <w:r w:rsidR="00FB4849" w:rsidRPr="00F63FFD">
        <w:t xml:space="preserve">which results in </w:t>
      </w:r>
      <w:r w:rsidRPr="00F63FFD">
        <w:t xml:space="preserve">some mitigation payments </w:t>
      </w:r>
      <w:r w:rsidR="00FB4849" w:rsidRPr="00F63FFD">
        <w:t xml:space="preserve">being approved (e.g., the relocation assistance in </w:t>
      </w:r>
      <w:r w:rsidR="00FB4849" w:rsidRPr="00F63FFD">
        <w:rPr>
          <w:i/>
        </w:rPr>
        <w:t>Pieri</w:t>
      </w:r>
      <w:r w:rsidR="00FB4849" w:rsidRPr="00F63FFD">
        <w:t>)</w:t>
      </w:r>
      <w:r w:rsidR="00FB4849" w:rsidRPr="00F63FFD">
        <w:rPr>
          <w:i/>
        </w:rPr>
        <w:t xml:space="preserve"> </w:t>
      </w:r>
      <w:r w:rsidRPr="00F63FFD">
        <w:t>but not others (</w:t>
      </w:r>
      <w:r w:rsidR="00FB4849" w:rsidRPr="00F63FFD">
        <w:t>e.g., the rental subsidies at issue here</w:t>
      </w:r>
      <w:r w:rsidRPr="00F63FFD">
        <w:t xml:space="preserve">) effectively writes into the Ellis Act a new restriction in violation of the “cardinal rule of statutory construction that courts must not add provisions to statutes.”  The principle of statutory construction cited by the City </w:t>
      </w:r>
      <w:r w:rsidR="000958A2" w:rsidRPr="00F63FFD">
        <w:t>is</w:t>
      </w:r>
      <w:r w:rsidRPr="00F63FFD">
        <w:t xml:space="preserve"> codified in </w:t>
      </w:r>
      <w:r w:rsidR="00BA31A3" w:rsidRPr="00F63FFD">
        <w:t xml:space="preserve">section 1858 of the </w:t>
      </w:r>
      <w:r w:rsidRPr="00F63FFD">
        <w:t>Code of Civil Procedure, which provides that a court must not “insert what has been omitted” from a statute.  (Code Civ. Proc., § 1858.)</w:t>
      </w:r>
      <w:r w:rsidR="00E43429" w:rsidRPr="00F63FFD">
        <w:t xml:space="preserve">  </w:t>
      </w:r>
      <w:r w:rsidRPr="00F63FFD">
        <w:t>That same provision begins, “In the construction of a statute . . . , the office of the Judge is simply to ascertain and declare what is in terms or in substance contained therein.”  (</w:t>
      </w:r>
      <w:r w:rsidRPr="00F63FFD">
        <w:rPr>
          <w:i/>
        </w:rPr>
        <w:t>Ibid.</w:t>
      </w:r>
      <w:r w:rsidRPr="00F63FFD">
        <w:t>)  “[I]t is the duty of the courts within the framework of the statutes, to interpret them so as to make them workable and reasonable.”  (</w:t>
      </w:r>
      <w:r w:rsidRPr="00F63FFD">
        <w:rPr>
          <w:i/>
        </w:rPr>
        <w:t xml:space="preserve">Golden v. City of Oakland </w:t>
      </w:r>
      <w:r w:rsidRPr="00F63FFD">
        <w:t xml:space="preserve">(1975) 49 Cal.App.3d 284, 288.)  </w:t>
      </w:r>
      <w:r w:rsidR="0092452F" w:rsidRPr="00F63FFD">
        <w:t>We disagree w</w:t>
      </w:r>
      <w:r w:rsidR="00FD626C" w:rsidRPr="00F63FFD">
        <w:t xml:space="preserve">ith the City’s </w:t>
      </w:r>
      <w:r w:rsidR="00DF39B6" w:rsidRPr="00F63FFD">
        <w:t>contention</w:t>
      </w:r>
      <w:r w:rsidR="00FD626C" w:rsidRPr="00F63FFD">
        <w:t xml:space="preserve"> that our </w:t>
      </w:r>
      <w:r w:rsidR="00930B86" w:rsidRPr="00F63FFD">
        <w:t>analysis will</w:t>
      </w:r>
      <w:r w:rsidR="00FD626C" w:rsidRPr="00F63FFD">
        <w:t xml:space="preserve"> add </w:t>
      </w:r>
      <w:r w:rsidR="00F811F5" w:rsidRPr="00F63FFD">
        <w:t xml:space="preserve">new restrictions </w:t>
      </w:r>
      <w:r w:rsidR="00FD626C" w:rsidRPr="00F63FFD">
        <w:t>to the Ellis Act</w:t>
      </w:r>
      <w:r w:rsidR="00F811F5" w:rsidRPr="00F63FFD">
        <w:t xml:space="preserve">; </w:t>
      </w:r>
      <w:r w:rsidR="00E33761" w:rsidRPr="00F63FFD">
        <w:t>our</w:t>
      </w:r>
      <w:r w:rsidR="00F811F5" w:rsidRPr="00F63FFD">
        <w:t xml:space="preserve"> decision does not go</w:t>
      </w:r>
      <w:r w:rsidR="00FD626C" w:rsidRPr="00F63FFD">
        <w:t xml:space="preserve"> beyond interpreting the savings clause the </w:t>
      </w:r>
      <w:r w:rsidR="00F811F5" w:rsidRPr="00F63FFD">
        <w:t>Legislature in</w:t>
      </w:r>
      <w:r w:rsidR="00930B86" w:rsidRPr="00F63FFD">
        <w:t>cluded</w:t>
      </w:r>
      <w:r w:rsidR="00F811F5" w:rsidRPr="00F63FFD">
        <w:t xml:space="preserve"> </w:t>
      </w:r>
      <w:r w:rsidR="00FD626C" w:rsidRPr="00F63FFD">
        <w:t>in the statute.</w:t>
      </w:r>
    </w:p>
    <w:p w14:paraId="0CF6C73A" w14:textId="1C3EECEA" w:rsidR="003D2E00" w:rsidRPr="00F63FFD" w:rsidRDefault="00C810CF">
      <w:pPr>
        <w:spacing w:line="360" w:lineRule="auto"/>
      </w:pPr>
      <w:r w:rsidRPr="00F63FFD">
        <w:tab/>
        <w:t xml:space="preserve">Finally, we need not address the City’s concern that its ordinance cannot be preempted on a facial challenge given the range of potential mitigation payments possible.  </w:t>
      </w:r>
      <w:r w:rsidR="00DF39B6" w:rsidRPr="00F63FFD">
        <w:t xml:space="preserve">The City complains that the Coyne plaintiffs </w:t>
      </w:r>
      <w:r w:rsidR="0003215A" w:rsidRPr="00F63FFD">
        <w:t xml:space="preserve">“have never attempted to </w:t>
      </w:r>
      <w:r w:rsidR="00DF39B6" w:rsidRPr="00F63FFD">
        <w:t xml:space="preserve">show that all or most landlords will be </w:t>
      </w:r>
      <w:r w:rsidR="00DF39B6" w:rsidRPr="00F63FFD">
        <w:rPr>
          <w:i/>
        </w:rPr>
        <w:t>unable</w:t>
      </w:r>
      <w:r w:rsidR="00DF39B6" w:rsidRPr="00F63FFD">
        <w:t xml:space="preserve"> to exercise their Ellis Act rights</w:t>
      </w:r>
      <w:r w:rsidR="0003215A" w:rsidRPr="00F63FFD">
        <w:t xml:space="preserve"> if the [a]mended </w:t>
      </w:r>
      <w:r w:rsidR="00BA31A3" w:rsidRPr="00F63FFD">
        <w:t>[</w:t>
      </w:r>
      <w:r w:rsidR="0003215A" w:rsidRPr="00F63FFD">
        <w:t>o</w:t>
      </w:r>
      <w:r w:rsidR="00BA31A3" w:rsidRPr="00F63FFD">
        <w:t>]</w:t>
      </w:r>
      <w:r w:rsidR="0003215A" w:rsidRPr="00F63FFD">
        <w:t>rdinance is upheld.”</w:t>
      </w:r>
      <w:r w:rsidR="00E43429" w:rsidRPr="00F63FFD">
        <w:t xml:space="preserve">  </w:t>
      </w:r>
      <w:r w:rsidR="0003215A" w:rsidRPr="00F63FFD">
        <w:t xml:space="preserve">Citing </w:t>
      </w:r>
      <w:r w:rsidR="0003215A" w:rsidRPr="00F63FFD">
        <w:rPr>
          <w:i/>
        </w:rPr>
        <w:t xml:space="preserve">Tobe v. City of Santa Ana </w:t>
      </w:r>
      <w:r w:rsidR="0003215A" w:rsidRPr="00F63FFD">
        <w:t>(1995) 9 Cal.4th 1069, t</w:t>
      </w:r>
      <w:r w:rsidRPr="00F63FFD">
        <w:t>he City</w:t>
      </w:r>
      <w:r w:rsidR="0003215A" w:rsidRPr="00F63FFD">
        <w:t xml:space="preserve"> recognizes that</w:t>
      </w:r>
      <w:r w:rsidRPr="00F63FFD">
        <w:t xml:space="preserve"> “[a] facial challenge to the constitutional validity of a statute or ordinance considers only the text of the measure itself, not its application to the particular circumstances of an individual.”  (</w:t>
      </w:r>
      <w:r w:rsidR="00D91107" w:rsidRPr="00F63FFD">
        <w:rPr>
          <w:i/>
        </w:rPr>
        <w:t xml:space="preserve">Id. </w:t>
      </w:r>
      <w:r w:rsidR="00D91107" w:rsidRPr="00F63FFD">
        <w:t>at p.</w:t>
      </w:r>
      <w:r w:rsidRPr="00F63FFD">
        <w:t xml:space="preserve"> 1084.)  Our decision invalidating the City’s enhanced relocation payment requirements of these ordinances </w:t>
      </w:r>
      <w:r w:rsidR="00857A27" w:rsidRPr="00F63FFD">
        <w:t>does not</w:t>
      </w:r>
      <w:r w:rsidRPr="00F63FFD">
        <w:t xml:space="preserve"> apply the City’s ordinances to any plaintiff or other individual and depends not at all on whether a landlord owes an evict</w:t>
      </w:r>
      <w:r w:rsidR="00A307DA" w:rsidRPr="00F63FFD">
        <w:t>ed tenant one dollar over the $4</w:t>
      </w:r>
      <w:r w:rsidRPr="00F63FFD">
        <w:t>,</w:t>
      </w:r>
      <w:r w:rsidR="00A307DA" w:rsidRPr="00F63FFD">
        <w:t>5</w:t>
      </w:r>
      <w:r w:rsidR="0057703E" w:rsidRPr="00F63FFD">
        <w:t>00</w:t>
      </w:r>
      <w:r w:rsidRPr="00F63FFD">
        <w:t xml:space="preserve"> per-person-maximum-</w:t>
      </w:r>
      <w:r w:rsidRPr="00F63FFD">
        <w:lastRenderedPageBreak/>
        <w:t>relocation payment currentl</w:t>
      </w:r>
      <w:r w:rsidR="006A6574">
        <w:t xml:space="preserve">y due an evictee under </w:t>
      </w:r>
      <w:r w:rsidRPr="00F63FFD">
        <w:t>Ordinance</w:t>
      </w:r>
      <w:r w:rsidR="006A6574">
        <w:t xml:space="preserve"> 21-05</w:t>
      </w:r>
      <w:r w:rsidR="0057703E" w:rsidRPr="00F63FFD">
        <w:t xml:space="preserve"> (before adjusting for inflation)</w:t>
      </w:r>
      <w:r w:rsidR="00857A27" w:rsidRPr="00F63FFD">
        <w:t xml:space="preserve">.  It does not consider whether a landlord </w:t>
      </w:r>
      <w:r w:rsidR="00E33761" w:rsidRPr="00F63FFD">
        <w:t>must</w:t>
      </w:r>
      <w:r w:rsidRPr="00F63FFD">
        <w:t xml:space="preserve"> pay the $50,000 maximum Ordinance</w:t>
      </w:r>
      <w:r w:rsidR="00857A27" w:rsidRPr="00F63FFD">
        <w:t xml:space="preserve"> 68-15</w:t>
      </w:r>
      <w:r w:rsidRPr="00F63FFD">
        <w:t xml:space="preserve"> allows.  Rather, we conclude the City’s enhanced relocation payment </w:t>
      </w:r>
      <w:r w:rsidR="00857A27" w:rsidRPr="00F63FFD">
        <w:t>regulations</w:t>
      </w:r>
      <w:r w:rsidRPr="00F63FFD">
        <w:t xml:space="preserve"> are on their face preempted as categorical infringements which impose a prohibitive price on a landlord’s right to exercise his rights to go out of the residential rental business.  Because there is no set of circumstances under which </w:t>
      </w:r>
      <w:r w:rsidR="00E67A73" w:rsidRPr="00F63FFD">
        <w:t xml:space="preserve">we view </w:t>
      </w:r>
      <w:r w:rsidRPr="00F63FFD">
        <w:t xml:space="preserve">this type of payout obligation </w:t>
      </w:r>
      <w:r w:rsidR="00E67A73" w:rsidRPr="00F63FFD">
        <w:t>as</w:t>
      </w:r>
      <w:r w:rsidRPr="00F63FFD">
        <w:t xml:space="preserve"> valid, we make no conclusions about their application </w:t>
      </w:r>
      <w:r w:rsidR="00857A27" w:rsidRPr="00F63FFD">
        <w:t>or</w:t>
      </w:r>
      <w:r w:rsidRPr="00F63FFD">
        <w:t xml:space="preserve"> what </w:t>
      </w:r>
      <w:r w:rsidR="00857A27" w:rsidRPr="00F63FFD">
        <w:t xml:space="preserve">particular </w:t>
      </w:r>
      <w:r w:rsidRPr="00F63FFD">
        <w:t>relocation payment</w:t>
      </w:r>
      <w:r w:rsidR="00E33761" w:rsidRPr="00F63FFD">
        <w:t xml:space="preserve"> </w:t>
      </w:r>
      <w:r w:rsidR="0057703E" w:rsidRPr="00F63FFD">
        <w:t xml:space="preserve">threshold </w:t>
      </w:r>
      <w:r w:rsidRPr="00F63FFD">
        <w:t>imposes a prohibit</w:t>
      </w:r>
      <w:r w:rsidR="00A307DA" w:rsidRPr="00F63FFD">
        <w:t>ive price.</w:t>
      </w:r>
    </w:p>
    <w:p w14:paraId="7957BDE7" w14:textId="77777777" w:rsidR="00494D91" w:rsidRPr="00F63FFD" w:rsidRDefault="00C810CF" w:rsidP="009A4C2D">
      <w:pPr>
        <w:keepNext/>
        <w:keepLines/>
        <w:spacing w:after="180" w:line="240" w:lineRule="auto"/>
        <w:jc w:val="center"/>
        <w:rPr>
          <w:i/>
        </w:rPr>
      </w:pPr>
      <w:r w:rsidRPr="00F63FFD">
        <w:rPr>
          <w:i/>
        </w:rPr>
        <w:t xml:space="preserve">D.  The City’s Additional Procedural Requirements </w:t>
      </w:r>
      <w:r w:rsidR="007A42BE" w:rsidRPr="00F63FFD">
        <w:rPr>
          <w:i/>
        </w:rPr>
        <w:t xml:space="preserve">May </w:t>
      </w:r>
      <w:r w:rsidRPr="00F63FFD">
        <w:rPr>
          <w:i/>
        </w:rPr>
        <w:t>Also Impose a Prohibitive Price on Landlords Withdrawing from the Residential Rental Business</w:t>
      </w:r>
    </w:p>
    <w:p w14:paraId="361D4985" w14:textId="51BBFDFC" w:rsidR="00457AA5" w:rsidRPr="00F63FFD" w:rsidRDefault="00C810CF" w:rsidP="009A4C2D">
      <w:pPr>
        <w:keepNext/>
        <w:keepLines/>
        <w:spacing w:line="360" w:lineRule="auto"/>
      </w:pPr>
      <w:r w:rsidRPr="00F63FFD">
        <w:tab/>
      </w:r>
      <w:r w:rsidR="00457AA5" w:rsidRPr="00F63FFD">
        <w:t xml:space="preserve">The </w:t>
      </w:r>
      <w:r w:rsidR="00457AA5" w:rsidRPr="00F63FFD">
        <w:rPr>
          <w:i/>
        </w:rPr>
        <w:t xml:space="preserve">Coyne </w:t>
      </w:r>
      <w:r w:rsidR="00457AA5" w:rsidRPr="00F63FFD">
        <w:t xml:space="preserve">plaintiffs also challenge new procedural requirements in the City’s ordinances.  They contend the declaration process, the fee calculation process, the hardship adjustment petition procedure, and the three-year monitoring period in the ordinances are themselves facially preempted.  And the </w:t>
      </w:r>
      <w:r w:rsidR="00457AA5" w:rsidRPr="00F63FFD">
        <w:rPr>
          <w:i/>
        </w:rPr>
        <w:t xml:space="preserve">Coyne </w:t>
      </w:r>
      <w:r w:rsidR="00457AA5" w:rsidRPr="00F63FFD">
        <w:t>plaintiffs dispute the City’s contention that by creating procedures to mitigate the potential financial hardship of the challenged ordinances, the City avoids preemption.</w:t>
      </w:r>
    </w:p>
    <w:p w14:paraId="1C9A3DDF" w14:textId="77777777" w:rsidR="00E57E1A" w:rsidRPr="00F63FFD" w:rsidRDefault="00457AA5">
      <w:pPr>
        <w:spacing w:line="360" w:lineRule="auto"/>
      </w:pPr>
      <w:r w:rsidRPr="00F63FFD">
        <w:tab/>
        <w:t xml:space="preserve">In light of our decision invalidating the Rental-Payment-Differential provisions as preempted, we recognize that we need not </w:t>
      </w:r>
      <w:r w:rsidR="00E57E1A" w:rsidRPr="00F63FFD">
        <w:t>address the</w:t>
      </w:r>
      <w:r w:rsidRPr="00F63FFD">
        <w:t>se</w:t>
      </w:r>
      <w:r w:rsidR="00E57E1A" w:rsidRPr="00F63FFD">
        <w:t xml:space="preserve"> challenged procedural requirements</w:t>
      </w:r>
      <w:r w:rsidR="00A459D5" w:rsidRPr="00F63FFD">
        <w:t xml:space="preserve"> of the ordinances</w:t>
      </w:r>
      <w:r w:rsidRPr="00F63FFD">
        <w:t xml:space="preserve">, </w:t>
      </w:r>
      <w:r w:rsidR="00E57E1A" w:rsidRPr="00F63FFD">
        <w:t xml:space="preserve">all of which </w:t>
      </w:r>
      <w:r w:rsidRPr="00F63FFD">
        <w:t xml:space="preserve">stem from and are triggered by the enhanced relocation payment provisions.  Nevertheless, we express our concern about the validity of such procedures, should the parties consider the enactment of similar remedies in </w:t>
      </w:r>
      <w:r w:rsidR="00E57E1A" w:rsidRPr="00F63FFD">
        <w:t>future</w:t>
      </w:r>
      <w:r w:rsidRPr="00F63FFD">
        <w:t xml:space="preserve"> efforts </w:t>
      </w:r>
      <w:r w:rsidR="00E57E1A" w:rsidRPr="00F63FFD">
        <w:t>to mitigate the adverse effects of Ellis Act evictions.</w:t>
      </w:r>
    </w:p>
    <w:p w14:paraId="64446395" w14:textId="641BDFE4" w:rsidR="0057703E" w:rsidRPr="00F63FFD" w:rsidRDefault="00AA7D3D">
      <w:pPr>
        <w:spacing w:line="360" w:lineRule="auto"/>
      </w:pPr>
      <w:r w:rsidRPr="00F63FFD">
        <w:tab/>
      </w:r>
      <w:r w:rsidR="00B604BF" w:rsidRPr="00F63FFD">
        <w:t>We observe o</w:t>
      </w:r>
      <w:r w:rsidR="0057703E" w:rsidRPr="00F63FFD">
        <w:t>rdinances which have</w:t>
      </w:r>
      <w:r w:rsidR="00C810CF" w:rsidRPr="00F63FFD">
        <w:t xml:space="preserve"> insert</w:t>
      </w:r>
      <w:r w:rsidR="0057703E" w:rsidRPr="00F63FFD">
        <w:t>ed</w:t>
      </w:r>
      <w:r w:rsidR="00C810CF" w:rsidRPr="00F63FFD">
        <w:t xml:space="preserve"> additional notification requirements and other procedural elements into the Ellis Act eviction process have</w:t>
      </w:r>
      <w:r w:rsidR="009A4EF9" w:rsidRPr="00F63FFD">
        <w:t xml:space="preserve"> previously</w:t>
      </w:r>
      <w:r w:rsidR="00C810CF" w:rsidRPr="00F63FFD">
        <w:t xml:space="preserve"> failed</w:t>
      </w:r>
      <w:r w:rsidR="0057703E" w:rsidRPr="00F63FFD">
        <w:t xml:space="preserve">.  For instance, in </w:t>
      </w:r>
      <w:r w:rsidR="0057703E" w:rsidRPr="00F63FFD">
        <w:rPr>
          <w:i/>
        </w:rPr>
        <w:t>Johnson</w:t>
      </w:r>
      <w:r w:rsidR="0057703E" w:rsidRPr="00F63FFD">
        <w:t>,</w:t>
      </w:r>
      <w:r w:rsidR="0057703E" w:rsidRPr="00F63FFD">
        <w:rPr>
          <w:i/>
        </w:rPr>
        <w:t xml:space="preserve"> </w:t>
      </w:r>
      <w:r w:rsidR="00B83234" w:rsidRPr="00F63FFD">
        <w:t>this District considered an</w:t>
      </w:r>
      <w:r w:rsidR="00E33761" w:rsidRPr="00F63FFD">
        <w:t xml:space="preserve"> ordinance </w:t>
      </w:r>
      <w:r w:rsidR="009E2503" w:rsidRPr="00F63FFD">
        <w:t>requir</w:t>
      </w:r>
      <w:r w:rsidR="00E33761" w:rsidRPr="00F63FFD">
        <w:t>ing</w:t>
      </w:r>
      <w:r w:rsidR="009E2503" w:rsidRPr="00F63FFD">
        <w:t xml:space="preserve"> landlords </w:t>
      </w:r>
      <w:r w:rsidR="0057703E" w:rsidRPr="00F63FFD">
        <w:t xml:space="preserve">to inform </w:t>
      </w:r>
      <w:r w:rsidR="00E33761" w:rsidRPr="00F63FFD">
        <w:t>evicted</w:t>
      </w:r>
      <w:r w:rsidR="0057703E" w:rsidRPr="00F63FFD">
        <w:t xml:space="preserve"> te</w:t>
      </w:r>
      <w:r w:rsidR="009E2503" w:rsidRPr="00F63FFD">
        <w:t>nants whether they believed th</w:t>
      </w:r>
      <w:r w:rsidR="00B83234" w:rsidRPr="00F63FFD">
        <w:t>ose</w:t>
      </w:r>
      <w:r w:rsidR="009E2503" w:rsidRPr="00F63FFD">
        <w:t xml:space="preserve"> tenants</w:t>
      </w:r>
      <w:r w:rsidR="0057703E" w:rsidRPr="00F63FFD">
        <w:t xml:space="preserve"> were </w:t>
      </w:r>
      <w:r w:rsidR="00B83234" w:rsidRPr="00F63FFD">
        <w:t>owed increased</w:t>
      </w:r>
      <w:r w:rsidR="0057703E" w:rsidRPr="00F63FFD">
        <w:t xml:space="preserve"> re</w:t>
      </w:r>
      <w:r w:rsidR="009E2503" w:rsidRPr="00F63FFD">
        <w:t>location payment</w:t>
      </w:r>
      <w:r w:rsidR="0057703E" w:rsidRPr="00F63FFD">
        <w:t xml:space="preserve"> based on their age or disability</w:t>
      </w:r>
      <w:r w:rsidR="00E33761" w:rsidRPr="00F63FFD">
        <w:t>.</w:t>
      </w:r>
      <w:r w:rsidR="00B83234" w:rsidRPr="00F63FFD">
        <w:t xml:space="preserve">  (</w:t>
      </w:r>
      <w:r w:rsidR="00B83234" w:rsidRPr="00F63FFD">
        <w:rPr>
          <w:i/>
        </w:rPr>
        <w:t>Johnson</w:t>
      </w:r>
      <w:r w:rsidR="00B83234" w:rsidRPr="00F63FFD">
        <w:t xml:space="preserve">, </w:t>
      </w:r>
      <w:r w:rsidR="00B83234" w:rsidRPr="00F63FFD">
        <w:rPr>
          <w:i/>
        </w:rPr>
        <w:t>supra</w:t>
      </w:r>
      <w:r w:rsidR="00B83234" w:rsidRPr="00F63FFD">
        <w:t xml:space="preserve">, 137 Cal.App.4th </w:t>
      </w:r>
      <w:r w:rsidR="006667EE" w:rsidRPr="00F63FFD">
        <w:t>at p. </w:t>
      </w:r>
      <w:r w:rsidR="00571818" w:rsidRPr="00F63FFD">
        <w:t>16</w:t>
      </w:r>
      <w:r w:rsidR="00B83234" w:rsidRPr="00F63FFD">
        <w:t>.)</w:t>
      </w:r>
      <w:r w:rsidR="00E43429" w:rsidRPr="00F63FFD">
        <w:t xml:space="preserve">  </w:t>
      </w:r>
      <w:r w:rsidR="00E33761" w:rsidRPr="00F63FFD">
        <w:t>The court</w:t>
      </w:r>
      <w:r w:rsidR="00B83234" w:rsidRPr="00F63FFD">
        <w:t xml:space="preserve"> ruled it was preempted</w:t>
      </w:r>
      <w:r w:rsidR="00E33761" w:rsidRPr="00F63FFD">
        <w:t xml:space="preserve"> </w:t>
      </w:r>
      <w:r w:rsidR="0057703E" w:rsidRPr="00F63FFD">
        <w:t xml:space="preserve">because “it create[d] a substantive defense in eviction proceedings not contemplated by the Act.”  </w:t>
      </w:r>
      <w:r w:rsidR="00B83234" w:rsidRPr="00F63FFD">
        <w:t>(</w:t>
      </w:r>
      <w:r w:rsidR="00571818" w:rsidRPr="00F63FFD">
        <w:rPr>
          <w:i/>
        </w:rPr>
        <w:t>Id</w:t>
      </w:r>
      <w:r w:rsidR="00B83234" w:rsidRPr="00F63FFD">
        <w:rPr>
          <w:i/>
        </w:rPr>
        <w:t>.</w:t>
      </w:r>
      <w:r w:rsidR="00571818" w:rsidRPr="00F63FFD">
        <w:t xml:space="preserve"> at p. 18, fn. omitted.</w:t>
      </w:r>
      <w:r w:rsidR="00B83234" w:rsidRPr="00F63FFD">
        <w:t xml:space="preserve">)  </w:t>
      </w:r>
      <w:r w:rsidR="00711D18" w:rsidRPr="00F63FFD">
        <w:t xml:space="preserve">In </w:t>
      </w:r>
      <w:r w:rsidR="00711D18" w:rsidRPr="00F63FFD">
        <w:lastRenderedPageBreak/>
        <w:t xml:space="preserve">reaching this decision, </w:t>
      </w:r>
      <w:r w:rsidR="00711D18" w:rsidRPr="00F63FFD">
        <w:rPr>
          <w:i/>
        </w:rPr>
        <w:t xml:space="preserve">Johnson </w:t>
      </w:r>
      <w:r w:rsidR="00711D18" w:rsidRPr="00F63FFD">
        <w:t>reviewed the Ellis Act’s provisions regarding notice requirements to tenants</w:t>
      </w:r>
      <w:r w:rsidR="00711D18" w:rsidRPr="00F63FFD">
        <w:rPr>
          <w:rStyle w:val="FootnoteReference"/>
        </w:rPr>
        <w:footnoteReference w:id="6"/>
      </w:r>
      <w:r w:rsidR="00711D18" w:rsidRPr="00F63FFD">
        <w:t xml:space="preserve"> and observed, “By carefully spelling out certain types of notice which public entities may require, the Act clearly indicates that </w:t>
      </w:r>
      <w:r w:rsidR="00711D18" w:rsidRPr="00F63FFD">
        <w:rPr>
          <w:i/>
        </w:rPr>
        <w:t xml:space="preserve">only </w:t>
      </w:r>
      <w:r w:rsidR="00711D18" w:rsidRPr="00F63FFD">
        <w:t>these types are authorized and other, additional notice requirements are not permissible.”  (</w:t>
      </w:r>
      <w:r w:rsidR="00711D18" w:rsidRPr="00F63FFD">
        <w:rPr>
          <w:i/>
        </w:rPr>
        <w:t xml:space="preserve">Id. </w:t>
      </w:r>
      <w:r w:rsidR="006667EE" w:rsidRPr="00F63FFD">
        <w:t>at p. </w:t>
      </w:r>
      <w:r w:rsidR="00711D18" w:rsidRPr="00F63FFD">
        <w:t xml:space="preserve">16.)  </w:t>
      </w:r>
      <w:r w:rsidR="0057703E" w:rsidRPr="00F63FFD">
        <w:t xml:space="preserve">The court </w:t>
      </w:r>
      <w:r w:rsidR="00711D18" w:rsidRPr="00F63FFD">
        <w:t>also</w:t>
      </w:r>
      <w:r w:rsidR="0057703E" w:rsidRPr="00F63FFD">
        <w:t xml:space="preserve"> </w:t>
      </w:r>
      <w:r w:rsidR="00930B86" w:rsidRPr="00F63FFD">
        <w:t>considered</w:t>
      </w:r>
      <w:r w:rsidR="0057703E" w:rsidRPr="00F63FFD">
        <w:t xml:space="preserve"> several ways a landlord’s statements under the </w:t>
      </w:r>
      <w:r w:rsidR="00753054" w:rsidRPr="00F63FFD">
        <w:t>“</w:t>
      </w:r>
      <w:r w:rsidR="0057703E" w:rsidRPr="00F63FFD">
        <w:t>belief requirement</w:t>
      </w:r>
      <w:r w:rsidR="00753054" w:rsidRPr="00F63FFD">
        <w:t>”</w:t>
      </w:r>
      <w:r w:rsidR="0057703E" w:rsidRPr="00F63FFD">
        <w:t xml:space="preserve"> could complicate unlawful detainer proceedings by resulting in tenant challenges to the accuracy of the landlord’s belief or tenant claims against the landlord if the landlord mistakenly suggests the tenant has a disability.  (</w:t>
      </w:r>
      <w:r w:rsidR="0057703E" w:rsidRPr="00F63FFD">
        <w:rPr>
          <w:i/>
        </w:rPr>
        <w:t>Id.</w:t>
      </w:r>
      <w:r w:rsidR="0057703E" w:rsidRPr="00F63FFD">
        <w:t xml:space="preserve"> at p. 17.)</w:t>
      </w:r>
      <w:r w:rsidR="00711D18" w:rsidRPr="00F63FFD">
        <w:t xml:space="preserve">  </w:t>
      </w:r>
      <w:r w:rsidR="0057703E" w:rsidRPr="00F63FFD">
        <w:t>The court deemed the “belief requirement” placed a “prohibitive price on a landlord’s right to exit the rental market.”  (</w:t>
      </w:r>
      <w:r w:rsidR="0057703E" w:rsidRPr="00F63FFD">
        <w:rPr>
          <w:i/>
        </w:rPr>
        <w:t>Id.</w:t>
      </w:r>
      <w:r w:rsidR="0057703E" w:rsidRPr="00F63FFD">
        <w:t xml:space="preserve"> at p. 18.)</w:t>
      </w:r>
    </w:p>
    <w:p w14:paraId="2EAD4796" w14:textId="17044D90" w:rsidR="007A42BE" w:rsidRPr="00F63FFD" w:rsidRDefault="00C810CF">
      <w:pPr>
        <w:spacing w:line="360" w:lineRule="auto"/>
      </w:pPr>
      <w:r w:rsidRPr="00F63FFD">
        <w:tab/>
      </w:r>
      <w:r w:rsidR="00771331" w:rsidRPr="00F63FFD">
        <w:t>Similarly, t</w:t>
      </w:r>
      <w:r w:rsidRPr="00F63FFD">
        <w:t xml:space="preserve">he </w:t>
      </w:r>
      <w:r w:rsidR="00457AA5" w:rsidRPr="00F63FFD">
        <w:t xml:space="preserve">mandatory </w:t>
      </w:r>
      <w:r w:rsidR="00771331" w:rsidRPr="00F63FFD">
        <w:t>declaration process an</w:t>
      </w:r>
      <w:r w:rsidR="007A42BE" w:rsidRPr="00F63FFD">
        <w:t>d fee calculation requirements</w:t>
      </w:r>
      <w:r w:rsidR="00457AA5" w:rsidRPr="00F63FFD">
        <w:t xml:space="preserve"> </w:t>
      </w:r>
      <w:r w:rsidR="00C91F63" w:rsidRPr="00F63FFD">
        <w:t xml:space="preserve">in Ordinance 68-15 </w:t>
      </w:r>
      <w:r w:rsidR="00B83234" w:rsidRPr="00F63FFD">
        <w:t xml:space="preserve">also </w:t>
      </w:r>
      <w:r w:rsidR="00747835" w:rsidRPr="00F63FFD">
        <w:t xml:space="preserve">may </w:t>
      </w:r>
      <w:r w:rsidRPr="00F63FFD">
        <w:t>impose a prohibitive price on landlords seeking to leave the residential rental business</w:t>
      </w:r>
      <w:r w:rsidR="00F00150" w:rsidRPr="00F63FFD">
        <w:t>.</w:t>
      </w:r>
    </w:p>
    <w:p w14:paraId="48A01404" w14:textId="7F481971" w:rsidR="004908AC" w:rsidRPr="00F63FFD" w:rsidRDefault="007A42BE">
      <w:pPr>
        <w:spacing w:line="360" w:lineRule="auto"/>
      </w:pPr>
      <w:r w:rsidRPr="00F63FFD">
        <w:tab/>
      </w:r>
      <w:r w:rsidR="00176605" w:rsidRPr="00F63FFD">
        <w:t>T</w:t>
      </w:r>
      <w:r w:rsidR="00C810CF" w:rsidRPr="00F63FFD">
        <w:t>he tenant declaration requirement added by Ordinance 68-15</w:t>
      </w:r>
      <w:r w:rsidR="00176605" w:rsidRPr="00F63FFD">
        <w:t xml:space="preserve"> obligates</w:t>
      </w:r>
      <w:r w:rsidR="00C810CF" w:rsidRPr="00F63FFD">
        <w:t xml:space="preserve"> a withdrawing property owner </w:t>
      </w:r>
      <w:r w:rsidR="00176605" w:rsidRPr="00F63FFD">
        <w:t xml:space="preserve">to </w:t>
      </w:r>
      <w:r w:rsidR="00C810CF" w:rsidRPr="00F63FFD">
        <w:t xml:space="preserve">provide </w:t>
      </w:r>
      <w:r w:rsidR="00176605" w:rsidRPr="00F63FFD">
        <w:t>a</w:t>
      </w:r>
      <w:r w:rsidR="00C810CF" w:rsidRPr="00F63FFD">
        <w:t xml:space="preserve"> tenant</w:t>
      </w:r>
      <w:r w:rsidR="00176605" w:rsidRPr="00F63FFD">
        <w:t xml:space="preserve"> with</w:t>
      </w:r>
      <w:r w:rsidR="00C810CF" w:rsidRPr="00F63FFD">
        <w:t xml:space="preserve"> a declaration form and notify the tenant that the landlord does not have an obligation to make any portion of the relocation payment prior to the landlord’s receipt of the declaration.  (S.F. Admin. </w:t>
      </w:r>
      <w:r w:rsidR="00C27BAB" w:rsidRPr="00F63FFD">
        <w:t>Code, ch. 37,</w:t>
      </w:r>
      <w:r w:rsidR="00C810CF" w:rsidRPr="00F63FFD">
        <w:t xml:space="preserve"> </w:t>
      </w:r>
      <w:r w:rsidR="006667EE" w:rsidRPr="00F63FFD">
        <w:t>§ </w:t>
      </w:r>
      <w:r w:rsidR="00C27BAB" w:rsidRPr="00F63FFD">
        <w:t xml:space="preserve">37.9A, subd. </w:t>
      </w:r>
      <w:r w:rsidR="00C810CF" w:rsidRPr="00F63FFD">
        <w:t xml:space="preserve">(e)(3)(E)(iv).)  </w:t>
      </w:r>
      <w:r w:rsidR="00FA01CF" w:rsidRPr="00F63FFD">
        <w:t xml:space="preserve">Presuming the tenant will return the </w:t>
      </w:r>
      <w:r w:rsidR="00B83234" w:rsidRPr="00F63FFD">
        <w:t xml:space="preserve">signed </w:t>
      </w:r>
      <w:r w:rsidR="00FA01CF" w:rsidRPr="00F63FFD">
        <w:t xml:space="preserve">declaration to the landlord, the ordinance gives the tenant control over the timing and return of the declaration and </w:t>
      </w:r>
      <w:r w:rsidR="00B83234" w:rsidRPr="00F63FFD">
        <w:t xml:space="preserve">thereby </w:t>
      </w:r>
      <w:r w:rsidR="004B6893" w:rsidRPr="00F63FFD">
        <w:t>invites added delay to</w:t>
      </w:r>
      <w:r w:rsidR="00FA01CF" w:rsidRPr="00F63FFD">
        <w:t xml:space="preserve"> the process.  </w:t>
      </w:r>
      <w:r w:rsidR="00F00150" w:rsidRPr="00F63FFD">
        <w:t>In our view, t</w:t>
      </w:r>
      <w:r w:rsidR="00C810CF" w:rsidRPr="00F63FFD">
        <w:t xml:space="preserve">he tenant declaration and accompanying notice requirement resemble the requirement </w:t>
      </w:r>
      <w:r w:rsidR="00B83234" w:rsidRPr="00F63FFD">
        <w:t xml:space="preserve">struck down in </w:t>
      </w:r>
      <w:r w:rsidR="00B83234" w:rsidRPr="00F63FFD">
        <w:rPr>
          <w:i/>
        </w:rPr>
        <w:t xml:space="preserve">Johnson </w:t>
      </w:r>
      <w:r w:rsidR="00C810CF" w:rsidRPr="00F63FFD">
        <w:t>that landlords give notice of the payment amount they believed they owed their tenants</w:t>
      </w:r>
      <w:r w:rsidR="00711D18" w:rsidRPr="00F63FFD">
        <w:t>.</w:t>
      </w:r>
      <w:r w:rsidR="00C810CF" w:rsidRPr="00F63FFD">
        <w:t xml:space="preserve"> </w:t>
      </w:r>
      <w:r w:rsidR="008C78C0">
        <w:t xml:space="preserve"> </w:t>
      </w:r>
      <w:r w:rsidR="00C810CF" w:rsidRPr="00F63FFD">
        <w:t>(</w:t>
      </w:r>
      <w:r w:rsidR="00C810CF" w:rsidRPr="00F63FFD">
        <w:rPr>
          <w:i/>
        </w:rPr>
        <w:t>Johnson</w:t>
      </w:r>
      <w:r w:rsidR="00C810CF" w:rsidRPr="00F63FFD">
        <w:t xml:space="preserve">, </w:t>
      </w:r>
      <w:r w:rsidR="00C810CF" w:rsidRPr="00F63FFD">
        <w:rPr>
          <w:i/>
        </w:rPr>
        <w:t>supra</w:t>
      </w:r>
      <w:r w:rsidR="00C810CF" w:rsidRPr="00F63FFD">
        <w:t xml:space="preserve">, 137 Cal.App.4th </w:t>
      </w:r>
      <w:r w:rsidR="006667EE" w:rsidRPr="00F63FFD">
        <w:t>at p. </w:t>
      </w:r>
      <w:r w:rsidR="00C810CF" w:rsidRPr="00F63FFD">
        <w:t>11.)</w:t>
      </w:r>
    </w:p>
    <w:p w14:paraId="402CC514" w14:textId="43E26C1B" w:rsidR="00C91F63" w:rsidRPr="00F63FFD" w:rsidRDefault="00C810CF">
      <w:pPr>
        <w:spacing w:line="360" w:lineRule="auto"/>
      </w:pPr>
      <w:r w:rsidRPr="00F63FFD">
        <w:tab/>
        <w:t xml:space="preserve">The fee calculation process </w:t>
      </w:r>
      <w:r w:rsidR="00B61401" w:rsidRPr="00F63FFD">
        <w:t xml:space="preserve">also </w:t>
      </w:r>
      <w:r w:rsidR="00747835" w:rsidRPr="00F63FFD">
        <w:t xml:space="preserve">may </w:t>
      </w:r>
      <w:r w:rsidRPr="00F63FFD">
        <w:t xml:space="preserve">present </w:t>
      </w:r>
      <w:r w:rsidR="00B83234" w:rsidRPr="00F63FFD">
        <w:t>an unauthorized procedural prerequisite to the exercise of the Ellis Act right to withdraw</w:t>
      </w:r>
      <w:r w:rsidRPr="00F63FFD">
        <w:t>.  Under Ordinance</w:t>
      </w:r>
      <w:r w:rsidR="00FA01CF" w:rsidRPr="00F63FFD">
        <w:t xml:space="preserve"> 68-15</w:t>
      </w:r>
      <w:r w:rsidRPr="00F63FFD">
        <w:t xml:space="preserve">, </w:t>
      </w:r>
      <w:r w:rsidRPr="00F63FFD">
        <w:lastRenderedPageBreak/>
        <w:t xml:space="preserve">landlords </w:t>
      </w:r>
      <w:r w:rsidR="009E55BB" w:rsidRPr="00F63FFD">
        <w:t xml:space="preserve">who are </w:t>
      </w:r>
      <w:r w:rsidRPr="00F63FFD">
        <w:t>subject to a Rental</w:t>
      </w:r>
      <w:r w:rsidR="00B61401" w:rsidRPr="00F63FFD">
        <w:t>-</w:t>
      </w:r>
      <w:r w:rsidRPr="00F63FFD">
        <w:t>Payment</w:t>
      </w:r>
      <w:r w:rsidR="00B61401" w:rsidRPr="00F63FFD">
        <w:t>-</w:t>
      </w:r>
      <w:r w:rsidRPr="00F63FFD">
        <w:t>Differential</w:t>
      </w:r>
      <w:r w:rsidR="00B61401" w:rsidRPr="00F63FFD">
        <w:t xml:space="preserve"> payout</w:t>
      </w:r>
      <w:r w:rsidRPr="00F63FFD">
        <w:t xml:space="preserve"> </w:t>
      </w:r>
      <w:r w:rsidR="009E55BB" w:rsidRPr="00F63FFD">
        <w:t xml:space="preserve">for their withdrawn rentals, </w:t>
      </w:r>
      <w:r w:rsidR="00457AA5" w:rsidRPr="00F63FFD">
        <w:t xml:space="preserve">are required to </w:t>
      </w:r>
      <w:r w:rsidR="009E55BB" w:rsidRPr="00F63FFD">
        <w:t xml:space="preserve">determine the correct amount due their tenants.  (S.F. Admin. </w:t>
      </w:r>
      <w:r w:rsidR="00C27BAB" w:rsidRPr="00F63FFD">
        <w:t>Code, ch. 37,</w:t>
      </w:r>
      <w:r w:rsidR="009E55BB" w:rsidRPr="00F63FFD">
        <w:t xml:space="preserve"> </w:t>
      </w:r>
      <w:r w:rsidR="006667EE" w:rsidRPr="00F63FFD">
        <w:t>§ </w:t>
      </w:r>
      <w:r w:rsidR="00C27BAB" w:rsidRPr="00F63FFD">
        <w:t xml:space="preserve">37.9A, subd. </w:t>
      </w:r>
      <w:r w:rsidR="009E55BB" w:rsidRPr="00F63FFD">
        <w:t xml:space="preserve">(e)(3)(E)(i).)  To determine the correct amount, landlords </w:t>
      </w:r>
      <w:r w:rsidRPr="00F63FFD">
        <w:t>must first perform certain calculations</w:t>
      </w:r>
      <w:r w:rsidR="00753054" w:rsidRPr="00F63FFD">
        <w:t>; to do so landlords must</w:t>
      </w:r>
      <w:r w:rsidR="009E55BB" w:rsidRPr="00F63FFD">
        <w:t xml:space="preserve"> </w:t>
      </w:r>
      <w:r w:rsidRPr="00F63FFD">
        <w:t>know the number of bedrooms in a unit, which turns on whether a “space is used primarily as a quarters for sleeping.”</w:t>
      </w:r>
      <w:r w:rsidR="008C78C0">
        <w:t xml:space="preserve"> </w:t>
      </w:r>
      <w:r w:rsidRPr="00F63FFD">
        <w:t xml:space="preserve"> (S.F. Admin. </w:t>
      </w:r>
      <w:r w:rsidR="00C27BAB" w:rsidRPr="00F63FFD">
        <w:t>Code, ch. 37,</w:t>
      </w:r>
      <w:r w:rsidRPr="00F63FFD">
        <w:t xml:space="preserve"> </w:t>
      </w:r>
      <w:r w:rsidR="006667EE" w:rsidRPr="00F63FFD">
        <w:t>§ </w:t>
      </w:r>
      <w:r w:rsidR="00C27BAB" w:rsidRPr="00F63FFD">
        <w:t>37.9A, subd</w:t>
      </w:r>
      <w:r w:rsidR="00812C09" w:rsidRPr="00F63FFD">
        <w:t>s</w:t>
      </w:r>
      <w:r w:rsidR="00C27BAB" w:rsidRPr="00F63FFD">
        <w:t xml:space="preserve">. </w:t>
      </w:r>
      <w:r w:rsidR="00587381" w:rsidRPr="00F63FFD">
        <w:t>(e)(3)(E)(ii) &amp;</w:t>
      </w:r>
      <w:r w:rsidRPr="00F63FFD">
        <w:t xml:space="preserve"> </w:t>
      </w:r>
      <w:r w:rsidR="00587381" w:rsidRPr="00F63FFD">
        <w:t>(e)(3)(E)</w:t>
      </w:r>
      <w:r w:rsidRPr="00F63FFD">
        <w:t xml:space="preserve">(vi)(a).)  Like the </w:t>
      </w:r>
      <w:r w:rsidR="00711D18" w:rsidRPr="00F63FFD">
        <w:t>“</w:t>
      </w:r>
      <w:r w:rsidRPr="00F63FFD">
        <w:t>belief requirement</w:t>
      </w:r>
      <w:r w:rsidR="00711D18" w:rsidRPr="00F63FFD">
        <w:t>”</w:t>
      </w:r>
      <w:r w:rsidRPr="00F63FFD">
        <w:t xml:space="preserve"> in </w:t>
      </w:r>
      <w:r w:rsidRPr="00F63FFD">
        <w:rPr>
          <w:i/>
        </w:rPr>
        <w:t>Johnson</w:t>
      </w:r>
      <w:r w:rsidRPr="00F63FFD">
        <w:t xml:space="preserve">, this </w:t>
      </w:r>
      <w:r w:rsidR="00711D18" w:rsidRPr="00F63FFD">
        <w:t xml:space="preserve">fee calculation requirement </w:t>
      </w:r>
      <w:r w:rsidRPr="00F63FFD">
        <w:t xml:space="preserve">amounts to guesswork for landlords which can lead to an underpayment to tenants if calculated incorrectly and a substantive defense to an Ellis Act eviction based on such procedural noncompliance. </w:t>
      </w:r>
      <w:r w:rsidR="00711D18" w:rsidRPr="00F63FFD">
        <w:t xml:space="preserve"> </w:t>
      </w:r>
      <w:r w:rsidRPr="00F63FFD">
        <w:t xml:space="preserve">(See </w:t>
      </w:r>
      <w:r w:rsidRPr="00F63FFD">
        <w:rPr>
          <w:i/>
        </w:rPr>
        <w:t>Johnson</w:t>
      </w:r>
      <w:r w:rsidRPr="00F63FFD">
        <w:t xml:space="preserve">, </w:t>
      </w:r>
      <w:r w:rsidRPr="00F63FFD">
        <w:rPr>
          <w:i/>
        </w:rPr>
        <w:t>supra</w:t>
      </w:r>
      <w:r w:rsidRPr="00F63FFD">
        <w:t xml:space="preserve">, 137 Cal.App.4th </w:t>
      </w:r>
      <w:r w:rsidR="006667EE" w:rsidRPr="00F63FFD">
        <w:t>at p. </w:t>
      </w:r>
      <w:r w:rsidR="00587381" w:rsidRPr="00F63FFD">
        <w:t>18</w:t>
      </w:r>
      <w:r w:rsidRPr="00F63FFD">
        <w:t xml:space="preserve">.)  </w:t>
      </w:r>
      <w:r w:rsidR="00C91F63" w:rsidRPr="00F63FFD">
        <w:t>In short, each of these new processes appear</w:t>
      </w:r>
      <w:r w:rsidR="00457AA5" w:rsidRPr="00F63FFD">
        <w:t>s</w:t>
      </w:r>
      <w:r w:rsidR="00C91F63" w:rsidRPr="00F63FFD">
        <w:t xml:space="preserve"> to place requirements on landlords inconsistent with their unfettered right to go out of business.</w:t>
      </w:r>
    </w:p>
    <w:p w14:paraId="10917220" w14:textId="54F36A5B" w:rsidR="00A459D5" w:rsidRPr="00F63FFD" w:rsidRDefault="00C91F63">
      <w:pPr>
        <w:spacing w:line="360" w:lineRule="auto"/>
      </w:pPr>
      <w:r w:rsidRPr="00F63FFD">
        <w:tab/>
      </w:r>
      <w:r w:rsidR="00B604BF" w:rsidRPr="00F63FFD">
        <w:t>We note similar concerns for the</w:t>
      </w:r>
      <w:r w:rsidR="000B7B71" w:rsidRPr="00F63FFD">
        <w:t xml:space="preserve"> </w:t>
      </w:r>
      <w:r w:rsidR="007A42BE" w:rsidRPr="00F63FFD">
        <w:t xml:space="preserve">non-mandatory </w:t>
      </w:r>
      <w:r w:rsidR="00B604BF" w:rsidRPr="00F63FFD">
        <w:t>procedures set forth in the amended ordinances—t</w:t>
      </w:r>
      <w:r w:rsidR="00C810CF" w:rsidRPr="00F63FFD">
        <w:t xml:space="preserve">he hardship adjustment petition process enacted in the Ordinance </w:t>
      </w:r>
      <w:r w:rsidR="00D31A5A" w:rsidRPr="00F63FFD">
        <w:t>54-14</w:t>
      </w:r>
      <w:r w:rsidR="009E55BB" w:rsidRPr="00F63FFD">
        <w:t>,</w:t>
      </w:r>
      <w:r w:rsidR="00D31A5A" w:rsidRPr="00F63FFD">
        <w:t xml:space="preserve"> </w:t>
      </w:r>
      <w:r w:rsidR="00C810CF" w:rsidRPr="00F63FFD">
        <w:t xml:space="preserve">and </w:t>
      </w:r>
      <w:r w:rsidR="009E55BB" w:rsidRPr="00F63FFD">
        <w:t xml:space="preserve">left </w:t>
      </w:r>
      <w:r w:rsidR="00C810CF" w:rsidRPr="00F63FFD">
        <w:t xml:space="preserve">undisturbed by Ordinance </w:t>
      </w:r>
      <w:r w:rsidR="00D31A5A" w:rsidRPr="00F63FFD">
        <w:t>68-15</w:t>
      </w:r>
      <w:r w:rsidR="00A459D5" w:rsidRPr="00F63FFD">
        <w:t xml:space="preserve"> and the three-year monitoring period Ordinance 68-15 </w:t>
      </w:r>
      <w:r w:rsidR="00457AA5" w:rsidRPr="00F63FFD">
        <w:t xml:space="preserve">makes available to </w:t>
      </w:r>
      <w:r w:rsidR="00A459D5" w:rsidRPr="00F63FFD">
        <w:t>landlords to monitor the relocation expenses of their former tenants</w:t>
      </w:r>
      <w:r w:rsidR="000B7B71" w:rsidRPr="00F63FFD">
        <w:t>.  T</w:t>
      </w:r>
      <w:r w:rsidR="00A459D5" w:rsidRPr="00F63FFD">
        <w:t>hese</w:t>
      </w:r>
      <w:r w:rsidR="007A42BE" w:rsidRPr="00F63FFD">
        <w:t>, too,</w:t>
      </w:r>
      <w:r w:rsidR="000B7B71" w:rsidRPr="00F63FFD">
        <w:t xml:space="preserve"> </w:t>
      </w:r>
      <w:r w:rsidR="00747835" w:rsidRPr="00F63FFD">
        <w:t xml:space="preserve">appear to </w:t>
      </w:r>
      <w:r w:rsidR="00C810CF" w:rsidRPr="00F63FFD">
        <w:t>delay the ability of landowner</w:t>
      </w:r>
      <w:r w:rsidR="00D26C9D" w:rsidRPr="00F63FFD">
        <w:t>s</w:t>
      </w:r>
      <w:r w:rsidR="00C810CF" w:rsidRPr="00F63FFD">
        <w:t xml:space="preserve"> availing </w:t>
      </w:r>
      <w:r w:rsidR="00D26C9D" w:rsidRPr="00F63FFD">
        <w:t>themselves</w:t>
      </w:r>
      <w:r w:rsidR="00C810CF" w:rsidRPr="00F63FFD">
        <w:t xml:space="preserve"> of these procedures to leave the rental business</w:t>
      </w:r>
      <w:r w:rsidR="00D26C9D" w:rsidRPr="00F63FFD">
        <w:t xml:space="preserve"> and cloud their exits with uncertainty</w:t>
      </w:r>
      <w:r w:rsidR="00C810CF" w:rsidRPr="00F63FFD">
        <w:t>.</w:t>
      </w:r>
    </w:p>
    <w:p w14:paraId="36D3F1A5" w14:textId="2EBBFBC5" w:rsidR="004C3063" w:rsidRPr="00F63FFD" w:rsidRDefault="00A459D5">
      <w:pPr>
        <w:spacing w:line="360" w:lineRule="auto"/>
      </w:pPr>
      <w:r w:rsidRPr="00F63FFD">
        <w:tab/>
      </w:r>
      <w:r w:rsidR="00C810CF" w:rsidRPr="00F63FFD">
        <w:t>Th</w:t>
      </w:r>
      <w:r w:rsidRPr="00F63FFD">
        <w:t>e</w:t>
      </w:r>
      <w:r w:rsidR="00C810CF" w:rsidRPr="00F63FFD">
        <w:t xml:space="preserve"> </w:t>
      </w:r>
      <w:r w:rsidRPr="00F63FFD">
        <w:t xml:space="preserve">hardship </w:t>
      </w:r>
      <w:r w:rsidR="00C810CF" w:rsidRPr="00F63FFD">
        <w:t xml:space="preserve">petition process sets up the manner in which property owners seek relief from the Rent Board if the relocation payments cause financial hardship.  (S.F. Admin. </w:t>
      </w:r>
      <w:r w:rsidR="00C27BAB" w:rsidRPr="00F63FFD">
        <w:t>Code, ch. 37,</w:t>
      </w:r>
      <w:r w:rsidR="00C810CF" w:rsidRPr="00F63FFD">
        <w:t xml:space="preserve"> </w:t>
      </w:r>
      <w:r w:rsidR="006667EE" w:rsidRPr="00F63FFD">
        <w:t>§ </w:t>
      </w:r>
      <w:r w:rsidR="00C27BAB" w:rsidRPr="00F63FFD">
        <w:t xml:space="preserve">37.9A, subd. </w:t>
      </w:r>
      <w:r w:rsidR="00C810CF" w:rsidRPr="00F63FFD">
        <w:t xml:space="preserve">(e)(3)(G)(i).)  </w:t>
      </w:r>
      <w:r w:rsidR="00FA01CF" w:rsidRPr="00F63FFD">
        <w:t>Landlords can</w:t>
      </w:r>
      <w:r w:rsidR="00AA6D03" w:rsidRPr="00F63FFD">
        <w:t xml:space="preserve"> submit a range of evidence—their income, assets, expenses, debts, health, and health care costs—to t</w:t>
      </w:r>
      <w:r w:rsidR="00C810CF" w:rsidRPr="00F63FFD">
        <w:t>he Rent Board</w:t>
      </w:r>
      <w:r w:rsidR="00AA6D03" w:rsidRPr="00F63FFD">
        <w:t>, which</w:t>
      </w:r>
      <w:r w:rsidR="00C810CF" w:rsidRPr="00F63FFD">
        <w:t xml:space="preserve"> may </w:t>
      </w:r>
      <w:r w:rsidR="00AA6D03" w:rsidRPr="00F63FFD">
        <w:t>reduce the payout or order other relief</w:t>
      </w:r>
      <w:r w:rsidR="00C810CF" w:rsidRPr="00F63FFD">
        <w:t>.  (</w:t>
      </w:r>
      <w:r w:rsidR="00C810CF" w:rsidRPr="00F63FFD">
        <w:rPr>
          <w:i/>
        </w:rPr>
        <w:t>Ibid.</w:t>
      </w:r>
      <w:r w:rsidR="00C810CF" w:rsidRPr="00F63FFD">
        <w:t xml:space="preserve">)  The ordinance contains no information about the standard, if any, the Rent Board </w:t>
      </w:r>
      <w:r w:rsidR="00990A7C" w:rsidRPr="00F63FFD">
        <w:t>would u</w:t>
      </w:r>
      <w:r w:rsidR="00C810CF" w:rsidRPr="00F63FFD">
        <w:t>se to evaluate such a petition, or the duration of such a proceeding</w:t>
      </w:r>
      <w:r w:rsidR="00FA01CF" w:rsidRPr="00F63FFD">
        <w:t xml:space="preserve">.  </w:t>
      </w:r>
      <w:r w:rsidR="00BA5B4A" w:rsidRPr="00F63FFD">
        <w:t>Inasmuch as</w:t>
      </w:r>
      <w:r w:rsidR="00FA01CF" w:rsidRPr="00F63FFD">
        <w:t xml:space="preserve"> the showing landlords must make to successfully establish entitlement to hardship relief </w:t>
      </w:r>
      <w:r w:rsidR="00BA5B4A" w:rsidRPr="00F63FFD">
        <w:t xml:space="preserve">is </w:t>
      </w:r>
      <w:r w:rsidR="00D31A5A" w:rsidRPr="00F63FFD">
        <w:t>ambiguous</w:t>
      </w:r>
      <w:r w:rsidR="00FA01CF" w:rsidRPr="00F63FFD">
        <w:t xml:space="preserve"> and </w:t>
      </w:r>
      <w:r w:rsidR="00D31A5A" w:rsidRPr="00F63FFD">
        <w:t>ripe to be challenged</w:t>
      </w:r>
      <w:r w:rsidR="00FA01CF" w:rsidRPr="00F63FFD">
        <w:t xml:space="preserve">, this process adds </w:t>
      </w:r>
      <w:r w:rsidR="00BA5B4A" w:rsidRPr="00F63FFD">
        <w:t>further</w:t>
      </w:r>
      <w:r w:rsidR="00FA01CF" w:rsidRPr="00F63FFD">
        <w:t xml:space="preserve"> delay</w:t>
      </w:r>
      <w:r w:rsidR="00D31A5A" w:rsidRPr="00F63FFD">
        <w:t xml:space="preserve"> to the Ellis Act process</w:t>
      </w:r>
      <w:r w:rsidR="00C810CF" w:rsidRPr="00F63FFD">
        <w:t xml:space="preserve">.  Forcing an owner to endure an uncertain administrative procedure of </w:t>
      </w:r>
      <w:r w:rsidR="009E2503" w:rsidRPr="00F63FFD">
        <w:t xml:space="preserve">unknown </w:t>
      </w:r>
      <w:r w:rsidR="00C810CF" w:rsidRPr="00F63FFD">
        <w:t xml:space="preserve">duration </w:t>
      </w:r>
      <w:r w:rsidR="00D26C9D" w:rsidRPr="00F63FFD">
        <w:t xml:space="preserve">requiring the </w:t>
      </w:r>
      <w:r w:rsidR="00D26C9D" w:rsidRPr="00F63FFD">
        <w:lastRenderedPageBreak/>
        <w:t xml:space="preserve">disclosure of sensitive personal information </w:t>
      </w:r>
      <w:r w:rsidR="007A42BE" w:rsidRPr="00F63FFD">
        <w:t xml:space="preserve">simply </w:t>
      </w:r>
      <w:r w:rsidR="00BA5B4A" w:rsidRPr="00F63FFD">
        <w:t>to find out</w:t>
      </w:r>
      <w:r w:rsidR="00C810CF" w:rsidRPr="00F63FFD">
        <w:t xml:space="preserve"> whether relocation payments </w:t>
      </w:r>
      <w:r w:rsidR="00BA5B4A" w:rsidRPr="00F63FFD">
        <w:t>are financially prohibitive</w:t>
      </w:r>
      <w:r w:rsidR="00C810CF" w:rsidRPr="00F63FFD">
        <w:t xml:space="preserve"> </w:t>
      </w:r>
      <w:r w:rsidR="006A6574">
        <w:t>may impose</w:t>
      </w:r>
      <w:r w:rsidR="00C810CF" w:rsidRPr="00F63FFD">
        <w:t xml:space="preserve"> a prohibitive price on Ellis Act</w:t>
      </w:r>
      <w:r w:rsidR="00BA5B4A" w:rsidRPr="00F63FFD">
        <w:t xml:space="preserve"> rights</w:t>
      </w:r>
      <w:r w:rsidR="00C810CF" w:rsidRPr="00F63FFD">
        <w:t>.</w:t>
      </w:r>
    </w:p>
    <w:p w14:paraId="7BEA0D5F" w14:textId="33D7BCE7" w:rsidR="00D31A5A" w:rsidRPr="00F63FFD" w:rsidRDefault="00C810CF">
      <w:pPr>
        <w:spacing w:line="360" w:lineRule="auto"/>
      </w:pPr>
      <w:r w:rsidRPr="00F63FFD">
        <w:tab/>
      </w:r>
      <w:r w:rsidR="00B75477" w:rsidRPr="00F63FFD">
        <w:t>T</w:t>
      </w:r>
      <w:r w:rsidR="00D31A5A" w:rsidRPr="00F63FFD">
        <w:t xml:space="preserve">he three-year monitoring period </w:t>
      </w:r>
      <w:r w:rsidR="000B7B71" w:rsidRPr="00F63FFD">
        <w:t xml:space="preserve">requires </w:t>
      </w:r>
      <w:r w:rsidR="00D31A5A" w:rsidRPr="00F63FFD">
        <w:t xml:space="preserve">evicted tenants </w:t>
      </w:r>
      <w:r w:rsidR="00B75477" w:rsidRPr="00F63FFD">
        <w:t>to</w:t>
      </w:r>
      <w:r w:rsidR="00D31A5A" w:rsidRPr="00F63FFD">
        <w:t xml:space="preserve"> document their relocation expenses by keeping receipts and providing them to their former landlords upon request or else reimburse landlords for any payments the tenant cannot demonstrate were used for allowable Relocation Costs.  (S.F. Admin. </w:t>
      </w:r>
      <w:r w:rsidR="00C27BAB" w:rsidRPr="00F63FFD">
        <w:t>Code, ch. 37,</w:t>
      </w:r>
      <w:r w:rsidR="00D31A5A" w:rsidRPr="00F63FFD">
        <w:t xml:space="preserve"> </w:t>
      </w:r>
      <w:r w:rsidR="006667EE" w:rsidRPr="00F63FFD">
        <w:t>§ </w:t>
      </w:r>
      <w:r w:rsidR="00C27BAB" w:rsidRPr="00F63FFD">
        <w:t xml:space="preserve">37.9A, subd. </w:t>
      </w:r>
      <w:r w:rsidR="00587381" w:rsidRPr="00F63FFD">
        <w:t>(e)(3)(E)(</w:t>
      </w:r>
      <w:r w:rsidR="00D31A5A" w:rsidRPr="00F63FFD">
        <w:t xml:space="preserve">v).)  </w:t>
      </w:r>
      <w:r w:rsidR="00B75477" w:rsidRPr="00F63FFD">
        <w:t>T</w:t>
      </w:r>
      <w:r w:rsidR="008E1217" w:rsidRPr="00F63FFD">
        <w:t xml:space="preserve">his monitoring option </w:t>
      </w:r>
      <w:r w:rsidR="000B7B71" w:rsidRPr="00F63FFD">
        <w:t>may also</w:t>
      </w:r>
      <w:r w:rsidR="008E1217" w:rsidRPr="00F63FFD">
        <w:t xml:space="preserve"> impos</w:t>
      </w:r>
      <w:r w:rsidR="000B7B71" w:rsidRPr="00F63FFD">
        <w:t>e</w:t>
      </w:r>
      <w:r w:rsidR="008E1217" w:rsidRPr="00F63FFD">
        <w:t xml:space="preserve"> a prohibitive price on landlords seeking to leave the residential rental business.  </w:t>
      </w:r>
      <w:r w:rsidR="00BA5B4A" w:rsidRPr="00F63FFD">
        <w:t>L</w:t>
      </w:r>
      <w:r w:rsidR="00D31A5A" w:rsidRPr="00F63FFD">
        <w:t>andlords want</w:t>
      </w:r>
      <w:r w:rsidR="000B7B71" w:rsidRPr="00F63FFD">
        <w:t>ing</w:t>
      </w:r>
      <w:r w:rsidR="00D31A5A" w:rsidRPr="00F63FFD">
        <w:t xml:space="preserve"> to avail themselves of this process</w:t>
      </w:r>
      <w:r w:rsidR="00BA5B4A" w:rsidRPr="00F63FFD">
        <w:t>,</w:t>
      </w:r>
      <w:r w:rsidR="00D31A5A" w:rsidRPr="00F63FFD">
        <w:t xml:space="preserve"> to ensure the thousands of dollars they are obligated to pay their displaced tenants are properly spent, </w:t>
      </w:r>
      <w:r w:rsidR="00BA5B4A" w:rsidRPr="00F63FFD">
        <w:t xml:space="preserve">must undertake </w:t>
      </w:r>
      <w:r w:rsidR="00D31A5A" w:rsidRPr="00F63FFD">
        <w:t>this burdensome</w:t>
      </w:r>
      <w:r w:rsidR="00BA5B4A" w:rsidRPr="00F63FFD">
        <w:t xml:space="preserve"> procedure which </w:t>
      </w:r>
      <w:r w:rsidR="00D31A5A" w:rsidRPr="00F63FFD">
        <w:t>bind</w:t>
      </w:r>
      <w:r w:rsidR="00BA5B4A" w:rsidRPr="00F63FFD">
        <w:t>s</w:t>
      </w:r>
      <w:r w:rsidR="00D31A5A" w:rsidRPr="00F63FFD">
        <w:t xml:space="preserve"> </w:t>
      </w:r>
      <w:r w:rsidR="00E67A73" w:rsidRPr="00F63FFD">
        <w:t>landlords to their tenants</w:t>
      </w:r>
      <w:r w:rsidR="00D31A5A" w:rsidRPr="00F63FFD">
        <w:t xml:space="preserve"> for a lengthy three-year audit period</w:t>
      </w:r>
      <w:r w:rsidR="00BA5B4A" w:rsidRPr="00F63FFD">
        <w:t>—a process</w:t>
      </w:r>
      <w:r w:rsidR="00D31A5A" w:rsidRPr="00F63FFD">
        <w:t xml:space="preserve"> antithetical to going out of the landlord business completely.  While a landlord may cease being a landlord in the technical sense, this provision means the business would remain on a long leash for several years.</w:t>
      </w:r>
    </w:p>
    <w:p w14:paraId="5D0FEBD2" w14:textId="2EC85657" w:rsidR="00494D91" w:rsidRPr="00F63FFD" w:rsidRDefault="00D31A5A" w:rsidP="00A459D5">
      <w:pPr>
        <w:spacing w:line="360" w:lineRule="auto"/>
      </w:pPr>
      <w:r w:rsidRPr="00F63FFD">
        <w:tab/>
      </w:r>
      <w:r w:rsidR="00FC3086" w:rsidRPr="00F63FFD">
        <w:t>We understand that the</w:t>
      </w:r>
      <w:r w:rsidR="007A42BE" w:rsidRPr="00F63FFD">
        <w:t xml:space="preserve"> hardship petition process and the three-year monitoring period ar</w:t>
      </w:r>
      <w:r w:rsidR="00FC3086" w:rsidRPr="00F63FFD">
        <w:t>e non-mandatory and that</w:t>
      </w:r>
      <w:r w:rsidR="007A42BE" w:rsidRPr="00F63FFD">
        <w:t xml:space="preserve"> </w:t>
      </w:r>
      <w:r w:rsidR="00B75477" w:rsidRPr="00F63FFD">
        <w:t>landlords maintain the discretion to exercise these right</w:t>
      </w:r>
      <w:r w:rsidR="00990A7C" w:rsidRPr="00F63FFD">
        <w:t xml:space="preserve">s.  Nonetheless, “a </w:t>
      </w:r>
      <w:r w:rsidR="00B75477" w:rsidRPr="00F63FFD">
        <w:t>locality may not impose additional burdensome requirements upon the exercise of state statutory remedies that undermine the very purpose of the state statute.</w:t>
      </w:r>
      <w:r w:rsidR="00990A7C" w:rsidRPr="00F63FFD">
        <w:t>”</w:t>
      </w:r>
      <w:r w:rsidR="00B75477" w:rsidRPr="00F63FFD">
        <w:t xml:space="preserve">  </w:t>
      </w:r>
      <w:r w:rsidR="00B75477" w:rsidRPr="00F63FFD">
        <w:rPr>
          <w:i/>
        </w:rPr>
        <w:t>American Financial Ser</w:t>
      </w:r>
      <w:r w:rsidR="0051151D" w:rsidRPr="00F63FFD">
        <w:rPr>
          <w:i/>
        </w:rPr>
        <w:t>vices Ass</w:t>
      </w:r>
      <w:r w:rsidR="00B75477" w:rsidRPr="00F63FFD">
        <w:rPr>
          <w:i/>
        </w:rPr>
        <w:t>n</w:t>
      </w:r>
      <w:r w:rsidR="008C78C0">
        <w:rPr>
          <w:i/>
        </w:rPr>
        <w:t>.</w:t>
      </w:r>
      <w:r w:rsidR="00B75477" w:rsidRPr="00F63FFD">
        <w:rPr>
          <w:i/>
        </w:rPr>
        <w:t xml:space="preserve"> v. City of Oakland</w:t>
      </w:r>
      <w:r w:rsidR="00B75477" w:rsidRPr="00F63FFD">
        <w:t xml:space="preserve"> (2005) 34 Cal.4th 1239, 1273</w:t>
      </w:r>
      <w:r w:rsidR="00990A7C" w:rsidRPr="00F63FFD">
        <w:t xml:space="preserve">.)  </w:t>
      </w:r>
      <w:r w:rsidR="000B7B71" w:rsidRPr="00F63FFD">
        <w:t>Agreeing</w:t>
      </w:r>
      <w:r w:rsidR="00B75477" w:rsidRPr="00F63FFD">
        <w:t xml:space="preserve"> with the </w:t>
      </w:r>
      <w:r w:rsidR="00B75477" w:rsidRPr="00F63FFD">
        <w:rPr>
          <w:i/>
        </w:rPr>
        <w:t xml:space="preserve">Coyne </w:t>
      </w:r>
      <w:r w:rsidR="000B7B71" w:rsidRPr="00F63FFD">
        <w:t>p</w:t>
      </w:r>
      <w:r w:rsidR="00B75477" w:rsidRPr="00F63FFD">
        <w:t xml:space="preserve">laintiffs, the </w:t>
      </w:r>
      <w:r w:rsidR="007A42BE" w:rsidRPr="00F63FFD">
        <w:t>City itself a</w:t>
      </w:r>
      <w:r w:rsidR="00B75477" w:rsidRPr="00F63FFD">
        <w:t>cknowledges, “[I]</w:t>
      </w:r>
      <w:r w:rsidR="007A42BE" w:rsidRPr="00F63FFD">
        <w:t>f the administrative relief provisions were so time-consuming in practice that they prohibited landlords from carrying out evictions within the time frames specified by the Ellis Act (</w:t>
      </w:r>
      <w:r w:rsidR="006667EE" w:rsidRPr="00F63FFD">
        <w:t>§ </w:t>
      </w:r>
      <w:r w:rsidR="007A42BE" w:rsidRPr="00F63FFD">
        <w:t>7060.5), then the Amended Ordinance would be unlawful as applied to landlords who qualified for administrative relief.”</w:t>
      </w:r>
      <w:r w:rsidR="00FC3086" w:rsidRPr="00F63FFD">
        <w:t xml:space="preserve">  </w:t>
      </w:r>
      <w:r w:rsidR="003C0057" w:rsidRPr="00F63FFD">
        <w:t>The discretion afforded to landlords in deciding whether to utilize such remedies may not render such procedures exempt from a preemption challenge</w:t>
      </w:r>
      <w:r w:rsidR="00FC3086" w:rsidRPr="00F63FFD">
        <w:t>.</w:t>
      </w:r>
    </w:p>
    <w:p w14:paraId="46D6D04C" w14:textId="22A447B9" w:rsidR="00494D91" w:rsidRPr="00F63FFD" w:rsidRDefault="00C810CF">
      <w:pPr>
        <w:spacing w:line="360" w:lineRule="auto"/>
      </w:pPr>
      <w:r w:rsidRPr="00F63FFD">
        <w:tab/>
      </w:r>
      <w:r w:rsidR="00A459D5" w:rsidRPr="00F63FFD">
        <w:t>Based on our decision</w:t>
      </w:r>
      <w:r w:rsidR="000B7B71" w:rsidRPr="00F63FFD">
        <w:t xml:space="preserve"> invalidating the challenged relocation payment provisions</w:t>
      </w:r>
      <w:r w:rsidR="00A459D5" w:rsidRPr="00F63FFD">
        <w:t xml:space="preserve">, </w:t>
      </w:r>
      <w:r w:rsidRPr="00F63FFD">
        <w:t xml:space="preserve">we do not address the </w:t>
      </w:r>
      <w:r w:rsidR="00357658" w:rsidRPr="00F63FFD">
        <w:t xml:space="preserve">several </w:t>
      </w:r>
      <w:r w:rsidRPr="00F63FFD">
        <w:t xml:space="preserve">remaining arguments </w:t>
      </w:r>
      <w:r w:rsidR="005722DF" w:rsidRPr="00F63FFD">
        <w:t>rais</w:t>
      </w:r>
      <w:r w:rsidRPr="00F63FFD">
        <w:t xml:space="preserve">ed by the parties </w:t>
      </w:r>
      <w:r w:rsidR="005722DF" w:rsidRPr="00F63FFD">
        <w:t>with respect to</w:t>
      </w:r>
      <w:r w:rsidRPr="00F63FFD">
        <w:t xml:space="preserve"> field preemption and preemption by state unlawful detainer statutes</w:t>
      </w:r>
      <w:r w:rsidR="003558CB" w:rsidRPr="00F63FFD">
        <w:t xml:space="preserve">; “irreconcilable </w:t>
      </w:r>
      <w:r w:rsidR="003558CB" w:rsidRPr="00F63FFD">
        <w:lastRenderedPageBreak/>
        <w:t>conflict</w:t>
      </w:r>
      <w:r w:rsidRPr="00F63FFD">
        <w:t>” with state law; or the retroactive application of the ordinance</w:t>
      </w:r>
      <w:r w:rsidR="003558CB" w:rsidRPr="00F63FFD">
        <w:t>s</w:t>
      </w:r>
      <w:r w:rsidRPr="00F63FFD">
        <w:t xml:space="preserve">.  Our decision makes further analysis unnecessary.  Also, because “[c]onstitutional issues will be resolved only if </w:t>
      </w:r>
      <w:r w:rsidR="003558CB" w:rsidRPr="00F63FFD">
        <w:t xml:space="preserve">absolutely </w:t>
      </w:r>
      <w:r w:rsidRPr="00F63FFD">
        <w:t>necessary and not if</w:t>
      </w:r>
      <w:r w:rsidR="005722DF" w:rsidRPr="00F63FFD">
        <w:t xml:space="preserve"> the</w:t>
      </w:r>
      <w:r w:rsidRPr="00F63FFD">
        <w:t xml:space="preserve"> case can be decided on any other ground,” we refrain from considering the </w:t>
      </w:r>
      <w:r w:rsidR="00E67A73" w:rsidRPr="00F63FFD">
        <w:t>parties’</w:t>
      </w:r>
      <w:r w:rsidR="005722DF" w:rsidRPr="00F63FFD">
        <w:t xml:space="preserve"> </w:t>
      </w:r>
      <w:r w:rsidRPr="00F63FFD">
        <w:t>due process, privacy, and takings arguments.  (</w:t>
      </w:r>
      <w:r w:rsidR="003558CB" w:rsidRPr="00F63FFD">
        <w:rPr>
          <w:i/>
        </w:rPr>
        <w:t>Community Redevelopment Agency</w:t>
      </w:r>
      <w:r w:rsidRPr="00F63FFD">
        <w:rPr>
          <w:i/>
        </w:rPr>
        <w:t xml:space="preserve"> v. Force Electronics </w:t>
      </w:r>
      <w:r w:rsidRPr="00F63FFD">
        <w:t>(1997) 55 Cal.App.4th 622, 630.)</w:t>
      </w:r>
    </w:p>
    <w:p w14:paraId="3A01DADC" w14:textId="77777777" w:rsidR="001C37F7" w:rsidRPr="00F63FFD" w:rsidRDefault="00C810CF">
      <w:pPr>
        <w:spacing w:line="360" w:lineRule="auto"/>
        <w:jc w:val="center"/>
      </w:pPr>
      <w:r w:rsidRPr="00F63FFD">
        <w:t>DISPOSITION</w:t>
      </w:r>
    </w:p>
    <w:p w14:paraId="58F5CD98" w14:textId="038F63C6" w:rsidR="00E40B20" w:rsidRPr="00F63FFD" w:rsidRDefault="00C810CF" w:rsidP="003558CB">
      <w:pPr>
        <w:spacing w:line="360" w:lineRule="auto"/>
      </w:pPr>
      <w:r w:rsidRPr="00F63FFD">
        <w:tab/>
        <w:t>The superior court judgments are affirmed.</w:t>
      </w:r>
    </w:p>
    <w:p w14:paraId="2EF34613" w14:textId="507A226E" w:rsidR="00F1198D" w:rsidRPr="00F63FFD" w:rsidRDefault="00F1198D">
      <w:pPr>
        <w:tabs>
          <w:tab w:val="clear" w:pos="720"/>
        </w:tabs>
        <w:spacing w:line="360" w:lineRule="auto"/>
      </w:pPr>
      <w:r w:rsidRPr="00F63FFD">
        <w:br w:type="page"/>
      </w:r>
    </w:p>
    <w:p w14:paraId="461C8DBF" w14:textId="77777777" w:rsidR="00F1198D" w:rsidRPr="00F63FFD" w:rsidRDefault="00F1198D" w:rsidP="00F1198D">
      <w:pPr>
        <w:spacing w:line="360" w:lineRule="auto"/>
      </w:pPr>
    </w:p>
    <w:p w14:paraId="5076B29A" w14:textId="77777777" w:rsidR="00F1198D" w:rsidRPr="00F63FFD" w:rsidRDefault="00F1198D" w:rsidP="00F1198D">
      <w:pPr>
        <w:spacing w:line="360" w:lineRule="auto"/>
      </w:pPr>
    </w:p>
    <w:p w14:paraId="74AE8C18" w14:textId="77777777" w:rsidR="00F1198D" w:rsidRPr="00F63FFD" w:rsidRDefault="00F1198D" w:rsidP="00F1198D">
      <w:pPr>
        <w:spacing w:line="360" w:lineRule="auto"/>
      </w:pPr>
    </w:p>
    <w:p w14:paraId="67415FDD" w14:textId="77777777" w:rsidR="00F1198D" w:rsidRPr="00F63FFD" w:rsidRDefault="00F1198D" w:rsidP="00F1198D">
      <w:pPr>
        <w:spacing w:line="360" w:lineRule="auto"/>
      </w:pPr>
      <w:r w:rsidRPr="00F63FFD">
        <w:tab/>
      </w:r>
      <w:r w:rsidRPr="00F63FFD">
        <w:tab/>
      </w:r>
      <w:r w:rsidRPr="00F63FFD">
        <w:tab/>
      </w:r>
      <w:r w:rsidRPr="00F63FFD">
        <w:tab/>
      </w:r>
      <w:r w:rsidRPr="00F63FFD">
        <w:tab/>
      </w:r>
      <w:r w:rsidRPr="00F63FFD">
        <w:tab/>
      </w:r>
      <w:r w:rsidRPr="00F63FFD">
        <w:tab/>
      </w:r>
      <w:r w:rsidRPr="00F63FFD">
        <w:tab/>
        <w:t>_________________________</w:t>
      </w:r>
    </w:p>
    <w:p w14:paraId="520797E5" w14:textId="77777777" w:rsidR="00F1198D" w:rsidRPr="00F63FFD" w:rsidRDefault="00F1198D" w:rsidP="00F1198D">
      <w:pPr>
        <w:spacing w:line="360" w:lineRule="auto"/>
      </w:pPr>
      <w:r w:rsidRPr="00F63FFD">
        <w:tab/>
      </w:r>
      <w:r w:rsidRPr="00F63FFD">
        <w:tab/>
      </w:r>
      <w:r w:rsidRPr="00F63FFD">
        <w:tab/>
      </w:r>
      <w:r w:rsidRPr="00F63FFD">
        <w:tab/>
      </w:r>
      <w:r w:rsidRPr="00F63FFD">
        <w:tab/>
      </w:r>
      <w:r w:rsidRPr="00F63FFD">
        <w:tab/>
      </w:r>
      <w:r w:rsidRPr="00F63FFD">
        <w:tab/>
      </w:r>
      <w:r w:rsidRPr="00F63FFD">
        <w:tab/>
        <w:t>Jones, P. J.</w:t>
      </w:r>
    </w:p>
    <w:p w14:paraId="085B1AA4" w14:textId="77777777" w:rsidR="00F1198D" w:rsidRPr="00F63FFD" w:rsidRDefault="00F1198D" w:rsidP="00F1198D">
      <w:pPr>
        <w:spacing w:line="360" w:lineRule="auto"/>
      </w:pPr>
    </w:p>
    <w:p w14:paraId="2A19AF04" w14:textId="77777777" w:rsidR="00F1198D" w:rsidRPr="00F63FFD" w:rsidRDefault="00F1198D" w:rsidP="00F1198D">
      <w:pPr>
        <w:spacing w:line="360" w:lineRule="auto"/>
      </w:pPr>
    </w:p>
    <w:p w14:paraId="365BF117" w14:textId="77777777" w:rsidR="00F1198D" w:rsidRPr="00F63FFD" w:rsidRDefault="00F1198D" w:rsidP="00F1198D">
      <w:pPr>
        <w:spacing w:line="360" w:lineRule="auto"/>
      </w:pPr>
      <w:r w:rsidRPr="00F63FFD">
        <w:t>We concur:</w:t>
      </w:r>
    </w:p>
    <w:p w14:paraId="003CC185" w14:textId="77777777" w:rsidR="00F1198D" w:rsidRPr="00F63FFD" w:rsidRDefault="00F1198D" w:rsidP="00F1198D">
      <w:pPr>
        <w:spacing w:line="360" w:lineRule="auto"/>
      </w:pPr>
    </w:p>
    <w:p w14:paraId="35D8CDB4" w14:textId="77777777" w:rsidR="00F1198D" w:rsidRPr="00F63FFD" w:rsidRDefault="00F1198D" w:rsidP="00F1198D">
      <w:pPr>
        <w:spacing w:line="360" w:lineRule="auto"/>
      </w:pPr>
    </w:p>
    <w:p w14:paraId="595849AF" w14:textId="77777777" w:rsidR="00F1198D" w:rsidRPr="00F63FFD" w:rsidRDefault="00F1198D" w:rsidP="00F1198D">
      <w:pPr>
        <w:spacing w:line="360" w:lineRule="auto"/>
      </w:pPr>
      <w:r w:rsidRPr="00F63FFD">
        <w:t>_________________________</w:t>
      </w:r>
    </w:p>
    <w:p w14:paraId="2B0F97E4" w14:textId="77777777" w:rsidR="00F1198D" w:rsidRPr="00F63FFD" w:rsidRDefault="00F1198D" w:rsidP="00F1198D">
      <w:pPr>
        <w:spacing w:line="360" w:lineRule="auto"/>
      </w:pPr>
      <w:r w:rsidRPr="00F63FFD">
        <w:t>Simons, J.</w:t>
      </w:r>
    </w:p>
    <w:p w14:paraId="1042CD17" w14:textId="77777777" w:rsidR="00F1198D" w:rsidRPr="00F63FFD" w:rsidRDefault="00F1198D" w:rsidP="00F1198D">
      <w:pPr>
        <w:spacing w:line="360" w:lineRule="auto"/>
      </w:pPr>
    </w:p>
    <w:p w14:paraId="6DC294DD" w14:textId="77777777" w:rsidR="00F1198D" w:rsidRPr="00F63FFD" w:rsidRDefault="00F1198D" w:rsidP="00F1198D">
      <w:pPr>
        <w:spacing w:line="360" w:lineRule="auto"/>
      </w:pPr>
    </w:p>
    <w:p w14:paraId="5CD5D440" w14:textId="77777777" w:rsidR="00F1198D" w:rsidRPr="00F63FFD" w:rsidRDefault="00F1198D" w:rsidP="00F1198D">
      <w:pPr>
        <w:spacing w:line="360" w:lineRule="auto"/>
      </w:pPr>
      <w:r w:rsidRPr="00F63FFD">
        <w:t>_________________________</w:t>
      </w:r>
    </w:p>
    <w:p w14:paraId="123C7FBB" w14:textId="77777777" w:rsidR="00F1198D" w:rsidRPr="00F63FFD" w:rsidRDefault="00F1198D" w:rsidP="00F1198D">
      <w:pPr>
        <w:spacing w:line="360" w:lineRule="auto"/>
      </w:pPr>
      <w:r w:rsidRPr="00F63FFD">
        <w:t>Needham, J.</w:t>
      </w:r>
    </w:p>
    <w:p w14:paraId="35FCF2AA" w14:textId="77777777" w:rsidR="00F1198D" w:rsidRPr="00F63FFD" w:rsidRDefault="00F1198D" w:rsidP="00F1198D">
      <w:pPr>
        <w:spacing w:line="360" w:lineRule="auto"/>
      </w:pPr>
    </w:p>
    <w:p w14:paraId="43F63368" w14:textId="77777777" w:rsidR="00F1198D" w:rsidRPr="00F63FFD" w:rsidRDefault="00F1198D" w:rsidP="00F1198D">
      <w:pPr>
        <w:spacing w:line="360" w:lineRule="auto"/>
      </w:pPr>
    </w:p>
    <w:p w14:paraId="571EF9D7" w14:textId="77777777" w:rsidR="00F1198D" w:rsidRPr="00F63FFD" w:rsidRDefault="00F1198D" w:rsidP="00F1198D">
      <w:pPr>
        <w:spacing w:line="360" w:lineRule="auto"/>
      </w:pPr>
    </w:p>
    <w:p w14:paraId="5A639DDF" w14:textId="77777777" w:rsidR="00F1198D" w:rsidRPr="00F63FFD" w:rsidRDefault="00F1198D" w:rsidP="00F1198D">
      <w:pPr>
        <w:spacing w:line="360" w:lineRule="auto"/>
      </w:pPr>
    </w:p>
    <w:p w14:paraId="3AAC5C03" w14:textId="77777777" w:rsidR="00F1198D" w:rsidRPr="00F63FFD" w:rsidRDefault="00F1198D" w:rsidP="00F1198D">
      <w:pPr>
        <w:spacing w:line="360" w:lineRule="auto"/>
      </w:pPr>
    </w:p>
    <w:p w14:paraId="0152BD6E" w14:textId="77777777" w:rsidR="00F1198D" w:rsidRPr="00F63FFD" w:rsidRDefault="00F1198D" w:rsidP="00F1198D">
      <w:pPr>
        <w:spacing w:line="360" w:lineRule="auto"/>
      </w:pPr>
    </w:p>
    <w:p w14:paraId="5E39CC5F" w14:textId="77777777" w:rsidR="00F1198D" w:rsidRPr="00F63FFD" w:rsidRDefault="00F1198D" w:rsidP="00F1198D">
      <w:pPr>
        <w:spacing w:line="360" w:lineRule="auto"/>
      </w:pPr>
    </w:p>
    <w:p w14:paraId="6A62472E" w14:textId="77777777" w:rsidR="00F1198D" w:rsidRPr="00F63FFD" w:rsidRDefault="00F1198D" w:rsidP="00F1198D">
      <w:pPr>
        <w:spacing w:line="360" w:lineRule="auto"/>
      </w:pPr>
    </w:p>
    <w:p w14:paraId="57519FE1" w14:textId="77777777" w:rsidR="00F1198D" w:rsidRPr="00F63FFD" w:rsidRDefault="00F1198D" w:rsidP="00F1198D">
      <w:pPr>
        <w:spacing w:line="360" w:lineRule="auto"/>
      </w:pPr>
    </w:p>
    <w:p w14:paraId="716F515A" w14:textId="77777777" w:rsidR="00F1198D" w:rsidRPr="00F63FFD" w:rsidRDefault="00F1198D" w:rsidP="00F1198D">
      <w:pPr>
        <w:spacing w:line="360" w:lineRule="auto"/>
      </w:pPr>
    </w:p>
    <w:p w14:paraId="5690E8FF" w14:textId="31EC9D1D" w:rsidR="00F1198D" w:rsidRPr="00F63FFD" w:rsidRDefault="00F1198D" w:rsidP="00F1198D">
      <w:pPr>
        <w:spacing w:line="360" w:lineRule="auto"/>
      </w:pPr>
    </w:p>
    <w:p w14:paraId="5D542352" w14:textId="77777777" w:rsidR="00F1198D" w:rsidRPr="00F63FFD" w:rsidRDefault="00F1198D" w:rsidP="00F1198D">
      <w:pPr>
        <w:spacing w:line="360" w:lineRule="auto"/>
      </w:pPr>
    </w:p>
    <w:p w14:paraId="6A64F401" w14:textId="0CF0BE25" w:rsidR="000A1517" w:rsidRPr="00F63FFD" w:rsidRDefault="00F1198D" w:rsidP="00161B3B">
      <w:pPr>
        <w:spacing w:line="240" w:lineRule="auto"/>
      </w:pPr>
      <w:r w:rsidRPr="00F63FFD">
        <w:t>A145044, A146569</w:t>
      </w:r>
    </w:p>
    <w:p w14:paraId="34336676" w14:textId="77777777" w:rsidR="000A1517" w:rsidRPr="00F63FFD" w:rsidRDefault="000A1517" w:rsidP="000A1517">
      <w:pPr>
        <w:rPr>
          <w:u w:val="single"/>
        </w:rPr>
      </w:pPr>
      <w:r w:rsidRPr="00F63FFD">
        <w:rPr>
          <w:u w:val="single"/>
        </w:rPr>
        <w:lastRenderedPageBreak/>
        <w:t>Martin J. Coyne et al., v. City and County of San Francisco (A145044 &amp; A146569)</w:t>
      </w:r>
    </w:p>
    <w:p w14:paraId="32EE79DC" w14:textId="77777777" w:rsidR="000A1517" w:rsidRPr="00F63FFD" w:rsidRDefault="000A1517" w:rsidP="000A1517">
      <w:pPr>
        <w:spacing w:line="240" w:lineRule="auto"/>
      </w:pPr>
    </w:p>
    <w:p w14:paraId="01C5C138" w14:textId="77777777" w:rsidR="000A1517" w:rsidRPr="00F63FFD" w:rsidRDefault="000A1517" w:rsidP="000A1517">
      <w:pPr>
        <w:spacing w:line="240" w:lineRule="auto"/>
      </w:pPr>
    </w:p>
    <w:p w14:paraId="1A924216" w14:textId="77777777" w:rsidR="000A1517" w:rsidRPr="00F63FFD" w:rsidRDefault="000A1517" w:rsidP="000A1517">
      <w:pPr>
        <w:spacing w:line="240" w:lineRule="auto"/>
      </w:pPr>
      <w:r w:rsidRPr="00F63FFD">
        <w:t>Trial Court:    San Francisco County Superior Court</w:t>
      </w:r>
    </w:p>
    <w:p w14:paraId="77FDF712" w14:textId="77777777" w:rsidR="000A1517" w:rsidRPr="00F63FFD" w:rsidRDefault="000A1517" w:rsidP="000A1517">
      <w:pPr>
        <w:spacing w:line="240" w:lineRule="auto"/>
      </w:pPr>
    </w:p>
    <w:p w14:paraId="64FC5D68" w14:textId="77777777" w:rsidR="000A1517" w:rsidRPr="00F63FFD" w:rsidRDefault="000A1517" w:rsidP="000A1517">
      <w:pPr>
        <w:spacing w:line="240" w:lineRule="auto"/>
      </w:pPr>
      <w:r w:rsidRPr="00F63FFD">
        <w:t>Trial Judge:    Hon. Ronald E. Quidachay</w:t>
      </w:r>
    </w:p>
    <w:p w14:paraId="40983FF7" w14:textId="77777777" w:rsidR="000A1517" w:rsidRPr="00F63FFD" w:rsidRDefault="000A1517" w:rsidP="000A1517">
      <w:pPr>
        <w:spacing w:line="240" w:lineRule="auto"/>
      </w:pPr>
    </w:p>
    <w:p w14:paraId="2BDAB0C3" w14:textId="77777777" w:rsidR="000A1517" w:rsidRPr="00F63FFD" w:rsidRDefault="000A1517" w:rsidP="000A1517">
      <w:pPr>
        <w:spacing w:line="240" w:lineRule="auto"/>
      </w:pPr>
      <w:r w:rsidRPr="00F63FFD">
        <w:t xml:space="preserve">Counsel: </w:t>
      </w:r>
    </w:p>
    <w:p w14:paraId="7FBBEDFF" w14:textId="77777777" w:rsidR="000A1517" w:rsidRPr="00F63FFD" w:rsidRDefault="000A1517" w:rsidP="000A1517">
      <w:pPr>
        <w:spacing w:line="240" w:lineRule="auto"/>
      </w:pPr>
    </w:p>
    <w:p w14:paraId="67A64293" w14:textId="77777777" w:rsidR="000A1517" w:rsidRPr="00F63FFD" w:rsidRDefault="000A1517" w:rsidP="000A1517">
      <w:pPr>
        <w:spacing w:line="240" w:lineRule="auto"/>
      </w:pPr>
      <w:r w:rsidRPr="00F63FFD">
        <w:rPr>
          <w:rFonts w:eastAsia="Times New Roman"/>
        </w:rPr>
        <w:t>Dennis Jose</w:t>
      </w:r>
      <w:r w:rsidRPr="00F63FFD">
        <w:t xml:space="preserve"> </w:t>
      </w:r>
      <w:r w:rsidRPr="00F63FFD">
        <w:rPr>
          <w:rFonts w:eastAsia="Times New Roman"/>
        </w:rPr>
        <w:t>Herrera</w:t>
      </w:r>
      <w:r w:rsidRPr="00F63FFD">
        <w:t>, City Attorney, Wayne Kessler Snodgrass and Christine Van Aken, Deputy City Attorneys, for Defendant and Appellant.</w:t>
      </w:r>
    </w:p>
    <w:p w14:paraId="7054F3D1" w14:textId="77777777" w:rsidR="000A1517" w:rsidRPr="00F63FFD" w:rsidRDefault="000A1517" w:rsidP="000A1517">
      <w:pPr>
        <w:spacing w:line="240" w:lineRule="auto"/>
      </w:pPr>
    </w:p>
    <w:p w14:paraId="061A80C8" w14:textId="77777777" w:rsidR="000A1517" w:rsidRPr="00F63FFD" w:rsidRDefault="000A1517" w:rsidP="000A1517">
      <w:pPr>
        <w:spacing w:line="240" w:lineRule="auto"/>
      </w:pPr>
      <w:r w:rsidRPr="00F63FFD">
        <w:rPr>
          <w:rFonts w:eastAsia="Times New Roman"/>
        </w:rPr>
        <w:t>Zacks, Freedman &amp; Patterson</w:t>
      </w:r>
      <w:r w:rsidRPr="00F63FFD">
        <w:t>, Emily H. Lowther and Andrew Mayer Zacks for Plaintiffs and Respondents.</w:t>
      </w:r>
    </w:p>
    <w:p w14:paraId="41CB22D7" w14:textId="77777777" w:rsidR="000A1517" w:rsidRPr="00F63FFD" w:rsidRDefault="000A1517" w:rsidP="000A1517">
      <w:pPr>
        <w:pStyle w:val="ListParagraph"/>
        <w:spacing w:line="240" w:lineRule="auto"/>
        <w:ind w:left="0"/>
      </w:pPr>
    </w:p>
    <w:p w14:paraId="29047610" w14:textId="77777777" w:rsidR="000A1517" w:rsidRPr="00F63FFD" w:rsidRDefault="000A1517" w:rsidP="000A1517">
      <w:pPr>
        <w:pStyle w:val="ListParagraph"/>
        <w:spacing w:line="240" w:lineRule="auto"/>
        <w:ind w:left="0"/>
      </w:pPr>
      <w:r w:rsidRPr="00F63FFD">
        <w:t>J. David Breemer and Caleb R. Trotter for Pacific Legal Foundation as Amicus Curiae on behalf of Respondents.</w:t>
      </w:r>
    </w:p>
    <w:p w14:paraId="2B320321" w14:textId="77777777" w:rsidR="000A1517" w:rsidRPr="00F63FFD" w:rsidRDefault="000A1517" w:rsidP="000A1517">
      <w:pPr>
        <w:pStyle w:val="ListParagraph"/>
        <w:spacing w:line="240" w:lineRule="auto"/>
        <w:ind w:left="0"/>
      </w:pPr>
    </w:p>
    <w:p w14:paraId="38AECF1F" w14:textId="7B0E0614" w:rsidR="000A1517" w:rsidRPr="00072315" w:rsidRDefault="000A1517" w:rsidP="000A1517">
      <w:pPr>
        <w:pStyle w:val="ListParagraph"/>
        <w:spacing w:line="240" w:lineRule="auto"/>
        <w:ind w:left="0"/>
      </w:pPr>
      <w:r w:rsidRPr="00F63FFD">
        <w:rPr>
          <w:rFonts w:eastAsia="Times New Roman"/>
        </w:rPr>
        <w:t xml:space="preserve">Nielsen, Merksamer, Parrinello Gross &amp; Leoni, </w:t>
      </w:r>
      <w:r w:rsidRPr="00F63FFD">
        <w:t xml:space="preserve">James Richard Parrinello, Christopher Elliott Skinnell and James W. Carson for </w:t>
      </w:r>
      <w:r w:rsidRPr="00F63FFD">
        <w:rPr>
          <w:rFonts w:eastAsia="Times New Roman"/>
        </w:rPr>
        <w:t xml:space="preserve">San Francisco Apartment Association, The Coalition For Better Housing and The </w:t>
      </w:r>
      <w:r w:rsidRPr="00F63FFD">
        <w:t>San F</w:t>
      </w:r>
      <w:r w:rsidR="005548E3">
        <w:t>rancisco Association of Realtors as</w:t>
      </w:r>
      <w:r w:rsidRPr="00F63FFD">
        <w:t xml:space="preserve"> Amici Curiae on behalf of Respondents.</w:t>
      </w:r>
    </w:p>
    <w:p w14:paraId="1DD73C6F" w14:textId="21F1B687" w:rsidR="003558CB" w:rsidRPr="001B2329" w:rsidRDefault="003558CB" w:rsidP="000C361A">
      <w:pPr>
        <w:spacing w:line="240" w:lineRule="auto"/>
      </w:pPr>
    </w:p>
    <w:sectPr w:rsidR="003558CB" w:rsidRPr="001B2329" w:rsidSect="00494D91">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5AF8F" w14:textId="77777777" w:rsidR="00F35936" w:rsidRDefault="00F35936">
      <w:pPr>
        <w:spacing w:line="240" w:lineRule="auto"/>
      </w:pPr>
      <w:r>
        <w:separator/>
      </w:r>
    </w:p>
  </w:endnote>
  <w:endnote w:type="continuationSeparator" w:id="0">
    <w:p w14:paraId="7793F41A" w14:textId="77777777" w:rsidR="00F35936" w:rsidRDefault="00F35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B1BF" w14:textId="77777777" w:rsidR="00F35936" w:rsidRDefault="00F35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AE77E" w14:textId="77777777" w:rsidR="00F35936" w:rsidRDefault="00F35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FB766" w14:textId="77777777" w:rsidR="00F35936" w:rsidRDefault="00F35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FEEA7" w14:textId="780086B2" w:rsidR="00F35936" w:rsidRDefault="00F35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B8C">
      <w:rPr>
        <w:rStyle w:val="PageNumber"/>
        <w:noProof/>
      </w:rPr>
      <w:t>2</w:t>
    </w:r>
    <w:r>
      <w:rPr>
        <w:rStyle w:val="PageNumber"/>
      </w:rPr>
      <w:fldChar w:fldCharType="end"/>
    </w:r>
  </w:p>
  <w:p w14:paraId="52535216" w14:textId="77777777" w:rsidR="00F35936" w:rsidRDefault="00F35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784"/>
      <w:docPartObj>
        <w:docPartGallery w:val="Page Numbers (Bottom of Page)"/>
        <w:docPartUnique/>
      </w:docPartObj>
    </w:sdtPr>
    <w:sdtEndPr/>
    <w:sdtContent>
      <w:p w14:paraId="393AE61C" w14:textId="07EC39A9" w:rsidR="00F35936" w:rsidRDefault="00F35936">
        <w:pPr>
          <w:pStyle w:val="Footer"/>
          <w:jc w:val="center"/>
        </w:pPr>
        <w:r>
          <w:fldChar w:fldCharType="begin"/>
        </w:r>
        <w:r>
          <w:instrText xml:space="preserve"> PAGE   \* MERGEFORMAT </w:instrText>
        </w:r>
        <w:r>
          <w:fldChar w:fldCharType="separate"/>
        </w:r>
        <w:r w:rsidR="006F3360">
          <w:rPr>
            <w:noProof/>
          </w:rPr>
          <w:t>1</w:t>
        </w:r>
        <w:r>
          <w:rPr>
            <w:noProof/>
          </w:rPr>
          <w:fldChar w:fldCharType="end"/>
        </w:r>
      </w:p>
    </w:sdtContent>
  </w:sdt>
  <w:p w14:paraId="239AA21B" w14:textId="77777777" w:rsidR="00F35936" w:rsidRDefault="00F3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E5A3" w14:textId="77777777" w:rsidR="00F35936" w:rsidRDefault="00F35936">
      <w:pPr>
        <w:spacing w:line="240" w:lineRule="auto"/>
      </w:pPr>
      <w:r>
        <w:separator/>
      </w:r>
    </w:p>
  </w:footnote>
  <w:footnote w:type="continuationSeparator" w:id="0">
    <w:p w14:paraId="3D2EE420" w14:textId="77777777" w:rsidR="00F35936" w:rsidRDefault="00F35936">
      <w:pPr>
        <w:spacing w:line="240" w:lineRule="auto"/>
      </w:pPr>
      <w:r>
        <w:continuationSeparator/>
      </w:r>
    </w:p>
  </w:footnote>
  <w:footnote w:id="1">
    <w:p w14:paraId="427B34C1" w14:textId="607DC694" w:rsidR="00F35936" w:rsidRDefault="00F35936" w:rsidP="00672F48">
      <w:pPr>
        <w:pStyle w:val="FootnoteText"/>
        <w:spacing w:after="120"/>
      </w:pPr>
      <w:r>
        <w:rPr>
          <w:rStyle w:val="FootnoteReference"/>
        </w:rPr>
        <w:footnoteRef/>
      </w:r>
      <w:r>
        <w:t xml:space="preserve"> </w:t>
      </w:r>
      <w:r>
        <w:tab/>
        <w:t>Shortly after plaintiffs filed their first amended petition, plaintiffs Jerrold Jacoby and Golden Properties LLC dismissed their claims with prejudice.</w:t>
      </w:r>
    </w:p>
  </w:footnote>
  <w:footnote w:id="2">
    <w:p w14:paraId="0BA3968D" w14:textId="626F2D64" w:rsidR="00F35936" w:rsidRDefault="00F35936">
      <w:pPr>
        <w:pStyle w:val="FootnoteText"/>
      </w:pPr>
      <w:r>
        <w:rPr>
          <w:rStyle w:val="FootnoteReference"/>
        </w:rPr>
        <w:footnoteRef/>
      </w:r>
      <w:r>
        <w:t xml:space="preserve"> </w:t>
      </w:r>
      <w:r>
        <w:tab/>
        <w:t>A newly defined term in the amended ordinance, “</w:t>
      </w:r>
      <w:r w:rsidRPr="00C810CF">
        <w:t xml:space="preserve">Relocation Costs” </w:t>
      </w:r>
      <w:r>
        <w:t>are</w:t>
      </w:r>
      <w:r w:rsidRPr="00C810CF">
        <w:t xml:space="preserve"> “any of the following costs incurred by an evicted tenant</w:t>
      </w:r>
      <w:r w:rsidR="00DF0B60">
        <w:t xml:space="preserve">:  </w:t>
      </w:r>
      <w:r w:rsidRPr="00C810CF">
        <w:t xml:space="preserve">rent payments for a replacement dwelling, the purchase price of a replacement dwelling, any costs incurred in moving to a replacement dwelling, or any costs that the tenant can demonstrate were incurred to mitigate the adverse impacts on the tenant of the eviction.”  (S.F. Admin. </w:t>
      </w:r>
      <w:r w:rsidR="00C27BAB">
        <w:t>Code, ch. 37,</w:t>
      </w:r>
      <w:r w:rsidR="008B49D9">
        <w:t xml:space="preserve"> § 37.9A, subd. </w:t>
      </w:r>
      <w:r w:rsidRPr="00C810CF">
        <w:t>(e)(3)(E)(vi)(b).)</w:t>
      </w:r>
    </w:p>
  </w:footnote>
  <w:footnote w:id="3">
    <w:p w14:paraId="1DD348CF" w14:textId="048D5F8F" w:rsidR="00F35936" w:rsidRPr="00FE2364" w:rsidRDefault="00F35936" w:rsidP="000C361A">
      <w:pPr>
        <w:pStyle w:val="FootnoteText"/>
      </w:pPr>
      <w:r w:rsidRPr="00FE2364">
        <w:rPr>
          <w:rStyle w:val="FootnoteReference"/>
        </w:rPr>
        <w:footnoteRef/>
      </w:r>
      <w:r w:rsidRPr="00FE2364">
        <w:t xml:space="preserve"> </w:t>
      </w:r>
      <w:r w:rsidRPr="00FE2364">
        <w:tab/>
        <w:t xml:space="preserve">While this consolidated appeal was being briefed, both parties filed </w:t>
      </w:r>
      <w:r>
        <w:t xml:space="preserve">requests for </w:t>
      </w:r>
      <w:r w:rsidRPr="00FE2364">
        <w:t xml:space="preserve">judicial notice.  We deferred ruling on the </w:t>
      </w:r>
      <w:r>
        <w:t>requests</w:t>
      </w:r>
      <w:r w:rsidRPr="00FE2364">
        <w:t xml:space="preserve"> until a decision on the merits of the case. </w:t>
      </w:r>
      <w:r>
        <w:t xml:space="preserve"> W</w:t>
      </w:r>
      <w:r w:rsidRPr="00FE2364">
        <w:t xml:space="preserve">e </w:t>
      </w:r>
      <w:r>
        <w:t xml:space="preserve">now </w:t>
      </w:r>
      <w:r w:rsidRPr="00FE2364">
        <w:t>rule as follows:</w:t>
      </w:r>
    </w:p>
    <w:p w14:paraId="4D9CFFC5" w14:textId="41CB0D2C" w:rsidR="00F35936" w:rsidRPr="00C64718" w:rsidRDefault="00F35936" w:rsidP="000C361A">
      <w:pPr>
        <w:pStyle w:val="FootnoteText"/>
      </w:pPr>
      <w:r w:rsidRPr="00FE2364">
        <w:tab/>
        <w:t xml:space="preserve">The City’s </w:t>
      </w:r>
      <w:r>
        <w:t>request</w:t>
      </w:r>
      <w:r w:rsidRPr="00FE2364">
        <w:t xml:space="preserve"> for judicial notice filed on February 3, 2016 is granted as to</w:t>
      </w:r>
      <w:r>
        <w:t xml:space="preserve"> the following documents</w:t>
      </w:r>
      <w:r w:rsidR="00DF0B60">
        <w:t xml:space="preserve">:  </w:t>
      </w:r>
      <w:r w:rsidRPr="00FE2364">
        <w:t xml:space="preserve">Document 1 (S.F. Ordinance 54-14); Document 4 (S.F. Ordinance 68-15); and Document 12 (Notice of Appeal of Order in </w:t>
      </w:r>
      <w:r w:rsidR="000E4CB5">
        <w:rPr>
          <w:i/>
        </w:rPr>
        <w:t>Levin v. City and</w:t>
      </w:r>
      <w:r w:rsidRPr="00FE2364">
        <w:rPr>
          <w:i/>
        </w:rPr>
        <w:t xml:space="preserve"> County of San Francisco</w:t>
      </w:r>
      <w:r w:rsidRPr="00FE2364">
        <w:t xml:space="preserve">, U.S. District Court Case No. </w:t>
      </w:r>
      <w:r w:rsidR="000E4CB5">
        <w:t>3:14-cv-0</w:t>
      </w:r>
      <w:r w:rsidRPr="00FE2364">
        <w:t xml:space="preserve">3352 CRB).  With respect to Document 11 (Memorandum of Findings of Fact and Conclusions of Law in </w:t>
      </w:r>
      <w:r w:rsidR="000E4CB5">
        <w:rPr>
          <w:i/>
        </w:rPr>
        <w:t>Levin v. City and</w:t>
      </w:r>
      <w:r w:rsidRPr="00FE2364">
        <w:rPr>
          <w:i/>
        </w:rPr>
        <w:t xml:space="preserve"> County of San Francisco</w:t>
      </w:r>
      <w:r w:rsidRPr="00FE2364">
        <w:t xml:space="preserve">, U.S. District Court Case </w:t>
      </w:r>
      <w:r w:rsidRPr="00C64718">
        <w:t xml:space="preserve">No. </w:t>
      </w:r>
      <w:r w:rsidR="000E4CB5">
        <w:t>3:14-cv-0</w:t>
      </w:r>
      <w:r w:rsidR="000E4CB5" w:rsidRPr="00FE2364">
        <w:t xml:space="preserve">3352 </w:t>
      </w:r>
      <w:r w:rsidRPr="00C64718">
        <w:t xml:space="preserve">CRB), we take judicial notice of the fact that Ordinance 54-14 was challenged and enjoined.  (See </w:t>
      </w:r>
      <w:r w:rsidRPr="00C64718">
        <w:rPr>
          <w:i/>
        </w:rPr>
        <w:t xml:space="preserve">Arce v. Kaiser Foundation Health Plan, Inc. </w:t>
      </w:r>
      <w:r w:rsidR="000E4CB5">
        <w:t>(2010) 181 Cal.App.4th 471, 482</w:t>
      </w:r>
      <w:r w:rsidRPr="00C64718">
        <w:t xml:space="preserve"> </w:t>
      </w:r>
      <w:r w:rsidR="000E4CB5" w:rsidRPr="00C64718">
        <w:t>(</w:t>
      </w:r>
      <w:r w:rsidR="000E4CB5" w:rsidRPr="00C64718">
        <w:rPr>
          <w:i/>
        </w:rPr>
        <w:t>Arce</w:t>
      </w:r>
      <w:r w:rsidR="000E4CB5" w:rsidRPr="00C64718">
        <w:t xml:space="preserve">) </w:t>
      </w:r>
      <w:r w:rsidRPr="00C64718">
        <w:t xml:space="preserve">[“While we may take judicial notice of court records and official acts of state agencies [citation], the truth of matters asserted in such documents is not subject to judicial notice.”].)  The City’s request for judicial notice is denied as to the remaining documents; we conclude they are not relevant to our analysis.  (See </w:t>
      </w:r>
      <w:r w:rsidRPr="00C64718">
        <w:rPr>
          <w:i/>
        </w:rPr>
        <w:t xml:space="preserve">id. </w:t>
      </w:r>
      <w:r w:rsidRPr="00C64718">
        <w:t xml:space="preserve">[“We also may decline to take judicial notice of matters that are not relevant to dispositive issues on appeal.”]; </w:t>
      </w:r>
      <w:r w:rsidRPr="00C64718">
        <w:rPr>
          <w:i/>
          <w:iCs/>
        </w:rPr>
        <w:t xml:space="preserve">Mangini v. R.J. Reynolds Tobacco Co. </w:t>
      </w:r>
      <w:r w:rsidRPr="00C64718">
        <w:rPr>
          <w:iCs/>
        </w:rPr>
        <w:t xml:space="preserve">(1994) </w:t>
      </w:r>
      <w:r w:rsidRPr="00C64718">
        <w:t>7 Cal.4th 1057, 1063</w:t>
      </w:r>
      <w:r w:rsidR="00354252">
        <w:t xml:space="preserve">, overruled on other grounds in </w:t>
      </w:r>
      <w:r w:rsidR="00354252">
        <w:rPr>
          <w:i/>
        </w:rPr>
        <w:t xml:space="preserve">In re Tobacco Cases II </w:t>
      </w:r>
      <w:r w:rsidR="00434809">
        <w:t>(2007) 4</w:t>
      </w:r>
      <w:r w:rsidR="00354252">
        <w:t>1 Cal.4th 1257, 1276</w:t>
      </w:r>
      <w:r w:rsidRPr="00C64718">
        <w:t xml:space="preserve"> (</w:t>
      </w:r>
      <w:r w:rsidRPr="00C64718">
        <w:rPr>
          <w:i/>
        </w:rPr>
        <w:t>Mangini</w:t>
      </w:r>
      <w:r w:rsidRPr="00C64718">
        <w:t>).)</w:t>
      </w:r>
    </w:p>
    <w:p w14:paraId="1B0D08DA" w14:textId="17954F40" w:rsidR="00F35936" w:rsidRPr="00C64718" w:rsidRDefault="00F35936" w:rsidP="000C361A">
      <w:pPr>
        <w:pStyle w:val="FootnoteText"/>
      </w:pPr>
      <w:r w:rsidRPr="00C64718">
        <w:tab/>
        <w:t xml:space="preserve">The </w:t>
      </w:r>
      <w:r w:rsidRPr="00C64718">
        <w:rPr>
          <w:i/>
        </w:rPr>
        <w:t xml:space="preserve">Coyne </w:t>
      </w:r>
      <w:r w:rsidRPr="00C64718">
        <w:t>plaintiffs’ request for judicial notice filed on May 20, 2016 is granted as to the following documents</w:t>
      </w:r>
      <w:r w:rsidR="004B0498">
        <w:t>:  Document A (S.F. Rent Board—</w:t>
      </w:r>
      <w:r w:rsidRPr="00C64718">
        <w:t xml:space="preserve">Current Relocation Payments for Ellis Act </w:t>
      </w:r>
      <w:r w:rsidR="004B0498">
        <w:t>Evictions Under 2005 Ordinance);</w:t>
      </w:r>
      <w:r w:rsidRPr="00C64718">
        <w:t xml:space="preserve"> Document B (San Francisco Admin. </w:t>
      </w:r>
      <w:r w:rsidR="00C27BAB">
        <w:t>Code, ch. 37,</w:t>
      </w:r>
      <w:r w:rsidRPr="00C64718">
        <w:t xml:space="preserve"> §§ </w:t>
      </w:r>
      <w:r w:rsidR="00C27BAB">
        <w:t xml:space="preserve">37.9A, subd. </w:t>
      </w:r>
      <w:r w:rsidR="002F5003">
        <w:t>(a)(1)(A),</w:t>
      </w:r>
      <w:r w:rsidRPr="00C64718">
        <w:t xml:space="preserve"> </w:t>
      </w:r>
      <w:r w:rsidR="00C27BAB">
        <w:t xml:space="preserve">37.9A, subd. </w:t>
      </w:r>
      <w:r w:rsidR="004B0498">
        <w:t>(f));</w:t>
      </w:r>
      <w:r w:rsidRPr="00C64718">
        <w:t xml:space="preserve"> and Document C (San Francisco Ordinanc</w:t>
      </w:r>
      <w:r w:rsidR="00DF0B60">
        <w:t xml:space="preserve">e </w:t>
      </w:r>
      <w:r w:rsidRPr="00C64718">
        <w:t>No. 5-00).  It is denied as to the remaining documents because these documents do not bear on our analysis.  (</w:t>
      </w:r>
      <w:r w:rsidRPr="00C64718">
        <w:rPr>
          <w:i/>
        </w:rPr>
        <w:t>Arce</w:t>
      </w:r>
      <w:r w:rsidRPr="00C64718">
        <w:t xml:space="preserve">, </w:t>
      </w:r>
      <w:r w:rsidRPr="00C64718">
        <w:rPr>
          <w:i/>
        </w:rPr>
        <w:t>supra</w:t>
      </w:r>
      <w:r w:rsidRPr="00C64718">
        <w:t xml:space="preserve">, 181 Cal.App.4th </w:t>
      </w:r>
      <w:r w:rsidR="006667EE">
        <w:t>at p. </w:t>
      </w:r>
      <w:r w:rsidR="004B0498">
        <w:t>482</w:t>
      </w:r>
      <w:r w:rsidRPr="00C64718">
        <w:t xml:space="preserve">; </w:t>
      </w:r>
      <w:r w:rsidRPr="00C64718">
        <w:rPr>
          <w:i/>
        </w:rPr>
        <w:t>Mangini</w:t>
      </w:r>
      <w:r w:rsidRPr="00C64718">
        <w:t xml:space="preserve">, </w:t>
      </w:r>
      <w:r w:rsidRPr="00C64718">
        <w:rPr>
          <w:i/>
        </w:rPr>
        <w:t>supra</w:t>
      </w:r>
      <w:r w:rsidRPr="00C64718">
        <w:t xml:space="preserve">, 7 Cal.4th </w:t>
      </w:r>
      <w:r w:rsidR="006667EE">
        <w:t>at p. </w:t>
      </w:r>
      <w:r w:rsidRPr="00C64718">
        <w:t>1063.)</w:t>
      </w:r>
    </w:p>
    <w:p w14:paraId="5E195654" w14:textId="55715309" w:rsidR="00F35936" w:rsidRPr="00447F50" w:rsidRDefault="00F35936" w:rsidP="00D814F4">
      <w:pPr>
        <w:pStyle w:val="FootnoteText"/>
        <w:spacing w:after="120"/>
        <w:rPr>
          <w:color w:val="0070C0"/>
          <w:highlight w:val="yellow"/>
        </w:rPr>
      </w:pPr>
      <w:r w:rsidRPr="00C64718">
        <w:tab/>
        <w:t xml:space="preserve">The </w:t>
      </w:r>
      <w:r w:rsidRPr="00C64718">
        <w:rPr>
          <w:i/>
        </w:rPr>
        <w:t xml:space="preserve">Coyne </w:t>
      </w:r>
      <w:r w:rsidRPr="00C64718">
        <w:t>plaintiffs’ request for judicial notice filed on August 11, 2016 for</w:t>
      </w:r>
      <w:r w:rsidR="009A1973">
        <w:t xml:space="preserve"> Exhibit A (Agreement between the San Francisco</w:t>
      </w:r>
      <w:r w:rsidRPr="00C64718">
        <w:t xml:space="preserve"> Department of Human Services and</w:t>
      </w:r>
      <w:r w:rsidR="009A1973">
        <w:t xml:space="preserve"> the Tenderloin Housing Clinic);</w:t>
      </w:r>
      <w:r w:rsidRPr="00C64718">
        <w:t xml:space="preserve"> Exhibit B (online article entitled “</w:t>
      </w:r>
      <w:r w:rsidRPr="006F67FB">
        <w:rPr>
          <w:i/>
        </w:rPr>
        <w:t>S.F. Boosts Spe</w:t>
      </w:r>
      <w:r w:rsidR="009A1973" w:rsidRPr="006F67FB">
        <w:rPr>
          <w:i/>
        </w:rPr>
        <w:t>nding to Stop Ellis Evictions</w:t>
      </w:r>
      <w:r w:rsidR="009A1973">
        <w:t>”);</w:t>
      </w:r>
      <w:r w:rsidRPr="00C64718">
        <w:t xml:space="preserve"> and Exhibit C (Order from </w:t>
      </w:r>
      <w:r w:rsidRPr="00C64718">
        <w:rPr>
          <w:i/>
        </w:rPr>
        <w:t>PI Coleridge</w:t>
      </w:r>
      <w:r w:rsidR="009A1973">
        <w:rPr>
          <w:i/>
        </w:rPr>
        <w:t>,</w:t>
      </w:r>
      <w:r w:rsidRPr="00C64718">
        <w:rPr>
          <w:i/>
        </w:rPr>
        <w:t xml:space="preserve"> LLC v. Leticia Morales-Gaitan</w:t>
      </w:r>
      <w:r w:rsidRPr="00C64718">
        <w:t>, Case No. CUD-15-651146) is denied in total.  None of these documents are relevant to the issues before us.  (</w:t>
      </w:r>
      <w:r w:rsidRPr="00C64718">
        <w:rPr>
          <w:i/>
        </w:rPr>
        <w:t>Arce</w:t>
      </w:r>
      <w:r w:rsidRPr="00C64718">
        <w:t xml:space="preserve">, </w:t>
      </w:r>
      <w:r w:rsidRPr="00C64718">
        <w:rPr>
          <w:i/>
        </w:rPr>
        <w:t>supra</w:t>
      </w:r>
      <w:r w:rsidRPr="00C64718">
        <w:t xml:space="preserve">, 181 Cal.App.4th </w:t>
      </w:r>
      <w:r w:rsidR="006667EE">
        <w:t>at p. </w:t>
      </w:r>
      <w:r w:rsidR="009A1973">
        <w:t>482</w:t>
      </w:r>
      <w:r w:rsidRPr="00C64718">
        <w:t xml:space="preserve">; </w:t>
      </w:r>
      <w:r w:rsidRPr="00C64718">
        <w:rPr>
          <w:i/>
        </w:rPr>
        <w:t>Mangini</w:t>
      </w:r>
      <w:r w:rsidRPr="00C64718">
        <w:t xml:space="preserve">, </w:t>
      </w:r>
      <w:r w:rsidRPr="00C64718">
        <w:rPr>
          <w:i/>
        </w:rPr>
        <w:t>supra</w:t>
      </w:r>
      <w:r w:rsidRPr="00C64718">
        <w:t>, 7 Cal.4th</w:t>
      </w:r>
      <w:r>
        <w:t xml:space="preserve"> </w:t>
      </w:r>
      <w:r w:rsidR="006667EE">
        <w:t>at p. </w:t>
      </w:r>
      <w:r>
        <w:t>1063.</w:t>
      </w:r>
      <w:r w:rsidRPr="00247011">
        <w:t>)</w:t>
      </w:r>
    </w:p>
  </w:footnote>
  <w:footnote w:id="4">
    <w:p w14:paraId="7EAA7911" w14:textId="4E939DDF" w:rsidR="00F35936" w:rsidRDefault="00F35936">
      <w:pPr>
        <w:pStyle w:val="FootnoteText"/>
      </w:pPr>
      <w:r>
        <w:rPr>
          <w:rStyle w:val="FootnoteReference"/>
        </w:rPr>
        <w:footnoteRef/>
      </w:r>
      <w:r>
        <w:t xml:space="preserve"> </w:t>
      </w:r>
      <w:r>
        <w:tab/>
      </w:r>
      <w:r>
        <w:rPr>
          <w:i/>
        </w:rPr>
        <w:t xml:space="preserve">People v. H&amp;H Properties </w:t>
      </w:r>
      <w:r>
        <w:t xml:space="preserve">(1984) 154 Cal.App.3d 894, one of the cases referenced in </w:t>
      </w:r>
      <w:r>
        <w:rPr>
          <w:i/>
        </w:rPr>
        <w:t>Pieri</w:t>
      </w:r>
      <w:r>
        <w:t>,</w:t>
      </w:r>
      <w:r>
        <w:rPr>
          <w:i/>
        </w:rPr>
        <w:t xml:space="preserve"> </w:t>
      </w:r>
      <w:r>
        <w:t xml:space="preserve">concerned an ordinance with a relocation assistance payment provision, but we deem it inapplicable.  At issue in </w:t>
      </w:r>
      <w:r>
        <w:rPr>
          <w:i/>
        </w:rPr>
        <w:t xml:space="preserve">H&amp;H </w:t>
      </w:r>
      <w:r>
        <w:t>was a 1980 county ordinance requiring developers of condominium conversion projects to pay displaced tenants a $500 moving allowance plus relocation assistance in the amount of “$1,000 or at the tenant’s electi</w:t>
      </w:r>
      <w:r w:rsidR="00BE120E">
        <w:t>on, a sum equal to the current</w:t>
      </w:r>
      <w:r>
        <w:t xml:space="preserve"> monthly rental times the number of years </w:t>
      </w:r>
      <w:r w:rsidR="008349C1">
        <w:t xml:space="preserve">. . . </w:t>
      </w:r>
      <w:r>
        <w:t>a te</w:t>
      </w:r>
      <w:r w:rsidR="00BE120E">
        <w:t>nant has occupied the unit . . . .</w:t>
      </w:r>
      <w:r>
        <w:t>”  (</w:t>
      </w:r>
      <w:r>
        <w:rPr>
          <w:i/>
        </w:rPr>
        <w:t>Id.</w:t>
      </w:r>
      <w:r>
        <w:t xml:space="preserve"> at p. 898, fn.</w:t>
      </w:r>
      <w:r w:rsidR="00E25CC6">
        <w:t xml:space="preserve"> </w:t>
      </w:r>
      <w:r>
        <w:t xml:space="preserve">1.)  The </w:t>
      </w:r>
      <w:r>
        <w:rPr>
          <w:i/>
        </w:rPr>
        <w:t xml:space="preserve">H&amp;H </w:t>
      </w:r>
      <w:r>
        <w:t>court viewed the “formula compensation for future rent increases” to be a reasonable measure.  (</w:t>
      </w:r>
      <w:r>
        <w:rPr>
          <w:i/>
        </w:rPr>
        <w:t>Id.</w:t>
      </w:r>
      <w:r>
        <w:t xml:space="preserve"> at p. 901.)  However, the type of relocation assistance in </w:t>
      </w:r>
      <w:r>
        <w:rPr>
          <w:i/>
        </w:rPr>
        <w:t>H&amp;H</w:t>
      </w:r>
      <w:r>
        <w:t xml:space="preserve"> is distinct from the City’s Rental-Payment-Differential provisions which are based on higher market rents not attributable to a property owner’s decision to leave the rental business.  Further, since the 1980 ordinance in </w:t>
      </w:r>
      <w:r>
        <w:rPr>
          <w:i/>
        </w:rPr>
        <w:t xml:space="preserve">H&amp;H </w:t>
      </w:r>
      <w:r>
        <w:t xml:space="preserve">predated the Ellis Act (enacted in 1985), </w:t>
      </w:r>
      <w:r>
        <w:rPr>
          <w:i/>
        </w:rPr>
        <w:t xml:space="preserve">H&amp;H </w:t>
      </w:r>
      <w:r>
        <w:t xml:space="preserve">cannot stand for the proposition that relocation assistance requirements aimed at addressing future rent increases are allowed under the Act.  </w:t>
      </w:r>
      <w:r>
        <w:rPr>
          <w:i/>
        </w:rPr>
        <w:t xml:space="preserve">H&amp;H </w:t>
      </w:r>
      <w:r>
        <w:t>did not address a preemption challenge, rather it only considered whether the ordinance was a reasonable exercise of the county’s police power.  (</w:t>
      </w:r>
      <w:r>
        <w:rPr>
          <w:i/>
        </w:rPr>
        <w:t>Ibid.</w:t>
      </w:r>
      <w:r>
        <w:t>)</w:t>
      </w:r>
    </w:p>
  </w:footnote>
  <w:footnote w:id="5">
    <w:p w14:paraId="7AF414F1" w14:textId="67DCA9F7" w:rsidR="00F35936" w:rsidRDefault="00F35936">
      <w:pPr>
        <w:pStyle w:val="FootnoteText"/>
      </w:pPr>
      <w:r>
        <w:rPr>
          <w:rStyle w:val="FootnoteReference"/>
        </w:rPr>
        <w:footnoteRef/>
      </w:r>
      <w:r>
        <w:t xml:space="preserve"> </w:t>
      </w:r>
      <w:r>
        <w:tab/>
      </w:r>
      <w:r w:rsidRPr="002A787F">
        <w:rPr>
          <w:i/>
        </w:rPr>
        <w:t>Bullock</w:t>
      </w:r>
      <w:r w:rsidRPr="002A787F">
        <w:t xml:space="preserve"> also refers to “relocation assistance” provisions to hotel residents in the conversion ordinance, amounting to “a displacement allowance of $1,000 per displaced person” and “actual moving expenses not to exceed $300.”  (</w:t>
      </w:r>
      <w:r w:rsidRPr="002A787F">
        <w:rPr>
          <w:i/>
        </w:rPr>
        <w:t>Id.</w:t>
      </w:r>
      <w:r w:rsidRPr="002A787F">
        <w:t xml:space="preserve"> </w:t>
      </w:r>
      <w:r w:rsidR="006667EE" w:rsidRPr="002A787F">
        <w:t>at p. </w:t>
      </w:r>
      <w:r w:rsidR="002A787F" w:rsidRPr="002A787F">
        <w:t>1101, fn. </w:t>
      </w:r>
      <w:r w:rsidR="003D7B7B">
        <w:t>1</w:t>
      </w:r>
      <w:r w:rsidR="002A787F" w:rsidRPr="002A787F">
        <w:t xml:space="preserve">9.) </w:t>
      </w:r>
      <w:r w:rsidRPr="002A787F">
        <w:t xml:space="preserve"> However, these relocation assistances costs were not placed in issue since the “plaintiff advised the trial court of his willingness to comply with </w:t>
      </w:r>
      <w:r w:rsidR="003D7B7B">
        <w:t xml:space="preserve">this </w:t>
      </w:r>
      <w:r w:rsidRPr="002A787F">
        <w:t>requirement.”  (</w:t>
      </w:r>
      <w:r w:rsidRPr="002A787F">
        <w:rPr>
          <w:i/>
        </w:rPr>
        <w:t>Id.</w:t>
      </w:r>
      <w:r w:rsidRPr="002A787F">
        <w:t xml:space="preserve"> at p. 1101.)</w:t>
      </w:r>
    </w:p>
  </w:footnote>
  <w:footnote w:id="6">
    <w:p w14:paraId="174CD917" w14:textId="5D483B7D" w:rsidR="00F35936" w:rsidRDefault="00F35936" w:rsidP="00711D18">
      <w:pPr>
        <w:pStyle w:val="FootnoteText"/>
      </w:pPr>
      <w:r>
        <w:rPr>
          <w:rStyle w:val="FootnoteReference"/>
        </w:rPr>
        <w:footnoteRef/>
      </w:r>
      <w:r>
        <w:t xml:space="preserve"> </w:t>
      </w:r>
      <w:r>
        <w:tab/>
        <w:t>Section 7060.4, subdivision (c)</w:t>
      </w:r>
      <w:r w:rsidR="00571818">
        <w:t xml:space="preserve"> of the Government Code</w:t>
      </w:r>
      <w:r>
        <w:t xml:space="preserve"> sets forth the subject matters about which landlords must notify evicted tenants.  These include notice to the tenant of certain rights under the Ellis Act and notice that the tenant, if disabled or elderly, is entitled to extend her tenancy by a year in</w:t>
      </w:r>
      <w:r w:rsidR="00571818">
        <w:t xml:space="preserve"> certain circumstances.  (See Gov. Code, § 7060.4, subd. </w:t>
      </w:r>
      <w:r>
        <w: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1279" w14:textId="22CA384F" w:rsidR="00F35936" w:rsidRDefault="00F359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7716"/>
    <w:multiLevelType w:val="hybridMultilevel"/>
    <w:tmpl w:val="AA806E4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29B37066"/>
    <w:multiLevelType w:val="hybridMultilevel"/>
    <w:tmpl w:val="7DDE12F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2CB846A2"/>
    <w:multiLevelType w:val="hybridMultilevel"/>
    <w:tmpl w:val="32288714"/>
    <w:lvl w:ilvl="0" w:tplc="1988F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2E01EB"/>
    <w:multiLevelType w:val="hybridMultilevel"/>
    <w:tmpl w:val="0756C99C"/>
    <w:lvl w:ilvl="0" w:tplc="2BFE32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doNotTrackFormatting/>
  <w:defaultTabStop w:val="720"/>
  <w:drawingGridHorizontalSpacing w:val="13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91"/>
    <w:rsid w:val="0000262D"/>
    <w:rsid w:val="00004984"/>
    <w:rsid w:val="00005D82"/>
    <w:rsid w:val="00017319"/>
    <w:rsid w:val="00024CC5"/>
    <w:rsid w:val="000278C0"/>
    <w:rsid w:val="0003119C"/>
    <w:rsid w:val="0003215A"/>
    <w:rsid w:val="000377E7"/>
    <w:rsid w:val="00045645"/>
    <w:rsid w:val="000575E6"/>
    <w:rsid w:val="000616CB"/>
    <w:rsid w:val="000727BD"/>
    <w:rsid w:val="0009023D"/>
    <w:rsid w:val="0009457F"/>
    <w:rsid w:val="0009522B"/>
    <w:rsid w:val="000958A2"/>
    <w:rsid w:val="000A122D"/>
    <w:rsid w:val="000A1517"/>
    <w:rsid w:val="000B7B71"/>
    <w:rsid w:val="000C361A"/>
    <w:rsid w:val="000E4CB5"/>
    <w:rsid w:val="000E675D"/>
    <w:rsid w:val="000F1EBD"/>
    <w:rsid w:val="000F529F"/>
    <w:rsid w:val="0010251D"/>
    <w:rsid w:val="00103D92"/>
    <w:rsid w:val="001063C0"/>
    <w:rsid w:val="00110F83"/>
    <w:rsid w:val="00126A3C"/>
    <w:rsid w:val="001305C5"/>
    <w:rsid w:val="00136771"/>
    <w:rsid w:val="0013705C"/>
    <w:rsid w:val="00137707"/>
    <w:rsid w:val="0013782E"/>
    <w:rsid w:val="00146438"/>
    <w:rsid w:val="00161B3B"/>
    <w:rsid w:val="00164A6F"/>
    <w:rsid w:val="00171500"/>
    <w:rsid w:val="00176605"/>
    <w:rsid w:val="00180699"/>
    <w:rsid w:val="001869F4"/>
    <w:rsid w:val="00192A48"/>
    <w:rsid w:val="001A4329"/>
    <w:rsid w:val="001B2329"/>
    <w:rsid w:val="001B2635"/>
    <w:rsid w:val="001B4F50"/>
    <w:rsid w:val="001B52D0"/>
    <w:rsid w:val="001C37F7"/>
    <w:rsid w:val="001C6B3C"/>
    <w:rsid w:val="001E1467"/>
    <w:rsid w:val="001E34EB"/>
    <w:rsid w:val="001E501F"/>
    <w:rsid w:val="001E65D3"/>
    <w:rsid w:val="001F306E"/>
    <w:rsid w:val="001F3EA5"/>
    <w:rsid w:val="001F5ABB"/>
    <w:rsid w:val="001F6C8D"/>
    <w:rsid w:val="001F7FC1"/>
    <w:rsid w:val="00232958"/>
    <w:rsid w:val="002425A8"/>
    <w:rsid w:val="00246B84"/>
    <w:rsid w:val="00247011"/>
    <w:rsid w:val="002504B0"/>
    <w:rsid w:val="00251E88"/>
    <w:rsid w:val="00263864"/>
    <w:rsid w:val="00264AD0"/>
    <w:rsid w:val="002707D0"/>
    <w:rsid w:val="00270E27"/>
    <w:rsid w:val="00281BD7"/>
    <w:rsid w:val="00285789"/>
    <w:rsid w:val="00286133"/>
    <w:rsid w:val="0029064D"/>
    <w:rsid w:val="00294C6E"/>
    <w:rsid w:val="002954E6"/>
    <w:rsid w:val="00295B60"/>
    <w:rsid w:val="00296C50"/>
    <w:rsid w:val="00297786"/>
    <w:rsid w:val="002A3A9A"/>
    <w:rsid w:val="002A3D8A"/>
    <w:rsid w:val="002A74A6"/>
    <w:rsid w:val="002A787F"/>
    <w:rsid w:val="002B0259"/>
    <w:rsid w:val="002B602F"/>
    <w:rsid w:val="002D0B77"/>
    <w:rsid w:val="002D6B2E"/>
    <w:rsid w:val="002F5003"/>
    <w:rsid w:val="0030245E"/>
    <w:rsid w:val="003050BF"/>
    <w:rsid w:val="00310B0C"/>
    <w:rsid w:val="00312AD6"/>
    <w:rsid w:val="00316DFF"/>
    <w:rsid w:val="003174B4"/>
    <w:rsid w:val="003179B2"/>
    <w:rsid w:val="003435C6"/>
    <w:rsid w:val="00352247"/>
    <w:rsid w:val="00354252"/>
    <w:rsid w:val="0035454F"/>
    <w:rsid w:val="003558CB"/>
    <w:rsid w:val="00357658"/>
    <w:rsid w:val="00374F12"/>
    <w:rsid w:val="00375CD1"/>
    <w:rsid w:val="003A06FE"/>
    <w:rsid w:val="003A30D3"/>
    <w:rsid w:val="003A6E23"/>
    <w:rsid w:val="003C0057"/>
    <w:rsid w:val="003D2E00"/>
    <w:rsid w:val="003D606D"/>
    <w:rsid w:val="003D7B7B"/>
    <w:rsid w:val="003E6F23"/>
    <w:rsid w:val="003F2E35"/>
    <w:rsid w:val="003F6F0C"/>
    <w:rsid w:val="00402E17"/>
    <w:rsid w:val="004130CE"/>
    <w:rsid w:val="00415024"/>
    <w:rsid w:val="00415391"/>
    <w:rsid w:val="004209FF"/>
    <w:rsid w:val="00434809"/>
    <w:rsid w:val="00436831"/>
    <w:rsid w:val="00446CA7"/>
    <w:rsid w:val="00447F50"/>
    <w:rsid w:val="00451CF3"/>
    <w:rsid w:val="004564D7"/>
    <w:rsid w:val="00457AA5"/>
    <w:rsid w:val="00460FB9"/>
    <w:rsid w:val="004629A1"/>
    <w:rsid w:val="00465FD0"/>
    <w:rsid w:val="0048099B"/>
    <w:rsid w:val="00487705"/>
    <w:rsid w:val="004908AC"/>
    <w:rsid w:val="00494D91"/>
    <w:rsid w:val="004A65BE"/>
    <w:rsid w:val="004B0498"/>
    <w:rsid w:val="004B0951"/>
    <w:rsid w:val="004B6893"/>
    <w:rsid w:val="004B73DF"/>
    <w:rsid w:val="004B7B8D"/>
    <w:rsid w:val="004C3063"/>
    <w:rsid w:val="004D16C1"/>
    <w:rsid w:val="004D1B5C"/>
    <w:rsid w:val="004D243E"/>
    <w:rsid w:val="004D321C"/>
    <w:rsid w:val="004D3D1B"/>
    <w:rsid w:val="004D50F6"/>
    <w:rsid w:val="004F394E"/>
    <w:rsid w:val="004F4227"/>
    <w:rsid w:val="00507222"/>
    <w:rsid w:val="00510E24"/>
    <w:rsid w:val="0051151D"/>
    <w:rsid w:val="00513CEA"/>
    <w:rsid w:val="005158C8"/>
    <w:rsid w:val="00530378"/>
    <w:rsid w:val="00543F1B"/>
    <w:rsid w:val="0054400D"/>
    <w:rsid w:val="005456AD"/>
    <w:rsid w:val="00546FCB"/>
    <w:rsid w:val="00547F88"/>
    <w:rsid w:val="0055263D"/>
    <w:rsid w:val="005548E3"/>
    <w:rsid w:val="00561600"/>
    <w:rsid w:val="005649C1"/>
    <w:rsid w:val="00571818"/>
    <w:rsid w:val="005722DF"/>
    <w:rsid w:val="0057703E"/>
    <w:rsid w:val="00584C85"/>
    <w:rsid w:val="00587381"/>
    <w:rsid w:val="00591C98"/>
    <w:rsid w:val="005A0915"/>
    <w:rsid w:val="005B53AA"/>
    <w:rsid w:val="005C02C0"/>
    <w:rsid w:val="005C097F"/>
    <w:rsid w:val="005D4F64"/>
    <w:rsid w:val="005D6593"/>
    <w:rsid w:val="005F047F"/>
    <w:rsid w:val="005F1AC4"/>
    <w:rsid w:val="00605218"/>
    <w:rsid w:val="0061608F"/>
    <w:rsid w:val="00635499"/>
    <w:rsid w:val="006407CF"/>
    <w:rsid w:val="006440D9"/>
    <w:rsid w:val="00651F3A"/>
    <w:rsid w:val="0065779F"/>
    <w:rsid w:val="00662EC6"/>
    <w:rsid w:val="006667EE"/>
    <w:rsid w:val="00671F71"/>
    <w:rsid w:val="0067225A"/>
    <w:rsid w:val="00672F48"/>
    <w:rsid w:val="006A25DF"/>
    <w:rsid w:val="006A6574"/>
    <w:rsid w:val="006A7331"/>
    <w:rsid w:val="006B4662"/>
    <w:rsid w:val="006E1681"/>
    <w:rsid w:val="006E1C30"/>
    <w:rsid w:val="006E7A6E"/>
    <w:rsid w:val="006F3360"/>
    <w:rsid w:val="006F67FB"/>
    <w:rsid w:val="00711D18"/>
    <w:rsid w:val="00716770"/>
    <w:rsid w:val="00716BE7"/>
    <w:rsid w:val="00721737"/>
    <w:rsid w:val="0072196E"/>
    <w:rsid w:val="0072253A"/>
    <w:rsid w:val="007243C6"/>
    <w:rsid w:val="00731487"/>
    <w:rsid w:val="00731800"/>
    <w:rsid w:val="00747835"/>
    <w:rsid w:val="00750EF3"/>
    <w:rsid w:val="00753054"/>
    <w:rsid w:val="007534F6"/>
    <w:rsid w:val="00757A9A"/>
    <w:rsid w:val="007604D3"/>
    <w:rsid w:val="0076153C"/>
    <w:rsid w:val="00767B1E"/>
    <w:rsid w:val="00771331"/>
    <w:rsid w:val="00775D57"/>
    <w:rsid w:val="00776A78"/>
    <w:rsid w:val="007843DB"/>
    <w:rsid w:val="00787077"/>
    <w:rsid w:val="007961C4"/>
    <w:rsid w:val="007969F5"/>
    <w:rsid w:val="007A3909"/>
    <w:rsid w:val="007A3BD6"/>
    <w:rsid w:val="007A42BE"/>
    <w:rsid w:val="007B47EE"/>
    <w:rsid w:val="007B6B8C"/>
    <w:rsid w:val="007C5B7C"/>
    <w:rsid w:val="007D152F"/>
    <w:rsid w:val="007F38B1"/>
    <w:rsid w:val="007F505E"/>
    <w:rsid w:val="00812C09"/>
    <w:rsid w:val="008141A2"/>
    <w:rsid w:val="008146C9"/>
    <w:rsid w:val="00820522"/>
    <w:rsid w:val="00822214"/>
    <w:rsid w:val="008239C7"/>
    <w:rsid w:val="008349C1"/>
    <w:rsid w:val="00836287"/>
    <w:rsid w:val="00845C86"/>
    <w:rsid w:val="00850289"/>
    <w:rsid w:val="00857569"/>
    <w:rsid w:val="00857A27"/>
    <w:rsid w:val="00867900"/>
    <w:rsid w:val="008717F5"/>
    <w:rsid w:val="00872680"/>
    <w:rsid w:val="00881CD7"/>
    <w:rsid w:val="00881E2A"/>
    <w:rsid w:val="00886333"/>
    <w:rsid w:val="00893277"/>
    <w:rsid w:val="0089411B"/>
    <w:rsid w:val="008962DB"/>
    <w:rsid w:val="0089683C"/>
    <w:rsid w:val="008974E9"/>
    <w:rsid w:val="008B1DA2"/>
    <w:rsid w:val="008B24D8"/>
    <w:rsid w:val="008B3F7B"/>
    <w:rsid w:val="008B49D9"/>
    <w:rsid w:val="008B4C10"/>
    <w:rsid w:val="008B7DB4"/>
    <w:rsid w:val="008C4BEE"/>
    <w:rsid w:val="008C78C0"/>
    <w:rsid w:val="008D01F6"/>
    <w:rsid w:val="008D32F3"/>
    <w:rsid w:val="008D62B9"/>
    <w:rsid w:val="008E1217"/>
    <w:rsid w:val="008F0F6A"/>
    <w:rsid w:val="008F1428"/>
    <w:rsid w:val="00900D5E"/>
    <w:rsid w:val="00901BFF"/>
    <w:rsid w:val="00905E45"/>
    <w:rsid w:val="0091289E"/>
    <w:rsid w:val="00922227"/>
    <w:rsid w:val="0092452F"/>
    <w:rsid w:val="00930B86"/>
    <w:rsid w:val="00931FB9"/>
    <w:rsid w:val="00945724"/>
    <w:rsid w:val="00972704"/>
    <w:rsid w:val="0098523B"/>
    <w:rsid w:val="00990A7C"/>
    <w:rsid w:val="00990C82"/>
    <w:rsid w:val="009A1973"/>
    <w:rsid w:val="009A4C2D"/>
    <w:rsid w:val="009A4EF9"/>
    <w:rsid w:val="009A6841"/>
    <w:rsid w:val="009B1549"/>
    <w:rsid w:val="009B29DD"/>
    <w:rsid w:val="009C79AB"/>
    <w:rsid w:val="009D0A29"/>
    <w:rsid w:val="009D7D93"/>
    <w:rsid w:val="009E1C17"/>
    <w:rsid w:val="009E2503"/>
    <w:rsid w:val="009E55BB"/>
    <w:rsid w:val="009E67F6"/>
    <w:rsid w:val="009F5F99"/>
    <w:rsid w:val="00A07BAF"/>
    <w:rsid w:val="00A11C31"/>
    <w:rsid w:val="00A23D65"/>
    <w:rsid w:val="00A307DA"/>
    <w:rsid w:val="00A41FAE"/>
    <w:rsid w:val="00A4546B"/>
    <w:rsid w:val="00A4582E"/>
    <w:rsid w:val="00A459D5"/>
    <w:rsid w:val="00A65922"/>
    <w:rsid w:val="00A6785C"/>
    <w:rsid w:val="00A85365"/>
    <w:rsid w:val="00A85531"/>
    <w:rsid w:val="00A86FEC"/>
    <w:rsid w:val="00AA6D03"/>
    <w:rsid w:val="00AA7D3D"/>
    <w:rsid w:val="00AB09FB"/>
    <w:rsid w:val="00AB1981"/>
    <w:rsid w:val="00AB710E"/>
    <w:rsid w:val="00AC1CC8"/>
    <w:rsid w:val="00B1030B"/>
    <w:rsid w:val="00B16855"/>
    <w:rsid w:val="00B2146C"/>
    <w:rsid w:val="00B21C92"/>
    <w:rsid w:val="00B448D2"/>
    <w:rsid w:val="00B45BF7"/>
    <w:rsid w:val="00B53440"/>
    <w:rsid w:val="00B5637D"/>
    <w:rsid w:val="00B604BF"/>
    <w:rsid w:val="00B61401"/>
    <w:rsid w:val="00B630C2"/>
    <w:rsid w:val="00B65F1F"/>
    <w:rsid w:val="00B70A55"/>
    <w:rsid w:val="00B75477"/>
    <w:rsid w:val="00B7598B"/>
    <w:rsid w:val="00B82EE6"/>
    <w:rsid w:val="00B83234"/>
    <w:rsid w:val="00B93717"/>
    <w:rsid w:val="00B95456"/>
    <w:rsid w:val="00BA31A3"/>
    <w:rsid w:val="00BA5B4A"/>
    <w:rsid w:val="00BB6824"/>
    <w:rsid w:val="00BC3778"/>
    <w:rsid w:val="00BD6224"/>
    <w:rsid w:val="00BE120E"/>
    <w:rsid w:val="00BE5F44"/>
    <w:rsid w:val="00BE68FC"/>
    <w:rsid w:val="00BF3E23"/>
    <w:rsid w:val="00BF464C"/>
    <w:rsid w:val="00C049EE"/>
    <w:rsid w:val="00C27BAB"/>
    <w:rsid w:val="00C32AC0"/>
    <w:rsid w:val="00C3528D"/>
    <w:rsid w:val="00C40D01"/>
    <w:rsid w:val="00C50E5F"/>
    <w:rsid w:val="00C516B3"/>
    <w:rsid w:val="00C5570F"/>
    <w:rsid w:val="00C563B6"/>
    <w:rsid w:val="00C57594"/>
    <w:rsid w:val="00C601AA"/>
    <w:rsid w:val="00C60923"/>
    <w:rsid w:val="00C61B0A"/>
    <w:rsid w:val="00C64718"/>
    <w:rsid w:val="00C6491E"/>
    <w:rsid w:val="00C80CC9"/>
    <w:rsid w:val="00C810CF"/>
    <w:rsid w:val="00C85AC8"/>
    <w:rsid w:val="00C90B8A"/>
    <w:rsid w:val="00C90C46"/>
    <w:rsid w:val="00C91F63"/>
    <w:rsid w:val="00C928AD"/>
    <w:rsid w:val="00CA398B"/>
    <w:rsid w:val="00CA7B90"/>
    <w:rsid w:val="00CA7E75"/>
    <w:rsid w:val="00CB1D51"/>
    <w:rsid w:val="00CB43E4"/>
    <w:rsid w:val="00CC054A"/>
    <w:rsid w:val="00CC1BBF"/>
    <w:rsid w:val="00CC1D1B"/>
    <w:rsid w:val="00CC56A3"/>
    <w:rsid w:val="00CC6437"/>
    <w:rsid w:val="00CD5304"/>
    <w:rsid w:val="00CD7B4F"/>
    <w:rsid w:val="00CE715D"/>
    <w:rsid w:val="00CF4015"/>
    <w:rsid w:val="00CF6AA4"/>
    <w:rsid w:val="00D0552D"/>
    <w:rsid w:val="00D078F1"/>
    <w:rsid w:val="00D21F36"/>
    <w:rsid w:val="00D26C9D"/>
    <w:rsid w:val="00D31A5A"/>
    <w:rsid w:val="00D36C59"/>
    <w:rsid w:val="00D42518"/>
    <w:rsid w:val="00D63EBC"/>
    <w:rsid w:val="00D6557A"/>
    <w:rsid w:val="00D675E3"/>
    <w:rsid w:val="00D73772"/>
    <w:rsid w:val="00D74247"/>
    <w:rsid w:val="00D76F84"/>
    <w:rsid w:val="00D80D7A"/>
    <w:rsid w:val="00D814F4"/>
    <w:rsid w:val="00D83282"/>
    <w:rsid w:val="00D84694"/>
    <w:rsid w:val="00D87998"/>
    <w:rsid w:val="00D91107"/>
    <w:rsid w:val="00DB1C7B"/>
    <w:rsid w:val="00DC6EE2"/>
    <w:rsid w:val="00DE368C"/>
    <w:rsid w:val="00DE7204"/>
    <w:rsid w:val="00DF0B60"/>
    <w:rsid w:val="00DF120D"/>
    <w:rsid w:val="00DF39B6"/>
    <w:rsid w:val="00E13263"/>
    <w:rsid w:val="00E15908"/>
    <w:rsid w:val="00E25CC6"/>
    <w:rsid w:val="00E33761"/>
    <w:rsid w:val="00E40B20"/>
    <w:rsid w:val="00E43429"/>
    <w:rsid w:val="00E55F4E"/>
    <w:rsid w:val="00E57E1A"/>
    <w:rsid w:val="00E67A73"/>
    <w:rsid w:val="00E8237F"/>
    <w:rsid w:val="00E83618"/>
    <w:rsid w:val="00E84465"/>
    <w:rsid w:val="00E95608"/>
    <w:rsid w:val="00EA5A04"/>
    <w:rsid w:val="00EA6E14"/>
    <w:rsid w:val="00EE1ACF"/>
    <w:rsid w:val="00EE2FDE"/>
    <w:rsid w:val="00EF1955"/>
    <w:rsid w:val="00EF19FE"/>
    <w:rsid w:val="00F00150"/>
    <w:rsid w:val="00F014FE"/>
    <w:rsid w:val="00F02451"/>
    <w:rsid w:val="00F0691A"/>
    <w:rsid w:val="00F1198D"/>
    <w:rsid w:val="00F16CB6"/>
    <w:rsid w:val="00F200FB"/>
    <w:rsid w:val="00F22215"/>
    <w:rsid w:val="00F35936"/>
    <w:rsid w:val="00F35A56"/>
    <w:rsid w:val="00F42F24"/>
    <w:rsid w:val="00F44276"/>
    <w:rsid w:val="00F508A0"/>
    <w:rsid w:val="00F5334C"/>
    <w:rsid w:val="00F54228"/>
    <w:rsid w:val="00F54BD3"/>
    <w:rsid w:val="00F61A3B"/>
    <w:rsid w:val="00F63FFD"/>
    <w:rsid w:val="00F75E4B"/>
    <w:rsid w:val="00F811F5"/>
    <w:rsid w:val="00F9317D"/>
    <w:rsid w:val="00F93D55"/>
    <w:rsid w:val="00FA01CF"/>
    <w:rsid w:val="00FA41F9"/>
    <w:rsid w:val="00FA47A6"/>
    <w:rsid w:val="00FB4849"/>
    <w:rsid w:val="00FB5F54"/>
    <w:rsid w:val="00FB7FA8"/>
    <w:rsid w:val="00FC3086"/>
    <w:rsid w:val="00FD0C77"/>
    <w:rsid w:val="00FD626C"/>
    <w:rsid w:val="00FE2364"/>
    <w:rsid w:val="00FE7C0C"/>
    <w:rsid w:val="00FF4538"/>
    <w:rsid w:val="00FF5ED7"/>
    <w:rsid w:val="00FF7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B28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91"/>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D91"/>
    <w:pPr>
      <w:tabs>
        <w:tab w:val="center" w:pos="4680"/>
        <w:tab w:val="right" w:pos="9360"/>
      </w:tabs>
      <w:spacing w:line="240" w:lineRule="auto"/>
    </w:pPr>
  </w:style>
  <w:style w:type="character" w:customStyle="1" w:styleId="HeaderChar">
    <w:name w:val="Header Char"/>
    <w:basedOn w:val="DefaultParagraphFont"/>
    <w:link w:val="Header"/>
    <w:uiPriority w:val="99"/>
    <w:rsid w:val="00494D91"/>
  </w:style>
  <w:style w:type="paragraph" w:styleId="Footer">
    <w:name w:val="footer"/>
    <w:basedOn w:val="Normal"/>
    <w:link w:val="FooterChar"/>
    <w:uiPriority w:val="99"/>
    <w:unhideWhenUsed/>
    <w:rsid w:val="00494D91"/>
    <w:pPr>
      <w:tabs>
        <w:tab w:val="center" w:pos="4680"/>
        <w:tab w:val="right" w:pos="9360"/>
      </w:tabs>
      <w:spacing w:line="240" w:lineRule="auto"/>
    </w:pPr>
  </w:style>
  <w:style w:type="character" w:customStyle="1" w:styleId="FooterChar">
    <w:name w:val="Footer Char"/>
    <w:basedOn w:val="DefaultParagraphFont"/>
    <w:link w:val="Footer"/>
    <w:uiPriority w:val="99"/>
    <w:rsid w:val="00494D91"/>
  </w:style>
  <w:style w:type="character" w:styleId="PageNumber">
    <w:name w:val="page number"/>
    <w:basedOn w:val="DefaultParagraphFont"/>
    <w:uiPriority w:val="99"/>
    <w:semiHidden/>
    <w:unhideWhenUsed/>
    <w:rsid w:val="00494D91"/>
  </w:style>
  <w:style w:type="paragraph" w:styleId="FootnoteText">
    <w:name w:val="footnote text"/>
    <w:link w:val="FootnoteTextChar"/>
    <w:uiPriority w:val="99"/>
    <w:unhideWhenUsed/>
    <w:rsid w:val="00494D91"/>
    <w:pPr>
      <w:spacing w:line="240" w:lineRule="auto"/>
    </w:pPr>
    <w:rPr>
      <w:szCs w:val="20"/>
    </w:rPr>
  </w:style>
  <w:style w:type="character" w:customStyle="1" w:styleId="FootnoteTextChar">
    <w:name w:val="Footnote Text Char"/>
    <w:basedOn w:val="DefaultParagraphFont"/>
    <w:link w:val="FootnoteText"/>
    <w:uiPriority w:val="99"/>
    <w:rsid w:val="00494D91"/>
    <w:rPr>
      <w:szCs w:val="20"/>
    </w:rPr>
  </w:style>
  <w:style w:type="paragraph" w:styleId="ListParagraph">
    <w:name w:val="List Paragraph"/>
    <w:basedOn w:val="Normal"/>
    <w:uiPriority w:val="34"/>
    <w:qFormat/>
    <w:rsid w:val="00494D91"/>
    <w:pPr>
      <w:ind w:left="720"/>
      <w:contextualSpacing/>
    </w:pPr>
  </w:style>
  <w:style w:type="character" w:styleId="CommentReference">
    <w:name w:val="annotation reference"/>
    <w:basedOn w:val="DefaultParagraphFont"/>
    <w:uiPriority w:val="99"/>
    <w:semiHidden/>
    <w:unhideWhenUsed/>
    <w:rsid w:val="00494D91"/>
    <w:rPr>
      <w:sz w:val="16"/>
      <w:szCs w:val="16"/>
    </w:rPr>
  </w:style>
  <w:style w:type="paragraph" w:styleId="CommentText">
    <w:name w:val="annotation text"/>
    <w:basedOn w:val="Normal"/>
    <w:link w:val="CommentTextChar"/>
    <w:uiPriority w:val="99"/>
    <w:semiHidden/>
    <w:unhideWhenUsed/>
    <w:rsid w:val="00494D91"/>
    <w:pPr>
      <w:spacing w:line="240" w:lineRule="auto"/>
    </w:pPr>
    <w:rPr>
      <w:sz w:val="20"/>
      <w:szCs w:val="20"/>
    </w:rPr>
  </w:style>
  <w:style w:type="character" w:customStyle="1" w:styleId="CommentTextChar">
    <w:name w:val="Comment Text Char"/>
    <w:basedOn w:val="DefaultParagraphFont"/>
    <w:link w:val="CommentText"/>
    <w:uiPriority w:val="99"/>
    <w:semiHidden/>
    <w:rsid w:val="00494D91"/>
    <w:rPr>
      <w:sz w:val="20"/>
      <w:szCs w:val="20"/>
    </w:rPr>
  </w:style>
  <w:style w:type="paragraph" w:styleId="CommentSubject">
    <w:name w:val="annotation subject"/>
    <w:basedOn w:val="CommentText"/>
    <w:next w:val="CommentText"/>
    <w:link w:val="CommentSubjectChar"/>
    <w:uiPriority w:val="99"/>
    <w:semiHidden/>
    <w:unhideWhenUsed/>
    <w:rsid w:val="00494D91"/>
    <w:rPr>
      <w:b/>
      <w:bCs/>
    </w:rPr>
  </w:style>
  <w:style w:type="character" w:customStyle="1" w:styleId="CommentSubjectChar">
    <w:name w:val="Comment Subject Char"/>
    <w:basedOn w:val="CommentTextChar"/>
    <w:link w:val="CommentSubject"/>
    <w:uiPriority w:val="99"/>
    <w:semiHidden/>
    <w:rsid w:val="00494D91"/>
    <w:rPr>
      <w:b/>
      <w:bCs/>
      <w:sz w:val="20"/>
      <w:szCs w:val="20"/>
    </w:rPr>
  </w:style>
  <w:style w:type="paragraph" w:styleId="BalloonText">
    <w:name w:val="Balloon Text"/>
    <w:basedOn w:val="Normal"/>
    <w:link w:val="BalloonTextChar"/>
    <w:uiPriority w:val="99"/>
    <w:semiHidden/>
    <w:unhideWhenUsed/>
    <w:rsid w:val="00494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91"/>
    <w:rPr>
      <w:rFonts w:ascii="Tahoma" w:hAnsi="Tahoma" w:cs="Tahoma"/>
      <w:sz w:val="16"/>
      <w:szCs w:val="16"/>
    </w:rPr>
  </w:style>
  <w:style w:type="character" w:customStyle="1" w:styleId="apple-converted-space">
    <w:name w:val="apple-converted-space"/>
    <w:basedOn w:val="DefaultParagraphFont"/>
    <w:rsid w:val="00494D91"/>
  </w:style>
  <w:style w:type="character" w:styleId="Hyperlink">
    <w:name w:val="Hyperlink"/>
    <w:basedOn w:val="DefaultParagraphFont"/>
    <w:uiPriority w:val="99"/>
    <w:unhideWhenUsed/>
    <w:rsid w:val="00494D91"/>
    <w:rPr>
      <w:color w:val="0000FF"/>
      <w:u w:val="single"/>
    </w:rPr>
  </w:style>
  <w:style w:type="character" w:styleId="Emphasis">
    <w:name w:val="Emphasis"/>
    <w:basedOn w:val="DefaultParagraphFont"/>
    <w:uiPriority w:val="20"/>
    <w:qFormat/>
    <w:rsid w:val="00494D91"/>
    <w:rPr>
      <w:i/>
      <w:iCs/>
    </w:rPr>
  </w:style>
  <w:style w:type="character" w:customStyle="1" w:styleId="cosearchterm">
    <w:name w:val="co_searchterm"/>
    <w:basedOn w:val="DefaultParagraphFont"/>
    <w:rsid w:val="00494D91"/>
  </w:style>
  <w:style w:type="character" w:styleId="FootnoteReference">
    <w:name w:val="footnote reference"/>
    <w:basedOn w:val="DefaultParagraphFont"/>
    <w:uiPriority w:val="99"/>
    <w:semiHidden/>
    <w:unhideWhenUsed/>
    <w:rsid w:val="00494D91"/>
    <w:rPr>
      <w:vertAlign w:val="superscript"/>
    </w:rPr>
  </w:style>
  <w:style w:type="paragraph" w:styleId="EndnoteText">
    <w:name w:val="endnote text"/>
    <w:basedOn w:val="Normal"/>
    <w:link w:val="EndnoteTextChar"/>
    <w:uiPriority w:val="99"/>
    <w:semiHidden/>
    <w:unhideWhenUsed/>
    <w:rsid w:val="00494D91"/>
    <w:pPr>
      <w:spacing w:line="240" w:lineRule="auto"/>
    </w:pPr>
    <w:rPr>
      <w:sz w:val="20"/>
      <w:szCs w:val="20"/>
    </w:rPr>
  </w:style>
  <w:style w:type="character" w:customStyle="1" w:styleId="EndnoteTextChar">
    <w:name w:val="Endnote Text Char"/>
    <w:basedOn w:val="DefaultParagraphFont"/>
    <w:link w:val="EndnoteText"/>
    <w:uiPriority w:val="99"/>
    <w:semiHidden/>
    <w:rsid w:val="00494D91"/>
    <w:rPr>
      <w:sz w:val="20"/>
      <w:szCs w:val="20"/>
    </w:rPr>
  </w:style>
  <w:style w:type="character" w:styleId="EndnoteReference">
    <w:name w:val="endnote reference"/>
    <w:basedOn w:val="DefaultParagraphFont"/>
    <w:uiPriority w:val="99"/>
    <w:semiHidden/>
    <w:unhideWhenUsed/>
    <w:rsid w:val="00494D91"/>
    <w:rPr>
      <w:vertAlign w:val="superscript"/>
    </w:rPr>
  </w:style>
  <w:style w:type="paragraph" w:styleId="Revision">
    <w:name w:val="Revision"/>
    <w:hidden/>
    <w:uiPriority w:val="99"/>
    <w:semiHidden/>
    <w:rsid w:val="00494D9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91"/>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D91"/>
    <w:pPr>
      <w:tabs>
        <w:tab w:val="center" w:pos="4680"/>
        <w:tab w:val="right" w:pos="9360"/>
      </w:tabs>
      <w:spacing w:line="240" w:lineRule="auto"/>
    </w:pPr>
  </w:style>
  <w:style w:type="character" w:customStyle="1" w:styleId="HeaderChar">
    <w:name w:val="Header Char"/>
    <w:basedOn w:val="DefaultParagraphFont"/>
    <w:link w:val="Header"/>
    <w:uiPriority w:val="99"/>
    <w:rsid w:val="00494D91"/>
  </w:style>
  <w:style w:type="paragraph" w:styleId="Footer">
    <w:name w:val="footer"/>
    <w:basedOn w:val="Normal"/>
    <w:link w:val="FooterChar"/>
    <w:uiPriority w:val="99"/>
    <w:unhideWhenUsed/>
    <w:rsid w:val="00494D91"/>
    <w:pPr>
      <w:tabs>
        <w:tab w:val="center" w:pos="4680"/>
        <w:tab w:val="right" w:pos="9360"/>
      </w:tabs>
      <w:spacing w:line="240" w:lineRule="auto"/>
    </w:pPr>
  </w:style>
  <w:style w:type="character" w:customStyle="1" w:styleId="FooterChar">
    <w:name w:val="Footer Char"/>
    <w:basedOn w:val="DefaultParagraphFont"/>
    <w:link w:val="Footer"/>
    <w:uiPriority w:val="99"/>
    <w:rsid w:val="00494D91"/>
  </w:style>
  <w:style w:type="character" w:styleId="PageNumber">
    <w:name w:val="page number"/>
    <w:basedOn w:val="DefaultParagraphFont"/>
    <w:uiPriority w:val="99"/>
    <w:semiHidden/>
    <w:unhideWhenUsed/>
    <w:rsid w:val="00494D91"/>
  </w:style>
  <w:style w:type="paragraph" w:styleId="FootnoteText">
    <w:name w:val="footnote text"/>
    <w:link w:val="FootnoteTextChar"/>
    <w:uiPriority w:val="99"/>
    <w:unhideWhenUsed/>
    <w:rsid w:val="00494D91"/>
    <w:pPr>
      <w:spacing w:line="240" w:lineRule="auto"/>
    </w:pPr>
    <w:rPr>
      <w:szCs w:val="20"/>
    </w:rPr>
  </w:style>
  <w:style w:type="character" w:customStyle="1" w:styleId="FootnoteTextChar">
    <w:name w:val="Footnote Text Char"/>
    <w:basedOn w:val="DefaultParagraphFont"/>
    <w:link w:val="FootnoteText"/>
    <w:uiPriority w:val="99"/>
    <w:rsid w:val="00494D91"/>
    <w:rPr>
      <w:szCs w:val="20"/>
    </w:rPr>
  </w:style>
  <w:style w:type="paragraph" w:styleId="ListParagraph">
    <w:name w:val="List Paragraph"/>
    <w:basedOn w:val="Normal"/>
    <w:uiPriority w:val="34"/>
    <w:qFormat/>
    <w:rsid w:val="00494D91"/>
    <w:pPr>
      <w:ind w:left="720"/>
      <w:contextualSpacing/>
    </w:pPr>
  </w:style>
  <w:style w:type="character" w:styleId="CommentReference">
    <w:name w:val="annotation reference"/>
    <w:basedOn w:val="DefaultParagraphFont"/>
    <w:uiPriority w:val="99"/>
    <w:semiHidden/>
    <w:unhideWhenUsed/>
    <w:rsid w:val="00494D91"/>
    <w:rPr>
      <w:sz w:val="16"/>
      <w:szCs w:val="16"/>
    </w:rPr>
  </w:style>
  <w:style w:type="paragraph" w:styleId="CommentText">
    <w:name w:val="annotation text"/>
    <w:basedOn w:val="Normal"/>
    <w:link w:val="CommentTextChar"/>
    <w:uiPriority w:val="99"/>
    <w:semiHidden/>
    <w:unhideWhenUsed/>
    <w:rsid w:val="00494D91"/>
    <w:pPr>
      <w:spacing w:line="240" w:lineRule="auto"/>
    </w:pPr>
    <w:rPr>
      <w:sz w:val="20"/>
      <w:szCs w:val="20"/>
    </w:rPr>
  </w:style>
  <w:style w:type="character" w:customStyle="1" w:styleId="CommentTextChar">
    <w:name w:val="Comment Text Char"/>
    <w:basedOn w:val="DefaultParagraphFont"/>
    <w:link w:val="CommentText"/>
    <w:uiPriority w:val="99"/>
    <w:semiHidden/>
    <w:rsid w:val="00494D91"/>
    <w:rPr>
      <w:sz w:val="20"/>
      <w:szCs w:val="20"/>
    </w:rPr>
  </w:style>
  <w:style w:type="paragraph" w:styleId="CommentSubject">
    <w:name w:val="annotation subject"/>
    <w:basedOn w:val="CommentText"/>
    <w:next w:val="CommentText"/>
    <w:link w:val="CommentSubjectChar"/>
    <w:uiPriority w:val="99"/>
    <w:semiHidden/>
    <w:unhideWhenUsed/>
    <w:rsid w:val="00494D91"/>
    <w:rPr>
      <w:b/>
      <w:bCs/>
    </w:rPr>
  </w:style>
  <w:style w:type="character" w:customStyle="1" w:styleId="CommentSubjectChar">
    <w:name w:val="Comment Subject Char"/>
    <w:basedOn w:val="CommentTextChar"/>
    <w:link w:val="CommentSubject"/>
    <w:uiPriority w:val="99"/>
    <w:semiHidden/>
    <w:rsid w:val="00494D91"/>
    <w:rPr>
      <w:b/>
      <w:bCs/>
      <w:sz w:val="20"/>
      <w:szCs w:val="20"/>
    </w:rPr>
  </w:style>
  <w:style w:type="paragraph" w:styleId="BalloonText">
    <w:name w:val="Balloon Text"/>
    <w:basedOn w:val="Normal"/>
    <w:link w:val="BalloonTextChar"/>
    <w:uiPriority w:val="99"/>
    <w:semiHidden/>
    <w:unhideWhenUsed/>
    <w:rsid w:val="00494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91"/>
    <w:rPr>
      <w:rFonts w:ascii="Tahoma" w:hAnsi="Tahoma" w:cs="Tahoma"/>
      <w:sz w:val="16"/>
      <w:szCs w:val="16"/>
    </w:rPr>
  </w:style>
  <w:style w:type="character" w:customStyle="1" w:styleId="apple-converted-space">
    <w:name w:val="apple-converted-space"/>
    <w:basedOn w:val="DefaultParagraphFont"/>
    <w:rsid w:val="00494D91"/>
  </w:style>
  <w:style w:type="character" w:styleId="Hyperlink">
    <w:name w:val="Hyperlink"/>
    <w:basedOn w:val="DefaultParagraphFont"/>
    <w:uiPriority w:val="99"/>
    <w:unhideWhenUsed/>
    <w:rsid w:val="00494D91"/>
    <w:rPr>
      <w:color w:val="0000FF"/>
      <w:u w:val="single"/>
    </w:rPr>
  </w:style>
  <w:style w:type="character" w:styleId="Emphasis">
    <w:name w:val="Emphasis"/>
    <w:basedOn w:val="DefaultParagraphFont"/>
    <w:uiPriority w:val="20"/>
    <w:qFormat/>
    <w:rsid w:val="00494D91"/>
    <w:rPr>
      <w:i/>
      <w:iCs/>
    </w:rPr>
  </w:style>
  <w:style w:type="character" w:customStyle="1" w:styleId="cosearchterm">
    <w:name w:val="co_searchterm"/>
    <w:basedOn w:val="DefaultParagraphFont"/>
    <w:rsid w:val="00494D91"/>
  </w:style>
  <w:style w:type="character" w:styleId="FootnoteReference">
    <w:name w:val="footnote reference"/>
    <w:basedOn w:val="DefaultParagraphFont"/>
    <w:uiPriority w:val="99"/>
    <w:semiHidden/>
    <w:unhideWhenUsed/>
    <w:rsid w:val="00494D91"/>
    <w:rPr>
      <w:vertAlign w:val="superscript"/>
    </w:rPr>
  </w:style>
  <w:style w:type="paragraph" w:styleId="EndnoteText">
    <w:name w:val="endnote text"/>
    <w:basedOn w:val="Normal"/>
    <w:link w:val="EndnoteTextChar"/>
    <w:uiPriority w:val="99"/>
    <w:semiHidden/>
    <w:unhideWhenUsed/>
    <w:rsid w:val="00494D91"/>
    <w:pPr>
      <w:spacing w:line="240" w:lineRule="auto"/>
    </w:pPr>
    <w:rPr>
      <w:sz w:val="20"/>
      <w:szCs w:val="20"/>
    </w:rPr>
  </w:style>
  <w:style w:type="character" w:customStyle="1" w:styleId="EndnoteTextChar">
    <w:name w:val="Endnote Text Char"/>
    <w:basedOn w:val="DefaultParagraphFont"/>
    <w:link w:val="EndnoteText"/>
    <w:uiPriority w:val="99"/>
    <w:semiHidden/>
    <w:rsid w:val="00494D91"/>
    <w:rPr>
      <w:sz w:val="20"/>
      <w:szCs w:val="20"/>
    </w:rPr>
  </w:style>
  <w:style w:type="character" w:styleId="EndnoteReference">
    <w:name w:val="endnote reference"/>
    <w:basedOn w:val="DefaultParagraphFont"/>
    <w:uiPriority w:val="99"/>
    <w:semiHidden/>
    <w:unhideWhenUsed/>
    <w:rsid w:val="00494D91"/>
    <w:rPr>
      <w:vertAlign w:val="superscript"/>
    </w:rPr>
  </w:style>
  <w:style w:type="paragraph" w:styleId="Revision">
    <w:name w:val="Revision"/>
    <w:hidden/>
    <w:uiPriority w:val="99"/>
    <w:semiHidden/>
    <w:rsid w:val="00494D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4475">
      <w:bodyDiv w:val="1"/>
      <w:marLeft w:val="0"/>
      <w:marRight w:val="0"/>
      <w:marTop w:val="0"/>
      <w:marBottom w:val="0"/>
      <w:divBdr>
        <w:top w:val="none" w:sz="0" w:space="0" w:color="auto"/>
        <w:left w:val="none" w:sz="0" w:space="0" w:color="auto"/>
        <w:bottom w:val="none" w:sz="0" w:space="0" w:color="auto"/>
        <w:right w:val="none" w:sz="0" w:space="0" w:color="auto"/>
      </w:divBdr>
      <w:divsChild>
        <w:div w:id="1563715454">
          <w:marLeft w:val="0"/>
          <w:marRight w:val="0"/>
          <w:marTop w:val="0"/>
          <w:marBottom w:val="0"/>
          <w:divBdr>
            <w:top w:val="none" w:sz="0" w:space="0" w:color="auto"/>
            <w:left w:val="none" w:sz="0" w:space="0" w:color="auto"/>
            <w:bottom w:val="none" w:sz="0" w:space="0" w:color="auto"/>
            <w:right w:val="none" w:sz="0" w:space="0" w:color="auto"/>
          </w:divBdr>
          <w:divsChild>
            <w:div w:id="13771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829">
      <w:bodyDiv w:val="1"/>
      <w:marLeft w:val="0"/>
      <w:marRight w:val="0"/>
      <w:marTop w:val="0"/>
      <w:marBottom w:val="0"/>
      <w:divBdr>
        <w:top w:val="none" w:sz="0" w:space="0" w:color="auto"/>
        <w:left w:val="none" w:sz="0" w:space="0" w:color="auto"/>
        <w:bottom w:val="none" w:sz="0" w:space="0" w:color="auto"/>
        <w:right w:val="none" w:sz="0" w:space="0" w:color="auto"/>
      </w:divBdr>
      <w:divsChild>
        <w:div w:id="638002722">
          <w:marLeft w:val="0"/>
          <w:marRight w:val="0"/>
          <w:marTop w:val="0"/>
          <w:marBottom w:val="0"/>
          <w:divBdr>
            <w:top w:val="none" w:sz="0" w:space="0" w:color="auto"/>
            <w:left w:val="none" w:sz="0" w:space="0" w:color="auto"/>
            <w:bottom w:val="none" w:sz="0" w:space="0" w:color="auto"/>
            <w:right w:val="none" w:sz="0" w:space="0" w:color="auto"/>
          </w:divBdr>
          <w:divsChild>
            <w:div w:id="547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471">
      <w:bodyDiv w:val="1"/>
      <w:marLeft w:val="0"/>
      <w:marRight w:val="0"/>
      <w:marTop w:val="0"/>
      <w:marBottom w:val="0"/>
      <w:divBdr>
        <w:top w:val="none" w:sz="0" w:space="0" w:color="auto"/>
        <w:left w:val="none" w:sz="0" w:space="0" w:color="auto"/>
        <w:bottom w:val="none" w:sz="0" w:space="0" w:color="auto"/>
        <w:right w:val="none" w:sz="0" w:space="0" w:color="auto"/>
      </w:divBdr>
      <w:divsChild>
        <w:div w:id="172914229">
          <w:marLeft w:val="0"/>
          <w:marRight w:val="0"/>
          <w:marTop w:val="0"/>
          <w:marBottom w:val="0"/>
          <w:divBdr>
            <w:top w:val="none" w:sz="0" w:space="0" w:color="auto"/>
            <w:left w:val="none" w:sz="0" w:space="0" w:color="auto"/>
            <w:bottom w:val="none" w:sz="0" w:space="0" w:color="auto"/>
            <w:right w:val="none" w:sz="0" w:space="0" w:color="auto"/>
          </w:divBdr>
          <w:divsChild>
            <w:div w:id="10358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2348">
      <w:bodyDiv w:val="1"/>
      <w:marLeft w:val="0"/>
      <w:marRight w:val="0"/>
      <w:marTop w:val="0"/>
      <w:marBottom w:val="0"/>
      <w:divBdr>
        <w:top w:val="none" w:sz="0" w:space="0" w:color="auto"/>
        <w:left w:val="none" w:sz="0" w:space="0" w:color="auto"/>
        <w:bottom w:val="none" w:sz="0" w:space="0" w:color="auto"/>
        <w:right w:val="none" w:sz="0" w:space="0" w:color="auto"/>
      </w:divBdr>
      <w:divsChild>
        <w:div w:id="1627931092">
          <w:marLeft w:val="0"/>
          <w:marRight w:val="0"/>
          <w:marTop w:val="0"/>
          <w:marBottom w:val="0"/>
          <w:divBdr>
            <w:top w:val="none" w:sz="0" w:space="0" w:color="auto"/>
            <w:left w:val="none" w:sz="0" w:space="0" w:color="auto"/>
            <w:bottom w:val="none" w:sz="0" w:space="0" w:color="auto"/>
            <w:right w:val="none" w:sz="0" w:space="0" w:color="auto"/>
          </w:divBdr>
          <w:divsChild>
            <w:div w:id="1402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6271">
      <w:bodyDiv w:val="1"/>
      <w:marLeft w:val="0"/>
      <w:marRight w:val="0"/>
      <w:marTop w:val="0"/>
      <w:marBottom w:val="0"/>
      <w:divBdr>
        <w:top w:val="none" w:sz="0" w:space="0" w:color="auto"/>
        <w:left w:val="none" w:sz="0" w:space="0" w:color="auto"/>
        <w:bottom w:val="none" w:sz="0" w:space="0" w:color="auto"/>
        <w:right w:val="none" w:sz="0" w:space="0" w:color="auto"/>
      </w:divBdr>
      <w:divsChild>
        <w:div w:id="571427638">
          <w:marLeft w:val="0"/>
          <w:marRight w:val="0"/>
          <w:marTop w:val="0"/>
          <w:marBottom w:val="0"/>
          <w:divBdr>
            <w:top w:val="none" w:sz="0" w:space="0" w:color="auto"/>
            <w:left w:val="none" w:sz="0" w:space="0" w:color="auto"/>
            <w:bottom w:val="none" w:sz="0" w:space="0" w:color="auto"/>
            <w:right w:val="none" w:sz="0" w:space="0" w:color="auto"/>
          </w:divBdr>
          <w:divsChild>
            <w:div w:id="21113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551">
      <w:bodyDiv w:val="1"/>
      <w:marLeft w:val="0"/>
      <w:marRight w:val="0"/>
      <w:marTop w:val="0"/>
      <w:marBottom w:val="0"/>
      <w:divBdr>
        <w:top w:val="none" w:sz="0" w:space="0" w:color="auto"/>
        <w:left w:val="none" w:sz="0" w:space="0" w:color="auto"/>
        <w:bottom w:val="none" w:sz="0" w:space="0" w:color="auto"/>
        <w:right w:val="none" w:sz="0" w:space="0" w:color="auto"/>
      </w:divBdr>
      <w:divsChild>
        <w:div w:id="1722092385">
          <w:marLeft w:val="0"/>
          <w:marRight w:val="0"/>
          <w:marTop w:val="0"/>
          <w:marBottom w:val="0"/>
          <w:divBdr>
            <w:top w:val="none" w:sz="0" w:space="0" w:color="auto"/>
            <w:left w:val="none" w:sz="0" w:space="0" w:color="auto"/>
            <w:bottom w:val="none" w:sz="0" w:space="0" w:color="auto"/>
            <w:right w:val="none" w:sz="0" w:space="0" w:color="auto"/>
          </w:divBdr>
          <w:divsChild>
            <w:div w:id="1011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sChild>
        <w:div w:id="1382435622">
          <w:marLeft w:val="0"/>
          <w:marRight w:val="0"/>
          <w:marTop w:val="0"/>
          <w:marBottom w:val="0"/>
          <w:divBdr>
            <w:top w:val="none" w:sz="0" w:space="0" w:color="auto"/>
            <w:left w:val="none" w:sz="0" w:space="0" w:color="auto"/>
            <w:bottom w:val="none" w:sz="0" w:space="0" w:color="auto"/>
            <w:right w:val="none" w:sz="0" w:space="0" w:color="auto"/>
          </w:divBdr>
          <w:divsChild>
            <w:div w:id="931159821">
              <w:marLeft w:val="0"/>
              <w:marRight w:val="0"/>
              <w:marTop w:val="0"/>
              <w:marBottom w:val="0"/>
              <w:divBdr>
                <w:top w:val="none" w:sz="0" w:space="0" w:color="auto"/>
                <w:left w:val="none" w:sz="0" w:space="0" w:color="auto"/>
                <w:bottom w:val="none" w:sz="0" w:space="0" w:color="auto"/>
                <w:right w:val="none" w:sz="0" w:space="0" w:color="auto"/>
              </w:divBdr>
            </w:div>
            <w:div w:id="220484021">
              <w:marLeft w:val="0"/>
              <w:marRight w:val="0"/>
              <w:marTop w:val="0"/>
              <w:marBottom w:val="0"/>
              <w:divBdr>
                <w:top w:val="none" w:sz="0" w:space="0" w:color="auto"/>
                <w:left w:val="none" w:sz="0" w:space="0" w:color="auto"/>
                <w:bottom w:val="none" w:sz="0" w:space="0" w:color="auto"/>
                <w:right w:val="none" w:sz="0" w:space="0" w:color="auto"/>
              </w:divBdr>
              <w:divsChild>
                <w:div w:id="737247034">
                  <w:marLeft w:val="0"/>
                  <w:marRight w:val="0"/>
                  <w:marTop w:val="0"/>
                  <w:marBottom w:val="0"/>
                  <w:divBdr>
                    <w:top w:val="none" w:sz="0" w:space="0" w:color="auto"/>
                    <w:left w:val="none" w:sz="0" w:space="0" w:color="auto"/>
                    <w:bottom w:val="none" w:sz="0" w:space="0" w:color="auto"/>
                    <w:right w:val="none" w:sz="0" w:space="0" w:color="auto"/>
                  </w:divBdr>
                </w:div>
              </w:divsChild>
            </w:div>
            <w:div w:id="1743020475">
              <w:marLeft w:val="0"/>
              <w:marRight w:val="0"/>
              <w:marTop w:val="0"/>
              <w:marBottom w:val="0"/>
              <w:divBdr>
                <w:top w:val="none" w:sz="0" w:space="0" w:color="auto"/>
                <w:left w:val="none" w:sz="0" w:space="0" w:color="auto"/>
                <w:bottom w:val="none" w:sz="0" w:space="0" w:color="auto"/>
                <w:right w:val="none" w:sz="0" w:space="0" w:color="auto"/>
              </w:divBdr>
              <w:divsChild>
                <w:div w:id="817959897">
                  <w:marLeft w:val="0"/>
                  <w:marRight w:val="0"/>
                  <w:marTop w:val="0"/>
                  <w:marBottom w:val="0"/>
                  <w:divBdr>
                    <w:top w:val="none" w:sz="0" w:space="0" w:color="auto"/>
                    <w:left w:val="none" w:sz="0" w:space="0" w:color="auto"/>
                    <w:bottom w:val="none" w:sz="0" w:space="0" w:color="auto"/>
                    <w:right w:val="none" w:sz="0" w:space="0" w:color="auto"/>
                  </w:divBdr>
                </w:div>
              </w:divsChild>
            </w:div>
            <w:div w:id="17934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7051">
      <w:bodyDiv w:val="1"/>
      <w:marLeft w:val="0"/>
      <w:marRight w:val="0"/>
      <w:marTop w:val="0"/>
      <w:marBottom w:val="0"/>
      <w:divBdr>
        <w:top w:val="none" w:sz="0" w:space="0" w:color="auto"/>
        <w:left w:val="none" w:sz="0" w:space="0" w:color="auto"/>
        <w:bottom w:val="none" w:sz="0" w:space="0" w:color="auto"/>
        <w:right w:val="none" w:sz="0" w:space="0" w:color="auto"/>
      </w:divBdr>
      <w:divsChild>
        <w:div w:id="989015854">
          <w:marLeft w:val="0"/>
          <w:marRight w:val="0"/>
          <w:marTop w:val="0"/>
          <w:marBottom w:val="0"/>
          <w:divBdr>
            <w:top w:val="none" w:sz="0" w:space="0" w:color="auto"/>
            <w:left w:val="none" w:sz="0" w:space="0" w:color="auto"/>
            <w:bottom w:val="none" w:sz="0" w:space="0" w:color="auto"/>
            <w:right w:val="none" w:sz="0" w:space="0" w:color="auto"/>
          </w:divBdr>
          <w:divsChild>
            <w:div w:id="16145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55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458">
          <w:marLeft w:val="0"/>
          <w:marRight w:val="0"/>
          <w:marTop w:val="0"/>
          <w:marBottom w:val="0"/>
          <w:divBdr>
            <w:top w:val="none" w:sz="0" w:space="0" w:color="auto"/>
            <w:left w:val="none" w:sz="0" w:space="0" w:color="auto"/>
            <w:bottom w:val="none" w:sz="0" w:space="0" w:color="auto"/>
            <w:right w:val="none" w:sz="0" w:space="0" w:color="auto"/>
          </w:divBdr>
          <w:divsChild>
            <w:div w:id="1164130589">
              <w:marLeft w:val="0"/>
              <w:marRight w:val="0"/>
              <w:marTop w:val="0"/>
              <w:marBottom w:val="0"/>
              <w:divBdr>
                <w:top w:val="none" w:sz="0" w:space="0" w:color="auto"/>
                <w:left w:val="none" w:sz="0" w:space="0" w:color="auto"/>
                <w:bottom w:val="none" w:sz="0" w:space="0" w:color="auto"/>
                <w:right w:val="none" w:sz="0" w:space="0" w:color="auto"/>
              </w:divBdr>
              <w:divsChild>
                <w:div w:id="1304500798">
                  <w:marLeft w:val="0"/>
                  <w:marRight w:val="0"/>
                  <w:marTop w:val="0"/>
                  <w:marBottom w:val="0"/>
                  <w:divBdr>
                    <w:top w:val="none" w:sz="0" w:space="0" w:color="auto"/>
                    <w:left w:val="none" w:sz="0" w:space="0" w:color="auto"/>
                    <w:bottom w:val="none" w:sz="0" w:space="0" w:color="auto"/>
                    <w:right w:val="none" w:sz="0" w:space="0" w:color="auto"/>
                  </w:divBdr>
                </w:div>
              </w:divsChild>
            </w:div>
            <w:div w:id="1680961001">
              <w:marLeft w:val="0"/>
              <w:marRight w:val="0"/>
              <w:marTop w:val="0"/>
              <w:marBottom w:val="0"/>
              <w:divBdr>
                <w:top w:val="none" w:sz="0" w:space="0" w:color="auto"/>
                <w:left w:val="none" w:sz="0" w:space="0" w:color="auto"/>
                <w:bottom w:val="none" w:sz="0" w:space="0" w:color="auto"/>
                <w:right w:val="none" w:sz="0" w:space="0" w:color="auto"/>
              </w:divBdr>
              <w:divsChild>
                <w:div w:id="515652708">
                  <w:marLeft w:val="0"/>
                  <w:marRight w:val="0"/>
                  <w:marTop w:val="0"/>
                  <w:marBottom w:val="0"/>
                  <w:divBdr>
                    <w:top w:val="none" w:sz="0" w:space="0" w:color="auto"/>
                    <w:left w:val="none" w:sz="0" w:space="0" w:color="auto"/>
                    <w:bottom w:val="none" w:sz="0" w:space="0" w:color="auto"/>
                    <w:right w:val="none" w:sz="0" w:space="0" w:color="auto"/>
                  </w:divBdr>
                </w:div>
              </w:divsChild>
            </w:div>
            <w:div w:id="980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530">
      <w:bodyDiv w:val="1"/>
      <w:marLeft w:val="0"/>
      <w:marRight w:val="0"/>
      <w:marTop w:val="0"/>
      <w:marBottom w:val="0"/>
      <w:divBdr>
        <w:top w:val="none" w:sz="0" w:space="0" w:color="auto"/>
        <w:left w:val="none" w:sz="0" w:space="0" w:color="auto"/>
        <w:bottom w:val="none" w:sz="0" w:space="0" w:color="auto"/>
        <w:right w:val="none" w:sz="0" w:space="0" w:color="auto"/>
      </w:divBdr>
      <w:divsChild>
        <w:div w:id="338973058">
          <w:marLeft w:val="0"/>
          <w:marRight w:val="0"/>
          <w:marTop w:val="0"/>
          <w:marBottom w:val="0"/>
          <w:divBdr>
            <w:top w:val="none" w:sz="0" w:space="0" w:color="auto"/>
            <w:left w:val="none" w:sz="0" w:space="0" w:color="auto"/>
            <w:bottom w:val="none" w:sz="0" w:space="0" w:color="auto"/>
            <w:right w:val="none" w:sz="0" w:space="0" w:color="auto"/>
          </w:divBdr>
          <w:divsChild>
            <w:div w:id="17022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71715">
      <w:bodyDiv w:val="1"/>
      <w:marLeft w:val="0"/>
      <w:marRight w:val="0"/>
      <w:marTop w:val="0"/>
      <w:marBottom w:val="0"/>
      <w:divBdr>
        <w:top w:val="none" w:sz="0" w:space="0" w:color="auto"/>
        <w:left w:val="none" w:sz="0" w:space="0" w:color="auto"/>
        <w:bottom w:val="none" w:sz="0" w:space="0" w:color="auto"/>
        <w:right w:val="none" w:sz="0" w:space="0" w:color="auto"/>
      </w:divBdr>
      <w:divsChild>
        <w:div w:id="1947152494">
          <w:marLeft w:val="0"/>
          <w:marRight w:val="0"/>
          <w:marTop w:val="0"/>
          <w:marBottom w:val="0"/>
          <w:divBdr>
            <w:top w:val="none" w:sz="0" w:space="0" w:color="auto"/>
            <w:left w:val="none" w:sz="0" w:space="0" w:color="auto"/>
            <w:bottom w:val="none" w:sz="0" w:space="0" w:color="auto"/>
            <w:right w:val="none" w:sz="0" w:space="0" w:color="auto"/>
          </w:divBdr>
          <w:divsChild>
            <w:div w:id="10164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2335">
      <w:bodyDiv w:val="1"/>
      <w:marLeft w:val="0"/>
      <w:marRight w:val="0"/>
      <w:marTop w:val="0"/>
      <w:marBottom w:val="0"/>
      <w:divBdr>
        <w:top w:val="none" w:sz="0" w:space="0" w:color="auto"/>
        <w:left w:val="none" w:sz="0" w:space="0" w:color="auto"/>
        <w:bottom w:val="none" w:sz="0" w:space="0" w:color="auto"/>
        <w:right w:val="none" w:sz="0" w:space="0" w:color="auto"/>
      </w:divBdr>
      <w:divsChild>
        <w:div w:id="1586571330">
          <w:marLeft w:val="0"/>
          <w:marRight w:val="0"/>
          <w:marTop w:val="0"/>
          <w:marBottom w:val="0"/>
          <w:divBdr>
            <w:top w:val="none" w:sz="0" w:space="0" w:color="auto"/>
            <w:left w:val="none" w:sz="0" w:space="0" w:color="auto"/>
            <w:bottom w:val="none" w:sz="0" w:space="0" w:color="auto"/>
            <w:right w:val="none" w:sz="0" w:space="0" w:color="auto"/>
          </w:divBdr>
          <w:divsChild>
            <w:div w:id="17025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3196">
      <w:bodyDiv w:val="1"/>
      <w:marLeft w:val="0"/>
      <w:marRight w:val="0"/>
      <w:marTop w:val="0"/>
      <w:marBottom w:val="0"/>
      <w:divBdr>
        <w:top w:val="none" w:sz="0" w:space="0" w:color="auto"/>
        <w:left w:val="none" w:sz="0" w:space="0" w:color="auto"/>
        <w:bottom w:val="none" w:sz="0" w:space="0" w:color="auto"/>
        <w:right w:val="none" w:sz="0" w:space="0" w:color="auto"/>
      </w:divBdr>
      <w:divsChild>
        <w:div w:id="354700217">
          <w:marLeft w:val="0"/>
          <w:marRight w:val="0"/>
          <w:marTop w:val="0"/>
          <w:marBottom w:val="0"/>
          <w:divBdr>
            <w:top w:val="none" w:sz="0" w:space="0" w:color="auto"/>
            <w:left w:val="none" w:sz="0" w:space="0" w:color="auto"/>
            <w:bottom w:val="none" w:sz="0" w:space="0" w:color="auto"/>
            <w:right w:val="none" w:sz="0" w:space="0" w:color="auto"/>
          </w:divBdr>
          <w:divsChild>
            <w:div w:id="301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9628">
      <w:bodyDiv w:val="1"/>
      <w:marLeft w:val="0"/>
      <w:marRight w:val="0"/>
      <w:marTop w:val="0"/>
      <w:marBottom w:val="0"/>
      <w:divBdr>
        <w:top w:val="none" w:sz="0" w:space="0" w:color="auto"/>
        <w:left w:val="none" w:sz="0" w:space="0" w:color="auto"/>
        <w:bottom w:val="none" w:sz="0" w:space="0" w:color="auto"/>
        <w:right w:val="none" w:sz="0" w:space="0" w:color="auto"/>
      </w:divBdr>
      <w:divsChild>
        <w:div w:id="942880125">
          <w:marLeft w:val="0"/>
          <w:marRight w:val="0"/>
          <w:marTop w:val="0"/>
          <w:marBottom w:val="0"/>
          <w:divBdr>
            <w:top w:val="none" w:sz="0" w:space="0" w:color="auto"/>
            <w:left w:val="none" w:sz="0" w:space="0" w:color="auto"/>
            <w:bottom w:val="none" w:sz="0" w:space="0" w:color="auto"/>
            <w:right w:val="none" w:sz="0" w:space="0" w:color="auto"/>
          </w:divBdr>
          <w:divsChild>
            <w:div w:id="13998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488">
      <w:bodyDiv w:val="1"/>
      <w:marLeft w:val="0"/>
      <w:marRight w:val="0"/>
      <w:marTop w:val="0"/>
      <w:marBottom w:val="0"/>
      <w:divBdr>
        <w:top w:val="none" w:sz="0" w:space="0" w:color="auto"/>
        <w:left w:val="none" w:sz="0" w:space="0" w:color="auto"/>
        <w:bottom w:val="none" w:sz="0" w:space="0" w:color="auto"/>
        <w:right w:val="none" w:sz="0" w:space="0" w:color="auto"/>
      </w:divBdr>
      <w:divsChild>
        <w:div w:id="1427388644">
          <w:marLeft w:val="0"/>
          <w:marRight w:val="0"/>
          <w:marTop w:val="0"/>
          <w:marBottom w:val="0"/>
          <w:divBdr>
            <w:top w:val="none" w:sz="0" w:space="0" w:color="auto"/>
            <w:left w:val="none" w:sz="0" w:space="0" w:color="auto"/>
            <w:bottom w:val="none" w:sz="0" w:space="0" w:color="auto"/>
            <w:right w:val="none" w:sz="0" w:space="0" w:color="auto"/>
          </w:divBdr>
          <w:divsChild>
            <w:div w:id="7749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2155">
      <w:bodyDiv w:val="1"/>
      <w:marLeft w:val="0"/>
      <w:marRight w:val="0"/>
      <w:marTop w:val="0"/>
      <w:marBottom w:val="0"/>
      <w:divBdr>
        <w:top w:val="none" w:sz="0" w:space="0" w:color="auto"/>
        <w:left w:val="none" w:sz="0" w:space="0" w:color="auto"/>
        <w:bottom w:val="none" w:sz="0" w:space="0" w:color="auto"/>
        <w:right w:val="none" w:sz="0" w:space="0" w:color="auto"/>
      </w:divBdr>
      <w:divsChild>
        <w:div w:id="219943110">
          <w:marLeft w:val="0"/>
          <w:marRight w:val="0"/>
          <w:marTop w:val="0"/>
          <w:marBottom w:val="0"/>
          <w:divBdr>
            <w:top w:val="none" w:sz="0" w:space="0" w:color="auto"/>
            <w:left w:val="none" w:sz="0" w:space="0" w:color="auto"/>
            <w:bottom w:val="none" w:sz="0" w:space="0" w:color="auto"/>
            <w:right w:val="none" w:sz="0" w:space="0" w:color="auto"/>
          </w:divBdr>
          <w:divsChild>
            <w:div w:id="19185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4877">
      <w:bodyDiv w:val="1"/>
      <w:marLeft w:val="0"/>
      <w:marRight w:val="0"/>
      <w:marTop w:val="0"/>
      <w:marBottom w:val="0"/>
      <w:divBdr>
        <w:top w:val="none" w:sz="0" w:space="0" w:color="auto"/>
        <w:left w:val="none" w:sz="0" w:space="0" w:color="auto"/>
        <w:bottom w:val="none" w:sz="0" w:space="0" w:color="auto"/>
        <w:right w:val="none" w:sz="0" w:space="0" w:color="auto"/>
      </w:divBdr>
      <w:divsChild>
        <w:div w:id="1231647479">
          <w:marLeft w:val="0"/>
          <w:marRight w:val="0"/>
          <w:marTop w:val="0"/>
          <w:marBottom w:val="0"/>
          <w:divBdr>
            <w:top w:val="none" w:sz="0" w:space="0" w:color="auto"/>
            <w:left w:val="none" w:sz="0" w:space="0" w:color="auto"/>
            <w:bottom w:val="none" w:sz="0" w:space="0" w:color="auto"/>
            <w:right w:val="none" w:sz="0" w:space="0" w:color="auto"/>
          </w:divBdr>
          <w:divsChild>
            <w:div w:id="1213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0497">
      <w:bodyDiv w:val="1"/>
      <w:marLeft w:val="0"/>
      <w:marRight w:val="0"/>
      <w:marTop w:val="0"/>
      <w:marBottom w:val="0"/>
      <w:divBdr>
        <w:top w:val="none" w:sz="0" w:space="0" w:color="auto"/>
        <w:left w:val="none" w:sz="0" w:space="0" w:color="auto"/>
        <w:bottom w:val="none" w:sz="0" w:space="0" w:color="auto"/>
        <w:right w:val="none" w:sz="0" w:space="0" w:color="auto"/>
      </w:divBdr>
      <w:divsChild>
        <w:div w:id="949974245">
          <w:marLeft w:val="0"/>
          <w:marRight w:val="0"/>
          <w:marTop w:val="0"/>
          <w:marBottom w:val="0"/>
          <w:divBdr>
            <w:top w:val="none" w:sz="0" w:space="0" w:color="auto"/>
            <w:left w:val="none" w:sz="0" w:space="0" w:color="auto"/>
            <w:bottom w:val="none" w:sz="0" w:space="0" w:color="auto"/>
            <w:right w:val="none" w:sz="0" w:space="0" w:color="auto"/>
          </w:divBdr>
          <w:divsChild>
            <w:div w:id="7937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9257">
      <w:bodyDiv w:val="1"/>
      <w:marLeft w:val="0"/>
      <w:marRight w:val="0"/>
      <w:marTop w:val="0"/>
      <w:marBottom w:val="0"/>
      <w:divBdr>
        <w:top w:val="none" w:sz="0" w:space="0" w:color="auto"/>
        <w:left w:val="none" w:sz="0" w:space="0" w:color="auto"/>
        <w:bottom w:val="none" w:sz="0" w:space="0" w:color="auto"/>
        <w:right w:val="none" w:sz="0" w:space="0" w:color="auto"/>
      </w:divBdr>
      <w:divsChild>
        <w:div w:id="1279533779">
          <w:marLeft w:val="0"/>
          <w:marRight w:val="0"/>
          <w:marTop w:val="0"/>
          <w:marBottom w:val="0"/>
          <w:divBdr>
            <w:top w:val="none" w:sz="0" w:space="0" w:color="auto"/>
            <w:left w:val="none" w:sz="0" w:space="0" w:color="auto"/>
            <w:bottom w:val="none" w:sz="0" w:space="0" w:color="auto"/>
            <w:right w:val="none" w:sz="0" w:space="0" w:color="auto"/>
          </w:divBdr>
          <w:divsChild>
            <w:div w:id="1364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3375">
      <w:bodyDiv w:val="1"/>
      <w:marLeft w:val="0"/>
      <w:marRight w:val="0"/>
      <w:marTop w:val="0"/>
      <w:marBottom w:val="0"/>
      <w:divBdr>
        <w:top w:val="none" w:sz="0" w:space="0" w:color="auto"/>
        <w:left w:val="none" w:sz="0" w:space="0" w:color="auto"/>
        <w:bottom w:val="none" w:sz="0" w:space="0" w:color="auto"/>
        <w:right w:val="none" w:sz="0" w:space="0" w:color="auto"/>
      </w:divBdr>
      <w:divsChild>
        <w:div w:id="1319457221">
          <w:marLeft w:val="0"/>
          <w:marRight w:val="0"/>
          <w:marTop w:val="0"/>
          <w:marBottom w:val="0"/>
          <w:divBdr>
            <w:top w:val="none" w:sz="0" w:space="0" w:color="auto"/>
            <w:left w:val="none" w:sz="0" w:space="0" w:color="auto"/>
            <w:bottom w:val="none" w:sz="0" w:space="0" w:color="auto"/>
            <w:right w:val="none" w:sz="0" w:space="0" w:color="auto"/>
          </w:divBdr>
          <w:divsChild>
            <w:div w:id="9188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8240">
      <w:bodyDiv w:val="1"/>
      <w:marLeft w:val="0"/>
      <w:marRight w:val="0"/>
      <w:marTop w:val="0"/>
      <w:marBottom w:val="0"/>
      <w:divBdr>
        <w:top w:val="none" w:sz="0" w:space="0" w:color="auto"/>
        <w:left w:val="none" w:sz="0" w:space="0" w:color="auto"/>
        <w:bottom w:val="none" w:sz="0" w:space="0" w:color="auto"/>
        <w:right w:val="none" w:sz="0" w:space="0" w:color="auto"/>
      </w:divBdr>
      <w:divsChild>
        <w:div w:id="1189685044">
          <w:marLeft w:val="0"/>
          <w:marRight w:val="0"/>
          <w:marTop w:val="0"/>
          <w:marBottom w:val="0"/>
          <w:divBdr>
            <w:top w:val="none" w:sz="0" w:space="0" w:color="auto"/>
            <w:left w:val="none" w:sz="0" w:space="0" w:color="auto"/>
            <w:bottom w:val="none" w:sz="0" w:space="0" w:color="auto"/>
            <w:right w:val="none" w:sz="0" w:space="0" w:color="auto"/>
          </w:divBdr>
          <w:divsChild>
            <w:div w:id="1249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9769">
      <w:bodyDiv w:val="1"/>
      <w:marLeft w:val="0"/>
      <w:marRight w:val="0"/>
      <w:marTop w:val="0"/>
      <w:marBottom w:val="0"/>
      <w:divBdr>
        <w:top w:val="none" w:sz="0" w:space="0" w:color="auto"/>
        <w:left w:val="none" w:sz="0" w:space="0" w:color="auto"/>
        <w:bottom w:val="none" w:sz="0" w:space="0" w:color="auto"/>
        <w:right w:val="none" w:sz="0" w:space="0" w:color="auto"/>
      </w:divBdr>
      <w:divsChild>
        <w:div w:id="1191600949">
          <w:marLeft w:val="0"/>
          <w:marRight w:val="0"/>
          <w:marTop w:val="0"/>
          <w:marBottom w:val="0"/>
          <w:divBdr>
            <w:top w:val="none" w:sz="0" w:space="0" w:color="auto"/>
            <w:left w:val="none" w:sz="0" w:space="0" w:color="auto"/>
            <w:bottom w:val="none" w:sz="0" w:space="0" w:color="auto"/>
            <w:right w:val="none" w:sz="0" w:space="0" w:color="auto"/>
          </w:divBdr>
          <w:divsChild>
            <w:div w:id="2145655688">
              <w:marLeft w:val="0"/>
              <w:marRight w:val="0"/>
              <w:marTop w:val="0"/>
              <w:marBottom w:val="0"/>
              <w:divBdr>
                <w:top w:val="none" w:sz="0" w:space="0" w:color="auto"/>
                <w:left w:val="none" w:sz="0" w:space="0" w:color="auto"/>
                <w:bottom w:val="none" w:sz="0" w:space="0" w:color="auto"/>
                <w:right w:val="none" w:sz="0" w:space="0" w:color="auto"/>
              </w:divBdr>
              <w:divsChild>
                <w:div w:id="1975942653">
                  <w:marLeft w:val="0"/>
                  <w:marRight w:val="0"/>
                  <w:marTop w:val="0"/>
                  <w:marBottom w:val="0"/>
                  <w:divBdr>
                    <w:top w:val="none" w:sz="0" w:space="0" w:color="auto"/>
                    <w:left w:val="none" w:sz="0" w:space="0" w:color="auto"/>
                    <w:bottom w:val="none" w:sz="0" w:space="0" w:color="auto"/>
                    <w:right w:val="none" w:sz="0" w:space="0" w:color="auto"/>
                  </w:divBdr>
                </w:div>
              </w:divsChild>
            </w:div>
            <w:div w:id="1863351649">
              <w:marLeft w:val="0"/>
              <w:marRight w:val="0"/>
              <w:marTop w:val="0"/>
              <w:marBottom w:val="0"/>
              <w:divBdr>
                <w:top w:val="none" w:sz="0" w:space="0" w:color="auto"/>
                <w:left w:val="none" w:sz="0" w:space="0" w:color="auto"/>
                <w:bottom w:val="none" w:sz="0" w:space="0" w:color="auto"/>
                <w:right w:val="none" w:sz="0" w:space="0" w:color="auto"/>
              </w:divBdr>
              <w:divsChild>
                <w:div w:id="1276059873">
                  <w:marLeft w:val="0"/>
                  <w:marRight w:val="0"/>
                  <w:marTop w:val="0"/>
                  <w:marBottom w:val="0"/>
                  <w:divBdr>
                    <w:top w:val="none" w:sz="0" w:space="0" w:color="auto"/>
                    <w:left w:val="none" w:sz="0" w:space="0" w:color="auto"/>
                    <w:bottom w:val="none" w:sz="0" w:space="0" w:color="auto"/>
                    <w:right w:val="none" w:sz="0" w:space="0" w:color="auto"/>
                  </w:divBdr>
                </w:div>
              </w:divsChild>
            </w:div>
            <w:div w:id="1205213852">
              <w:marLeft w:val="0"/>
              <w:marRight w:val="0"/>
              <w:marTop w:val="0"/>
              <w:marBottom w:val="0"/>
              <w:divBdr>
                <w:top w:val="none" w:sz="0" w:space="0" w:color="auto"/>
                <w:left w:val="none" w:sz="0" w:space="0" w:color="auto"/>
                <w:bottom w:val="none" w:sz="0" w:space="0" w:color="auto"/>
                <w:right w:val="none" w:sz="0" w:space="0" w:color="auto"/>
              </w:divBdr>
              <w:divsChild>
                <w:div w:id="283779166">
                  <w:marLeft w:val="0"/>
                  <w:marRight w:val="0"/>
                  <w:marTop w:val="0"/>
                  <w:marBottom w:val="0"/>
                  <w:divBdr>
                    <w:top w:val="none" w:sz="0" w:space="0" w:color="auto"/>
                    <w:left w:val="none" w:sz="0" w:space="0" w:color="auto"/>
                    <w:bottom w:val="none" w:sz="0" w:space="0" w:color="auto"/>
                    <w:right w:val="none" w:sz="0" w:space="0" w:color="auto"/>
                  </w:divBdr>
                </w:div>
              </w:divsChild>
            </w:div>
            <w:div w:id="1566841237">
              <w:marLeft w:val="0"/>
              <w:marRight w:val="0"/>
              <w:marTop w:val="0"/>
              <w:marBottom w:val="0"/>
              <w:divBdr>
                <w:top w:val="none" w:sz="0" w:space="0" w:color="auto"/>
                <w:left w:val="none" w:sz="0" w:space="0" w:color="auto"/>
                <w:bottom w:val="none" w:sz="0" w:space="0" w:color="auto"/>
                <w:right w:val="none" w:sz="0" w:space="0" w:color="auto"/>
              </w:divBdr>
              <w:divsChild>
                <w:div w:id="1764960378">
                  <w:marLeft w:val="0"/>
                  <w:marRight w:val="0"/>
                  <w:marTop w:val="0"/>
                  <w:marBottom w:val="0"/>
                  <w:divBdr>
                    <w:top w:val="none" w:sz="0" w:space="0" w:color="auto"/>
                    <w:left w:val="none" w:sz="0" w:space="0" w:color="auto"/>
                    <w:bottom w:val="none" w:sz="0" w:space="0" w:color="auto"/>
                    <w:right w:val="none" w:sz="0" w:space="0" w:color="auto"/>
                  </w:divBdr>
                </w:div>
              </w:divsChild>
            </w:div>
            <w:div w:id="18967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8139">
      <w:bodyDiv w:val="1"/>
      <w:marLeft w:val="0"/>
      <w:marRight w:val="0"/>
      <w:marTop w:val="0"/>
      <w:marBottom w:val="0"/>
      <w:divBdr>
        <w:top w:val="none" w:sz="0" w:space="0" w:color="auto"/>
        <w:left w:val="none" w:sz="0" w:space="0" w:color="auto"/>
        <w:bottom w:val="none" w:sz="0" w:space="0" w:color="auto"/>
        <w:right w:val="none" w:sz="0" w:space="0" w:color="auto"/>
      </w:divBdr>
      <w:divsChild>
        <w:div w:id="376199909">
          <w:marLeft w:val="0"/>
          <w:marRight w:val="0"/>
          <w:marTop w:val="0"/>
          <w:marBottom w:val="0"/>
          <w:divBdr>
            <w:top w:val="none" w:sz="0" w:space="0" w:color="auto"/>
            <w:left w:val="none" w:sz="0" w:space="0" w:color="auto"/>
            <w:bottom w:val="none" w:sz="0" w:space="0" w:color="auto"/>
            <w:right w:val="none" w:sz="0" w:space="0" w:color="auto"/>
          </w:divBdr>
          <w:divsChild>
            <w:div w:id="400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3629">
      <w:bodyDiv w:val="1"/>
      <w:marLeft w:val="0"/>
      <w:marRight w:val="0"/>
      <w:marTop w:val="0"/>
      <w:marBottom w:val="0"/>
      <w:divBdr>
        <w:top w:val="none" w:sz="0" w:space="0" w:color="auto"/>
        <w:left w:val="none" w:sz="0" w:space="0" w:color="auto"/>
        <w:bottom w:val="none" w:sz="0" w:space="0" w:color="auto"/>
        <w:right w:val="none" w:sz="0" w:space="0" w:color="auto"/>
      </w:divBdr>
      <w:divsChild>
        <w:div w:id="130950988">
          <w:marLeft w:val="0"/>
          <w:marRight w:val="0"/>
          <w:marTop w:val="0"/>
          <w:marBottom w:val="0"/>
          <w:divBdr>
            <w:top w:val="none" w:sz="0" w:space="0" w:color="auto"/>
            <w:left w:val="none" w:sz="0" w:space="0" w:color="auto"/>
            <w:bottom w:val="none" w:sz="0" w:space="0" w:color="auto"/>
            <w:right w:val="none" w:sz="0" w:space="0" w:color="auto"/>
          </w:divBdr>
          <w:divsChild>
            <w:div w:id="19151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3580">
      <w:bodyDiv w:val="1"/>
      <w:marLeft w:val="0"/>
      <w:marRight w:val="0"/>
      <w:marTop w:val="0"/>
      <w:marBottom w:val="0"/>
      <w:divBdr>
        <w:top w:val="none" w:sz="0" w:space="0" w:color="auto"/>
        <w:left w:val="none" w:sz="0" w:space="0" w:color="auto"/>
        <w:bottom w:val="none" w:sz="0" w:space="0" w:color="auto"/>
        <w:right w:val="none" w:sz="0" w:space="0" w:color="auto"/>
      </w:divBdr>
      <w:divsChild>
        <w:div w:id="225536715">
          <w:marLeft w:val="0"/>
          <w:marRight w:val="0"/>
          <w:marTop w:val="0"/>
          <w:marBottom w:val="0"/>
          <w:divBdr>
            <w:top w:val="none" w:sz="0" w:space="0" w:color="auto"/>
            <w:left w:val="none" w:sz="0" w:space="0" w:color="auto"/>
            <w:bottom w:val="none" w:sz="0" w:space="0" w:color="auto"/>
            <w:right w:val="none" w:sz="0" w:space="0" w:color="auto"/>
          </w:divBdr>
          <w:divsChild>
            <w:div w:id="1605502737">
              <w:marLeft w:val="0"/>
              <w:marRight w:val="0"/>
              <w:marTop w:val="0"/>
              <w:marBottom w:val="0"/>
              <w:divBdr>
                <w:top w:val="none" w:sz="0" w:space="0" w:color="auto"/>
                <w:left w:val="none" w:sz="0" w:space="0" w:color="auto"/>
                <w:bottom w:val="none" w:sz="0" w:space="0" w:color="auto"/>
                <w:right w:val="none" w:sz="0" w:space="0" w:color="auto"/>
              </w:divBdr>
              <w:divsChild>
                <w:div w:id="2049136612">
                  <w:marLeft w:val="0"/>
                  <w:marRight w:val="0"/>
                  <w:marTop w:val="0"/>
                  <w:marBottom w:val="0"/>
                  <w:divBdr>
                    <w:top w:val="none" w:sz="0" w:space="0" w:color="auto"/>
                    <w:left w:val="none" w:sz="0" w:space="0" w:color="auto"/>
                    <w:bottom w:val="none" w:sz="0" w:space="0" w:color="auto"/>
                    <w:right w:val="none" w:sz="0" w:space="0" w:color="auto"/>
                  </w:divBdr>
                </w:div>
              </w:divsChild>
            </w:div>
            <w:div w:id="1844778935">
              <w:marLeft w:val="0"/>
              <w:marRight w:val="0"/>
              <w:marTop w:val="0"/>
              <w:marBottom w:val="0"/>
              <w:divBdr>
                <w:top w:val="none" w:sz="0" w:space="0" w:color="auto"/>
                <w:left w:val="none" w:sz="0" w:space="0" w:color="auto"/>
                <w:bottom w:val="none" w:sz="0" w:space="0" w:color="auto"/>
                <w:right w:val="none" w:sz="0" w:space="0" w:color="auto"/>
              </w:divBdr>
              <w:divsChild>
                <w:div w:id="279068713">
                  <w:marLeft w:val="0"/>
                  <w:marRight w:val="0"/>
                  <w:marTop w:val="0"/>
                  <w:marBottom w:val="0"/>
                  <w:divBdr>
                    <w:top w:val="none" w:sz="0" w:space="0" w:color="auto"/>
                    <w:left w:val="none" w:sz="0" w:space="0" w:color="auto"/>
                    <w:bottom w:val="none" w:sz="0" w:space="0" w:color="auto"/>
                    <w:right w:val="none" w:sz="0" w:space="0" w:color="auto"/>
                  </w:divBdr>
                </w:div>
              </w:divsChild>
            </w:div>
            <w:div w:id="13711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8161">
      <w:bodyDiv w:val="1"/>
      <w:marLeft w:val="0"/>
      <w:marRight w:val="0"/>
      <w:marTop w:val="0"/>
      <w:marBottom w:val="0"/>
      <w:divBdr>
        <w:top w:val="none" w:sz="0" w:space="0" w:color="auto"/>
        <w:left w:val="none" w:sz="0" w:space="0" w:color="auto"/>
        <w:bottom w:val="none" w:sz="0" w:space="0" w:color="auto"/>
        <w:right w:val="none" w:sz="0" w:space="0" w:color="auto"/>
      </w:divBdr>
      <w:divsChild>
        <w:div w:id="1624965227">
          <w:marLeft w:val="0"/>
          <w:marRight w:val="0"/>
          <w:marTop w:val="0"/>
          <w:marBottom w:val="0"/>
          <w:divBdr>
            <w:top w:val="none" w:sz="0" w:space="0" w:color="auto"/>
            <w:left w:val="none" w:sz="0" w:space="0" w:color="auto"/>
            <w:bottom w:val="none" w:sz="0" w:space="0" w:color="auto"/>
            <w:right w:val="none" w:sz="0" w:space="0" w:color="auto"/>
          </w:divBdr>
          <w:divsChild>
            <w:div w:id="3151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5921">
      <w:bodyDiv w:val="1"/>
      <w:marLeft w:val="0"/>
      <w:marRight w:val="0"/>
      <w:marTop w:val="0"/>
      <w:marBottom w:val="0"/>
      <w:divBdr>
        <w:top w:val="none" w:sz="0" w:space="0" w:color="auto"/>
        <w:left w:val="none" w:sz="0" w:space="0" w:color="auto"/>
        <w:bottom w:val="none" w:sz="0" w:space="0" w:color="auto"/>
        <w:right w:val="none" w:sz="0" w:space="0" w:color="auto"/>
      </w:divBdr>
      <w:divsChild>
        <w:div w:id="988830394">
          <w:marLeft w:val="0"/>
          <w:marRight w:val="0"/>
          <w:marTop w:val="0"/>
          <w:marBottom w:val="0"/>
          <w:divBdr>
            <w:top w:val="none" w:sz="0" w:space="0" w:color="auto"/>
            <w:left w:val="none" w:sz="0" w:space="0" w:color="auto"/>
            <w:bottom w:val="none" w:sz="0" w:space="0" w:color="auto"/>
            <w:right w:val="none" w:sz="0" w:space="0" w:color="auto"/>
          </w:divBdr>
          <w:divsChild>
            <w:div w:id="6025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799">
      <w:bodyDiv w:val="1"/>
      <w:marLeft w:val="0"/>
      <w:marRight w:val="0"/>
      <w:marTop w:val="0"/>
      <w:marBottom w:val="0"/>
      <w:divBdr>
        <w:top w:val="none" w:sz="0" w:space="0" w:color="auto"/>
        <w:left w:val="none" w:sz="0" w:space="0" w:color="auto"/>
        <w:bottom w:val="none" w:sz="0" w:space="0" w:color="auto"/>
        <w:right w:val="none" w:sz="0" w:space="0" w:color="auto"/>
      </w:divBdr>
      <w:divsChild>
        <w:div w:id="305356904">
          <w:marLeft w:val="0"/>
          <w:marRight w:val="0"/>
          <w:marTop w:val="0"/>
          <w:marBottom w:val="0"/>
          <w:divBdr>
            <w:top w:val="none" w:sz="0" w:space="0" w:color="auto"/>
            <w:left w:val="none" w:sz="0" w:space="0" w:color="auto"/>
            <w:bottom w:val="none" w:sz="0" w:space="0" w:color="auto"/>
            <w:right w:val="none" w:sz="0" w:space="0" w:color="auto"/>
          </w:divBdr>
          <w:divsChild>
            <w:div w:id="759260181">
              <w:marLeft w:val="0"/>
              <w:marRight w:val="0"/>
              <w:marTop w:val="0"/>
              <w:marBottom w:val="0"/>
              <w:divBdr>
                <w:top w:val="none" w:sz="0" w:space="0" w:color="auto"/>
                <w:left w:val="none" w:sz="0" w:space="0" w:color="auto"/>
                <w:bottom w:val="none" w:sz="0" w:space="0" w:color="auto"/>
                <w:right w:val="none" w:sz="0" w:space="0" w:color="auto"/>
              </w:divBdr>
              <w:divsChild>
                <w:div w:id="318314339">
                  <w:marLeft w:val="0"/>
                  <w:marRight w:val="0"/>
                  <w:marTop w:val="0"/>
                  <w:marBottom w:val="0"/>
                  <w:divBdr>
                    <w:top w:val="none" w:sz="0" w:space="0" w:color="auto"/>
                    <w:left w:val="none" w:sz="0" w:space="0" w:color="auto"/>
                    <w:bottom w:val="none" w:sz="0" w:space="0" w:color="auto"/>
                    <w:right w:val="none" w:sz="0" w:space="0" w:color="auto"/>
                  </w:divBdr>
                </w:div>
              </w:divsChild>
            </w:div>
            <w:div w:id="1282375158">
              <w:marLeft w:val="0"/>
              <w:marRight w:val="0"/>
              <w:marTop w:val="0"/>
              <w:marBottom w:val="0"/>
              <w:divBdr>
                <w:top w:val="none" w:sz="0" w:space="0" w:color="auto"/>
                <w:left w:val="none" w:sz="0" w:space="0" w:color="auto"/>
                <w:bottom w:val="none" w:sz="0" w:space="0" w:color="auto"/>
                <w:right w:val="none" w:sz="0" w:space="0" w:color="auto"/>
              </w:divBdr>
              <w:divsChild>
                <w:div w:id="705759741">
                  <w:marLeft w:val="0"/>
                  <w:marRight w:val="0"/>
                  <w:marTop w:val="0"/>
                  <w:marBottom w:val="0"/>
                  <w:divBdr>
                    <w:top w:val="none" w:sz="0" w:space="0" w:color="auto"/>
                    <w:left w:val="none" w:sz="0" w:space="0" w:color="auto"/>
                    <w:bottom w:val="none" w:sz="0" w:space="0" w:color="auto"/>
                    <w:right w:val="none" w:sz="0" w:space="0" w:color="auto"/>
                  </w:divBdr>
                </w:div>
              </w:divsChild>
            </w:div>
            <w:div w:id="73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4274">
      <w:bodyDiv w:val="1"/>
      <w:marLeft w:val="0"/>
      <w:marRight w:val="0"/>
      <w:marTop w:val="0"/>
      <w:marBottom w:val="0"/>
      <w:divBdr>
        <w:top w:val="none" w:sz="0" w:space="0" w:color="auto"/>
        <w:left w:val="none" w:sz="0" w:space="0" w:color="auto"/>
        <w:bottom w:val="none" w:sz="0" w:space="0" w:color="auto"/>
        <w:right w:val="none" w:sz="0" w:space="0" w:color="auto"/>
      </w:divBdr>
      <w:divsChild>
        <w:div w:id="651523244">
          <w:marLeft w:val="0"/>
          <w:marRight w:val="0"/>
          <w:marTop w:val="0"/>
          <w:marBottom w:val="0"/>
          <w:divBdr>
            <w:top w:val="none" w:sz="0" w:space="0" w:color="auto"/>
            <w:left w:val="none" w:sz="0" w:space="0" w:color="auto"/>
            <w:bottom w:val="none" w:sz="0" w:space="0" w:color="auto"/>
            <w:right w:val="none" w:sz="0" w:space="0" w:color="auto"/>
          </w:divBdr>
          <w:divsChild>
            <w:div w:id="14134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2918">
      <w:bodyDiv w:val="1"/>
      <w:marLeft w:val="0"/>
      <w:marRight w:val="0"/>
      <w:marTop w:val="0"/>
      <w:marBottom w:val="0"/>
      <w:divBdr>
        <w:top w:val="none" w:sz="0" w:space="0" w:color="auto"/>
        <w:left w:val="none" w:sz="0" w:space="0" w:color="auto"/>
        <w:bottom w:val="none" w:sz="0" w:space="0" w:color="auto"/>
        <w:right w:val="none" w:sz="0" w:space="0" w:color="auto"/>
      </w:divBdr>
      <w:divsChild>
        <w:div w:id="1726639249">
          <w:marLeft w:val="0"/>
          <w:marRight w:val="0"/>
          <w:marTop w:val="0"/>
          <w:marBottom w:val="0"/>
          <w:divBdr>
            <w:top w:val="none" w:sz="0" w:space="0" w:color="auto"/>
            <w:left w:val="none" w:sz="0" w:space="0" w:color="auto"/>
            <w:bottom w:val="none" w:sz="0" w:space="0" w:color="auto"/>
            <w:right w:val="none" w:sz="0" w:space="0" w:color="auto"/>
          </w:divBdr>
          <w:divsChild>
            <w:div w:id="1515608050">
              <w:marLeft w:val="0"/>
              <w:marRight w:val="0"/>
              <w:marTop w:val="0"/>
              <w:marBottom w:val="0"/>
              <w:divBdr>
                <w:top w:val="none" w:sz="0" w:space="0" w:color="auto"/>
                <w:left w:val="none" w:sz="0" w:space="0" w:color="auto"/>
                <w:bottom w:val="none" w:sz="0" w:space="0" w:color="auto"/>
                <w:right w:val="none" w:sz="0" w:space="0" w:color="auto"/>
              </w:divBdr>
              <w:divsChild>
                <w:div w:id="495650295">
                  <w:marLeft w:val="0"/>
                  <w:marRight w:val="0"/>
                  <w:marTop w:val="0"/>
                  <w:marBottom w:val="0"/>
                  <w:divBdr>
                    <w:top w:val="none" w:sz="0" w:space="0" w:color="auto"/>
                    <w:left w:val="none" w:sz="0" w:space="0" w:color="auto"/>
                    <w:bottom w:val="none" w:sz="0" w:space="0" w:color="auto"/>
                    <w:right w:val="none" w:sz="0" w:space="0" w:color="auto"/>
                  </w:divBdr>
                </w:div>
              </w:divsChild>
            </w:div>
            <w:div w:id="1197818612">
              <w:marLeft w:val="0"/>
              <w:marRight w:val="0"/>
              <w:marTop w:val="0"/>
              <w:marBottom w:val="0"/>
              <w:divBdr>
                <w:top w:val="none" w:sz="0" w:space="0" w:color="auto"/>
                <w:left w:val="none" w:sz="0" w:space="0" w:color="auto"/>
                <w:bottom w:val="none" w:sz="0" w:space="0" w:color="auto"/>
                <w:right w:val="none" w:sz="0" w:space="0" w:color="auto"/>
              </w:divBdr>
              <w:divsChild>
                <w:div w:id="167866217">
                  <w:marLeft w:val="0"/>
                  <w:marRight w:val="0"/>
                  <w:marTop w:val="0"/>
                  <w:marBottom w:val="0"/>
                  <w:divBdr>
                    <w:top w:val="none" w:sz="0" w:space="0" w:color="auto"/>
                    <w:left w:val="none" w:sz="0" w:space="0" w:color="auto"/>
                    <w:bottom w:val="none" w:sz="0" w:space="0" w:color="auto"/>
                    <w:right w:val="none" w:sz="0" w:space="0" w:color="auto"/>
                  </w:divBdr>
                </w:div>
              </w:divsChild>
            </w:div>
            <w:div w:id="1496843841">
              <w:marLeft w:val="0"/>
              <w:marRight w:val="0"/>
              <w:marTop w:val="0"/>
              <w:marBottom w:val="0"/>
              <w:divBdr>
                <w:top w:val="none" w:sz="0" w:space="0" w:color="auto"/>
                <w:left w:val="none" w:sz="0" w:space="0" w:color="auto"/>
                <w:bottom w:val="none" w:sz="0" w:space="0" w:color="auto"/>
                <w:right w:val="none" w:sz="0" w:space="0" w:color="auto"/>
              </w:divBdr>
              <w:divsChild>
                <w:div w:id="345257736">
                  <w:marLeft w:val="0"/>
                  <w:marRight w:val="0"/>
                  <w:marTop w:val="0"/>
                  <w:marBottom w:val="0"/>
                  <w:divBdr>
                    <w:top w:val="none" w:sz="0" w:space="0" w:color="auto"/>
                    <w:left w:val="none" w:sz="0" w:space="0" w:color="auto"/>
                    <w:bottom w:val="none" w:sz="0" w:space="0" w:color="auto"/>
                    <w:right w:val="none" w:sz="0" w:space="0" w:color="auto"/>
                  </w:divBdr>
                </w:div>
              </w:divsChild>
            </w:div>
            <w:div w:id="1657025557">
              <w:marLeft w:val="0"/>
              <w:marRight w:val="0"/>
              <w:marTop w:val="0"/>
              <w:marBottom w:val="0"/>
              <w:divBdr>
                <w:top w:val="none" w:sz="0" w:space="0" w:color="auto"/>
                <w:left w:val="none" w:sz="0" w:space="0" w:color="auto"/>
                <w:bottom w:val="none" w:sz="0" w:space="0" w:color="auto"/>
                <w:right w:val="none" w:sz="0" w:space="0" w:color="auto"/>
              </w:divBdr>
              <w:divsChild>
                <w:div w:id="64299687">
                  <w:marLeft w:val="0"/>
                  <w:marRight w:val="0"/>
                  <w:marTop w:val="0"/>
                  <w:marBottom w:val="0"/>
                  <w:divBdr>
                    <w:top w:val="none" w:sz="0" w:space="0" w:color="auto"/>
                    <w:left w:val="none" w:sz="0" w:space="0" w:color="auto"/>
                    <w:bottom w:val="none" w:sz="0" w:space="0" w:color="auto"/>
                    <w:right w:val="none" w:sz="0" w:space="0" w:color="auto"/>
                  </w:divBdr>
                </w:div>
              </w:divsChild>
            </w:div>
            <w:div w:id="7530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4531">
      <w:bodyDiv w:val="1"/>
      <w:marLeft w:val="0"/>
      <w:marRight w:val="0"/>
      <w:marTop w:val="0"/>
      <w:marBottom w:val="0"/>
      <w:divBdr>
        <w:top w:val="none" w:sz="0" w:space="0" w:color="auto"/>
        <w:left w:val="none" w:sz="0" w:space="0" w:color="auto"/>
        <w:bottom w:val="none" w:sz="0" w:space="0" w:color="auto"/>
        <w:right w:val="none" w:sz="0" w:space="0" w:color="auto"/>
      </w:divBdr>
      <w:divsChild>
        <w:div w:id="1669625909">
          <w:marLeft w:val="0"/>
          <w:marRight w:val="0"/>
          <w:marTop w:val="0"/>
          <w:marBottom w:val="0"/>
          <w:divBdr>
            <w:top w:val="none" w:sz="0" w:space="0" w:color="auto"/>
            <w:left w:val="none" w:sz="0" w:space="0" w:color="auto"/>
            <w:bottom w:val="none" w:sz="0" w:space="0" w:color="auto"/>
            <w:right w:val="none" w:sz="0" w:space="0" w:color="auto"/>
          </w:divBdr>
          <w:divsChild>
            <w:div w:id="7375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9473">
      <w:bodyDiv w:val="1"/>
      <w:marLeft w:val="0"/>
      <w:marRight w:val="0"/>
      <w:marTop w:val="0"/>
      <w:marBottom w:val="0"/>
      <w:divBdr>
        <w:top w:val="none" w:sz="0" w:space="0" w:color="auto"/>
        <w:left w:val="none" w:sz="0" w:space="0" w:color="auto"/>
        <w:bottom w:val="none" w:sz="0" w:space="0" w:color="auto"/>
        <w:right w:val="none" w:sz="0" w:space="0" w:color="auto"/>
      </w:divBdr>
      <w:divsChild>
        <w:div w:id="1458573354">
          <w:marLeft w:val="0"/>
          <w:marRight w:val="0"/>
          <w:marTop w:val="0"/>
          <w:marBottom w:val="0"/>
          <w:divBdr>
            <w:top w:val="none" w:sz="0" w:space="0" w:color="auto"/>
            <w:left w:val="none" w:sz="0" w:space="0" w:color="auto"/>
            <w:bottom w:val="none" w:sz="0" w:space="0" w:color="auto"/>
            <w:right w:val="none" w:sz="0" w:space="0" w:color="auto"/>
          </w:divBdr>
          <w:divsChild>
            <w:div w:id="12084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1997">
      <w:bodyDiv w:val="1"/>
      <w:marLeft w:val="0"/>
      <w:marRight w:val="0"/>
      <w:marTop w:val="0"/>
      <w:marBottom w:val="0"/>
      <w:divBdr>
        <w:top w:val="none" w:sz="0" w:space="0" w:color="auto"/>
        <w:left w:val="none" w:sz="0" w:space="0" w:color="auto"/>
        <w:bottom w:val="none" w:sz="0" w:space="0" w:color="auto"/>
        <w:right w:val="none" w:sz="0" w:space="0" w:color="auto"/>
      </w:divBdr>
      <w:divsChild>
        <w:div w:id="1412120702">
          <w:marLeft w:val="0"/>
          <w:marRight w:val="0"/>
          <w:marTop w:val="0"/>
          <w:marBottom w:val="0"/>
          <w:divBdr>
            <w:top w:val="none" w:sz="0" w:space="0" w:color="auto"/>
            <w:left w:val="none" w:sz="0" w:space="0" w:color="auto"/>
            <w:bottom w:val="none" w:sz="0" w:space="0" w:color="auto"/>
            <w:right w:val="none" w:sz="0" w:space="0" w:color="auto"/>
          </w:divBdr>
          <w:divsChild>
            <w:div w:id="342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498">
      <w:bodyDiv w:val="1"/>
      <w:marLeft w:val="0"/>
      <w:marRight w:val="0"/>
      <w:marTop w:val="0"/>
      <w:marBottom w:val="0"/>
      <w:divBdr>
        <w:top w:val="none" w:sz="0" w:space="0" w:color="auto"/>
        <w:left w:val="none" w:sz="0" w:space="0" w:color="auto"/>
        <w:bottom w:val="none" w:sz="0" w:space="0" w:color="auto"/>
        <w:right w:val="none" w:sz="0" w:space="0" w:color="auto"/>
      </w:divBdr>
      <w:divsChild>
        <w:div w:id="1519346352">
          <w:marLeft w:val="0"/>
          <w:marRight w:val="0"/>
          <w:marTop w:val="0"/>
          <w:marBottom w:val="0"/>
          <w:divBdr>
            <w:top w:val="none" w:sz="0" w:space="0" w:color="auto"/>
            <w:left w:val="none" w:sz="0" w:space="0" w:color="auto"/>
            <w:bottom w:val="none" w:sz="0" w:space="0" w:color="auto"/>
            <w:right w:val="none" w:sz="0" w:space="0" w:color="auto"/>
          </w:divBdr>
          <w:divsChild>
            <w:div w:id="440758803">
              <w:marLeft w:val="0"/>
              <w:marRight w:val="0"/>
              <w:marTop w:val="0"/>
              <w:marBottom w:val="0"/>
              <w:divBdr>
                <w:top w:val="none" w:sz="0" w:space="0" w:color="auto"/>
                <w:left w:val="none" w:sz="0" w:space="0" w:color="auto"/>
                <w:bottom w:val="none" w:sz="0" w:space="0" w:color="auto"/>
                <w:right w:val="none" w:sz="0" w:space="0" w:color="auto"/>
              </w:divBdr>
              <w:divsChild>
                <w:div w:id="1269921768">
                  <w:marLeft w:val="0"/>
                  <w:marRight w:val="0"/>
                  <w:marTop w:val="0"/>
                  <w:marBottom w:val="0"/>
                  <w:divBdr>
                    <w:top w:val="none" w:sz="0" w:space="0" w:color="auto"/>
                    <w:left w:val="none" w:sz="0" w:space="0" w:color="auto"/>
                    <w:bottom w:val="none" w:sz="0" w:space="0" w:color="auto"/>
                    <w:right w:val="none" w:sz="0" w:space="0" w:color="auto"/>
                  </w:divBdr>
                </w:div>
              </w:divsChild>
            </w:div>
            <w:div w:id="364529228">
              <w:marLeft w:val="0"/>
              <w:marRight w:val="0"/>
              <w:marTop w:val="0"/>
              <w:marBottom w:val="0"/>
              <w:divBdr>
                <w:top w:val="none" w:sz="0" w:space="0" w:color="auto"/>
                <w:left w:val="none" w:sz="0" w:space="0" w:color="auto"/>
                <w:bottom w:val="none" w:sz="0" w:space="0" w:color="auto"/>
                <w:right w:val="none" w:sz="0" w:space="0" w:color="auto"/>
              </w:divBdr>
              <w:divsChild>
                <w:div w:id="2043703418">
                  <w:marLeft w:val="0"/>
                  <w:marRight w:val="0"/>
                  <w:marTop w:val="0"/>
                  <w:marBottom w:val="0"/>
                  <w:divBdr>
                    <w:top w:val="none" w:sz="0" w:space="0" w:color="auto"/>
                    <w:left w:val="none" w:sz="0" w:space="0" w:color="auto"/>
                    <w:bottom w:val="none" w:sz="0" w:space="0" w:color="auto"/>
                    <w:right w:val="none" w:sz="0" w:space="0" w:color="auto"/>
                  </w:divBdr>
                </w:div>
              </w:divsChild>
            </w:div>
            <w:div w:id="1906791369">
              <w:marLeft w:val="0"/>
              <w:marRight w:val="0"/>
              <w:marTop w:val="0"/>
              <w:marBottom w:val="0"/>
              <w:divBdr>
                <w:top w:val="none" w:sz="0" w:space="0" w:color="auto"/>
                <w:left w:val="none" w:sz="0" w:space="0" w:color="auto"/>
                <w:bottom w:val="none" w:sz="0" w:space="0" w:color="auto"/>
                <w:right w:val="none" w:sz="0" w:space="0" w:color="auto"/>
              </w:divBdr>
              <w:divsChild>
                <w:div w:id="1770159776">
                  <w:marLeft w:val="0"/>
                  <w:marRight w:val="0"/>
                  <w:marTop w:val="0"/>
                  <w:marBottom w:val="0"/>
                  <w:divBdr>
                    <w:top w:val="none" w:sz="0" w:space="0" w:color="auto"/>
                    <w:left w:val="none" w:sz="0" w:space="0" w:color="auto"/>
                    <w:bottom w:val="none" w:sz="0" w:space="0" w:color="auto"/>
                    <w:right w:val="none" w:sz="0" w:space="0" w:color="auto"/>
                  </w:divBdr>
                </w:div>
              </w:divsChild>
            </w:div>
            <w:div w:id="1913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796">
      <w:bodyDiv w:val="1"/>
      <w:marLeft w:val="0"/>
      <w:marRight w:val="0"/>
      <w:marTop w:val="0"/>
      <w:marBottom w:val="0"/>
      <w:divBdr>
        <w:top w:val="none" w:sz="0" w:space="0" w:color="auto"/>
        <w:left w:val="none" w:sz="0" w:space="0" w:color="auto"/>
        <w:bottom w:val="none" w:sz="0" w:space="0" w:color="auto"/>
        <w:right w:val="none" w:sz="0" w:space="0" w:color="auto"/>
      </w:divBdr>
      <w:divsChild>
        <w:div w:id="78135588">
          <w:marLeft w:val="0"/>
          <w:marRight w:val="0"/>
          <w:marTop w:val="0"/>
          <w:marBottom w:val="0"/>
          <w:divBdr>
            <w:top w:val="none" w:sz="0" w:space="0" w:color="auto"/>
            <w:left w:val="none" w:sz="0" w:space="0" w:color="auto"/>
            <w:bottom w:val="none" w:sz="0" w:space="0" w:color="auto"/>
            <w:right w:val="none" w:sz="0" w:space="0" w:color="auto"/>
          </w:divBdr>
          <w:divsChild>
            <w:div w:id="8139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0029">
      <w:bodyDiv w:val="1"/>
      <w:marLeft w:val="0"/>
      <w:marRight w:val="0"/>
      <w:marTop w:val="0"/>
      <w:marBottom w:val="0"/>
      <w:divBdr>
        <w:top w:val="none" w:sz="0" w:space="0" w:color="auto"/>
        <w:left w:val="none" w:sz="0" w:space="0" w:color="auto"/>
        <w:bottom w:val="none" w:sz="0" w:space="0" w:color="auto"/>
        <w:right w:val="none" w:sz="0" w:space="0" w:color="auto"/>
      </w:divBdr>
      <w:divsChild>
        <w:div w:id="1960839370">
          <w:marLeft w:val="0"/>
          <w:marRight w:val="0"/>
          <w:marTop w:val="0"/>
          <w:marBottom w:val="0"/>
          <w:divBdr>
            <w:top w:val="none" w:sz="0" w:space="0" w:color="auto"/>
            <w:left w:val="none" w:sz="0" w:space="0" w:color="auto"/>
            <w:bottom w:val="none" w:sz="0" w:space="0" w:color="auto"/>
            <w:right w:val="none" w:sz="0" w:space="0" w:color="auto"/>
          </w:divBdr>
          <w:divsChild>
            <w:div w:id="6889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442">
      <w:bodyDiv w:val="1"/>
      <w:marLeft w:val="0"/>
      <w:marRight w:val="0"/>
      <w:marTop w:val="0"/>
      <w:marBottom w:val="0"/>
      <w:divBdr>
        <w:top w:val="none" w:sz="0" w:space="0" w:color="auto"/>
        <w:left w:val="none" w:sz="0" w:space="0" w:color="auto"/>
        <w:bottom w:val="none" w:sz="0" w:space="0" w:color="auto"/>
        <w:right w:val="none" w:sz="0" w:space="0" w:color="auto"/>
      </w:divBdr>
      <w:divsChild>
        <w:div w:id="1996031341">
          <w:marLeft w:val="0"/>
          <w:marRight w:val="0"/>
          <w:marTop w:val="0"/>
          <w:marBottom w:val="0"/>
          <w:divBdr>
            <w:top w:val="none" w:sz="0" w:space="0" w:color="auto"/>
            <w:left w:val="none" w:sz="0" w:space="0" w:color="auto"/>
            <w:bottom w:val="none" w:sz="0" w:space="0" w:color="auto"/>
            <w:right w:val="none" w:sz="0" w:space="0" w:color="auto"/>
          </w:divBdr>
          <w:divsChild>
            <w:div w:id="349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2749">
      <w:bodyDiv w:val="1"/>
      <w:marLeft w:val="0"/>
      <w:marRight w:val="0"/>
      <w:marTop w:val="0"/>
      <w:marBottom w:val="0"/>
      <w:divBdr>
        <w:top w:val="none" w:sz="0" w:space="0" w:color="auto"/>
        <w:left w:val="none" w:sz="0" w:space="0" w:color="auto"/>
        <w:bottom w:val="none" w:sz="0" w:space="0" w:color="auto"/>
        <w:right w:val="none" w:sz="0" w:space="0" w:color="auto"/>
      </w:divBdr>
      <w:divsChild>
        <w:div w:id="1175148214">
          <w:marLeft w:val="0"/>
          <w:marRight w:val="0"/>
          <w:marTop w:val="0"/>
          <w:marBottom w:val="0"/>
          <w:divBdr>
            <w:top w:val="none" w:sz="0" w:space="0" w:color="auto"/>
            <w:left w:val="none" w:sz="0" w:space="0" w:color="auto"/>
            <w:bottom w:val="none" w:sz="0" w:space="0" w:color="auto"/>
            <w:right w:val="none" w:sz="0" w:space="0" w:color="auto"/>
          </w:divBdr>
          <w:divsChild>
            <w:div w:id="160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9339">
      <w:bodyDiv w:val="1"/>
      <w:marLeft w:val="0"/>
      <w:marRight w:val="0"/>
      <w:marTop w:val="0"/>
      <w:marBottom w:val="0"/>
      <w:divBdr>
        <w:top w:val="none" w:sz="0" w:space="0" w:color="auto"/>
        <w:left w:val="none" w:sz="0" w:space="0" w:color="auto"/>
        <w:bottom w:val="none" w:sz="0" w:space="0" w:color="auto"/>
        <w:right w:val="none" w:sz="0" w:space="0" w:color="auto"/>
      </w:divBdr>
      <w:divsChild>
        <w:div w:id="1903906679">
          <w:marLeft w:val="0"/>
          <w:marRight w:val="0"/>
          <w:marTop w:val="0"/>
          <w:marBottom w:val="0"/>
          <w:divBdr>
            <w:top w:val="none" w:sz="0" w:space="0" w:color="auto"/>
            <w:left w:val="none" w:sz="0" w:space="0" w:color="auto"/>
            <w:bottom w:val="none" w:sz="0" w:space="0" w:color="auto"/>
            <w:right w:val="none" w:sz="0" w:space="0" w:color="auto"/>
          </w:divBdr>
          <w:divsChild>
            <w:div w:id="1137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4011">
      <w:bodyDiv w:val="1"/>
      <w:marLeft w:val="0"/>
      <w:marRight w:val="0"/>
      <w:marTop w:val="0"/>
      <w:marBottom w:val="0"/>
      <w:divBdr>
        <w:top w:val="none" w:sz="0" w:space="0" w:color="auto"/>
        <w:left w:val="none" w:sz="0" w:space="0" w:color="auto"/>
        <w:bottom w:val="none" w:sz="0" w:space="0" w:color="auto"/>
        <w:right w:val="none" w:sz="0" w:space="0" w:color="auto"/>
      </w:divBdr>
      <w:divsChild>
        <w:div w:id="493490505">
          <w:marLeft w:val="0"/>
          <w:marRight w:val="0"/>
          <w:marTop w:val="0"/>
          <w:marBottom w:val="0"/>
          <w:divBdr>
            <w:top w:val="none" w:sz="0" w:space="0" w:color="auto"/>
            <w:left w:val="none" w:sz="0" w:space="0" w:color="auto"/>
            <w:bottom w:val="none" w:sz="0" w:space="0" w:color="auto"/>
            <w:right w:val="none" w:sz="0" w:space="0" w:color="auto"/>
          </w:divBdr>
          <w:divsChild>
            <w:div w:id="30570856">
              <w:marLeft w:val="0"/>
              <w:marRight w:val="0"/>
              <w:marTop w:val="0"/>
              <w:marBottom w:val="0"/>
              <w:divBdr>
                <w:top w:val="none" w:sz="0" w:space="0" w:color="auto"/>
                <w:left w:val="none" w:sz="0" w:space="0" w:color="auto"/>
                <w:bottom w:val="none" w:sz="0" w:space="0" w:color="auto"/>
                <w:right w:val="none" w:sz="0" w:space="0" w:color="auto"/>
              </w:divBdr>
              <w:divsChild>
                <w:div w:id="527184549">
                  <w:marLeft w:val="0"/>
                  <w:marRight w:val="0"/>
                  <w:marTop w:val="0"/>
                  <w:marBottom w:val="0"/>
                  <w:divBdr>
                    <w:top w:val="none" w:sz="0" w:space="0" w:color="auto"/>
                    <w:left w:val="none" w:sz="0" w:space="0" w:color="auto"/>
                    <w:bottom w:val="none" w:sz="0" w:space="0" w:color="auto"/>
                    <w:right w:val="none" w:sz="0" w:space="0" w:color="auto"/>
                  </w:divBdr>
                </w:div>
              </w:divsChild>
            </w:div>
            <w:div w:id="654994652">
              <w:marLeft w:val="0"/>
              <w:marRight w:val="0"/>
              <w:marTop w:val="0"/>
              <w:marBottom w:val="0"/>
              <w:divBdr>
                <w:top w:val="none" w:sz="0" w:space="0" w:color="auto"/>
                <w:left w:val="none" w:sz="0" w:space="0" w:color="auto"/>
                <w:bottom w:val="none" w:sz="0" w:space="0" w:color="auto"/>
                <w:right w:val="none" w:sz="0" w:space="0" w:color="auto"/>
              </w:divBdr>
              <w:divsChild>
                <w:div w:id="729160019">
                  <w:marLeft w:val="0"/>
                  <w:marRight w:val="0"/>
                  <w:marTop w:val="0"/>
                  <w:marBottom w:val="0"/>
                  <w:divBdr>
                    <w:top w:val="none" w:sz="0" w:space="0" w:color="auto"/>
                    <w:left w:val="none" w:sz="0" w:space="0" w:color="auto"/>
                    <w:bottom w:val="none" w:sz="0" w:space="0" w:color="auto"/>
                    <w:right w:val="none" w:sz="0" w:space="0" w:color="auto"/>
                  </w:divBdr>
                </w:div>
              </w:divsChild>
            </w:div>
            <w:div w:id="658384965">
              <w:marLeft w:val="0"/>
              <w:marRight w:val="0"/>
              <w:marTop w:val="0"/>
              <w:marBottom w:val="0"/>
              <w:divBdr>
                <w:top w:val="none" w:sz="0" w:space="0" w:color="auto"/>
                <w:left w:val="none" w:sz="0" w:space="0" w:color="auto"/>
                <w:bottom w:val="none" w:sz="0" w:space="0" w:color="auto"/>
                <w:right w:val="none" w:sz="0" w:space="0" w:color="auto"/>
              </w:divBdr>
              <w:divsChild>
                <w:div w:id="1475176523">
                  <w:marLeft w:val="0"/>
                  <w:marRight w:val="0"/>
                  <w:marTop w:val="0"/>
                  <w:marBottom w:val="0"/>
                  <w:divBdr>
                    <w:top w:val="none" w:sz="0" w:space="0" w:color="auto"/>
                    <w:left w:val="none" w:sz="0" w:space="0" w:color="auto"/>
                    <w:bottom w:val="none" w:sz="0" w:space="0" w:color="auto"/>
                    <w:right w:val="none" w:sz="0" w:space="0" w:color="auto"/>
                  </w:divBdr>
                </w:div>
              </w:divsChild>
            </w:div>
            <w:div w:id="19535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2063">
      <w:bodyDiv w:val="1"/>
      <w:marLeft w:val="0"/>
      <w:marRight w:val="0"/>
      <w:marTop w:val="0"/>
      <w:marBottom w:val="0"/>
      <w:divBdr>
        <w:top w:val="none" w:sz="0" w:space="0" w:color="auto"/>
        <w:left w:val="none" w:sz="0" w:space="0" w:color="auto"/>
        <w:bottom w:val="none" w:sz="0" w:space="0" w:color="auto"/>
        <w:right w:val="none" w:sz="0" w:space="0" w:color="auto"/>
      </w:divBdr>
      <w:divsChild>
        <w:div w:id="1554196254">
          <w:marLeft w:val="0"/>
          <w:marRight w:val="0"/>
          <w:marTop w:val="0"/>
          <w:marBottom w:val="0"/>
          <w:divBdr>
            <w:top w:val="none" w:sz="0" w:space="0" w:color="auto"/>
            <w:left w:val="none" w:sz="0" w:space="0" w:color="auto"/>
            <w:bottom w:val="none" w:sz="0" w:space="0" w:color="auto"/>
            <w:right w:val="none" w:sz="0" w:space="0" w:color="auto"/>
          </w:divBdr>
          <w:divsChild>
            <w:div w:id="2887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6493">
      <w:bodyDiv w:val="1"/>
      <w:marLeft w:val="0"/>
      <w:marRight w:val="0"/>
      <w:marTop w:val="0"/>
      <w:marBottom w:val="0"/>
      <w:divBdr>
        <w:top w:val="none" w:sz="0" w:space="0" w:color="auto"/>
        <w:left w:val="none" w:sz="0" w:space="0" w:color="auto"/>
        <w:bottom w:val="none" w:sz="0" w:space="0" w:color="auto"/>
        <w:right w:val="none" w:sz="0" w:space="0" w:color="auto"/>
      </w:divBdr>
      <w:divsChild>
        <w:div w:id="753362936">
          <w:marLeft w:val="0"/>
          <w:marRight w:val="0"/>
          <w:marTop w:val="0"/>
          <w:marBottom w:val="0"/>
          <w:divBdr>
            <w:top w:val="none" w:sz="0" w:space="0" w:color="auto"/>
            <w:left w:val="none" w:sz="0" w:space="0" w:color="auto"/>
            <w:bottom w:val="none" w:sz="0" w:space="0" w:color="auto"/>
            <w:right w:val="none" w:sz="0" w:space="0" w:color="auto"/>
          </w:divBdr>
          <w:divsChild>
            <w:div w:id="10558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427">
      <w:bodyDiv w:val="1"/>
      <w:marLeft w:val="0"/>
      <w:marRight w:val="0"/>
      <w:marTop w:val="0"/>
      <w:marBottom w:val="0"/>
      <w:divBdr>
        <w:top w:val="none" w:sz="0" w:space="0" w:color="auto"/>
        <w:left w:val="none" w:sz="0" w:space="0" w:color="auto"/>
        <w:bottom w:val="none" w:sz="0" w:space="0" w:color="auto"/>
        <w:right w:val="none" w:sz="0" w:space="0" w:color="auto"/>
      </w:divBdr>
      <w:divsChild>
        <w:div w:id="2046172353">
          <w:marLeft w:val="0"/>
          <w:marRight w:val="0"/>
          <w:marTop w:val="0"/>
          <w:marBottom w:val="0"/>
          <w:divBdr>
            <w:top w:val="none" w:sz="0" w:space="0" w:color="auto"/>
            <w:left w:val="none" w:sz="0" w:space="0" w:color="auto"/>
            <w:bottom w:val="none" w:sz="0" w:space="0" w:color="auto"/>
            <w:right w:val="none" w:sz="0" w:space="0" w:color="auto"/>
          </w:divBdr>
          <w:divsChild>
            <w:div w:id="354159229">
              <w:marLeft w:val="0"/>
              <w:marRight w:val="0"/>
              <w:marTop w:val="0"/>
              <w:marBottom w:val="0"/>
              <w:divBdr>
                <w:top w:val="none" w:sz="0" w:space="0" w:color="auto"/>
                <w:left w:val="none" w:sz="0" w:space="0" w:color="auto"/>
                <w:bottom w:val="none" w:sz="0" w:space="0" w:color="auto"/>
                <w:right w:val="none" w:sz="0" w:space="0" w:color="auto"/>
              </w:divBdr>
              <w:divsChild>
                <w:div w:id="1774402024">
                  <w:marLeft w:val="0"/>
                  <w:marRight w:val="0"/>
                  <w:marTop w:val="0"/>
                  <w:marBottom w:val="0"/>
                  <w:divBdr>
                    <w:top w:val="none" w:sz="0" w:space="0" w:color="auto"/>
                    <w:left w:val="none" w:sz="0" w:space="0" w:color="auto"/>
                    <w:bottom w:val="none" w:sz="0" w:space="0" w:color="auto"/>
                    <w:right w:val="none" w:sz="0" w:space="0" w:color="auto"/>
                  </w:divBdr>
                </w:div>
              </w:divsChild>
            </w:div>
            <w:div w:id="1797871911">
              <w:marLeft w:val="0"/>
              <w:marRight w:val="0"/>
              <w:marTop w:val="0"/>
              <w:marBottom w:val="0"/>
              <w:divBdr>
                <w:top w:val="none" w:sz="0" w:space="0" w:color="auto"/>
                <w:left w:val="none" w:sz="0" w:space="0" w:color="auto"/>
                <w:bottom w:val="none" w:sz="0" w:space="0" w:color="auto"/>
                <w:right w:val="none" w:sz="0" w:space="0" w:color="auto"/>
              </w:divBdr>
              <w:divsChild>
                <w:div w:id="1775204567">
                  <w:marLeft w:val="0"/>
                  <w:marRight w:val="0"/>
                  <w:marTop w:val="0"/>
                  <w:marBottom w:val="0"/>
                  <w:divBdr>
                    <w:top w:val="none" w:sz="0" w:space="0" w:color="auto"/>
                    <w:left w:val="none" w:sz="0" w:space="0" w:color="auto"/>
                    <w:bottom w:val="none" w:sz="0" w:space="0" w:color="auto"/>
                    <w:right w:val="none" w:sz="0" w:space="0" w:color="auto"/>
                  </w:divBdr>
                </w:div>
              </w:divsChild>
            </w:div>
            <w:div w:id="1143237978">
              <w:marLeft w:val="0"/>
              <w:marRight w:val="0"/>
              <w:marTop w:val="0"/>
              <w:marBottom w:val="0"/>
              <w:divBdr>
                <w:top w:val="none" w:sz="0" w:space="0" w:color="auto"/>
                <w:left w:val="none" w:sz="0" w:space="0" w:color="auto"/>
                <w:bottom w:val="none" w:sz="0" w:space="0" w:color="auto"/>
                <w:right w:val="none" w:sz="0" w:space="0" w:color="auto"/>
              </w:divBdr>
              <w:divsChild>
                <w:div w:id="1545174096">
                  <w:marLeft w:val="0"/>
                  <w:marRight w:val="0"/>
                  <w:marTop w:val="0"/>
                  <w:marBottom w:val="0"/>
                  <w:divBdr>
                    <w:top w:val="none" w:sz="0" w:space="0" w:color="auto"/>
                    <w:left w:val="none" w:sz="0" w:space="0" w:color="auto"/>
                    <w:bottom w:val="none" w:sz="0" w:space="0" w:color="auto"/>
                    <w:right w:val="none" w:sz="0" w:space="0" w:color="auto"/>
                  </w:divBdr>
                </w:div>
              </w:divsChild>
            </w:div>
            <w:div w:id="12058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1318">
      <w:bodyDiv w:val="1"/>
      <w:marLeft w:val="0"/>
      <w:marRight w:val="0"/>
      <w:marTop w:val="0"/>
      <w:marBottom w:val="0"/>
      <w:divBdr>
        <w:top w:val="none" w:sz="0" w:space="0" w:color="auto"/>
        <w:left w:val="none" w:sz="0" w:space="0" w:color="auto"/>
        <w:bottom w:val="none" w:sz="0" w:space="0" w:color="auto"/>
        <w:right w:val="none" w:sz="0" w:space="0" w:color="auto"/>
      </w:divBdr>
      <w:divsChild>
        <w:div w:id="1011026185">
          <w:marLeft w:val="0"/>
          <w:marRight w:val="0"/>
          <w:marTop w:val="0"/>
          <w:marBottom w:val="0"/>
          <w:divBdr>
            <w:top w:val="none" w:sz="0" w:space="0" w:color="auto"/>
            <w:left w:val="none" w:sz="0" w:space="0" w:color="auto"/>
            <w:bottom w:val="none" w:sz="0" w:space="0" w:color="auto"/>
            <w:right w:val="none" w:sz="0" w:space="0" w:color="auto"/>
          </w:divBdr>
          <w:divsChild>
            <w:div w:id="20780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54">
      <w:bodyDiv w:val="1"/>
      <w:marLeft w:val="0"/>
      <w:marRight w:val="0"/>
      <w:marTop w:val="0"/>
      <w:marBottom w:val="0"/>
      <w:divBdr>
        <w:top w:val="none" w:sz="0" w:space="0" w:color="auto"/>
        <w:left w:val="none" w:sz="0" w:space="0" w:color="auto"/>
        <w:bottom w:val="none" w:sz="0" w:space="0" w:color="auto"/>
        <w:right w:val="none" w:sz="0" w:space="0" w:color="auto"/>
      </w:divBdr>
      <w:divsChild>
        <w:div w:id="1875849434">
          <w:marLeft w:val="0"/>
          <w:marRight w:val="0"/>
          <w:marTop w:val="0"/>
          <w:marBottom w:val="0"/>
          <w:divBdr>
            <w:top w:val="none" w:sz="0" w:space="0" w:color="auto"/>
            <w:left w:val="none" w:sz="0" w:space="0" w:color="auto"/>
            <w:bottom w:val="none" w:sz="0" w:space="0" w:color="auto"/>
            <w:right w:val="none" w:sz="0" w:space="0" w:color="auto"/>
          </w:divBdr>
          <w:divsChild>
            <w:div w:id="513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7862">
      <w:bodyDiv w:val="1"/>
      <w:marLeft w:val="0"/>
      <w:marRight w:val="0"/>
      <w:marTop w:val="0"/>
      <w:marBottom w:val="0"/>
      <w:divBdr>
        <w:top w:val="none" w:sz="0" w:space="0" w:color="auto"/>
        <w:left w:val="none" w:sz="0" w:space="0" w:color="auto"/>
        <w:bottom w:val="none" w:sz="0" w:space="0" w:color="auto"/>
        <w:right w:val="none" w:sz="0" w:space="0" w:color="auto"/>
      </w:divBdr>
      <w:divsChild>
        <w:div w:id="298193999">
          <w:marLeft w:val="0"/>
          <w:marRight w:val="0"/>
          <w:marTop w:val="0"/>
          <w:marBottom w:val="0"/>
          <w:divBdr>
            <w:top w:val="none" w:sz="0" w:space="0" w:color="auto"/>
            <w:left w:val="none" w:sz="0" w:space="0" w:color="auto"/>
            <w:bottom w:val="none" w:sz="0" w:space="0" w:color="auto"/>
            <w:right w:val="none" w:sz="0" w:space="0" w:color="auto"/>
          </w:divBdr>
          <w:divsChild>
            <w:div w:id="13428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3007">
      <w:bodyDiv w:val="1"/>
      <w:marLeft w:val="0"/>
      <w:marRight w:val="0"/>
      <w:marTop w:val="0"/>
      <w:marBottom w:val="0"/>
      <w:divBdr>
        <w:top w:val="none" w:sz="0" w:space="0" w:color="auto"/>
        <w:left w:val="none" w:sz="0" w:space="0" w:color="auto"/>
        <w:bottom w:val="none" w:sz="0" w:space="0" w:color="auto"/>
        <w:right w:val="none" w:sz="0" w:space="0" w:color="auto"/>
      </w:divBdr>
      <w:divsChild>
        <w:div w:id="132259350">
          <w:marLeft w:val="0"/>
          <w:marRight w:val="0"/>
          <w:marTop w:val="0"/>
          <w:marBottom w:val="0"/>
          <w:divBdr>
            <w:top w:val="none" w:sz="0" w:space="0" w:color="auto"/>
            <w:left w:val="none" w:sz="0" w:space="0" w:color="auto"/>
            <w:bottom w:val="none" w:sz="0" w:space="0" w:color="auto"/>
            <w:right w:val="none" w:sz="0" w:space="0" w:color="auto"/>
          </w:divBdr>
          <w:divsChild>
            <w:div w:id="11617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9748">
      <w:bodyDiv w:val="1"/>
      <w:marLeft w:val="0"/>
      <w:marRight w:val="0"/>
      <w:marTop w:val="0"/>
      <w:marBottom w:val="0"/>
      <w:divBdr>
        <w:top w:val="none" w:sz="0" w:space="0" w:color="auto"/>
        <w:left w:val="none" w:sz="0" w:space="0" w:color="auto"/>
        <w:bottom w:val="none" w:sz="0" w:space="0" w:color="auto"/>
        <w:right w:val="none" w:sz="0" w:space="0" w:color="auto"/>
      </w:divBdr>
      <w:divsChild>
        <w:div w:id="1849246139">
          <w:marLeft w:val="0"/>
          <w:marRight w:val="0"/>
          <w:marTop w:val="0"/>
          <w:marBottom w:val="0"/>
          <w:divBdr>
            <w:top w:val="none" w:sz="0" w:space="0" w:color="auto"/>
            <w:left w:val="none" w:sz="0" w:space="0" w:color="auto"/>
            <w:bottom w:val="none" w:sz="0" w:space="0" w:color="auto"/>
            <w:right w:val="none" w:sz="0" w:space="0" w:color="auto"/>
          </w:divBdr>
          <w:divsChild>
            <w:div w:id="9369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6363">
      <w:bodyDiv w:val="1"/>
      <w:marLeft w:val="0"/>
      <w:marRight w:val="0"/>
      <w:marTop w:val="0"/>
      <w:marBottom w:val="0"/>
      <w:divBdr>
        <w:top w:val="none" w:sz="0" w:space="0" w:color="auto"/>
        <w:left w:val="none" w:sz="0" w:space="0" w:color="auto"/>
        <w:bottom w:val="none" w:sz="0" w:space="0" w:color="auto"/>
        <w:right w:val="none" w:sz="0" w:space="0" w:color="auto"/>
      </w:divBdr>
      <w:divsChild>
        <w:div w:id="1822965065">
          <w:marLeft w:val="0"/>
          <w:marRight w:val="0"/>
          <w:marTop w:val="0"/>
          <w:marBottom w:val="0"/>
          <w:divBdr>
            <w:top w:val="none" w:sz="0" w:space="0" w:color="auto"/>
            <w:left w:val="none" w:sz="0" w:space="0" w:color="auto"/>
            <w:bottom w:val="none" w:sz="0" w:space="0" w:color="auto"/>
            <w:right w:val="none" w:sz="0" w:space="0" w:color="auto"/>
          </w:divBdr>
          <w:divsChild>
            <w:div w:id="3968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5948">
      <w:bodyDiv w:val="1"/>
      <w:marLeft w:val="0"/>
      <w:marRight w:val="0"/>
      <w:marTop w:val="0"/>
      <w:marBottom w:val="0"/>
      <w:divBdr>
        <w:top w:val="none" w:sz="0" w:space="0" w:color="auto"/>
        <w:left w:val="none" w:sz="0" w:space="0" w:color="auto"/>
        <w:bottom w:val="none" w:sz="0" w:space="0" w:color="auto"/>
        <w:right w:val="none" w:sz="0" w:space="0" w:color="auto"/>
      </w:divBdr>
      <w:divsChild>
        <w:div w:id="1754279250">
          <w:marLeft w:val="0"/>
          <w:marRight w:val="0"/>
          <w:marTop w:val="0"/>
          <w:marBottom w:val="0"/>
          <w:divBdr>
            <w:top w:val="none" w:sz="0" w:space="0" w:color="auto"/>
            <w:left w:val="none" w:sz="0" w:space="0" w:color="auto"/>
            <w:bottom w:val="none" w:sz="0" w:space="0" w:color="auto"/>
            <w:right w:val="none" w:sz="0" w:space="0" w:color="auto"/>
          </w:divBdr>
          <w:divsChild>
            <w:div w:id="1426075660">
              <w:marLeft w:val="0"/>
              <w:marRight w:val="0"/>
              <w:marTop w:val="0"/>
              <w:marBottom w:val="0"/>
              <w:divBdr>
                <w:top w:val="none" w:sz="0" w:space="0" w:color="auto"/>
                <w:left w:val="none" w:sz="0" w:space="0" w:color="auto"/>
                <w:bottom w:val="none" w:sz="0" w:space="0" w:color="auto"/>
                <w:right w:val="none" w:sz="0" w:space="0" w:color="auto"/>
              </w:divBdr>
              <w:divsChild>
                <w:div w:id="623124291">
                  <w:marLeft w:val="0"/>
                  <w:marRight w:val="0"/>
                  <w:marTop w:val="0"/>
                  <w:marBottom w:val="0"/>
                  <w:divBdr>
                    <w:top w:val="none" w:sz="0" w:space="0" w:color="auto"/>
                    <w:left w:val="none" w:sz="0" w:space="0" w:color="auto"/>
                    <w:bottom w:val="none" w:sz="0" w:space="0" w:color="auto"/>
                    <w:right w:val="none" w:sz="0" w:space="0" w:color="auto"/>
                  </w:divBdr>
                </w:div>
              </w:divsChild>
            </w:div>
            <w:div w:id="1486512607">
              <w:marLeft w:val="0"/>
              <w:marRight w:val="0"/>
              <w:marTop w:val="0"/>
              <w:marBottom w:val="0"/>
              <w:divBdr>
                <w:top w:val="none" w:sz="0" w:space="0" w:color="auto"/>
                <w:left w:val="none" w:sz="0" w:space="0" w:color="auto"/>
                <w:bottom w:val="none" w:sz="0" w:space="0" w:color="auto"/>
                <w:right w:val="none" w:sz="0" w:space="0" w:color="auto"/>
              </w:divBdr>
              <w:divsChild>
                <w:div w:id="1539973621">
                  <w:marLeft w:val="0"/>
                  <w:marRight w:val="0"/>
                  <w:marTop w:val="0"/>
                  <w:marBottom w:val="0"/>
                  <w:divBdr>
                    <w:top w:val="none" w:sz="0" w:space="0" w:color="auto"/>
                    <w:left w:val="none" w:sz="0" w:space="0" w:color="auto"/>
                    <w:bottom w:val="none" w:sz="0" w:space="0" w:color="auto"/>
                    <w:right w:val="none" w:sz="0" w:space="0" w:color="auto"/>
                  </w:divBdr>
                </w:div>
              </w:divsChild>
            </w:div>
            <w:div w:id="2080011370">
              <w:marLeft w:val="0"/>
              <w:marRight w:val="0"/>
              <w:marTop w:val="0"/>
              <w:marBottom w:val="0"/>
              <w:divBdr>
                <w:top w:val="none" w:sz="0" w:space="0" w:color="auto"/>
                <w:left w:val="none" w:sz="0" w:space="0" w:color="auto"/>
                <w:bottom w:val="none" w:sz="0" w:space="0" w:color="auto"/>
                <w:right w:val="none" w:sz="0" w:space="0" w:color="auto"/>
              </w:divBdr>
              <w:divsChild>
                <w:div w:id="1209686716">
                  <w:marLeft w:val="0"/>
                  <w:marRight w:val="0"/>
                  <w:marTop w:val="0"/>
                  <w:marBottom w:val="0"/>
                  <w:divBdr>
                    <w:top w:val="none" w:sz="0" w:space="0" w:color="auto"/>
                    <w:left w:val="none" w:sz="0" w:space="0" w:color="auto"/>
                    <w:bottom w:val="none" w:sz="0" w:space="0" w:color="auto"/>
                    <w:right w:val="none" w:sz="0" w:space="0" w:color="auto"/>
                  </w:divBdr>
                </w:div>
              </w:divsChild>
            </w:div>
            <w:div w:id="10128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3302">
      <w:bodyDiv w:val="1"/>
      <w:marLeft w:val="0"/>
      <w:marRight w:val="0"/>
      <w:marTop w:val="0"/>
      <w:marBottom w:val="0"/>
      <w:divBdr>
        <w:top w:val="none" w:sz="0" w:space="0" w:color="auto"/>
        <w:left w:val="none" w:sz="0" w:space="0" w:color="auto"/>
        <w:bottom w:val="none" w:sz="0" w:space="0" w:color="auto"/>
        <w:right w:val="none" w:sz="0" w:space="0" w:color="auto"/>
      </w:divBdr>
      <w:divsChild>
        <w:div w:id="2002266810">
          <w:marLeft w:val="0"/>
          <w:marRight w:val="0"/>
          <w:marTop w:val="0"/>
          <w:marBottom w:val="0"/>
          <w:divBdr>
            <w:top w:val="none" w:sz="0" w:space="0" w:color="auto"/>
            <w:left w:val="none" w:sz="0" w:space="0" w:color="auto"/>
            <w:bottom w:val="none" w:sz="0" w:space="0" w:color="auto"/>
            <w:right w:val="none" w:sz="0" w:space="0" w:color="auto"/>
          </w:divBdr>
          <w:divsChild>
            <w:div w:id="272901927">
              <w:marLeft w:val="0"/>
              <w:marRight w:val="0"/>
              <w:marTop w:val="0"/>
              <w:marBottom w:val="0"/>
              <w:divBdr>
                <w:top w:val="none" w:sz="0" w:space="0" w:color="auto"/>
                <w:left w:val="none" w:sz="0" w:space="0" w:color="auto"/>
                <w:bottom w:val="none" w:sz="0" w:space="0" w:color="auto"/>
                <w:right w:val="none" w:sz="0" w:space="0" w:color="auto"/>
              </w:divBdr>
              <w:divsChild>
                <w:div w:id="1589970288">
                  <w:marLeft w:val="0"/>
                  <w:marRight w:val="0"/>
                  <w:marTop w:val="0"/>
                  <w:marBottom w:val="0"/>
                  <w:divBdr>
                    <w:top w:val="none" w:sz="0" w:space="0" w:color="auto"/>
                    <w:left w:val="none" w:sz="0" w:space="0" w:color="auto"/>
                    <w:bottom w:val="none" w:sz="0" w:space="0" w:color="auto"/>
                    <w:right w:val="none" w:sz="0" w:space="0" w:color="auto"/>
                  </w:divBdr>
                </w:div>
              </w:divsChild>
            </w:div>
            <w:div w:id="793140836">
              <w:marLeft w:val="0"/>
              <w:marRight w:val="0"/>
              <w:marTop w:val="0"/>
              <w:marBottom w:val="0"/>
              <w:divBdr>
                <w:top w:val="none" w:sz="0" w:space="0" w:color="auto"/>
                <w:left w:val="none" w:sz="0" w:space="0" w:color="auto"/>
                <w:bottom w:val="none" w:sz="0" w:space="0" w:color="auto"/>
                <w:right w:val="none" w:sz="0" w:space="0" w:color="auto"/>
              </w:divBdr>
              <w:divsChild>
                <w:div w:id="406150745">
                  <w:marLeft w:val="0"/>
                  <w:marRight w:val="0"/>
                  <w:marTop w:val="0"/>
                  <w:marBottom w:val="0"/>
                  <w:divBdr>
                    <w:top w:val="none" w:sz="0" w:space="0" w:color="auto"/>
                    <w:left w:val="none" w:sz="0" w:space="0" w:color="auto"/>
                    <w:bottom w:val="none" w:sz="0" w:space="0" w:color="auto"/>
                    <w:right w:val="none" w:sz="0" w:space="0" w:color="auto"/>
                  </w:divBdr>
                </w:div>
              </w:divsChild>
            </w:div>
            <w:div w:id="8753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1022">
      <w:bodyDiv w:val="1"/>
      <w:marLeft w:val="0"/>
      <w:marRight w:val="0"/>
      <w:marTop w:val="0"/>
      <w:marBottom w:val="0"/>
      <w:divBdr>
        <w:top w:val="none" w:sz="0" w:space="0" w:color="auto"/>
        <w:left w:val="none" w:sz="0" w:space="0" w:color="auto"/>
        <w:bottom w:val="none" w:sz="0" w:space="0" w:color="auto"/>
        <w:right w:val="none" w:sz="0" w:space="0" w:color="auto"/>
      </w:divBdr>
      <w:divsChild>
        <w:div w:id="260992429">
          <w:marLeft w:val="0"/>
          <w:marRight w:val="0"/>
          <w:marTop w:val="0"/>
          <w:marBottom w:val="0"/>
          <w:divBdr>
            <w:top w:val="none" w:sz="0" w:space="0" w:color="auto"/>
            <w:left w:val="none" w:sz="0" w:space="0" w:color="auto"/>
            <w:bottom w:val="none" w:sz="0" w:space="0" w:color="auto"/>
            <w:right w:val="none" w:sz="0" w:space="0" w:color="auto"/>
          </w:divBdr>
          <w:divsChild>
            <w:div w:id="10503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6780">
      <w:bodyDiv w:val="1"/>
      <w:marLeft w:val="0"/>
      <w:marRight w:val="0"/>
      <w:marTop w:val="0"/>
      <w:marBottom w:val="0"/>
      <w:divBdr>
        <w:top w:val="none" w:sz="0" w:space="0" w:color="auto"/>
        <w:left w:val="none" w:sz="0" w:space="0" w:color="auto"/>
        <w:bottom w:val="none" w:sz="0" w:space="0" w:color="auto"/>
        <w:right w:val="none" w:sz="0" w:space="0" w:color="auto"/>
      </w:divBdr>
      <w:divsChild>
        <w:div w:id="239338007">
          <w:marLeft w:val="0"/>
          <w:marRight w:val="0"/>
          <w:marTop w:val="0"/>
          <w:marBottom w:val="0"/>
          <w:divBdr>
            <w:top w:val="none" w:sz="0" w:space="0" w:color="auto"/>
            <w:left w:val="none" w:sz="0" w:space="0" w:color="auto"/>
            <w:bottom w:val="none" w:sz="0" w:space="0" w:color="auto"/>
            <w:right w:val="none" w:sz="0" w:space="0" w:color="auto"/>
          </w:divBdr>
          <w:divsChild>
            <w:div w:id="498618887">
              <w:marLeft w:val="0"/>
              <w:marRight w:val="0"/>
              <w:marTop w:val="0"/>
              <w:marBottom w:val="0"/>
              <w:divBdr>
                <w:top w:val="none" w:sz="0" w:space="0" w:color="auto"/>
                <w:left w:val="none" w:sz="0" w:space="0" w:color="auto"/>
                <w:bottom w:val="none" w:sz="0" w:space="0" w:color="auto"/>
                <w:right w:val="none" w:sz="0" w:space="0" w:color="auto"/>
              </w:divBdr>
              <w:divsChild>
                <w:div w:id="1283152559">
                  <w:marLeft w:val="0"/>
                  <w:marRight w:val="0"/>
                  <w:marTop w:val="0"/>
                  <w:marBottom w:val="0"/>
                  <w:divBdr>
                    <w:top w:val="none" w:sz="0" w:space="0" w:color="auto"/>
                    <w:left w:val="none" w:sz="0" w:space="0" w:color="auto"/>
                    <w:bottom w:val="none" w:sz="0" w:space="0" w:color="auto"/>
                    <w:right w:val="none" w:sz="0" w:space="0" w:color="auto"/>
                  </w:divBdr>
                </w:div>
              </w:divsChild>
            </w:div>
            <w:div w:id="897863722">
              <w:marLeft w:val="0"/>
              <w:marRight w:val="0"/>
              <w:marTop w:val="0"/>
              <w:marBottom w:val="0"/>
              <w:divBdr>
                <w:top w:val="none" w:sz="0" w:space="0" w:color="auto"/>
                <w:left w:val="none" w:sz="0" w:space="0" w:color="auto"/>
                <w:bottom w:val="none" w:sz="0" w:space="0" w:color="auto"/>
                <w:right w:val="none" w:sz="0" w:space="0" w:color="auto"/>
              </w:divBdr>
              <w:divsChild>
                <w:div w:id="1862476530">
                  <w:marLeft w:val="0"/>
                  <w:marRight w:val="0"/>
                  <w:marTop w:val="0"/>
                  <w:marBottom w:val="0"/>
                  <w:divBdr>
                    <w:top w:val="none" w:sz="0" w:space="0" w:color="auto"/>
                    <w:left w:val="none" w:sz="0" w:space="0" w:color="auto"/>
                    <w:bottom w:val="none" w:sz="0" w:space="0" w:color="auto"/>
                    <w:right w:val="none" w:sz="0" w:space="0" w:color="auto"/>
                  </w:divBdr>
                </w:div>
              </w:divsChild>
            </w:div>
            <w:div w:id="17788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4037">
      <w:bodyDiv w:val="1"/>
      <w:marLeft w:val="0"/>
      <w:marRight w:val="0"/>
      <w:marTop w:val="0"/>
      <w:marBottom w:val="0"/>
      <w:divBdr>
        <w:top w:val="none" w:sz="0" w:space="0" w:color="auto"/>
        <w:left w:val="none" w:sz="0" w:space="0" w:color="auto"/>
        <w:bottom w:val="none" w:sz="0" w:space="0" w:color="auto"/>
        <w:right w:val="none" w:sz="0" w:space="0" w:color="auto"/>
      </w:divBdr>
      <w:divsChild>
        <w:div w:id="190147887">
          <w:marLeft w:val="0"/>
          <w:marRight w:val="0"/>
          <w:marTop w:val="0"/>
          <w:marBottom w:val="0"/>
          <w:divBdr>
            <w:top w:val="none" w:sz="0" w:space="0" w:color="auto"/>
            <w:left w:val="none" w:sz="0" w:space="0" w:color="auto"/>
            <w:bottom w:val="none" w:sz="0" w:space="0" w:color="auto"/>
            <w:right w:val="none" w:sz="0" w:space="0" w:color="auto"/>
          </w:divBdr>
          <w:divsChild>
            <w:div w:id="12634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7869">
      <w:bodyDiv w:val="1"/>
      <w:marLeft w:val="0"/>
      <w:marRight w:val="0"/>
      <w:marTop w:val="0"/>
      <w:marBottom w:val="0"/>
      <w:divBdr>
        <w:top w:val="none" w:sz="0" w:space="0" w:color="auto"/>
        <w:left w:val="none" w:sz="0" w:space="0" w:color="auto"/>
        <w:bottom w:val="none" w:sz="0" w:space="0" w:color="auto"/>
        <w:right w:val="none" w:sz="0" w:space="0" w:color="auto"/>
      </w:divBdr>
      <w:divsChild>
        <w:div w:id="1864588957">
          <w:marLeft w:val="0"/>
          <w:marRight w:val="0"/>
          <w:marTop w:val="0"/>
          <w:marBottom w:val="0"/>
          <w:divBdr>
            <w:top w:val="none" w:sz="0" w:space="0" w:color="auto"/>
            <w:left w:val="none" w:sz="0" w:space="0" w:color="auto"/>
            <w:bottom w:val="none" w:sz="0" w:space="0" w:color="auto"/>
            <w:right w:val="none" w:sz="0" w:space="0" w:color="auto"/>
          </w:divBdr>
          <w:divsChild>
            <w:div w:id="2005425128">
              <w:marLeft w:val="0"/>
              <w:marRight w:val="0"/>
              <w:marTop w:val="0"/>
              <w:marBottom w:val="0"/>
              <w:divBdr>
                <w:top w:val="none" w:sz="0" w:space="0" w:color="auto"/>
                <w:left w:val="none" w:sz="0" w:space="0" w:color="auto"/>
                <w:bottom w:val="none" w:sz="0" w:space="0" w:color="auto"/>
                <w:right w:val="none" w:sz="0" w:space="0" w:color="auto"/>
              </w:divBdr>
              <w:divsChild>
                <w:div w:id="1806654453">
                  <w:marLeft w:val="0"/>
                  <w:marRight w:val="0"/>
                  <w:marTop w:val="0"/>
                  <w:marBottom w:val="0"/>
                  <w:divBdr>
                    <w:top w:val="none" w:sz="0" w:space="0" w:color="auto"/>
                    <w:left w:val="none" w:sz="0" w:space="0" w:color="auto"/>
                    <w:bottom w:val="none" w:sz="0" w:space="0" w:color="auto"/>
                    <w:right w:val="none" w:sz="0" w:space="0" w:color="auto"/>
                  </w:divBdr>
                </w:div>
              </w:divsChild>
            </w:div>
            <w:div w:id="417216850">
              <w:marLeft w:val="0"/>
              <w:marRight w:val="0"/>
              <w:marTop w:val="0"/>
              <w:marBottom w:val="0"/>
              <w:divBdr>
                <w:top w:val="none" w:sz="0" w:space="0" w:color="auto"/>
                <w:left w:val="none" w:sz="0" w:space="0" w:color="auto"/>
                <w:bottom w:val="none" w:sz="0" w:space="0" w:color="auto"/>
                <w:right w:val="none" w:sz="0" w:space="0" w:color="auto"/>
              </w:divBdr>
              <w:divsChild>
                <w:div w:id="1399553720">
                  <w:marLeft w:val="0"/>
                  <w:marRight w:val="0"/>
                  <w:marTop w:val="0"/>
                  <w:marBottom w:val="0"/>
                  <w:divBdr>
                    <w:top w:val="none" w:sz="0" w:space="0" w:color="auto"/>
                    <w:left w:val="none" w:sz="0" w:space="0" w:color="auto"/>
                    <w:bottom w:val="none" w:sz="0" w:space="0" w:color="auto"/>
                    <w:right w:val="none" w:sz="0" w:space="0" w:color="auto"/>
                  </w:divBdr>
                  <w:divsChild>
                    <w:div w:id="20736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8720">
              <w:marLeft w:val="0"/>
              <w:marRight w:val="0"/>
              <w:marTop w:val="0"/>
              <w:marBottom w:val="0"/>
              <w:divBdr>
                <w:top w:val="none" w:sz="0" w:space="0" w:color="auto"/>
                <w:left w:val="none" w:sz="0" w:space="0" w:color="auto"/>
                <w:bottom w:val="none" w:sz="0" w:space="0" w:color="auto"/>
                <w:right w:val="none" w:sz="0" w:space="0" w:color="auto"/>
              </w:divBdr>
              <w:divsChild>
                <w:div w:id="923538561">
                  <w:marLeft w:val="0"/>
                  <w:marRight w:val="0"/>
                  <w:marTop w:val="0"/>
                  <w:marBottom w:val="0"/>
                  <w:divBdr>
                    <w:top w:val="none" w:sz="0" w:space="0" w:color="auto"/>
                    <w:left w:val="none" w:sz="0" w:space="0" w:color="auto"/>
                    <w:bottom w:val="none" w:sz="0" w:space="0" w:color="auto"/>
                    <w:right w:val="none" w:sz="0" w:space="0" w:color="auto"/>
                  </w:divBdr>
                  <w:divsChild>
                    <w:div w:id="6296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1196">
              <w:marLeft w:val="0"/>
              <w:marRight w:val="0"/>
              <w:marTop w:val="0"/>
              <w:marBottom w:val="0"/>
              <w:divBdr>
                <w:top w:val="none" w:sz="0" w:space="0" w:color="auto"/>
                <w:left w:val="none" w:sz="0" w:space="0" w:color="auto"/>
                <w:bottom w:val="none" w:sz="0" w:space="0" w:color="auto"/>
                <w:right w:val="none" w:sz="0" w:space="0" w:color="auto"/>
              </w:divBdr>
              <w:divsChild>
                <w:div w:id="689528660">
                  <w:marLeft w:val="0"/>
                  <w:marRight w:val="0"/>
                  <w:marTop w:val="0"/>
                  <w:marBottom w:val="0"/>
                  <w:divBdr>
                    <w:top w:val="none" w:sz="0" w:space="0" w:color="auto"/>
                    <w:left w:val="none" w:sz="0" w:space="0" w:color="auto"/>
                    <w:bottom w:val="none" w:sz="0" w:space="0" w:color="auto"/>
                    <w:right w:val="none" w:sz="0" w:space="0" w:color="auto"/>
                  </w:divBdr>
                  <w:divsChild>
                    <w:div w:id="14810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178">
              <w:marLeft w:val="0"/>
              <w:marRight w:val="0"/>
              <w:marTop w:val="0"/>
              <w:marBottom w:val="0"/>
              <w:divBdr>
                <w:top w:val="none" w:sz="0" w:space="0" w:color="auto"/>
                <w:left w:val="none" w:sz="0" w:space="0" w:color="auto"/>
                <w:bottom w:val="none" w:sz="0" w:space="0" w:color="auto"/>
                <w:right w:val="none" w:sz="0" w:space="0" w:color="auto"/>
              </w:divBdr>
              <w:divsChild>
                <w:div w:id="1436167060">
                  <w:marLeft w:val="0"/>
                  <w:marRight w:val="0"/>
                  <w:marTop w:val="0"/>
                  <w:marBottom w:val="0"/>
                  <w:divBdr>
                    <w:top w:val="none" w:sz="0" w:space="0" w:color="auto"/>
                    <w:left w:val="none" w:sz="0" w:space="0" w:color="auto"/>
                    <w:bottom w:val="none" w:sz="0" w:space="0" w:color="auto"/>
                    <w:right w:val="none" w:sz="0" w:space="0" w:color="auto"/>
                  </w:divBdr>
                  <w:divsChild>
                    <w:div w:id="1598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6089">
              <w:marLeft w:val="0"/>
              <w:marRight w:val="0"/>
              <w:marTop w:val="0"/>
              <w:marBottom w:val="0"/>
              <w:divBdr>
                <w:top w:val="none" w:sz="0" w:space="0" w:color="auto"/>
                <w:left w:val="none" w:sz="0" w:space="0" w:color="auto"/>
                <w:bottom w:val="none" w:sz="0" w:space="0" w:color="auto"/>
                <w:right w:val="none" w:sz="0" w:space="0" w:color="auto"/>
              </w:divBdr>
              <w:divsChild>
                <w:div w:id="72121459">
                  <w:marLeft w:val="0"/>
                  <w:marRight w:val="0"/>
                  <w:marTop w:val="0"/>
                  <w:marBottom w:val="0"/>
                  <w:divBdr>
                    <w:top w:val="none" w:sz="0" w:space="0" w:color="auto"/>
                    <w:left w:val="none" w:sz="0" w:space="0" w:color="auto"/>
                    <w:bottom w:val="none" w:sz="0" w:space="0" w:color="auto"/>
                    <w:right w:val="none" w:sz="0" w:space="0" w:color="auto"/>
                  </w:divBdr>
                  <w:divsChild>
                    <w:div w:id="16601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0445">
              <w:marLeft w:val="0"/>
              <w:marRight w:val="0"/>
              <w:marTop w:val="0"/>
              <w:marBottom w:val="0"/>
              <w:divBdr>
                <w:top w:val="none" w:sz="0" w:space="0" w:color="auto"/>
                <w:left w:val="none" w:sz="0" w:space="0" w:color="auto"/>
                <w:bottom w:val="none" w:sz="0" w:space="0" w:color="auto"/>
                <w:right w:val="none" w:sz="0" w:space="0" w:color="auto"/>
              </w:divBdr>
              <w:divsChild>
                <w:div w:id="1945192402">
                  <w:marLeft w:val="0"/>
                  <w:marRight w:val="0"/>
                  <w:marTop w:val="0"/>
                  <w:marBottom w:val="0"/>
                  <w:divBdr>
                    <w:top w:val="none" w:sz="0" w:space="0" w:color="auto"/>
                    <w:left w:val="none" w:sz="0" w:space="0" w:color="auto"/>
                    <w:bottom w:val="none" w:sz="0" w:space="0" w:color="auto"/>
                    <w:right w:val="none" w:sz="0" w:space="0" w:color="auto"/>
                  </w:divBdr>
                  <w:divsChild>
                    <w:div w:id="21161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6653">
      <w:bodyDiv w:val="1"/>
      <w:marLeft w:val="0"/>
      <w:marRight w:val="0"/>
      <w:marTop w:val="0"/>
      <w:marBottom w:val="0"/>
      <w:divBdr>
        <w:top w:val="none" w:sz="0" w:space="0" w:color="auto"/>
        <w:left w:val="none" w:sz="0" w:space="0" w:color="auto"/>
        <w:bottom w:val="none" w:sz="0" w:space="0" w:color="auto"/>
        <w:right w:val="none" w:sz="0" w:space="0" w:color="auto"/>
      </w:divBdr>
      <w:divsChild>
        <w:div w:id="1781948598">
          <w:marLeft w:val="0"/>
          <w:marRight w:val="0"/>
          <w:marTop w:val="0"/>
          <w:marBottom w:val="0"/>
          <w:divBdr>
            <w:top w:val="none" w:sz="0" w:space="0" w:color="auto"/>
            <w:left w:val="none" w:sz="0" w:space="0" w:color="auto"/>
            <w:bottom w:val="none" w:sz="0" w:space="0" w:color="auto"/>
            <w:right w:val="none" w:sz="0" w:space="0" w:color="auto"/>
          </w:divBdr>
          <w:divsChild>
            <w:div w:id="14249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6229">
      <w:bodyDiv w:val="1"/>
      <w:marLeft w:val="0"/>
      <w:marRight w:val="0"/>
      <w:marTop w:val="0"/>
      <w:marBottom w:val="0"/>
      <w:divBdr>
        <w:top w:val="none" w:sz="0" w:space="0" w:color="auto"/>
        <w:left w:val="none" w:sz="0" w:space="0" w:color="auto"/>
        <w:bottom w:val="none" w:sz="0" w:space="0" w:color="auto"/>
        <w:right w:val="none" w:sz="0" w:space="0" w:color="auto"/>
      </w:divBdr>
    </w:div>
    <w:div w:id="1097601042">
      <w:bodyDiv w:val="1"/>
      <w:marLeft w:val="0"/>
      <w:marRight w:val="0"/>
      <w:marTop w:val="0"/>
      <w:marBottom w:val="0"/>
      <w:divBdr>
        <w:top w:val="none" w:sz="0" w:space="0" w:color="auto"/>
        <w:left w:val="none" w:sz="0" w:space="0" w:color="auto"/>
        <w:bottom w:val="none" w:sz="0" w:space="0" w:color="auto"/>
        <w:right w:val="none" w:sz="0" w:space="0" w:color="auto"/>
      </w:divBdr>
      <w:divsChild>
        <w:div w:id="374083236">
          <w:marLeft w:val="0"/>
          <w:marRight w:val="0"/>
          <w:marTop w:val="0"/>
          <w:marBottom w:val="0"/>
          <w:divBdr>
            <w:top w:val="none" w:sz="0" w:space="0" w:color="auto"/>
            <w:left w:val="none" w:sz="0" w:space="0" w:color="auto"/>
            <w:bottom w:val="none" w:sz="0" w:space="0" w:color="auto"/>
            <w:right w:val="none" w:sz="0" w:space="0" w:color="auto"/>
          </w:divBdr>
          <w:divsChild>
            <w:div w:id="258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7955">
      <w:bodyDiv w:val="1"/>
      <w:marLeft w:val="0"/>
      <w:marRight w:val="0"/>
      <w:marTop w:val="0"/>
      <w:marBottom w:val="0"/>
      <w:divBdr>
        <w:top w:val="none" w:sz="0" w:space="0" w:color="auto"/>
        <w:left w:val="none" w:sz="0" w:space="0" w:color="auto"/>
        <w:bottom w:val="none" w:sz="0" w:space="0" w:color="auto"/>
        <w:right w:val="none" w:sz="0" w:space="0" w:color="auto"/>
      </w:divBdr>
      <w:divsChild>
        <w:div w:id="880018541">
          <w:marLeft w:val="0"/>
          <w:marRight w:val="0"/>
          <w:marTop w:val="0"/>
          <w:marBottom w:val="0"/>
          <w:divBdr>
            <w:top w:val="none" w:sz="0" w:space="0" w:color="auto"/>
            <w:left w:val="none" w:sz="0" w:space="0" w:color="auto"/>
            <w:bottom w:val="none" w:sz="0" w:space="0" w:color="auto"/>
            <w:right w:val="none" w:sz="0" w:space="0" w:color="auto"/>
          </w:divBdr>
          <w:divsChild>
            <w:div w:id="13662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8262">
      <w:bodyDiv w:val="1"/>
      <w:marLeft w:val="0"/>
      <w:marRight w:val="0"/>
      <w:marTop w:val="0"/>
      <w:marBottom w:val="0"/>
      <w:divBdr>
        <w:top w:val="none" w:sz="0" w:space="0" w:color="auto"/>
        <w:left w:val="none" w:sz="0" w:space="0" w:color="auto"/>
        <w:bottom w:val="none" w:sz="0" w:space="0" w:color="auto"/>
        <w:right w:val="none" w:sz="0" w:space="0" w:color="auto"/>
      </w:divBdr>
      <w:divsChild>
        <w:div w:id="2081974007">
          <w:marLeft w:val="0"/>
          <w:marRight w:val="0"/>
          <w:marTop w:val="0"/>
          <w:marBottom w:val="0"/>
          <w:divBdr>
            <w:top w:val="none" w:sz="0" w:space="0" w:color="auto"/>
            <w:left w:val="none" w:sz="0" w:space="0" w:color="auto"/>
            <w:bottom w:val="none" w:sz="0" w:space="0" w:color="auto"/>
            <w:right w:val="none" w:sz="0" w:space="0" w:color="auto"/>
          </w:divBdr>
          <w:divsChild>
            <w:div w:id="15729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9575">
      <w:bodyDiv w:val="1"/>
      <w:marLeft w:val="0"/>
      <w:marRight w:val="0"/>
      <w:marTop w:val="0"/>
      <w:marBottom w:val="0"/>
      <w:divBdr>
        <w:top w:val="none" w:sz="0" w:space="0" w:color="auto"/>
        <w:left w:val="none" w:sz="0" w:space="0" w:color="auto"/>
        <w:bottom w:val="none" w:sz="0" w:space="0" w:color="auto"/>
        <w:right w:val="none" w:sz="0" w:space="0" w:color="auto"/>
      </w:divBdr>
      <w:divsChild>
        <w:div w:id="1683555673">
          <w:marLeft w:val="0"/>
          <w:marRight w:val="0"/>
          <w:marTop w:val="0"/>
          <w:marBottom w:val="0"/>
          <w:divBdr>
            <w:top w:val="none" w:sz="0" w:space="0" w:color="auto"/>
            <w:left w:val="none" w:sz="0" w:space="0" w:color="auto"/>
            <w:bottom w:val="none" w:sz="0" w:space="0" w:color="auto"/>
            <w:right w:val="none" w:sz="0" w:space="0" w:color="auto"/>
          </w:divBdr>
          <w:divsChild>
            <w:div w:id="766927661">
              <w:marLeft w:val="0"/>
              <w:marRight w:val="0"/>
              <w:marTop w:val="0"/>
              <w:marBottom w:val="0"/>
              <w:divBdr>
                <w:top w:val="none" w:sz="0" w:space="0" w:color="auto"/>
                <w:left w:val="none" w:sz="0" w:space="0" w:color="auto"/>
                <w:bottom w:val="none" w:sz="0" w:space="0" w:color="auto"/>
                <w:right w:val="none" w:sz="0" w:space="0" w:color="auto"/>
              </w:divBdr>
              <w:divsChild>
                <w:div w:id="888146592">
                  <w:marLeft w:val="0"/>
                  <w:marRight w:val="0"/>
                  <w:marTop w:val="0"/>
                  <w:marBottom w:val="0"/>
                  <w:divBdr>
                    <w:top w:val="none" w:sz="0" w:space="0" w:color="auto"/>
                    <w:left w:val="none" w:sz="0" w:space="0" w:color="auto"/>
                    <w:bottom w:val="none" w:sz="0" w:space="0" w:color="auto"/>
                    <w:right w:val="none" w:sz="0" w:space="0" w:color="auto"/>
                  </w:divBdr>
                </w:div>
              </w:divsChild>
            </w:div>
            <w:div w:id="2069961175">
              <w:marLeft w:val="0"/>
              <w:marRight w:val="0"/>
              <w:marTop w:val="0"/>
              <w:marBottom w:val="0"/>
              <w:divBdr>
                <w:top w:val="none" w:sz="0" w:space="0" w:color="auto"/>
                <w:left w:val="none" w:sz="0" w:space="0" w:color="auto"/>
                <w:bottom w:val="none" w:sz="0" w:space="0" w:color="auto"/>
                <w:right w:val="none" w:sz="0" w:space="0" w:color="auto"/>
              </w:divBdr>
              <w:divsChild>
                <w:div w:id="1657414194">
                  <w:marLeft w:val="0"/>
                  <w:marRight w:val="0"/>
                  <w:marTop w:val="0"/>
                  <w:marBottom w:val="0"/>
                  <w:divBdr>
                    <w:top w:val="none" w:sz="0" w:space="0" w:color="auto"/>
                    <w:left w:val="none" w:sz="0" w:space="0" w:color="auto"/>
                    <w:bottom w:val="none" w:sz="0" w:space="0" w:color="auto"/>
                    <w:right w:val="none" w:sz="0" w:space="0" w:color="auto"/>
                  </w:divBdr>
                </w:div>
              </w:divsChild>
            </w:div>
            <w:div w:id="12541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9196">
      <w:bodyDiv w:val="1"/>
      <w:marLeft w:val="0"/>
      <w:marRight w:val="0"/>
      <w:marTop w:val="0"/>
      <w:marBottom w:val="0"/>
      <w:divBdr>
        <w:top w:val="none" w:sz="0" w:space="0" w:color="auto"/>
        <w:left w:val="none" w:sz="0" w:space="0" w:color="auto"/>
        <w:bottom w:val="none" w:sz="0" w:space="0" w:color="auto"/>
        <w:right w:val="none" w:sz="0" w:space="0" w:color="auto"/>
      </w:divBdr>
      <w:divsChild>
        <w:div w:id="1838418843">
          <w:marLeft w:val="0"/>
          <w:marRight w:val="0"/>
          <w:marTop w:val="0"/>
          <w:marBottom w:val="0"/>
          <w:divBdr>
            <w:top w:val="none" w:sz="0" w:space="0" w:color="auto"/>
            <w:left w:val="none" w:sz="0" w:space="0" w:color="auto"/>
            <w:bottom w:val="none" w:sz="0" w:space="0" w:color="auto"/>
            <w:right w:val="none" w:sz="0" w:space="0" w:color="auto"/>
          </w:divBdr>
          <w:divsChild>
            <w:div w:id="4594411">
              <w:marLeft w:val="0"/>
              <w:marRight w:val="0"/>
              <w:marTop w:val="0"/>
              <w:marBottom w:val="0"/>
              <w:divBdr>
                <w:top w:val="none" w:sz="0" w:space="0" w:color="auto"/>
                <w:left w:val="none" w:sz="0" w:space="0" w:color="auto"/>
                <w:bottom w:val="none" w:sz="0" w:space="0" w:color="auto"/>
                <w:right w:val="none" w:sz="0" w:space="0" w:color="auto"/>
              </w:divBdr>
              <w:divsChild>
                <w:div w:id="474416101">
                  <w:marLeft w:val="0"/>
                  <w:marRight w:val="0"/>
                  <w:marTop w:val="0"/>
                  <w:marBottom w:val="0"/>
                  <w:divBdr>
                    <w:top w:val="none" w:sz="0" w:space="0" w:color="auto"/>
                    <w:left w:val="none" w:sz="0" w:space="0" w:color="auto"/>
                    <w:bottom w:val="none" w:sz="0" w:space="0" w:color="auto"/>
                    <w:right w:val="none" w:sz="0" w:space="0" w:color="auto"/>
                  </w:divBdr>
                </w:div>
              </w:divsChild>
            </w:div>
            <w:div w:id="1525972849">
              <w:marLeft w:val="0"/>
              <w:marRight w:val="0"/>
              <w:marTop w:val="0"/>
              <w:marBottom w:val="0"/>
              <w:divBdr>
                <w:top w:val="none" w:sz="0" w:space="0" w:color="auto"/>
                <w:left w:val="none" w:sz="0" w:space="0" w:color="auto"/>
                <w:bottom w:val="none" w:sz="0" w:space="0" w:color="auto"/>
                <w:right w:val="none" w:sz="0" w:space="0" w:color="auto"/>
              </w:divBdr>
              <w:divsChild>
                <w:div w:id="832338711">
                  <w:marLeft w:val="0"/>
                  <w:marRight w:val="0"/>
                  <w:marTop w:val="0"/>
                  <w:marBottom w:val="0"/>
                  <w:divBdr>
                    <w:top w:val="none" w:sz="0" w:space="0" w:color="auto"/>
                    <w:left w:val="none" w:sz="0" w:space="0" w:color="auto"/>
                    <w:bottom w:val="none" w:sz="0" w:space="0" w:color="auto"/>
                    <w:right w:val="none" w:sz="0" w:space="0" w:color="auto"/>
                  </w:divBdr>
                </w:div>
              </w:divsChild>
            </w:div>
            <w:div w:id="1546671941">
              <w:marLeft w:val="0"/>
              <w:marRight w:val="0"/>
              <w:marTop w:val="0"/>
              <w:marBottom w:val="0"/>
              <w:divBdr>
                <w:top w:val="none" w:sz="0" w:space="0" w:color="auto"/>
                <w:left w:val="none" w:sz="0" w:space="0" w:color="auto"/>
                <w:bottom w:val="none" w:sz="0" w:space="0" w:color="auto"/>
                <w:right w:val="none" w:sz="0" w:space="0" w:color="auto"/>
              </w:divBdr>
              <w:divsChild>
                <w:div w:id="1117873972">
                  <w:marLeft w:val="0"/>
                  <w:marRight w:val="0"/>
                  <w:marTop w:val="0"/>
                  <w:marBottom w:val="0"/>
                  <w:divBdr>
                    <w:top w:val="none" w:sz="0" w:space="0" w:color="auto"/>
                    <w:left w:val="none" w:sz="0" w:space="0" w:color="auto"/>
                    <w:bottom w:val="none" w:sz="0" w:space="0" w:color="auto"/>
                    <w:right w:val="none" w:sz="0" w:space="0" w:color="auto"/>
                  </w:divBdr>
                </w:div>
              </w:divsChild>
            </w:div>
            <w:div w:id="35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4812">
      <w:bodyDiv w:val="1"/>
      <w:marLeft w:val="0"/>
      <w:marRight w:val="0"/>
      <w:marTop w:val="0"/>
      <w:marBottom w:val="0"/>
      <w:divBdr>
        <w:top w:val="none" w:sz="0" w:space="0" w:color="auto"/>
        <w:left w:val="none" w:sz="0" w:space="0" w:color="auto"/>
        <w:bottom w:val="none" w:sz="0" w:space="0" w:color="auto"/>
        <w:right w:val="none" w:sz="0" w:space="0" w:color="auto"/>
      </w:divBdr>
      <w:divsChild>
        <w:div w:id="277640809">
          <w:marLeft w:val="0"/>
          <w:marRight w:val="0"/>
          <w:marTop w:val="0"/>
          <w:marBottom w:val="0"/>
          <w:divBdr>
            <w:top w:val="none" w:sz="0" w:space="0" w:color="auto"/>
            <w:left w:val="none" w:sz="0" w:space="0" w:color="auto"/>
            <w:bottom w:val="none" w:sz="0" w:space="0" w:color="auto"/>
            <w:right w:val="none" w:sz="0" w:space="0" w:color="auto"/>
          </w:divBdr>
          <w:divsChild>
            <w:div w:id="14448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5825">
      <w:bodyDiv w:val="1"/>
      <w:marLeft w:val="0"/>
      <w:marRight w:val="0"/>
      <w:marTop w:val="0"/>
      <w:marBottom w:val="0"/>
      <w:divBdr>
        <w:top w:val="none" w:sz="0" w:space="0" w:color="auto"/>
        <w:left w:val="none" w:sz="0" w:space="0" w:color="auto"/>
        <w:bottom w:val="none" w:sz="0" w:space="0" w:color="auto"/>
        <w:right w:val="none" w:sz="0" w:space="0" w:color="auto"/>
      </w:divBdr>
      <w:divsChild>
        <w:div w:id="261958714">
          <w:marLeft w:val="0"/>
          <w:marRight w:val="0"/>
          <w:marTop w:val="0"/>
          <w:marBottom w:val="0"/>
          <w:divBdr>
            <w:top w:val="none" w:sz="0" w:space="0" w:color="auto"/>
            <w:left w:val="none" w:sz="0" w:space="0" w:color="auto"/>
            <w:bottom w:val="none" w:sz="0" w:space="0" w:color="auto"/>
            <w:right w:val="none" w:sz="0" w:space="0" w:color="auto"/>
          </w:divBdr>
          <w:divsChild>
            <w:div w:id="10674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223">
      <w:bodyDiv w:val="1"/>
      <w:marLeft w:val="0"/>
      <w:marRight w:val="0"/>
      <w:marTop w:val="0"/>
      <w:marBottom w:val="0"/>
      <w:divBdr>
        <w:top w:val="none" w:sz="0" w:space="0" w:color="auto"/>
        <w:left w:val="none" w:sz="0" w:space="0" w:color="auto"/>
        <w:bottom w:val="none" w:sz="0" w:space="0" w:color="auto"/>
        <w:right w:val="none" w:sz="0" w:space="0" w:color="auto"/>
      </w:divBdr>
      <w:divsChild>
        <w:div w:id="1666087533">
          <w:marLeft w:val="0"/>
          <w:marRight w:val="0"/>
          <w:marTop w:val="0"/>
          <w:marBottom w:val="0"/>
          <w:divBdr>
            <w:top w:val="none" w:sz="0" w:space="0" w:color="auto"/>
            <w:left w:val="none" w:sz="0" w:space="0" w:color="auto"/>
            <w:bottom w:val="none" w:sz="0" w:space="0" w:color="auto"/>
            <w:right w:val="none" w:sz="0" w:space="0" w:color="auto"/>
          </w:divBdr>
          <w:divsChild>
            <w:div w:id="13204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6875">
      <w:bodyDiv w:val="1"/>
      <w:marLeft w:val="0"/>
      <w:marRight w:val="0"/>
      <w:marTop w:val="0"/>
      <w:marBottom w:val="0"/>
      <w:divBdr>
        <w:top w:val="none" w:sz="0" w:space="0" w:color="auto"/>
        <w:left w:val="none" w:sz="0" w:space="0" w:color="auto"/>
        <w:bottom w:val="none" w:sz="0" w:space="0" w:color="auto"/>
        <w:right w:val="none" w:sz="0" w:space="0" w:color="auto"/>
      </w:divBdr>
      <w:divsChild>
        <w:div w:id="396243146">
          <w:marLeft w:val="0"/>
          <w:marRight w:val="0"/>
          <w:marTop w:val="0"/>
          <w:marBottom w:val="0"/>
          <w:divBdr>
            <w:top w:val="none" w:sz="0" w:space="0" w:color="auto"/>
            <w:left w:val="none" w:sz="0" w:space="0" w:color="auto"/>
            <w:bottom w:val="none" w:sz="0" w:space="0" w:color="auto"/>
            <w:right w:val="none" w:sz="0" w:space="0" w:color="auto"/>
          </w:divBdr>
          <w:divsChild>
            <w:div w:id="10961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805">
      <w:bodyDiv w:val="1"/>
      <w:marLeft w:val="0"/>
      <w:marRight w:val="0"/>
      <w:marTop w:val="0"/>
      <w:marBottom w:val="0"/>
      <w:divBdr>
        <w:top w:val="none" w:sz="0" w:space="0" w:color="auto"/>
        <w:left w:val="none" w:sz="0" w:space="0" w:color="auto"/>
        <w:bottom w:val="none" w:sz="0" w:space="0" w:color="auto"/>
        <w:right w:val="none" w:sz="0" w:space="0" w:color="auto"/>
      </w:divBdr>
      <w:divsChild>
        <w:div w:id="711920749">
          <w:marLeft w:val="0"/>
          <w:marRight w:val="0"/>
          <w:marTop w:val="0"/>
          <w:marBottom w:val="0"/>
          <w:divBdr>
            <w:top w:val="none" w:sz="0" w:space="0" w:color="auto"/>
            <w:left w:val="none" w:sz="0" w:space="0" w:color="auto"/>
            <w:bottom w:val="none" w:sz="0" w:space="0" w:color="auto"/>
            <w:right w:val="none" w:sz="0" w:space="0" w:color="auto"/>
          </w:divBdr>
          <w:divsChild>
            <w:div w:id="148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5467">
      <w:bodyDiv w:val="1"/>
      <w:marLeft w:val="0"/>
      <w:marRight w:val="0"/>
      <w:marTop w:val="0"/>
      <w:marBottom w:val="0"/>
      <w:divBdr>
        <w:top w:val="none" w:sz="0" w:space="0" w:color="auto"/>
        <w:left w:val="none" w:sz="0" w:space="0" w:color="auto"/>
        <w:bottom w:val="none" w:sz="0" w:space="0" w:color="auto"/>
        <w:right w:val="none" w:sz="0" w:space="0" w:color="auto"/>
      </w:divBdr>
      <w:divsChild>
        <w:div w:id="1347754188">
          <w:marLeft w:val="0"/>
          <w:marRight w:val="0"/>
          <w:marTop w:val="0"/>
          <w:marBottom w:val="0"/>
          <w:divBdr>
            <w:top w:val="none" w:sz="0" w:space="0" w:color="auto"/>
            <w:left w:val="none" w:sz="0" w:space="0" w:color="auto"/>
            <w:bottom w:val="none" w:sz="0" w:space="0" w:color="auto"/>
            <w:right w:val="none" w:sz="0" w:space="0" w:color="auto"/>
          </w:divBdr>
          <w:divsChild>
            <w:div w:id="10940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845">
      <w:bodyDiv w:val="1"/>
      <w:marLeft w:val="0"/>
      <w:marRight w:val="0"/>
      <w:marTop w:val="0"/>
      <w:marBottom w:val="0"/>
      <w:divBdr>
        <w:top w:val="none" w:sz="0" w:space="0" w:color="auto"/>
        <w:left w:val="none" w:sz="0" w:space="0" w:color="auto"/>
        <w:bottom w:val="none" w:sz="0" w:space="0" w:color="auto"/>
        <w:right w:val="none" w:sz="0" w:space="0" w:color="auto"/>
      </w:divBdr>
      <w:divsChild>
        <w:div w:id="672532452">
          <w:marLeft w:val="0"/>
          <w:marRight w:val="0"/>
          <w:marTop w:val="0"/>
          <w:marBottom w:val="0"/>
          <w:divBdr>
            <w:top w:val="none" w:sz="0" w:space="0" w:color="auto"/>
            <w:left w:val="none" w:sz="0" w:space="0" w:color="auto"/>
            <w:bottom w:val="none" w:sz="0" w:space="0" w:color="auto"/>
            <w:right w:val="none" w:sz="0" w:space="0" w:color="auto"/>
          </w:divBdr>
          <w:divsChild>
            <w:div w:id="428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0497">
      <w:bodyDiv w:val="1"/>
      <w:marLeft w:val="0"/>
      <w:marRight w:val="0"/>
      <w:marTop w:val="0"/>
      <w:marBottom w:val="0"/>
      <w:divBdr>
        <w:top w:val="none" w:sz="0" w:space="0" w:color="auto"/>
        <w:left w:val="none" w:sz="0" w:space="0" w:color="auto"/>
        <w:bottom w:val="none" w:sz="0" w:space="0" w:color="auto"/>
        <w:right w:val="none" w:sz="0" w:space="0" w:color="auto"/>
      </w:divBdr>
      <w:divsChild>
        <w:div w:id="1174108090">
          <w:marLeft w:val="0"/>
          <w:marRight w:val="0"/>
          <w:marTop w:val="0"/>
          <w:marBottom w:val="0"/>
          <w:divBdr>
            <w:top w:val="none" w:sz="0" w:space="0" w:color="auto"/>
            <w:left w:val="none" w:sz="0" w:space="0" w:color="auto"/>
            <w:bottom w:val="none" w:sz="0" w:space="0" w:color="auto"/>
            <w:right w:val="none" w:sz="0" w:space="0" w:color="auto"/>
          </w:divBdr>
          <w:divsChild>
            <w:div w:id="18371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915">
      <w:bodyDiv w:val="1"/>
      <w:marLeft w:val="0"/>
      <w:marRight w:val="0"/>
      <w:marTop w:val="0"/>
      <w:marBottom w:val="0"/>
      <w:divBdr>
        <w:top w:val="none" w:sz="0" w:space="0" w:color="auto"/>
        <w:left w:val="none" w:sz="0" w:space="0" w:color="auto"/>
        <w:bottom w:val="none" w:sz="0" w:space="0" w:color="auto"/>
        <w:right w:val="none" w:sz="0" w:space="0" w:color="auto"/>
      </w:divBdr>
      <w:divsChild>
        <w:div w:id="502479815">
          <w:marLeft w:val="0"/>
          <w:marRight w:val="0"/>
          <w:marTop w:val="0"/>
          <w:marBottom w:val="0"/>
          <w:divBdr>
            <w:top w:val="none" w:sz="0" w:space="0" w:color="auto"/>
            <w:left w:val="none" w:sz="0" w:space="0" w:color="auto"/>
            <w:bottom w:val="none" w:sz="0" w:space="0" w:color="auto"/>
            <w:right w:val="none" w:sz="0" w:space="0" w:color="auto"/>
          </w:divBdr>
          <w:divsChild>
            <w:div w:id="2660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600">
      <w:bodyDiv w:val="1"/>
      <w:marLeft w:val="0"/>
      <w:marRight w:val="0"/>
      <w:marTop w:val="0"/>
      <w:marBottom w:val="0"/>
      <w:divBdr>
        <w:top w:val="none" w:sz="0" w:space="0" w:color="auto"/>
        <w:left w:val="none" w:sz="0" w:space="0" w:color="auto"/>
        <w:bottom w:val="none" w:sz="0" w:space="0" w:color="auto"/>
        <w:right w:val="none" w:sz="0" w:space="0" w:color="auto"/>
      </w:divBdr>
      <w:divsChild>
        <w:div w:id="1728915978">
          <w:marLeft w:val="0"/>
          <w:marRight w:val="0"/>
          <w:marTop w:val="0"/>
          <w:marBottom w:val="0"/>
          <w:divBdr>
            <w:top w:val="none" w:sz="0" w:space="0" w:color="auto"/>
            <w:left w:val="none" w:sz="0" w:space="0" w:color="auto"/>
            <w:bottom w:val="none" w:sz="0" w:space="0" w:color="auto"/>
            <w:right w:val="none" w:sz="0" w:space="0" w:color="auto"/>
          </w:divBdr>
          <w:divsChild>
            <w:div w:id="118450783">
              <w:marLeft w:val="0"/>
              <w:marRight w:val="0"/>
              <w:marTop w:val="0"/>
              <w:marBottom w:val="0"/>
              <w:divBdr>
                <w:top w:val="none" w:sz="0" w:space="0" w:color="auto"/>
                <w:left w:val="none" w:sz="0" w:space="0" w:color="auto"/>
                <w:bottom w:val="none" w:sz="0" w:space="0" w:color="auto"/>
                <w:right w:val="none" w:sz="0" w:space="0" w:color="auto"/>
              </w:divBdr>
            </w:div>
            <w:div w:id="286551633">
              <w:marLeft w:val="0"/>
              <w:marRight w:val="0"/>
              <w:marTop w:val="0"/>
              <w:marBottom w:val="0"/>
              <w:divBdr>
                <w:top w:val="none" w:sz="0" w:space="0" w:color="auto"/>
                <w:left w:val="none" w:sz="0" w:space="0" w:color="auto"/>
                <w:bottom w:val="none" w:sz="0" w:space="0" w:color="auto"/>
                <w:right w:val="none" w:sz="0" w:space="0" w:color="auto"/>
              </w:divBdr>
              <w:divsChild>
                <w:div w:id="1675106843">
                  <w:marLeft w:val="0"/>
                  <w:marRight w:val="0"/>
                  <w:marTop w:val="0"/>
                  <w:marBottom w:val="0"/>
                  <w:divBdr>
                    <w:top w:val="none" w:sz="0" w:space="0" w:color="auto"/>
                    <w:left w:val="none" w:sz="0" w:space="0" w:color="auto"/>
                    <w:bottom w:val="none" w:sz="0" w:space="0" w:color="auto"/>
                    <w:right w:val="none" w:sz="0" w:space="0" w:color="auto"/>
                  </w:divBdr>
                </w:div>
              </w:divsChild>
            </w:div>
            <w:div w:id="98649555">
              <w:marLeft w:val="0"/>
              <w:marRight w:val="0"/>
              <w:marTop w:val="0"/>
              <w:marBottom w:val="0"/>
              <w:divBdr>
                <w:top w:val="none" w:sz="0" w:space="0" w:color="auto"/>
                <w:left w:val="none" w:sz="0" w:space="0" w:color="auto"/>
                <w:bottom w:val="none" w:sz="0" w:space="0" w:color="auto"/>
                <w:right w:val="none" w:sz="0" w:space="0" w:color="auto"/>
              </w:divBdr>
              <w:divsChild>
                <w:div w:id="1308896289">
                  <w:marLeft w:val="0"/>
                  <w:marRight w:val="0"/>
                  <w:marTop w:val="0"/>
                  <w:marBottom w:val="0"/>
                  <w:divBdr>
                    <w:top w:val="none" w:sz="0" w:space="0" w:color="auto"/>
                    <w:left w:val="none" w:sz="0" w:space="0" w:color="auto"/>
                    <w:bottom w:val="none" w:sz="0" w:space="0" w:color="auto"/>
                    <w:right w:val="none" w:sz="0" w:space="0" w:color="auto"/>
                  </w:divBdr>
                </w:div>
              </w:divsChild>
            </w:div>
            <w:div w:id="15987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345">
      <w:bodyDiv w:val="1"/>
      <w:marLeft w:val="0"/>
      <w:marRight w:val="0"/>
      <w:marTop w:val="0"/>
      <w:marBottom w:val="0"/>
      <w:divBdr>
        <w:top w:val="none" w:sz="0" w:space="0" w:color="auto"/>
        <w:left w:val="none" w:sz="0" w:space="0" w:color="auto"/>
        <w:bottom w:val="none" w:sz="0" w:space="0" w:color="auto"/>
        <w:right w:val="none" w:sz="0" w:space="0" w:color="auto"/>
      </w:divBdr>
      <w:divsChild>
        <w:div w:id="14507984">
          <w:marLeft w:val="0"/>
          <w:marRight w:val="0"/>
          <w:marTop w:val="0"/>
          <w:marBottom w:val="0"/>
          <w:divBdr>
            <w:top w:val="none" w:sz="0" w:space="0" w:color="auto"/>
            <w:left w:val="none" w:sz="0" w:space="0" w:color="auto"/>
            <w:bottom w:val="none" w:sz="0" w:space="0" w:color="auto"/>
            <w:right w:val="none" w:sz="0" w:space="0" w:color="auto"/>
          </w:divBdr>
          <w:divsChild>
            <w:div w:id="11904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0813">
      <w:bodyDiv w:val="1"/>
      <w:marLeft w:val="0"/>
      <w:marRight w:val="0"/>
      <w:marTop w:val="0"/>
      <w:marBottom w:val="0"/>
      <w:divBdr>
        <w:top w:val="none" w:sz="0" w:space="0" w:color="auto"/>
        <w:left w:val="none" w:sz="0" w:space="0" w:color="auto"/>
        <w:bottom w:val="none" w:sz="0" w:space="0" w:color="auto"/>
        <w:right w:val="none" w:sz="0" w:space="0" w:color="auto"/>
      </w:divBdr>
      <w:divsChild>
        <w:div w:id="38433335">
          <w:marLeft w:val="0"/>
          <w:marRight w:val="0"/>
          <w:marTop w:val="0"/>
          <w:marBottom w:val="0"/>
          <w:divBdr>
            <w:top w:val="none" w:sz="0" w:space="0" w:color="auto"/>
            <w:left w:val="none" w:sz="0" w:space="0" w:color="auto"/>
            <w:bottom w:val="none" w:sz="0" w:space="0" w:color="auto"/>
            <w:right w:val="none" w:sz="0" w:space="0" w:color="auto"/>
          </w:divBdr>
          <w:divsChild>
            <w:div w:id="8829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21849">
      <w:bodyDiv w:val="1"/>
      <w:marLeft w:val="0"/>
      <w:marRight w:val="0"/>
      <w:marTop w:val="0"/>
      <w:marBottom w:val="0"/>
      <w:divBdr>
        <w:top w:val="none" w:sz="0" w:space="0" w:color="auto"/>
        <w:left w:val="none" w:sz="0" w:space="0" w:color="auto"/>
        <w:bottom w:val="none" w:sz="0" w:space="0" w:color="auto"/>
        <w:right w:val="none" w:sz="0" w:space="0" w:color="auto"/>
      </w:divBdr>
      <w:divsChild>
        <w:div w:id="792794392">
          <w:marLeft w:val="0"/>
          <w:marRight w:val="0"/>
          <w:marTop w:val="0"/>
          <w:marBottom w:val="0"/>
          <w:divBdr>
            <w:top w:val="none" w:sz="0" w:space="0" w:color="auto"/>
            <w:left w:val="none" w:sz="0" w:space="0" w:color="auto"/>
            <w:bottom w:val="none" w:sz="0" w:space="0" w:color="auto"/>
            <w:right w:val="none" w:sz="0" w:space="0" w:color="auto"/>
          </w:divBdr>
          <w:divsChild>
            <w:div w:id="3782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1084">
      <w:bodyDiv w:val="1"/>
      <w:marLeft w:val="0"/>
      <w:marRight w:val="0"/>
      <w:marTop w:val="0"/>
      <w:marBottom w:val="0"/>
      <w:divBdr>
        <w:top w:val="none" w:sz="0" w:space="0" w:color="auto"/>
        <w:left w:val="none" w:sz="0" w:space="0" w:color="auto"/>
        <w:bottom w:val="none" w:sz="0" w:space="0" w:color="auto"/>
        <w:right w:val="none" w:sz="0" w:space="0" w:color="auto"/>
      </w:divBdr>
      <w:divsChild>
        <w:div w:id="1460339688">
          <w:marLeft w:val="0"/>
          <w:marRight w:val="0"/>
          <w:marTop w:val="0"/>
          <w:marBottom w:val="0"/>
          <w:divBdr>
            <w:top w:val="none" w:sz="0" w:space="0" w:color="auto"/>
            <w:left w:val="none" w:sz="0" w:space="0" w:color="auto"/>
            <w:bottom w:val="none" w:sz="0" w:space="0" w:color="auto"/>
            <w:right w:val="none" w:sz="0" w:space="0" w:color="auto"/>
          </w:divBdr>
          <w:divsChild>
            <w:div w:id="1046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3338">
      <w:bodyDiv w:val="1"/>
      <w:marLeft w:val="0"/>
      <w:marRight w:val="0"/>
      <w:marTop w:val="0"/>
      <w:marBottom w:val="0"/>
      <w:divBdr>
        <w:top w:val="none" w:sz="0" w:space="0" w:color="auto"/>
        <w:left w:val="none" w:sz="0" w:space="0" w:color="auto"/>
        <w:bottom w:val="none" w:sz="0" w:space="0" w:color="auto"/>
        <w:right w:val="none" w:sz="0" w:space="0" w:color="auto"/>
      </w:divBdr>
      <w:divsChild>
        <w:div w:id="697705540">
          <w:marLeft w:val="0"/>
          <w:marRight w:val="0"/>
          <w:marTop w:val="0"/>
          <w:marBottom w:val="0"/>
          <w:divBdr>
            <w:top w:val="none" w:sz="0" w:space="0" w:color="auto"/>
            <w:left w:val="none" w:sz="0" w:space="0" w:color="auto"/>
            <w:bottom w:val="none" w:sz="0" w:space="0" w:color="auto"/>
            <w:right w:val="none" w:sz="0" w:space="0" w:color="auto"/>
          </w:divBdr>
          <w:divsChild>
            <w:div w:id="1550149361">
              <w:marLeft w:val="0"/>
              <w:marRight w:val="0"/>
              <w:marTop w:val="0"/>
              <w:marBottom w:val="0"/>
              <w:divBdr>
                <w:top w:val="none" w:sz="0" w:space="0" w:color="auto"/>
                <w:left w:val="none" w:sz="0" w:space="0" w:color="auto"/>
                <w:bottom w:val="none" w:sz="0" w:space="0" w:color="auto"/>
                <w:right w:val="none" w:sz="0" w:space="0" w:color="auto"/>
              </w:divBdr>
              <w:divsChild>
                <w:div w:id="1327899543">
                  <w:marLeft w:val="0"/>
                  <w:marRight w:val="0"/>
                  <w:marTop w:val="0"/>
                  <w:marBottom w:val="0"/>
                  <w:divBdr>
                    <w:top w:val="none" w:sz="0" w:space="0" w:color="auto"/>
                    <w:left w:val="none" w:sz="0" w:space="0" w:color="auto"/>
                    <w:bottom w:val="none" w:sz="0" w:space="0" w:color="auto"/>
                    <w:right w:val="none" w:sz="0" w:space="0" w:color="auto"/>
                  </w:divBdr>
                </w:div>
              </w:divsChild>
            </w:div>
            <w:div w:id="1434325631">
              <w:marLeft w:val="0"/>
              <w:marRight w:val="0"/>
              <w:marTop w:val="0"/>
              <w:marBottom w:val="0"/>
              <w:divBdr>
                <w:top w:val="none" w:sz="0" w:space="0" w:color="auto"/>
                <w:left w:val="none" w:sz="0" w:space="0" w:color="auto"/>
                <w:bottom w:val="none" w:sz="0" w:space="0" w:color="auto"/>
                <w:right w:val="none" w:sz="0" w:space="0" w:color="auto"/>
              </w:divBdr>
              <w:divsChild>
                <w:div w:id="1358505422">
                  <w:marLeft w:val="0"/>
                  <w:marRight w:val="0"/>
                  <w:marTop w:val="0"/>
                  <w:marBottom w:val="0"/>
                  <w:divBdr>
                    <w:top w:val="none" w:sz="0" w:space="0" w:color="auto"/>
                    <w:left w:val="none" w:sz="0" w:space="0" w:color="auto"/>
                    <w:bottom w:val="none" w:sz="0" w:space="0" w:color="auto"/>
                    <w:right w:val="none" w:sz="0" w:space="0" w:color="auto"/>
                  </w:divBdr>
                </w:div>
              </w:divsChild>
            </w:div>
            <w:div w:id="448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7779">
      <w:bodyDiv w:val="1"/>
      <w:marLeft w:val="0"/>
      <w:marRight w:val="0"/>
      <w:marTop w:val="0"/>
      <w:marBottom w:val="0"/>
      <w:divBdr>
        <w:top w:val="none" w:sz="0" w:space="0" w:color="auto"/>
        <w:left w:val="none" w:sz="0" w:space="0" w:color="auto"/>
        <w:bottom w:val="none" w:sz="0" w:space="0" w:color="auto"/>
        <w:right w:val="none" w:sz="0" w:space="0" w:color="auto"/>
      </w:divBdr>
      <w:divsChild>
        <w:div w:id="1410467572">
          <w:marLeft w:val="0"/>
          <w:marRight w:val="0"/>
          <w:marTop w:val="0"/>
          <w:marBottom w:val="0"/>
          <w:divBdr>
            <w:top w:val="none" w:sz="0" w:space="0" w:color="auto"/>
            <w:left w:val="none" w:sz="0" w:space="0" w:color="auto"/>
            <w:bottom w:val="none" w:sz="0" w:space="0" w:color="auto"/>
            <w:right w:val="none" w:sz="0" w:space="0" w:color="auto"/>
          </w:divBdr>
          <w:divsChild>
            <w:div w:id="10598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5604">
      <w:bodyDiv w:val="1"/>
      <w:marLeft w:val="0"/>
      <w:marRight w:val="0"/>
      <w:marTop w:val="0"/>
      <w:marBottom w:val="0"/>
      <w:divBdr>
        <w:top w:val="none" w:sz="0" w:space="0" w:color="auto"/>
        <w:left w:val="none" w:sz="0" w:space="0" w:color="auto"/>
        <w:bottom w:val="none" w:sz="0" w:space="0" w:color="auto"/>
        <w:right w:val="none" w:sz="0" w:space="0" w:color="auto"/>
      </w:divBdr>
      <w:divsChild>
        <w:div w:id="1315141409">
          <w:marLeft w:val="0"/>
          <w:marRight w:val="0"/>
          <w:marTop w:val="0"/>
          <w:marBottom w:val="0"/>
          <w:divBdr>
            <w:top w:val="none" w:sz="0" w:space="0" w:color="auto"/>
            <w:left w:val="none" w:sz="0" w:space="0" w:color="auto"/>
            <w:bottom w:val="none" w:sz="0" w:space="0" w:color="auto"/>
            <w:right w:val="none" w:sz="0" w:space="0" w:color="auto"/>
          </w:divBdr>
          <w:divsChild>
            <w:div w:id="15955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9679">
      <w:bodyDiv w:val="1"/>
      <w:marLeft w:val="0"/>
      <w:marRight w:val="0"/>
      <w:marTop w:val="0"/>
      <w:marBottom w:val="0"/>
      <w:divBdr>
        <w:top w:val="none" w:sz="0" w:space="0" w:color="auto"/>
        <w:left w:val="none" w:sz="0" w:space="0" w:color="auto"/>
        <w:bottom w:val="none" w:sz="0" w:space="0" w:color="auto"/>
        <w:right w:val="none" w:sz="0" w:space="0" w:color="auto"/>
      </w:divBdr>
      <w:divsChild>
        <w:div w:id="980767512">
          <w:marLeft w:val="0"/>
          <w:marRight w:val="0"/>
          <w:marTop w:val="0"/>
          <w:marBottom w:val="0"/>
          <w:divBdr>
            <w:top w:val="none" w:sz="0" w:space="0" w:color="auto"/>
            <w:left w:val="none" w:sz="0" w:space="0" w:color="auto"/>
            <w:bottom w:val="none" w:sz="0" w:space="0" w:color="auto"/>
            <w:right w:val="none" w:sz="0" w:space="0" w:color="auto"/>
          </w:divBdr>
          <w:divsChild>
            <w:div w:id="1375349577">
              <w:marLeft w:val="0"/>
              <w:marRight w:val="0"/>
              <w:marTop w:val="0"/>
              <w:marBottom w:val="0"/>
              <w:divBdr>
                <w:top w:val="none" w:sz="0" w:space="0" w:color="auto"/>
                <w:left w:val="none" w:sz="0" w:space="0" w:color="auto"/>
                <w:bottom w:val="none" w:sz="0" w:space="0" w:color="auto"/>
                <w:right w:val="none" w:sz="0" w:space="0" w:color="auto"/>
              </w:divBdr>
              <w:divsChild>
                <w:div w:id="543716245">
                  <w:marLeft w:val="0"/>
                  <w:marRight w:val="0"/>
                  <w:marTop w:val="0"/>
                  <w:marBottom w:val="0"/>
                  <w:divBdr>
                    <w:top w:val="none" w:sz="0" w:space="0" w:color="auto"/>
                    <w:left w:val="none" w:sz="0" w:space="0" w:color="auto"/>
                    <w:bottom w:val="none" w:sz="0" w:space="0" w:color="auto"/>
                    <w:right w:val="none" w:sz="0" w:space="0" w:color="auto"/>
                  </w:divBdr>
                </w:div>
              </w:divsChild>
            </w:div>
            <w:div w:id="1939635278">
              <w:marLeft w:val="0"/>
              <w:marRight w:val="0"/>
              <w:marTop w:val="0"/>
              <w:marBottom w:val="0"/>
              <w:divBdr>
                <w:top w:val="none" w:sz="0" w:space="0" w:color="auto"/>
                <w:left w:val="none" w:sz="0" w:space="0" w:color="auto"/>
                <w:bottom w:val="none" w:sz="0" w:space="0" w:color="auto"/>
                <w:right w:val="none" w:sz="0" w:space="0" w:color="auto"/>
              </w:divBdr>
              <w:divsChild>
                <w:div w:id="911768788">
                  <w:marLeft w:val="0"/>
                  <w:marRight w:val="0"/>
                  <w:marTop w:val="0"/>
                  <w:marBottom w:val="0"/>
                  <w:divBdr>
                    <w:top w:val="none" w:sz="0" w:space="0" w:color="auto"/>
                    <w:left w:val="none" w:sz="0" w:space="0" w:color="auto"/>
                    <w:bottom w:val="none" w:sz="0" w:space="0" w:color="auto"/>
                    <w:right w:val="none" w:sz="0" w:space="0" w:color="auto"/>
                  </w:divBdr>
                </w:div>
              </w:divsChild>
            </w:div>
            <w:div w:id="1963992750">
              <w:marLeft w:val="0"/>
              <w:marRight w:val="0"/>
              <w:marTop w:val="0"/>
              <w:marBottom w:val="0"/>
              <w:divBdr>
                <w:top w:val="none" w:sz="0" w:space="0" w:color="auto"/>
                <w:left w:val="none" w:sz="0" w:space="0" w:color="auto"/>
                <w:bottom w:val="none" w:sz="0" w:space="0" w:color="auto"/>
                <w:right w:val="none" w:sz="0" w:space="0" w:color="auto"/>
              </w:divBdr>
              <w:divsChild>
                <w:div w:id="1787965950">
                  <w:marLeft w:val="0"/>
                  <w:marRight w:val="0"/>
                  <w:marTop w:val="0"/>
                  <w:marBottom w:val="0"/>
                  <w:divBdr>
                    <w:top w:val="none" w:sz="0" w:space="0" w:color="auto"/>
                    <w:left w:val="none" w:sz="0" w:space="0" w:color="auto"/>
                    <w:bottom w:val="none" w:sz="0" w:space="0" w:color="auto"/>
                    <w:right w:val="none" w:sz="0" w:space="0" w:color="auto"/>
                  </w:divBdr>
                </w:div>
              </w:divsChild>
            </w:div>
            <w:div w:id="1993365067">
              <w:marLeft w:val="0"/>
              <w:marRight w:val="0"/>
              <w:marTop w:val="0"/>
              <w:marBottom w:val="0"/>
              <w:divBdr>
                <w:top w:val="none" w:sz="0" w:space="0" w:color="auto"/>
                <w:left w:val="none" w:sz="0" w:space="0" w:color="auto"/>
                <w:bottom w:val="none" w:sz="0" w:space="0" w:color="auto"/>
                <w:right w:val="none" w:sz="0" w:space="0" w:color="auto"/>
              </w:divBdr>
              <w:divsChild>
                <w:div w:id="122314231">
                  <w:marLeft w:val="0"/>
                  <w:marRight w:val="0"/>
                  <w:marTop w:val="0"/>
                  <w:marBottom w:val="0"/>
                  <w:divBdr>
                    <w:top w:val="none" w:sz="0" w:space="0" w:color="auto"/>
                    <w:left w:val="none" w:sz="0" w:space="0" w:color="auto"/>
                    <w:bottom w:val="none" w:sz="0" w:space="0" w:color="auto"/>
                    <w:right w:val="none" w:sz="0" w:space="0" w:color="auto"/>
                  </w:divBdr>
                </w:div>
              </w:divsChild>
            </w:div>
            <w:div w:id="1922987238">
              <w:marLeft w:val="0"/>
              <w:marRight w:val="0"/>
              <w:marTop w:val="0"/>
              <w:marBottom w:val="0"/>
              <w:divBdr>
                <w:top w:val="none" w:sz="0" w:space="0" w:color="auto"/>
                <w:left w:val="none" w:sz="0" w:space="0" w:color="auto"/>
                <w:bottom w:val="none" w:sz="0" w:space="0" w:color="auto"/>
                <w:right w:val="none" w:sz="0" w:space="0" w:color="auto"/>
              </w:divBdr>
              <w:divsChild>
                <w:div w:id="533469812">
                  <w:marLeft w:val="0"/>
                  <w:marRight w:val="0"/>
                  <w:marTop w:val="0"/>
                  <w:marBottom w:val="0"/>
                  <w:divBdr>
                    <w:top w:val="none" w:sz="0" w:space="0" w:color="auto"/>
                    <w:left w:val="none" w:sz="0" w:space="0" w:color="auto"/>
                    <w:bottom w:val="none" w:sz="0" w:space="0" w:color="auto"/>
                    <w:right w:val="none" w:sz="0" w:space="0" w:color="auto"/>
                  </w:divBdr>
                </w:div>
              </w:divsChild>
            </w:div>
            <w:div w:id="13507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8115">
      <w:bodyDiv w:val="1"/>
      <w:marLeft w:val="0"/>
      <w:marRight w:val="0"/>
      <w:marTop w:val="0"/>
      <w:marBottom w:val="0"/>
      <w:divBdr>
        <w:top w:val="none" w:sz="0" w:space="0" w:color="auto"/>
        <w:left w:val="none" w:sz="0" w:space="0" w:color="auto"/>
        <w:bottom w:val="none" w:sz="0" w:space="0" w:color="auto"/>
        <w:right w:val="none" w:sz="0" w:space="0" w:color="auto"/>
      </w:divBdr>
      <w:divsChild>
        <w:div w:id="900557257">
          <w:marLeft w:val="0"/>
          <w:marRight w:val="0"/>
          <w:marTop w:val="0"/>
          <w:marBottom w:val="0"/>
          <w:divBdr>
            <w:top w:val="none" w:sz="0" w:space="0" w:color="auto"/>
            <w:left w:val="none" w:sz="0" w:space="0" w:color="auto"/>
            <w:bottom w:val="none" w:sz="0" w:space="0" w:color="auto"/>
            <w:right w:val="none" w:sz="0" w:space="0" w:color="auto"/>
          </w:divBdr>
          <w:divsChild>
            <w:div w:id="2303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09418">
      <w:bodyDiv w:val="1"/>
      <w:marLeft w:val="0"/>
      <w:marRight w:val="0"/>
      <w:marTop w:val="0"/>
      <w:marBottom w:val="0"/>
      <w:divBdr>
        <w:top w:val="none" w:sz="0" w:space="0" w:color="auto"/>
        <w:left w:val="none" w:sz="0" w:space="0" w:color="auto"/>
        <w:bottom w:val="none" w:sz="0" w:space="0" w:color="auto"/>
        <w:right w:val="none" w:sz="0" w:space="0" w:color="auto"/>
      </w:divBdr>
      <w:divsChild>
        <w:div w:id="1216891474">
          <w:marLeft w:val="0"/>
          <w:marRight w:val="0"/>
          <w:marTop w:val="0"/>
          <w:marBottom w:val="0"/>
          <w:divBdr>
            <w:top w:val="none" w:sz="0" w:space="0" w:color="auto"/>
            <w:left w:val="none" w:sz="0" w:space="0" w:color="auto"/>
            <w:bottom w:val="none" w:sz="0" w:space="0" w:color="auto"/>
            <w:right w:val="none" w:sz="0" w:space="0" w:color="auto"/>
          </w:divBdr>
          <w:divsChild>
            <w:div w:id="762184383">
              <w:marLeft w:val="0"/>
              <w:marRight w:val="0"/>
              <w:marTop w:val="0"/>
              <w:marBottom w:val="0"/>
              <w:divBdr>
                <w:top w:val="none" w:sz="0" w:space="0" w:color="auto"/>
                <w:left w:val="none" w:sz="0" w:space="0" w:color="auto"/>
                <w:bottom w:val="none" w:sz="0" w:space="0" w:color="auto"/>
                <w:right w:val="none" w:sz="0" w:space="0" w:color="auto"/>
              </w:divBdr>
              <w:divsChild>
                <w:div w:id="1336033759">
                  <w:marLeft w:val="0"/>
                  <w:marRight w:val="0"/>
                  <w:marTop w:val="0"/>
                  <w:marBottom w:val="0"/>
                  <w:divBdr>
                    <w:top w:val="none" w:sz="0" w:space="0" w:color="auto"/>
                    <w:left w:val="none" w:sz="0" w:space="0" w:color="auto"/>
                    <w:bottom w:val="none" w:sz="0" w:space="0" w:color="auto"/>
                    <w:right w:val="none" w:sz="0" w:space="0" w:color="auto"/>
                  </w:divBdr>
                </w:div>
              </w:divsChild>
            </w:div>
            <w:div w:id="1175922552">
              <w:marLeft w:val="0"/>
              <w:marRight w:val="0"/>
              <w:marTop w:val="0"/>
              <w:marBottom w:val="0"/>
              <w:divBdr>
                <w:top w:val="none" w:sz="0" w:space="0" w:color="auto"/>
                <w:left w:val="none" w:sz="0" w:space="0" w:color="auto"/>
                <w:bottom w:val="none" w:sz="0" w:space="0" w:color="auto"/>
                <w:right w:val="none" w:sz="0" w:space="0" w:color="auto"/>
              </w:divBdr>
              <w:divsChild>
                <w:div w:id="1698235337">
                  <w:marLeft w:val="0"/>
                  <w:marRight w:val="0"/>
                  <w:marTop w:val="0"/>
                  <w:marBottom w:val="0"/>
                  <w:divBdr>
                    <w:top w:val="none" w:sz="0" w:space="0" w:color="auto"/>
                    <w:left w:val="none" w:sz="0" w:space="0" w:color="auto"/>
                    <w:bottom w:val="none" w:sz="0" w:space="0" w:color="auto"/>
                    <w:right w:val="none" w:sz="0" w:space="0" w:color="auto"/>
                  </w:divBdr>
                </w:div>
              </w:divsChild>
            </w:div>
            <w:div w:id="624042252">
              <w:marLeft w:val="0"/>
              <w:marRight w:val="0"/>
              <w:marTop w:val="0"/>
              <w:marBottom w:val="0"/>
              <w:divBdr>
                <w:top w:val="none" w:sz="0" w:space="0" w:color="auto"/>
                <w:left w:val="none" w:sz="0" w:space="0" w:color="auto"/>
                <w:bottom w:val="none" w:sz="0" w:space="0" w:color="auto"/>
                <w:right w:val="none" w:sz="0" w:space="0" w:color="auto"/>
              </w:divBdr>
              <w:divsChild>
                <w:div w:id="1199902148">
                  <w:marLeft w:val="0"/>
                  <w:marRight w:val="0"/>
                  <w:marTop w:val="0"/>
                  <w:marBottom w:val="0"/>
                  <w:divBdr>
                    <w:top w:val="none" w:sz="0" w:space="0" w:color="auto"/>
                    <w:left w:val="none" w:sz="0" w:space="0" w:color="auto"/>
                    <w:bottom w:val="none" w:sz="0" w:space="0" w:color="auto"/>
                    <w:right w:val="none" w:sz="0" w:space="0" w:color="auto"/>
                  </w:divBdr>
                </w:div>
              </w:divsChild>
            </w:div>
            <w:div w:id="1732851940">
              <w:marLeft w:val="0"/>
              <w:marRight w:val="0"/>
              <w:marTop w:val="0"/>
              <w:marBottom w:val="0"/>
              <w:divBdr>
                <w:top w:val="none" w:sz="0" w:space="0" w:color="auto"/>
                <w:left w:val="none" w:sz="0" w:space="0" w:color="auto"/>
                <w:bottom w:val="none" w:sz="0" w:space="0" w:color="auto"/>
                <w:right w:val="none" w:sz="0" w:space="0" w:color="auto"/>
              </w:divBdr>
              <w:divsChild>
                <w:div w:id="1486824256">
                  <w:marLeft w:val="0"/>
                  <w:marRight w:val="0"/>
                  <w:marTop w:val="0"/>
                  <w:marBottom w:val="0"/>
                  <w:divBdr>
                    <w:top w:val="none" w:sz="0" w:space="0" w:color="auto"/>
                    <w:left w:val="none" w:sz="0" w:space="0" w:color="auto"/>
                    <w:bottom w:val="none" w:sz="0" w:space="0" w:color="auto"/>
                    <w:right w:val="none" w:sz="0" w:space="0" w:color="auto"/>
                  </w:divBdr>
                </w:div>
              </w:divsChild>
            </w:div>
            <w:div w:id="769088497">
              <w:marLeft w:val="0"/>
              <w:marRight w:val="0"/>
              <w:marTop w:val="0"/>
              <w:marBottom w:val="0"/>
              <w:divBdr>
                <w:top w:val="none" w:sz="0" w:space="0" w:color="auto"/>
                <w:left w:val="none" w:sz="0" w:space="0" w:color="auto"/>
                <w:bottom w:val="none" w:sz="0" w:space="0" w:color="auto"/>
                <w:right w:val="none" w:sz="0" w:space="0" w:color="auto"/>
              </w:divBdr>
              <w:divsChild>
                <w:div w:id="496505762">
                  <w:marLeft w:val="0"/>
                  <w:marRight w:val="0"/>
                  <w:marTop w:val="0"/>
                  <w:marBottom w:val="0"/>
                  <w:divBdr>
                    <w:top w:val="none" w:sz="0" w:space="0" w:color="auto"/>
                    <w:left w:val="none" w:sz="0" w:space="0" w:color="auto"/>
                    <w:bottom w:val="none" w:sz="0" w:space="0" w:color="auto"/>
                    <w:right w:val="none" w:sz="0" w:space="0" w:color="auto"/>
                  </w:divBdr>
                </w:div>
              </w:divsChild>
            </w:div>
            <w:div w:id="14641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347">
      <w:bodyDiv w:val="1"/>
      <w:marLeft w:val="0"/>
      <w:marRight w:val="0"/>
      <w:marTop w:val="0"/>
      <w:marBottom w:val="0"/>
      <w:divBdr>
        <w:top w:val="none" w:sz="0" w:space="0" w:color="auto"/>
        <w:left w:val="none" w:sz="0" w:space="0" w:color="auto"/>
        <w:bottom w:val="none" w:sz="0" w:space="0" w:color="auto"/>
        <w:right w:val="none" w:sz="0" w:space="0" w:color="auto"/>
      </w:divBdr>
      <w:divsChild>
        <w:div w:id="44380956">
          <w:marLeft w:val="0"/>
          <w:marRight w:val="0"/>
          <w:marTop w:val="0"/>
          <w:marBottom w:val="0"/>
          <w:divBdr>
            <w:top w:val="none" w:sz="0" w:space="0" w:color="auto"/>
            <w:left w:val="none" w:sz="0" w:space="0" w:color="auto"/>
            <w:bottom w:val="none" w:sz="0" w:space="0" w:color="auto"/>
            <w:right w:val="none" w:sz="0" w:space="0" w:color="auto"/>
          </w:divBdr>
          <w:divsChild>
            <w:div w:id="21360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4213">
      <w:bodyDiv w:val="1"/>
      <w:marLeft w:val="0"/>
      <w:marRight w:val="0"/>
      <w:marTop w:val="0"/>
      <w:marBottom w:val="0"/>
      <w:divBdr>
        <w:top w:val="none" w:sz="0" w:space="0" w:color="auto"/>
        <w:left w:val="none" w:sz="0" w:space="0" w:color="auto"/>
        <w:bottom w:val="none" w:sz="0" w:space="0" w:color="auto"/>
        <w:right w:val="none" w:sz="0" w:space="0" w:color="auto"/>
      </w:divBdr>
      <w:divsChild>
        <w:div w:id="1421951333">
          <w:marLeft w:val="0"/>
          <w:marRight w:val="0"/>
          <w:marTop w:val="0"/>
          <w:marBottom w:val="0"/>
          <w:divBdr>
            <w:top w:val="none" w:sz="0" w:space="0" w:color="auto"/>
            <w:left w:val="none" w:sz="0" w:space="0" w:color="auto"/>
            <w:bottom w:val="none" w:sz="0" w:space="0" w:color="auto"/>
            <w:right w:val="none" w:sz="0" w:space="0" w:color="auto"/>
          </w:divBdr>
          <w:divsChild>
            <w:div w:id="5643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5593">
      <w:bodyDiv w:val="1"/>
      <w:marLeft w:val="0"/>
      <w:marRight w:val="0"/>
      <w:marTop w:val="0"/>
      <w:marBottom w:val="0"/>
      <w:divBdr>
        <w:top w:val="none" w:sz="0" w:space="0" w:color="auto"/>
        <w:left w:val="none" w:sz="0" w:space="0" w:color="auto"/>
        <w:bottom w:val="none" w:sz="0" w:space="0" w:color="auto"/>
        <w:right w:val="none" w:sz="0" w:space="0" w:color="auto"/>
      </w:divBdr>
      <w:divsChild>
        <w:div w:id="1650015229">
          <w:marLeft w:val="0"/>
          <w:marRight w:val="0"/>
          <w:marTop w:val="0"/>
          <w:marBottom w:val="0"/>
          <w:divBdr>
            <w:top w:val="none" w:sz="0" w:space="0" w:color="auto"/>
            <w:left w:val="none" w:sz="0" w:space="0" w:color="auto"/>
            <w:bottom w:val="none" w:sz="0" w:space="0" w:color="auto"/>
            <w:right w:val="none" w:sz="0" w:space="0" w:color="auto"/>
          </w:divBdr>
          <w:divsChild>
            <w:div w:id="2030834139">
              <w:marLeft w:val="0"/>
              <w:marRight w:val="0"/>
              <w:marTop w:val="0"/>
              <w:marBottom w:val="0"/>
              <w:divBdr>
                <w:top w:val="none" w:sz="0" w:space="0" w:color="auto"/>
                <w:left w:val="none" w:sz="0" w:space="0" w:color="auto"/>
                <w:bottom w:val="none" w:sz="0" w:space="0" w:color="auto"/>
                <w:right w:val="none" w:sz="0" w:space="0" w:color="auto"/>
              </w:divBdr>
              <w:divsChild>
                <w:div w:id="1151487144">
                  <w:marLeft w:val="0"/>
                  <w:marRight w:val="0"/>
                  <w:marTop w:val="0"/>
                  <w:marBottom w:val="0"/>
                  <w:divBdr>
                    <w:top w:val="none" w:sz="0" w:space="0" w:color="auto"/>
                    <w:left w:val="none" w:sz="0" w:space="0" w:color="auto"/>
                    <w:bottom w:val="none" w:sz="0" w:space="0" w:color="auto"/>
                    <w:right w:val="none" w:sz="0" w:space="0" w:color="auto"/>
                  </w:divBdr>
                </w:div>
              </w:divsChild>
            </w:div>
            <w:div w:id="941960936">
              <w:marLeft w:val="0"/>
              <w:marRight w:val="0"/>
              <w:marTop w:val="0"/>
              <w:marBottom w:val="0"/>
              <w:divBdr>
                <w:top w:val="none" w:sz="0" w:space="0" w:color="auto"/>
                <w:left w:val="none" w:sz="0" w:space="0" w:color="auto"/>
                <w:bottom w:val="none" w:sz="0" w:space="0" w:color="auto"/>
                <w:right w:val="none" w:sz="0" w:space="0" w:color="auto"/>
              </w:divBdr>
              <w:divsChild>
                <w:div w:id="148056669">
                  <w:marLeft w:val="0"/>
                  <w:marRight w:val="0"/>
                  <w:marTop w:val="0"/>
                  <w:marBottom w:val="0"/>
                  <w:divBdr>
                    <w:top w:val="none" w:sz="0" w:space="0" w:color="auto"/>
                    <w:left w:val="none" w:sz="0" w:space="0" w:color="auto"/>
                    <w:bottom w:val="none" w:sz="0" w:space="0" w:color="auto"/>
                    <w:right w:val="none" w:sz="0" w:space="0" w:color="auto"/>
                  </w:divBdr>
                  <w:divsChild>
                    <w:div w:id="54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9836">
              <w:marLeft w:val="0"/>
              <w:marRight w:val="0"/>
              <w:marTop w:val="0"/>
              <w:marBottom w:val="0"/>
              <w:divBdr>
                <w:top w:val="none" w:sz="0" w:space="0" w:color="auto"/>
                <w:left w:val="none" w:sz="0" w:space="0" w:color="auto"/>
                <w:bottom w:val="none" w:sz="0" w:space="0" w:color="auto"/>
                <w:right w:val="none" w:sz="0" w:space="0" w:color="auto"/>
              </w:divBdr>
              <w:divsChild>
                <w:div w:id="845092087">
                  <w:marLeft w:val="0"/>
                  <w:marRight w:val="0"/>
                  <w:marTop w:val="0"/>
                  <w:marBottom w:val="0"/>
                  <w:divBdr>
                    <w:top w:val="none" w:sz="0" w:space="0" w:color="auto"/>
                    <w:left w:val="none" w:sz="0" w:space="0" w:color="auto"/>
                    <w:bottom w:val="none" w:sz="0" w:space="0" w:color="auto"/>
                    <w:right w:val="none" w:sz="0" w:space="0" w:color="auto"/>
                  </w:divBdr>
                  <w:divsChild>
                    <w:div w:id="2979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21199">
              <w:marLeft w:val="0"/>
              <w:marRight w:val="0"/>
              <w:marTop w:val="0"/>
              <w:marBottom w:val="0"/>
              <w:divBdr>
                <w:top w:val="none" w:sz="0" w:space="0" w:color="auto"/>
                <w:left w:val="none" w:sz="0" w:space="0" w:color="auto"/>
                <w:bottom w:val="none" w:sz="0" w:space="0" w:color="auto"/>
                <w:right w:val="none" w:sz="0" w:space="0" w:color="auto"/>
              </w:divBdr>
              <w:divsChild>
                <w:div w:id="574053379">
                  <w:marLeft w:val="0"/>
                  <w:marRight w:val="0"/>
                  <w:marTop w:val="0"/>
                  <w:marBottom w:val="0"/>
                  <w:divBdr>
                    <w:top w:val="none" w:sz="0" w:space="0" w:color="auto"/>
                    <w:left w:val="none" w:sz="0" w:space="0" w:color="auto"/>
                    <w:bottom w:val="none" w:sz="0" w:space="0" w:color="auto"/>
                    <w:right w:val="none" w:sz="0" w:space="0" w:color="auto"/>
                  </w:divBdr>
                  <w:divsChild>
                    <w:div w:id="10661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874">
              <w:marLeft w:val="0"/>
              <w:marRight w:val="0"/>
              <w:marTop w:val="0"/>
              <w:marBottom w:val="0"/>
              <w:divBdr>
                <w:top w:val="none" w:sz="0" w:space="0" w:color="auto"/>
                <w:left w:val="none" w:sz="0" w:space="0" w:color="auto"/>
                <w:bottom w:val="none" w:sz="0" w:space="0" w:color="auto"/>
                <w:right w:val="none" w:sz="0" w:space="0" w:color="auto"/>
              </w:divBdr>
              <w:divsChild>
                <w:div w:id="1967807762">
                  <w:marLeft w:val="0"/>
                  <w:marRight w:val="0"/>
                  <w:marTop w:val="0"/>
                  <w:marBottom w:val="0"/>
                  <w:divBdr>
                    <w:top w:val="none" w:sz="0" w:space="0" w:color="auto"/>
                    <w:left w:val="none" w:sz="0" w:space="0" w:color="auto"/>
                    <w:bottom w:val="none" w:sz="0" w:space="0" w:color="auto"/>
                    <w:right w:val="none" w:sz="0" w:space="0" w:color="auto"/>
                  </w:divBdr>
                  <w:divsChild>
                    <w:div w:id="20344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1123">
              <w:marLeft w:val="0"/>
              <w:marRight w:val="0"/>
              <w:marTop w:val="0"/>
              <w:marBottom w:val="0"/>
              <w:divBdr>
                <w:top w:val="none" w:sz="0" w:space="0" w:color="auto"/>
                <w:left w:val="none" w:sz="0" w:space="0" w:color="auto"/>
                <w:bottom w:val="none" w:sz="0" w:space="0" w:color="auto"/>
                <w:right w:val="none" w:sz="0" w:space="0" w:color="auto"/>
              </w:divBdr>
              <w:divsChild>
                <w:div w:id="1433742292">
                  <w:marLeft w:val="0"/>
                  <w:marRight w:val="0"/>
                  <w:marTop w:val="0"/>
                  <w:marBottom w:val="0"/>
                  <w:divBdr>
                    <w:top w:val="none" w:sz="0" w:space="0" w:color="auto"/>
                    <w:left w:val="none" w:sz="0" w:space="0" w:color="auto"/>
                    <w:bottom w:val="none" w:sz="0" w:space="0" w:color="auto"/>
                    <w:right w:val="none" w:sz="0" w:space="0" w:color="auto"/>
                  </w:divBdr>
                  <w:divsChild>
                    <w:div w:id="8131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8">
              <w:marLeft w:val="0"/>
              <w:marRight w:val="0"/>
              <w:marTop w:val="0"/>
              <w:marBottom w:val="0"/>
              <w:divBdr>
                <w:top w:val="none" w:sz="0" w:space="0" w:color="auto"/>
                <w:left w:val="none" w:sz="0" w:space="0" w:color="auto"/>
                <w:bottom w:val="none" w:sz="0" w:space="0" w:color="auto"/>
                <w:right w:val="none" w:sz="0" w:space="0" w:color="auto"/>
              </w:divBdr>
              <w:divsChild>
                <w:div w:id="287589197">
                  <w:marLeft w:val="0"/>
                  <w:marRight w:val="0"/>
                  <w:marTop w:val="0"/>
                  <w:marBottom w:val="0"/>
                  <w:divBdr>
                    <w:top w:val="none" w:sz="0" w:space="0" w:color="auto"/>
                    <w:left w:val="none" w:sz="0" w:space="0" w:color="auto"/>
                    <w:bottom w:val="none" w:sz="0" w:space="0" w:color="auto"/>
                    <w:right w:val="none" w:sz="0" w:space="0" w:color="auto"/>
                  </w:divBdr>
                  <w:divsChild>
                    <w:div w:id="10932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3346">
      <w:bodyDiv w:val="1"/>
      <w:marLeft w:val="0"/>
      <w:marRight w:val="0"/>
      <w:marTop w:val="0"/>
      <w:marBottom w:val="0"/>
      <w:divBdr>
        <w:top w:val="none" w:sz="0" w:space="0" w:color="auto"/>
        <w:left w:val="none" w:sz="0" w:space="0" w:color="auto"/>
        <w:bottom w:val="none" w:sz="0" w:space="0" w:color="auto"/>
        <w:right w:val="none" w:sz="0" w:space="0" w:color="auto"/>
      </w:divBdr>
      <w:divsChild>
        <w:div w:id="988827299">
          <w:marLeft w:val="0"/>
          <w:marRight w:val="0"/>
          <w:marTop w:val="0"/>
          <w:marBottom w:val="0"/>
          <w:divBdr>
            <w:top w:val="none" w:sz="0" w:space="0" w:color="auto"/>
            <w:left w:val="none" w:sz="0" w:space="0" w:color="auto"/>
            <w:bottom w:val="none" w:sz="0" w:space="0" w:color="auto"/>
            <w:right w:val="none" w:sz="0" w:space="0" w:color="auto"/>
          </w:divBdr>
          <w:divsChild>
            <w:div w:id="1810852790">
              <w:marLeft w:val="0"/>
              <w:marRight w:val="0"/>
              <w:marTop w:val="0"/>
              <w:marBottom w:val="0"/>
              <w:divBdr>
                <w:top w:val="none" w:sz="0" w:space="0" w:color="auto"/>
                <w:left w:val="none" w:sz="0" w:space="0" w:color="auto"/>
                <w:bottom w:val="none" w:sz="0" w:space="0" w:color="auto"/>
                <w:right w:val="none" w:sz="0" w:space="0" w:color="auto"/>
              </w:divBdr>
              <w:divsChild>
                <w:div w:id="1781681077">
                  <w:marLeft w:val="0"/>
                  <w:marRight w:val="0"/>
                  <w:marTop w:val="0"/>
                  <w:marBottom w:val="0"/>
                  <w:divBdr>
                    <w:top w:val="none" w:sz="0" w:space="0" w:color="auto"/>
                    <w:left w:val="none" w:sz="0" w:space="0" w:color="auto"/>
                    <w:bottom w:val="none" w:sz="0" w:space="0" w:color="auto"/>
                    <w:right w:val="none" w:sz="0" w:space="0" w:color="auto"/>
                  </w:divBdr>
                </w:div>
              </w:divsChild>
            </w:div>
            <w:div w:id="2017922458">
              <w:marLeft w:val="0"/>
              <w:marRight w:val="0"/>
              <w:marTop w:val="0"/>
              <w:marBottom w:val="0"/>
              <w:divBdr>
                <w:top w:val="none" w:sz="0" w:space="0" w:color="auto"/>
                <w:left w:val="none" w:sz="0" w:space="0" w:color="auto"/>
                <w:bottom w:val="none" w:sz="0" w:space="0" w:color="auto"/>
                <w:right w:val="none" w:sz="0" w:space="0" w:color="auto"/>
              </w:divBdr>
              <w:divsChild>
                <w:div w:id="1330672875">
                  <w:marLeft w:val="0"/>
                  <w:marRight w:val="0"/>
                  <w:marTop w:val="0"/>
                  <w:marBottom w:val="0"/>
                  <w:divBdr>
                    <w:top w:val="none" w:sz="0" w:space="0" w:color="auto"/>
                    <w:left w:val="none" w:sz="0" w:space="0" w:color="auto"/>
                    <w:bottom w:val="none" w:sz="0" w:space="0" w:color="auto"/>
                    <w:right w:val="none" w:sz="0" w:space="0" w:color="auto"/>
                  </w:divBdr>
                </w:div>
              </w:divsChild>
            </w:div>
            <w:div w:id="1016421738">
              <w:marLeft w:val="0"/>
              <w:marRight w:val="0"/>
              <w:marTop w:val="0"/>
              <w:marBottom w:val="0"/>
              <w:divBdr>
                <w:top w:val="none" w:sz="0" w:space="0" w:color="auto"/>
                <w:left w:val="none" w:sz="0" w:space="0" w:color="auto"/>
                <w:bottom w:val="none" w:sz="0" w:space="0" w:color="auto"/>
                <w:right w:val="none" w:sz="0" w:space="0" w:color="auto"/>
              </w:divBdr>
              <w:divsChild>
                <w:div w:id="1376009182">
                  <w:marLeft w:val="0"/>
                  <w:marRight w:val="0"/>
                  <w:marTop w:val="0"/>
                  <w:marBottom w:val="0"/>
                  <w:divBdr>
                    <w:top w:val="none" w:sz="0" w:space="0" w:color="auto"/>
                    <w:left w:val="none" w:sz="0" w:space="0" w:color="auto"/>
                    <w:bottom w:val="none" w:sz="0" w:space="0" w:color="auto"/>
                    <w:right w:val="none" w:sz="0" w:space="0" w:color="auto"/>
                  </w:divBdr>
                </w:div>
              </w:divsChild>
            </w:div>
            <w:div w:id="14983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593">
      <w:bodyDiv w:val="1"/>
      <w:marLeft w:val="0"/>
      <w:marRight w:val="0"/>
      <w:marTop w:val="0"/>
      <w:marBottom w:val="0"/>
      <w:divBdr>
        <w:top w:val="none" w:sz="0" w:space="0" w:color="auto"/>
        <w:left w:val="none" w:sz="0" w:space="0" w:color="auto"/>
        <w:bottom w:val="none" w:sz="0" w:space="0" w:color="auto"/>
        <w:right w:val="none" w:sz="0" w:space="0" w:color="auto"/>
      </w:divBdr>
      <w:divsChild>
        <w:div w:id="159388449">
          <w:marLeft w:val="0"/>
          <w:marRight w:val="0"/>
          <w:marTop w:val="0"/>
          <w:marBottom w:val="0"/>
          <w:divBdr>
            <w:top w:val="none" w:sz="0" w:space="0" w:color="auto"/>
            <w:left w:val="none" w:sz="0" w:space="0" w:color="auto"/>
            <w:bottom w:val="none" w:sz="0" w:space="0" w:color="auto"/>
            <w:right w:val="none" w:sz="0" w:space="0" w:color="auto"/>
          </w:divBdr>
          <w:divsChild>
            <w:div w:id="7199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8905">
      <w:bodyDiv w:val="1"/>
      <w:marLeft w:val="0"/>
      <w:marRight w:val="0"/>
      <w:marTop w:val="0"/>
      <w:marBottom w:val="0"/>
      <w:divBdr>
        <w:top w:val="none" w:sz="0" w:space="0" w:color="auto"/>
        <w:left w:val="none" w:sz="0" w:space="0" w:color="auto"/>
        <w:bottom w:val="none" w:sz="0" w:space="0" w:color="auto"/>
        <w:right w:val="none" w:sz="0" w:space="0" w:color="auto"/>
      </w:divBdr>
      <w:divsChild>
        <w:div w:id="1327172885">
          <w:marLeft w:val="0"/>
          <w:marRight w:val="0"/>
          <w:marTop w:val="0"/>
          <w:marBottom w:val="0"/>
          <w:divBdr>
            <w:top w:val="none" w:sz="0" w:space="0" w:color="auto"/>
            <w:left w:val="none" w:sz="0" w:space="0" w:color="auto"/>
            <w:bottom w:val="none" w:sz="0" w:space="0" w:color="auto"/>
            <w:right w:val="none" w:sz="0" w:space="0" w:color="auto"/>
          </w:divBdr>
          <w:divsChild>
            <w:div w:id="5117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428">
      <w:bodyDiv w:val="1"/>
      <w:marLeft w:val="0"/>
      <w:marRight w:val="0"/>
      <w:marTop w:val="0"/>
      <w:marBottom w:val="0"/>
      <w:divBdr>
        <w:top w:val="none" w:sz="0" w:space="0" w:color="auto"/>
        <w:left w:val="none" w:sz="0" w:space="0" w:color="auto"/>
        <w:bottom w:val="none" w:sz="0" w:space="0" w:color="auto"/>
        <w:right w:val="none" w:sz="0" w:space="0" w:color="auto"/>
      </w:divBdr>
      <w:divsChild>
        <w:div w:id="685907826">
          <w:marLeft w:val="0"/>
          <w:marRight w:val="0"/>
          <w:marTop w:val="0"/>
          <w:marBottom w:val="0"/>
          <w:divBdr>
            <w:top w:val="none" w:sz="0" w:space="0" w:color="auto"/>
            <w:left w:val="none" w:sz="0" w:space="0" w:color="auto"/>
            <w:bottom w:val="none" w:sz="0" w:space="0" w:color="auto"/>
            <w:right w:val="none" w:sz="0" w:space="0" w:color="auto"/>
          </w:divBdr>
          <w:divsChild>
            <w:div w:id="713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017">
      <w:bodyDiv w:val="1"/>
      <w:marLeft w:val="0"/>
      <w:marRight w:val="0"/>
      <w:marTop w:val="0"/>
      <w:marBottom w:val="0"/>
      <w:divBdr>
        <w:top w:val="none" w:sz="0" w:space="0" w:color="auto"/>
        <w:left w:val="none" w:sz="0" w:space="0" w:color="auto"/>
        <w:bottom w:val="none" w:sz="0" w:space="0" w:color="auto"/>
        <w:right w:val="none" w:sz="0" w:space="0" w:color="auto"/>
      </w:divBdr>
      <w:divsChild>
        <w:div w:id="1028721457">
          <w:marLeft w:val="0"/>
          <w:marRight w:val="0"/>
          <w:marTop w:val="0"/>
          <w:marBottom w:val="0"/>
          <w:divBdr>
            <w:top w:val="none" w:sz="0" w:space="0" w:color="auto"/>
            <w:left w:val="none" w:sz="0" w:space="0" w:color="auto"/>
            <w:bottom w:val="none" w:sz="0" w:space="0" w:color="auto"/>
            <w:right w:val="none" w:sz="0" w:space="0" w:color="auto"/>
          </w:divBdr>
          <w:divsChild>
            <w:div w:id="1820804107">
              <w:marLeft w:val="0"/>
              <w:marRight w:val="0"/>
              <w:marTop w:val="0"/>
              <w:marBottom w:val="0"/>
              <w:divBdr>
                <w:top w:val="none" w:sz="0" w:space="0" w:color="auto"/>
                <w:left w:val="none" w:sz="0" w:space="0" w:color="auto"/>
                <w:bottom w:val="none" w:sz="0" w:space="0" w:color="auto"/>
                <w:right w:val="none" w:sz="0" w:space="0" w:color="auto"/>
              </w:divBdr>
              <w:divsChild>
                <w:div w:id="15036283">
                  <w:marLeft w:val="0"/>
                  <w:marRight w:val="0"/>
                  <w:marTop w:val="0"/>
                  <w:marBottom w:val="0"/>
                  <w:divBdr>
                    <w:top w:val="none" w:sz="0" w:space="0" w:color="auto"/>
                    <w:left w:val="none" w:sz="0" w:space="0" w:color="auto"/>
                    <w:bottom w:val="none" w:sz="0" w:space="0" w:color="auto"/>
                    <w:right w:val="none" w:sz="0" w:space="0" w:color="auto"/>
                  </w:divBdr>
                </w:div>
              </w:divsChild>
            </w:div>
            <w:div w:id="1343777743">
              <w:marLeft w:val="0"/>
              <w:marRight w:val="0"/>
              <w:marTop w:val="0"/>
              <w:marBottom w:val="0"/>
              <w:divBdr>
                <w:top w:val="none" w:sz="0" w:space="0" w:color="auto"/>
                <w:left w:val="none" w:sz="0" w:space="0" w:color="auto"/>
                <w:bottom w:val="none" w:sz="0" w:space="0" w:color="auto"/>
                <w:right w:val="none" w:sz="0" w:space="0" w:color="auto"/>
              </w:divBdr>
              <w:divsChild>
                <w:div w:id="2019388459">
                  <w:marLeft w:val="0"/>
                  <w:marRight w:val="0"/>
                  <w:marTop w:val="0"/>
                  <w:marBottom w:val="0"/>
                  <w:divBdr>
                    <w:top w:val="none" w:sz="0" w:space="0" w:color="auto"/>
                    <w:left w:val="none" w:sz="0" w:space="0" w:color="auto"/>
                    <w:bottom w:val="none" w:sz="0" w:space="0" w:color="auto"/>
                    <w:right w:val="none" w:sz="0" w:space="0" w:color="auto"/>
                  </w:divBdr>
                </w:div>
              </w:divsChild>
            </w:div>
            <w:div w:id="2581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378">
      <w:bodyDiv w:val="1"/>
      <w:marLeft w:val="0"/>
      <w:marRight w:val="0"/>
      <w:marTop w:val="0"/>
      <w:marBottom w:val="0"/>
      <w:divBdr>
        <w:top w:val="none" w:sz="0" w:space="0" w:color="auto"/>
        <w:left w:val="none" w:sz="0" w:space="0" w:color="auto"/>
        <w:bottom w:val="none" w:sz="0" w:space="0" w:color="auto"/>
        <w:right w:val="none" w:sz="0" w:space="0" w:color="auto"/>
      </w:divBdr>
      <w:divsChild>
        <w:div w:id="632633978">
          <w:marLeft w:val="0"/>
          <w:marRight w:val="0"/>
          <w:marTop w:val="0"/>
          <w:marBottom w:val="0"/>
          <w:divBdr>
            <w:top w:val="none" w:sz="0" w:space="0" w:color="auto"/>
            <w:left w:val="none" w:sz="0" w:space="0" w:color="auto"/>
            <w:bottom w:val="none" w:sz="0" w:space="0" w:color="auto"/>
            <w:right w:val="none" w:sz="0" w:space="0" w:color="auto"/>
          </w:divBdr>
          <w:divsChild>
            <w:div w:id="1225140942">
              <w:marLeft w:val="0"/>
              <w:marRight w:val="0"/>
              <w:marTop w:val="0"/>
              <w:marBottom w:val="0"/>
              <w:divBdr>
                <w:top w:val="none" w:sz="0" w:space="0" w:color="auto"/>
                <w:left w:val="none" w:sz="0" w:space="0" w:color="auto"/>
                <w:bottom w:val="none" w:sz="0" w:space="0" w:color="auto"/>
                <w:right w:val="none" w:sz="0" w:space="0" w:color="auto"/>
              </w:divBdr>
              <w:divsChild>
                <w:div w:id="363671464">
                  <w:marLeft w:val="0"/>
                  <w:marRight w:val="0"/>
                  <w:marTop w:val="0"/>
                  <w:marBottom w:val="0"/>
                  <w:divBdr>
                    <w:top w:val="none" w:sz="0" w:space="0" w:color="auto"/>
                    <w:left w:val="none" w:sz="0" w:space="0" w:color="auto"/>
                    <w:bottom w:val="none" w:sz="0" w:space="0" w:color="auto"/>
                    <w:right w:val="none" w:sz="0" w:space="0" w:color="auto"/>
                  </w:divBdr>
                </w:div>
              </w:divsChild>
            </w:div>
            <w:div w:id="346837067">
              <w:marLeft w:val="0"/>
              <w:marRight w:val="0"/>
              <w:marTop w:val="0"/>
              <w:marBottom w:val="0"/>
              <w:divBdr>
                <w:top w:val="none" w:sz="0" w:space="0" w:color="auto"/>
                <w:left w:val="none" w:sz="0" w:space="0" w:color="auto"/>
                <w:bottom w:val="none" w:sz="0" w:space="0" w:color="auto"/>
                <w:right w:val="none" w:sz="0" w:space="0" w:color="auto"/>
              </w:divBdr>
              <w:divsChild>
                <w:div w:id="598485532">
                  <w:marLeft w:val="0"/>
                  <w:marRight w:val="0"/>
                  <w:marTop w:val="0"/>
                  <w:marBottom w:val="0"/>
                  <w:divBdr>
                    <w:top w:val="none" w:sz="0" w:space="0" w:color="auto"/>
                    <w:left w:val="none" w:sz="0" w:space="0" w:color="auto"/>
                    <w:bottom w:val="none" w:sz="0" w:space="0" w:color="auto"/>
                    <w:right w:val="none" w:sz="0" w:space="0" w:color="auto"/>
                  </w:divBdr>
                </w:div>
              </w:divsChild>
            </w:div>
            <w:div w:id="2104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336">
      <w:bodyDiv w:val="1"/>
      <w:marLeft w:val="0"/>
      <w:marRight w:val="0"/>
      <w:marTop w:val="0"/>
      <w:marBottom w:val="0"/>
      <w:divBdr>
        <w:top w:val="none" w:sz="0" w:space="0" w:color="auto"/>
        <w:left w:val="none" w:sz="0" w:space="0" w:color="auto"/>
        <w:bottom w:val="none" w:sz="0" w:space="0" w:color="auto"/>
        <w:right w:val="none" w:sz="0" w:space="0" w:color="auto"/>
      </w:divBdr>
      <w:divsChild>
        <w:div w:id="625550748">
          <w:marLeft w:val="0"/>
          <w:marRight w:val="0"/>
          <w:marTop w:val="0"/>
          <w:marBottom w:val="0"/>
          <w:divBdr>
            <w:top w:val="none" w:sz="0" w:space="0" w:color="auto"/>
            <w:left w:val="none" w:sz="0" w:space="0" w:color="auto"/>
            <w:bottom w:val="none" w:sz="0" w:space="0" w:color="auto"/>
            <w:right w:val="none" w:sz="0" w:space="0" w:color="auto"/>
          </w:divBdr>
          <w:divsChild>
            <w:div w:id="7486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805">
      <w:bodyDiv w:val="1"/>
      <w:marLeft w:val="0"/>
      <w:marRight w:val="0"/>
      <w:marTop w:val="0"/>
      <w:marBottom w:val="0"/>
      <w:divBdr>
        <w:top w:val="none" w:sz="0" w:space="0" w:color="auto"/>
        <w:left w:val="none" w:sz="0" w:space="0" w:color="auto"/>
        <w:bottom w:val="none" w:sz="0" w:space="0" w:color="auto"/>
        <w:right w:val="none" w:sz="0" w:space="0" w:color="auto"/>
      </w:divBdr>
      <w:divsChild>
        <w:div w:id="1040933184">
          <w:marLeft w:val="0"/>
          <w:marRight w:val="0"/>
          <w:marTop w:val="0"/>
          <w:marBottom w:val="0"/>
          <w:divBdr>
            <w:top w:val="none" w:sz="0" w:space="0" w:color="auto"/>
            <w:left w:val="none" w:sz="0" w:space="0" w:color="auto"/>
            <w:bottom w:val="none" w:sz="0" w:space="0" w:color="auto"/>
            <w:right w:val="none" w:sz="0" w:space="0" w:color="auto"/>
          </w:divBdr>
          <w:divsChild>
            <w:div w:id="10044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5057">
      <w:bodyDiv w:val="1"/>
      <w:marLeft w:val="0"/>
      <w:marRight w:val="0"/>
      <w:marTop w:val="0"/>
      <w:marBottom w:val="0"/>
      <w:divBdr>
        <w:top w:val="none" w:sz="0" w:space="0" w:color="auto"/>
        <w:left w:val="none" w:sz="0" w:space="0" w:color="auto"/>
        <w:bottom w:val="none" w:sz="0" w:space="0" w:color="auto"/>
        <w:right w:val="none" w:sz="0" w:space="0" w:color="auto"/>
      </w:divBdr>
      <w:divsChild>
        <w:div w:id="103814872">
          <w:marLeft w:val="0"/>
          <w:marRight w:val="0"/>
          <w:marTop w:val="0"/>
          <w:marBottom w:val="0"/>
          <w:divBdr>
            <w:top w:val="none" w:sz="0" w:space="0" w:color="auto"/>
            <w:left w:val="none" w:sz="0" w:space="0" w:color="auto"/>
            <w:bottom w:val="none" w:sz="0" w:space="0" w:color="auto"/>
            <w:right w:val="none" w:sz="0" w:space="0" w:color="auto"/>
          </w:divBdr>
          <w:divsChild>
            <w:div w:id="2604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4277">
      <w:bodyDiv w:val="1"/>
      <w:marLeft w:val="0"/>
      <w:marRight w:val="0"/>
      <w:marTop w:val="0"/>
      <w:marBottom w:val="0"/>
      <w:divBdr>
        <w:top w:val="none" w:sz="0" w:space="0" w:color="auto"/>
        <w:left w:val="none" w:sz="0" w:space="0" w:color="auto"/>
        <w:bottom w:val="none" w:sz="0" w:space="0" w:color="auto"/>
        <w:right w:val="none" w:sz="0" w:space="0" w:color="auto"/>
      </w:divBdr>
      <w:divsChild>
        <w:div w:id="1470897264">
          <w:marLeft w:val="0"/>
          <w:marRight w:val="0"/>
          <w:marTop w:val="0"/>
          <w:marBottom w:val="0"/>
          <w:divBdr>
            <w:top w:val="none" w:sz="0" w:space="0" w:color="auto"/>
            <w:left w:val="none" w:sz="0" w:space="0" w:color="auto"/>
            <w:bottom w:val="none" w:sz="0" w:space="0" w:color="auto"/>
            <w:right w:val="none" w:sz="0" w:space="0" w:color="auto"/>
          </w:divBdr>
          <w:divsChild>
            <w:div w:id="431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3578">
      <w:bodyDiv w:val="1"/>
      <w:marLeft w:val="0"/>
      <w:marRight w:val="0"/>
      <w:marTop w:val="0"/>
      <w:marBottom w:val="0"/>
      <w:divBdr>
        <w:top w:val="none" w:sz="0" w:space="0" w:color="auto"/>
        <w:left w:val="none" w:sz="0" w:space="0" w:color="auto"/>
        <w:bottom w:val="none" w:sz="0" w:space="0" w:color="auto"/>
        <w:right w:val="none" w:sz="0" w:space="0" w:color="auto"/>
      </w:divBdr>
      <w:divsChild>
        <w:div w:id="337315733">
          <w:marLeft w:val="0"/>
          <w:marRight w:val="0"/>
          <w:marTop w:val="0"/>
          <w:marBottom w:val="0"/>
          <w:divBdr>
            <w:top w:val="none" w:sz="0" w:space="0" w:color="auto"/>
            <w:left w:val="none" w:sz="0" w:space="0" w:color="auto"/>
            <w:bottom w:val="none" w:sz="0" w:space="0" w:color="auto"/>
            <w:right w:val="none" w:sz="0" w:space="0" w:color="auto"/>
          </w:divBdr>
          <w:divsChild>
            <w:div w:id="14134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7951">
      <w:bodyDiv w:val="1"/>
      <w:marLeft w:val="0"/>
      <w:marRight w:val="0"/>
      <w:marTop w:val="0"/>
      <w:marBottom w:val="0"/>
      <w:divBdr>
        <w:top w:val="none" w:sz="0" w:space="0" w:color="auto"/>
        <w:left w:val="none" w:sz="0" w:space="0" w:color="auto"/>
        <w:bottom w:val="none" w:sz="0" w:space="0" w:color="auto"/>
        <w:right w:val="none" w:sz="0" w:space="0" w:color="auto"/>
      </w:divBdr>
      <w:divsChild>
        <w:div w:id="1742823474">
          <w:marLeft w:val="0"/>
          <w:marRight w:val="0"/>
          <w:marTop w:val="0"/>
          <w:marBottom w:val="0"/>
          <w:divBdr>
            <w:top w:val="none" w:sz="0" w:space="0" w:color="auto"/>
            <w:left w:val="none" w:sz="0" w:space="0" w:color="auto"/>
            <w:bottom w:val="none" w:sz="0" w:space="0" w:color="auto"/>
            <w:right w:val="none" w:sz="0" w:space="0" w:color="auto"/>
          </w:divBdr>
          <w:divsChild>
            <w:div w:id="1809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0395">
      <w:bodyDiv w:val="1"/>
      <w:marLeft w:val="0"/>
      <w:marRight w:val="0"/>
      <w:marTop w:val="0"/>
      <w:marBottom w:val="0"/>
      <w:divBdr>
        <w:top w:val="none" w:sz="0" w:space="0" w:color="auto"/>
        <w:left w:val="none" w:sz="0" w:space="0" w:color="auto"/>
        <w:bottom w:val="none" w:sz="0" w:space="0" w:color="auto"/>
        <w:right w:val="none" w:sz="0" w:space="0" w:color="auto"/>
      </w:divBdr>
      <w:divsChild>
        <w:div w:id="1074936465">
          <w:marLeft w:val="0"/>
          <w:marRight w:val="0"/>
          <w:marTop w:val="0"/>
          <w:marBottom w:val="0"/>
          <w:divBdr>
            <w:top w:val="none" w:sz="0" w:space="0" w:color="auto"/>
            <w:left w:val="none" w:sz="0" w:space="0" w:color="auto"/>
            <w:bottom w:val="none" w:sz="0" w:space="0" w:color="auto"/>
            <w:right w:val="none" w:sz="0" w:space="0" w:color="auto"/>
          </w:divBdr>
          <w:divsChild>
            <w:div w:id="21126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8223">
      <w:bodyDiv w:val="1"/>
      <w:marLeft w:val="0"/>
      <w:marRight w:val="0"/>
      <w:marTop w:val="0"/>
      <w:marBottom w:val="0"/>
      <w:divBdr>
        <w:top w:val="none" w:sz="0" w:space="0" w:color="auto"/>
        <w:left w:val="none" w:sz="0" w:space="0" w:color="auto"/>
        <w:bottom w:val="none" w:sz="0" w:space="0" w:color="auto"/>
        <w:right w:val="none" w:sz="0" w:space="0" w:color="auto"/>
      </w:divBdr>
      <w:divsChild>
        <w:div w:id="1256938412">
          <w:marLeft w:val="0"/>
          <w:marRight w:val="0"/>
          <w:marTop w:val="0"/>
          <w:marBottom w:val="0"/>
          <w:divBdr>
            <w:top w:val="none" w:sz="0" w:space="0" w:color="auto"/>
            <w:left w:val="none" w:sz="0" w:space="0" w:color="auto"/>
            <w:bottom w:val="none" w:sz="0" w:space="0" w:color="auto"/>
            <w:right w:val="none" w:sz="0" w:space="0" w:color="auto"/>
          </w:divBdr>
          <w:divsChild>
            <w:div w:id="873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0807">
      <w:bodyDiv w:val="1"/>
      <w:marLeft w:val="0"/>
      <w:marRight w:val="0"/>
      <w:marTop w:val="0"/>
      <w:marBottom w:val="0"/>
      <w:divBdr>
        <w:top w:val="none" w:sz="0" w:space="0" w:color="auto"/>
        <w:left w:val="none" w:sz="0" w:space="0" w:color="auto"/>
        <w:bottom w:val="none" w:sz="0" w:space="0" w:color="auto"/>
        <w:right w:val="none" w:sz="0" w:space="0" w:color="auto"/>
      </w:divBdr>
      <w:divsChild>
        <w:div w:id="1032923209">
          <w:marLeft w:val="0"/>
          <w:marRight w:val="0"/>
          <w:marTop w:val="0"/>
          <w:marBottom w:val="0"/>
          <w:divBdr>
            <w:top w:val="none" w:sz="0" w:space="0" w:color="auto"/>
            <w:left w:val="none" w:sz="0" w:space="0" w:color="auto"/>
            <w:bottom w:val="none" w:sz="0" w:space="0" w:color="auto"/>
            <w:right w:val="none" w:sz="0" w:space="0" w:color="auto"/>
          </w:divBdr>
          <w:divsChild>
            <w:div w:id="1417097474">
              <w:marLeft w:val="0"/>
              <w:marRight w:val="0"/>
              <w:marTop w:val="0"/>
              <w:marBottom w:val="0"/>
              <w:divBdr>
                <w:top w:val="none" w:sz="0" w:space="0" w:color="auto"/>
                <w:left w:val="none" w:sz="0" w:space="0" w:color="auto"/>
                <w:bottom w:val="none" w:sz="0" w:space="0" w:color="auto"/>
                <w:right w:val="none" w:sz="0" w:space="0" w:color="auto"/>
              </w:divBdr>
              <w:divsChild>
                <w:div w:id="1059210757">
                  <w:marLeft w:val="0"/>
                  <w:marRight w:val="0"/>
                  <w:marTop w:val="0"/>
                  <w:marBottom w:val="0"/>
                  <w:divBdr>
                    <w:top w:val="none" w:sz="0" w:space="0" w:color="auto"/>
                    <w:left w:val="none" w:sz="0" w:space="0" w:color="auto"/>
                    <w:bottom w:val="none" w:sz="0" w:space="0" w:color="auto"/>
                    <w:right w:val="none" w:sz="0" w:space="0" w:color="auto"/>
                  </w:divBdr>
                </w:div>
              </w:divsChild>
            </w:div>
            <w:div w:id="1291279983">
              <w:marLeft w:val="0"/>
              <w:marRight w:val="0"/>
              <w:marTop w:val="0"/>
              <w:marBottom w:val="0"/>
              <w:divBdr>
                <w:top w:val="none" w:sz="0" w:space="0" w:color="auto"/>
                <w:left w:val="none" w:sz="0" w:space="0" w:color="auto"/>
                <w:bottom w:val="none" w:sz="0" w:space="0" w:color="auto"/>
                <w:right w:val="none" w:sz="0" w:space="0" w:color="auto"/>
              </w:divBdr>
              <w:divsChild>
                <w:div w:id="821503301">
                  <w:marLeft w:val="0"/>
                  <w:marRight w:val="0"/>
                  <w:marTop w:val="0"/>
                  <w:marBottom w:val="0"/>
                  <w:divBdr>
                    <w:top w:val="none" w:sz="0" w:space="0" w:color="auto"/>
                    <w:left w:val="none" w:sz="0" w:space="0" w:color="auto"/>
                    <w:bottom w:val="none" w:sz="0" w:space="0" w:color="auto"/>
                    <w:right w:val="none" w:sz="0" w:space="0" w:color="auto"/>
                  </w:divBdr>
                </w:div>
              </w:divsChild>
            </w:div>
            <w:div w:id="17497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8507">
      <w:bodyDiv w:val="1"/>
      <w:marLeft w:val="0"/>
      <w:marRight w:val="0"/>
      <w:marTop w:val="0"/>
      <w:marBottom w:val="0"/>
      <w:divBdr>
        <w:top w:val="none" w:sz="0" w:space="0" w:color="auto"/>
        <w:left w:val="none" w:sz="0" w:space="0" w:color="auto"/>
        <w:bottom w:val="none" w:sz="0" w:space="0" w:color="auto"/>
        <w:right w:val="none" w:sz="0" w:space="0" w:color="auto"/>
      </w:divBdr>
      <w:divsChild>
        <w:div w:id="2068604555">
          <w:marLeft w:val="0"/>
          <w:marRight w:val="0"/>
          <w:marTop w:val="0"/>
          <w:marBottom w:val="0"/>
          <w:divBdr>
            <w:top w:val="none" w:sz="0" w:space="0" w:color="auto"/>
            <w:left w:val="none" w:sz="0" w:space="0" w:color="auto"/>
            <w:bottom w:val="none" w:sz="0" w:space="0" w:color="auto"/>
            <w:right w:val="none" w:sz="0" w:space="0" w:color="auto"/>
          </w:divBdr>
          <w:divsChild>
            <w:div w:id="1166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8218">
      <w:bodyDiv w:val="1"/>
      <w:marLeft w:val="0"/>
      <w:marRight w:val="0"/>
      <w:marTop w:val="0"/>
      <w:marBottom w:val="0"/>
      <w:divBdr>
        <w:top w:val="none" w:sz="0" w:space="0" w:color="auto"/>
        <w:left w:val="none" w:sz="0" w:space="0" w:color="auto"/>
        <w:bottom w:val="none" w:sz="0" w:space="0" w:color="auto"/>
        <w:right w:val="none" w:sz="0" w:space="0" w:color="auto"/>
      </w:divBdr>
      <w:divsChild>
        <w:div w:id="171649197">
          <w:marLeft w:val="0"/>
          <w:marRight w:val="0"/>
          <w:marTop w:val="0"/>
          <w:marBottom w:val="0"/>
          <w:divBdr>
            <w:top w:val="none" w:sz="0" w:space="0" w:color="auto"/>
            <w:left w:val="none" w:sz="0" w:space="0" w:color="auto"/>
            <w:bottom w:val="none" w:sz="0" w:space="0" w:color="auto"/>
            <w:right w:val="none" w:sz="0" w:space="0" w:color="auto"/>
          </w:divBdr>
          <w:divsChild>
            <w:div w:id="942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7387</Words>
  <Characters>40364</Characters>
  <Application>Microsoft Office Word</Application>
  <DocSecurity>0</DocSecurity>
  <Lines>650</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2017-03-21T21:49:00Z</dcterms:created>
  <dcterms:modified xsi:type="dcterms:W3CDTF">2017-03-21T21:49:00Z</dcterms:modified>
  <cp:category/>
</cp:coreProperties>
</file>