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61" w:rsidRPr="00EB4ED2" w:rsidRDefault="00DE519E" w:rsidP="00C7297F">
      <w:pPr>
        <w:spacing w:line="240" w:lineRule="auto"/>
        <w:rPr>
          <w:rFonts w:ascii="Century Schoolbook" w:hAnsi="Century Schoolbook"/>
          <w:sz w:val="20"/>
          <w:szCs w:val="20"/>
        </w:rPr>
      </w:pPr>
      <w:bookmarkStart w:id="0" w:name="_GoBack"/>
      <w:bookmarkEnd w:id="0"/>
      <w:r w:rsidRPr="00EB4ED2">
        <w:rPr>
          <w:rFonts w:ascii="Century Schoolbook" w:hAnsi="Century Schoolbook"/>
          <w:sz w:val="20"/>
          <w:szCs w:val="20"/>
        </w:rPr>
        <w:t>Filed 4/3/17</w:t>
      </w:r>
    </w:p>
    <w:p w:rsidR="00962361" w:rsidRPr="00EC17EC" w:rsidRDefault="00DE519E" w:rsidP="00A85AF2">
      <w:pPr>
        <w:spacing w:line="240" w:lineRule="auto"/>
        <w:jc w:val="center"/>
        <w:rPr>
          <w:rFonts w:ascii="Century Schoolbook" w:hAnsi="Century Schoolbook"/>
          <w:b/>
          <w:szCs w:val="26"/>
        </w:rPr>
      </w:pPr>
      <w:r w:rsidRPr="00EC17EC">
        <w:rPr>
          <w:rFonts w:ascii="Century Schoolbook" w:hAnsi="Century Schoolbook"/>
          <w:b/>
          <w:szCs w:val="26"/>
        </w:rPr>
        <w:t>CERTIFIED FOR PUBLICATION</w:t>
      </w:r>
    </w:p>
    <w:p w:rsidR="00962361" w:rsidRPr="00EC17EC" w:rsidRDefault="00DE519E" w:rsidP="00A85AF2">
      <w:pPr>
        <w:spacing w:line="240" w:lineRule="auto"/>
        <w:jc w:val="center"/>
        <w:rPr>
          <w:rFonts w:ascii="Century Schoolbook" w:hAnsi="Century Schoolbook"/>
          <w:szCs w:val="26"/>
        </w:rPr>
      </w:pPr>
    </w:p>
    <w:p w:rsidR="00962361" w:rsidRPr="00EC17EC" w:rsidRDefault="00DE519E" w:rsidP="00A85AF2">
      <w:pPr>
        <w:spacing w:line="240" w:lineRule="auto"/>
        <w:jc w:val="center"/>
        <w:rPr>
          <w:rFonts w:ascii="Century Schoolbook" w:hAnsi="Century Schoolbook"/>
          <w:szCs w:val="26"/>
        </w:rPr>
      </w:pPr>
      <w:r w:rsidRPr="00EC17EC">
        <w:rPr>
          <w:rFonts w:ascii="Century Schoolbook" w:hAnsi="Century Schoolbook"/>
          <w:szCs w:val="26"/>
        </w:rPr>
        <w:t>IN THE COURT OF APPEAL OF THE STATE OF CALIFORNIA</w:t>
      </w:r>
    </w:p>
    <w:p w:rsidR="00962361" w:rsidRPr="00EC17EC" w:rsidRDefault="00DE519E" w:rsidP="00A85AF2">
      <w:pPr>
        <w:spacing w:line="240" w:lineRule="auto"/>
        <w:jc w:val="center"/>
        <w:rPr>
          <w:rFonts w:ascii="Century Schoolbook" w:hAnsi="Century Schoolbook"/>
          <w:szCs w:val="26"/>
        </w:rPr>
      </w:pPr>
    </w:p>
    <w:p w:rsidR="00962361" w:rsidRPr="00EC17EC" w:rsidRDefault="00DE519E" w:rsidP="00A85AF2">
      <w:pPr>
        <w:spacing w:line="240" w:lineRule="auto"/>
        <w:jc w:val="center"/>
        <w:rPr>
          <w:rFonts w:ascii="Century Schoolbook" w:hAnsi="Century Schoolbook"/>
          <w:szCs w:val="26"/>
        </w:rPr>
      </w:pPr>
      <w:r w:rsidRPr="00EC17EC">
        <w:rPr>
          <w:rFonts w:ascii="Century Schoolbook" w:hAnsi="Century Schoolbook"/>
          <w:szCs w:val="26"/>
        </w:rPr>
        <w:t>SECOND APPELLATE DISTRICT</w:t>
      </w:r>
    </w:p>
    <w:p w:rsidR="00962361" w:rsidRPr="00EC17EC" w:rsidRDefault="00DE519E" w:rsidP="00A85AF2">
      <w:pPr>
        <w:spacing w:line="240" w:lineRule="auto"/>
        <w:jc w:val="center"/>
        <w:rPr>
          <w:rFonts w:ascii="Century Schoolbook" w:hAnsi="Century Schoolbook"/>
          <w:szCs w:val="26"/>
        </w:rPr>
      </w:pPr>
    </w:p>
    <w:p w:rsidR="00962361" w:rsidRPr="00EC17EC" w:rsidRDefault="00DE519E" w:rsidP="00A85AF2">
      <w:pPr>
        <w:spacing w:line="240" w:lineRule="auto"/>
        <w:jc w:val="center"/>
        <w:rPr>
          <w:rFonts w:ascii="Century Schoolbook" w:hAnsi="Century Schoolbook"/>
          <w:szCs w:val="26"/>
        </w:rPr>
      </w:pPr>
      <w:r w:rsidRPr="00EC17EC">
        <w:rPr>
          <w:rFonts w:ascii="Century Schoolbook" w:hAnsi="Century Schoolbook"/>
          <w:szCs w:val="26"/>
        </w:rPr>
        <w:t>DIVISION TWO</w:t>
      </w:r>
    </w:p>
    <w:p w:rsidR="00962361" w:rsidRPr="00EC17EC" w:rsidRDefault="00DE519E" w:rsidP="00A85AF2">
      <w:pPr>
        <w:spacing w:line="240" w:lineRule="auto"/>
        <w:jc w:val="center"/>
        <w:rPr>
          <w:rFonts w:ascii="Century Schoolbook" w:hAnsi="Century Schoolbook"/>
          <w:szCs w:val="26"/>
        </w:rPr>
      </w:pPr>
    </w:p>
    <w:p w:rsidR="00962361" w:rsidRPr="00EC17EC" w:rsidRDefault="00DE519E" w:rsidP="00A85AF2">
      <w:pPr>
        <w:spacing w:line="240" w:lineRule="auto"/>
        <w:jc w:val="center"/>
        <w:rPr>
          <w:rFonts w:ascii="Century Schoolbook" w:hAnsi="Century Schoolbook"/>
          <w:szCs w:val="26"/>
        </w:rPr>
      </w:pPr>
    </w:p>
    <w:tbl>
      <w:tblPr>
        <w:tblW w:w="0" w:type="auto"/>
        <w:tblLayout w:type="fixed"/>
        <w:tblLook w:val="0000" w:firstRow="0" w:lastRow="0" w:firstColumn="0" w:lastColumn="0" w:noHBand="0" w:noVBand="0"/>
      </w:tblPr>
      <w:tblGrid>
        <w:gridCol w:w="4788"/>
        <w:gridCol w:w="4788"/>
      </w:tblGrid>
      <w:tr w:rsidR="00C43AF5" w:rsidTr="00962361">
        <w:tc>
          <w:tcPr>
            <w:tcW w:w="4788" w:type="dxa"/>
            <w:tcBorders>
              <w:bottom w:val="single" w:sz="4" w:space="0" w:color="auto"/>
              <w:right w:val="single" w:sz="4" w:space="0" w:color="auto"/>
            </w:tcBorders>
            <w:shd w:val="clear" w:color="auto" w:fill="auto"/>
          </w:tcPr>
          <w:p w:rsidR="00962361" w:rsidRPr="00EC17EC" w:rsidRDefault="00DE519E" w:rsidP="00A85AF2">
            <w:pPr>
              <w:spacing w:line="240" w:lineRule="auto"/>
              <w:rPr>
                <w:rFonts w:ascii="Century Schoolbook" w:hAnsi="Century Schoolbook"/>
                <w:szCs w:val="26"/>
              </w:rPr>
            </w:pPr>
            <w:r w:rsidRPr="00EC17EC">
              <w:rPr>
                <w:rFonts w:ascii="Century Schoolbook" w:hAnsi="Century Schoolbook"/>
                <w:szCs w:val="26"/>
              </w:rPr>
              <w:t>THE PEOPLE,</w:t>
            </w:r>
          </w:p>
          <w:p w:rsidR="00962361" w:rsidRPr="00EC17EC" w:rsidRDefault="00DE519E" w:rsidP="00A85AF2">
            <w:pPr>
              <w:spacing w:line="240" w:lineRule="auto"/>
              <w:rPr>
                <w:rFonts w:ascii="Century Schoolbook" w:hAnsi="Century Schoolbook"/>
                <w:szCs w:val="26"/>
              </w:rPr>
            </w:pPr>
          </w:p>
          <w:p w:rsidR="00962361" w:rsidRPr="00EC17EC" w:rsidRDefault="00DE519E" w:rsidP="00A85AF2">
            <w:pPr>
              <w:spacing w:line="240" w:lineRule="auto"/>
              <w:rPr>
                <w:rFonts w:ascii="Century Schoolbook" w:hAnsi="Century Schoolbook"/>
                <w:szCs w:val="26"/>
              </w:rPr>
            </w:pPr>
            <w:r w:rsidRPr="00EC17EC">
              <w:rPr>
                <w:rFonts w:ascii="Century Schoolbook" w:hAnsi="Century Schoolbook"/>
                <w:szCs w:val="26"/>
              </w:rPr>
              <w:tab/>
              <w:t>Plaintiff and Respondent,</w:t>
            </w:r>
          </w:p>
          <w:p w:rsidR="00962361" w:rsidRPr="00EC17EC" w:rsidRDefault="00DE519E" w:rsidP="00A85AF2">
            <w:pPr>
              <w:spacing w:line="240" w:lineRule="auto"/>
              <w:rPr>
                <w:rFonts w:ascii="Century Schoolbook" w:hAnsi="Century Schoolbook"/>
                <w:szCs w:val="26"/>
              </w:rPr>
            </w:pPr>
          </w:p>
          <w:p w:rsidR="00962361" w:rsidRPr="00EC17EC" w:rsidRDefault="00DE519E" w:rsidP="00A85AF2">
            <w:pPr>
              <w:spacing w:line="240" w:lineRule="auto"/>
              <w:rPr>
                <w:rFonts w:ascii="Century Schoolbook" w:hAnsi="Century Schoolbook"/>
                <w:szCs w:val="26"/>
              </w:rPr>
            </w:pPr>
            <w:r w:rsidRPr="00EC17EC">
              <w:rPr>
                <w:rFonts w:ascii="Century Schoolbook" w:hAnsi="Century Schoolbook"/>
                <w:szCs w:val="26"/>
              </w:rPr>
              <w:tab/>
              <w:t>v.</w:t>
            </w:r>
          </w:p>
          <w:p w:rsidR="00962361" w:rsidRPr="00EC17EC" w:rsidRDefault="00DE519E" w:rsidP="00A85AF2">
            <w:pPr>
              <w:spacing w:line="240" w:lineRule="auto"/>
              <w:rPr>
                <w:rFonts w:ascii="Century Schoolbook" w:hAnsi="Century Schoolbook"/>
                <w:szCs w:val="26"/>
              </w:rPr>
            </w:pPr>
          </w:p>
          <w:p w:rsidR="00962361" w:rsidRPr="00EC17EC" w:rsidRDefault="00DE519E" w:rsidP="00A85AF2">
            <w:pPr>
              <w:spacing w:line="240" w:lineRule="auto"/>
              <w:rPr>
                <w:rFonts w:ascii="Century Schoolbook" w:hAnsi="Century Schoolbook"/>
                <w:szCs w:val="26"/>
              </w:rPr>
            </w:pPr>
            <w:r w:rsidRPr="00EC17EC">
              <w:rPr>
                <w:rFonts w:ascii="Century Schoolbook" w:hAnsi="Century Schoolbook"/>
                <w:szCs w:val="26"/>
              </w:rPr>
              <w:t>FINANCIAL CASUALTY &amp; SURETY</w:t>
            </w:r>
            <w:r w:rsidRPr="00EC17EC">
              <w:rPr>
                <w:rFonts w:ascii="Century Schoolbook" w:hAnsi="Century Schoolbook"/>
                <w:szCs w:val="26"/>
              </w:rPr>
              <w:t>,</w:t>
            </w:r>
            <w:r w:rsidRPr="00EC17EC">
              <w:rPr>
                <w:rFonts w:ascii="Century Schoolbook" w:hAnsi="Century Schoolbook"/>
                <w:szCs w:val="26"/>
              </w:rPr>
              <w:t xml:space="preserve"> INC.,</w:t>
            </w:r>
          </w:p>
          <w:p w:rsidR="00962361" w:rsidRPr="00EC17EC" w:rsidRDefault="00DE519E" w:rsidP="00A85AF2">
            <w:pPr>
              <w:spacing w:line="240" w:lineRule="auto"/>
              <w:rPr>
                <w:rFonts w:ascii="Century Schoolbook" w:hAnsi="Century Schoolbook"/>
                <w:szCs w:val="26"/>
              </w:rPr>
            </w:pPr>
          </w:p>
          <w:p w:rsidR="00962361" w:rsidRPr="00EC17EC" w:rsidRDefault="00DE519E" w:rsidP="00A85AF2">
            <w:pPr>
              <w:spacing w:line="240" w:lineRule="auto"/>
              <w:rPr>
                <w:rFonts w:ascii="Century Schoolbook" w:hAnsi="Century Schoolbook"/>
                <w:szCs w:val="26"/>
              </w:rPr>
            </w:pPr>
            <w:r w:rsidRPr="00EC17EC">
              <w:rPr>
                <w:rFonts w:ascii="Century Schoolbook" w:hAnsi="Century Schoolbook"/>
                <w:szCs w:val="26"/>
              </w:rPr>
              <w:tab/>
              <w:t>Defendant and Appellant.</w:t>
            </w:r>
          </w:p>
          <w:p w:rsidR="00962361" w:rsidRPr="00EC17EC" w:rsidRDefault="00DE519E" w:rsidP="00A85AF2">
            <w:pPr>
              <w:spacing w:line="240" w:lineRule="auto"/>
              <w:rPr>
                <w:rFonts w:ascii="Century Schoolbook" w:hAnsi="Century Schoolbook"/>
                <w:szCs w:val="26"/>
              </w:rPr>
            </w:pPr>
          </w:p>
        </w:tc>
        <w:tc>
          <w:tcPr>
            <w:tcW w:w="4788" w:type="dxa"/>
            <w:tcBorders>
              <w:left w:val="single" w:sz="4" w:space="0" w:color="auto"/>
            </w:tcBorders>
            <w:shd w:val="clear" w:color="auto" w:fill="auto"/>
          </w:tcPr>
          <w:p w:rsidR="00962361" w:rsidRPr="00EC17EC" w:rsidRDefault="00DE519E" w:rsidP="00A85AF2">
            <w:pPr>
              <w:spacing w:line="240" w:lineRule="auto"/>
              <w:rPr>
                <w:rFonts w:ascii="Century Schoolbook" w:hAnsi="Century Schoolbook"/>
                <w:szCs w:val="26"/>
              </w:rPr>
            </w:pPr>
            <w:r w:rsidRPr="00EC17EC">
              <w:rPr>
                <w:rFonts w:ascii="Century Schoolbook" w:hAnsi="Century Schoolbook"/>
                <w:szCs w:val="26"/>
              </w:rPr>
              <w:t xml:space="preserve">      B264718</w:t>
            </w:r>
          </w:p>
          <w:p w:rsidR="00962361" w:rsidRPr="00EC17EC" w:rsidRDefault="00DE519E" w:rsidP="00A85AF2">
            <w:pPr>
              <w:spacing w:line="240" w:lineRule="auto"/>
              <w:rPr>
                <w:rFonts w:ascii="Century Schoolbook" w:hAnsi="Century Schoolbook"/>
                <w:szCs w:val="26"/>
              </w:rPr>
            </w:pPr>
          </w:p>
          <w:p w:rsidR="00962361" w:rsidRPr="00EC17EC" w:rsidRDefault="00DE519E" w:rsidP="00A85AF2">
            <w:pPr>
              <w:spacing w:line="240" w:lineRule="auto"/>
              <w:rPr>
                <w:rFonts w:ascii="Century Schoolbook" w:hAnsi="Century Schoolbook"/>
                <w:szCs w:val="26"/>
              </w:rPr>
            </w:pPr>
            <w:r w:rsidRPr="00EC17EC">
              <w:rPr>
                <w:rFonts w:ascii="Century Schoolbook" w:hAnsi="Century Schoolbook"/>
                <w:szCs w:val="26"/>
              </w:rPr>
              <w:t xml:space="preserve">      (Los Angeles County</w:t>
            </w:r>
          </w:p>
          <w:p w:rsidR="00962361" w:rsidRPr="00EC17EC" w:rsidRDefault="00DE519E" w:rsidP="00A85AF2">
            <w:pPr>
              <w:spacing w:line="240" w:lineRule="auto"/>
              <w:rPr>
                <w:rFonts w:ascii="Century Schoolbook" w:hAnsi="Century Schoolbook"/>
                <w:szCs w:val="26"/>
              </w:rPr>
            </w:pPr>
            <w:r w:rsidRPr="00EC17EC">
              <w:rPr>
                <w:rFonts w:ascii="Century Schoolbook" w:hAnsi="Century Schoolbook"/>
                <w:szCs w:val="26"/>
              </w:rPr>
              <w:t xml:space="preserve">      Super. Ct. No. SJ4027)</w:t>
            </w:r>
          </w:p>
          <w:p w:rsidR="00962361" w:rsidRPr="00EC17EC" w:rsidRDefault="00DE519E" w:rsidP="00A85AF2">
            <w:pPr>
              <w:spacing w:line="240" w:lineRule="auto"/>
              <w:rPr>
                <w:rFonts w:ascii="Century Schoolbook" w:hAnsi="Century Schoolbook"/>
                <w:szCs w:val="26"/>
              </w:rPr>
            </w:pPr>
          </w:p>
        </w:tc>
      </w:tr>
    </w:tbl>
    <w:p w:rsidR="00962361" w:rsidRPr="00EC17EC" w:rsidRDefault="00DE519E" w:rsidP="00A85AF2">
      <w:pPr>
        <w:spacing w:line="240" w:lineRule="auto"/>
        <w:rPr>
          <w:rFonts w:ascii="Century Schoolbook" w:hAnsi="Century Schoolbook"/>
          <w:szCs w:val="26"/>
        </w:rPr>
      </w:pPr>
    </w:p>
    <w:p w:rsidR="00962361" w:rsidRPr="00EC17EC" w:rsidRDefault="00DE519E" w:rsidP="00A85AF2">
      <w:pPr>
        <w:spacing w:line="240" w:lineRule="auto"/>
        <w:rPr>
          <w:rFonts w:ascii="Century Schoolbook" w:hAnsi="Century Schoolbook"/>
          <w:szCs w:val="26"/>
        </w:rPr>
      </w:pPr>
      <w:r w:rsidRPr="00EC17EC">
        <w:rPr>
          <w:rFonts w:ascii="Century Schoolbook" w:hAnsi="Century Schoolbook"/>
          <w:szCs w:val="26"/>
        </w:rPr>
        <w:tab/>
        <w:t xml:space="preserve">APPEAL from an order </w:t>
      </w:r>
      <w:r w:rsidRPr="00EC17EC">
        <w:rPr>
          <w:rFonts w:ascii="Century Schoolbook" w:hAnsi="Century Schoolbook"/>
          <w:szCs w:val="26"/>
        </w:rPr>
        <w:t xml:space="preserve">and judgment </w:t>
      </w:r>
      <w:r w:rsidRPr="00EC17EC">
        <w:rPr>
          <w:rFonts w:ascii="Century Schoolbook" w:hAnsi="Century Schoolbook"/>
          <w:szCs w:val="26"/>
        </w:rPr>
        <w:t>of the Superior Court of Los Angeles County.  Norm Shapiro and David Fields, Judges.  Affirmed.</w:t>
      </w:r>
    </w:p>
    <w:p w:rsidR="00962361" w:rsidRPr="00EC17EC" w:rsidRDefault="00DE519E" w:rsidP="00A85AF2">
      <w:pPr>
        <w:spacing w:line="240" w:lineRule="auto"/>
        <w:rPr>
          <w:rFonts w:ascii="Century Schoolbook" w:hAnsi="Century Schoolbook"/>
          <w:szCs w:val="26"/>
        </w:rPr>
      </w:pPr>
    </w:p>
    <w:p w:rsidR="00962361" w:rsidRPr="00EC17EC" w:rsidRDefault="00DE519E" w:rsidP="00A85AF2">
      <w:pPr>
        <w:spacing w:line="240" w:lineRule="auto"/>
        <w:rPr>
          <w:rFonts w:ascii="Century Schoolbook" w:hAnsi="Century Schoolbook"/>
          <w:szCs w:val="26"/>
        </w:rPr>
      </w:pPr>
      <w:r w:rsidRPr="00EC17EC">
        <w:rPr>
          <w:rFonts w:ascii="Century Schoolbook" w:hAnsi="Century Schoolbook"/>
          <w:szCs w:val="26"/>
        </w:rPr>
        <w:tab/>
        <w:t xml:space="preserve">Law Office of John Rorabaugh, John M. Rorabaugh and Robert </w:t>
      </w:r>
      <w:r w:rsidRPr="00EC17EC">
        <w:rPr>
          <w:rFonts w:ascii="Century Schoolbook" w:hAnsi="Century Schoolbook"/>
          <w:szCs w:val="26"/>
        </w:rPr>
        <w:t>Tomlin White for Defendant and Appellant.</w:t>
      </w:r>
    </w:p>
    <w:p w:rsidR="00962361" w:rsidRPr="00EC17EC" w:rsidRDefault="00DE519E" w:rsidP="00A85AF2">
      <w:pPr>
        <w:spacing w:line="240" w:lineRule="auto"/>
        <w:rPr>
          <w:rFonts w:ascii="Century Schoolbook" w:hAnsi="Century Schoolbook"/>
          <w:szCs w:val="26"/>
        </w:rPr>
      </w:pPr>
    </w:p>
    <w:p w:rsidR="00962361" w:rsidRPr="00EC17EC" w:rsidRDefault="00DE519E" w:rsidP="00A85AF2">
      <w:pPr>
        <w:spacing w:line="240" w:lineRule="auto"/>
        <w:rPr>
          <w:rFonts w:ascii="Century Schoolbook" w:hAnsi="Century Schoolbook"/>
          <w:szCs w:val="26"/>
        </w:rPr>
      </w:pPr>
      <w:r w:rsidRPr="00EC17EC">
        <w:rPr>
          <w:rFonts w:ascii="Century Schoolbook" w:hAnsi="Century Schoolbook"/>
          <w:szCs w:val="26"/>
        </w:rPr>
        <w:tab/>
        <w:t>Mary C. Wickham, County Counsel, Ruben Baeza, Jr., Assistant County Counsel, and Joanne Nielsen, Principal Deputy County Counsel, for Plaintiff and Respondent.</w:t>
      </w:r>
    </w:p>
    <w:p w:rsidR="00246507" w:rsidRPr="00EC17EC" w:rsidRDefault="00DE519E" w:rsidP="00A85AF2">
      <w:pPr>
        <w:spacing w:line="240" w:lineRule="auto"/>
        <w:rPr>
          <w:rFonts w:ascii="Century Schoolbook" w:hAnsi="Century Schoolbook"/>
          <w:szCs w:val="26"/>
        </w:rPr>
      </w:pPr>
    </w:p>
    <w:p w:rsidR="00962361" w:rsidRPr="00EC17EC" w:rsidRDefault="00DE519E" w:rsidP="00A85AF2">
      <w:pPr>
        <w:spacing w:line="240" w:lineRule="auto"/>
        <w:contextualSpacing/>
        <w:jc w:val="center"/>
        <w:rPr>
          <w:rFonts w:ascii="Century Schoolbook" w:hAnsi="Century Schoolbook"/>
          <w:szCs w:val="26"/>
        </w:rPr>
      </w:pPr>
    </w:p>
    <w:p w:rsidR="00962361" w:rsidRPr="00EC17EC" w:rsidRDefault="00DE519E" w:rsidP="00A85AF2">
      <w:pPr>
        <w:spacing w:line="240" w:lineRule="auto"/>
        <w:contextualSpacing/>
        <w:jc w:val="center"/>
        <w:rPr>
          <w:rFonts w:ascii="Century Schoolbook" w:hAnsi="Century Schoolbook"/>
          <w:szCs w:val="26"/>
        </w:rPr>
      </w:pPr>
      <w:r w:rsidRPr="00EC17EC">
        <w:rPr>
          <w:rFonts w:ascii="Century Schoolbook" w:hAnsi="Century Schoolbook"/>
          <w:szCs w:val="26"/>
        </w:rPr>
        <w:t>* * * * * *</w:t>
      </w:r>
    </w:p>
    <w:p w:rsidR="005B79CB" w:rsidRPr="00EC17EC" w:rsidRDefault="00DE519E" w:rsidP="001D5E50">
      <w:pPr>
        <w:spacing w:line="288" w:lineRule="auto"/>
        <w:rPr>
          <w:rFonts w:ascii="Century Schoolbook" w:hAnsi="Century Schoolbook"/>
          <w:szCs w:val="26"/>
        </w:rPr>
      </w:pPr>
      <w:r w:rsidRPr="00EC17EC">
        <w:rPr>
          <w:rFonts w:ascii="Century Schoolbook" w:hAnsi="Century Schoolbook"/>
          <w:szCs w:val="26"/>
        </w:rPr>
        <w:lastRenderedPageBreak/>
        <w:tab/>
        <w:t>When</w:t>
      </w:r>
      <w:r w:rsidRPr="00EC17EC">
        <w:rPr>
          <w:rFonts w:ascii="Century Schoolbook" w:hAnsi="Century Schoolbook"/>
          <w:szCs w:val="26"/>
        </w:rPr>
        <w:t xml:space="preserve"> a court forfeits a bail bond, the bond’s surety is </w:t>
      </w:r>
      <w:r>
        <w:rPr>
          <w:rFonts w:ascii="Century Schoolbook" w:hAnsi="Century Schoolbook"/>
          <w:szCs w:val="26"/>
        </w:rPr>
        <w:t xml:space="preserve">subsequently </w:t>
      </w:r>
      <w:r w:rsidRPr="00EC17EC">
        <w:rPr>
          <w:rFonts w:ascii="Century Schoolbook" w:hAnsi="Century Schoolbook"/>
          <w:szCs w:val="26"/>
        </w:rPr>
        <w:t xml:space="preserve">entitled to vacatur of that forfeiture if the defendant is </w:t>
      </w:r>
      <w:r>
        <w:rPr>
          <w:rFonts w:ascii="Century Schoolbook" w:hAnsi="Century Schoolbook"/>
          <w:szCs w:val="26"/>
        </w:rPr>
        <w:t xml:space="preserve">later </w:t>
      </w:r>
      <w:r w:rsidRPr="00EC17EC">
        <w:rPr>
          <w:rFonts w:ascii="Century Schoolbook" w:hAnsi="Century Schoolbook"/>
          <w:szCs w:val="26"/>
        </w:rPr>
        <w:t xml:space="preserve">found out of state as long as (1) the defendant </w:t>
      </w:r>
      <w:r w:rsidRPr="00EC17EC">
        <w:rPr>
          <w:rFonts w:ascii="Century Schoolbook" w:hAnsi="Century Schoolbook"/>
          <w:szCs w:val="26"/>
        </w:rPr>
        <w:t xml:space="preserve">“is temporarily detained” by the “bail agent[] in the presence of a local law </w:t>
      </w:r>
      <w:r w:rsidRPr="00EC17EC">
        <w:rPr>
          <w:rFonts w:ascii="Century Schoolbook" w:hAnsi="Century Schoolbook"/>
          <w:szCs w:val="26"/>
        </w:rPr>
        <w:t xml:space="preserve">enforcement officer,” </w:t>
      </w:r>
      <w:r w:rsidRPr="00EC17EC">
        <w:rPr>
          <w:rFonts w:ascii="Century Schoolbook" w:hAnsi="Century Schoolbook"/>
          <w:szCs w:val="26"/>
        </w:rPr>
        <w:t xml:space="preserve">(2) the local </w:t>
      </w:r>
      <w:r w:rsidRPr="00EC17EC">
        <w:rPr>
          <w:rFonts w:ascii="Century Schoolbook" w:hAnsi="Century Schoolbook"/>
          <w:szCs w:val="26"/>
        </w:rPr>
        <w:t xml:space="preserve">officer submits a sworn affidavit “positively identif[ying]” the defendant, </w:t>
      </w:r>
      <w:r w:rsidRPr="00EC17EC">
        <w:rPr>
          <w:rFonts w:ascii="Century Schoolbook" w:hAnsi="Century Schoolbook"/>
          <w:szCs w:val="26"/>
        </w:rPr>
        <w:t xml:space="preserve">(3) </w:t>
      </w:r>
      <w:r w:rsidRPr="00EC17EC">
        <w:rPr>
          <w:rFonts w:ascii="Century Schoolbook" w:hAnsi="Century Schoolbook"/>
          <w:szCs w:val="26"/>
        </w:rPr>
        <w:t>and “the prosecuting agency elects not to seek extradition after being informed of the location of the defendant.”  (Pen. Code, § 130</w:t>
      </w:r>
      <w:r w:rsidRPr="00EC17EC">
        <w:rPr>
          <w:rFonts w:ascii="Century Schoolbook" w:hAnsi="Century Schoolbook"/>
          <w:szCs w:val="26"/>
        </w:rPr>
        <w:t>5</w:t>
      </w:r>
      <w:r w:rsidRPr="00EC17EC">
        <w:rPr>
          <w:rFonts w:ascii="Century Schoolbook" w:hAnsi="Century Schoolbook"/>
          <w:szCs w:val="26"/>
        </w:rPr>
        <w:t>, subd</w:t>
      </w:r>
      <w:r w:rsidRPr="00EC17EC">
        <w:rPr>
          <w:rFonts w:ascii="Century Schoolbook" w:hAnsi="Century Schoolbook"/>
          <w:szCs w:val="26"/>
        </w:rPr>
        <w:t>. (g).)</w:t>
      </w:r>
      <w:r>
        <w:rPr>
          <w:rStyle w:val="FootnoteReference"/>
          <w:rFonts w:ascii="Century Schoolbook" w:hAnsi="Century Schoolbook"/>
          <w:b/>
          <w:szCs w:val="26"/>
        </w:rPr>
        <w:footnoteReference w:id="1"/>
      </w:r>
      <w:r w:rsidRPr="00EC17EC">
        <w:rPr>
          <w:rFonts w:ascii="Century Schoolbook" w:hAnsi="Century Schoolbook"/>
          <w:szCs w:val="26"/>
        </w:rPr>
        <w:t xml:space="preserve">  </w:t>
      </w:r>
      <w:r w:rsidRPr="00EC17EC">
        <w:rPr>
          <w:rFonts w:ascii="Century Schoolbook" w:hAnsi="Century Schoolbook"/>
          <w:szCs w:val="26"/>
        </w:rPr>
        <w:t>Can the prosecuting agency refuse to make an election</w:t>
      </w:r>
      <w:r w:rsidRPr="00EC17EC">
        <w:rPr>
          <w:rFonts w:ascii="Century Schoolbook" w:hAnsi="Century Schoolbook"/>
          <w:szCs w:val="26"/>
        </w:rPr>
        <w:t>—</w:t>
      </w:r>
      <w:r w:rsidRPr="00EC17EC">
        <w:rPr>
          <w:rFonts w:ascii="Century Schoolbook" w:hAnsi="Century Schoolbook"/>
          <w:szCs w:val="26"/>
        </w:rPr>
        <w:t>and effec</w:t>
      </w:r>
      <w:r w:rsidRPr="00EC17EC">
        <w:rPr>
          <w:rFonts w:ascii="Century Schoolbook" w:hAnsi="Century Schoolbook"/>
          <w:szCs w:val="26"/>
        </w:rPr>
        <w:t>tively deny the surety vacatur—</w:t>
      </w:r>
      <w:r w:rsidRPr="00EC17EC">
        <w:rPr>
          <w:rFonts w:ascii="Century Schoolbook" w:hAnsi="Century Schoolbook"/>
          <w:szCs w:val="26"/>
        </w:rPr>
        <w:t>unless the surety also provides</w:t>
      </w:r>
      <w:r>
        <w:rPr>
          <w:rFonts w:ascii="Century Schoolbook" w:hAnsi="Century Schoolbook"/>
          <w:szCs w:val="26"/>
        </w:rPr>
        <w:t xml:space="preserve"> the agency with</w:t>
      </w:r>
      <w:r w:rsidRPr="00EC17EC">
        <w:rPr>
          <w:rFonts w:ascii="Century Schoolbook" w:hAnsi="Century Schoolbook"/>
          <w:szCs w:val="26"/>
        </w:rPr>
        <w:t xml:space="preserve"> a photograph or fingerprints to verify </w:t>
      </w:r>
      <w:r w:rsidRPr="00EC17EC">
        <w:rPr>
          <w:rFonts w:ascii="Century Schoolbook" w:hAnsi="Century Schoolbook"/>
          <w:szCs w:val="26"/>
        </w:rPr>
        <w:t>the defendant’s presence in the foreign jurisdiction?  We conclud</w:t>
      </w:r>
      <w:r w:rsidRPr="00EC17EC">
        <w:rPr>
          <w:rFonts w:ascii="Century Schoolbook" w:hAnsi="Century Schoolbook"/>
          <w:szCs w:val="26"/>
        </w:rPr>
        <w:t>e the answer is “</w:t>
      </w:r>
      <w:r w:rsidRPr="00EC17EC">
        <w:rPr>
          <w:rFonts w:ascii="Century Schoolbook" w:hAnsi="Century Schoolbook"/>
          <w:szCs w:val="26"/>
        </w:rPr>
        <w:t>yes</w:t>
      </w:r>
      <w:r w:rsidRPr="00EC17EC">
        <w:rPr>
          <w:rFonts w:ascii="Century Schoolbook" w:hAnsi="Century Schoolbook"/>
          <w:szCs w:val="26"/>
        </w:rPr>
        <w:t>.”</w:t>
      </w:r>
      <w:r w:rsidRPr="00EC17EC">
        <w:rPr>
          <w:rFonts w:ascii="Century Schoolbook" w:hAnsi="Century Schoolbook"/>
          <w:szCs w:val="26"/>
        </w:rPr>
        <w:t xml:space="preserve">  Because the surety in this case did not comply with the prosecuting agency’s request and was not reasonably likely to do so in the remaining 21 days before its window to seek vacatur closed, we </w:t>
      </w:r>
      <w:r w:rsidRPr="00EC17EC">
        <w:rPr>
          <w:rFonts w:ascii="Century Schoolbook" w:hAnsi="Century Schoolbook"/>
          <w:szCs w:val="26"/>
        </w:rPr>
        <w:t>affirm the trial court’s denial of the</w:t>
      </w:r>
      <w:r w:rsidRPr="00EC17EC">
        <w:rPr>
          <w:rFonts w:ascii="Century Schoolbook" w:hAnsi="Century Schoolbook"/>
          <w:szCs w:val="26"/>
        </w:rPr>
        <w:t xml:space="preserve"> motion to vacate the bond and </w:t>
      </w:r>
      <w:r w:rsidRPr="00EC17EC">
        <w:rPr>
          <w:rFonts w:ascii="Century Schoolbook" w:hAnsi="Century Schoolbook"/>
          <w:szCs w:val="26"/>
        </w:rPr>
        <w:t>its</w:t>
      </w:r>
      <w:r w:rsidRPr="00EC17EC">
        <w:rPr>
          <w:rFonts w:ascii="Century Schoolbook" w:hAnsi="Century Schoolbook"/>
          <w:szCs w:val="26"/>
        </w:rPr>
        <w:t xml:space="preserve"> related order granting summary judgment on the bond.</w:t>
      </w:r>
    </w:p>
    <w:p w:rsidR="005B79CB" w:rsidRPr="00EC17EC" w:rsidRDefault="00DE519E" w:rsidP="00A85AF2">
      <w:pPr>
        <w:spacing w:line="288" w:lineRule="auto"/>
        <w:jc w:val="center"/>
        <w:rPr>
          <w:rFonts w:ascii="Century Schoolbook" w:hAnsi="Century Schoolbook"/>
          <w:b/>
          <w:szCs w:val="26"/>
        </w:rPr>
      </w:pPr>
      <w:r w:rsidRPr="00EC17EC">
        <w:rPr>
          <w:rFonts w:ascii="Century Schoolbook" w:hAnsi="Century Schoolbook"/>
          <w:b/>
          <w:szCs w:val="26"/>
        </w:rPr>
        <w:t>FACTS AND PROCEDURAL BACKGROUND</w:t>
      </w:r>
    </w:p>
    <w:p w:rsidR="005B79CB"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In October 2013, Juan Carlos Pena Angulo (Angulo) was charged with (1) transport</w:t>
      </w:r>
      <w:r w:rsidRPr="00EC17EC">
        <w:rPr>
          <w:rFonts w:ascii="Century Schoolbook" w:hAnsi="Century Schoolbook"/>
          <w:szCs w:val="26"/>
        </w:rPr>
        <w:t>ing and selling</w:t>
      </w:r>
      <w:r w:rsidRPr="00EC17EC">
        <w:rPr>
          <w:rFonts w:ascii="Century Schoolbook" w:hAnsi="Century Schoolbook"/>
          <w:szCs w:val="26"/>
        </w:rPr>
        <w:t xml:space="preserve"> a contr</w:t>
      </w:r>
      <w:r w:rsidRPr="00EC17EC">
        <w:rPr>
          <w:rFonts w:ascii="Century Schoolbook" w:hAnsi="Century Schoolbook"/>
          <w:szCs w:val="26"/>
        </w:rPr>
        <w:t>olled substance (Health &amp; Saf.</w:t>
      </w:r>
      <w:r w:rsidRPr="00EC17EC">
        <w:rPr>
          <w:rFonts w:ascii="Century Schoolbook" w:hAnsi="Century Schoolbook"/>
          <w:szCs w:val="26"/>
        </w:rPr>
        <w:t xml:space="preserve"> C</w:t>
      </w:r>
      <w:r w:rsidRPr="00EC17EC">
        <w:rPr>
          <w:rFonts w:ascii="Century Schoolbook" w:hAnsi="Century Schoolbook"/>
          <w:szCs w:val="26"/>
        </w:rPr>
        <w:t>ode, § 11379, subd. (a)), (2) possessing a controlled substance for sale (</w:t>
      </w:r>
      <w:r w:rsidRPr="00EC17EC">
        <w:rPr>
          <w:rFonts w:ascii="Century Schoolbook" w:hAnsi="Century Schoolbook"/>
          <w:i/>
          <w:szCs w:val="26"/>
        </w:rPr>
        <w:t>id.</w:t>
      </w:r>
      <w:r w:rsidRPr="00EC17EC">
        <w:rPr>
          <w:rFonts w:ascii="Century Schoolbook" w:hAnsi="Century Schoolbook"/>
          <w:szCs w:val="26"/>
        </w:rPr>
        <w:t xml:space="preserve">, </w:t>
      </w:r>
      <w:r w:rsidRPr="00EC17EC">
        <w:rPr>
          <w:rFonts w:ascii="Century Schoolbook" w:hAnsi="Century Schoolbook"/>
          <w:szCs w:val="26"/>
        </w:rPr>
        <w:t>§ 11378), and (3) using a false compartment with the intent to store, smuggle</w:t>
      </w:r>
      <w:r w:rsidRPr="00EC17EC">
        <w:rPr>
          <w:rFonts w:ascii="Century Schoolbook" w:hAnsi="Century Schoolbook"/>
          <w:szCs w:val="26"/>
        </w:rPr>
        <w:t>,</w:t>
      </w:r>
      <w:r w:rsidRPr="00EC17EC">
        <w:rPr>
          <w:rFonts w:ascii="Century Schoolbook" w:hAnsi="Century Schoolbook"/>
          <w:szCs w:val="26"/>
        </w:rPr>
        <w:t xml:space="preserve"> or transport a controlled substance (</w:t>
      </w:r>
      <w:r w:rsidRPr="00EC17EC">
        <w:rPr>
          <w:rFonts w:ascii="Century Schoolbook" w:hAnsi="Century Schoolbook"/>
          <w:i/>
          <w:szCs w:val="26"/>
        </w:rPr>
        <w:t>id.</w:t>
      </w:r>
      <w:r w:rsidRPr="00EC17EC">
        <w:rPr>
          <w:rFonts w:ascii="Century Schoolbook" w:hAnsi="Century Schoolbook"/>
          <w:szCs w:val="26"/>
        </w:rPr>
        <w:t xml:space="preserve">, </w:t>
      </w:r>
      <w:r>
        <w:rPr>
          <w:rFonts w:ascii="Century Schoolbook" w:hAnsi="Century Schoolbook"/>
          <w:szCs w:val="26"/>
        </w:rPr>
        <w:t xml:space="preserve">§ 11366.8, subd. (a)). </w:t>
      </w:r>
      <w:r w:rsidRPr="00EC17EC">
        <w:rPr>
          <w:rFonts w:ascii="Century Schoolbook" w:hAnsi="Century Schoolbook"/>
          <w:szCs w:val="26"/>
        </w:rPr>
        <w:t xml:space="preserve"> Defendant and appellant Financial Casualty &amp; Surety</w:t>
      </w:r>
      <w:r w:rsidRPr="00EC17EC">
        <w:rPr>
          <w:rFonts w:ascii="Century Schoolbook" w:hAnsi="Century Schoolbook"/>
          <w:szCs w:val="26"/>
        </w:rPr>
        <w:t>,</w:t>
      </w:r>
      <w:r w:rsidRPr="00EC17EC">
        <w:rPr>
          <w:rFonts w:ascii="Century Schoolbook" w:hAnsi="Century Schoolbook"/>
          <w:szCs w:val="26"/>
        </w:rPr>
        <w:t xml:space="preserve"> Inc. (the surety) </w:t>
      </w:r>
      <w:r w:rsidRPr="00EC17EC">
        <w:rPr>
          <w:rFonts w:ascii="Century Schoolbook" w:hAnsi="Century Schoolbook"/>
          <w:szCs w:val="26"/>
        </w:rPr>
        <w:lastRenderedPageBreak/>
        <w:t xml:space="preserve">authorized its agent to issue a $100,000 </w:t>
      </w:r>
      <w:r w:rsidRPr="00EC17EC">
        <w:rPr>
          <w:rFonts w:ascii="Century Schoolbook" w:hAnsi="Century Schoolbook"/>
          <w:szCs w:val="26"/>
        </w:rPr>
        <w:t>bail bond guaranteeing Angulo</w:t>
      </w:r>
      <w:r w:rsidRPr="00EC17EC">
        <w:rPr>
          <w:rFonts w:ascii="Century Schoolbook" w:hAnsi="Century Schoolbook"/>
          <w:szCs w:val="26"/>
        </w:rPr>
        <w:t xml:space="preserve">’s </w:t>
      </w:r>
      <w:r>
        <w:rPr>
          <w:rFonts w:ascii="Century Schoolbook" w:hAnsi="Century Schoolbook"/>
          <w:szCs w:val="26"/>
        </w:rPr>
        <w:t>court appearances.</w:t>
      </w:r>
    </w:p>
    <w:p w:rsidR="005B79CB"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Angulo did not appear in court on Februa</w:t>
      </w:r>
      <w:r>
        <w:rPr>
          <w:rFonts w:ascii="Century Schoolbook" w:hAnsi="Century Schoolbook"/>
          <w:szCs w:val="26"/>
        </w:rPr>
        <w:t xml:space="preserve">ry 4, 2014. </w:t>
      </w:r>
      <w:r w:rsidRPr="00EC17EC">
        <w:rPr>
          <w:rFonts w:ascii="Century Schoolbook" w:hAnsi="Century Schoolbook"/>
          <w:szCs w:val="26"/>
        </w:rPr>
        <w:t xml:space="preserve"> The trial court issued a “no bail” war</w:t>
      </w:r>
      <w:r w:rsidRPr="00EC17EC">
        <w:rPr>
          <w:rFonts w:ascii="Century Schoolbook" w:hAnsi="Century Schoolbook"/>
          <w:szCs w:val="26"/>
        </w:rPr>
        <w:t>rant</w:t>
      </w:r>
      <w:r>
        <w:rPr>
          <w:rFonts w:ascii="Century Schoolbook" w:hAnsi="Century Schoolbook"/>
          <w:szCs w:val="26"/>
        </w:rPr>
        <w:t xml:space="preserve"> for Angulo’s arrest. </w:t>
      </w:r>
      <w:r w:rsidRPr="00EC17EC">
        <w:rPr>
          <w:rFonts w:ascii="Century Schoolbook" w:hAnsi="Century Schoolbook"/>
          <w:szCs w:val="26"/>
        </w:rPr>
        <w:t xml:space="preserve"> The court also stated on the record that the bond </w:t>
      </w:r>
      <w:r w:rsidRPr="00EC17EC">
        <w:rPr>
          <w:rFonts w:ascii="Century Schoolbook" w:hAnsi="Century Schoolbook"/>
          <w:szCs w:val="26"/>
        </w:rPr>
        <w:t xml:space="preserve">was </w:t>
      </w:r>
      <w:r w:rsidRPr="00EC17EC">
        <w:rPr>
          <w:rFonts w:ascii="Century Schoolbook" w:hAnsi="Century Schoolbook"/>
          <w:szCs w:val="26"/>
        </w:rPr>
        <w:t>forfeited</w:t>
      </w:r>
      <w:r w:rsidRPr="00EC17EC">
        <w:rPr>
          <w:rFonts w:ascii="Century Schoolbook" w:hAnsi="Century Schoolbook"/>
          <w:szCs w:val="26"/>
        </w:rPr>
        <w:t xml:space="preserve"> and mailed a copy of its forfeiture order to the surety</w:t>
      </w:r>
      <w:r w:rsidRPr="00EC17EC">
        <w:rPr>
          <w:rFonts w:ascii="Century Schoolbook" w:hAnsi="Century Schoolbook"/>
          <w:szCs w:val="26"/>
        </w:rPr>
        <w:t xml:space="preserve"> and its agent</w:t>
      </w:r>
      <w:r>
        <w:rPr>
          <w:rFonts w:ascii="Century Schoolbook" w:hAnsi="Century Schoolbook"/>
          <w:szCs w:val="26"/>
        </w:rPr>
        <w:t xml:space="preserve">. </w:t>
      </w:r>
      <w:r w:rsidRPr="00EC17EC">
        <w:rPr>
          <w:rFonts w:ascii="Century Schoolbook" w:hAnsi="Century Schoolbook"/>
          <w:szCs w:val="26"/>
        </w:rPr>
        <w:t xml:space="preserve"> Pursuant to law, the order gave the surety 185 days</w:t>
      </w:r>
      <w:r w:rsidRPr="00EC17EC">
        <w:rPr>
          <w:rFonts w:ascii="Century Schoolbook" w:hAnsi="Century Schoolbook"/>
          <w:szCs w:val="26"/>
        </w:rPr>
        <w:t>—</w:t>
      </w:r>
      <w:r w:rsidRPr="00EC17EC">
        <w:rPr>
          <w:rFonts w:ascii="Century Schoolbook" w:hAnsi="Century Schoolbook"/>
          <w:szCs w:val="26"/>
        </w:rPr>
        <w:t xml:space="preserve">until August </w:t>
      </w:r>
      <w:r w:rsidRPr="00EC17EC">
        <w:rPr>
          <w:rFonts w:ascii="Century Schoolbook" w:hAnsi="Century Schoolbook"/>
          <w:szCs w:val="26"/>
        </w:rPr>
        <w:t>8, 2014</w:t>
      </w:r>
      <w:r w:rsidRPr="00EC17EC">
        <w:rPr>
          <w:rFonts w:ascii="Century Schoolbook" w:hAnsi="Century Schoolbook"/>
          <w:szCs w:val="26"/>
        </w:rPr>
        <w:t>—</w:t>
      </w:r>
      <w:r w:rsidRPr="00EC17EC">
        <w:rPr>
          <w:rFonts w:ascii="Century Schoolbook" w:hAnsi="Century Schoolbook"/>
          <w:szCs w:val="26"/>
        </w:rPr>
        <w:t>to locate Angulo and</w:t>
      </w:r>
      <w:r w:rsidRPr="00EC17EC">
        <w:rPr>
          <w:rFonts w:ascii="Century Schoolbook" w:hAnsi="Century Schoolbook"/>
          <w:szCs w:val="26"/>
        </w:rPr>
        <w:t xml:space="preserve"> produce him in court.  On August 1, 2014, </w:t>
      </w:r>
      <w:r w:rsidRPr="00EC17EC">
        <w:rPr>
          <w:rFonts w:ascii="Century Schoolbook" w:hAnsi="Century Schoolbook"/>
          <w:szCs w:val="26"/>
        </w:rPr>
        <w:t>the surety requested an extension of time to</w:t>
      </w:r>
      <w:r>
        <w:rPr>
          <w:rFonts w:ascii="Century Schoolbook" w:hAnsi="Century Schoolbook"/>
          <w:szCs w:val="26"/>
        </w:rPr>
        <w:t xml:space="preserve"> locate Angulo. </w:t>
      </w:r>
      <w:r w:rsidRPr="00EC17EC">
        <w:rPr>
          <w:rFonts w:ascii="Century Schoolbook" w:hAnsi="Century Schoolbook"/>
          <w:szCs w:val="26"/>
        </w:rPr>
        <w:t xml:space="preserve"> On August 25, 2014, the trial court granted the surety an extension u</w:t>
      </w:r>
      <w:r>
        <w:rPr>
          <w:rFonts w:ascii="Century Schoolbook" w:hAnsi="Century Schoolbook"/>
          <w:szCs w:val="26"/>
        </w:rPr>
        <w:t>ntil December 24, 2014.</w:t>
      </w:r>
    </w:p>
    <w:p w:rsidR="00686C8A"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 xml:space="preserve">On October 5, 2014, an investigator for the surety and an </w:t>
      </w:r>
      <w:r w:rsidRPr="00EC17EC">
        <w:rPr>
          <w:rFonts w:ascii="Century Schoolbook" w:hAnsi="Century Schoolbook"/>
          <w:szCs w:val="26"/>
        </w:rPr>
        <w:t>officer of the Fugitive Recovery Unit of the Baja California Mexico State Police stopped Angulo</w:t>
      </w:r>
      <w:r w:rsidRPr="00EC17EC">
        <w:rPr>
          <w:rFonts w:ascii="Century Schoolbook" w:hAnsi="Century Schoolbook"/>
          <w:szCs w:val="26"/>
        </w:rPr>
        <w:t xml:space="preserve"> on the main street of </w:t>
      </w:r>
      <w:r w:rsidRPr="00EC17EC">
        <w:rPr>
          <w:rFonts w:ascii="Century Schoolbook" w:hAnsi="Century Schoolbook"/>
          <w:szCs w:val="26"/>
        </w:rPr>
        <w:t>the tourist cent</w:t>
      </w:r>
      <w:r w:rsidRPr="00EC17EC">
        <w:rPr>
          <w:rFonts w:ascii="Century Schoolbook" w:hAnsi="Century Schoolbook"/>
          <w:szCs w:val="26"/>
        </w:rPr>
        <w:t>er in</w:t>
      </w:r>
      <w:r w:rsidRPr="00EC17EC">
        <w:rPr>
          <w:rFonts w:ascii="Century Schoolbook" w:hAnsi="Century Schoolbook"/>
          <w:szCs w:val="26"/>
        </w:rPr>
        <w:t xml:space="preserve"> Tijuana, Mexi</w:t>
      </w:r>
      <w:r>
        <w:rPr>
          <w:rFonts w:ascii="Century Schoolbook" w:hAnsi="Century Schoolbook"/>
          <w:szCs w:val="26"/>
        </w:rPr>
        <w:t xml:space="preserve">co. </w:t>
      </w:r>
      <w:r w:rsidRPr="00EC17EC">
        <w:rPr>
          <w:rFonts w:ascii="Century Schoolbook" w:hAnsi="Century Schoolbook"/>
          <w:szCs w:val="26"/>
        </w:rPr>
        <w:t xml:space="preserve"> They identified him based on his booking photo and driver’s license photo.  The Mexican officer de</w:t>
      </w:r>
      <w:r w:rsidRPr="00EC17EC">
        <w:rPr>
          <w:rFonts w:ascii="Century Schoolbook" w:hAnsi="Century Schoolbook"/>
          <w:szCs w:val="26"/>
        </w:rPr>
        <w:t xml:space="preserve">termined that Angulo was </w:t>
      </w:r>
      <w:r w:rsidRPr="00EC17EC">
        <w:rPr>
          <w:rFonts w:ascii="Century Schoolbook" w:hAnsi="Century Schoolbook"/>
          <w:szCs w:val="26"/>
        </w:rPr>
        <w:t xml:space="preserve">a Mexican national who was </w:t>
      </w:r>
      <w:r w:rsidRPr="00EC17EC">
        <w:rPr>
          <w:rFonts w:ascii="Century Schoolbook" w:hAnsi="Century Schoolbook"/>
          <w:szCs w:val="26"/>
        </w:rPr>
        <w:t xml:space="preserve">not wanted for any crimes in Mexico, </w:t>
      </w:r>
      <w:r w:rsidRPr="00EC17EC">
        <w:rPr>
          <w:rFonts w:ascii="Century Schoolbook" w:hAnsi="Century Schoolbook"/>
          <w:szCs w:val="26"/>
        </w:rPr>
        <w:t xml:space="preserve">which meant </w:t>
      </w:r>
      <w:r w:rsidRPr="00EC17EC">
        <w:rPr>
          <w:rFonts w:ascii="Century Schoolbook" w:hAnsi="Century Schoolbook"/>
          <w:szCs w:val="26"/>
        </w:rPr>
        <w:t>the officer</w:t>
      </w:r>
      <w:r w:rsidRPr="00EC17EC">
        <w:rPr>
          <w:rFonts w:ascii="Century Schoolbook" w:hAnsi="Century Schoolbook"/>
          <w:szCs w:val="26"/>
        </w:rPr>
        <w:t xml:space="preserve"> could </w:t>
      </w:r>
      <w:r w:rsidRPr="00EC17EC">
        <w:rPr>
          <w:rFonts w:ascii="Century Schoolbook" w:hAnsi="Century Schoolbook"/>
          <w:szCs w:val="26"/>
        </w:rPr>
        <w:t xml:space="preserve">not </w:t>
      </w:r>
      <w:r w:rsidRPr="00EC17EC">
        <w:rPr>
          <w:rFonts w:ascii="Century Schoolbook" w:hAnsi="Century Schoolbook"/>
          <w:szCs w:val="26"/>
        </w:rPr>
        <w:t>“forcibly detain or arrest [Angu</w:t>
      </w:r>
      <w:r w:rsidRPr="00EC17EC">
        <w:rPr>
          <w:rFonts w:ascii="Century Schoolbook" w:hAnsi="Century Schoolbook"/>
          <w:szCs w:val="26"/>
        </w:rPr>
        <w:t>lo] for questioning nor obtain</w:t>
      </w:r>
      <w:r w:rsidRPr="00EC17EC">
        <w:rPr>
          <w:rFonts w:ascii="Century Schoolbook" w:hAnsi="Century Schoolbook"/>
          <w:szCs w:val="26"/>
        </w:rPr>
        <w:t xml:space="preserve"> </w:t>
      </w:r>
      <w:r>
        <w:rPr>
          <w:rFonts w:ascii="Century Schoolbook" w:hAnsi="Century Schoolbook"/>
          <w:szCs w:val="26"/>
        </w:rPr>
        <w:t xml:space="preserve">fingerprints or photos.” </w:t>
      </w:r>
      <w:r w:rsidRPr="00EC17EC">
        <w:rPr>
          <w:rFonts w:ascii="Century Schoolbook" w:hAnsi="Century Schoolbook"/>
          <w:szCs w:val="26"/>
        </w:rPr>
        <w:t xml:space="preserve"> They let Angu</w:t>
      </w:r>
      <w:r w:rsidRPr="00EC17EC">
        <w:rPr>
          <w:rFonts w:ascii="Century Schoolbook" w:hAnsi="Century Schoolbook"/>
          <w:szCs w:val="26"/>
        </w:rPr>
        <w:t>lo go.  The investigat</w:t>
      </w:r>
      <w:r>
        <w:rPr>
          <w:rFonts w:ascii="Century Schoolbook" w:hAnsi="Century Schoolbook"/>
          <w:szCs w:val="26"/>
        </w:rPr>
        <w:t>or and Me</w:t>
      </w:r>
      <w:r>
        <w:rPr>
          <w:rFonts w:ascii="Century Schoolbook" w:hAnsi="Century Schoolbook"/>
          <w:szCs w:val="26"/>
        </w:rPr>
        <w:t>xican officer executed</w:t>
      </w:r>
      <w:r w:rsidRPr="00EC17EC">
        <w:rPr>
          <w:rFonts w:ascii="Century Schoolbook" w:hAnsi="Century Schoolbook"/>
          <w:szCs w:val="26"/>
        </w:rPr>
        <w:t xml:space="preserve"> sworn affi</w:t>
      </w:r>
      <w:r>
        <w:rPr>
          <w:rFonts w:ascii="Century Schoolbook" w:hAnsi="Century Schoolbook"/>
          <w:szCs w:val="26"/>
        </w:rPr>
        <w:t>davits to these facts.</w:t>
      </w:r>
    </w:p>
    <w:p w:rsidR="005B79CB"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Over two months later, on December 8, 2014, the surety</w:t>
      </w:r>
      <w:r w:rsidRPr="00EC17EC">
        <w:rPr>
          <w:rFonts w:ascii="Century Schoolbook" w:hAnsi="Century Schoolbook"/>
          <w:szCs w:val="26"/>
        </w:rPr>
        <w:t xml:space="preserve"> submitted the affidavits to the Los Angeles </w:t>
      </w:r>
      <w:r w:rsidRPr="00EC17EC">
        <w:rPr>
          <w:rFonts w:ascii="Century Schoolbook" w:hAnsi="Century Schoolbook"/>
          <w:szCs w:val="26"/>
        </w:rPr>
        <w:t xml:space="preserve">County </w:t>
      </w:r>
      <w:r w:rsidRPr="00EC17EC">
        <w:rPr>
          <w:rFonts w:ascii="Century Schoolbook" w:hAnsi="Century Schoolbook"/>
          <w:szCs w:val="26"/>
        </w:rPr>
        <w:t>District Attorney’s Office (the prosecutor’s office) and asked whether it would seek extradit</w:t>
      </w:r>
      <w:r w:rsidRPr="00EC17EC">
        <w:rPr>
          <w:rFonts w:ascii="Century Schoolbook" w:hAnsi="Century Schoolbook"/>
          <w:szCs w:val="26"/>
        </w:rPr>
        <w:t>ion.</w:t>
      </w:r>
      <w:r>
        <w:rPr>
          <w:rStyle w:val="FootnoteReference"/>
          <w:rFonts w:ascii="Century Schoolbook" w:hAnsi="Century Schoolbook"/>
          <w:b/>
          <w:szCs w:val="26"/>
        </w:rPr>
        <w:footnoteReference w:id="2"/>
      </w:r>
      <w:r>
        <w:rPr>
          <w:rFonts w:ascii="Century Schoolbook" w:hAnsi="Century Schoolbook"/>
          <w:szCs w:val="26"/>
        </w:rPr>
        <w:t xml:space="preserve"> </w:t>
      </w:r>
      <w:r w:rsidRPr="00EC17EC">
        <w:rPr>
          <w:rFonts w:ascii="Century Schoolbook" w:hAnsi="Century Schoolbook"/>
          <w:szCs w:val="26"/>
        </w:rPr>
        <w:t xml:space="preserve"> Eight days later, on December 16, 2014, </w:t>
      </w:r>
      <w:r w:rsidRPr="00EC17EC">
        <w:rPr>
          <w:rFonts w:ascii="Century Schoolbook" w:hAnsi="Century Schoolbook"/>
          <w:szCs w:val="26"/>
        </w:rPr>
        <w:lastRenderedPageBreak/>
        <w:t>the prosecutor’s office responded that it was “unable to make an extradition election” because it was “unable to confirm the identity of</w:t>
      </w:r>
      <w:r>
        <w:rPr>
          <w:rFonts w:ascii="Century Schoolbook" w:hAnsi="Century Schoolbook"/>
          <w:szCs w:val="26"/>
        </w:rPr>
        <w:t xml:space="preserve"> the defendant . . . because [the surety] ha[</w:t>
      </w:r>
      <w:r>
        <w:rPr>
          <w:rFonts w:ascii="Century Schoolbook" w:hAnsi="Century Schoolbook"/>
          <w:szCs w:val="26"/>
        </w:rPr>
        <w:t>d</w:t>
      </w:r>
      <w:r>
        <w:rPr>
          <w:rFonts w:ascii="Century Schoolbook" w:hAnsi="Century Schoolbook"/>
          <w:szCs w:val="26"/>
        </w:rPr>
        <w:t>]</w:t>
      </w:r>
      <w:r w:rsidRPr="00EC17EC">
        <w:rPr>
          <w:rFonts w:ascii="Century Schoolbook" w:hAnsi="Century Schoolbook"/>
          <w:szCs w:val="26"/>
        </w:rPr>
        <w:t xml:space="preserve"> not provided us,” as per </w:t>
      </w:r>
      <w:r w:rsidRPr="00EC17EC">
        <w:rPr>
          <w:rFonts w:ascii="Century Schoolbook" w:hAnsi="Century Schoolbook"/>
          <w:szCs w:val="26"/>
        </w:rPr>
        <w:t>its office policy, “with fingerprints or a photograph taken while the defendant was d</w:t>
      </w:r>
      <w:r w:rsidRPr="00EC17EC">
        <w:rPr>
          <w:rFonts w:ascii="Century Schoolbook" w:hAnsi="Century Schoolbook"/>
          <w:szCs w:val="26"/>
        </w:rPr>
        <w:t>etained in Mexico</w:t>
      </w:r>
      <w:r>
        <w:rPr>
          <w:rFonts w:ascii="Century Schoolbook" w:hAnsi="Century Schoolbook"/>
          <w:szCs w:val="26"/>
        </w:rPr>
        <w:t>.”</w:t>
      </w:r>
    </w:p>
    <w:p w:rsidR="00DA369E"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 xml:space="preserve">On December 24, 2014, the surety filed a motion (1) seeking to vacate the bond’s forfeiture and exonerate the bond, and alternatively (2) seeking </w:t>
      </w:r>
      <w:r w:rsidRPr="00EC17EC">
        <w:rPr>
          <w:rFonts w:ascii="Century Schoolbook" w:hAnsi="Century Schoolbook"/>
          <w:szCs w:val="26"/>
        </w:rPr>
        <w:t>until February 23, 2015</w:t>
      </w:r>
      <w:r w:rsidRPr="00EC17EC">
        <w:rPr>
          <w:rFonts w:ascii="Century Schoolbook" w:hAnsi="Century Schoolbook"/>
          <w:szCs w:val="26"/>
        </w:rPr>
        <w:t>,</w:t>
      </w:r>
      <w:r w:rsidRPr="00EC17EC">
        <w:rPr>
          <w:rFonts w:ascii="Century Schoolbook" w:hAnsi="Century Schoolbook"/>
          <w:szCs w:val="26"/>
        </w:rPr>
        <w:t xml:space="preserve"> to provide a photograph or fingerprints.</w:t>
      </w:r>
      <w:r>
        <w:rPr>
          <w:rStyle w:val="FootnoteReference"/>
          <w:rFonts w:ascii="Century Schoolbook" w:hAnsi="Century Schoolbook"/>
          <w:b/>
          <w:szCs w:val="26"/>
        </w:rPr>
        <w:footnoteReference w:id="3"/>
      </w:r>
      <w:r>
        <w:rPr>
          <w:rFonts w:ascii="Century Schoolbook" w:hAnsi="Century Schoolbook"/>
          <w:szCs w:val="26"/>
        </w:rPr>
        <w:t xml:space="preserve"> </w:t>
      </w:r>
      <w:r w:rsidRPr="00EC17EC">
        <w:rPr>
          <w:rFonts w:ascii="Century Schoolbook" w:hAnsi="Century Schoolbook"/>
          <w:szCs w:val="26"/>
        </w:rPr>
        <w:t xml:space="preserve"> F</w:t>
      </w:r>
      <w:r w:rsidRPr="00EC17EC">
        <w:rPr>
          <w:rFonts w:ascii="Century Schoolbook" w:hAnsi="Century Schoolbook"/>
          <w:szCs w:val="26"/>
        </w:rPr>
        <w:t>urther briefing</w:t>
      </w:r>
      <w:r>
        <w:rPr>
          <w:rFonts w:ascii="Century Schoolbook" w:hAnsi="Century Schoolbook"/>
          <w:szCs w:val="26"/>
        </w:rPr>
        <w:t xml:space="preserve"> followed.</w:t>
      </w:r>
    </w:p>
    <w:p w:rsidR="00DA369E"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r>
      <w:r w:rsidRPr="00EC17EC">
        <w:rPr>
          <w:rFonts w:ascii="Century Schoolbook" w:hAnsi="Century Schoolbook"/>
          <w:szCs w:val="26"/>
        </w:rPr>
        <w:t xml:space="preserve">At a February </w:t>
      </w:r>
      <w:r w:rsidRPr="00EC17EC">
        <w:rPr>
          <w:rFonts w:ascii="Century Schoolbook" w:hAnsi="Century Schoolbook"/>
          <w:szCs w:val="26"/>
        </w:rPr>
        <w:t>2</w:t>
      </w:r>
      <w:r w:rsidRPr="00EC17EC">
        <w:rPr>
          <w:rFonts w:ascii="Century Schoolbook" w:hAnsi="Century Schoolbook"/>
          <w:szCs w:val="26"/>
        </w:rPr>
        <w:t>, 2015 hearing, t</w:t>
      </w:r>
      <w:r w:rsidRPr="00EC17EC">
        <w:rPr>
          <w:rFonts w:ascii="Century Schoolbook" w:hAnsi="Century Schoolbook"/>
          <w:szCs w:val="26"/>
        </w:rPr>
        <w:t>he trial court denie</w:t>
      </w:r>
      <w:r w:rsidRPr="00EC17EC">
        <w:rPr>
          <w:rFonts w:ascii="Century Schoolbook" w:hAnsi="Century Schoolbook"/>
          <w:szCs w:val="26"/>
        </w:rPr>
        <w:t>d the motion to vacate the for</w:t>
      </w:r>
      <w:r w:rsidRPr="00EC17EC">
        <w:rPr>
          <w:rFonts w:ascii="Century Schoolbook" w:hAnsi="Century Schoolbook"/>
          <w:szCs w:val="26"/>
        </w:rPr>
        <w:t xml:space="preserve">feiture and exonerate the bond </w:t>
      </w:r>
      <w:r w:rsidRPr="00EC17EC">
        <w:rPr>
          <w:rFonts w:ascii="Century Schoolbook" w:hAnsi="Century Schoolbook"/>
          <w:szCs w:val="26"/>
        </w:rPr>
        <w:t xml:space="preserve">and declined to grant the surety </w:t>
      </w:r>
      <w:r w:rsidRPr="00EC17EC">
        <w:rPr>
          <w:rFonts w:ascii="Century Schoolbook" w:hAnsi="Century Schoolbook"/>
          <w:szCs w:val="26"/>
        </w:rPr>
        <w:t>additional</w:t>
      </w:r>
      <w:r w:rsidRPr="00EC17EC">
        <w:rPr>
          <w:rFonts w:ascii="Century Schoolbook" w:hAnsi="Century Schoolbook"/>
          <w:szCs w:val="26"/>
        </w:rPr>
        <w:t xml:space="preserve"> tim</w:t>
      </w:r>
      <w:r w:rsidRPr="00EC17EC">
        <w:rPr>
          <w:rFonts w:ascii="Century Schoolbook" w:hAnsi="Century Schoolbook"/>
          <w:szCs w:val="26"/>
        </w:rPr>
        <w:t xml:space="preserve">e to obtain a photograph or fingerprints because Angulo </w:t>
      </w:r>
      <w:r w:rsidRPr="00EC17EC">
        <w:rPr>
          <w:rFonts w:ascii="Century Schoolbook" w:hAnsi="Century Schoolbook"/>
          <w:szCs w:val="26"/>
        </w:rPr>
        <w:t xml:space="preserve">had </w:t>
      </w:r>
      <w:r w:rsidRPr="00EC17EC">
        <w:rPr>
          <w:rFonts w:ascii="Century Schoolbook" w:hAnsi="Century Schoolbook"/>
          <w:szCs w:val="26"/>
        </w:rPr>
        <w:t>abscond</w:t>
      </w:r>
      <w:r w:rsidRPr="00EC17EC">
        <w:rPr>
          <w:rFonts w:ascii="Century Schoolbook" w:hAnsi="Century Schoolbook"/>
          <w:szCs w:val="26"/>
        </w:rPr>
        <w:t xml:space="preserve">ed more than 365 days earlier. </w:t>
      </w:r>
      <w:r w:rsidRPr="00EC17EC">
        <w:rPr>
          <w:rFonts w:ascii="Century Schoolbook" w:hAnsi="Century Schoolbook"/>
          <w:szCs w:val="26"/>
        </w:rPr>
        <w:t xml:space="preserve"> </w:t>
      </w:r>
      <w:r w:rsidRPr="00EC17EC">
        <w:rPr>
          <w:rFonts w:ascii="Century Schoolbook" w:hAnsi="Century Schoolbook"/>
          <w:szCs w:val="26"/>
        </w:rPr>
        <w:t>On February 5, 2015, t</w:t>
      </w:r>
      <w:r w:rsidRPr="00EC17EC">
        <w:rPr>
          <w:rFonts w:ascii="Century Schoolbook" w:hAnsi="Century Schoolbook"/>
          <w:szCs w:val="26"/>
        </w:rPr>
        <w:t>he court granted summary judgment for $100,435</w:t>
      </w:r>
      <w:r w:rsidRPr="00EC17EC">
        <w:rPr>
          <w:rFonts w:ascii="Century Schoolbook" w:hAnsi="Century Schoolbook"/>
          <w:szCs w:val="26"/>
        </w:rPr>
        <w:t>—</w:t>
      </w:r>
      <w:r w:rsidRPr="00EC17EC">
        <w:rPr>
          <w:rFonts w:ascii="Century Schoolbook" w:hAnsi="Century Schoolbook"/>
          <w:szCs w:val="26"/>
        </w:rPr>
        <w:t>the amount of the bond plus costs</w:t>
      </w:r>
      <w:r w:rsidRPr="00EC17EC">
        <w:rPr>
          <w:rFonts w:ascii="Century Schoolbook" w:hAnsi="Century Schoolbook"/>
          <w:szCs w:val="26"/>
        </w:rPr>
        <w:t>—</w:t>
      </w:r>
      <w:r>
        <w:rPr>
          <w:rFonts w:ascii="Century Schoolbook" w:hAnsi="Century Schoolbook"/>
          <w:szCs w:val="26"/>
        </w:rPr>
        <w:t>against the surety.</w:t>
      </w:r>
    </w:p>
    <w:p w:rsidR="00FE7361"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 xml:space="preserve">The surety filed a motion to set </w:t>
      </w:r>
      <w:r w:rsidRPr="00EC17EC">
        <w:rPr>
          <w:rFonts w:ascii="Century Schoolbook" w:hAnsi="Century Schoolbook"/>
          <w:szCs w:val="26"/>
        </w:rPr>
        <w:t xml:space="preserve">aside the judgment </w:t>
      </w:r>
      <w:r w:rsidRPr="00EC17EC">
        <w:rPr>
          <w:rFonts w:ascii="Century Schoolbook" w:hAnsi="Century Schoolbook"/>
          <w:szCs w:val="26"/>
        </w:rPr>
        <w:t>on g</w:t>
      </w:r>
      <w:r>
        <w:rPr>
          <w:rFonts w:ascii="Century Schoolbook" w:hAnsi="Century Schoolbook"/>
          <w:szCs w:val="26"/>
        </w:rPr>
        <w:t>rounds unrelated to this appeal</w:t>
      </w:r>
      <w:r w:rsidRPr="00EC17EC">
        <w:rPr>
          <w:rFonts w:ascii="Century Schoolbook" w:hAnsi="Century Schoolbook"/>
          <w:szCs w:val="26"/>
        </w:rPr>
        <w:t>, which the trial court denied</w:t>
      </w:r>
      <w:r w:rsidRPr="00EC17EC">
        <w:rPr>
          <w:rFonts w:ascii="Century Schoolbook" w:hAnsi="Century Schoolbook"/>
          <w:szCs w:val="26"/>
        </w:rPr>
        <w:t>.</w:t>
      </w:r>
    </w:p>
    <w:p w:rsidR="00FE7361"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The surety filed th</w:t>
      </w:r>
      <w:r>
        <w:rPr>
          <w:rFonts w:ascii="Century Schoolbook" w:hAnsi="Century Schoolbook"/>
          <w:szCs w:val="26"/>
        </w:rPr>
        <w:t>is timely appeal.</w:t>
      </w:r>
    </w:p>
    <w:p w:rsidR="00FE7361" w:rsidRPr="00EC17EC" w:rsidRDefault="00DE519E" w:rsidP="00A85AF2">
      <w:pPr>
        <w:spacing w:line="288" w:lineRule="auto"/>
        <w:jc w:val="center"/>
        <w:rPr>
          <w:rFonts w:ascii="Century Schoolbook" w:hAnsi="Century Schoolbook"/>
          <w:b/>
          <w:szCs w:val="26"/>
        </w:rPr>
      </w:pPr>
      <w:r w:rsidRPr="00EC17EC">
        <w:rPr>
          <w:rFonts w:ascii="Century Schoolbook" w:hAnsi="Century Schoolbook"/>
          <w:b/>
          <w:szCs w:val="26"/>
        </w:rPr>
        <w:t>DISCUSSION</w:t>
      </w:r>
    </w:p>
    <w:p w:rsidR="00FE7361" w:rsidRPr="00EC17EC" w:rsidRDefault="00DE519E" w:rsidP="00A85AF2">
      <w:pPr>
        <w:spacing w:line="288" w:lineRule="auto"/>
        <w:rPr>
          <w:rFonts w:ascii="Century Schoolbook" w:hAnsi="Century Schoolbook"/>
          <w:szCs w:val="26"/>
        </w:rPr>
      </w:pPr>
      <w:r w:rsidRPr="00EC17EC">
        <w:rPr>
          <w:rFonts w:ascii="Century Schoolbook" w:hAnsi="Century Schoolbook"/>
          <w:b/>
          <w:szCs w:val="26"/>
        </w:rPr>
        <w:tab/>
      </w:r>
      <w:r w:rsidRPr="00EC17EC">
        <w:rPr>
          <w:rFonts w:ascii="Century Schoolbook" w:hAnsi="Century Schoolbook"/>
          <w:szCs w:val="26"/>
        </w:rPr>
        <w:t xml:space="preserve">The surety argues that the trial court erred in (1) denying its motion to vacate the forfeiture and to exonerate the bond, and (2) declining to grant a further </w:t>
      </w:r>
      <w:r w:rsidRPr="00EC17EC">
        <w:rPr>
          <w:rFonts w:ascii="Century Schoolbook" w:hAnsi="Century Schoolbook"/>
          <w:szCs w:val="26"/>
        </w:rPr>
        <w:t>21</w:t>
      </w:r>
      <w:r w:rsidRPr="00EC17EC">
        <w:rPr>
          <w:rFonts w:ascii="Century Schoolbook" w:hAnsi="Century Schoolbook"/>
          <w:szCs w:val="26"/>
        </w:rPr>
        <w:t xml:space="preserve">-day continuance to allow it the opportunity </w:t>
      </w:r>
      <w:r w:rsidRPr="00EC17EC">
        <w:rPr>
          <w:rFonts w:ascii="Century Schoolbook" w:hAnsi="Century Schoolbook"/>
          <w:szCs w:val="26"/>
        </w:rPr>
        <w:t xml:space="preserve">to </w:t>
      </w:r>
      <w:r w:rsidRPr="00EC17EC">
        <w:rPr>
          <w:rFonts w:ascii="Century Schoolbook" w:hAnsi="Century Schoolbook"/>
          <w:szCs w:val="26"/>
        </w:rPr>
        <w:t>obtain Angulo’s photograph or fingerprints.  B</w:t>
      </w:r>
      <w:r w:rsidRPr="00EC17EC">
        <w:rPr>
          <w:rFonts w:ascii="Century Schoolbook" w:hAnsi="Century Schoolbook"/>
          <w:szCs w:val="26"/>
        </w:rPr>
        <w:t>oth orders are appealable.  (</w:t>
      </w:r>
      <w:r w:rsidRPr="00EC17EC">
        <w:rPr>
          <w:rFonts w:ascii="Century Schoolbook" w:hAnsi="Century Schoolbook"/>
          <w:i/>
          <w:szCs w:val="26"/>
        </w:rPr>
        <w:t>County of Los Angeles v. Fairmont Specialty Group</w:t>
      </w:r>
      <w:r w:rsidRPr="00EC17EC">
        <w:rPr>
          <w:rFonts w:ascii="Century Schoolbook" w:hAnsi="Century Schoolbook"/>
          <w:szCs w:val="26"/>
        </w:rPr>
        <w:t xml:space="preserve"> (2009) 173 Cal.App.4th 538, 542</w:t>
      </w:r>
      <w:r w:rsidRPr="00EC17EC">
        <w:rPr>
          <w:rFonts w:ascii="Century Schoolbook" w:hAnsi="Century Schoolbook"/>
          <w:szCs w:val="26"/>
        </w:rPr>
        <w:t xml:space="preserve"> (</w:t>
      </w:r>
      <w:r w:rsidRPr="00EC17EC">
        <w:rPr>
          <w:rFonts w:ascii="Century Schoolbook" w:hAnsi="Century Schoolbook"/>
          <w:i/>
          <w:szCs w:val="26"/>
        </w:rPr>
        <w:t>Fairmont</w:t>
      </w:r>
      <w:r w:rsidRPr="00EC17EC">
        <w:rPr>
          <w:rFonts w:ascii="Century Schoolbook" w:hAnsi="Century Schoolbook"/>
          <w:szCs w:val="26"/>
        </w:rPr>
        <w:t>)</w:t>
      </w:r>
      <w:r w:rsidRPr="00EC17EC">
        <w:rPr>
          <w:rFonts w:ascii="Century Schoolbook" w:hAnsi="Century Schoolbook"/>
          <w:szCs w:val="26"/>
        </w:rPr>
        <w:t xml:space="preserve"> [“An </w:t>
      </w:r>
      <w:r w:rsidRPr="00EC17EC">
        <w:rPr>
          <w:rFonts w:ascii="Century Schoolbook" w:hAnsi="Century Schoolbook"/>
          <w:szCs w:val="26"/>
        </w:rPr>
        <w:t xml:space="preserve">order denying a </w:t>
      </w:r>
      <w:r w:rsidRPr="00EC17EC">
        <w:rPr>
          <w:rFonts w:ascii="Century Schoolbook" w:hAnsi="Century Schoolbook"/>
          <w:szCs w:val="26"/>
        </w:rPr>
        <w:t>motion to vacate or set aside a</w:t>
      </w:r>
      <w:r w:rsidRPr="00EC17EC">
        <w:rPr>
          <w:rFonts w:ascii="Century Schoolbook" w:hAnsi="Century Schoolbook"/>
          <w:szCs w:val="26"/>
        </w:rPr>
        <w:t xml:space="preserve"> forfeiture </w:t>
      </w:r>
      <w:r w:rsidRPr="00EC17EC">
        <w:rPr>
          <w:rFonts w:ascii="Century Schoolbook" w:hAnsi="Century Schoolbook"/>
          <w:szCs w:val="26"/>
        </w:rPr>
        <w:t>and</w:t>
      </w:r>
      <w:r w:rsidRPr="00EC17EC">
        <w:rPr>
          <w:rFonts w:ascii="Century Schoolbook" w:hAnsi="Century Schoolbook"/>
          <w:szCs w:val="26"/>
        </w:rPr>
        <w:t xml:space="preserve"> exonerate the bail bond is </w:t>
      </w:r>
      <w:r w:rsidRPr="00EC17EC">
        <w:rPr>
          <w:rFonts w:ascii="Century Schoolbook" w:hAnsi="Century Schoolbook"/>
          <w:szCs w:val="26"/>
        </w:rPr>
        <w:t xml:space="preserve">an </w:t>
      </w:r>
      <w:r w:rsidRPr="00EC17EC">
        <w:rPr>
          <w:rFonts w:ascii="Century Schoolbook" w:hAnsi="Century Schoolbook"/>
          <w:szCs w:val="26"/>
        </w:rPr>
        <w:t>a</w:t>
      </w:r>
      <w:r w:rsidRPr="00EC17EC">
        <w:rPr>
          <w:rFonts w:ascii="Century Schoolbook" w:hAnsi="Century Schoolbook"/>
          <w:szCs w:val="26"/>
        </w:rPr>
        <w:t>ppealable</w:t>
      </w:r>
      <w:r w:rsidRPr="00EC17EC">
        <w:rPr>
          <w:rFonts w:ascii="Century Schoolbook" w:hAnsi="Century Schoolbook"/>
          <w:szCs w:val="26"/>
        </w:rPr>
        <w:t xml:space="preserve"> order</w:t>
      </w:r>
      <w:r w:rsidRPr="00EC17EC">
        <w:rPr>
          <w:rFonts w:ascii="Century Schoolbook" w:hAnsi="Century Schoolbook"/>
          <w:szCs w:val="26"/>
        </w:rPr>
        <w:t>”]; § 1305.5</w:t>
      </w:r>
      <w:r w:rsidRPr="00EC17EC">
        <w:rPr>
          <w:rFonts w:ascii="Century Schoolbook" w:hAnsi="Century Schoolbook"/>
          <w:szCs w:val="26"/>
        </w:rPr>
        <w:t xml:space="preserve"> [specif</w:t>
      </w:r>
      <w:r w:rsidRPr="00EC17EC">
        <w:rPr>
          <w:rFonts w:ascii="Century Schoolbook" w:hAnsi="Century Schoolbook"/>
          <w:szCs w:val="26"/>
        </w:rPr>
        <w:t xml:space="preserve">ying </w:t>
      </w:r>
      <w:r w:rsidRPr="00EC17EC">
        <w:rPr>
          <w:rFonts w:ascii="Century Schoolbook" w:hAnsi="Century Schoolbook"/>
          <w:szCs w:val="26"/>
        </w:rPr>
        <w:t xml:space="preserve">to which court </w:t>
      </w:r>
      <w:r w:rsidRPr="00EC17EC">
        <w:rPr>
          <w:rFonts w:ascii="Century Schoolbook" w:hAnsi="Century Schoolbook"/>
          <w:szCs w:val="26"/>
        </w:rPr>
        <w:t xml:space="preserve">of appeal </w:t>
      </w:r>
      <w:r w:rsidRPr="00EC17EC">
        <w:rPr>
          <w:rFonts w:ascii="Century Schoolbook" w:hAnsi="Century Schoolbook"/>
          <w:szCs w:val="26"/>
        </w:rPr>
        <w:t xml:space="preserve">such orders must be directed]; </w:t>
      </w:r>
      <w:r w:rsidRPr="00EC17EC">
        <w:rPr>
          <w:rFonts w:ascii="Century Schoolbook" w:hAnsi="Century Schoolbook"/>
          <w:i/>
          <w:szCs w:val="26"/>
        </w:rPr>
        <w:t>People v. Financial Casualty &amp; Surety, Inc.</w:t>
      </w:r>
      <w:r w:rsidRPr="00EC17EC">
        <w:rPr>
          <w:rFonts w:ascii="Century Schoolbook" w:hAnsi="Century Schoolbook"/>
          <w:szCs w:val="26"/>
        </w:rPr>
        <w:t xml:space="preserve"> (2016) 2 </w:t>
      </w:r>
      <w:r w:rsidRPr="00EC17EC">
        <w:rPr>
          <w:rFonts w:ascii="Century Schoolbook" w:hAnsi="Century Schoolbook"/>
          <w:szCs w:val="26"/>
        </w:rPr>
        <w:t>Cal.5th 35</w:t>
      </w:r>
      <w:r w:rsidRPr="00EC17EC">
        <w:rPr>
          <w:rFonts w:ascii="Century Schoolbook" w:hAnsi="Century Schoolbook"/>
          <w:szCs w:val="26"/>
        </w:rPr>
        <w:t>, 39</w:t>
      </w:r>
      <w:r w:rsidRPr="00EC17EC">
        <w:rPr>
          <w:rFonts w:ascii="Century Schoolbook" w:hAnsi="Century Schoolbook"/>
          <w:szCs w:val="26"/>
        </w:rPr>
        <w:t xml:space="preserve"> (</w:t>
      </w:r>
      <w:r w:rsidRPr="00EC17EC">
        <w:rPr>
          <w:rFonts w:ascii="Century Schoolbook" w:hAnsi="Century Schoolbook"/>
          <w:i/>
          <w:szCs w:val="26"/>
        </w:rPr>
        <w:t>Financial Casualty</w:t>
      </w:r>
      <w:r w:rsidRPr="00EC17EC">
        <w:rPr>
          <w:rFonts w:ascii="Century Schoolbook" w:hAnsi="Century Schoolbook"/>
          <w:szCs w:val="26"/>
        </w:rPr>
        <w:t>)</w:t>
      </w:r>
      <w:r w:rsidRPr="00EC17EC">
        <w:rPr>
          <w:rFonts w:ascii="Century Schoolbook" w:hAnsi="Century Schoolbook"/>
          <w:szCs w:val="26"/>
        </w:rPr>
        <w:t xml:space="preserve"> [appeal of order denying continuance of appearance period].)</w:t>
      </w:r>
      <w:r>
        <w:rPr>
          <w:rStyle w:val="FootnoteReference"/>
          <w:rFonts w:ascii="Century Schoolbook" w:hAnsi="Century Schoolbook"/>
          <w:b/>
          <w:szCs w:val="26"/>
        </w:rPr>
        <w:footnoteReference w:id="4"/>
      </w:r>
    </w:p>
    <w:p w:rsidR="00930C2E" w:rsidRPr="00EC17EC" w:rsidRDefault="00DE519E" w:rsidP="00A85AF2">
      <w:pPr>
        <w:spacing w:line="288" w:lineRule="auto"/>
        <w:rPr>
          <w:rFonts w:ascii="Century Schoolbook" w:hAnsi="Century Schoolbook"/>
          <w:szCs w:val="26"/>
        </w:rPr>
      </w:pPr>
      <w:r w:rsidRPr="00EC17EC">
        <w:rPr>
          <w:rFonts w:ascii="Century Schoolbook" w:hAnsi="Century Schoolbook"/>
          <w:b/>
          <w:szCs w:val="26"/>
        </w:rPr>
        <w:t>I.</w:t>
      </w:r>
      <w:r w:rsidRPr="00EC17EC">
        <w:rPr>
          <w:rFonts w:ascii="Century Schoolbook" w:hAnsi="Century Schoolbook"/>
          <w:b/>
          <w:szCs w:val="26"/>
        </w:rPr>
        <w:tab/>
        <w:t>Motion to Vacate Forfeiture and Exonerate</w:t>
      </w:r>
      <w:r w:rsidRPr="00EC17EC">
        <w:rPr>
          <w:rFonts w:ascii="Century Schoolbook" w:hAnsi="Century Schoolbook"/>
          <w:b/>
          <w:szCs w:val="26"/>
        </w:rPr>
        <w:t xml:space="preserve"> Bond</w:t>
      </w:r>
    </w:p>
    <w:p w:rsidR="00930C2E"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r>
      <w:r w:rsidRPr="00EC17EC">
        <w:rPr>
          <w:rFonts w:ascii="Century Schoolbook" w:hAnsi="Century Schoolbook"/>
          <w:i/>
          <w:szCs w:val="26"/>
        </w:rPr>
        <w:t>A.</w:t>
      </w:r>
      <w:r w:rsidRPr="00EC17EC">
        <w:rPr>
          <w:rFonts w:ascii="Century Schoolbook" w:hAnsi="Century Schoolbook"/>
          <w:i/>
          <w:szCs w:val="26"/>
        </w:rPr>
        <w:tab/>
      </w:r>
      <w:r w:rsidRPr="00EC17EC">
        <w:rPr>
          <w:rFonts w:ascii="Century Schoolbook" w:hAnsi="Century Schoolbook"/>
          <w:i/>
          <w:szCs w:val="26"/>
        </w:rPr>
        <w:t>Bail bond law, generally</w:t>
      </w:r>
    </w:p>
    <w:p w:rsidR="0086564D"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 xml:space="preserve">“[E]xcept for capital crimes when the facts are evident or the presumption great,” a criminal defendant has a </w:t>
      </w:r>
      <w:r w:rsidRPr="00EC17EC">
        <w:rPr>
          <w:rFonts w:ascii="Century Schoolbook" w:hAnsi="Century Schoolbook"/>
          <w:szCs w:val="26"/>
        </w:rPr>
        <w:t>right to be “released on bail by sufficient sureties</w:t>
      </w:r>
      <w:r w:rsidRPr="00EC17EC">
        <w:rPr>
          <w:rFonts w:ascii="Century Schoolbook" w:hAnsi="Century Schoolbook"/>
          <w:szCs w:val="26"/>
        </w:rPr>
        <w:t xml:space="preserve"> . . .”  </w:t>
      </w:r>
      <w:r w:rsidRPr="00EC17EC">
        <w:rPr>
          <w:rFonts w:ascii="Century Schoolbook" w:hAnsi="Century Schoolbook"/>
          <w:szCs w:val="26"/>
        </w:rPr>
        <w:t>(Cal. Const., art. I, § </w:t>
      </w:r>
      <w:r w:rsidRPr="00EC17EC">
        <w:rPr>
          <w:rFonts w:ascii="Century Schoolbook" w:hAnsi="Century Schoolbook"/>
          <w:szCs w:val="26"/>
        </w:rPr>
        <w:t xml:space="preserve">28, subd. (f)(3).)  </w:t>
      </w:r>
      <w:r w:rsidRPr="00EC17EC">
        <w:rPr>
          <w:rFonts w:ascii="Century Schoolbook" w:hAnsi="Century Schoolbook"/>
          <w:szCs w:val="26"/>
        </w:rPr>
        <w:t>The m</w:t>
      </w:r>
      <w:r w:rsidRPr="00EC17EC">
        <w:rPr>
          <w:rFonts w:ascii="Century Schoolbook" w:hAnsi="Century Schoolbook"/>
          <w:szCs w:val="26"/>
        </w:rPr>
        <w:t xml:space="preserve">ost common mechanism for obtaining release is a bail bond, which rests upon two </w:t>
      </w:r>
      <w:r w:rsidRPr="00EC17EC">
        <w:rPr>
          <w:rFonts w:ascii="Century Schoolbook" w:hAnsi="Century Schoolbook"/>
          <w:szCs w:val="26"/>
        </w:rPr>
        <w:t xml:space="preserve">different </w:t>
      </w:r>
      <w:r w:rsidRPr="00EC17EC">
        <w:rPr>
          <w:rFonts w:ascii="Century Schoolbook" w:hAnsi="Century Schoolbook"/>
          <w:szCs w:val="26"/>
        </w:rPr>
        <w:t xml:space="preserve">contracts between three different parties:  The surety contracts with the </w:t>
      </w:r>
      <w:r w:rsidRPr="00EC17EC">
        <w:rPr>
          <w:rFonts w:ascii="Century Schoolbook" w:hAnsi="Century Schoolbook"/>
          <w:szCs w:val="26"/>
        </w:rPr>
        <w:t>government to “‘“</w:t>
      </w:r>
      <w:r w:rsidRPr="00EC17EC">
        <w:rPr>
          <w:rFonts w:ascii="Century Schoolbook" w:hAnsi="Century Schoolbook"/>
          <w:szCs w:val="26"/>
        </w:rPr>
        <w:t xml:space="preserve">act[] as a guarantor of the defendant’s appearance in court under the risk </w:t>
      </w:r>
      <w:r w:rsidRPr="00EC17EC">
        <w:rPr>
          <w:rFonts w:ascii="Century Schoolbook" w:hAnsi="Century Schoolbook"/>
          <w:szCs w:val="26"/>
        </w:rPr>
        <w:t>of forfeiture of the bond,</w:t>
      </w:r>
      <w:r w:rsidRPr="00EC17EC">
        <w:rPr>
          <w:rFonts w:ascii="Century Schoolbook" w:hAnsi="Century Schoolbook"/>
          <w:szCs w:val="26"/>
        </w:rPr>
        <w:t>”</w:t>
      </w:r>
      <w:r w:rsidRPr="00EC17EC">
        <w:rPr>
          <w:rFonts w:ascii="Century Schoolbook" w:hAnsi="Century Schoolbook"/>
          <w:szCs w:val="26"/>
        </w:rPr>
        <w:t>’” and the defendant contracts with the surety to</w:t>
      </w:r>
      <w:r w:rsidRPr="00EC17EC">
        <w:rPr>
          <w:rFonts w:ascii="Century Schoolbook" w:hAnsi="Century Schoolbook"/>
          <w:szCs w:val="26"/>
        </w:rPr>
        <w:t xml:space="preserve"> pay a premium for the bond and to</w:t>
      </w:r>
      <w:r w:rsidRPr="00EC17EC">
        <w:rPr>
          <w:rFonts w:ascii="Century Schoolbook" w:hAnsi="Century Schoolbook"/>
          <w:szCs w:val="26"/>
        </w:rPr>
        <w:t xml:space="preserve"> provide collateral</w:t>
      </w:r>
      <w:r w:rsidRPr="00EC17EC">
        <w:rPr>
          <w:rFonts w:ascii="Century Schoolbook" w:hAnsi="Century Schoolbook"/>
          <w:szCs w:val="26"/>
        </w:rPr>
        <w:t xml:space="preserve"> in the event of his or her non</w:t>
      </w:r>
      <w:r w:rsidRPr="00EC17EC">
        <w:rPr>
          <w:rFonts w:ascii="Century Schoolbook" w:hAnsi="Century Schoolbook"/>
          <w:szCs w:val="26"/>
        </w:rPr>
        <w:t>appearance.  (</w:t>
      </w:r>
      <w:r w:rsidRPr="00EC17EC">
        <w:rPr>
          <w:rFonts w:ascii="Century Schoolbook" w:hAnsi="Century Schoolbook"/>
          <w:i/>
          <w:szCs w:val="26"/>
        </w:rPr>
        <w:t>Financial Casualty</w:t>
      </w:r>
      <w:r w:rsidRPr="00EC17EC">
        <w:rPr>
          <w:rFonts w:ascii="Century Schoolbook" w:hAnsi="Century Schoolbook"/>
          <w:szCs w:val="26"/>
        </w:rPr>
        <w:t>,</w:t>
      </w:r>
      <w:r w:rsidRPr="00EC17EC">
        <w:rPr>
          <w:rFonts w:ascii="Century Schoolbook" w:hAnsi="Century Schoolbook"/>
          <w:i/>
          <w:szCs w:val="26"/>
        </w:rPr>
        <w:t xml:space="preserve"> supra</w:t>
      </w:r>
      <w:r w:rsidRPr="00EC17EC">
        <w:rPr>
          <w:rFonts w:ascii="Century Schoolbook" w:hAnsi="Century Schoolbook"/>
          <w:szCs w:val="26"/>
        </w:rPr>
        <w:t xml:space="preserve">, </w:t>
      </w:r>
      <w:r w:rsidRPr="00EC17EC">
        <w:rPr>
          <w:rFonts w:ascii="Century Schoolbook" w:hAnsi="Century Schoolbook"/>
          <w:szCs w:val="26"/>
        </w:rPr>
        <w:t xml:space="preserve">2 Cal.5th </w:t>
      </w:r>
      <w:r w:rsidRPr="00EC17EC">
        <w:rPr>
          <w:rFonts w:ascii="Century Schoolbook" w:hAnsi="Century Schoolbook"/>
          <w:szCs w:val="26"/>
        </w:rPr>
        <w:t xml:space="preserve">at p. </w:t>
      </w:r>
      <w:r w:rsidRPr="00EC17EC">
        <w:rPr>
          <w:rFonts w:ascii="Century Schoolbook" w:hAnsi="Century Schoolbook"/>
          <w:szCs w:val="26"/>
        </w:rPr>
        <w:t xml:space="preserve">42, quoting </w:t>
      </w:r>
      <w:r w:rsidRPr="00EC17EC">
        <w:rPr>
          <w:rFonts w:ascii="Century Schoolbook" w:hAnsi="Century Schoolbook"/>
          <w:i/>
          <w:szCs w:val="26"/>
        </w:rPr>
        <w:t>Ame</w:t>
      </w:r>
      <w:r w:rsidRPr="00EC17EC">
        <w:rPr>
          <w:rFonts w:ascii="Century Schoolbook" w:hAnsi="Century Schoolbook"/>
          <w:i/>
          <w:szCs w:val="26"/>
        </w:rPr>
        <w:t>rican Contractors</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w:t>
      </w:r>
      <w:r w:rsidRPr="00EC17EC">
        <w:rPr>
          <w:rFonts w:ascii="Century Schoolbook" w:hAnsi="Century Schoolbook"/>
          <w:szCs w:val="26"/>
        </w:rPr>
        <w:t xml:space="preserve"> 33 Cal.4th </w:t>
      </w:r>
      <w:r w:rsidRPr="00EC17EC">
        <w:rPr>
          <w:rFonts w:ascii="Century Schoolbook" w:hAnsi="Century Schoolbook"/>
          <w:szCs w:val="26"/>
        </w:rPr>
        <w:t>at p. 6</w:t>
      </w:r>
      <w:r w:rsidRPr="00EC17EC">
        <w:rPr>
          <w:rFonts w:ascii="Century Schoolbook" w:hAnsi="Century Schoolbook"/>
          <w:szCs w:val="26"/>
        </w:rPr>
        <w:t>57.)</w:t>
      </w:r>
    </w:p>
    <w:p w:rsidR="00482EAF"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 xml:space="preserve">If the </w:t>
      </w:r>
      <w:r w:rsidRPr="00EC17EC">
        <w:rPr>
          <w:rFonts w:ascii="Century Schoolbook" w:hAnsi="Century Schoolbook"/>
          <w:szCs w:val="26"/>
        </w:rPr>
        <w:t>defendant does not appear as ordered “without sufficient excuse,” the trial court can (1)</w:t>
      </w:r>
      <w:r w:rsidRPr="00EC17EC">
        <w:rPr>
          <w:rFonts w:ascii="Century Schoolbook" w:hAnsi="Century Schoolbook"/>
          <w:szCs w:val="26"/>
        </w:rPr>
        <w:t xml:space="preserve"> declare the bond forfeited in open court (§ 1305, subd. (a)(1)), or, if the court “has reason to believe that sufficient excuse may e</w:t>
      </w:r>
      <w:r w:rsidRPr="00EC17EC">
        <w:rPr>
          <w:rFonts w:ascii="Century Schoolbook" w:hAnsi="Century Schoolbook"/>
          <w:szCs w:val="26"/>
        </w:rPr>
        <w:t>xist for the failure to appear,” (2) continue the case for a “reasonable” period of time “to enable the defendant to appear” (§ 1305.1).  Forfeiture is the general rule.  (</w:t>
      </w:r>
      <w:r w:rsidRPr="00EC17EC">
        <w:rPr>
          <w:rFonts w:ascii="Century Schoolbook" w:hAnsi="Century Schoolbook"/>
          <w:i/>
          <w:szCs w:val="26"/>
        </w:rPr>
        <w:t>Financial Casualty</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xml:space="preserve">, </w:t>
      </w:r>
      <w:r w:rsidRPr="00EC17EC">
        <w:rPr>
          <w:rFonts w:ascii="Century Schoolbook" w:hAnsi="Century Schoolbook"/>
          <w:szCs w:val="26"/>
        </w:rPr>
        <w:t xml:space="preserve">2 Cal.5th </w:t>
      </w:r>
      <w:r w:rsidRPr="00EC17EC">
        <w:rPr>
          <w:rFonts w:ascii="Century Schoolbook" w:hAnsi="Century Schoolbook"/>
          <w:szCs w:val="26"/>
        </w:rPr>
        <w:t>at p. 42 [“When the surety breaches [its] contr</w:t>
      </w:r>
      <w:r w:rsidRPr="00EC17EC">
        <w:rPr>
          <w:rFonts w:ascii="Century Schoolbook" w:hAnsi="Century Schoolbook"/>
          <w:szCs w:val="26"/>
        </w:rPr>
        <w:t xml:space="preserve">act [with the government] by failing to secure the defendant’s appearance, the </w:t>
      </w:r>
      <w:r w:rsidRPr="00EC17EC">
        <w:rPr>
          <w:rFonts w:ascii="Century Schoolbook" w:hAnsi="Century Schoolbook"/>
          <w:szCs w:val="26"/>
        </w:rPr>
        <w:t xml:space="preserve">bond generally </w:t>
      </w:r>
      <w:r w:rsidRPr="00EC17EC">
        <w:rPr>
          <w:rFonts w:ascii="Century Schoolbook" w:hAnsi="Century Schoolbook"/>
          <w:szCs w:val="26"/>
        </w:rPr>
        <w:t xml:space="preserve">must </w:t>
      </w:r>
      <w:r w:rsidRPr="00EC17EC">
        <w:rPr>
          <w:rFonts w:ascii="Century Schoolbook" w:hAnsi="Century Schoolbook"/>
          <w:szCs w:val="26"/>
        </w:rPr>
        <w:t>be enforced</w:t>
      </w:r>
      <w:r w:rsidRPr="00EC17EC">
        <w:rPr>
          <w:rFonts w:ascii="Century Schoolbook" w:hAnsi="Century Schoolbook"/>
          <w:szCs w:val="26"/>
        </w:rPr>
        <w:t xml:space="preserve">”].) </w:t>
      </w:r>
    </w:p>
    <w:p w:rsidR="00B97FEE"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Once the bond is forfe</w:t>
      </w:r>
      <w:r w:rsidRPr="00EC17EC">
        <w:rPr>
          <w:rFonts w:ascii="Century Schoolbook" w:hAnsi="Century Schoolbook"/>
          <w:szCs w:val="26"/>
        </w:rPr>
        <w:t>ited, the surety has 185 days</w:t>
      </w:r>
      <w:r w:rsidRPr="00EC17EC">
        <w:rPr>
          <w:rFonts w:ascii="Century Schoolbook" w:hAnsi="Century Schoolbook"/>
          <w:szCs w:val="26"/>
        </w:rPr>
        <w:t>—</w:t>
      </w:r>
      <w:r w:rsidRPr="00EC17EC">
        <w:rPr>
          <w:rFonts w:ascii="Century Schoolbook" w:hAnsi="Century Schoolbook"/>
          <w:szCs w:val="26"/>
        </w:rPr>
        <w:t>that is, 180 days plus five days for mailing (because the</w:t>
      </w:r>
      <w:r w:rsidRPr="00EC17EC">
        <w:rPr>
          <w:rFonts w:ascii="Century Schoolbook" w:hAnsi="Century Schoolbook"/>
          <w:szCs w:val="26"/>
        </w:rPr>
        <w:t xml:space="preserve"> trial</w:t>
      </w:r>
      <w:r w:rsidRPr="00EC17EC">
        <w:rPr>
          <w:rFonts w:ascii="Century Schoolbook" w:hAnsi="Century Schoolbook"/>
          <w:szCs w:val="26"/>
        </w:rPr>
        <w:t xml:space="preserve"> court is required to notify the surety and bail agent of the forfeiture by mail </w:t>
      </w:r>
      <w:r w:rsidRPr="00EC17EC">
        <w:rPr>
          <w:rFonts w:ascii="Century Schoolbook" w:hAnsi="Century Schoolbook"/>
          <w:szCs w:val="26"/>
        </w:rPr>
        <w:t xml:space="preserve">within 30 days of the forfeiture </w:t>
      </w:r>
      <w:r w:rsidRPr="00EC17EC">
        <w:rPr>
          <w:rFonts w:ascii="Century Schoolbook" w:hAnsi="Century Schoolbook"/>
          <w:szCs w:val="26"/>
        </w:rPr>
        <w:t>(§ 1305, subd. (b)(</w:t>
      </w:r>
      <w:r w:rsidRPr="00EC17EC">
        <w:rPr>
          <w:rFonts w:ascii="Century Schoolbook" w:hAnsi="Century Schoolbook"/>
          <w:szCs w:val="26"/>
        </w:rPr>
        <w:t>1</w:t>
      </w:r>
      <w:r w:rsidRPr="00EC17EC">
        <w:rPr>
          <w:rFonts w:ascii="Century Schoolbook" w:hAnsi="Century Schoolbook"/>
          <w:szCs w:val="26"/>
        </w:rPr>
        <w:t>)))</w:t>
      </w:r>
      <w:r w:rsidRPr="00EC17EC">
        <w:rPr>
          <w:rFonts w:ascii="Century Schoolbook" w:hAnsi="Century Schoolbook"/>
          <w:szCs w:val="26"/>
        </w:rPr>
        <w:t>—</w:t>
      </w:r>
      <w:r w:rsidRPr="00EC17EC">
        <w:rPr>
          <w:rFonts w:ascii="Century Schoolbook" w:hAnsi="Century Schoolbook"/>
          <w:szCs w:val="26"/>
        </w:rPr>
        <w:t>to move to vacate the forfeiture.  (§ 1305, subd. (c)</w:t>
      </w:r>
      <w:r w:rsidRPr="00EC17EC">
        <w:rPr>
          <w:rFonts w:ascii="Century Schoolbook" w:hAnsi="Century Schoolbook"/>
          <w:szCs w:val="26"/>
        </w:rPr>
        <w:t>.)  This is often called the “appearance period.”  (</w:t>
      </w:r>
      <w:r w:rsidRPr="00EC17EC">
        <w:rPr>
          <w:rFonts w:ascii="Century Schoolbook" w:hAnsi="Century Schoolbook"/>
          <w:i/>
          <w:szCs w:val="26"/>
        </w:rPr>
        <w:t>American Cont</w:t>
      </w:r>
      <w:r w:rsidRPr="00EC17EC">
        <w:rPr>
          <w:rFonts w:ascii="Century Schoolbook" w:hAnsi="Century Schoolbook"/>
          <w:i/>
          <w:szCs w:val="26"/>
        </w:rPr>
        <w:t>ractors</w:t>
      </w:r>
      <w:r w:rsidRPr="00EC17EC">
        <w:rPr>
          <w:rFonts w:ascii="Century Schoolbook" w:hAnsi="Century Schoolbook"/>
          <w:szCs w:val="26"/>
        </w:rPr>
        <w:t xml:space="preserve">, </w:t>
      </w:r>
      <w:r w:rsidRPr="00EC17EC">
        <w:rPr>
          <w:rFonts w:ascii="Century Schoolbook" w:hAnsi="Century Schoolbook"/>
          <w:i/>
          <w:szCs w:val="26"/>
        </w:rPr>
        <w:t>supra</w:t>
      </w:r>
      <w:r>
        <w:rPr>
          <w:rFonts w:ascii="Century Schoolbook" w:hAnsi="Century Schoolbook"/>
          <w:szCs w:val="26"/>
        </w:rPr>
        <w:t>, 33 </w:t>
      </w:r>
      <w:r w:rsidRPr="00EC17EC">
        <w:rPr>
          <w:rFonts w:ascii="Century Schoolbook" w:hAnsi="Century Schoolbook"/>
          <w:szCs w:val="26"/>
        </w:rPr>
        <w:t xml:space="preserve">Cal.4th at p. </w:t>
      </w:r>
      <w:r w:rsidRPr="00EC17EC">
        <w:rPr>
          <w:rFonts w:ascii="Century Schoolbook" w:hAnsi="Century Schoolbook"/>
          <w:szCs w:val="26"/>
        </w:rPr>
        <w:t>658.)  The surety may ask for an additional 180-day extension of this period</w:t>
      </w:r>
      <w:r w:rsidRPr="00EC17EC">
        <w:rPr>
          <w:rFonts w:ascii="Century Schoolbook" w:hAnsi="Century Schoolbook"/>
          <w:szCs w:val="26"/>
        </w:rPr>
        <w:t xml:space="preserve">. </w:t>
      </w:r>
      <w:r w:rsidRPr="00EC17EC">
        <w:rPr>
          <w:rFonts w:ascii="Century Schoolbook" w:hAnsi="Century Schoolbook"/>
          <w:szCs w:val="26"/>
        </w:rPr>
        <w:t xml:space="preserve"> (§ 1305.4</w:t>
      </w:r>
      <w:r w:rsidRPr="00EC17EC">
        <w:rPr>
          <w:rFonts w:ascii="Century Schoolbook" w:hAnsi="Century Schoolbook"/>
          <w:szCs w:val="26"/>
        </w:rPr>
        <w:t xml:space="preserve">.)  </w:t>
      </w:r>
      <w:r w:rsidRPr="00EC17EC">
        <w:rPr>
          <w:rFonts w:ascii="Century Schoolbook" w:hAnsi="Century Schoolbook"/>
          <w:szCs w:val="26"/>
        </w:rPr>
        <w:t>Extensions may only be granted for “good cause” (</w:t>
      </w:r>
      <w:r w:rsidRPr="00EC17EC">
        <w:rPr>
          <w:rFonts w:ascii="Century Schoolbook" w:hAnsi="Century Schoolbook"/>
          <w:i/>
          <w:szCs w:val="26"/>
        </w:rPr>
        <w:t>ibid.</w:t>
      </w:r>
      <w:r w:rsidRPr="00EC17EC">
        <w:rPr>
          <w:rFonts w:ascii="Century Schoolbook" w:hAnsi="Century Schoolbook"/>
          <w:szCs w:val="26"/>
        </w:rPr>
        <w:t xml:space="preserve">), which </w:t>
      </w:r>
      <w:r w:rsidRPr="00EC17EC">
        <w:rPr>
          <w:rFonts w:ascii="Century Schoolbook" w:hAnsi="Century Schoolbook"/>
          <w:szCs w:val="26"/>
        </w:rPr>
        <w:t>turns on</w:t>
      </w:r>
      <w:r w:rsidRPr="00EC17EC">
        <w:rPr>
          <w:rFonts w:ascii="Century Schoolbook" w:hAnsi="Century Schoolbook"/>
          <w:szCs w:val="26"/>
        </w:rPr>
        <w:t xml:space="preserve"> the surety’s diligence in tracking down the defendant as we</w:t>
      </w:r>
      <w:r w:rsidRPr="00EC17EC">
        <w:rPr>
          <w:rFonts w:ascii="Century Schoolbook" w:hAnsi="Century Schoolbook"/>
          <w:szCs w:val="26"/>
        </w:rPr>
        <w:t>ll as whether there is “a reasonable likelihood [that] the extension will result in the defendant’s apprehension.”  (</w:t>
      </w:r>
      <w:r w:rsidRPr="00EC17EC">
        <w:rPr>
          <w:rFonts w:ascii="Century Schoolbook" w:hAnsi="Century Schoolbook"/>
          <w:i/>
          <w:szCs w:val="26"/>
        </w:rPr>
        <w:t>Financial Casu</w:t>
      </w:r>
      <w:r w:rsidRPr="00EC17EC">
        <w:rPr>
          <w:rFonts w:ascii="Century Schoolbook" w:hAnsi="Century Schoolbook"/>
          <w:i/>
          <w:szCs w:val="26"/>
        </w:rPr>
        <w:t>a</w:t>
      </w:r>
      <w:r w:rsidRPr="00EC17EC">
        <w:rPr>
          <w:rFonts w:ascii="Century Schoolbook" w:hAnsi="Century Schoolbook"/>
          <w:i/>
          <w:szCs w:val="26"/>
        </w:rPr>
        <w:t>lty</w:t>
      </w:r>
      <w:r w:rsidRPr="00EC17EC">
        <w:rPr>
          <w:rFonts w:ascii="Century Schoolbook" w:hAnsi="Century Schoolbook"/>
          <w:szCs w:val="26"/>
        </w:rPr>
        <w:t xml:space="preserve">, </w:t>
      </w:r>
      <w:r w:rsidRPr="00EC17EC">
        <w:rPr>
          <w:rFonts w:ascii="Century Schoolbook" w:hAnsi="Century Schoolbook"/>
          <w:i/>
          <w:szCs w:val="26"/>
        </w:rPr>
        <w:t>supra</w:t>
      </w:r>
      <w:r>
        <w:rPr>
          <w:rFonts w:ascii="Century Schoolbook" w:hAnsi="Century Schoolbook"/>
          <w:szCs w:val="26"/>
        </w:rPr>
        <w:t>, 2 </w:t>
      </w:r>
      <w:r w:rsidRPr="00EC17EC">
        <w:rPr>
          <w:rFonts w:ascii="Century Schoolbook" w:hAnsi="Century Schoolbook"/>
          <w:szCs w:val="26"/>
        </w:rPr>
        <w:t xml:space="preserve">Cal.5th at pp. 47-50).  </w:t>
      </w:r>
      <w:r w:rsidRPr="00EC17EC">
        <w:rPr>
          <w:rFonts w:ascii="Century Schoolbook" w:hAnsi="Century Schoolbook"/>
          <w:szCs w:val="26"/>
        </w:rPr>
        <w:t>A court lacks the power to grant further extensions</w:t>
      </w:r>
      <w:r w:rsidRPr="00EC17EC">
        <w:rPr>
          <w:rFonts w:ascii="Century Schoolbook" w:hAnsi="Century Schoolbook"/>
          <w:szCs w:val="26"/>
        </w:rPr>
        <w:t>—</w:t>
      </w:r>
      <w:r w:rsidRPr="00EC17EC">
        <w:rPr>
          <w:rFonts w:ascii="Century Schoolbook" w:hAnsi="Century Schoolbook"/>
          <w:szCs w:val="26"/>
        </w:rPr>
        <w:t>either as a matter of statute or t</w:t>
      </w:r>
      <w:r w:rsidRPr="00EC17EC">
        <w:rPr>
          <w:rFonts w:ascii="Century Schoolbook" w:hAnsi="Century Schoolbook"/>
          <w:szCs w:val="26"/>
        </w:rPr>
        <w:t>hrough its inherent equitable powers.  (</w:t>
      </w:r>
      <w:r w:rsidRPr="00EC17EC">
        <w:rPr>
          <w:rFonts w:ascii="Century Schoolbook" w:hAnsi="Century Schoolbook"/>
          <w:i/>
          <w:szCs w:val="26"/>
        </w:rPr>
        <w:t>People v. Western Ins. Co.</w:t>
      </w:r>
      <w:r w:rsidRPr="00EC17EC">
        <w:rPr>
          <w:rFonts w:ascii="Century Schoolbook" w:hAnsi="Century Schoolbook"/>
          <w:szCs w:val="26"/>
        </w:rPr>
        <w:t xml:space="preserve"> (2012) 204 Cal.App.4th 1025, 1030</w:t>
      </w:r>
      <w:r w:rsidRPr="00EC17EC">
        <w:rPr>
          <w:rFonts w:ascii="Century Schoolbook" w:hAnsi="Century Schoolbook"/>
          <w:szCs w:val="26"/>
        </w:rPr>
        <w:t xml:space="preserve"> (</w:t>
      </w:r>
      <w:r w:rsidRPr="00EC17EC">
        <w:rPr>
          <w:rFonts w:ascii="Century Schoolbook" w:hAnsi="Century Schoolbook"/>
          <w:i/>
          <w:szCs w:val="26"/>
        </w:rPr>
        <w:t>Western</w:t>
      </w:r>
      <w:r w:rsidRPr="00EC17EC">
        <w:rPr>
          <w:rFonts w:ascii="Century Schoolbook" w:hAnsi="Century Schoolbook"/>
          <w:szCs w:val="26"/>
        </w:rPr>
        <w:t>)</w:t>
      </w:r>
      <w:r w:rsidRPr="00EC17EC">
        <w:rPr>
          <w:rFonts w:ascii="Century Schoolbook" w:hAnsi="Century Schoolbook"/>
          <w:szCs w:val="26"/>
        </w:rPr>
        <w:t xml:space="preserve"> [“No additional extensions of this bond exoneration pe</w:t>
      </w:r>
      <w:r w:rsidRPr="00EC17EC">
        <w:rPr>
          <w:rFonts w:ascii="Century Schoolbook" w:hAnsi="Century Schoolbook"/>
          <w:szCs w:val="26"/>
        </w:rPr>
        <w:t>riod are statutorily authorized</w:t>
      </w:r>
      <w:r w:rsidRPr="00EC17EC">
        <w:rPr>
          <w:rFonts w:ascii="Century Schoolbook" w:hAnsi="Century Schoolbook"/>
          <w:szCs w:val="26"/>
        </w:rPr>
        <w:t xml:space="preserve">”]; </w:t>
      </w:r>
      <w:r w:rsidRPr="00EC17EC">
        <w:rPr>
          <w:rFonts w:ascii="Century Schoolbook" w:hAnsi="Century Schoolbook"/>
          <w:i/>
          <w:szCs w:val="26"/>
        </w:rPr>
        <w:t>id.</w:t>
      </w:r>
      <w:r w:rsidRPr="00EC17EC">
        <w:rPr>
          <w:rFonts w:ascii="Century Schoolbook" w:hAnsi="Century Schoolbook"/>
          <w:szCs w:val="26"/>
        </w:rPr>
        <w:t xml:space="preserve"> at pp. 1032-1033 [e</w:t>
      </w:r>
      <w:r w:rsidRPr="00EC17EC">
        <w:rPr>
          <w:rFonts w:ascii="Century Schoolbook" w:hAnsi="Century Schoolbook"/>
          <w:szCs w:val="26"/>
        </w:rPr>
        <w:t>quitable tolling unavailable].)</w:t>
      </w:r>
    </w:p>
    <w:p w:rsidR="00716134" w:rsidRPr="00EC17EC" w:rsidRDefault="00DE519E" w:rsidP="001D5E50">
      <w:pPr>
        <w:spacing w:line="288" w:lineRule="auto"/>
        <w:rPr>
          <w:rFonts w:ascii="Century Schoolbook" w:hAnsi="Century Schoolbook"/>
          <w:szCs w:val="26"/>
        </w:rPr>
      </w:pPr>
      <w:r w:rsidRPr="00EC17EC">
        <w:rPr>
          <w:rFonts w:ascii="Century Schoolbook" w:hAnsi="Century Schoolbook"/>
          <w:szCs w:val="26"/>
        </w:rPr>
        <w:tab/>
      </w:r>
      <w:r w:rsidRPr="00EC17EC">
        <w:rPr>
          <w:rFonts w:ascii="Century Schoolbook" w:hAnsi="Century Schoolbook"/>
          <w:szCs w:val="26"/>
        </w:rPr>
        <w:t xml:space="preserve">The surety </w:t>
      </w:r>
      <w:r w:rsidRPr="00EC17EC">
        <w:rPr>
          <w:rFonts w:ascii="Century Schoolbook" w:hAnsi="Century Schoolbook"/>
          <w:szCs w:val="26"/>
        </w:rPr>
        <w:t>is entitle</w:t>
      </w:r>
      <w:r w:rsidRPr="00EC17EC">
        <w:rPr>
          <w:rFonts w:ascii="Century Schoolbook" w:hAnsi="Century Schoolbook"/>
          <w:szCs w:val="26"/>
        </w:rPr>
        <w:t>d</w:t>
      </w:r>
      <w:r w:rsidRPr="00EC17EC">
        <w:rPr>
          <w:rFonts w:ascii="Century Schoolbook" w:hAnsi="Century Schoolbook"/>
          <w:szCs w:val="26"/>
        </w:rPr>
        <w:t xml:space="preserve"> to have the </w:t>
      </w:r>
      <w:r w:rsidRPr="00EC17EC">
        <w:rPr>
          <w:rFonts w:ascii="Century Schoolbook" w:hAnsi="Century Schoolbook"/>
          <w:szCs w:val="26"/>
        </w:rPr>
        <w:t xml:space="preserve">trial </w:t>
      </w:r>
      <w:r w:rsidRPr="00EC17EC">
        <w:rPr>
          <w:rFonts w:ascii="Century Schoolbook" w:hAnsi="Century Schoolbook"/>
          <w:szCs w:val="26"/>
        </w:rPr>
        <w:t xml:space="preserve">court vacate the bond’s </w:t>
      </w:r>
      <w:r w:rsidRPr="00EC17EC">
        <w:rPr>
          <w:rFonts w:ascii="Century Schoolbook" w:hAnsi="Century Schoolbook"/>
          <w:szCs w:val="26"/>
        </w:rPr>
        <w:t xml:space="preserve">forfeiture and </w:t>
      </w:r>
      <w:r w:rsidRPr="00EC17EC">
        <w:rPr>
          <w:rFonts w:ascii="Century Schoolbook" w:hAnsi="Century Schoolbook"/>
          <w:szCs w:val="26"/>
        </w:rPr>
        <w:t>exonerate the bond if, prior to the expiration of the 185-day period and any extension thereof</w:t>
      </w:r>
      <w:r w:rsidRPr="00EC17EC">
        <w:rPr>
          <w:rFonts w:ascii="Century Schoolbook" w:hAnsi="Century Schoolbook"/>
          <w:szCs w:val="26"/>
        </w:rPr>
        <w:t>, it makes one of five different showings.  As pertinent here,</w:t>
      </w:r>
      <w:r>
        <w:rPr>
          <w:rStyle w:val="FootnoteReference"/>
          <w:rFonts w:ascii="Century Schoolbook" w:hAnsi="Century Schoolbook"/>
          <w:b/>
          <w:szCs w:val="26"/>
        </w:rPr>
        <w:footnoteReference w:id="5"/>
      </w:r>
      <w:r w:rsidRPr="00EC17EC">
        <w:rPr>
          <w:rFonts w:ascii="Century Schoolbook" w:hAnsi="Century Schoolbook"/>
          <w:szCs w:val="26"/>
        </w:rPr>
        <w:t xml:space="preserve"> the surety is enti</w:t>
      </w:r>
      <w:r w:rsidRPr="00EC17EC">
        <w:rPr>
          <w:rFonts w:ascii="Century Schoolbook" w:hAnsi="Century Schoolbook"/>
          <w:szCs w:val="26"/>
        </w:rPr>
        <w:t>tled to relief when the defendant is found in another state or country if (1) the defendant</w:t>
      </w:r>
      <w:r w:rsidRPr="00EC17EC">
        <w:rPr>
          <w:rFonts w:ascii="Century Schoolbook" w:hAnsi="Century Schoolbook"/>
          <w:szCs w:val="26"/>
        </w:rPr>
        <w:t xml:space="preserve"> “is temporarily detained[] by </w:t>
      </w:r>
      <w:r w:rsidRPr="00EC17EC">
        <w:rPr>
          <w:rFonts w:ascii="Century Schoolbook" w:hAnsi="Century Schoolbook"/>
          <w:szCs w:val="26"/>
        </w:rPr>
        <w:t xml:space="preserve">the </w:t>
      </w:r>
      <w:r w:rsidRPr="00EC17EC">
        <w:rPr>
          <w:rFonts w:ascii="Century Schoolbook" w:hAnsi="Century Schoolbook"/>
          <w:szCs w:val="26"/>
        </w:rPr>
        <w:t xml:space="preserve">bail agent[] in the presence of a local </w:t>
      </w:r>
      <w:r w:rsidRPr="00EC17EC">
        <w:rPr>
          <w:rFonts w:ascii="Century Schoolbook" w:hAnsi="Century Schoolbook"/>
          <w:szCs w:val="26"/>
        </w:rPr>
        <w:t xml:space="preserve">law </w:t>
      </w:r>
      <w:r w:rsidRPr="00EC17EC">
        <w:rPr>
          <w:rFonts w:ascii="Century Schoolbook" w:hAnsi="Century Schoolbook"/>
          <w:szCs w:val="26"/>
        </w:rPr>
        <w:t xml:space="preserve">enforcement officer of the jurisdiction </w:t>
      </w:r>
      <w:r w:rsidRPr="00EC17EC">
        <w:rPr>
          <w:rFonts w:ascii="Century Schoolbook" w:hAnsi="Century Schoolbook"/>
          <w:szCs w:val="26"/>
        </w:rPr>
        <w:t>in which</w:t>
      </w:r>
      <w:r w:rsidRPr="00EC17EC">
        <w:rPr>
          <w:rFonts w:ascii="Century Schoolbook" w:hAnsi="Century Schoolbook"/>
          <w:szCs w:val="26"/>
        </w:rPr>
        <w:t xml:space="preserve"> the defendant is located,”</w:t>
      </w:r>
      <w:r w:rsidRPr="00EC17EC">
        <w:rPr>
          <w:rFonts w:ascii="Century Schoolbook" w:hAnsi="Century Schoolbook"/>
          <w:szCs w:val="26"/>
        </w:rPr>
        <w:t xml:space="preserve"> (2) the de</w:t>
      </w:r>
      <w:r w:rsidRPr="00EC17EC">
        <w:rPr>
          <w:rFonts w:ascii="Century Schoolbook" w:hAnsi="Century Schoolbook"/>
          <w:szCs w:val="26"/>
        </w:rPr>
        <w:t>fendant</w:t>
      </w:r>
      <w:r w:rsidRPr="00EC17EC">
        <w:rPr>
          <w:rFonts w:ascii="Century Schoolbook" w:hAnsi="Century Schoolbook"/>
          <w:szCs w:val="26"/>
        </w:rPr>
        <w:t xml:space="preserve"> </w:t>
      </w:r>
      <w:r w:rsidRPr="00EC17EC">
        <w:rPr>
          <w:rFonts w:ascii="Century Schoolbook" w:hAnsi="Century Schoolbook"/>
          <w:szCs w:val="26"/>
        </w:rPr>
        <w:t>“is positively identified by that law enforcement officer</w:t>
      </w:r>
      <w:r>
        <w:rPr>
          <w:rFonts w:ascii="Century Schoolbook" w:hAnsi="Century Schoolbook"/>
          <w:szCs w:val="26"/>
        </w:rPr>
        <w:t> . . . in an affidavit signed under penalty of perjury</w:t>
      </w:r>
      <w:r w:rsidRPr="00EC17EC">
        <w:rPr>
          <w:rFonts w:ascii="Century Schoolbook" w:hAnsi="Century Schoolbook"/>
          <w:szCs w:val="26"/>
        </w:rPr>
        <w:t xml:space="preserve">,” and </w:t>
      </w:r>
      <w:r>
        <w:rPr>
          <w:rFonts w:ascii="Century Schoolbook" w:hAnsi="Century Schoolbook"/>
          <w:szCs w:val="26"/>
        </w:rPr>
        <w:t>(3) </w:t>
      </w:r>
      <w:r w:rsidRPr="00EC17EC">
        <w:rPr>
          <w:rFonts w:ascii="Century Schoolbook" w:hAnsi="Century Schoolbook"/>
          <w:szCs w:val="26"/>
        </w:rPr>
        <w:t>“the prosecuting agency elects not to seek extradition after being informed of the” defendant’s location</w:t>
      </w:r>
      <w:r w:rsidRPr="00EC17EC">
        <w:rPr>
          <w:rFonts w:ascii="Century Schoolbook" w:hAnsi="Century Schoolbook"/>
          <w:szCs w:val="26"/>
        </w:rPr>
        <w:t xml:space="preserve">.  (§ 1305, </w:t>
      </w:r>
      <w:r w:rsidRPr="00EC17EC">
        <w:rPr>
          <w:rFonts w:ascii="Century Schoolbook" w:hAnsi="Century Schoolbook"/>
          <w:szCs w:val="26"/>
        </w:rPr>
        <w:t>subd. (g);</w:t>
      </w:r>
      <w:r w:rsidRPr="00EC17EC">
        <w:rPr>
          <w:rFonts w:ascii="Century Schoolbook" w:hAnsi="Century Schoolbook"/>
          <w:szCs w:val="26"/>
        </w:rPr>
        <w:t xml:space="preserve"> </w:t>
      </w:r>
      <w:r w:rsidRPr="00EC17EC">
        <w:rPr>
          <w:rFonts w:ascii="Century Schoolbook" w:hAnsi="Century Schoolbook"/>
          <w:i/>
          <w:szCs w:val="26"/>
        </w:rPr>
        <w:t xml:space="preserve">People v. Seneca Ins. Co. </w:t>
      </w:r>
      <w:r w:rsidRPr="00EC17EC">
        <w:rPr>
          <w:rFonts w:ascii="Century Schoolbook" w:hAnsi="Century Schoolbook"/>
          <w:szCs w:val="26"/>
        </w:rPr>
        <w:t>(2010) 189 Cal.App.4th 1075, 1080 (</w:t>
      </w:r>
      <w:r w:rsidRPr="00EC17EC">
        <w:rPr>
          <w:rFonts w:ascii="Century Schoolbook" w:hAnsi="Century Schoolbook"/>
          <w:i/>
          <w:szCs w:val="26"/>
        </w:rPr>
        <w:t>Seneca</w:t>
      </w:r>
      <w:r w:rsidRPr="00EC17EC">
        <w:rPr>
          <w:rFonts w:ascii="Century Schoolbook" w:hAnsi="Century Schoolbook"/>
          <w:szCs w:val="26"/>
        </w:rPr>
        <w:t xml:space="preserve">) [this provision </w:t>
      </w:r>
      <w:r w:rsidRPr="00EC17EC">
        <w:rPr>
          <w:rFonts w:ascii="Century Schoolbook" w:hAnsi="Century Schoolbook"/>
          <w:szCs w:val="26"/>
        </w:rPr>
        <w:t>reaches</w:t>
      </w:r>
      <w:r w:rsidRPr="00EC17EC">
        <w:rPr>
          <w:rFonts w:ascii="Century Schoolbook" w:hAnsi="Century Schoolbook"/>
          <w:szCs w:val="26"/>
        </w:rPr>
        <w:t xml:space="preserve"> defendants in “a foreign country”]).  If the court vacates the forfeiture and exonerates the bond</w:t>
      </w:r>
      <w:r w:rsidRPr="00EC17EC">
        <w:rPr>
          <w:rFonts w:ascii="Century Schoolbook" w:hAnsi="Century Schoolbook"/>
          <w:szCs w:val="26"/>
        </w:rPr>
        <w:t xml:space="preserve"> on this or any other </w:t>
      </w:r>
      <w:r>
        <w:rPr>
          <w:rFonts w:ascii="Century Schoolbook" w:hAnsi="Century Schoolbook"/>
          <w:szCs w:val="26"/>
        </w:rPr>
        <w:t xml:space="preserve">statutorily permissible </w:t>
      </w:r>
      <w:r w:rsidRPr="00EC17EC">
        <w:rPr>
          <w:rFonts w:ascii="Century Schoolbook" w:hAnsi="Century Schoolbook"/>
          <w:szCs w:val="26"/>
        </w:rPr>
        <w:t>ground</w:t>
      </w:r>
      <w:r w:rsidRPr="00EC17EC">
        <w:rPr>
          <w:rFonts w:ascii="Century Schoolbook" w:hAnsi="Century Schoolbook"/>
          <w:szCs w:val="26"/>
        </w:rPr>
        <w:t xml:space="preserve">, it “shall </w:t>
      </w:r>
      <w:r w:rsidRPr="00EC17EC">
        <w:rPr>
          <w:rFonts w:ascii="Century Schoolbook" w:hAnsi="Century Schoolbook"/>
          <w:szCs w:val="26"/>
        </w:rPr>
        <w:t>impose a monetary payment as a condition of relief to compensate the people for the costs of returning a defendant to custody” unless such an award would not be in “the best interest of justice.”  (§ 130</w:t>
      </w:r>
      <w:r w:rsidRPr="00EC17EC">
        <w:rPr>
          <w:rFonts w:ascii="Century Schoolbook" w:hAnsi="Century Schoolbook"/>
          <w:szCs w:val="26"/>
        </w:rPr>
        <w:t>6</w:t>
      </w:r>
      <w:r w:rsidRPr="00EC17EC">
        <w:rPr>
          <w:rFonts w:ascii="Century Schoolbook" w:hAnsi="Century Schoolbook"/>
          <w:szCs w:val="26"/>
        </w:rPr>
        <w:t>, subd. (b).)</w:t>
      </w:r>
    </w:p>
    <w:p w:rsidR="00716134"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If the forfeiture is not vacated, the</w:t>
      </w:r>
      <w:r w:rsidRPr="00EC17EC">
        <w:rPr>
          <w:rFonts w:ascii="Century Schoolbook" w:hAnsi="Century Schoolbook"/>
          <w:szCs w:val="26"/>
        </w:rPr>
        <w:t xml:space="preserve"> trial court must then enter summary judgment against the sur</w:t>
      </w:r>
      <w:r w:rsidRPr="00EC17EC">
        <w:rPr>
          <w:rFonts w:ascii="Century Schoolbook" w:hAnsi="Century Schoolbook"/>
          <w:szCs w:val="26"/>
        </w:rPr>
        <w:t xml:space="preserve">ety for “the amount of the bond </w:t>
      </w:r>
      <w:r w:rsidRPr="00EC17EC">
        <w:rPr>
          <w:rFonts w:ascii="Century Schoolbook" w:hAnsi="Century Schoolbook"/>
          <w:szCs w:val="26"/>
        </w:rPr>
        <w:t xml:space="preserve">plus costs.”  (§ 1306, subd. (a); </w:t>
      </w:r>
      <w:r w:rsidRPr="00EC17EC">
        <w:rPr>
          <w:rFonts w:ascii="Century Schoolbook" w:hAnsi="Century Schoolbook"/>
          <w:i/>
          <w:szCs w:val="26"/>
        </w:rPr>
        <w:t>American Contractors</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33 Cal.4th at p. 658.)  In this respect, “bail bond proceedings”</w:t>
      </w:r>
      <w:r w:rsidRPr="00EC17EC">
        <w:rPr>
          <w:rFonts w:ascii="Century Schoolbook" w:hAnsi="Century Schoolbook"/>
          <w:szCs w:val="26"/>
        </w:rPr>
        <w:t>—</w:t>
      </w:r>
      <w:r w:rsidRPr="00EC17EC">
        <w:rPr>
          <w:rFonts w:ascii="Century Schoolbook" w:hAnsi="Century Schoolbook"/>
          <w:szCs w:val="26"/>
        </w:rPr>
        <w:t>despite growing out of criminal pro</w:t>
      </w:r>
      <w:r w:rsidRPr="00EC17EC">
        <w:rPr>
          <w:rFonts w:ascii="Century Schoolbook" w:hAnsi="Century Schoolbook"/>
          <w:szCs w:val="26"/>
        </w:rPr>
        <w:t>secutions</w:t>
      </w:r>
      <w:r w:rsidRPr="00EC17EC">
        <w:rPr>
          <w:rFonts w:ascii="Century Schoolbook" w:hAnsi="Century Schoolbook"/>
          <w:szCs w:val="26"/>
        </w:rPr>
        <w:t>—</w:t>
      </w:r>
      <w:r w:rsidRPr="00EC17EC">
        <w:rPr>
          <w:rFonts w:ascii="Century Schoolbook" w:hAnsi="Century Schoolbook"/>
          <w:szCs w:val="26"/>
        </w:rPr>
        <w:t>“are independent from and collateral to the prosecutions and are civil in nature.”  (</w:t>
      </w:r>
      <w:r w:rsidRPr="00EC17EC">
        <w:rPr>
          <w:rFonts w:ascii="Century Schoolbook" w:hAnsi="Century Schoolbook"/>
          <w:i/>
          <w:szCs w:val="26"/>
        </w:rPr>
        <w:t>People v. Wilcox</w:t>
      </w:r>
      <w:r w:rsidRPr="00EC17EC">
        <w:rPr>
          <w:rFonts w:ascii="Century Schoolbook" w:hAnsi="Century Schoolbook"/>
          <w:szCs w:val="26"/>
        </w:rPr>
        <w:t xml:space="preserve"> (1960) 53 Cal.2d 651, 654 (</w:t>
      </w:r>
      <w:r w:rsidRPr="00EC17EC">
        <w:rPr>
          <w:rFonts w:ascii="Century Schoolbook" w:hAnsi="Century Schoolbook"/>
          <w:i/>
          <w:szCs w:val="26"/>
        </w:rPr>
        <w:t>Wilcox</w:t>
      </w:r>
      <w:r w:rsidRPr="00EC17EC">
        <w:rPr>
          <w:rFonts w:ascii="Century Schoolbook" w:hAnsi="Century Schoolbook"/>
          <w:szCs w:val="26"/>
        </w:rPr>
        <w:t>).)</w:t>
      </w:r>
    </w:p>
    <w:p w:rsidR="00716134"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r>
      <w:r w:rsidRPr="00EC17EC">
        <w:rPr>
          <w:rFonts w:ascii="Century Schoolbook" w:hAnsi="Century Schoolbook"/>
          <w:i/>
          <w:szCs w:val="26"/>
        </w:rPr>
        <w:t>B.</w:t>
      </w:r>
      <w:r w:rsidRPr="00EC17EC">
        <w:rPr>
          <w:rFonts w:ascii="Century Schoolbook" w:hAnsi="Century Schoolbook"/>
          <w:i/>
          <w:szCs w:val="26"/>
        </w:rPr>
        <w:tab/>
        <w:t xml:space="preserve">Construction of </w:t>
      </w:r>
      <w:r w:rsidRPr="00EC17EC">
        <w:rPr>
          <w:rFonts w:ascii="Century Schoolbook" w:hAnsi="Century Schoolbook"/>
          <w:i/>
          <w:szCs w:val="26"/>
        </w:rPr>
        <w:t>s</w:t>
      </w:r>
      <w:r w:rsidRPr="00EC17EC">
        <w:rPr>
          <w:rFonts w:ascii="Century Schoolbook" w:hAnsi="Century Schoolbook"/>
          <w:i/>
          <w:szCs w:val="26"/>
        </w:rPr>
        <w:t>ection 130</w:t>
      </w:r>
      <w:r w:rsidRPr="00EC17EC">
        <w:rPr>
          <w:rFonts w:ascii="Century Schoolbook" w:hAnsi="Century Schoolbook"/>
          <w:i/>
          <w:szCs w:val="26"/>
        </w:rPr>
        <w:t>5</w:t>
      </w:r>
      <w:r w:rsidRPr="00EC17EC">
        <w:rPr>
          <w:rFonts w:ascii="Century Schoolbook" w:hAnsi="Century Schoolbook"/>
          <w:i/>
          <w:szCs w:val="26"/>
        </w:rPr>
        <w:t>, subdivision (g)</w:t>
      </w:r>
    </w:p>
    <w:p w:rsidR="000922A8"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 xml:space="preserve">Because the surety </w:t>
      </w:r>
      <w:r w:rsidRPr="00EC17EC">
        <w:rPr>
          <w:rFonts w:ascii="Century Schoolbook" w:hAnsi="Century Schoolbook"/>
          <w:szCs w:val="26"/>
        </w:rPr>
        <w:t xml:space="preserve">in this case </w:t>
      </w:r>
      <w:r w:rsidRPr="00EC17EC">
        <w:rPr>
          <w:rFonts w:ascii="Century Schoolbook" w:hAnsi="Century Schoolbook"/>
          <w:szCs w:val="26"/>
        </w:rPr>
        <w:t xml:space="preserve">is </w:t>
      </w:r>
      <w:r w:rsidRPr="00EC17EC">
        <w:rPr>
          <w:rFonts w:ascii="Century Schoolbook" w:hAnsi="Century Schoolbook"/>
          <w:szCs w:val="26"/>
        </w:rPr>
        <w:t>attack</w:t>
      </w:r>
      <w:r w:rsidRPr="00EC17EC">
        <w:rPr>
          <w:rFonts w:ascii="Century Schoolbook" w:hAnsi="Century Schoolbook"/>
          <w:szCs w:val="26"/>
        </w:rPr>
        <w:t>ing</w:t>
      </w:r>
      <w:r w:rsidRPr="00EC17EC">
        <w:rPr>
          <w:rFonts w:ascii="Century Schoolbook" w:hAnsi="Century Schoolbook"/>
          <w:szCs w:val="26"/>
        </w:rPr>
        <w:t xml:space="preserve"> the trial court’s ruling that the prosecutor’s office had the right to insist upon the surety providing a photograph or fingerprints before electing whether to extradite Angulo, the question presented on appeal is whether </w:t>
      </w:r>
      <w:r w:rsidRPr="00EC17EC">
        <w:rPr>
          <w:rFonts w:ascii="Century Schoolbook" w:hAnsi="Century Schoolbook"/>
          <w:szCs w:val="26"/>
        </w:rPr>
        <w:t>s</w:t>
      </w:r>
      <w:r w:rsidRPr="00EC17EC">
        <w:rPr>
          <w:rFonts w:ascii="Century Schoolbook" w:hAnsi="Century Schoolbook"/>
          <w:szCs w:val="26"/>
        </w:rPr>
        <w:t>ection 130</w:t>
      </w:r>
      <w:r w:rsidRPr="00EC17EC">
        <w:rPr>
          <w:rFonts w:ascii="Century Schoolbook" w:hAnsi="Century Schoolbook"/>
          <w:szCs w:val="26"/>
        </w:rPr>
        <w:t>5</w:t>
      </w:r>
      <w:r w:rsidRPr="00EC17EC">
        <w:rPr>
          <w:rFonts w:ascii="Century Schoolbook" w:hAnsi="Century Schoolbook"/>
          <w:szCs w:val="26"/>
        </w:rPr>
        <w:t>, subdivision (g) pre</w:t>
      </w:r>
      <w:r w:rsidRPr="00EC17EC">
        <w:rPr>
          <w:rFonts w:ascii="Century Schoolbook" w:hAnsi="Century Schoolbook"/>
          <w:szCs w:val="26"/>
        </w:rPr>
        <w:t xml:space="preserve">cludes a prosecuting agency from adopting a policy that </w:t>
      </w:r>
      <w:r w:rsidRPr="00EC17EC">
        <w:rPr>
          <w:rFonts w:ascii="Century Schoolbook" w:hAnsi="Century Schoolbook"/>
          <w:szCs w:val="26"/>
        </w:rPr>
        <w:t>predicates its election whether to extradite on whether the surety provides it</w:t>
      </w:r>
      <w:r w:rsidRPr="00EC17EC">
        <w:rPr>
          <w:rFonts w:ascii="Century Schoolbook" w:hAnsi="Century Schoolbook"/>
          <w:szCs w:val="26"/>
        </w:rPr>
        <w:t xml:space="preserve"> information beyond a sworn affidavit “positively identif</w:t>
      </w:r>
      <w:r w:rsidRPr="00EC17EC">
        <w:rPr>
          <w:rFonts w:ascii="Century Schoolbook" w:hAnsi="Century Schoolbook"/>
          <w:szCs w:val="26"/>
        </w:rPr>
        <w:t>[</w:t>
      </w:r>
      <w:r w:rsidRPr="00EC17EC">
        <w:rPr>
          <w:rFonts w:ascii="Century Schoolbook" w:hAnsi="Century Schoolbook"/>
          <w:szCs w:val="26"/>
        </w:rPr>
        <w:t>ying</w:t>
      </w:r>
      <w:r w:rsidRPr="00EC17EC">
        <w:rPr>
          <w:rFonts w:ascii="Century Schoolbook" w:hAnsi="Century Schoolbook"/>
          <w:szCs w:val="26"/>
        </w:rPr>
        <w:t>]</w:t>
      </w:r>
      <w:r w:rsidRPr="00EC17EC">
        <w:rPr>
          <w:rFonts w:ascii="Century Schoolbook" w:hAnsi="Century Schoolbook"/>
          <w:szCs w:val="26"/>
        </w:rPr>
        <w:t>” the defendant.</w:t>
      </w:r>
    </w:p>
    <w:p w:rsidR="000922A8"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We review the denial of a motion to vacat</w:t>
      </w:r>
      <w:r w:rsidRPr="00EC17EC">
        <w:rPr>
          <w:rFonts w:ascii="Century Schoolbook" w:hAnsi="Century Schoolbook"/>
          <w:szCs w:val="26"/>
        </w:rPr>
        <w:t xml:space="preserve">e a bond forfeiture and to exonerate </w:t>
      </w:r>
      <w:r w:rsidRPr="00EC17EC">
        <w:rPr>
          <w:rFonts w:ascii="Century Schoolbook" w:hAnsi="Century Schoolbook"/>
          <w:szCs w:val="26"/>
        </w:rPr>
        <w:t>the</w:t>
      </w:r>
      <w:r w:rsidRPr="00EC17EC">
        <w:rPr>
          <w:rFonts w:ascii="Century Schoolbook" w:hAnsi="Century Schoolbook"/>
          <w:szCs w:val="26"/>
        </w:rPr>
        <w:t xml:space="preserve"> bond for an abuse of discretion.  (</w:t>
      </w:r>
      <w:r w:rsidRPr="00EC17EC">
        <w:rPr>
          <w:rFonts w:ascii="Century Schoolbook" w:hAnsi="Century Schoolbook"/>
          <w:i/>
          <w:szCs w:val="26"/>
        </w:rPr>
        <w:t>People v. </w:t>
      </w:r>
      <w:r w:rsidRPr="00EC17EC">
        <w:rPr>
          <w:rFonts w:ascii="Century Schoolbook" w:hAnsi="Century Schoolbook"/>
          <w:i/>
          <w:szCs w:val="26"/>
        </w:rPr>
        <w:t>Accredited Surety &amp; Casualty Co.</w:t>
      </w:r>
      <w:r w:rsidRPr="00EC17EC">
        <w:rPr>
          <w:rFonts w:ascii="Century Schoolbook" w:hAnsi="Century Schoolbook"/>
          <w:szCs w:val="26"/>
        </w:rPr>
        <w:t xml:space="preserve"> (2016) 3 Cal.App.5th 1180, 1184; </w:t>
      </w:r>
      <w:r w:rsidRPr="00EC17EC">
        <w:rPr>
          <w:rFonts w:ascii="Century Schoolbook" w:hAnsi="Century Schoolbook"/>
          <w:i/>
          <w:szCs w:val="26"/>
        </w:rPr>
        <w:t>Fairmont</w:t>
      </w:r>
      <w:r w:rsidRPr="00EC17EC">
        <w:rPr>
          <w:rFonts w:ascii="Century Schoolbook" w:hAnsi="Century Schoolbook"/>
          <w:szCs w:val="26"/>
        </w:rPr>
        <w:t>,</w:t>
      </w:r>
      <w:r w:rsidRPr="00EC17EC">
        <w:rPr>
          <w:rFonts w:ascii="Century Schoolbook" w:hAnsi="Century Schoolbook"/>
          <w:i/>
          <w:szCs w:val="26"/>
        </w:rPr>
        <w:t xml:space="preserve"> supra</w:t>
      </w:r>
      <w:r w:rsidRPr="00EC17EC">
        <w:rPr>
          <w:rFonts w:ascii="Century Schoolbook" w:hAnsi="Century Schoolbook"/>
          <w:szCs w:val="26"/>
        </w:rPr>
        <w:t xml:space="preserve">, 173 Cal.App.4th at p. 542.)  To the extent the trial court’s ruling rests on statutory </w:t>
      </w:r>
      <w:r w:rsidRPr="00EC17EC">
        <w:rPr>
          <w:rFonts w:ascii="Century Schoolbook" w:hAnsi="Century Schoolbook"/>
          <w:szCs w:val="26"/>
        </w:rPr>
        <w:t>interpretation, o</w:t>
      </w:r>
      <w:r w:rsidRPr="00EC17EC">
        <w:rPr>
          <w:rFonts w:ascii="Century Schoolbook" w:hAnsi="Century Schoolbook"/>
          <w:szCs w:val="26"/>
        </w:rPr>
        <w:t>ur review is de novo and</w:t>
      </w:r>
      <w:r w:rsidRPr="00EC17EC">
        <w:rPr>
          <w:rFonts w:ascii="Century Schoolbook" w:hAnsi="Century Schoolbook"/>
          <w:szCs w:val="26"/>
        </w:rPr>
        <w:t xml:space="preserve"> we must</w:t>
      </w:r>
      <w:r w:rsidRPr="00EC17EC">
        <w:rPr>
          <w:rFonts w:ascii="Century Schoolbook" w:hAnsi="Century Schoolbook"/>
          <w:szCs w:val="26"/>
        </w:rPr>
        <w:t>, where feasible,</w:t>
      </w:r>
      <w:r w:rsidRPr="00EC17EC">
        <w:rPr>
          <w:rFonts w:ascii="Century Schoolbook" w:hAnsi="Century Schoolbook"/>
          <w:szCs w:val="26"/>
        </w:rPr>
        <w:t xml:space="preserve"> strictly construe the statutory language “</w:t>
      </w:r>
      <w:r w:rsidRPr="00EC17EC">
        <w:rPr>
          <w:rFonts w:ascii="Century Schoolbook" w:hAnsi="Century Schoolbook"/>
          <w:szCs w:val="26"/>
        </w:rPr>
        <w:t>‘“</w:t>
      </w:r>
      <w:r w:rsidRPr="00EC17EC">
        <w:rPr>
          <w:rFonts w:ascii="Century Schoolbook" w:hAnsi="Century Schoolbook"/>
          <w:szCs w:val="26"/>
        </w:rPr>
        <w:t>in favor of the surety to avoid the harsh results of a forfeiture.</w:t>
      </w:r>
      <w:r w:rsidRPr="00EC17EC">
        <w:rPr>
          <w:rFonts w:ascii="Century Schoolbook" w:hAnsi="Century Schoolbook"/>
          <w:szCs w:val="26"/>
        </w:rPr>
        <w:t>”’</w:t>
      </w:r>
      <w:r w:rsidRPr="00EC17EC">
        <w:rPr>
          <w:rFonts w:ascii="Century Schoolbook" w:hAnsi="Century Schoolbook"/>
          <w:szCs w:val="26"/>
        </w:rPr>
        <w:t>”  (</w:t>
      </w:r>
      <w:r w:rsidRPr="00EC17EC">
        <w:rPr>
          <w:rFonts w:ascii="Century Schoolbook" w:hAnsi="Century Schoolbook"/>
          <w:i/>
          <w:szCs w:val="26"/>
        </w:rPr>
        <w:t>County of Los Angeles v. American Contractors Indemnity Co.</w:t>
      </w:r>
      <w:r w:rsidRPr="00EC17EC">
        <w:rPr>
          <w:rFonts w:ascii="Century Schoolbook" w:hAnsi="Century Schoolbook"/>
          <w:szCs w:val="26"/>
        </w:rPr>
        <w:t xml:space="preserve"> (</w:t>
      </w:r>
      <w:r w:rsidRPr="00EC17EC">
        <w:rPr>
          <w:rFonts w:ascii="Century Schoolbook" w:hAnsi="Century Schoolbook"/>
          <w:szCs w:val="26"/>
        </w:rPr>
        <w:t>2007) 152 Ca</w:t>
      </w:r>
      <w:r w:rsidRPr="00EC17EC">
        <w:rPr>
          <w:rFonts w:ascii="Century Schoolbook" w:hAnsi="Century Schoolbook"/>
          <w:szCs w:val="26"/>
        </w:rPr>
        <w:t xml:space="preserve">l.App.4th 661, 665-666.)  To the extent </w:t>
      </w:r>
      <w:r w:rsidRPr="00EC17EC">
        <w:rPr>
          <w:rFonts w:ascii="Century Schoolbook" w:hAnsi="Century Schoolbook"/>
          <w:szCs w:val="26"/>
        </w:rPr>
        <w:t>the court’s ruling</w:t>
      </w:r>
      <w:r w:rsidRPr="00EC17EC">
        <w:rPr>
          <w:rFonts w:ascii="Century Schoolbook" w:hAnsi="Century Schoolbook"/>
          <w:szCs w:val="26"/>
        </w:rPr>
        <w:t xml:space="preserve"> rests upon questions of fact, </w:t>
      </w:r>
      <w:r w:rsidRPr="00EC17EC">
        <w:rPr>
          <w:rFonts w:ascii="Century Schoolbook" w:hAnsi="Century Schoolbook"/>
          <w:szCs w:val="26"/>
        </w:rPr>
        <w:t>our</w:t>
      </w:r>
      <w:r w:rsidRPr="00EC17EC">
        <w:rPr>
          <w:rFonts w:ascii="Century Schoolbook" w:hAnsi="Century Schoolbook"/>
          <w:szCs w:val="26"/>
        </w:rPr>
        <w:t xml:space="preserve"> review </w:t>
      </w:r>
      <w:r w:rsidRPr="00EC17EC">
        <w:rPr>
          <w:rFonts w:ascii="Century Schoolbook" w:hAnsi="Century Schoolbook"/>
          <w:szCs w:val="26"/>
        </w:rPr>
        <w:t xml:space="preserve">is </w:t>
      </w:r>
      <w:r w:rsidRPr="00EC17EC">
        <w:rPr>
          <w:rFonts w:ascii="Century Schoolbook" w:hAnsi="Century Schoolbook"/>
          <w:szCs w:val="26"/>
        </w:rPr>
        <w:t xml:space="preserve">for substantial evidence.  </w:t>
      </w:r>
      <w:r w:rsidRPr="00EC17EC">
        <w:rPr>
          <w:rFonts w:ascii="Century Schoolbook" w:hAnsi="Century Schoolbook"/>
          <w:szCs w:val="26"/>
        </w:rPr>
        <w:t>(</w:t>
      </w:r>
      <w:r w:rsidRPr="00EC17EC">
        <w:rPr>
          <w:rFonts w:ascii="Century Schoolbook" w:hAnsi="Century Schoolbook"/>
          <w:i/>
          <w:szCs w:val="26"/>
        </w:rPr>
        <w:t>Fairmont</w:t>
      </w:r>
      <w:r w:rsidRPr="00EC17EC">
        <w:rPr>
          <w:rFonts w:ascii="Century Schoolbook" w:hAnsi="Century Schoolbook"/>
          <w:szCs w:val="26"/>
        </w:rPr>
        <w:t>, at p. 543</w:t>
      </w:r>
      <w:r w:rsidRPr="00EC17EC">
        <w:rPr>
          <w:rFonts w:ascii="Century Schoolbook" w:hAnsi="Century Schoolbook"/>
          <w:szCs w:val="26"/>
        </w:rPr>
        <w:t xml:space="preserve">.)  </w:t>
      </w:r>
      <w:r w:rsidRPr="00EC17EC">
        <w:rPr>
          <w:rFonts w:ascii="Century Schoolbook" w:hAnsi="Century Schoolbook"/>
          <w:szCs w:val="26"/>
        </w:rPr>
        <w:t>It is the surety’s burden to prove the statutory prerequisites to an o</w:t>
      </w:r>
      <w:r>
        <w:rPr>
          <w:rFonts w:ascii="Century Schoolbook" w:hAnsi="Century Schoolbook"/>
          <w:szCs w:val="26"/>
        </w:rPr>
        <w:t xml:space="preserve">rder vacating a bond forfeiture.  </w:t>
      </w:r>
      <w:r w:rsidRPr="00EC17EC">
        <w:rPr>
          <w:rFonts w:ascii="Century Schoolbook" w:hAnsi="Century Schoolbook"/>
          <w:szCs w:val="26"/>
        </w:rPr>
        <w:t>(</w:t>
      </w:r>
      <w:r w:rsidRPr="00EC17EC">
        <w:rPr>
          <w:rFonts w:ascii="Century Schoolbook" w:hAnsi="Century Schoolbook"/>
          <w:i/>
          <w:szCs w:val="26"/>
        </w:rPr>
        <w:t>People v. American Contractors Indemnity</w:t>
      </w:r>
      <w:r w:rsidRPr="00EC17EC">
        <w:rPr>
          <w:rFonts w:ascii="Century Schoolbook" w:hAnsi="Century Schoolbook"/>
          <w:szCs w:val="26"/>
        </w:rPr>
        <w:t xml:space="preserve"> (1999) 74 Cal.App.4th 1037, 1041.)</w:t>
      </w:r>
    </w:p>
    <w:p w:rsidR="00594B8D"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 xml:space="preserve">We conclude that the trial court did not </w:t>
      </w:r>
      <w:r w:rsidRPr="00EC17EC">
        <w:rPr>
          <w:rFonts w:ascii="Century Schoolbook" w:hAnsi="Century Schoolbook"/>
          <w:szCs w:val="26"/>
        </w:rPr>
        <w:t xml:space="preserve">err in its construction of </w:t>
      </w:r>
      <w:r w:rsidRPr="00EC17EC">
        <w:rPr>
          <w:rFonts w:ascii="Century Schoolbook" w:hAnsi="Century Schoolbook"/>
          <w:szCs w:val="26"/>
        </w:rPr>
        <w:t>s</w:t>
      </w:r>
      <w:r w:rsidRPr="00EC17EC">
        <w:rPr>
          <w:rFonts w:ascii="Century Schoolbook" w:hAnsi="Century Schoolbook"/>
          <w:szCs w:val="26"/>
        </w:rPr>
        <w:t>ection 130</w:t>
      </w:r>
      <w:r w:rsidRPr="00EC17EC">
        <w:rPr>
          <w:rFonts w:ascii="Century Schoolbook" w:hAnsi="Century Schoolbook"/>
          <w:szCs w:val="26"/>
        </w:rPr>
        <w:t>5</w:t>
      </w:r>
      <w:r w:rsidRPr="00EC17EC">
        <w:rPr>
          <w:rFonts w:ascii="Century Schoolbook" w:hAnsi="Century Schoolbook"/>
          <w:szCs w:val="26"/>
        </w:rPr>
        <w:t xml:space="preserve">, subdivision (g), and accordingly did not abuse its discretion </w:t>
      </w:r>
      <w:r w:rsidRPr="00EC17EC">
        <w:rPr>
          <w:rFonts w:ascii="Century Schoolbook" w:hAnsi="Century Schoolbook"/>
          <w:szCs w:val="26"/>
        </w:rPr>
        <w:t xml:space="preserve">in denying </w:t>
      </w:r>
      <w:r w:rsidRPr="00EC17EC">
        <w:rPr>
          <w:rFonts w:ascii="Century Schoolbook" w:hAnsi="Century Schoolbook"/>
          <w:szCs w:val="26"/>
        </w:rPr>
        <w:t xml:space="preserve">the surety’s motion to vacate the forfeiture.  </w:t>
      </w:r>
      <w:r w:rsidRPr="00EC17EC">
        <w:rPr>
          <w:rFonts w:ascii="Century Schoolbook" w:hAnsi="Century Schoolbook"/>
          <w:szCs w:val="26"/>
        </w:rPr>
        <w:t>Three</w:t>
      </w:r>
      <w:r w:rsidRPr="00EC17EC">
        <w:rPr>
          <w:rFonts w:ascii="Century Schoolbook" w:hAnsi="Century Schoolbook"/>
          <w:szCs w:val="26"/>
        </w:rPr>
        <w:t xml:space="preserve"> reasons support this conclusion.</w:t>
      </w:r>
    </w:p>
    <w:p w:rsidR="00F87F24"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 xml:space="preserve">First, the plain language of </w:t>
      </w:r>
      <w:r w:rsidRPr="00EC17EC">
        <w:rPr>
          <w:rFonts w:ascii="Century Schoolbook" w:hAnsi="Century Schoolbook"/>
          <w:szCs w:val="26"/>
        </w:rPr>
        <w:t>s</w:t>
      </w:r>
      <w:r w:rsidRPr="00EC17EC">
        <w:rPr>
          <w:rFonts w:ascii="Century Schoolbook" w:hAnsi="Century Schoolbook"/>
          <w:szCs w:val="26"/>
        </w:rPr>
        <w:t>ection 130</w:t>
      </w:r>
      <w:r w:rsidRPr="00EC17EC">
        <w:rPr>
          <w:rFonts w:ascii="Century Schoolbook" w:hAnsi="Century Schoolbook"/>
          <w:szCs w:val="26"/>
        </w:rPr>
        <w:t>5</w:t>
      </w:r>
      <w:r w:rsidRPr="00EC17EC">
        <w:rPr>
          <w:rFonts w:ascii="Century Schoolbook" w:hAnsi="Century Schoolbook"/>
          <w:szCs w:val="26"/>
        </w:rPr>
        <w:t>, subdivision (g)</w:t>
      </w:r>
      <w:r w:rsidRPr="00EC17EC">
        <w:rPr>
          <w:rFonts w:ascii="Century Schoolbook" w:hAnsi="Century Schoolbook"/>
          <w:szCs w:val="26"/>
        </w:rPr>
        <w:t xml:space="preserve"> predicates relief from forfeiture on a showing that </w:t>
      </w:r>
      <w:r w:rsidRPr="00EC17EC">
        <w:rPr>
          <w:rFonts w:ascii="Century Schoolbook" w:hAnsi="Century Schoolbook"/>
          <w:szCs w:val="26"/>
        </w:rPr>
        <w:t xml:space="preserve">“the prosecuting agency [has] elect[ed] not to </w:t>
      </w:r>
      <w:r w:rsidRPr="00EC17EC">
        <w:rPr>
          <w:rFonts w:ascii="Century Schoolbook" w:hAnsi="Century Schoolbook"/>
          <w:szCs w:val="26"/>
        </w:rPr>
        <w:t>seek extradition after being informed of the location of the defendant.”</w:t>
      </w:r>
      <w:r>
        <w:rPr>
          <w:rStyle w:val="FootnoteReference"/>
          <w:rFonts w:ascii="Century Schoolbook" w:hAnsi="Century Schoolbook"/>
          <w:b/>
          <w:szCs w:val="26"/>
        </w:rPr>
        <w:footnoteReference w:id="6"/>
      </w:r>
      <w:r w:rsidRPr="00EC17EC">
        <w:rPr>
          <w:rFonts w:ascii="Century Schoolbook" w:hAnsi="Century Schoolbook"/>
          <w:szCs w:val="26"/>
        </w:rPr>
        <w:t xml:space="preserve">  </w:t>
      </w:r>
      <w:r w:rsidRPr="00EC17EC">
        <w:rPr>
          <w:rFonts w:ascii="Century Schoolbook" w:hAnsi="Century Schoolbook"/>
          <w:szCs w:val="26"/>
        </w:rPr>
        <w:t>“The term elect [not only] implies a choice of options” (</w:t>
      </w:r>
      <w:r w:rsidRPr="00EC17EC">
        <w:rPr>
          <w:rFonts w:ascii="Century Schoolbook" w:hAnsi="Century Schoolbook"/>
          <w:i/>
          <w:szCs w:val="26"/>
        </w:rPr>
        <w:t>County of Orange v. Ranger Ins. Co.</w:t>
      </w:r>
      <w:r w:rsidRPr="00EC17EC">
        <w:rPr>
          <w:rFonts w:ascii="Century Schoolbook" w:hAnsi="Century Schoolbook"/>
          <w:szCs w:val="26"/>
        </w:rPr>
        <w:t xml:space="preserve"> (1998) 61 Cal.App.4th 795, 802</w:t>
      </w:r>
      <w:r w:rsidRPr="00EC17EC">
        <w:rPr>
          <w:rFonts w:ascii="Century Schoolbook" w:hAnsi="Century Schoolbook"/>
          <w:szCs w:val="26"/>
        </w:rPr>
        <w:t xml:space="preserve"> (</w:t>
      </w:r>
      <w:r w:rsidRPr="00EC17EC">
        <w:rPr>
          <w:rFonts w:ascii="Century Schoolbook" w:hAnsi="Century Schoolbook"/>
          <w:i/>
          <w:szCs w:val="26"/>
        </w:rPr>
        <w:t>Ranger Ins. Co.</w:t>
      </w:r>
      <w:r w:rsidRPr="00EC17EC">
        <w:rPr>
          <w:rFonts w:ascii="Century Schoolbook" w:hAnsi="Century Schoolbook"/>
          <w:szCs w:val="26"/>
        </w:rPr>
        <w:t>)</w:t>
      </w:r>
      <w:r w:rsidRPr="00EC17EC">
        <w:rPr>
          <w:rFonts w:ascii="Century Schoolbook" w:hAnsi="Century Schoolbook"/>
          <w:szCs w:val="26"/>
        </w:rPr>
        <w:t>), but also a</w:t>
      </w:r>
      <w:r w:rsidRPr="00EC17EC">
        <w:rPr>
          <w:rFonts w:ascii="Century Schoolbook" w:hAnsi="Century Schoolbook"/>
          <w:szCs w:val="26"/>
        </w:rPr>
        <w:t>n affirmative</w:t>
      </w:r>
      <w:r w:rsidRPr="00EC17EC">
        <w:rPr>
          <w:rFonts w:ascii="Century Schoolbook" w:hAnsi="Century Schoolbook"/>
          <w:szCs w:val="26"/>
        </w:rPr>
        <w:t xml:space="preserve"> selection </w:t>
      </w:r>
      <w:r w:rsidRPr="00EC17EC">
        <w:rPr>
          <w:rFonts w:ascii="Century Schoolbook" w:hAnsi="Century Schoolbook"/>
          <w:szCs w:val="26"/>
        </w:rPr>
        <w:t>among</w:t>
      </w:r>
      <w:r w:rsidRPr="00EC17EC">
        <w:rPr>
          <w:rFonts w:ascii="Century Schoolbook" w:hAnsi="Century Schoolbook"/>
          <w:szCs w:val="26"/>
        </w:rPr>
        <w:t xml:space="preserve"> those options.  If, as here, the prosecuting agency has yet to </w:t>
      </w:r>
      <w:r w:rsidRPr="00EC17EC">
        <w:rPr>
          <w:rFonts w:ascii="Century Schoolbook" w:hAnsi="Century Schoolbook"/>
          <w:szCs w:val="26"/>
        </w:rPr>
        <w:t>make that selection</w:t>
      </w:r>
      <w:r w:rsidRPr="00EC17EC">
        <w:rPr>
          <w:rFonts w:ascii="Century Schoolbook" w:hAnsi="Century Schoolbook"/>
          <w:szCs w:val="26"/>
        </w:rPr>
        <w:t>, there has been no election</w:t>
      </w:r>
      <w:r w:rsidRPr="00EC17EC">
        <w:rPr>
          <w:rFonts w:ascii="Century Schoolbook" w:hAnsi="Century Schoolbook"/>
          <w:szCs w:val="26"/>
        </w:rPr>
        <w:t>,</w:t>
      </w:r>
      <w:r w:rsidRPr="00EC17EC">
        <w:rPr>
          <w:rFonts w:ascii="Century Schoolbook" w:hAnsi="Century Schoolbook"/>
          <w:szCs w:val="26"/>
        </w:rPr>
        <w:t xml:space="preserve"> and there is </w:t>
      </w:r>
      <w:r w:rsidRPr="00EC17EC">
        <w:rPr>
          <w:rFonts w:ascii="Century Schoolbook" w:hAnsi="Century Schoolbook"/>
          <w:szCs w:val="26"/>
        </w:rPr>
        <w:t xml:space="preserve">consequently </w:t>
      </w:r>
      <w:r w:rsidRPr="00EC17EC">
        <w:rPr>
          <w:rFonts w:ascii="Century Schoolbook" w:hAnsi="Century Schoolbook"/>
          <w:szCs w:val="26"/>
        </w:rPr>
        <w:t xml:space="preserve">no entitlement to relief.  </w:t>
      </w:r>
      <w:r w:rsidRPr="00EC17EC">
        <w:rPr>
          <w:rFonts w:ascii="Century Schoolbook" w:hAnsi="Century Schoolbook"/>
          <w:szCs w:val="26"/>
        </w:rPr>
        <w:t>(</w:t>
      </w:r>
      <w:r w:rsidRPr="00EC17EC">
        <w:rPr>
          <w:rFonts w:ascii="Century Schoolbook" w:hAnsi="Century Schoolbook"/>
          <w:i/>
          <w:szCs w:val="26"/>
        </w:rPr>
        <w:t>People v. Accredited Surety &amp; Casualty Co.</w:t>
      </w:r>
      <w:r w:rsidRPr="00EC17EC">
        <w:rPr>
          <w:rFonts w:ascii="Century Schoolbook" w:hAnsi="Century Schoolbook"/>
          <w:szCs w:val="26"/>
        </w:rPr>
        <w:t xml:space="preserve"> (2004) 132 </w:t>
      </w:r>
      <w:r w:rsidRPr="00EC17EC">
        <w:rPr>
          <w:rFonts w:ascii="Century Schoolbook" w:hAnsi="Century Schoolbook"/>
          <w:szCs w:val="26"/>
        </w:rPr>
        <w:t>Cal.App.4th 1134, 1146-1147 [w</w:t>
      </w:r>
      <w:r w:rsidRPr="00EC17EC">
        <w:rPr>
          <w:rFonts w:ascii="Century Schoolbook" w:hAnsi="Century Schoolbook"/>
          <w:szCs w:val="26"/>
        </w:rPr>
        <w:t>here no “determination” “on whether to extradite” “had been made, . . . no relief [is] available” under subdivision (</w:t>
      </w:r>
      <w:r w:rsidRPr="00EC17EC">
        <w:rPr>
          <w:rFonts w:ascii="Century Schoolbook" w:hAnsi="Century Schoolbook"/>
          <w:szCs w:val="26"/>
        </w:rPr>
        <w:t>g)]; see also</w:t>
      </w:r>
      <w:r w:rsidRPr="00EC17EC">
        <w:rPr>
          <w:rFonts w:ascii="Century Schoolbook" w:hAnsi="Century Schoolbook"/>
          <w:szCs w:val="26"/>
        </w:rPr>
        <w:t xml:space="preserve"> </w:t>
      </w:r>
      <w:r w:rsidRPr="00EC17EC">
        <w:rPr>
          <w:rFonts w:ascii="Century Schoolbook" w:hAnsi="Century Schoolbook"/>
          <w:i/>
          <w:szCs w:val="26"/>
        </w:rPr>
        <w:t>Seneca</w:t>
      </w:r>
      <w:r w:rsidRPr="00EC17EC">
        <w:rPr>
          <w:rFonts w:ascii="Century Schoolbook" w:hAnsi="Century Schoolbook"/>
          <w:szCs w:val="26"/>
        </w:rPr>
        <w:t>,</w:t>
      </w:r>
      <w:r w:rsidRPr="00EC17EC">
        <w:rPr>
          <w:rFonts w:ascii="Century Schoolbook" w:hAnsi="Century Schoolbook"/>
          <w:i/>
          <w:szCs w:val="26"/>
        </w:rPr>
        <w:t xml:space="preserve"> supra</w:t>
      </w:r>
      <w:r>
        <w:rPr>
          <w:rFonts w:ascii="Century Schoolbook" w:hAnsi="Century Schoolbook"/>
          <w:szCs w:val="26"/>
        </w:rPr>
        <w:t>, 189 Cal.App.4th at </w:t>
      </w:r>
      <w:r w:rsidRPr="00EC17EC">
        <w:rPr>
          <w:rFonts w:ascii="Century Schoolbook" w:hAnsi="Century Schoolbook"/>
          <w:szCs w:val="26"/>
        </w:rPr>
        <w:t>p. 1082 [“A bail bond is not exonerated simply because the People have not completed (</w:t>
      </w:r>
      <w:r w:rsidRPr="00EC17EC">
        <w:rPr>
          <w:rFonts w:ascii="Century Schoolbook" w:hAnsi="Century Schoolbook"/>
          <w:i/>
          <w:szCs w:val="26"/>
        </w:rPr>
        <w:t>or ev</w:t>
      </w:r>
      <w:r w:rsidRPr="00EC17EC">
        <w:rPr>
          <w:rFonts w:ascii="Century Schoolbook" w:hAnsi="Century Schoolbook"/>
          <w:i/>
          <w:szCs w:val="26"/>
        </w:rPr>
        <w:t>en initiated</w:t>
      </w:r>
      <w:r w:rsidRPr="00EC17EC">
        <w:rPr>
          <w:rFonts w:ascii="Century Schoolbook" w:hAnsi="Century Schoolbook"/>
          <w:szCs w:val="26"/>
        </w:rPr>
        <w:t>) extradition of the defendant before the end</w:t>
      </w:r>
      <w:r w:rsidRPr="00EC17EC">
        <w:rPr>
          <w:rFonts w:ascii="Century Schoolbook" w:hAnsi="Century Schoolbook"/>
          <w:szCs w:val="26"/>
        </w:rPr>
        <w:t xml:space="preserve"> of the bond exoneration period</w:t>
      </w:r>
      <w:r w:rsidRPr="00EC17EC">
        <w:rPr>
          <w:rFonts w:ascii="Century Schoolbook" w:hAnsi="Century Schoolbook"/>
          <w:szCs w:val="26"/>
        </w:rPr>
        <w:t>,</w:t>
      </w:r>
      <w:r w:rsidRPr="00EC17EC">
        <w:rPr>
          <w:rFonts w:ascii="Century Schoolbook" w:hAnsi="Century Schoolbook"/>
          <w:szCs w:val="26"/>
        </w:rPr>
        <w:t>”</w:t>
      </w:r>
      <w:r w:rsidRPr="00EC17EC">
        <w:rPr>
          <w:rFonts w:ascii="Century Schoolbook" w:hAnsi="Century Schoolbook"/>
          <w:szCs w:val="26"/>
        </w:rPr>
        <w:t xml:space="preserve"> italics added</w:t>
      </w:r>
      <w:r w:rsidRPr="00EC17EC">
        <w:rPr>
          <w:rFonts w:ascii="Century Schoolbook" w:hAnsi="Century Schoolbook"/>
          <w:szCs w:val="26"/>
        </w:rPr>
        <w:t xml:space="preserve">]; </w:t>
      </w:r>
      <w:r w:rsidRPr="00EC17EC">
        <w:rPr>
          <w:rFonts w:ascii="Century Schoolbook" w:hAnsi="Century Schoolbook"/>
          <w:i/>
          <w:szCs w:val="26"/>
        </w:rPr>
        <w:t>People v. Tingcungco</w:t>
      </w:r>
      <w:r w:rsidRPr="00EC17EC">
        <w:rPr>
          <w:rFonts w:ascii="Century Schoolbook" w:hAnsi="Century Schoolbook"/>
          <w:szCs w:val="26"/>
        </w:rPr>
        <w:t xml:space="preserve"> (2015) 237 Cal.App.4th 249, 254 (</w:t>
      </w:r>
      <w:r w:rsidRPr="00EC17EC">
        <w:rPr>
          <w:rFonts w:ascii="Century Schoolbook" w:hAnsi="Century Schoolbook"/>
          <w:i/>
          <w:szCs w:val="26"/>
        </w:rPr>
        <w:t>Tingcungco</w:t>
      </w:r>
      <w:r w:rsidRPr="00EC17EC">
        <w:rPr>
          <w:rFonts w:ascii="Century Schoolbook" w:hAnsi="Century Schoolbook"/>
          <w:szCs w:val="26"/>
        </w:rPr>
        <w:t>) [same]</w:t>
      </w:r>
      <w:r w:rsidRPr="00EC17EC">
        <w:rPr>
          <w:rFonts w:ascii="Century Schoolbook" w:hAnsi="Century Schoolbook"/>
          <w:szCs w:val="26"/>
        </w:rPr>
        <w:t xml:space="preserve">; </w:t>
      </w:r>
      <w:r w:rsidRPr="00EC17EC">
        <w:rPr>
          <w:rFonts w:ascii="Century Schoolbook" w:hAnsi="Century Schoolbook"/>
          <w:i/>
          <w:szCs w:val="26"/>
        </w:rPr>
        <w:t>People v. Lexington</w:t>
      </w:r>
      <w:r w:rsidRPr="00EC17EC">
        <w:rPr>
          <w:rFonts w:ascii="Century Schoolbook" w:hAnsi="Century Schoolbook"/>
          <w:i/>
          <w:szCs w:val="26"/>
        </w:rPr>
        <w:t xml:space="preserve"> National Ins. Corp.</w:t>
      </w:r>
      <w:r w:rsidRPr="00EC17EC">
        <w:rPr>
          <w:rFonts w:ascii="Century Schoolbook" w:hAnsi="Century Schoolbook"/>
          <w:i/>
          <w:szCs w:val="26"/>
        </w:rPr>
        <w:t xml:space="preserve"> </w:t>
      </w:r>
      <w:r w:rsidRPr="00EC17EC">
        <w:rPr>
          <w:rFonts w:ascii="Century Schoolbook" w:hAnsi="Century Schoolbook"/>
          <w:szCs w:val="26"/>
        </w:rPr>
        <w:t xml:space="preserve">(2010) 181 Cal.App.4th 1485, 1491 </w:t>
      </w:r>
      <w:r w:rsidRPr="00EC17EC">
        <w:rPr>
          <w:rFonts w:ascii="Century Schoolbook" w:hAnsi="Century Schoolbook"/>
          <w:szCs w:val="26"/>
        </w:rPr>
        <w:t>[subdivision (g) “requires the exoneration of bail if the prosecut</w:t>
      </w:r>
      <w:r w:rsidRPr="00EC17EC">
        <w:rPr>
          <w:rFonts w:ascii="Century Schoolbook" w:hAnsi="Century Schoolbook"/>
          <w:szCs w:val="26"/>
        </w:rPr>
        <w:t>or</w:t>
      </w:r>
      <w:r w:rsidRPr="00EC17EC">
        <w:rPr>
          <w:rFonts w:ascii="Century Schoolbook" w:hAnsi="Century Schoolbook"/>
          <w:szCs w:val="26"/>
        </w:rPr>
        <w:t xml:space="preserve"> elects not to extradite”]</w:t>
      </w:r>
      <w:r w:rsidRPr="00EC17EC">
        <w:rPr>
          <w:rFonts w:ascii="Century Schoolbook" w:hAnsi="Century Schoolbook"/>
          <w:szCs w:val="26"/>
        </w:rPr>
        <w:t>.)  This plain language is controlling.  (</w:t>
      </w:r>
      <w:r w:rsidRPr="00EC17EC">
        <w:rPr>
          <w:rFonts w:ascii="Century Schoolbook" w:hAnsi="Century Schoolbook"/>
          <w:szCs w:val="26"/>
        </w:rPr>
        <w:t xml:space="preserve">E.g., </w:t>
      </w:r>
      <w:r w:rsidRPr="00EC17EC">
        <w:rPr>
          <w:rFonts w:ascii="Century Schoolbook" w:hAnsi="Century Schoolbook"/>
          <w:i/>
          <w:szCs w:val="26"/>
        </w:rPr>
        <w:t>Nevarrez v. San Marino Skilled Nursing &amp; Wellness Centre</w:t>
      </w:r>
      <w:r w:rsidRPr="00EC17EC">
        <w:rPr>
          <w:rFonts w:ascii="Century Schoolbook" w:hAnsi="Century Schoolbook"/>
          <w:i/>
          <w:szCs w:val="26"/>
        </w:rPr>
        <w:t>, LLC</w:t>
      </w:r>
      <w:r w:rsidRPr="00EC17EC">
        <w:rPr>
          <w:rFonts w:ascii="Century Schoolbook" w:hAnsi="Century Schoolbook"/>
          <w:szCs w:val="26"/>
        </w:rPr>
        <w:t xml:space="preserve"> (201</w:t>
      </w:r>
      <w:r w:rsidRPr="00EC17EC">
        <w:rPr>
          <w:rFonts w:ascii="Century Schoolbook" w:hAnsi="Century Schoolbook"/>
          <w:szCs w:val="26"/>
        </w:rPr>
        <w:t>3</w:t>
      </w:r>
      <w:r w:rsidRPr="00EC17EC">
        <w:rPr>
          <w:rFonts w:ascii="Century Schoolbook" w:hAnsi="Century Schoolbook"/>
          <w:szCs w:val="26"/>
        </w:rPr>
        <w:t>) 221 Cal.App.4th 102, 130 [“statutory analysis</w:t>
      </w:r>
      <w:r w:rsidRPr="00EC17EC">
        <w:rPr>
          <w:rFonts w:ascii="Century Schoolbook" w:hAnsi="Century Schoolbook"/>
          <w:szCs w:val="26"/>
        </w:rPr>
        <w:t xml:space="preserve"> begins with the plain language of the statute, and if that language is unambiguous, the inquiry ends there”].)</w:t>
      </w:r>
    </w:p>
    <w:p w:rsidR="004314F0"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 xml:space="preserve">Second, the legislative history of </w:t>
      </w:r>
      <w:r w:rsidRPr="00EC17EC">
        <w:rPr>
          <w:rFonts w:ascii="Century Schoolbook" w:hAnsi="Century Schoolbook"/>
          <w:szCs w:val="26"/>
        </w:rPr>
        <w:t>s</w:t>
      </w:r>
      <w:r w:rsidRPr="00EC17EC">
        <w:rPr>
          <w:rFonts w:ascii="Century Schoolbook" w:hAnsi="Century Schoolbook"/>
          <w:szCs w:val="26"/>
        </w:rPr>
        <w:t xml:space="preserve">ection 1305 reinforces the plain language of subdivision (g).  </w:t>
      </w:r>
      <w:r w:rsidRPr="00EC17EC">
        <w:rPr>
          <w:rFonts w:ascii="Century Schoolbook" w:hAnsi="Century Schoolbook"/>
          <w:szCs w:val="26"/>
        </w:rPr>
        <w:t xml:space="preserve">Our Legislature </w:t>
      </w:r>
      <w:r w:rsidRPr="00EC17EC">
        <w:rPr>
          <w:rFonts w:ascii="Century Schoolbook" w:hAnsi="Century Schoolbook"/>
          <w:szCs w:val="26"/>
        </w:rPr>
        <w:t xml:space="preserve">added subdivision (g) to </w:t>
      </w:r>
      <w:r w:rsidRPr="00EC17EC">
        <w:rPr>
          <w:rFonts w:ascii="Century Schoolbook" w:hAnsi="Century Schoolbook"/>
          <w:szCs w:val="26"/>
        </w:rPr>
        <w:t>s</w:t>
      </w:r>
      <w:r w:rsidRPr="00EC17EC">
        <w:rPr>
          <w:rFonts w:ascii="Century Schoolbook" w:hAnsi="Century Schoolbook"/>
          <w:szCs w:val="26"/>
        </w:rPr>
        <w:t>ec</w:t>
      </w:r>
      <w:r w:rsidRPr="00EC17EC">
        <w:rPr>
          <w:rFonts w:ascii="Century Schoolbook" w:hAnsi="Century Schoolbook"/>
          <w:szCs w:val="26"/>
        </w:rPr>
        <w:t>tion 1305 in 1995 to address a “recurring</w:t>
      </w:r>
      <w:r w:rsidRPr="00EC17EC">
        <w:rPr>
          <w:rFonts w:ascii="Century Schoolbook" w:hAnsi="Century Schoolbook"/>
          <w:szCs w:val="26"/>
        </w:rPr>
        <w:t>” chicken-and-egg</w:t>
      </w:r>
      <w:r w:rsidRPr="00EC17EC">
        <w:rPr>
          <w:rFonts w:ascii="Century Schoolbook" w:hAnsi="Century Schoolbook"/>
          <w:szCs w:val="26"/>
        </w:rPr>
        <w:t xml:space="preserve"> </w:t>
      </w:r>
      <w:r w:rsidRPr="00EC17EC">
        <w:rPr>
          <w:rFonts w:ascii="Century Schoolbook" w:hAnsi="Century Schoolbook"/>
          <w:szCs w:val="26"/>
        </w:rPr>
        <w:t>“</w:t>
      </w:r>
      <w:r w:rsidRPr="00EC17EC">
        <w:rPr>
          <w:rFonts w:ascii="Century Schoolbook" w:hAnsi="Century Schoolbook"/>
          <w:szCs w:val="26"/>
        </w:rPr>
        <w:t>problem</w:t>
      </w:r>
      <w:r w:rsidRPr="00EC17EC">
        <w:rPr>
          <w:rFonts w:ascii="Century Schoolbook" w:hAnsi="Century Schoolbook"/>
          <w:szCs w:val="26"/>
        </w:rPr>
        <w:t>”</w:t>
      </w:r>
      <w:r w:rsidRPr="00EC17EC">
        <w:rPr>
          <w:rFonts w:ascii="Century Schoolbook" w:hAnsi="Century Schoolbook"/>
          <w:szCs w:val="26"/>
        </w:rPr>
        <w:t>:</w:t>
      </w:r>
      <w:r w:rsidRPr="00EC17EC">
        <w:rPr>
          <w:rFonts w:ascii="Century Schoolbook" w:hAnsi="Century Schoolbook"/>
          <w:szCs w:val="26"/>
        </w:rPr>
        <w:t xml:space="preserve">  A surety was entitled to relief if it located a defendant</w:t>
      </w:r>
      <w:r w:rsidRPr="00EC17EC">
        <w:rPr>
          <w:rFonts w:ascii="Century Schoolbook" w:hAnsi="Century Schoolbook"/>
          <w:szCs w:val="26"/>
        </w:rPr>
        <w:t xml:space="preserve"> </w:t>
      </w:r>
      <w:r w:rsidRPr="00EC17EC">
        <w:rPr>
          <w:rFonts w:ascii="Century Schoolbook" w:hAnsi="Century Schoolbook"/>
          <w:szCs w:val="26"/>
        </w:rPr>
        <w:t xml:space="preserve">who </w:t>
      </w:r>
      <w:r w:rsidRPr="00EC17EC">
        <w:rPr>
          <w:rFonts w:ascii="Century Schoolbook" w:hAnsi="Century Schoolbook"/>
          <w:szCs w:val="26"/>
        </w:rPr>
        <w:t>happened to be</w:t>
      </w:r>
      <w:r w:rsidRPr="00EC17EC">
        <w:rPr>
          <w:rFonts w:ascii="Century Schoolbook" w:hAnsi="Century Schoolbook"/>
          <w:szCs w:val="26"/>
        </w:rPr>
        <w:t xml:space="preserve"> “in custody” in another jurisdiction (§ 1305, subd. (f)), but </w:t>
      </w:r>
      <w:r w:rsidRPr="00EC17EC">
        <w:rPr>
          <w:rFonts w:ascii="Century Schoolbook" w:hAnsi="Century Schoolbook"/>
          <w:szCs w:val="26"/>
        </w:rPr>
        <w:t xml:space="preserve">not if </w:t>
      </w:r>
      <w:r w:rsidRPr="00EC17EC">
        <w:rPr>
          <w:rFonts w:ascii="Century Schoolbook" w:hAnsi="Century Schoolbook"/>
          <w:szCs w:val="26"/>
        </w:rPr>
        <w:t>the</w:t>
      </w:r>
      <w:r w:rsidRPr="00EC17EC">
        <w:rPr>
          <w:rFonts w:ascii="Century Schoolbook" w:hAnsi="Century Schoolbook"/>
          <w:szCs w:val="26"/>
        </w:rPr>
        <w:t xml:space="preserve"> defendant </w:t>
      </w:r>
      <w:r w:rsidRPr="00EC17EC">
        <w:rPr>
          <w:rFonts w:ascii="Century Schoolbook" w:hAnsi="Century Schoolbook"/>
          <w:szCs w:val="26"/>
        </w:rPr>
        <w:t>was</w:t>
      </w:r>
      <w:r w:rsidRPr="00EC17EC">
        <w:rPr>
          <w:rFonts w:ascii="Century Schoolbook" w:hAnsi="Century Schoolbook"/>
          <w:szCs w:val="26"/>
        </w:rPr>
        <w:t xml:space="preserve"> </w:t>
      </w:r>
      <w:r w:rsidRPr="00EC17EC">
        <w:rPr>
          <w:rFonts w:ascii="Century Schoolbook" w:hAnsi="Century Schoolbook"/>
          <w:szCs w:val="26"/>
        </w:rPr>
        <w:t xml:space="preserve">out of custody </w:t>
      </w:r>
      <w:r w:rsidRPr="00EC17EC">
        <w:rPr>
          <w:rFonts w:ascii="Century Schoolbook" w:hAnsi="Century Schoolbook"/>
          <w:szCs w:val="26"/>
        </w:rPr>
        <w:t xml:space="preserve">in that jurisdiction </w:t>
      </w:r>
      <w:r>
        <w:rPr>
          <w:rFonts w:ascii="Century Schoolbook" w:hAnsi="Century Schoolbook"/>
          <w:szCs w:val="26"/>
        </w:rPr>
        <w:t>(and</w:t>
      </w:r>
      <w:r w:rsidRPr="00EC17EC">
        <w:rPr>
          <w:rFonts w:ascii="Century Schoolbook" w:hAnsi="Century Schoolbook"/>
          <w:szCs w:val="26"/>
        </w:rPr>
        <w:t xml:space="preserve"> few jurisdictions would arrest a defendant</w:t>
      </w:r>
      <w:r>
        <w:rPr>
          <w:rFonts w:ascii="Century Schoolbook" w:hAnsi="Century Schoolbook"/>
          <w:szCs w:val="26"/>
        </w:rPr>
        <w:t xml:space="preserve">, </w:t>
      </w:r>
      <w:r w:rsidRPr="00EC17EC">
        <w:rPr>
          <w:rFonts w:ascii="Century Schoolbook" w:hAnsi="Century Schoolbook"/>
          <w:szCs w:val="26"/>
        </w:rPr>
        <w:t>and thereby place him “in custody</w:t>
      </w:r>
      <w:r>
        <w:rPr>
          <w:rFonts w:ascii="Century Schoolbook" w:hAnsi="Century Schoolbook"/>
          <w:szCs w:val="26"/>
        </w:rPr>
        <w:t>,”</w:t>
      </w:r>
      <w:r w:rsidRPr="00EC17EC">
        <w:rPr>
          <w:rFonts w:ascii="Century Schoolbook" w:hAnsi="Century Schoolbook"/>
          <w:szCs w:val="26"/>
        </w:rPr>
        <w:t xml:space="preserve"> absent a pending extradition request</w:t>
      </w:r>
      <w:r>
        <w:rPr>
          <w:rFonts w:ascii="Century Schoolbook" w:hAnsi="Century Schoolbook"/>
          <w:szCs w:val="26"/>
        </w:rPr>
        <w:t>)</w:t>
      </w:r>
      <w:r w:rsidRPr="00EC17EC">
        <w:rPr>
          <w:rFonts w:ascii="Century Schoolbook" w:hAnsi="Century Schoolbook"/>
          <w:szCs w:val="26"/>
        </w:rPr>
        <w:t>.  (Assem. Com</w:t>
      </w:r>
      <w:r w:rsidRPr="00EC17EC">
        <w:rPr>
          <w:rFonts w:ascii="Century Schoolbook" w:hAnsi="Century Schoolbook"/>
          <w:szCs w:val="26"/>
        </w:rPr>
        <w:t xml:space="preserve">. </w:t>
      </w:r>
      <w:r w:rsidRPr="00EC17EC">
        <w:rPr>
          <w:rFonts w:ascii="Century Schoolbook" w:hAnsi="Century Schoolbook"/>
          <w:szCs w:val="26"/>
        </w:rPr>
        <w:t>on Public</w:t>
      </w:r>
      <w:r w:rsidRPr="00EC17EC">
        <w:rPr>
          <w:rFonts w:ascii="Century Schoolbook" w:hAnsi="Century Schoolbook"/>
          <w:szCs w:val="26"/>
        </w:rPr>
        <w:t xml:space="preserve"> Safety</w:t>
      </w:r>
      <w:r w:rsidRPr="00EC17EC">
        <w:rPr>
          <w:rFonts w:ascii="Century Schoolbook" w:hAnsi="Century Schoolbook"/>
          <w:szCs w:val="26"/>
        </w:rPr>
        <w:t xml:space="preserve">, </w:t>
      </w:r>
      <w:r w:rsidRPr="00EC17EC">
        <w:rPr>
          <w:rFonts w:ascii="Century Schoolbook" w:hAnsi="Century Schoolbook"/>
          <w:szCs w:val="26"/>
        </w:rPr>
        <w:t>Analysis of</w:t>
      </w:r>
      <w:r w:rsidRPr="00EC17EC">
        <w:rPr>
          <w:rFonts w:ascii="Century Schoolbook" w:hAnsi="Century Schoolbook"/>
          <w:szCs w:val="26"/>
        </w:rPr>
        <w:t xml:space="preserve"> </w:t>
      </w:r>
      <w:r w:rsidRPr="00EC17EC">
        <w:rPr>
          <w:rFonts w:ascii="Century Schoolbook" w:hAnsi="Century Schoolbook"/>
          <w:szCs w:val="26"/>
        </w:rPr>
        <w:t xml:space="preserve">Sen. Bill No. 1245 (1995-1996 Reg. Sess.) </w:t>
      </w:r>
      <w:r>
        <w:rPr>
          <w:rFonts w:ascii="Century Schoolbook" w:hAnsi="Century Schoolbook"/>
          <w:szCs w:val="26"/>
        </w:rPr>
        <w:t>July </w:t>
      </w:r>
      <w:r w:rsidRPr="00EC17EC">
        <w:rPr>
          <w:rFonts w:ascii="Century Schoolbook" w:hAnsi="Century Schoolbook"/>
          <w:szCs w:val="26"/>
        </w:rPr>
        <w:t>11</w:t>
      </w:r>
      <w:r>
        <w:rPr>
          <w:rFonts w:ascii="Century Schoolbook" w:hAnsi="Century Schoolbook"/>
          <w:szCs w:val="26"/>
        </w:rPr>
        <w:t>, </w:t>
      </w:r>
      <w:r w:rsidRPr="00EC17EC">
        <w:rPr>
          <w:rFonts w:ascii="Century Schoolbook" w:hAnsi="Century Schoolbook"/>
          <w:szCs w:val="26"/>
        </w:rPr>
        <w:t xml:space="preserve">1995, </w:t>
      </w:r>
      <w:r w:rsidRPr="00EC17EC">
        <w:rPr>
          <w:rFonts w:ascii="Century Schoolbook" w:hAnsi="Century Schoolbook"/>
          <w:szCs w:val="26"/>
        </w:rPr>
        <w:t xml:space="preserve">p. </w:t>
      </w:r>
      <w:r w:rsidRPr="00EC17EC">
        <w:rPr>
          <w:rFonts w:ascii="Century Schoolbook" w:hAnsi="Century Schoolbook"/>
          <w:szCs w:val="26"/>
        </w:rPr>
        <w:t>5</w:t>
      </w:r>
      <w:r w:rsidRPr="00EC17EC">
        <w:rPr>
          <w:rFonts w:ascii="Century Schoolbook" w:hAnsi="Century Schoolbook"/>
          <w:szCs w:val="26"/>
        </w:rPr>
        <w:t xml:space="preserve">; </w:t>
      </w:r>
      <w:r w:rsidRPr="00EC17EC">
        <w:rPr>
          <w:rFonts w:ascii="Century Schoolbook" w:hAnsi="Century Schoolbook"/>
          <w:i/>
          <w:szCs w:val="26"/>
        </w:rPr>
        <w:t>Peop</w:t>
      </w:r>
      <w:r w:rsidRPr="00EC17EC">
        <w:rPr>
          <w:rFonts w:ascii="Century Schoolbook" w:hAnsi="Century Schoolbook"/>
          <w:i/>
          <w:szCs w:val="26"/>
        </w:rPr>
        <w:t xml:space="preserve">le v. </w:t>
      </w:r>
      <w:r w:rsidRPr="00EC17EC">
        <w:rPr>
          <w:rFonts w:ascii="Century Schoolbook" w:hAnsi="Century Schoolbook"/>
          <w:i/>
          <w:szCs w:val="26"/>
        </w:rPr>
        <w:t>Frontier Pacific</w:t>
      </w:r>
      <w:r w:rsidRPr="00EC17EC">
        <w:rPr>
          <w:rFonts w:ascii="Century Schoolbook" w:hAnsi="Century Schoolbook"/>
          <w:i/>
          <w:szCs w:val="26"/>
        </w:rPr>
        <w:t xml:space="preserve"> Ins. Co.</w:t>
      </w:r>
      <w:r w:rsidRPr="00EC17EC">
        <w:rPr>
          <w:rFonts w:ascii="Century Schoolbook" w:hAnsi="Century Schoolbook"/>
          <w:szCs w:val="26"/>
        </w:rPr>
        <w:t xml:space="preserve"> (</w:t>
      </w:r>
      <w:r>
        <w:rPr>
          <w:rFonts w:ascii="Century Schoolbook" w:hAnsi="Century Schoolbook"/>
          <w:szCs w:val="26"/>
        </w:rPr>
        <w:t>1999) 69 </w:t>
      </w:r>
      <w:r w:rsidRPr="00EC17EC">
        <w:rPr>
          <w:rFonts w:ascii="Century Schoolbook" w:hAnsi="Century Schoolbook"/>
          <w:szCs w:val="26"/>
        </w:rPr>
        <w:t>Cal.App.4th 1093, 1096 (</w:t>
      </w:r>
      <w:r w:rsidRPr="00EC17EC">
        <w:rPr>
          <w:rFonts w:ascii="Century Schoolbook" w:hAnsi="Century Schoolbook"/>
          <w:i/>
          <w:szCs w:val="26"/>
        </w:rPr>
        <w:t>Frontier</w:t>
      </w:r>
      <w:r w:rsidRPr="00EC17EC">
        <w:rPr>
          <w:rFonts w:ascii="Century Schoolbook" w:hAnsi="Century Schoolbook"/>
          <w:szCs w:val="26"/>
        </w:rPr>
        <w:t xml:space="preserve">) </w:t>
      </w:r>
      <w:r w:rsidRPr="00EC17EC">
        <w:rPr>
          <w:rFonts w:ascii="Century Schoolbook" w:hAnsi="Century Schoolbook"/>
          <w:szCs w:val="26"/>
        </w:rPr>
        <w:t>[so noting].)  Subdivision (g) addressed this disparity in part</w:t>
      </w:r>
      <w:r w:rsidRPr="00EC17EC">
        <w:rPr>
          <w:rFonts w:ascii="Century Schoolbook" w:hAnsi="Century Schoolbook"/>
          <w:szCs w:val="26"/>
        </w:rPr>
        <w:t xml:space="preserve"> by extending </w:t>
      </w:r>
      <w:r>
        <w:rPr>
          <w:rFonts w:ascii="Century Schoolbook" w:hAnsi="Century Schoolbook"/>
          <w:szCs w:val="26"/>
        </w:rPr>
        <w:t xml:space="preserve">relief to sureties that locate </w:t>
      </w:r>
      <w:r w:rsidRPr="00EC17EC">
        <w:rPr>
          <w:rFonts w:ascii="Century Schoolbook" w:hAnsi="Century Schoolbook"/>
          <w:szCs w:val="26"/>
        </w:rPr>
        <w:t xml:space="preserve">an </w:t>
      </w:r>
      <w:r w:rsidRPr="00DB6C40">
        <w:rPr>
          <w:rFonts w:ascii="Century Schoolbook" w:hAnsi="Century Schoolbook"/>
          <w:i/>
          <w:szCs w:val="26"/>
        </w:rPr>
        <w:t>out-of-custody</w:t>
      </w:r>
      <w:r w:rsidRPr="00EC17EC">
        <w:rPr>
          <w:rFonts w:ascii="Century Schoolbook" w:hAnsi="Century Schoolbook"/>
          <w:szCs w:val="26"/>
        </w:rPr>
        <w:t xml:space="preserve"> defendant in a foreign state or country “when the district att</w:t>
      </w:r>
      <w:r>
        <w:rPr>
          <w:rFonts w:ascii="Century Schoolbook" w:hAnsi="Century Schoolbook"/>
          <w:szCs w:val="26"/>
        </w:rPr>
        <w:t>orney chooses not to extradite [that]</w:t>
      </w:r>
      <w:r w:rsidRPr="00EC17EC">
        <w:rPr>
          <w:rFonts w:ascii="Century Schoolbook" w:hAnsi="Century Schoolbook"/>
          <w:szCs w:val="26"/>
        </w:rPr>
        <w:t xml:space="preserve"> defendant,” thereby giving </w:t>
      </w:r>
      <w:r w:rsidRPr="00EC17EC">
        <w:rPr>
          <w:rFonts w:ascii="Century Schoolbook" w:hAnsi="Century Schoolbook"/>
          <w:szCs w:val="26"/>
        </w:rPr>
        <w:t xml:space="preserve">sureties a financial incentive to track down </w:t>
      </w:r>
      <w:r w:rsidRPr="00EC17EC">
        <w:rPr>
          <w:rFonts w:ascii="Century Schoolbook" w:hAnsi="Century Schoolbook"/>
          <w:szCs w:val="26"/>
        </w:rPr>
        <w:t xml:space="preserve">defendants, whether or not they </w:t>
      </w:r>
      <w:r w:rsidRPr="00EC17EC">
        <w:rPr>
          <w:rFonts w:ascii="Century Schoolbook" w:hAnsi="Century Schoolbook"/>
          <w:szCs w:val="26"/>
        </w:rPr>
        <w:t>happened to be</w:t>
      </w:r>
      <w:r w:rsidRPr="00EC17EC">
        <w:rPr>
          <w:rFonts w:ascii="Century Schoolbook" w:hAnsi="Century Schoolbook"/>
          <w:szCs w:val="26"/>
        </w:rPr>
        <w:t xml:space="preserve"> in custody</w:t>
      </w:r>
      <w:r w:rsidRPr="00EC17EC">
        <w:rPr>
          <w:rFonts w:ascii="Century Schoolbook" w:hAnsi="Century Schoolbook"/>
          <w:szCs w:val="26"/>
        </w:rPr>
        <w:t xml:space="preserve">.  </w:t>
      </w:r>
      <w:r w:rsidRPr="00EC17EC">
        <w:rPr>
          <w:rFonts w:ascii="Century Schoolbook" w:hAnsi="Century Schoolbook"/>
          <w:szCs w:val="26"/>
        </w:rPr>
        <w:t>(</w:t>
      </w:r>
      <w:r w:rsidRPr="00EC17EC">
        <w:rPr>
          <w:rFonts w:ascii="Century Schoolbook" w:hAnsi="Century Schoolbook"/>
          <w:szCs w:val="26"/>
        </w:rPr>
        <w:t xml:space="preserve">Assem. Com. on Public </w:t>
      </w:r>
      <w:r w:rsidRPr="00EC17EC">
        <w:rPr>
          <w:rFonts w:ascii="Century Schoolbook" w:hAnsi="Century Schoolbook"/>
          <w:szCs w:val="26"/>
        </w:rPr>
        <w:t xml:space="preserve">Safety, Analysis of Sen. Bill No. 1245 (1995-1996 Reg. Sess.) </w:t>
      </w:r>
      <w:r w:rsidRPr="00EC17EC">
        <w:rPr>
          <w:rFonts w:ascii="Century Schoolbook" w:hAnsi="Century Schoolbook"/>
          <w:szCs w:val="26"/>
        </w:rPr>
        <w:t>July</w:t>
      </w:r>
      <w:r w:rsidRPr="00EC17EC">
        <w:rPr>
          <w:rFonts w:ascii="Century Schoolbook" w:hAnsi="Century Schoolbook"/>
          <w:szCs w:val="26"/>
        </w:rPr>
        <w:t xml:space="preserve"> 1</w:t>
      </w:r>
      <w:r w:rsidRPr="00EC17EC">
        <w:rPr>
          <w:rFonts w:ascii="Century Schoolbook" w:hAnsi="Century Schoolbook"/>
          <w:szCs w:val="26"/>
        </w:rPr>
        <w:t>1</w:t>
      </w:r>
      <w:r w:rsidRPr="00EC17EC">
        <w:rPr>
          <w:rFonts w:ascii="Century Schoolbook" w:hAnsi="Century Schoolbook"/>
          <w:szCs w:val="26"/>
        </w:rPr>
        <w:t>, 1995, pp. 6-7</w:t>
      </w:r>
      <w:r w:rsidRPr="00EC17EC">
        <w:rPr>
          <w:rFonts w:ascii="Century Schoolbook" w:hAnsi="Century Schoolbook"/>
          <w:szCs w:val="26"/>
        </w:rPr>
        <w:t>; see also Assem</w:t>
      </w:r>
      <w:r w:rsidRPr="00EC17EC">
        <w:rPr>
          <w:rFonts w:ascii="Century Schoolbook" w:hAnsi="Century Schoolbook"/>
          <w:szCs w:val="26"/>
        </w:rPr>
        <w:t xml:space="preserve">. </w:t>
      </w:r>
      <w:r w:rsidRPr="00EC17EC">
        <w:rPr>
          <w:rFonts w:ascii="Century Schoolbook" w:hAnsi="Century Schoolbook"/>
          <w:szCs w:val="26"/>
        </w:rPr>
        <w:t>Com. on Public Safety, 3d reading analysis of</w:t>
      </w:r>
      <w:r w:rsidRPr="00EC17EC">
        <w:rPr>
          <w:rFonts w:ascii="Century Schoolbook" w:hAnsi="Century Schoolbook"/>
          <w:szCs w:val="26"/>
        </w:rPr>
        <w:t xml:space="preserve"> Sen. Bill No. 1245 (1995-1996 Reg. Sess.)</w:t>
      </w:r>
      <w:r w:rsidRPr="00EC17EC">
        <w:rPr>
          <w:rFonts w:ascii="Century Schoolbook" w:hAnsi="Century Schoolbook"/>
          <w:szCs w:val="26"/>
        </w:rPr>
        <w:t xml:space="preserve"> as amended July 15, 1995,</w:t>
      </w:r>
      <w:r w:rsidRPr="00EC17EC">
        <w:rPr>
          <w:rFonts w:ascii="Century Schoolbook" w:hAnsi="Century Schoolbook"/>
          <w:szCs w:val="26"/>
        </w:rPr>
        <w:t xml:space="preserve"> p</w:t>
      </w:r>
      <w:r w:rsidRPr="00EC17EC">
        <w:rPr>
          <w:rFonts w:ascii="Century Schoolbook" w:hAnsi="Century Schoolbook"/>
          <w:szCs w:val="26"/>
        </w:rPr>
        <w:t>p</w:t>
      </w:r>
      <w:r w:rsidRPr="00EC17EC">
        <w:rPr>
          <w:rFonts w:ascii="Century Schoolbook" w:hAnsi="Century Schoolbook"/>
          <w:szCs w:val="26"/>
        </w:rPr>
        <w:t>. 1</w:t>
      </w:r>
      <w:r w:rsidRPr="00EC17EC">
        <w:rPr>
          <w:rFonts w:ascii="Century Schoolbook" w:hAnsi="Century Schoolbook"/>
          <w:szCs w:val="26"/>
        </w:rPr>
        <w:t>-2</w:t>
      </w:r>
      <w:r w:rsidRPr="00EC17EC">
        <w:rPr>
          <w:rFonts w:ascii="Century Schoolbook" w:hAnsi="Century Schoolbook"/>
          <w:szCs w:val="26"/>
        </w:rPr>
        <w:t xml:space="preserve">.)  The legislative history says </w:t>
      </w:r>
      <w:r w:rsidRPr="00EC17EC">
        <w:rPr>
          <w:rFonts w:ascii="Century Schoolbook" w:hAnsi="Century Schoolbook"/>
          <w:szCs w:val="26"/>
        </w:rPr>
        <w:t xml:space="preserve">nothing about </w:t>
      </w:r>
      <w:r w:rsidRPr="00EC17EC">
        <w:rPr>
          <w:rFonts w:ascii="Century Schoolbook" w:hAnsi="Century Schoolbook"/>
          <w:i/>
          <w:szCs w:val="26"/>
        </w:rPr>
        <w:t>how</w:t>
      </w:r>
      <w:r w:rsidRPr="00EC17EC">
        <w:rPr>
          <w:rFonts w:ascii="Century Schoolbook" w:hAnsi="Century Schoolbook"/>
          <w:szCs w:val="26"/>
        </w:rPr>
        <w:t xml:space="preserve"> </w:t>
      </w:r>
      <w:r w:rsidRPr="00EC17EC">
        <w:rPr>
          <w:rFonts w:ascii="Century Schoolbook" w:hAnsi="Century Schoolbook"/>
          <w:szCs w:val="26"/>
        </w:rPr>
        <w:t>a prosecuting agency</w:t>
      </w:r>
      <w:r w:rsidRPr="00EC17EC">
        <w:rPr>
          <w:rFonts w:ascii="Century Schoolbook" w:hAnsi="Century Schoolbook"/>
          <w:szCs w:val="26"/>
        </w:rPr>
        <w:t xml:space="preserve"> is to make its choice and nothing about </w:t>
      </w:r>
      <w:r w:rsidRPr="00EC17EC">
        <w:rPr>
          <w:rFonts w:ascii="Century Schoolbook" w:hAnsi="Century Schoolbook"/>
          <w:i/>
          <w:szCs w:val="26"/>
        </w:rPr>
        <w:t>when</w:t>
      </w:r>
      <w:r w:rsidRPr="00EC17EC">
        <w:rPr>
          <w:rFonts w:ascii="Century Schoolbook" w:hAnsi="Century Schoolbook"/>
          <w:szCs w:val="26"/>
        </w:rPr>
        <w:t xml:space="preserve"> it must do so.  Indeed, our Legislature rejected language in a 2012 bill that would have entitled a surety to relief from forfeiture if </w:t>
      </w:r>
      <w:r w:rsidRPr="00EC17EC">
        <w:rPr>
          <w:rFonts w:ascii="Century Schoolbook" w:hAnsi="Century Schoolbook"/>
          <w:szCs w:val="26"/>
        </w:rPr>
        <w:t>the prosecuting agency</w:t>
      </w:r>
      <w:r w:rsidRPr="00EC17EC">
        <w:rPr>
          <w:rFonts w:ascii="Century Schoolbook" w:hAnsi="Century Schoolbook"/>
          <w:szCs w:val="26"/>
        </w:rPr>
        <w:t xml:space="preserve"> did not make </w:t>
      </w:r>
      <w:r w:rsidRPr="00EC17EC">
        <w:rPr>
          <w:rFonts w:ascii="Century Schoolbook" w:hAnsi="Century Schoolbook"/>
          <w:szCs w:val="26"/>
        </w:rPr>
        <w:t>“an extradition decision within a reasonable period of time after recei</w:t>
      </w:r>
      <w:r w:rsidRPr="00EC17EC">
        <w:rPr>
          <w:rFonts w:ascii="Century Schoolbook" w:hAnsi="Century Schoolbook"/>
          <w:szCs w:val="26"/>
        </w:rPr>
        <w:t>pt</w:t>
      </w:r>
      <w:r>
        <w:rPr>
          <w:rFonts w:ascii="Century Schoolbook" w:hAnsi="Century Schoolbook"/>
          <w:szCs w:val="26"/>
        </w:rPr>
        <w:t xml:space="preserve"> of the affidavit.”  (Sen. </w:t>
      </w:r>
      <w:r w:rsidRPr="00EC17EC">
        <w:rPr>
          <w:rFonts w:ascii="Century Schoolbook" w:hAnsi="Century Schoolbook"/>
          <w:szCs w:val="26"/>
        </w:rPr>
        <w:t xml:space="preserve">Bill </w:t>
      </w:r>
      <w:r w:rsidRPr="00EC17EC">
        <w:rPr>
          <w:rFonts w:ascii="Century Schoolbook" w:hAnsi="Century Schoolbook"/>
          <w:szCs w:val="26"/>
        </w:rPr>
        <w:t xml:space="preserve">No. </w:t>
      </w:r>
      <w:r w:rsidRPr="00EC17EC">
        <w:rPr>
          <w:rFonts w:ascii="Century Schoolbook" w:hAnsi="Century Schoolbook"/>
          <w:szCs w:val="26"/>
        </w:rPr>
        <w:t xml:space="preserve">989 (2011-2012 </w:t>
      </w:r>
      <w:r w:rsidRPr="00EC17EC">
        <w:rPr>
          <w:rFonts w:ascii="Century Schoolbook" w:hAnsi="Century Schoolbook"/>
          <w:szCs w:val="26"/>
        </w:rPr>
        <w:t>Reg. Sess.) as introduced Feb. 1, 2012</w:t>
      </w:r>
      <w:r w:rsidRPr="00EC17EC">
        <w:rPr>
          <w:rFonts w:ascii="Century Schoolbook" w:hAnsi="Century Schoolbook"/>
          <w:szCs w:val="26"/>
        </w:rPr>
        <w:t xml:space="preserve">; see also </w:t>
      </w:r>
      <w:r w:rsidRPr="00EC17EC">
        <w:rPr>
          <w:rFonts w:ascii="Century Schoolbook" w:hAnsi="Century Schoolbook"/>
          <w:i/>
          <w:szCs w:val="26"/>
        </w:rPr>
        <w:t>Tingcungco</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237 Cal.App.4th at pp. 254-258 [discussing this bill]</w:t>
      </w:r>
      <w:r w:rsidRPr="00EC17EC">
        <w:rPr>
          <w:rFonts w:ascii="Century Schoolbook" w:hAnsi="Century Schoolbook"/>
          <w:szCs w:val="26"/>
        </w:rPr>
        <w:t xml:space="preserve">.)  </w:t>
      </w:r>
      <w:r w:rsidRPr="00EC17EC">
        <w:rPr>
          <w:rFonts w:ascii="Century Schoolbook" w:hAnsi="Century Schoolbook"/>
          <w:szCs w:val="26"/>
        </w:rPr>
        <w:t xml:space="preserve">We </w:t>
      </w:r>
      <w:r w:rsidRPr="00EC17EC">
        <w:rPr>
          <w:rFonts w:ascii="Century Schoolbook" w:hAnsi="Century Schoolbook"/>
          <w:szCs w:val="26"/>
        </w:rPr>
        <w:t>hesitate</w:t>
      </w:r>
      <w:r w:rsidRPr="00EC17EC">
        <w:rPr>
          <w:rFonts w:ascii="Century Schoolbook" w:hAnsi="Century Schoolbook"/>
          <w:szCs w:val="26"/>
        </w:rPr>
        <w:t xml:space="preserve"> to read into </w:t>
      </w:r>
      <w:r w:rsidRPr="00EC17EC">
        <w:rPr>
          <w:rFonts w:ascii="Century Schoolbook" w:hAnsi="Century Schoolbook"/>
          <w:szCs w:val="26"/>
        </w:rPr>
        <w:t>s</w:t>
      </w:r>
      <w:r w:rsidRPr="00EC17EC">
        <w:rPr>
          <w:rFonts w:ascii="Century Schoolbook" w:hAnsi="Century Schoolbook"/>
          <w:szCs w:val="26"/>
        </w:rPr>
        <w:t xml:space="preserve">ection 1305 constraints on the prosecuting agency’s decision-making process </w:t>
      </w:r>
      <w:r w:rsidRPr="00EC17EC">
        <w:rPr>
          <w:rFonts w:ascii="Century Schoolbook" w:hAnsi="Century Schoolbook"/>
          <w:szCs w:val="26"/>
        </w:rPr>
        <w:t>when</w:t>
      </w:r>
      <w:r w:rsidRPr="00EC17EC">
        <w:rPr>
          <w:rFonts w:ascii="Century Schoolbook" w:hAnsi="Century Schoolbook"/>
          <w:szCs w:val="26"/>
        </w:rPr>
        <w:t xml:space="preserve"> our Legislature has </w:t>
      </w:r>
      <w:r w:rsidRPr="00EC17EC">
        <w:rPr>
          <w:rFonts w:ascii="Century Schoolbook" w:hAnsi="Century Schoolbook"/>
          <w:szCs w:val="26"/>
        </w:rPr>
        <w:t xml:space="preserve">declined to </w:t>
      </w:r>
      <w:r w:rsidRPr="00EC17EC">
        <w:rPr>
          <w:rFonts w:ascii="Century Schoolbook" w:hAnsi="Century Schoolbook"/>
          <w:szCs w:val="26"/>
        </w:rPr>
        <w:t>do so</w:t>
      </w:r>
      <w:r w:rsidRPr="00EC17EC">
        <w:rPr>
          <w:rFonts w:ascii="Century Schoolbook" w:hAnsi="Century Schoolbook"/>
          <w:szCs w:val="26"/>
        </w:rPr>
        <w:t>.  (</w:t>
      </w:r>
      <w:r w:rsidRPr="00EC17EC">
        <w:rPr>
          <w:rFonts w:ascii="Century Schoolbook" w:hAnsi="Century Schoolbook"/>
          <w:i/>
          <w:szCs w:val="26"/>
        </w:rPr>
        <w:t xml:space="preserve">Gikas v. Zolin </w:t>
      </w:r>
      <w:r w:rsidRPr="00EC17EC">
        <w:rPr>
          <w:rFonts w:ascii="Century Schoolbook" w:hAnsi="Century Schoolbook"/>
          <w:szCs w:val="26"/>
        </w:rPr>
        <w:t>(1993) 6 Cal.4th 841, 861-862 [“a statute cannot be interpreted to include what was specifically</w:t>
      </w:r>
      <w:r w:rsidRPr="00EC17EC">
        <w:rPr>
          <w:rFonts w:ascii="Century Schoolbook" w:hAnsi="Century Schoolbook"/>
          <w:szCs w:val="26"/>
        </w:rPr>
        <w:t xml:space="preserve"> excluded in the drafting process”]; </w:t>
      </w:r>
      <w:r w:rsidRPr="00EC17EC">
        <w:rPr>
          <w:rFonts w:ascii="Century Schoolbook" w:hAnsi="Century Schoolbook"/>
          <w:i/>
          <w:szCs w:val="26"/>
        </w:rPr>
        <w:t>People v. Hunt</w:t>
      </w:r>
      <w:r w:rsidRPr="00EC17EC">
        <w:rPr>
          <w:rFonts w:ascii="Century Schoolbook" w:hAnsi="Century Schoolbook"/>
          <w:szCs w:val="26"/>
        </w:rPr>
        <w:t xml:space="preserve"> (1999) 74 Cal.Ap</w:t>
      </w:r>
      <w:r w:rsidRPr="00EC17EC">
        <w:rPr>
          <w:rFonts w:ascii="Century Schoolbook" w:hAnsi="Century Schoolbook"/>
          <w:szCs w:val="26"/>
        </w:rPr>
        <w:t>p</w:t>
      </w:r>
      <w:r w:rsidRPr="00EC17EC">
        <w:rPr>
          <w:rFonts w:ascii="Century Schoolbook" w:hAnsi="Century Schoolbook"/>
          <w:szCs w:val="26"/>
        </w:rPr>
        <w:t>.4th 939, 947</w:t>
      </w:r>
      <w:r w:rsidRPr="00EC17EC">
        <w:rPr>
          <w:rFonts w:ascii="Century Schoolbook" w:hAnsi="Century Schoolbook"/>
          <w:szCs w:val="26"/>
        </w:rPr>
        <w:t>-948</w:t>
      </w:r>
      <w:r w:rsidRPr="00EC17EC">
        <w:rPr>
          <w:rFonts w:ascii="Century Schoolbook" w:hAnsi="Century Schoolbook"/>
          <w:szCs w:val="26"/>
        </w:rPr>
        <w:t>.)</w:t>
      </w:r>
    </w:p>
    <w:p w:rsidR="006E0531"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 xml:space="preserve">Third, </w:t>
      </w:r>
      <w:r w:rsidRPr="00EC17EC">
        <w:rPr>
          <w:rFonts w:ascii="Century Schoolbook" w:hAnsi="Century Schoolbook"/>
          <w:szCs w:val="26"/>
        </w:rPr>
        <w:t xml:space="preserve">courts have consistently read subdivision (g) of </w:t>
      </w:r>
      <w:r w:rsidRPr="00EC17EC">
        <w:rPr>
          <w:rFonts w:ascii="Century Schoolbook" w:hAnsi="Century Schoolbook"/>
          <w:szCs w:val="26"/>
        </w:rPr>
        <w:t>s</w:t>
      </w:r>
      <w:r w:rsidRPr="00EC17EC">
        <w:rPr>
          <w:rFonts w:ascii="Century Schoolbook" w:hAnsi="Century Schoolbook"/>
          <w:szCs w:val="26"/>
        </w:rPr>
        <w:t xml:space="preserve">ection 1305 as leaving the timetable and criteria for deciding whether to extradite squarely in the hands of </w:t>
      </w:r>
      <w:r w:rsidRPr="00EC17EC">
        <w:rPr>
          <w:rFonts w:ascii="Century Schoolbook" w:hAnsi="Century Schoolbook"/>
          <w:szCs w:val="26"/>
        </w:rPr>
        <w:t xml:space="preserve">the prosecuting agency.  </w:t>
      </w:r>
      <w:r w:rsidRPr="00EC17EC">
        <w:rPr>
          <w:rFonts w:ascii="Century Schoolbook" w:hAnsi="Century Schoolbook"/>
          <w:szCs w:val="26"/>
        </w:rPr>
        <w:t xml:space="preserve">(See </w:t>
      </w:r>
      <w:r w:rsidRPr="00EC17EC">
        <w:rPr>
          <w:rFonts w:ascii="Century Schoolbook" w:hAnsi="Century Schoolbook"/>
          <w:i/>
          <w:szCs w:val="26"/>
        </w:rPr>
        <w:t xml:space="preserve">John v. Superior Court </w:t>
      </w:r>
      <w:r w:rsidRPr="00EC17EC">
        <w:rPr>
          <w:rFonts w:ascii="Century Schoolbook" w:hAnsi="Century Schoolbook"/>
          <w:szCs w:val="26"/>
        </w:rPr>
        <w:t xml:space="preserve">(2016) 63 Cal.4th 91, 95-96 </w:t>
      </w:r>
      <w:r w:rsidRPr="00EC17EC">
        <w:rPr>
          <w:rFonts w:ascii="Century Schoolbook" w:hAnsi="Century Schoolbook"/>
          <w:szCs w:val="26"/>
        </w:rPr>
        <w:t>(</w:t>
      </w:r>
      <w:r w:rsidRPr="00EC17EC">
        <w:rPr>
          <w:rFonts w:ascii="Century Schoolbook" w:hAnsi="Century Schoolbook"/>
          <w:i/>
          <w:szCs w:val="26"/>
        </w:rPr>
        <w:t>John</w:t>
      </w:r>
      <w:r w:rsidRPr="00EC17EC">
        <w:rPr>
          <w:rFonts w:ascii="Century Schoolbook" w:hAnsi="Century Schoolbook"/>
          <w:szCs w:val="26"/>
        </w:rPr>
        <w:t xml:space="preserve">) </w:t>
      </w:r>
      <w:r w:rsidRPr="00EC17EC">
        <w:rPr>
          <w:rFonts w:ascii="Century Schoolbook" w:hAnsi="Century Schoolbook"/>
          <w:szCs w:val="26"/>
        </w:rPr>
        <w:t xml:space="preserve">[looking to “context”]; </w:t>
      </w:r>
      <w:r w:rsidRPr="00EC17EC">
        <w:rPr>
          <w:rFonts w:ascii="Century Schoolbook" w:hAnsi="Century Schoolbook"/>
          <w:i/>
          <w:szCs w:val="26"/>
        </w:rPr>
        <w:t>In re Marriage of Davis</w:t>
      </w:r>
      <w:r w:rsidRPr="00EC17EC">
        <w:rPr>
          <w:rFonts w:ascii="Century Schoolbook" w:hAnsi="Century Schoolbook"/>
          <w:szCs w:val="26"/>
        </w:rPr>
        <w:t xml:space="preserve"> (2015) 61 </w:t>
      </w:r>
      <w:r w:rsidRPr="00EC17EC">
        <w:rPr>
          <w:rFonts w:ascii="Century Schoolbook" w:hAnsi="Century Schoolbook"/>
          <w:szCs w:val="26"/>
        </w:rPr>
        <w:t xml:space="preserve">Cal.4th 846, 852 [looking to public policy].)  </w:t>
      </w:r>
      <w:r w:rsidRPr="00EC17EC">
        <w:rPr>
          <w:rFonts w:ascii="Century Schoolbook" w:hAnsi="Century Schoolbook"/>
          <w:szCs w:val="26"/>
        </w:rPr>
        <w:t xml:space="preserve">Subdivision (g) does not regulate the pace with which the </w:t>
      </w:r>
      <w:r w:rsidRPr="00EC17EC">
        <w:rPr>
          <w:rFonts w:ascii="Century Schoolbook" w:hAnsi="Century Schoolbook"/>
          <w:szCs w:val="26"/>
        </w:rPr>
        <w:t>prosecuting agency must pursue extradition once it decides to do so (</w:t>
      </w:r>
      <w:r w:rsidRPr="00EC17EC">
        <w:rPr>
          <w:rFonts w:ascii="Century Schoolbook" w:hAnsi="Century Schoolbook"/>
          <w:i/>
          <w:szCs w:val="26"/>
        </w:rPr>
        <w:t>Seneca</w:t>
      </w:r>
      <w:r w:rsidRPr="00EC17EC">
        <w:rPr>
          <w:rFonts w:ascii="Century Schoolbook" w:hAnsi="Century Schoolbook"/>
          <w:szCs w:val="26"/>
        </w:rPr>
        <w:t>,</w:t>
      </w:r>
      <w:r w:rsidRPr="00EC17EC">
        <w:rPr>
          <w:rFonts w:ascii="Century Schoolbook" w:hAnsi="Century Schoolbook"/>
          <w:i/>
          <w:szCs w:val="26"/>
        </w:rPr>
        <w:t xml:space="preserve"> supra</w:t>
      </w:r>
      <w:r w:rsidRPr="00EC17EC">
        <w:rPr>
          <w:rFonts w:ascii="Century Schoolbook" w:hAnsi="Century Schoolbook"/>
          <w:szCs w:val="26"/>
        </w:rPr>
        <w:t>, 189 Cal.App.4th at</w:t>
      </w:r>
      <w:r w:rsidRPr="00EC17EC">
        <w:rPr>
          <w:rFonts w:ascii="Century Schoolbook" w:hAnsi="Century Schoolbook"/>
          <w:szCs w:val="26"/>
        </w:rPr>
        <w:t xml:space="preserve"> pp. 1082-1083), and leaves it to the agency whether to agree to toll the</w:t>
      </w:r>
      <w:r w:rsidRPr="00EC17EC">
        <w:rPr>
          <w:rFonts w:ascii="Century Schoolbook" w:hAnsi="Century Schoolbook"/>
          <w:szCs w:val="26"/>
        </w:rPr>
        <w:t xml:space="preserve"> appearance</w:t>
      </w:r>
      <w:r w:rsidRPr="00EC17EC">
        <w:rPr>
          <w:rFonts w:ascii="Century Schoolbook" w:hAnsi="Century Schoolbook"/>
          <w:szCs w:val="26"/>
        </w:rPr>
        <w:t xml:space="preserve"> period while an extradition request is pending (§ 1305, subd. (h) [re</w:t>
      </w:r>
      <w:r w:rsidRPr="00EC17EC">
        <w:rPr>
          <w:rFonts w:ascii="Century Schoolbook" w:hAnsi="Century Schoolbook"/>
          <w:szCs w:val="26"/>
        </w:rPr>
        <w:t xml:space="preserve">quiring </w:t>
      </w:r>
      <w:r w:rsidRPr="00EC17EC">
        <w:rPr>
          <w:rFonts w:ascii="Century Schoolbook" w:hAnsi="Century Schoolbook"/>
          <w:szCs w:val="26"/>
        </w:rPr>
        <w:t xml:space="preserve">an </w:t>
      </w:r>
      <w:r w:rsidRPr="00EC17EC">
        <w:rPr>
          <w:rFonts w:ascii="Century Schoolbook" w:hAnsi="Century Schoolbook"/>
          <w:szCs w:val="26"/>
        </w:rPr>
        <w:t>“agree[ment</w:t>
      </w:r>
      <w:r w:rsidRPr="00EC17EC">
        <w:rPr>
          <w:rFonts w:ascii="Century Schoolbook" w:hAnsi="Century Schoolbook"/>
          <w:szCs w:val="26"/>
        </w:rPr>
        <w:t>]”</w:t>
      </w:r>
      <w:r w:rsidRPr="00EC17EC">
        <w:rPr>
          <w:rFonts w:ascii="Century Schoolbook" w:hAnsi="Century Schoolbook"/>
          <w:szCs w:val="26"/>
        </w:rPr>
        <w:t>; Assem. Co</w:t>
      </w:r>
      <w:r w:rsidRPr="00EC17EC">
        <w:rPr>
          <w:rFonts w:ascii="Century Schoolbook" w:hAnsi="Century Schoolbook"/>
          <w:szCs w:val="26"/>
        </w:rPr>
        <w:t xml:space="preserve">m. </w:t>
      </w:r>
      <w:r w:rsidRPr="00EC17EC">
        <w:rPr>
          <w:rFonts w:ascii="Century Schoolbook" w:hAnsi="Century Schoolbook"/>
          <w:szCs w:val="26"/>
        </w:rPr>
        <w:t xml:space="preserve">on Public Safety, Analysis of </w:t>
      </w:r>
      <w:r w:rsidRPr="00EC17EC">
        <w:rPr>
          <w:rFonts w:ascii="Century Schoolbook" w:hAnsi="Century Schoolbook"/>
          <w:szCs w:val="26"/>
        </w:rPr>
        <w:t xml:space="preserve">Sen. Bill </w:t>
      </w:r>
      <w:r w:rsidRPr="00EC17EC">
        <w:rPr>
          <w:rFonts w:ascii="Century Schoolbook" w:hAnsi="Century Schoolbook"/>
          <w:szCs w:val="26"/>
        </w:rPr>
        <w:t xml:space="preserve">No. </w:t>
      </w:r>
      <w:r w:rsidRPr="00EC17EC">
        <w:rPr>
          <w:rFonts w:ascii="Century Schoolbook" w:hAnsi="Century Schoolbook"/>
          <w:szCs w:val="26"/>
        </w:rPr>
        <w:t xml:space="preserve">989 (2011-2012 </w:t>
      </w:r>
      <w:r w:rsidRPr="00EC17EC">
        <w:rPr>
          <w:rFonts w:ascii="Century Schoolbook" w:hAnsi="Century Schoolbook"/>
          <w:szCs w:val="26"/>
        </w:rPr>
        <w:t>Reg</w:t>
      </w:r>
      <w:r w:rsidRPr="00EC17EC">
        <w:rPr>
          <w:rFonts w:ascii="Century Schoolbook" w:hAnsi="Century Schoolbook"/>
          <w:szCs w:val="26"/>
        </w:rPr>
        <w:t>. Sess.)</w:t>
      </w:r>
      <w:r w:rsidRPr="00EC17EC">
        <w:rPr>
          <w:rFonts w:ascii="Century Schoolbook" w:hAnsi="Century Schoolbook"/>
          <w:szCs w:val="26"/>
        </w:rPr>
        <w:t xml:space="preserve"> </w:t>
      </w:r>
      <w:r w:rsidRPr="00EC17EC">
        <w:rPr>
          <w:rFonts w:ascii="Century Schoolbook" w:hAnsi="Century Schoolbook"/>
          <w:szCs w:val="26"/>
        </w:rPr>
        <w:t>as amended May 17,</w:t>
      </w:r>
      <w:r w:rsidRPr="00EC17EC">
        <w:rPr>
          <w:rFonts w:ascii="Century Schoolbook" w:hAnsi="Century Schoolbook"/>
          <w:szCs w:val="26"/>
        </w:rPr>
        <w:t xml:space="preserve"> 2012</w:t>
      </w:r>
      <w:r>
        <w:rPr>
          <w:rFonts w:ascii="Century Schoolbook" w:hAnsi="Century Schoolbook"/>
          <w:szCs w:val="26"/>
        </w:rPr>
        <w:t>, at </w:t>
      </w:r>
      <w:r w:rsidRPr="00EC17EC">
        <w:rPr>
          <w:rFonts w:ascii="Century Schoolbook" w:hAnsi="Century Schoolbook"/>
          <w:szCs w:val="26"/>
        </w:rPr>
        <w:t xml:space="preserve">pp. </w:t>
      </w:r>
      <w:r w:rsidRPr="00EC17EC">
        <w:rPr>
          <w:rFonts w:ascii="Century Schoolbook" w:hAnsi="Century Schoolbook"/>
          <w:szCs w:val="26"/>
        </w:rPr>
        <w:t>4-5</w:t>
      </w:r>
      <w:r w:rsidRPr="00EC17EC">
        <w:rPr>
          <w:rFonts w:ascii="Century Schoolbook" w:hAnsi="Century Schoolbook"/>
          <w:szCs w:val="26"/>
        </w:rPr>
        <w:t xml:space="preserve"> [</w:t>
      </w:r>
      <w:r w:rsidRPr="00EC17EC">
        <w:rPr>
          <w:rFonts w:ascii="Century Schoolbook" w:hAnsi="Century Schoolbook"/>
          <w:szCs w:val="26"/>
        </w:rPr>
        <w:t xml:space="preserve">the </w:t>
      </w:r>
      <w:r w:rsidRPr="00EC17EC">
        <w:rPr>
          <w:rFonts w:ascii="Century Schoolbook" w:hAnsi="Century Schoolbook"/>
          <w:szCs w:val="26"/>
        </w:rPr>
        <w:t>“prosecutor’s decision . . . whether the 180-day</w:t>
      </w:r>
      <w:r w:rsidRPr="00EC17EC">
        <w:rPr>
          <w:rFonts w:ascii="Century Schoolbook" w:hAnsi="Century Schoolbook"/>
          <w:szCs w:val="26"/>
        </w:rPr>
        <w:t xml:space="preserve"> period</w:t>
      </w:r>
      <w:r w:rsidRPr="00EC17EC">
        <w:rPr>
          <w:rFonts w:ascii="Century Schoolbook" w:hAnsi="Century Schoolbook"/>
          <w:szCs w:val="26"/>
        </w:rPr>
        <w:t xml:space="preserve"> should be</w:t>
      </w:r>
      <w:r w:rsidRPr="00EC17EC">
        <w:rPr>
          <w:rFonts w:ascii="Century Schoolbook" w:hAnsi="Century Schoolbook"/>
          <w:szCs w:val="26"/>
        </w:rPr>
        <w:t xml:space="preserve"> extended is . . . final and . . . not appealable</w:t>
      </w:r>
      <w:r w:rsidRPr="00EC17EC">
        <w:rPr>
          <w:rFonts w:ascii="Century Schoolbook" w:hAnsi="Century Schoolbook"/>
          <w:szCs w:val="26"/>
        </w:rPr>
        <w:t xml:space="preserve">”]).  </w:t>
      </w:r>
      <w:r w:rsidRPr="00EC17EC">
        <w:rPr>
          <w:rFonts w:ascii="Century Schoolbook" w:hAnsi="Century Schoolbook"/>
          <w:szCs w:val="26"/>
        </w:rPr>
        <w:t>S</w:t>
      </w:r>
      <w:r w:rsidRPr="00EC17EC">
        <w:rPr>
          <w:rFonts w:ascii="Century Schoolbook" w:hAnsi="Century Schoolbook"/>
          <w:szCs w:val="26"/>
        </w:rPr>
        <w:t>ubdivision (g)</w:t>
      </w:r>
      <w:r w:rsidRPr="00EC17EC">
        <w:rPr>
          <w:rFonts w:ascii="Century Schoolbook" w:hAnsi="Century Schoolbook"/>
          <w:szCs w:val="26"/>
        </w:rPr>
        <w:t xml:space="preserve"> also does not</w:t>
      </w:r>
      <w:r w:rsidRPr="00EC17EC">
        <w:rPr>
          <w:rFonts w:ascii="Century Schoolbook" w:hAnsi="Century Schoolbook"/>
          <w:szCs w:val="26"/>
        </w:rPr>
        <w:t xml:space="preserve"> obligate the prosecuting agency to decide whether to extradite </w:t>
      </w:r>
      <w:r w:rsidRPr="00EC17EC">
        <w:rPr>
          <w:rFonts w:ascii="Century Schoolbook" w:hAnsi="Century Schoolbook"/>
          <w:szCs w:val="26"/>
        </w:rPr>
        <w:t>by</w:t>
      </w:r>
      <w:r w:rsidRPr="00EC17EC">
        <w:rPr>
          <w:rFonts w:ascii="Century Schoolbook" w:hAnsi="Century Schoolbook"/>
          <w:szCs w:val="26"/>
        </w:rPr>
        <w:t xml:space="preserve"> a certain deadline.  (</w:t>
      </w:r>
      <w:r w:rsidRPr="00EC17EC">
        <w:rPr>
          <w:rFonts w:ascii="Century Schoolbook" w:hAnsi="Century Schoolbook"/>
          <w:i/>
          <w:szCs w:val="26"/>
        </w:rPr>
        <w:t>Tingcungco</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237 Cal.App.4th at pp. 256-259.)  And subdivision (g) does not r</w:t>
      </w:r>
      <w:r w:rsidRPr="00EC17EC">
        <w:rPr>
          <w:rFonts w:ascii="Century Schoolbook" w:hAnsi="Century Schoolbook"/>
          <w:szCs w:val="26"/>
        </w:rPr>
        <w:t>equire</w:t>
      </w:r>
      <w:r w:rsidRPr="00EC17EC">
        <w:rPr>
          <w:rFonts w:ascii="Century Schoolbook" w:hAnsi="Century Schoolbook"/>
          <w:szCs w:val="26"/>
        </w:rPr>
        <w:t xml:space="preserve"> the</w:t>
      </w:r>
      <w:r w:rsidRPr="00EC17EC">
        <w:rPr>
          <w:rFonts w:ascii="Century Schoolbook" w:hAnsi="Century Schoolbook"/>
          <w:szCs w:val="26"/>
        </w:rPr>
        <w:t xml:space="preserve"> prosecuting agency to decide whether to extradite when the defendant is in a foreign country with which there is no extradition treaty.  (E.g., </w:t>
      </w:r>
      <w:r w:rsidRPr="00EC17EC">
        <w:rPr>
          <w:rFonts w:ascii="Century Schoolbook" w:hAnsi="Century Schoolbook"/>
          <w:i/>
          <w:szCs w:val="26"/>
        </w:rPr>
        <w:t>Fairmont</w:t>
      </w:r>
      <w:r w:rsidRPr="00EC17EC">
        <w:rPr>
          <w:rFonts w:ascii="Century Schoolbook" w:hAnsi="Century Schoolbook"/>
          <w:szCs w:val="26"/>
        </w:rPr>
        <w:t xml:space="preserve">, </w:t>
      </w:r>
      <w:r w:rsidRPr="00EC17EC">
        <w:rPr>
          <w:rFonts w:ascii="Century Schoolbook" w:hAnsi="Century Schoolbook"/>
          <w:i/>
          <w:szCs w:val="26"/>
        </w:rPr>
        <w:t>supra</w:t>
      </w:r>
      <w:r>
        <w:rPr>
          <w:rFonts w:ascii="Century Schoolbook" w:hAnsi="Century Schoolbook"/>
          <w:szCs w:val="26"/>
        </w:rPr>
        <w:t>, 173 Cal.App.4th at pp. </w:t>
      </w:r>
      <w:r w:rsidRPr="00EC17EC">
        <w:rPr>
          <w:rFonts w:ascii="Century Schoolbook" w:hAnsi="Century Schoolbook"/>
          <w:szCs w:val="26"/>
        </w:rPr>
        <w:t xml:space="preserve">544-545; </w:t>
      </w:r>
      <w:r w:rsidRPr="00EC17EC">
        <w:rPr>
          <w:rFonts w:ascii="Century Schoolbook" w:hAnsi="Century Schoolbook"/>
          <w:i/>
          <w:szCs w:val="26"/>
        </w:rPr>
        <w:t>Ranger Ins. Co.</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61 Cal.App.4th at pp. 802-80</w:t>
      </w:r>
      <w:r w:rsidRPr="00EC17EC">
        <w:rPr>
          <w:rFonts w:ascii="Century Schoolbook" w:hAnsi="Century Schoolbook"/>
          <w:szCs w:val="26"/>
        </w:rPr>
        <w:t xml:space="preserve">5; </w:t>
      </w:r>
      <w:r w:rsidRPr="00EC17EC">
        <w:rPr>
          <w:rFonts w:ascii="Century Schoolbook" w:hAnsi="Century Schoolbook"/>
          <w:i/>
          <w:szCs w:val="26"/>
        </w:rPr>
        <w:t>People v. Lexington National Ins. Co.</w:t>
      </w:r>
      <w:r w:rsidRPr="00EC17EC">
        <w:rPr>
          <w:rFonts w:ascii="Century Schoolbook" w:hAnsi="Century Schoolbook"/>
          <w:szCs w:val="26"/>
        </w:rPr>
        <w:t xml:space="preserve"> (2010) 189</w:t>
      </w:r>
      <w:r w:rsidRPr="00EC17EC">
        <w:rPr>
          <w:rFonts w:ascii="Century Schoolbook" w:hAnsi="Century Schoolbook"/>
          <w:szCs w:val="26"/>
        </w:rPr>
        <w:t xml:space="preserve"> Cal.App.4th 1242, 1247-1249</w:t>
      </w:r>
      <w:r w:rsidRPr="00EC17EC">
        <w:rPr>
          <w:rFonts w:ascii="Century Schoolbook" w:hAnsi="Century Schoolbook"/>
          <w:szCs w:val="26"/>
        </w:rPr>
        <w:t xml:space="preserve"> (</w:t>
      </w:r>
      <w:r w:rsidRPr="00EC17EC">
        <w:rPr>
          <w:rFonts w:ascii="Century Schoolbook" w:hAnsi="Century Schoolbook"/>
          <w:i/>
          <w:szCs w:val="26"/>
        </w:rPr>
        <w:t>Lexington</w:t>
      </w:r>
      <w:r w:rsidRPr="00EC17EC">
        <w:rPr>
          <w:rFonts w:ascii="Century Schoolbook" w:hAnsi="Century Schoolbook"/>
          <w:szCs w:val="26"/>
        </w:rPr>
        <w:t>)</w:t>
      </w:r>
      <w:r w:rsidRPr="00EC17EC">
        <w:rPr>
          <w:rFonts w:ascii="Century Schoolbook" w:hAnsi="Century Schoolbook"/>
          <w:szCs w:val="26"/>
        </w:rPr>
        <w:t>.)</w:t>
      </w:r>
    </w:p>
    <w:p w:rsidR="006E0531"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 xml:space="preserve">This deference to prosecutorial decision-making exists notwithstanding the fact that the end result </w:t>
      </w:r>
      <w:r w:rsidRPr="00EC17EC">
        <w:rPr>
          <w:rFonts w:ascii="Century Schoolbook" w:hAnsi="Century Schoolbook"/>
          <w:szCs w:val="26"/>
        </w:rPr>
        <w:t>will be</w:t>
      </w:r>
      <w:r w:rsidRPr="00EC17EC">
        <w:rPr>
          <w:rFonts w:ascii="Century Schoolbook" w:hAnsi="Century Schoolbook"/>
          <w:szCs w:val="26"/>
        </w:rPr>
        <w:t xml:space="preserve"> the forf</w:t>
      </w:r>
      <w:r w:rsidRPr="00EC17EC">
        <w:rPr>
          <w:rFonts w:ascii="Century Schoolbook" w:hAnsi="Century Schoolbook"/>
          <w:szCs w:val="26"/>
        </w:rPr>
        <w:t xml:space="preserve">eiture of the bond.  Although </w:t>
      </w:r>
      <w:r w:rsidRPr="00EC17EC">
        <w:rPr>
          <w:rFonts w:ascii="Century Schoolbook" w:hAnsi="Century Schoolbook"/>
          <w:szCs w:val="26"/>
        </w:rPr>
        <w:t xml:space="preserve">“equity abhors </w:t>
      </w:r>
      <w:r w:rsidRPr="00EC17EC">
        <w:rPr>
          <w:rFonts w:ascii="Century Schoolbook" w:hAnsi="Century Schoolbook"/>
          <w:szCs w:val="26"/>
        </w:rPr>
        <w:t>a forfeiture,”</w:t>
      </w:r>
      <w:r w:rsidRPr="00EC17EC">
        <w:rPr>
          <w:rFonts w:ascii="Century Schoolbook" w:hAnsi="Century Schoolbook"/>
          <w:szCs w:val="26"/>
        </w:rPr>
        <w:t xml:space="preserve"> particularly when the brunt of that forfeiture falls upon the “family members and friends who have pledged their homes and other financial assets to the [sureties] to secure the defendant’s release” (</w:t>
      </w:r>
      <w:r w:rsidRPr="00EC17EC">
        <w:rPr>
          <w:rFonts w:ascii="Century Schoolbook" w:hAnsi="Century Schoolbook"/>
          <w:i/>
          <w:szCs w:val="26"/>
        </w:rPr>
        <w:t>People v. United Bonding Ins. Co.</w:t>
      </w:r>
      <w:r w:rsidRPr="00EC17EC">
        <w:rPr>
          <w:rFonts w:ascii="Century Schoolbook" w:hAnsi="Century Schoolbook"/>
          <w:szCs w:val="26"/>
        </w:rPr>
        <w:t xml:space="preserve"> (1971) </w:t>
      </w:r>
      <w:r w:rsidRPr="00EC17EC">
        <w:rPr>
          <w:rFonts w:ascii="Century Schoolbook" w:hAnsi="Century Schoolbook"/>
          <w:szCs w:val="26"/>
        </w:rPr>
        <w:t xml:space="preserve">5 Cal.3d 898, 906; </w:t>
      </w:r>
      <w:r w:rsidRPr="00EC17EC">
        <w:rPr>
          <w:rFonts w:ascii="Century Schoolbook" w:hAnsi="Century Schoolbook"/>
          <w:i/>
          <w:szCs w:val="26"/>
        </w:rPr>
        <w:t>County of Los Angeles v. American Contractors Indemnity Co.</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152 </w:t>
      </w:r>
      <w:r w:rsidRPr="00EC17EC">
        <w:rPr>
          <w:rFonts w:ascii="Century Schoolbook" w:hAnsi="Century Schoolbook"/>
          <w:szCs w:val="26"/>
        </w:rPr>
        <w:t>Cal.App.4th at pp. 665-666</w:t>
      </w:r>
      <w:r w:rsidRPr="00EC17EC">
        <w:rPr>
          <w:rFonts w:ascii="Century Schoolbook" w:hAnsi="Century Schoolbook"/>
          <w:szCs w:val="26"/>
        </w:rPr>
        <w:t xml:space="preserve">), the above-described decisions have placed greater weight on </w:t>
      </w:r>
      <w:r w:rsidRPr="00EC17EC">
        <w:rPr>
          <w:rFonts w:ascii="Century Schoolbook" w:hAnsi="Century Schoolbook"/>
          <w:szCs w:val="26"/>
        </w:rPr>
        <w:t xml:space="preserve">the </w:t>
      </w:r>
      <w:r w:rsidRPr="00EC17EC">
        <w:rPr>
          <w:rFonts w:ascii="Century Schoolbook" w:hAnsi="Century Schoolbook"/>
          <w:szCs w:val="26"/>
        </w:rPr>
        <w:t>plain language of subdivision (g) and the competing policy it embodies</w:t>
      </w:r>
      <w:r w:rsidRPr="00EC17EC">
        <w:rPr>
          <w:rFonts w:ascii="Century Schoolbook" w:hAnsi="Century Schoolbook"/>
          <w:szCs w:val="26"/>
        </w:rPr>
        <w:t>—</w:t>
      </w:r>
      <w:r w:rsidRPr="00EC17EC">
        <w:rPr>
          <w:rFonts w:ascii="Century Schoolbook" w:hAnsi="Century Schoolbook"/>
          <w:szCs w:val="26"/>
        </w:rPr>
        <w:t>n</w:t>
      </w:r>
      <w:r w:rsidRPr="00EC17EC">
        <w:rPr>
          <w:rFonts w:ascii="Century Schoolbook" w:hAnsi="Century Schoolbook"/>
          <w:szCs w:val="26"/>
        </w:rPr>
        <w:t>amely, that “[t]he object of bail and its forfeiture is to insure the attendance of the accused and his obedience to the orders and judgment of the court” (</w:t>
      </w:r>
      <w:r w:rsidRPr="00EC17EC">
        <w:rPr>
          <w:rFonts w:ascii="Century Schoolbook" w:hAnsi="Century Schoolbook"/>
          <w:i/>
          <w:szCs w:val="26"/>
        </w:rPr>
        <w:t>Wilcox</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xml:space="preserve">, 53 Cal.2d at pp. 656-657; </w:t>
      </w:r>
      <w:r w:rsidRPr="00EC17EC">
        <w:rPr>
          <w:rFonts w:ascii="Century Schoolbook" w:hAnsi="Century Schoolbook"/>
          <w:i/>
          <w:szCs w:val="26"/>
        </w:rPr>
        <w:t>American Contractors</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33 Cal.4th at p. 657) and that</w:t>
      </w:r>
      <w:r w:rsidRPr="00EC17EC">
        <w:rPr>
          <w:rFonts w:ascii="Century Schoolbook" w:hAnsi="Century Schoolbook"/>
          <w:szCs w:val="26"/>
        </w:rPr>
        <w:t xml:space="preserve"> “‘</w:t>
      </w:r>
      <w:r w:rsidRPr="00EC17EC">
        <w:rPr>
          <w:rFonts w:ascii="Century Schoolbook" w:hAnsi="Century Schoolbook"/>
          <w:szCs w:val="26"/>
        </w:rPr>
        <w:t>[</w:t>
      </w:r>
      <w:r w:rsidRPr="00EC17EC">
        <w:rPr>
          <w:rFonts w:ascii="Century Schoolbook" w:hAnsi="Century Schoolbook"/>
          <w:szCs w:val="26"/>
        </w:rPr>
        <w:t>t</w:t>
      </w:r>
      <w:r w:rsidRPr="00EC17EC">
        <w:rPr>
          <w:rFonts w:ascii="Century Schoolbook" w:hAnsi="Century Schoolbook"/>
          <w:szCs w:val="26"/>
        </w:rPr>
        <w:t>]</w:t>
      </w:r>
      <w:r w:rsidRPr="00EC17EC">
        <w:rPr>
          <w:rFonts w:ascii="Century Schoolbook" w:hAnsi="Century Schoolbook"/>
          <w:szCs w:val="26"/>
        </w:rPr>
        <w:t>he escape of [the] defendant is the business risk of [the] bail surety [and] is precisely the situation which [the] surety</w:t>
      </w:r>
      <w:r w:rsidRPr="00EC17EC">
        <w:rPr>
          <w:rFonts w:ascii="Century Schoolbook" w:hAnsi="Century Schoolbook"/>
          <w:szCs w:val="26"/>
        </w:rPr>
        <w:t xml:space="preserve"> guarantees against’</w:t>
      </w:r>
      <w:r w:rsidRPr="00EC17EC">
        <w:rPr>
          <w:rFonts w:ascii="Century Schoolbook" w:hAnsi="Century Schoolbook"/>
          <w:szCs w:val="26"/>
        </w:rPr>
        <w:t>” (</w:t>
      </w:r>
      <w:r w:rsidRPr="00EC17EC">
        <w:rPr>
          <w:rFonts w:ascii="Century Schoolbook" w:hAnsi="Century Schoolbook"/>
          <w:i/>
          <w:szCs w:val="26"/>
        </w:rPr>
        <w:t>Ranger Ins. Co.</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61 Cal.App.4th at p. 805, fn. 6).</w:t>
      </w:r>
    </w:p>
    <w:p w:rsidR="006E0531"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To be sure, subdivision (g) places some limits</w:t>
      </w:r>
      <w:r w:rsidRPr="00EC17EC">
        <w:rPr>
          <w:rFonts w:ascii="Century Schoolbook" w:hAnsi="Century Schoolbook"/>
          <w:szCs w:val="26"/>
        </w:rPr>
        <w:t xml:space="preserve"> on the prosecuting agency’s conduct with regard to extradition.  A prosecuting </w:t>
      </w:r>
      <w:r w:rsidRPr="00EC17EC">
        <w:rPr>
          <w:rFonts w:ascii="Century Schoolbook" w:hAnsi="Century Schoolbook"/>
          <w:szCs w:val="26"/>
        </w:rPr>
        <w:t>agency</w:t>
      </w:r>
      <w:r w:rsidRPr="00EC17EC">
        <w:rPr>
          <w:rFonts w:ascii="Century Schoolbook" w:hAnsi="Century Schoolbook"/>
          <w:szCs w:val="26"/>
        </w:rPr>
        <w:t xml:space="preserve"> will be held accountable</w:t>
      </w:r>
      <w:r w:rsidRPr="00EC17EC">
        <w:rPr>
          <w:rFonts w:ascii="Century Schoolbook" w:hAnsi="Century Schoolbook"/>
          <w:szCs w:val="26"/>
        </w:rPr>
        <w:t>—</w:t>
      </w:r>
      <w:r w:rsidRPr="00EC17EC">
        <w:rPr>
          <w:rFonts w:ascii="Century Schoolbook" w:hAnsi="Century Schoolbook"/>
          <w:szCs w:val="26"/>
        </w:rPr>
        <w:t xml:space="preserve">and </w:t>
      </w:r>
      <w:r w:rsidRPr="00EC17EC">
        <w:rPr>
          <w:rFonts w:ascii="Century Schoolbook" w:hAnsi="Century Schoolbook"/>
          <w:szCs w:val="26"/>
        </w:rPr>
        <w:t>the bond will not be forfeited</w:t>
      </w:r>
      <w:r w:rsidRPr="00EC17EC">
        <w:rPr>
          <w:rFonts w:ascii="Century Schoolbook" w:hAnsi="Century Schoolbook"/>
          <w:szCs w:val="26"/>
        </w:rPr>
        <w:t>—</w:t>
      </w:r>
      <w:r w:rsidRPr="00EC17EC">
        <w:rPr>
          <w:rFonts w:ascii="Century Schoolbook" w:hAnsi="Century Schoolbook"/>
          <w:szCs w:val="26"/>
        </w:rPr>
        <w:t xml:space="preserve">when the prosecuting </w:t>
      </w:r>
      <w:r w:rsidRPr="00EC17EC">
        <w:rPr>
          <w:rFonts w:ascii="Century Schoolbook" w:hAnsi="Century Schoolbook"/>
          <w:szCs w:val="26"/>
        </w:rPr>
        <w:t>agency</w:t>
      </w:r>
      <w:r w:rsidRPr="00EC17EC">
        <w:rPr>
          <w:rFonts w:ascii="Century Schoolbook" w:hAnsi="Century Schoolbook"/>
          <w:szCs w:val="26"/>
        </w:rPr>
        <w:t xml:space="preserve"> has made a mistake in processing an extradition request.  (</w:t>
      </w:r>
      <w:r w:rsidRPr="00EC17EC">
        <w:rPr>
          <w:rFonts w:ascii="Century Schoolbook" w:hAnsi="Century Schoolbook"/>
          <w:i/>
          <w:szCs w:val="26"/>
        </w:rPr>
        <w:t xml:space="preserve">People v. Far West Ins. Co. </w:t>
      </w:r>
      <w:r w:rsidRPr="00EC17EC">
        <w:rPr>
          <w:rFonts w:ascii="Century Schoolbook" w:hAnsi="Century Schoolbook"/>
          <w:szCs w:val="26"/>
        </w:rPr>
        <w:t xml:space="preserve">(2001) 93 Cal.App.4th 791, 798.)  </w:t>
      </w:r>
      <w:r w:rsidRPr="00EC17EC">
        <w:rPr>
          <w:rFonts w:ascii="Century Schoolbook" w:hAnsi="Century Schoolbook"/>
          <w:szCs w:val="26"/>
        </w:rPr>
        <w:t xml:space="preserve">And, more relevant here, a prosecuting agency </w:t>
      </w:r>
      <w:r w:rsidRPr="00EC17EC">
        <w:rPr>
          <w:rFonts w:ascii="Century Schoolbook" w:hAnsi="Century Schoolbook"/>
          <w:szCs w:val="26"/>
        </w:rPr>
        <w:t>cannot in “actual bad faith” agree to extradite and then drag its feet in doing so as a means of denying the surety relief from forfeiture.  (</w:t>
      </w:r>
      <w:r w:rsidRPr="00EC17EC">
        <w:rPr>
          <w:rFonts w:ascii="Century Schoolbook" w:hAnsi="Century Schoolbook"/>
          <w:i/>
          <w:szCs w:val="26"/>
        </w:rPr>
        <w:t>Wester</w:t>
      </w:r>
      <w:r w:rsidRPr="00EC17EC">
        <w:rPr>
          <w:rFonts w:ascii="Century Schoolbook" w:hAnsi="Century Schoolbook"/>
          <w:i/>
          <w:szCs w:val="26"/>
        </w:rPr>
        <w:t>n</w:t>
      </w:r>
      <w:r w:rsidRPr="00EC17EC">
        <w:rPr>
          <w:rFonts w:ascii="Century Schoolbook" w:hAnsi="Century Schoolbook"/>
          <w:szCs w:val="26"/>
        </w:rPr>
        <w:t>,</w:t>
      </w:r>
      <w:r w:rsidRPr="00EC17EC">
        <w:rPr>
          <w:rFonts w:ascii="Century Schoolbook" w:hAnsi="Century Schoolbook"/>
          <w:i/>
          <w:szCs w:val="26"/>
        </w:rPr>
        <w:t xml:space="preserve"> supra</w:t>
      </w:r>
      <w:r w:rsidRPr="00EC17EC">
        <w:rPr>
          <w:rFonts w:ascii="Century Schoolbook" w:hAnsi="Century Schoolbook"/>
          <w:szCs w:val="26"/>
        </w:rPr>
        <w:t xml:space="preserve">, 204 Cal.App.4th at p. 1031; </w:t>
      </w:r>
      <w:r w:rsidRPr="00EC17EC">
        <w:rPr>
          <w:rFonts w:ascii="Century Schoolbook" w:hAnsi="Century Schoolbook"/>
          <w:i/>
          <w:szCs w:val="26"/>
        </w:rPr>
        <w:t>Seneca</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189 Cal.App.4th at pp. </w:t>
      </w:r>
      <w:r w:rsidRPr="00EC17EC">
        <w:rPr>
          <w:rFonts w:ascii="Century Schoolbook" w:hAnsi="Century Schoolbook"/>
          <w:szCs w:val="26"/>
        </w:rPr>
        <w:t xml:space="preserve">1082-1083.)  </w:t>
      </w:r>
      <w:r w:rsidRPr="00EC17EC">
        <w:rPr>
          <w:rFonts w:ascii="Century Schoolbook" w:hAnsi="Century Schoolbook"/>
          <w:szCs w:val="26"/>
        </w:rPr>
        <w:t>A</w:t>
      </w:r>
      <w:r w:rsidRPr="00EC17EC">
        <w:rPr>
          <w:rFonts w:ascii="Century Schoolbook" w:hAnsi="Century Schoolbook"/>
          <w:szCs w:val="26"/>
        </w:rPr>
        <w:t xml:space="preserve"> similar limitation </w:t>
      </w:r>
      <w:r w:rsidRPr="00EC17EC">
        <w:rPr>
          <w:rFonts w:ascii="Century Schoolbook" w:hAnsi="Century Schoolbook"/>
          <w:szCs w:val="26"/>
        </w:rPr>
        <w:t xml:space="preserve">undoubtedly constrains </w:t>
      </w:r>
      <w:r w:rsidRPr="00EC17EC">
        <w:rPr>
          <w:rFonts w:ascii="Century Schoolbook" w:hAnsi="Century Schoolbook"/>
          <w:szCs w:val="26"/>
        </w:rPr>
        <w:t xml:space="preserve">a prosecuting </w:t>
      </w:r>
      <w:r w:rsidRPr="00EC17EC">
        <w:rPr>
          <w:rFonts w:ascii="Century Schoolbook" w:hAnsi="Century Schoolbook"/>
          <w:szCs w:val="26"/>
        </w:rPr>
        <w:t>agency</w:t>
      </w:r>
      <w:r w:rsidRPr="00EC17EC">
        <w:rPr>
          <w:rFonts w:ascii="Century Schoolbook" w:hAnsi="Century Schoolbook"/>
          <w:szCs w:val="26"/>
        </w:rPr>
        <w:t>’s predicate decision whether to extradite in the first place, and to what information it requires in o</w:t>
      </w:r>
      <w:r w:rsidRPr="00EC17EC">
        <w:rPr>
          <w:rFonts w:ascii="Century Schoolbook" w:hAnsi="Century Schoolbook"/>
          <w:szCs w:val="26"/>
        </w:rPr>
        <w:t>rder to make that decision.  But there is no evidence that the prosecutor’s office in this case has acted in actual bad faith.  To the contrary, there is substantial evidence to support a finding that the office’s requirement that a request for an extradit</w:t>
      </w:r>
      <w:r w:rsidRPr="00EC17EC">
        <w:rPr>
          <w:rFonts w:ascii="Century Schoolbook" w:hAnsi="Century Schoolbook"/>
          <w:szCs w:val="26"/>
        </w:rPr>
        <w:t>ion decision be accompan</w:t>
      </w:r>
      <w:r w:rsidRPr="00EC17EC">
        <w:rPr>
          <w:rFonts w:ascii="Century Schoolbook" w:hAnsi="Century Schoolbook"/>
          <w:szCs w:val="26"/>
        </w:rPr>
        <w:t>ied</w:t>
      </w:r>
      <w:r w:rsidRPr="00EC17EC">
        <w:rPr>
          <w:rFonts w:ascii="Century Schoolbook" w:hAnsi="Century Schoolbook"/>
          <w:szCs w:val="26"/>
        </w:rPr>
        <w:t xml:space="preserve"> by a photograph or fingerprints is part of i</w:t>
      </w:r>
      <w:r>
        <w:rPr>
          <w:rFonts w:ascii="Century Schoolbook" w:hAnsi="Century Schoolbook"/>
          <w:szCs w:val="26"/>
        </w:rPr>
        <w:t>ts longstanding policy</w:t>
      </w:r>
      <w:r w:rsidRPr="00EC17EC">
        <w:rPr>
          <w:rFonts w:ascii="Century Schoolbook" w:hAnsi="Century Schoolbook"/>
          <w:szCs w:val="26"/>
        </w:rPr>
        <w:t>, that this policy mirrors the policies followed by othe</w:t>
      </w:r>
      <w:r>
        <w:rPr>
          <w:rFonts w:ascii="Century Schoolbook" w:hAnsi="Century Schoolbook"/>
          <w:szCs w:val="26"/>
        </w:rPr>
        <w:t>r prosecutor’s offices</w:t>
      </w:r>
      <w:r w:rsidRPr="00EC17EC">
        <w:rPr>
          <w:rFonts w:ascii="Century Schoolbook" w:hAnsi="Century Schoolbook"/>
          <w:szCs w:val="26"/>
        </w:rPr>
        <w:t xml:space="preserve">, and that requiring additional proof of the defendant’s presence in the country to </w:t>
      </w:r>
      <w:r w:rsidRPr="00EC17EC">
        <w:rPr>
          <w:rFonts w:ascii="Century Schoolbook" w:hAnsi="Century Schoolbook"/>
          <w:szCs w:val="26"/>
        </w:rPr>
        <w:t>which an expensive extradition request packet is to be s</w:t>
      </w:r>
      <w:r>
        <w:rPr>
          <w:rFonts w:ascii="Century Schoolbook" w:hAnsi="Century Schoolbook"/>
          <w:szCs w:val="26"/>
        </w:rPr>
        <w:t>ubmitted is reasonable</w:t>
      </w:r>
      <w:r w:rsidRPr="00EC17EC">
        <w:rPr>
          <w:rFonts w:ascii="Century Schoolbook" w:hAnsi="Century Schoolbook"/>
          <w:szCs w:val="26"/>
        </w:rPr>
        <w:t>.</w:t>
      </w:r>
    </w:p>
    <w:p w:rsidR="0046291C"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The surety levels fou</w:t>
      </w:r>
      <w:r w:rsidRPr="00EC17EC">
        <w:rPr>
          <w:rFonts w:ascii="Century Schoolbook" w:hAnsi="Century Schoolbook"/>
          <w:szCs w:val="26"/>
        </w:rPr>
        <w:t>r challenges at this analysis.</w:t>
      </w:r>
    </w:p>
    <w:p w:rsidR="00CA3363"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r>
      <w:r w:rsidRPr="00EC17EC">
        <w:rPr>
          <w:rFonts w:ascii="Century Schoolbook" w:hAnsi="Century Schoolbook"/>
          <w:szCs w:val="26"/>
        </w:rPr>
        <w:t>First, the surety contends that upholding a prosecuting agency’s insistence upon additional documentation over and above a</w:t>
      </w:r>
      <w:r w:rsidRPr="00EC17EC">
        <w:rPr>
          <w:rFonts w:ascii="Century Schoolbook" w:hAnsi="Century Schoolbook"/>
          <w:szCs w:val="26"/>
        </w:rPr>
        <w:t xml:space="preserve"> sworn affidavit att</w:t>
      </w:r>
      <w:r w:rsidRPr="00EC17EC">
        <w:rPr>
          <w:rFonts w:ascii="Century Schoolbook" w:hAnsi="Century Schoolbook"/>
          <w:szCs w:val="26"/>
        </w:rPr>
        <w:t>esting to a “positive[] identif</w:t>
      </w:r>
      <w:r w:rsidRPr="00EC17EC">
        <w:rPr>
          <w:rFonts w:ascii="Century Schoolbook" w:hAnsi="Century Schoolbook"/>
          <w:szCs w:val="26"/>
        </w:rPr>
        <w:t>i</w:t>
      </w:r>
      <w:r w:rsidRPr="00EC17EC">
        <w:rPr>
          <w:rFonts w:ascii="Century Schoolbook" w:hAnsi="Century Schoolbook"/>
          <w:szCs w:val="26"/>
        </w:rPr>
        <w:t>[</w:t>
      </w:r>
      <w:r w:rsidRPr="00EC17EC">
        <w:rPr>
          <w:rFonts w:ascii="Century Schoolbook" w:hAnsi="Century Schoolbook"/>
          <w:szCs w:val="26"/>
        </w:rPr>
        <w:t xml:space="preserve">cation]” </w:t>
      </w:r>
      <w:r w:rsidRPr="00EC17EC">
        <w:rPr>
          <w:rFonts w:ascii="Century Schoolbook" w:hAnsi="Century Schoolbook"/>
          <w:szCs w:val="26"/>
        </w:rPr>
        <w:t xml:space="preserve">of the absconding defendant </w:t>
      </w:r>
      <w:r w:rsidRPr="00EC17EC">
        <w:rPr>
          <w:rFonts w:ascii="Century Schoolbook" w:hAnsi="Century Schoolbook"/>
          <w:szCs w:val="26"/>
        </w:rPr>
        <w:t>effectively</w:t>
      </w:r>
      <w:r w:rsidRPr="00EC17EC">
        <w:rPr>
          <w:rFonts w:ascii="Century Schoolbook" w:hAnsi="Century Schoolbook"/>
          <w:szCs w:val="26"/>
        </w:rPr>
        <w:t>—</w:t>
      </w:r>
      <w:r w:rsidRPr="00EC17EC">
        <w:rPr>
          <w:rFonts w:ascii="Century Schoolbook" w:hAnsi="Century Schoolbook"/>
          <w:szCs w:val="26"/>
        </w:rPr>
        <w:t>and impermissibly</w:t>
      </w:r>
      <w:r w:rsidRPr="00EC17EC">
        <w:rPr>
          <w:rFonts w:ascii="Century Schoolbook" w:hAnsi="Century Schoolbook"/>
          <w:szCs w:val="26"/>
        </w:rPr>
        <w:t>—</w:t>
      </w:r>
      <w:r w:rsidRPr="00EC17EC">
        <w:rPr>
          <w:rFonts w:ascii="Century Schoolbook" w:hAnsi="Century Schoolbook"/>
          <w:szCs w:val="26"/>
        </w:rPr>
        <w:t>engrafts new requirements onto subdivision (g) and thereby violates the separation of powers by empowering the executive branch to amend</w:t>
      </w:r>
      <w:r w:rsidRPr="00EC17EC">
        <w:rPr>
          <w:rFonts w:ascii="Century Schoolbook" w:hAnsi="Century Schoolbook"/>
          <w:szCs w:val="26"/>
        </w:rPr>
        <w:t xml:space="preserve"> a statute enacted by the legislat</w:t>
      </w:r>
      <w:r w:rsidRPr="00EC17EC">
        <w:rPr>
          <w:rFonts w:ascii="Century Schoolbook" w:hAnsi="Century Schoolbook"/>
          <w:szCs w:val="26"/>
        </w:rPr>
        <w:t>ive</w:t>
      </w:r>
      <w:r w:rsidRPr="00EC17EC">
        <w:rPr>
          <w:rFonts w:ascii="Century Schoolbook" w:hAnsi="Century Schoolbook"/>
          <w:szCs w:val="26"/>
        </w:rPr>
        <w:t xml:space="preserve"> branch. </w:t>
      </w:r>
      <w:r w:rsidRPr="00EC17EC">
        <w:rPr>
          <w:rFonts w:ascii="Century Schoolbook" w:hAnsi="Century Schoolbook"/>
          <w:szCs w:val="26"/>
        </w:rPr>
        <w:t xml:space="preserve"> The surety is correct that the executive, just like the judiciary, may interpret statutes but may not rewrite them by engrafting new requirements onto them.  (</w:t>
      </w:r>
      <w:r w:rsidRPr="00EC17EC">
        <w:rPr>
          <w:rFonts w:ascii="Century Schoolbook" w:hAnsi="Century Schoolbook"/>
          <w:i/>
          <w:szCs w:val="26"/>
        </w:rPr>
        <w:t>Equilon Enterprises v. Consumer Cause, Inc.</w:t>
      </w:r>
      <w:r w:rsidRPr="00EC17EC">
        <w:rPr>
          <w:rFonts w:ascii="Century Schoolbook" w:hAnsi="Century Schoolbook"/>
          <w:szCs w:val="26"/>
        </w:rPr>
        <w:t xml:space="preserve"> (2002)</w:t>
      </w:r>
      <w:r w:rsidRPr="00EC17EC">
        <w:rPr>
          <w:rFonts w:ascii="Century Schoolbook" w:hAnsi="Century Schoolbook"/>
          <w:szCs w:val="26"/>
        </w:rPr>
        <w:t xml:space="preserve"> 29 Cal.4th 53, 59</w:t>
      </w:r>
      <w:r w:rsidRPr="00EC17EC">
        <w:rPr>
          <w:rFonts w:ascii="Century Schoolbook" w:hAnsi="Century Schoolbook"/>
          <w:szCs w:val="26"/>
        </w:rPr>
        <w:t>; see also</w:t>
      </w:r>
      <w:r w:rsidRPr="00EC17EC">
        <w:rPr>
          <w:rFonts w:ascii="Century Schoolbook" w:hAnsi="Century Schoolbook"/>
          <w:szCs w:val="26"/>
        </w:rPr>
        <w:t xml:space="preserve"> </w:t>
      </w:r>
      <w:r w:rsidRPr="00EC17EC">
        <w:rPr>
          <w:rFonts w:ascii="Century Schoolbook" w:hAnsi="Century Schoolbook"/>
          <w:i/>
          <w:szCs w:val="26"/>
        </w:rPr>
        <w:t>County of Los Angeles v. American Contractors Indemnity Co.</w:t>
      </w:r>
      <w:r w:rsidRPr="00EC17EC">
        <w:rPr>
          <w:rFonts w:ascii="Century Schoolbook" w:hAnsi="Century Schoolbook"/>
          <w:szCs w:val="26"/>
        </w:rPr>
        <w:t xml:space="preserve">, </w:t>
      </w:r>
      <w:r w:rsidRPr="00EC17EC">
        <w:rPr>
          <w:rFonts w:ascii="Century Schoolbook" w:hAnsi="Century Schoolbook"/>
          <w:i/>
          <w:szCs w:val="26"/>
        </w:rPr>
        <w:t>supra</w:t>
      </w:r>
      <w:r>
        <w:rPr>
          <w:rFonts w:ascii="Century Schoolbook" w:hAnsi="Century Schoolbook"/>
          <w:szCs w:val="26"/>
        </w:rPr>
        <w:t>, 152 </w:t>
      </w:r>
      <w:r w:rsidRPr="00EC17EC">
        <w:rPr>
          <w:rFonts w:ascii="Century Schoolbook" w:hAnsi="Century Schoolbook"/>
          <w:szCs w:val="26"/>
        </w:rPr>
        <w:t xml:space="preserve">Cal.App.4th at pp. </w:t>
      </w:r>
      <w:r w:rsidRPr="00EC17EC">
        <w:rPr>
          <w:rFonts w:ascii="Century Schoolbook" w:hAnsi="Century Schoolbook"/>
          <w:szCs w:val="26"/>
        </w:rPr>
        <w:t>666-668 [declining to add requirement that affidavit under subdivision (g) be certified as authentic in the foreign co</w:t>
      </w:r>
      <w:r w:rsidRPr="00EC17EC">
        <w:rPr>
          <w:rFonts w:ascii="Century Schoolbook" w:hAnsi="Century Schoolbook"/>
          <w:szCs w:val="26"/>
        </w:rPr>
        <w:t>untry].)</w:t>
      </w:r>
    </w:p>
    <w:p w:rsidR="00CA3363"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r>
      <w:r w:rsidRPr="00EC17EC">
        <w:rPr>
          <w:rFonts w:ascii="Century Schoolbook" w:hAnsi="Century Schoolbook"/>
          <w:szCs w:val="26"/>
        </w:rPr>
        <w:t>However,</w:t>
      </w:r>
      <w:r w:rsidRPr="00EC17EC">
        <w:rPr>
          <w:rFonts w:ascii="Century Schoolbook" w:hAnsi="Century Schoolbook"/>
          <w:szCs w:val="26"/>
        </w:rPr>
        <w:t xml:space="preserve"> the prosecutor’s </w:t>
      </w:r>
      <w:r w:rsidRPr="00EC17EC">
        <w:rPr>
          <w:rFonts w:ascii="Century Schoolbook" w:hAnsi="Century Schoolbook"/>
          <w:szCs w:val="26"/>
        </w:rPr>
        <w:t>office’s insistence that a surety provide a photograph or fingerpr</w:t>
      </w:r>
      <w:r w:rsidRPr="00EC17EC">
        <w:rPr>
          <w:rFonts w:ascii="Century Schoolbook" w:hAnsi="Century Schoolbook"/>
          <w:szCs w:val="26"/>
        </w:rPr>
        <w:t>int</w:t>
      </w:r>
      <w:r w:rsidRPr="00EC17EC">
        <w:rPr>
          <w:rFonts w:ascii="Century Schoolbook" w:hAnsi="Century Schoolbook"/>
          <w:szCs w:val="26"/>
        </w:rPr>
        <w:t>s</w:t>
      </w:r>
      <w:r w:rsidRPr="00EC17EC">
        <w:rPr>
          <w:rFonts w:ascii="Century Schoolbook" w:hAnsi="Century Schoolbook"/>
          <w:szCs w:val="26"/>
        </w:rPr>
        <w:t xml:space="preserve"> does not impermissibly amend subdivision (g).  That subdivision lays out three prerequisites to the vacatur for a defendant “not in custody” in a foreign jurisdiction:</w:t>
      </w:r>
      <w:r w:rsidRPr="00EC17EC">
        <w:rPr>
          <w:rFonts w:ascii="Century Schoolbook" w:hAnsi="Century Schoolbook"/>
          <w:szCs w:val="26"/>
        </w:rPr>
        <w:t xml:space="preserve">  (1) that the defendant be “temporarily detained[] by the bail agent[] in the presence of a local law enforcement officer”; (2) that the local officer in a sworn affidavit “positively identif</w:t>
      </w:r>
      <w:r w:rsidRPr="00EC17EC">
        <w:rPr>
          <w:rFonts w:ascii="Century Schoolbook" w:hAnsi="Century Schoolbook"/>
          <w:szCs w:val="26"/>
        </w:rPr>
        <w:t>[y</w:t>
      </w:r>
      <w:r w:rsidRPr="00EC17EC">
        <w:rPr>
          <w:rFonts w:ascii="Century Schoolbook" w:hAnsi="Century Schoolbook"/>
          <w:szCs w:val="26"/>
        </w:rPr>
        <w:t>]” the defendant; and (3) that the “prosecuting agency elect</w:t>
      </w:r>
      <w:r w:rsidRPr="00EC17EC">
        <w:rPr>
          <w:rFonts w:ascii="Century Schoolbook" w:hAnsi="Century Schoolbook"/>
          <w:szCs w:val="26"/>
        </w:rPr>
        <w:t>[]</w:t>
      </w:r>
      <w:r w:rsidRPr="00EC17EC">
        <w:rPr>
          <w:rFonts w:ascii="Century Schoolbook" w:hAnsi="Century Schoolbook"/>
          <w:szCs w:val="26"/>
        </w:rPr>
        <w:t xml:space="preserve"> not to seek extradition after being informed of the location of the defendant.”  (§ 1305, subd. (g).)  The surety urges that we construe the second requirement to limit the third</w:t>
      </w:r>
      <w:r w:rsidRPr="00EC17EC">
        <w:rPr>
          <w:rFonts w:ascii="Century Schoolbook" w:hAnsi="Century Schoolbook"/>
          <w:szCs w:val="26"/>
        </w:rPr>
        <w:t>—</w:t>
      </w:r>
      <w:r w:rsidRPr="00EC17EC">
        <w:rPr>
          <w:rFonts w:ascii="Century Schoolbook" w:hAnsi="Century Schoolbook"/>
          <w:szCs w:val="26"/>
        </w:rPr>
        <w:t xml:space="preserve">that is, that </w:t>
      </w:r>
      <w:r w:rsidRPr="00EC17EC">
        <w:rPr>
          <w:rFonts w:ascii="Century Schoolbook" w:hAnsi="Century Schoolbook"/>
          <w:szCs w:val="26"/>
        </w:rPr>
        <w:t>the prosecuting agency</w:t>
      </w:r>
      <w:r w:rsidRPr="00EC17EC">
        <w:rPr>
          <w:rFonts w:ascii="Century Schoolbook" w:hAnsi="Century Schoolbook"/>
          <w:szCs w:val="26"/>
        </w:rPr>
        <w:t xml:space="preserve"> </w:t>
      </w:r>
      <w:r w:rsidRPr="00EC17EC">
        <w:rPr>
          <w:rFonts w:ascii="Century Schoolbook" w:hAnsi="Century Schoolbook"/>
          <w:i/>
          <w:szCs w:val="26"/>
        </w:rPr>
        <w:t>must</w:t>
      </w:r>
      <w:r w:rsidRPr="00EC17EC">
        <w:rPr>
          <w:rFonts w:ascii="Century Schoolbook" w:hAnsi="Century Schoolbook"/>
          <w:szCs w:val="26"/>
        </w:rPr>
        <w:t xml:space="preserve"> elect whether to seek extradition </w:t>
      </w:r>
      <w:r w:rsidRPr="00EC17EC">
        <w:rPr>
          <w:rFonts w:ascii="Century Schoolbook" w:hAnsi="Century Schoolbook"/>
          <w:i/>
          <w:szCs w:val="26"/>
        </w:rPr>
        <w:t>solely</w:t>
      </w:r>
      <w:r w:rsidRPr="00EC17EC">
        <w:rPr>
          <w:rFonts w:ascii="Century Schoolbook" w:hAnsi="Century Schoolbook"/>
          <w:szCs w:val="26"/>
        </w:rPr>
        <w:t xml:space="preserve"> on the basis of the affidavit showing a positive identification.  We reject this argument.  It is inconsistent with subdivision (g)’s plain language, which on its fac</w:t>
      </w:r>
      <w:r w:rsidRPr="00EC17EC">
        <w:rPr>
          <w:rFonts w:ascii="Century Schoolbook" w:hAnsi="Century Schoolbook"/>
          <w:szCs w:val="26"/>
        </w:rPr>
        <w:t>e</w:t>
      </w:r>
      <w:r w:rsidRPr="00EC17EC">
        <w:rPr>
          <w:rFonts w:ascii="Century Schoolbook" w:hAnsi="Century Schoolbook"/>
          <w:szCs w:val="26"/>
        </w:rPr>
        <w:t xml:space="preserve"> erects three separate and </w:t>
      </w:r>
      <w:r w:rsidRPr="00EC17EC">
        <w:rPr>
          <w:rFonts w:ascii="Century Schoolbook" w:hAnsi="Century Schoolbook"/>
          <w:szCs w:val="26"/>
        </w:rPr>
        <w:t>independent requirements.</w:t>
      </w:r>
    </w:p>
    <w:p w:rsidR="006019F9"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The surety’s argument also l</w:t>
      </w:r>
      <w:r w:rsidRPr="00EC17EC">
        <w:rPr>
          <w:rFonts w:ascii="Century Schoolbook" w:hAnsi="Century Schoolbook"/>
          <w:szCs w:val="26"/>
        </w:rPr>
        <w:t>eads to an absurd result</w:t>
      </w:r>
      <w:r w:rsidRPr="00EC17EC">
        <w:rPr>
          <w:rFonts w:ascii="Century Schoolbook" w:hAnsi="Century Schoolbook"/>
          <w:szCs w:val="26"/>
        </w:rPr>
        <w:t>—</w:t>
      </w:r>
      <w:r w:rsidRPr="00EC17EC">
        <w:rPr>
          <w:rFonts w:ascii="Century Schoolbook" w:hAnsi="Century Schoolbook"/>
          <w:szCs w:val="26"/>
        </w:rPr>
        <w:t xml:space="preserve">namely, that the prosecuting agency’s decision becomes invalid if the agency (quite reasonably) says it </w:t>
      </w:r>
      <w:r w:rsidRPr="00EC17EC">
        <w:rPr>
          <w:rFonts w:ascii="Century Schoolbook" w:hAnsi="Century Schoolbook"/>
          <w:szCs w:val="26"/>
        </w:rPr>
        <w:t>needs</w:t>
      </w:r>
      <w:r w:rsidRPr="00EC17EC">
        <w:rPr>
          <w:rFonts w:ascii="Century Schoolbook" w:hAnsi="Century Schoolbook"/>
          <w:szCs w:val="26"/>
        </w:rPr>
        <w:t xml:space="preserve"> corroborative evidence, but its decision remains valid if the agency says nothing.  </w:t>
      </w:r>
      <w:r w:rsidRPr="00EC17EC">
        <w:rPr>
          <w:rFonts w:ascii="Century Schoolbook" w:hAnsi="Century Schoolbook"/>
          <w:szCs w:val="26"/>
        </w:rPr>
        <w:t>Creating an incentive for</w:t>
      </w:r>
      <w:r w:rsidRPr="00EC17EC">
        <w:rPr>
          <w:rFonts w:ascii="Century Schoolbook" w:hAnsi="Century Schoolbook"/>
          <w:szCs w:val="26"/>
        </w:rPr>
        <w:t xml:space="preserve"> public agen</w:t>
      </w:r>
      <w:r w:rsidRPr="00EC17EC">
        <w:rPr>
          <w:rFonts w:ascii="Century Schoolbook" w:hAnsi="Century Schoolbook"/>
          <w:szCs w:val="26"/>
        </w:rPr>
        <w:t>cies to play hide the ball is</w:t>
      </w:r>
      <w:r w:rsidRPr="00EC17EC">
        <w:rPr>
          <w:rFonts w:ascii="Century Schoolbook" w:hAnsi="Century Schoolbook"/>
          <w:szCs w:val="26"/>
        </w:rPr>
        <w:t>, in our view,</w:t>
      </w:r>
      <w:r w:rsidRPr="00EC17EC">
        <w:rPr>
          <w:rFonts w:ascii="Century Schoolbook" w:hAnsi="Century Schoolbook"/>
          <w:szCs w:val="26"/>
        </w:rPr>
        <w:t xml:space="preserve"> an absurd result.  (</w:t>
      </w:r>
      <w:r w:rsidRPr="00EC17EC">
        <w:rPr>
          <w:rFonts w:ascii="Century Schoolbook" w:hAnsi="Century Schoolbook"/>
          <w:i/>
          <w:szCs w:val="26"/>
        </w:rPr>
        <w:t>John</w:t>
      </w:r>
      <w:r w:rsidRPr="00EC17EC">
        <w:rPr>
          <w:rFonts w:ascii="Century Schoolbook" w:hAnsi="Century Schoolbook"/>
          <w:szCs w:val="26"/>
        </w:rPr>
        <w:t>,</w:t>
      </w:r>
      <w:r w:rsidRPr="00EC17EC">
        <w:rPr>
          <w:rFonts w:ascii="Century Schoolbook" w:hAnsi="Century Schoolbook"/>
          <w:i/>
          <w:szCs w:val="26"/>
        </w:rPr>
        <w:t xml:space="preserve"> supra</w:t>
      </w:r>
      <w:r>
        <w:rPr>
          <w:rFonts w:ascii="Century Schoolbook" w:hAnsi="Century Schoolbook"/>
          <w:szCs w:val="26"/>
        </w:rPr>
        <w:t>, 63 </w:t>
      </w:r>
      <w:r w:rsidRPr="00EC17EC">
        <w:rPr>
          <w:rFonts w:ascii="Century Schoolbook" w:hAnsi="Century Schoolbook"/>
          <w:szCs w:val="26"/>
        </w:rPr>
        <w:t>Cal.4th at p. 96.)</w:t>
      </w:r>
    </w:p>
    <w:p w:rsidR="00CA3363"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Second, the surety asserts that obtaining the defendant’s photograph or fingerprint</w:t>
      </w:r>
      <w:r w:rsidRPr="00EC17EC">
        <w:rPr>
          <w:rFonts w:ascii="Century Schoolbook" w:hAnsi="Century Schoolbook"/>
          <w:szCs w:val="26"/>
        </w:rPr>
        <w:t>s</w:t>
      </w:r>
      <w:r w:rsidRPr="00EC17EC">
        <w:rPr>
          <w:rFonts w:ascii="Century Schoolbook" w:hAnsi="Century Schoolbook"/>
          <w:szCs w:val="26"/>
        </w:rPr>
        <w:t xml:space="preserve"> when he is in a foreign country is often impossible, which effectively empowers the prosecuting agency to make it impossible for a surety to satisfy the requirements of subdivision (g) of </w:t>
      </w:r>
      <w:r w:rsidRPr="00EC17EC">
        <w:rPr>
          <w:rFonts w:ascii="Century Schoolbook" w:hAnsi="Century Schoolbook"/>
          <w:szCs w:val="26"/>
        </w:rPr>
        <w:t>s</w:t>
      </w:r>
      <w:r w:rsidRPr="00EC17EC">
        <w:rPr>
          <w:rFonts w:ascii="Century Schoolbook" w:hAnsi="Century Schoolbook"/>
          <w:szCs w:val="26"/>
        </w:rPr>
        <w:t>ection 1305.</w:t>
      </w:r>
      <w:r>
        <w:rPr>
          <w:rStyle w:val="FootnoteReference"/>
          <w:rFonts w:ascii="Century Schoolbook" w:hAnsi="Century Schoolbook"/>
          <w:b/>
          <w:szCs w:val="26"/>
        </w:rPr>
        <w:footnoteReference w:id="7"/>
      </w:r>
      <w:r w:rsidRPr="00EC17EC">
        <w:rPr>
          <w:rFonts w:ascii="Century Schoolbook" w:hAnsi="Century Schoolbook"/>
          <w:szCs w:val="26"/>
        </w:rPr>
        <w:t xml:space="preserve">  We reject this argument.  </w:t>
      </w:r>
      <w:r w:rsidRPr="00EC17EC">
        <w:rPr>
          <w:rFonts w:ascii="Century Schoolbook" w:hAnsi="Century Schoolbook"/>
          <w:szCs w:val="26"/>
        </w:rPr>
        <w:t xml:space="preserve">Although police </w:t>
      </w:r>
      <w:r w:rsidRPr="00EC17EC">
        <w:rPr>
          <w:rFonts w:ascii="Century Schoolbook" w:hAnsi="Century Schoolbook"/>
          <w:szCs w:val="26"/>
        </w:rPr>
        <w:t xml:space="preserve">in the United States may not </w:t>
      </w:r>
      <w:r w:rsidRPr="00EC17EC">
        <w:rPr>
          <w:rFonts w:ascii="Century Schoolbook" w:hAnsi="Century Schoolbook"/>
          <w:szCs w:val="26"/>
        </w:rPr>
        <w:t>fingerprint a person without</w:t>
      </w:r>
      <w:r w:rsidRPr="00EC17EC">
        <w:rPr>
          <w:rFonts w:ascii="Century Schoolbook" w:hAnsi="Century Schoolbook"/>
          <w:szCs w:val="26"/>
        </w:rPr>
        <w:t xml:space="preserve"> </w:t>
      </w:r>
      <w:r w:rsidRPr="00EC17EC">
        <w:rPr>
          <w:rFonts w:ascii="Century Schoolbook" w:hAnsi="Century Schoolbook"/>
          <w:szCs w:val="26"/>
        </w:rPr>
        <w:t xml:space="preserve">a probable cause-based </w:t>
      </w:r>
      <w:r w:rsidRPr="00EC17EC">
        <w:rPr>
          <w:rFonts w:ascii="Century Schoolbook" w:hAnsi="Century Schoolbook"/>
          <w:szCs w:val="26"/>
        </w:rPr>
        <w:t>arrest</w:t>
      </w:r>
      <w:r w:rsidRPr="00EC17EC">
        <w:rPr>
          <w:rFonts w:ascii="Century Schoolbook" w:hAnsi="Century Schoolbook"/>
          <w:szCs w:val="26"/>
        </w:rPr>
        <w:t xml:space="preserve"> (see </w:t>
      </w:r>
      <w:r w:rsidRPr="00EC17EC">
        <w:rPr>
          <w:rFonts w:ascii="Century Schoolbook" w:hAnsi="Century Schoolbook"/>
          <w:i/>
          <w:szCs w:val="26"/>
        </w:rPr>
        <w:t>Hayes</w:t>
      </w:r>
      <w:r w:rsidRPr="00EC17EC">
        <w:rPr>
          <w:rFonts w:ascii="Century Schoolbook" w:hAnsi="Century Schoolbook"/>
          <w:szCs w:val="26"/>
        </w:rPr>
        <w:t xml:space="preserve"> </w:t>
      </w:r>
      <w:r w:rsidRPr="00EC17EC">
        <w:rPr>
          <w:rFonts w:ascii="Century Schoolbook" w:hAnsi="Century Schoolbook"/>
          <w:i/>
          <w:szCs w:val="26"/>
        </w:rPr>
        <w:t xml:space="preserve">v. Florida </w:t>
      </w:r>
      <w:r w:rsidRPr="00EC17EC">
        <w:rPr>
          <w:rFonts w:ascii="Century Schoolbook" w:hAnsi="Century Schoolbook"/>
          <w:szCs w:val="26"/>
        </w:rPr>
        <w:t xml:space="preserve">(1985) 470 U.S. 811, 814-815), obtaining a defendant’s photograph is </w:t>
      </w:r>
      <w:r w:rsidRPr="00EC17EC">
        <w:rPr>
          <w:rFonts w:ascii="Century Schoolbook" w:hAnsi="Century Schoolbook"/>
          <w:szCs w:val="26"/>
        </w:rPr>
        <w:t xml:space="preserve">not </w:t>
      </w:r>
      <w:r w:rsidRPr="00EC17EC">
        <w:rPr>
          <w:rFonts w:ascii="Century Schoolbook" w:hAnsi="Century Schoolbook"/>
          <w:szCs w:val="26"/>
        </w:rPr>
        <w:t xml:space="preserve">impossible, at least in the United States, </w:t>
      </w:r>
      <w:r w:rsidRPr="00EC17EC">
        <w:rPr>
          <w:rFonts w:ascii="Century Schoolbook" w:hAnsi="Century Schoolbook"/>
          <w:szCs w:val="26"/>
        </w:rPr>
        <w:t xml:space="preserve">because </w:t>
      </w:r>
      <w:r w:rsidRPr="00EC17EC">
        <w:rPr>
          <w:rFonts w:ascii="Century Schoolbook" w:hAnsi="Century Schoolbook"/>
          <w:szCs w:val="26"/>
        </w:rPr>
        <w:t>a person may be photog</w:t>
      </w:r>
      <w:r w:rsidRPr="00EC17EC">
        <w:rPr>
          <w:rFonts w:ascii="Century Schoolbook" w:hAnsi="Century Schoolbook"/>
          <w:szCs w:val="26"/>
        </w:rPr>
        <w:t>raphed by law enforcement while he or she is in public (</w:t>
      </w:r>
      <w:r w:rsidRPr="00EC17EC">
        <w:rPr>
          <w:rFonts w:ascii="Century Schoolbook" w:hAnsi="Century Schoolbook"/>
          <w:i/>
          <w:szCs w:val="26"/>
        </w:rPr>
        <w:t>People v. Maury</w:t>
      </w:r>
      <w:r w:rsidRPr="00EC17EC">
        <w:rPr>
          <w:rFonts w:ascii="Century Schoolbook" w:hAnsi="Century Schoolbook"/>
          <w:szCs w:val="26"/>
        </w:rPr>
        <w:t xml:space="preserve"> (2003) 30 Cal.4th 342, 385 [“police . . . photographing of defendant . . . is not a subject of Fourth Amendment protection since defendant knowingly exposed his whereabouts in public”]</w:t>
      </w:r>
      <w:r w:rsidRPr="00EC17EC">
        <w:rPr>
          <w:rFonts w:ascii="Century Schoolbook" w:hAnsi="Century Schoolbook"/>
          <w:szCs w:val="26"/>
        </w:rPr>
        <w:t xml:space="preserve">).  </w:t>
      </w:r>
      <w:r w:rsidRPr="00EC17EC">
        <w:rPr>
          <w:rFonts w:ascii="Century Schoolbook" w:hAnsi="Century Schoolbook"/>
          <w:szCs w:val="26"/>
        </w:rPr>
        <w:t xml:space="preserve">The surety submitted the affidavits from its investigator and the Mexican officer indicating that they could not detain Angulo once they had verified he was a Mexican national with no pending warrants in Mexico, but they were able to detain him </w:t>
      </w:r>
      <w:r w:rsidRPr="00EC17EC">
        <w:rPr>
          <w:rFonts w:ascii="Century Schoolbook" w:hAnsi="Century Schoolbook"/>
          <w:i/>
          <w:szCs w:val="26"/>
        </w:rPr>
        <w:t>prior</w:t>
      </w:r>
      <w:r w:rsidRPr="00EC17EC">
        <w:rPr>
          <w:rFonts w:ascii="Century Schoolbook" w:hAnsi="Century Schoolbook"/>
          <w:szCs w:val="26"/>
        </w:rPr>
        <w:t xml:space="preserve"> t</w:t>
      </w:r>
      <w:r w:rsidRPr="00EC17EC">
        <w:rPr>
          <w:rFonts w:ascii="Century Schoolbook" w:hAnsi="Century Schoolbook"/>
          <w:szCs w:val="26"/>
        </w:rPr>
        <w:t>o that verification</w:t>
      </w:r>
      <w:r w:rsidRPr="00EC17EC">
        <w:rPr>
          <w:rFonts w:ascii="Century Schoolbook" w:hAnsi="Century Schoolbook"/>
          <w:szCs w:val="26"/>
        </w:rPr>
        <w:t>,</w:t>
      </w:r>
      <w:r w:rsidRPr="00EC17EC">
        <w:rPr>
          <w:rFonts w:ascii="Century Schoolbook" w:hAnsi="Century Schoolbook"/>
          <w:szCs w:val="26"/>
        </w:rPr>
        <w:t xml:space="preserve"> and they do not explain why it was impermissible to p</w:t>
      </w:r>
      <w:r w:rsidRPr="00EC17EC">
        <w:rPr>
          <w:rFonts w:ascii="Century Schoolbook" w:hAnsi="Century Schoolbook"/>
          <w:szCs w:val="26"/>
        </w:rPr>
        <w:t>hotograph Angulo at that time.</w:t>
      </w:r>
    </w:p>
    <w:p w:rsidR="006F1199"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r>
      <w:r w:rsidRPr="00EC17EC">
        <w:rPr>
          <w:rFonts w:ascii="Century Schoolbook" w:hAnsi="Century Schoolbook"/>
          <w:szCs w:val="26"/>
        </w:rPr>
        <w:t>Impossibility of extradition is not a defense in any event.  As noted above, a surety is not entitled to vacatur of a forfeited bond when the defendan</w:t>
      </w:r>
      <w:r w:rsidRPr="00EC17EC">
        <w:rPr>
          <w:rFonts w:ascii="Century Schoolbook" w:hAnsi="Century Schoolbook"/>
          <w:szCs w:val="26"/>
        </w:rPr>
        <w:t>t flees to a country without an extradition treaty.  (</w:t>
      </w:r>
      <w:r w:rsidRPr="00EC17EC">
        <w:rPr>
          <w:rFonts w:ascii="Century Schoolbook" w:hAnsi="Century Schoolbook"/>
          <w:i/>
          <w:szCs w:val="26"/>
        </w:rPr>
        <w:t>Fairmont</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173 </w:t>
      </w:r>
      <w:r w:rsidRPr="00EC17EC">
        <w:rPr>
          <w:rFonts w:ascii="Century Schoolbook" w:hAnsi="Century Schoolbook"/>
          <w:szCs w:val="26"/>
        </w:rPr>
        <w:t xml:space="preserve">Cal.App.4th at pp. 544-545; </w:t>
      </w:r>
      <w:r w:rsidRPr="00EC17EC">
        <w:rPr>
          <w:rFonts w:ascii="Century Schoolbook" w:hAnsi="Century Schoolbook"/>
          <w:i/>
          <w:szCs w:val="26"/>
        </w:rPr>
        <w:t>Ranger Ins. Co.</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61 </w:t>
      </w:r>
      <w:r w:rsidRPr="00EC17EC">
        <w:rPr>
          <w:rFonts w:ascii="Century Schoolbook" w:hAnsi="Century Schoolbook"/>
          <w:szCs w:val="26"/>
        </w:rPr>
        <w:t xml:space="preserve">Cal.App.4th at pp. 802-805; </w:t>
      </w:r>
      <w:r w:rsidRPr="00EC17EC">
        <w:rPr>
          <w:rFonts w:ascii="Century Schoolbook" w:hAnsi="Century Schoolbook"/>
          <w:i/>
          <w:szCs w:val="26"/>
        </w:rPr>
        <w:t>Lexington</w:t>
      </w:r>
      <w:r w:rsidRPr="00EC17EC">
        <w:rPr>
          <w:rFonts w:ascii="Century Schoolbook" w:hAnsi="Century Schoolbook"/>
          <w:szCs w:val="26"/>
        </w:rPr>
        <w:t>, 189 Cal.App.4th at pp. </w:t>
      </w:r>
      <w:r w:rsidRPr="00EC17EC">
        <w:rPr>
          <w:rFonts w:ascii="Century Schoolbook" w:hAnsi="Century Schoolbook"/>
          <w:szCs w:val="26"/>
        </w:rPr>
        <w:t xml:space="preserve">1247-1249.)  </w:t>
      </w:r>
      <w:r w:rsidRPr="00EC17EC">
        <w:rPr>
          <w:rFonts w:ascii="Century Schoolbook" w:hAnsi="Century Schoolbook"/>
          <w:szCs w:val="26"/>
        </w:rPr>
        <w:t>Assuredly, t</w:t>
      </w:r>
      <w:r w:rsidRPr="00EC17EC">
        <w:rPr>
          <w:rFonts w:ascii="Century Schoolbook" w:hAnsi="Century Schoolbook"/>
          <w:szCs w:val="26"/>
        </w:rPr>
        <w:t xml:space="preserve">he alleged impossibility here is due to </w:t>
      </w:r>
      <w:r w:rsidRPr="00EC17EC">
        <w:rPr>
          <w:rFonts w:ascii="Century Schoolbook" w:hAnsi="Century Schoolbook"/>
          <w:szCs w:val="26"/>
        </w:rPr>
        <w:t xml:space="preserve">a requirement of </w:t>
      </w:r>
      <w:r w:rsidRPr="00EC17EC">
        <w:rPr>
          <w:rFonts w:ascii="Century Schoolbook" w:hAnsi="Century Schoolbook"/>
          <w:szCs w:val="26"/>
        </w:rPr>
        <w:t xml:space="preserve">the prosecuting </w:t>
      </w:r>
      <w:r w:rsidRPr="00EC17EC">
        <w:rPr>
          <w:rFonts w:ascii="Century Schoolbook" w:hAnsi="Century Schoolbook"/>
          <w:szCs w:val="26"/>
        </w:rPr>
        <w:t>agency</w:t>
      </w:r>
      <w:r w:rsidRPr="00EC17EC">
        <w:rPr>
          <w:rFonts w:ascii="Century Schoolbook" w:hAnsi="Century Schoolbook"/>
          <w:szCs w:val="26"/>
        </w:rPr>
        <w:t xml:space="preserve"> rather than the absence of an extradit</w:t>
      </w:r>
      <w:r w:rsidRPr="00EC17EC">
        <w:rPr>
          <w:rFonts w:ascii="Century Schoolbook" w:hAnsi="Century Schoolbook"/>
          <w:szCs w:val="26"/>
        </w:rPr>
        <w:t>ion treaty.  But</w:t>
      </w:r>
      <w:r w:rsidRPr="00EC17EC">
        <w:rPr>
          <w:rFonts w:ascii="Century Schoolbook" w:hAnsi="Century Schoolbook"/>
          <w:szCs w:val="26"/>
        </w:rPr>
        <w:t xml:space="preserve"> that is of no consequence</w:t>
      </w:r>
      <w:r w:rsidRPr="00EC17EC">
        <w:rPr>
          <w:rFonts w:ascii="Century Schoolbook" w:hAnsi="Century Schoolbook"/>
          <w:szCs w:val="26"/>
        </w:rPr>
        <w:t xml:space="preserve">, even under the contract doctrine of impossibility (Civ. Code, § 1511) that the surety in this </w:t>
      </w:r>
      <w:r w:rsidRPr="00EC17EC">
        <w:rPr>
          <w:rFonts w:ascii="Century Schoolbook" w:hAnsi="Century Schoolbook"/>
          <w:szCs w:val="26"/>
        </w:rPr>
        <w:t>case invokes.  That doctrine, courts have held, does not entitle a surety to relief even when the impossibility of obtaining relief is due to the prosecuting agency’s decision-making process regarding extradition.  (</w:t>
      </w:r>
      <w:r w:rsidRPr="00EC17EC">
        <w:rPr>
          <w:rFonts w:ascii="Century Schoolbook" w:hAnsi="Century Schoolbook"/>
          <w:i/>
          <w:szCs w:val="26"/>
        </w:rPr>
        <w:t>Tingcungco</w:t>
      </w:r>
      <w:r w:rsidRPr="00EC17EC">
        <w:rPr>
          <w:rFonts w:ascii="Century Schoolbook" w:hAnsi="Century Schoolbook"/>
          <w:szCs w:val="26"/>
        </w:rPr>
        <w:t xml:space="preserve">, </w:t>
      </w:r>
      <w:r w:rsidRPr="00EC17EC">
        <w:rPr>
          <w:rFonts w:ascii="Century Schoolbook" w:hAnsi="Century Schoolbook"/>
          <w:i/>
          <w:szCs w:val="26"/>
        </w:rPr>
        <w:t>supra</w:t>
      </w:r>
      <w:r>
        <w:rPr>
          <w:rFonts w:ascii="Century Schoolbook" w:hAnsi="Century Schoolbook"/>
          <w:szCs w:val="26"/>
        </w:rPr>
        <w:t>, 237 Cal.App.4th at </w:t>
      </w:r>
      <w:r w:rsidRPr="00EC17EC">
        <w:rPr>
          <w:rFonts w:ascii="Century Schoolbook" w:hAnsi="Century Schoolbook"/>
          <w:szCs w:val="26"/>
        </w:rPr>
        <w:t>pp</w:t>
      </w:r>
      <w:r w:rsidRPr="00EC17EC">
        <w:rPr>
          <w:rFonts w:ascii="Century Schoolbook" w:hAnsi="Century Schoolbook"/>
          <w:szCs w:val="26"/>
        </w:rPr>
        <w:t xml:space="preserve">. 252-253, 258 [surety submitted information to prosecuting </w:t>
      </w:r>
      <w:r w:rsidRPr="00EC17EC">
        <w:rPr>
          <w:rFonts w:ascii="Century Schoolbook" w:hAnsi="Century Schoolbook"/>
          <w:szCs w:val="26"/>
        </w:rPr>
        <w:t xml:space="preserve">agency seeking extradition </w:t>
      </w:r>
      <w:r w:rsidRPr="00EC17EC">
        <w:rPr>
          <w:rFonts w:ascii="Century Schoolbook" w:hAnsi="Century Schoolbook"/>
          <w:szCs w:val="26"/>
        </w:rPr>
        <w:t xml:space="preserve">only two weeks before expiration of appearance period; impossibility of deciding </w:t>
      </w:r>
      <w:r w:rsidRPr="00EC17EC">
        <w:rPr>
          <w:rFonts w:ascii="Century Schoolbook" w:hAnsi="Century Schoolbook"/>
          <w:szCs w:val="26"/>
        </w:rPr>
        <w:t xml:space="preserve">whether to extradite </w:t>
      </w:r>
      <w:r w:rsidRPr="00EC17EC">
        <w:rPr>
          <w:rFonts w:ascii="Century Schoolbook" w:hAnsi="Century Schoolbook"/>
          <w:szCs w:val="26"/>
        </w:rPr>
        <w:t>within that time frame did not warrant</w:t>
      </w:r>
      <w:r w:rsidRPr="00EC17EC">
        <w:rPr>
          <w:rFonts w:ascii="Century Schoolbook" w:hAnsi="Century Schoolbook"/>
          <w:szCs w:val="26"/>
        </w:rPr>
        <w:t xml:space="preserve"> extension of appearance peri</w:t>
      </w:r>
      <w:r w:rsidRPr="00EC17EC">
        <w:rPr>
          <w:rFonts w:ascii="Century Schoolbook" w:hAnsi="Century Schoolbook"/>
          <w:szCs w:val="26"/>
        </w:rPr>
        <w:t>od]; c</w:t>
      </w:r>
      <w:r w:rsidRPr="00EC17EC">
        <w:rPr>
          <w:rFonts w:ascii="Century Schoolbook" w:hAnsi="Century Schoolbook"/>
          <w:szCs w:val="26"/>
        </w:rPr>
        <w:t xml:space="preserve">f. </w:t>
      </w:r>
      <w:r w:rsidRPr="00EC17EC">
        <w:rPr>
          <w:rFonts w:ascii="Century Schoolbook" w:hAnsi="Century Schoolbook"/>
          <w:i/>
          <w:szCs w:val="26"/>
        </w:rPr>
        <w:t>Ninety Nine Investments</w:t>
      </w:r>
      <w:r w:rsidRPr="00EC17EC">
        <w:rPr>
          <w:rFonts w:ascii="Century Schoolbook" w:hAnsi="Century Schoolbook"/>
          <w:i/>
          <w:szCs w:val="26"/>
        </w:rPr>
        <w:t>, Ltd.</w:t>
      </w:r>
      <w:r w:rsidRPr="00EC17EC">
        <w:rPr>
          <w:rFonts w:ascii="Century Schoolbook" w:hAnsi="Century Schoolbook"/>
          <w:i/>
          <w:szCs w:val="26"/>
        </w:rPr>
        <w:t xml:space="preserve"> v. Overseas Courier Service </w:t>
      </w:r>
      <w:r>
        <w:rPr>
          <w:rFonts w:ascii="Century Schoolbook" w:hAnsi="Century Schoolbook"/>
          <w:i/>
          <w:szCs w:val="26"/>
        </w:rPr>
        <w:t>(Singapore</w:t>
      </w:r>
      <w:r w:rsidRPr="00EC17EC">
        <w:rPr>
          <w:rFonts w:ascii="Century Schoolbook" w:hAnsi="Century Schoolbook"/>
          <w:i/>
          <w:szCs w:val="26"/>
        </w:rPr>
        <w:t>) Private</w:t>
      </w:r>
      <w:r w:rsidRPr="00EC17EC">
        <w:rPr>
          <w:rFonts w:ascii="Century Schoolbook" w:hAnsi="Century Schoolbook"/>
          <w:i/>
          <w:szCs w:val="26"/>
        </w:rPr>
        <w:t>, Ltd.</w:t>
      </w:r>
      <w:r w:rsidRPr="00EC17EC">
        <w:rPr>
          <w:rFonts w:ascii="Century Schoolbook" w:hAnsi="Century Schoolbook"/>
          <w:szCs w:val="26"/>
        </w:rPr>
        <w:t xml:space="preserve"> (2003) 113 Cal.</w:t>
      </w:r>
      <w:r w:rsidRPr="00EC17EC">
        <w:rPr>
          <w:rFonts w:ascii="Century Schoolbook" w:hAnsi="Century Schoolbook"/>
          <w:szCs w:val="26"/>
        </w:rPr>
        <w:t>App.4th 1118, 1127 [party’s non</w:t>
      </w:r>
      <w:r w:rsidRPr="00EC17EC">
        <w:rPr>
          <w:rFonts w:ascii="Century Schoolbook" w:hAnsi="Century Schoolbook"/>
          <w:szCs w:val="26"/>
        </w:rPr>
        <w:t>compliance with its contractual obligations precludes relief for breach of contract].)</w:t>
      </w:r>
    </w:p>
    <w:p w:rsidR="00412E4F"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Third, the surety argues that</w:t>
      </w:r>
      <w:r w:rsidRPr="00EC17EC">
        <w:rPr>
          <w:rFonts w:ascii="Century Schoolbook" w:hAnsi="Century Schoolbook"/>
          <w:szCs w:val="26"/>
        </w:rPr>
        <w:t xml:space="preserve"> allowing prosecuting agencies to require more than an affidavit undermines the public policies underlying subdivision (g) of </w:t>
      </w:r>
      <w:r w:rsidRPr="00EC17EC">
        <w:rPr>
          <w:rFonts w:ascii="Century Schoolbook" w:hAnsi="Century Schoolbook"/>
          <w:szCs w:val="26"/>
        </w:rPr>
        <w:t>s</w:t>
      </w:r>
      <w:r w:rsidRPr="00EC17EC">
        <w:rPr>
          <w:rFonts w:ascii="Century Schoolbook" w:hAnsi="Century Schoolbook"/>
          <w:szCs w:val="26"/>
        </w:rPr>
        <w:t>ection 1305.  The surety notes</w:t>
      </w:r>
      <w:r w:rsidRPr="00EC17EC">
        <w:rPr>
          <w:rFonts w:ascii="Century Schoolbook" w:hAnsi="Century Schoolbook"/>
          <w:szCs w:val="26"/>
        </w:rPr>
        <w:t xml:space="preserve">, </w:t>
      </w:r>
      <w:r w:rsidRPr="00EC17EC">
        <w:rPr>
          <w:rFonts w:ascii="Century Schoolbook" w:hAnsi="Century Schoolbook"/>
          <w:szCs w:val="26"/>
        </w:rPr>
        <w:t xml:space="preserve">and </w:t>
      </w:r>
      <w:r w:rsidRPr="00EC17EC">
        <w:rPr>
          <w:rFonts w:ascii="Century Schoolbook" w:hAnsi="Century Schoolbook"/>
          <w:szCs w:val="26"/>
        </w:rPr>
        <w:t>as we observe above,</w:t>
      </w:r>
      <w:r w:rsidRPr="00EC17EC">
        <w:rPr>
          <w:rFonts w:ascii="Century Schoolbook" w:hAnsi="Century Schoolbook"/>
          <w:szCs w:val="26"/>
        </w:rPr>
        <w:t xml:space="preserve"> </w:t>
      </w:r>
      <w:r w:rsidRPr="00EC17EC">
        <w:rPr>
          <w:rFonts w:ascii="Century Schoolbook" w:hAnsi="Century Schoolbook"/>
          <w:szCs w:val="26"/>
        </w:rPr>
        <w:t xml:space="preserve">our Legislature enacted </w:t>
      </w:r>
      <w:r w:rsidRPr="00EC17EC">
        <w:rPr>
          <w:rFonts w:ascii="Century Schoolbook" w:hAnsi="Century Schoolbook"/>
          <w:szCs w:val="26"/>
        </w:rPr>
        <w:t>subdivision (g) as a means of creating an econom</w:t>
      </w:r>
      <w:r w:rsidRPr="00EC17EC">
        <w:rPr>
          <w:rFonts w:ascii="Century Schoolbook" w:hAnsi="Century Schoolbook"/>
          <w:szCs w:val="26"/>
        </w:rPr>
        <w:t xml:space="preserve">ic incentive for sureties to track down absconding defendants in foreign countries, whether or not those defendants were in custody.  (See </w:t>
      </w:r>
      <w:r w:rsidRPr="00EC17EC">
        <w:rPr>
          <w:rFonts w:ascii="Century Schoolbook" w:hAnsi="Century Schoolbook"/>
          <w:i/>
          <w:szCs w:val="26"/>
        </w:rPr>
        <w:t>County of Los Angeles v.</w:t>
      </w:r>
      <w:r w:rsidRPr="00EC17EC">
        <w:rPr>
          <w:rFonts w:ascii="Century Schoolbook" w:hAnsi="Century Schoolbook"/>
          <w:i/>
          <w:szCs w:val="26"/>
        </w:rPr>
        <w:t> </w:t>
      </w:r>
      <w:r w:rsidRPr="00EC17EC">
        <w:rPr>
          <w:rFonts w:ascii="Century Schoolbook" w:hAnsi="Century Schoolbook"/>
          <w:i/>
          <w:szCs w:val="26"/>
        </w:rPr>
        <w:t>American Contractors Indemnity Co.</w:t>
      </w:r>
      <w:r w:rsidRPr="00EC17EC">
        <w:rPr>
          <w:rFonts w:ascii="Century Schoolbook" w:hAnsi="Century Schoolbook"/>
          <w:szCs w:val="26"/>
        </w:rPr>
        <w:t>,</w:t>
      </w:r>
      <w:r w:rsidRPr="00EC17EC">
        <w:rPr>
          <w:rFonts w:ascii="Century Schoolbook" w:hAnsi="Century Schoolbook"/>
          <w:i/>
          <w:szCs w:val="26"/>
        </w:rPr>
        <w:t xml:space="preserve"> supra</w:t>
      </w:r>
      <w:r w:rsidRPr="00EC17EC">
        <w:rPr>
          <w:rFonts w:ascii="Century Schoolbook" w:hAnsi="Century Schoolbook"/>
          <w:szCs w:val="26"/>
        </w:rPr>
        <w:t xml:space="preserve">, 152 Cal.App.4th at pp. 664-665; </w:t>
      </w:r>
      <w:r w:rsidRPr="00EC17EC">
        <w:rPr>
          <w:rFonts w:ascii="Century Schoolbook" w:hAnsi="Century Schoolbook"/>
          <w:i/>
          <w:szCs w:val="26"/>
        </w:rPr>
        <w:t>Frontier</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xml:space="preserve">, </w:t>
      </w:r>
      <w:r w:rsidRPr="00EC17EC">
        <w:rPr>
          <w:rFonts w:ascii="Century Schoolbook" w:hAnsi="Century Schoolbook"/>
          <w:szCs w:val="26"/>
        </w:rPr>
        <w:t>69 Cal.App.4th at p. 1096.)  What is more</w:t>
      </w:r>
      <w:r w:rsidRPr="00EC17EC">
        <w:rPr>
          <w:rFonts w:ascii="Century Schoolbook" w:hAnsi="Century Schoolbook"/>
          <w:szCs w:val="26"/>
        </w:rPr>
        <w:t xml:space="preserve">, the surety contends, the costs prosecuting agencies incur in extraditing a defendant </w:t>
      </w:r>
      <w:r w:rsidRPr="00EC17EC">
        <w:rPr>
          <w:rFonts w:ascii="Century Schoolbook" w:hAnsi="Century Schoolbook"/>
          <w:szCs w:val="26"/>
        </w:rPr>
        <w:t>can be recouped.  (§ 1306, subd. (b).)  The surety is correct that allowing prosecut</w:t>
      </w:r>
      <w:r>
        <w:rPr>
          <w:rFonts w:ascii="Century Schoolbook" w:hAnsi="Century Schoolbook"/>
          <w:szCs w:val="26"/>
        </w:rPr>
        <w:t xml:space="preserve">ing agencies to require </w:t>
      </w:r>
      <w:r w:rsidRPr="00EC17EC">
        <w:rPr>
          <w:rFonts w:ascii="Century Schoolbook" w:hAnsi="Century Schoolbook"/>
          <w:szCs w:val="26"/>
        </w:rPr>
        <w:t>proof of a defendant</w:t>
      </w:r>
      <w:r w:rsidRPr="00EC17EC">
        <w:rPr>
          <w:rFonts w:ascii="Century Schoolbook" w:hAnsi="Century Schoolbook"/>
          <w:szCs w:val="26"/>
        </w:rPr>
        <w:t>’s pr</w:t>
      </w:r>
      <w:r>
        <w:rPr>
          <w:rFonts w:ascii="Century Schoolbook" w:hAnsi="Century Schoolbook"/>
          <w:szCs w:val="26"/>
        </w:rPr>
        <w:t>esence in a foreign country beyond</w:t>
      </w:r>
      <w:r w:rsidRPr="00EC17EC">
        <w:rPr>
          <w:rFonts w:ascii="Century Schoolbook" w:hAnsi="Century Schoolbook"/>
          <w:szCs w:val="26"/>
        </w:rPr>
        <w:t xml:space="preserve"> an affidavit could result in fewer extradition decisions and hence fewer bond exonerations.  However, the economic-incentive justification for subdivision (g) is not a trump card; the cases that have refused to inter</w:t>
      </w:r>
      <w:r w:rsidRPr="00EC17EC">
        <w:rPr>
          <w:rFonts w:ascii="Century Schoolbook" w:hAnsi="Century Schoolbook"/>
          <w:szCs w:val="26"/>
        </w:rPr>
        <w:t>fere with the prosecuting agency’s decision-making process have recognized the potential harm to this justification but found it not to be controlling.  (E.g.,</w:t>
      </w:r>
      <w:r>
        <w:rPr>
          <w:rFonts w:ascii="Century Schoolbook" w:hAnsi="Century Schoolbook"/>
          <w:szCs w:val="26"/>
        </w:rPr>
        <w:t> </w:t>
      </w:r>
      <w:r w:rsidRPr="00EC17EC">
        <w:rPr>
          <w:rFonts w:ascii="Century Schoolbook" w:hAnsi="Century Schoolbook"/>
          <w:i/>
          <w:szCs w:val="26"/>
        </w:rPr>
        <w:t>Tingcungco</w:t>
      </w:r>
      <w:r w:rsidRPr="00EC17EC">
        <w:rPr>
          <w:rFonts w:ascii="Century Schoolbook" w:hAnsi="Century Schoolbook"/>
          <w:szCs w:val="26"/>
        </w:rPr>
        <w:t>,</w:t>
      </w:r>
      <w:r w:rsidRPr="00EC17EC">
        <w:rPr>
          <w:rFonts w:ascii="Century Schoolbook" w:hAnsi="Century Schoolbook"/>
          <w:i/>
          <w:szCs w:val="26"/>
        </w:rPr>
        <w:t xml:space="preserve"> supra</w:t>
      </w:r>
      <w:r w:rsidRPr="00EC17EC">
        <w:rPr>
          <w:rFonts w:ascii="Century Schoolbook" w:hAnsi="Century Schoolbook"/>
          <w:szCs w:val="26"/>
        </w:rPr>
        <w:t>, 237 Cal.App.4th at p. 258.)  We do the same.</w:t>
      </w:r>
    </w:p>
    <w:p w:rsidR="00E004AE" w:rsidRPr="00EC17EC" w:rsidRDefault="00DE519E" w:rsidP="00A85AF2">
      <w:pPr>
        <w:spacing w:line="288" w:lineRule="auto"/>
        <w:ind w:firstLine="720"/>
        <w:rPr>
          <w:rFonts w:ascii="Century Schoolbook" w:hAnsi="Century Schoolbook"/>
          <w:szCs w:val="26"/>
        </w:rPr>
      </w:pPr>
      <w:r w:rsidRPr="00EC17EC">
        <w:rPr>
          <w:rFonts w:ascii="Century Schoolbook" w:hAnsi="Century Schoolbook"/>
          <w:szCs w:val="26"/>
        </w:rPr>
        <w:t xml:space="preserve">The surety </w:t>
      </w:r>
      <w:r w:rsidRPr="00EC17EC">
        <w:rPr>
          <w:rFonts w:ascii="Century Schoolbook" w:hAnsi="Century Schoolbook"/>
          <w:szCs w:val="26"/>
        </w:rPr>
        <w:t>relatedly</w:t>
      </w:r>
      <w:r w:rsidRPr="00EC17EC">
        <w:rPr>
          <w:rFonts w:ascii="Century Schoolbook" w:hAnsi="Century Schoolbook"/>
          <w:szCs w:val="26"/>
        </w:rPr>
        <w:t xml:space="preserve"> argues that</w:t>
      </w:r>
      <w:r w:rsidRPr="00EC17EC">
        <w:rPr>
          <w:rFonts w:ascii="Century Schoolbook" w:hAnsi="Century Schoolbook"/>
          <w:szCs w:val="26"/>
        </w:rPr>
        <w:t xml:space="preserve"> </w:t>
      </w:r>
      <w:r w:rsidRPr="00EC17EC">
        <w:rPr>
          <w:rFonts w:ascii="Century Schoolbook" w:hAnsi="Century Schoolbook"/>
          <w:szCs w:val="26"/>
        </w:rPr>
        <w:t>s</w:t>
      </w:r>
      <w:r w:rsidRPr="00EC17EC">
        <w:rPr>
          <w:rFonts w:ascii="Century Schoolbook" w:hAnsi="Century Schoolbook"/>
          <w:szCs w:val="26"/>
        </w:rPr>
        <w:t xml:space="preserve">ection 1305 </w:t>
      </w:r>
      <w:r w:rsidRPr="00EC17EC">
        <w:rPr>
          <w:rFonts w:ascii="Century Schoolbook" w:hAnsi="Century Schoolbook"/>
          <w:szCs w:val="26"/>
        </w:rPr>
        <w:t>erects</w:t>
      </w:r>
      <w:r w:rsidRPr="00EC17EC">
        <w:rPr>
          <w:rFonts w:ascii="Century Schoolbook" w:hAnsi="Century Schoolbook"/>
          <w:szCs w:val="26"/>
        </w:rPr>
        <w:t xml:space="preserve"> a carefully crafted system </w:t>
      </w:r>
      <w:r>
        <w:rPr>
          <w:rFonts w:ascii="Century Schoolbook" w:hAnsi="Century Schoolbook"/>
          <w:szCs w:val="26"/>
        </w:rPr>
        <w:t xml:space="preserve">designed to protect the </w:t>
      </w:r>
      <w:r w:rsidRPr="00EC17EC">
        <w:rPr>
          <w:rFonts w:ascii="Century Schoolbook" w:hAnsi="Century Schoolbook"/>
          <w:szCs w:val="26"/>
        </w:rPr>
        <w:t>interests</w:t>
      </w:r>
      <w:r>
        <w:rPr>
          <w:rFonts w:ascii="Century Schoolbook" w:hAnsi="Century Schoolbook"/>
          <w:szCs w:val="26"/>
        </w:rPr>
        <w:t xml:space="preserve"> of sureties</w:t>
      </w:r>
      <w:r w:rsidRPr="00EC17EC">
        <w:rPr>
          <w:rFonts w:ascii="Century Schoolbook" w:hAnsi="Century Schoolbook"/>
          <w:szCs w:val="26"/>
        </w:rPr>
        <w:t xml:space="preserve"> insofar as a surety is entitled to a postponement of the appearance period if the prosecuting agency elects to extradite and entitled to exoneration of the bond i</w:t>
      </w:r>
      <w:r w:rsidRPr="00EC17EC">
        <w:rPr>
          <w:rFonts w:ascii="Century Schoolbook" w:hAnsi="Century Schoolbook"/>
          <w:szCs w:val="26"/>
        </w:rPr>
        <w:t>f the a</w:t>
      </w:r>
      <w:r w:rsidRPr="00EC17EC">
        <w:rPr>
          <w:rFonts w:ascii="Century Schoolbook" w:hAnsi="Century Schoolbook"/>
          <w:szCs w:val="26"/>
        </w:rPr>
        <w:t>gency elects not to extradite.  Gr</w:t>
      </w:r>
      <w:r w:rsidRPr="00EC17EC">
        <w:rPr>
          <w:rFonts w:ascii="Century Schoolbook" w:hAnsi="Century Schoolbook"/>
          <w:szCs w:val="26"/>
        </w:rPr>
        <w:t xml:space="preserve">anting the agency the power </w:t>
      </w:r>
      <w:r w:rsidRPr="00EC17EC">
        <w:rPr>
          <w:rFonts w:ascii="Century Schoolbook" w:hAnsi="Century Schoolbook"/>
          <w:i/>
          <w:szCs w:val="26"/>
        </w:rPr>
        <w:t>not to decide</w:t>
      </w:r>
      <w:r>
        <w:rPr>
          <w:rFonts w:ascii="Century Schoolbook" w:hAnsi="Century Schoolbook"/>
          <w:szCs w:val="26"/>
        </w:rPr>
        <w:t>, the surety reasons, places a</w:t>
      </w:r>
      <w:r w:rsidRPr="00EC17EC">
        <w:rPr>
          <w:rFonts w:ascii="Century Schoolbook" w:hAnsi="Century Schoolbook"/>
          <w:szCs w:val="26"/>
        </w:rPr>
        <w:t xml:space="preserve"> surety in a limbo that precludes exoneration and thus is at odds with the rest of the system.  We reject this argument because </w:t>
      </w:r>
      <w:r w:rsidRPr="00EC17EC">
        <w:rPr>
          <w:rFonts w:ascii="Century Schoolbook" w:hAnsi="Century Schoolbook"/>
          <w:szCs w:val="26"/>
        </w:rPr>
        <w:t>s</w:t>
      </w:r>
      <w:r w:rsidRPr="00EC17EC">
        <w:rPr>
          <w:rFonts w:ascii="Century Schoolbook" w:hAnsi="Century Schoolbook"/>
          <w:szCs w:val="26"/>
        </w:rPr>
        <w:t>ection 1305 doe</w:t>
      </w:r>
      <w:r w:rsidRPr="00EC17EC">
        <w:rPr>
          <w:rFonts w:ascii="Century Schoolbook" w:hAnsi="Century Schoolbook"/>
          <w:szCs w:val="26"/>
        </w:rPr>
        <w:t>s not set up the surety-friendly system the su</w:t>
      </w:r>
      <w:r w:rsidRPr="00EC17EC">
        <w:rPr>
          <w:rFonts w:ascii="Century Schoolbook" w:hAnsi="Century Schoolbook"/>
          <w:szCs w:val="26"/>
        </w:rPr>
        <w:t xml:space="preserve">rety describes.  </w:t>
      </w:r>
      <w:r w:rsidRPr="00EC17EC">
        <w:rPr>
          <w:rFonts w:ascii="Century Schoolbook" w:hAnsi="Century Schoolbook"/>
          <w:szCs w:val="26"/>
        </w:rPr>
        <w:t xml:space="preserve">As explained above, a surety is not entitled to a postponement of the appearance period once the prosecuting agency elects to extradite; instead, it is entirely up to the agency whether </w:t>
      </w:r>
      <w:r w:rsidRPr="00EC17EC">
        <w:rPr>
          <w:rFonts w:ascii="Century Schoolbook" w:hAnsi="Century Schoolbook"/>
          <w:szCs w:val="26"/>
        </w:rPr>
        <w:t>to agre</w:t>
      </w:r>
      <w:r w:rsidRPr="00EC17EC">
        <w:rPr>
          <w:rFonts w:ascii="Century Schoolbook" w:hAnsi="Century Schoolbook"/>
          <w:szCs w:val="26"/>
        </w:rPr>
        <w:t>e to a postponement.  (§ </w:t>
      </w:r>
      <w:r w:rsidRPr="00EC17EC">
        <w:rPr>
          <w:rFonts w:ascii="Century Schoolbook" w:hAnsi="Century Schoolbook"/>
          <w:szCs w:val="26"/>
        </w:rPr>
        <w:t xml:space="preserve">1305, subd. (h).)  And there are numerous other situations where the surety cannot recover despite its best efforts, such as when there is no extradition treaty (e.g., </w:t>
      </w:r>
      <w:r w:rsidRPr="00EC17EC">
        <w:rPr>
          <w:rFonts w:ascii="Century Schoolbook" w:hAnsi="Century Schoolbook"/>
          <w:i/>
          <w:szCs w:val="26"/>
        </w:rPr>
        <w:t>Fairmont</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173 </w:t>
      </w:r>
      <w:r w:rsidRPr="00EC17EC">
        <w:rPr>
          <w:rFonts w:ascii="Century Schoolbook" w:hAnsi="Century Schoolbook"/>
          <w:szCs w:val="26"/>
        </w:rPr>
        <w:t xml:space="preserve">Cal.App.4th at pp. 544-545) or when it </w:t>
      </w:r>
      <w:r w:rsidRPr="00EC17EC">
        <w:rPr>
          <w:rFonts w:ascii="Century Schoolbook" w:hAnsi="Century Schoolbook"/>
          <w:szCs w:val="26"/>
        </w:rPr>
        <w:t>makes its request for a decision on extradition too close to the end of the appearance period (</w:t>
      </w:r>
      <w:r w:rsidRPr="00EC17EC">
        <w:rPr>
          <w:rFonts w:ascii="Century Schoolbook" w:hAnsi="Century Schoolbook"/>
          <w:i/>
          <w:szCs w:val="26"/>
        </w:rPr>
        <w:t>Tingcungco</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237 Cal.App.4th at pp. 256-259).  Denying the surety relief because it does not comply with a prosecuting agency’s reasonable requirements for</w:t>
      </w:r>
      <w:r w:rsidRPr="00EC17EC">
        <w:rPr>
          <w:rFonts w:ascii="Century Schoolbook" w:hAnsi="Century Schoolbook"/>
          <w:szCs w:val="26"/>
        </w:rPr>
        <w:t xml:space="preserve"> making extradition decisions is entirely consistent with the system that </w:t>
      </w:r>
      <w:r w:rsidRPr="00EC17EC">
        <w:rPr>
          <w:rFonts w:ascii="Century Schoolbook" w:hAnsi="Century Schoolbook"/>
          <w:szCs w:val="26"/>
        </w:rPr>
        <w:t>s</w:t>
      </w:r>
      <w:r w:rsidRPr="00EC17EC">
        <w:rPr>
          <w:rFonts w:ascii="Century Schoolbook" w:hAnsi="Century Schoolbook"/>
          <w:szCs w:val="26"/>
        </w:rPr>
        <w:t>ection 1305 actually erects.</w:t>
      </w:r>
    </w:p>
    <w:p w:rsidR="00AC0614"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Lastly, the surety contends that the prosecutor’s office in this case does not really need a photograph or fingerprints corroborating the defendant’s p</w:t>
      </w:r>
      <w:r w:rsidRPr="00EC17EC">
        <w:rPr>
          <w:rFonts w:ascii="Century Schoolbook" w:hAnsi="Century Schoolbook"/>
          <w:szCs w:val="26"/>
        </w:rPr>
        <w:t xml:space="preserve">resence in a foreign jurisdiction in order to </w:t>
      </w:r>
      <w:r w:rsidRPr="00EC17EC">
        <w:rPr>
          <w:rFonts w:ascii="Century Schoolbook" w:hAnsi="Century Schoolbook"/>
          <w:szCs w:val="26"/>
        </w:rPr>
        <w:t>elect whether to extradite him.  I</w:t>
      </w:r>
      <w:r w:rsidRPr="00EC17EC">
        <w:rPr>
          <w:rFonts w:ascii="Century Schoolbook" w:hAnsi="Century Schoolbook"/>
          <w:szCs w:val="26"/>
        </w:rPr>
        <w:t xml:space="preserve">n the surety’s view, </w:t>
      </w:r>
      <w:r w:rsidRPr="00EC17EC">
        <w:rPr>
          <w:rFonts w:ascii="Century Schoolbook" w:hAnsi="Century Schoolbook"/>
          <w:szCs w:val="26"/>
        </w:rPr>
        <w:t xml:space="preserve">the office can instead use a multistep process:  </w:t>
      </w:r>
      <w:r w:rsidRPr="00EC17EC">
        <w:rPr>
          <w:rFonts w:ascii="Century Schoolbook" w:hAnsi="Century Schoolbook"/>
          <w:szCs w:val="26"/>
        </w:rPr>
        <w:t xml:space="preserve">It can </w:t>
      </w:r>
      <w:r w:rsidRPr="00EC17EC">
        <w:rPr>
          <w:rFonts w:ascii="Century Schoolbook" w:hAnsi="Century Schoolbook"/>
          <w:szCs w:val="26"/>
        </w:rPr>
        <w:t>use the affidavit to obtain a provisional arrest warrant; use the provisional warrant to arrest the</w:t>
      </w:r>
      <w:r w:rsidRPr="00EC17EC">
        <w:rPr>
          <w:rFonts w:ascii="Century Schoolbook" w:hAnsi="Century Schoolbook"/>
          <w:szCs w:val="26"/>
        </w:rPr>
        <w:t xml:space="preserve"> defendant and obtain his fingerprints or photograph; then use the fingerprints or photograph to make an extradition request.  To the extent the surety is arguing that the prosecutor’s office is proceeding in </w:t>
      </w:r>
      <w:r>
        <w:rPr>
          <w:rFonts w:ascii="Century Schoolbook" w:hAnsi="Century Schoolbook"/>
          <w:szCs w:val="26"/>
        </w:rPr>
        <w:t xml:space="preserve">actual </w:t>
      </w:r>
      <w:r w:rsidRPr="00EC17EC">
        <w:rPr>
          <w:rFonts w:ascii="Century Schoolbook" w:hAnsi="Century Schoolbook"/>
          <w:szCs w:val="26"/>
        </w:rPr>
        <w:t>bad faith, we reject that argument for t</w:t>
      </w:r>
      <w:r w:rsidRPr="00EC17EC">
        <w:rPr>
          <w:rFonts w:ascii="Century Schoolbook" w:hAnsi="Century Schoolbook"/>
          <w:szCs w:val="26"/>
        </w:rPr>
        <w:t>he reasons explained above.</w:t>
      </w:r>
      <w:r w:rsidRPr="00EC17EC">
        <w:rPr>
          <w:rFonts w:ascii="Century Schoolbook" w:hAnsi="Century Schoolbook"/>
          <w:szCs w:val="26"/>
        </w:rPr>
        <w:t xml:space="preserve">  Moreover, t</w:t>
      </w:r>
      <w:r w:rsidRPr="00EC17EC">
        <w:rPr>
          <w:rFonts w:ascii="Century Schoolbook" w:hAnsi="Century Schoolbook"/>
          <w:szCs w:val="26"/>
        </w:rPr>
        <w:t xml:space="preserve">he fact that a more cumbersome and potentially less effective alternative mechanism exists does not mean the </w:t>
      </w:r>
      <w:r w:rsidRPr="00EC17EC">
        <w:rPr>
          <w:rFonts w:ascii="Century Schoolbook" w:hAnsi="Century Schoolbook"/>
          <w:szCs w:val="26"/>
        </w:rPr>
        <w:t xml:space="preserve">prosecutor’s </w:t>
      </w:r>
      <w:r w:rsidRPr="00EC17EC">
        <w:rPr>
          <w:rFonts w:ascii="Century Schoolbook" w:hAnsi="Century Schoolbook"/>
          <w:szCs w:val="26"/>
        </w:rPr>
        <w:t xml:space="preserve">office’s decision to forego that </w:t>
      </w:r>
      <w:r w:rsidRPr="00EC17EC">
        <w:rPr>
          <w:rFonts w:ascii="Century Schoolbook" w:hAnsi="Century Schoolbook"/>
          <w:szCs w:val="26"/>
        </w:rPr>
        <w:t xml:space="preserve">mechanism is made in </w:t>
      </w:r>
      <w:r>
        <w:rPr>
          <w:rFonts w:ascii="Century Schoolbook" w:hAnsi="Century Schoolbook"/>
          <w:szCs w:val="26"/>
        </w:rPr>
        <w:t xml:space="preserve">actual </w:t>
      </w:r>
      <w:r w:rsidRPr="00EC17EC">
        <w:rPr>
          <w:rFonts w:ascii="Century Schoolbook" w:hAnsi="Century Schoolbook"/>
          <w:szCs w:val="26"/>
        </w:rPr>
        <w:t>bad faith.</w:t>
      </w:r>
    </w:p>
    <w:p w:rsidR="00AC0614"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r>
      <w:r w:rsidRPr="00EC17EC">
        <w:rPr>
          <w:rFonts w:ascii="Century Schoolbook" w:hAnsi="Century Schoolbook"/>
          <w:szCs w:val="26"/>
        </w:rPr>
        <w:t>To the extent the sur</w:t>
      </w:r>
      <w:r w:rsidRPr="00EC17EC">
        <w:rPr>
          <w:rFonts w:ascii="Century Schoolbook" w:hAnsi="Century Schoolbook"/>
          <w:szCs w:val="26"/>
        </w:rPr>
        <w:t>ety is attacking the factual necessity for a photograph or fingerprint</w:t>
      </w:r>
      <w:r w:rsidRPr="00EC17EC">
        <w:rPr>
          <w:rFonts w:ascii="Century Schoolbook" w:hAnsi="Century Schoolbook"/>
          <w:szCs w:val="26"/>
        </w:rPr>
        <w:t>s</w:t>
      </w:r>
      <w:r w:rsidRPr="00EC17EC">
        <w:rPr>
          <w:rFonts w:ascii="Century Schoolbook" w:hAnsi="Century Schoolbook"/>
          <w:szCs w:val="26"/>
        </w:rPr>
        <w:t xml:space="preserve">, we conclude that substantial evidence supports a finding that additional corroboration </w:t>
      </w:r>
      <w:r w:rsidRPr="00EC17EC">
        <w:rPr>
          <w:rFonts w:ascii="Century Schoolbook" w:hAnsi="Century Schoolbook"/>
          <w:szCs w:val="26"/>
        </w:rPr>
        <w:t xml:space="preserve">of the defendant’s location </w:t>
      </w:r>
      <w:r w:rsidRPr="00EC17EC">
        <w:rPr>
          <w:rFonts w:ascii="Century Schoolbook" w:hAnsi="Century Schoolbook"/>
          <w:szCs w:val="26"/>
        </w:rPr>
        <w:t>is necessary.  The office’s extradition exp</w:t>
      </w:r>
      <w:r>
        <w:rPr>
          <w:rFonts w:ascii="Century Schoolbook" w:hAnsi="Century Schoolbook"/>
          <w:szCs w:val="26"/>
        </w:rPr>
        <w:t xml:space="preserve">ert stated as much. </w:t>
      </w:r>
      <w:r w:rsidRPr="00EC17EC">
        <w:rPr>
          <w:rFonts w:ascii="Century Schoolbook" w:hAnsi="Century Schoolbook"/>
          <w:szCs w:val="26"/>
        </w:rPr>
        <w:t xml:space="preserve"> The </w:t>
      </w:r>
      <w:r w:rsidRPr="00EC17EC">
        <w:rPr>
          <w:rFonts w:ascii="Century Schoolbook" w:hAnsi="Century Schoolbook"/>
          <w:szCs w:val="26"/>
        </w:rPr>
        <w:t>surety offere</w:t>
      </w:r>
      <w:r>
        <w:rPr>
          <w:rFonts w:ascii="Century Schoolbook" w:hAnsi="Century Schoolbook"/>
          <w:szCs w:val="26"/>
        </w:rPr>
        <w:t>d a contrary expert opinion</w:t>
      </w:r>
      <w:r w:rsidRPr="00EC17EC">
        <w:rPr>
          <w:rFonts w:ascii="Century Schoolbook" w:hAnsi="Century Schoolbook"/>
          <w:szCs w:val="26"/>
        </w:rPr>
        <w:t xml:space="preserve">, but in reviewing factual findings for substantial evidence, we resolve all </w:t>
      </w:r>
      <w:r w:rsidRPr="00EC17EC">
        <w:rPr>
          <w:rFonts w:ascii="Century Schoolbook" w:hAnsi="Century Schoolbook"/>
          <w:szCs w:val="26"/>
        </w:rPr>
        <w:t xml:space="preserve">evidentiary </w:t>
      </w:r>
      <w:r w:rsidRPr="00EC17EC">
        <w:rPr>
          <w:rFonts w:ascii="Century Schoolbook" w:hAnsi="Century Schoolbook"/>
          <w:szCs w:val="26"/>
        </w:rPr>
        <w:t>conflicts in favor of the ruling below</w:t>
      </w:r>
      <w:r w:rsidRPr="00EC17EC">
        <w:rPr>
          <w:rFonts w:ascii="Century Schoolbook" w:hAnsi="Century Schoolbook"/>
          <w:szCs w:val="26"/>
        </w:rPr>
        <w:t xml:space="preserve"> (</w:t>
      </w:r>
      <w:r w:rsidRPr="00EC17EC">
        <w:rPr>
          <w:rFonts w:ascii="Century Schoolbook" w:hAnsi="Century Schoolbook"/>
          <w:i/>
          <w:szCs w:val="26"/>
        </w:rPr>
        <w:t>Bristol-Myers Squibb Co. v. Superior Court</w:t>
      </w:r>
      <w:r w:rsidRPr="00EC17EC">
        <w:rPr>
          <w:rFonts w:ascii="Century Schoolbook" w:hAnsi="Century Schoolbook"/>
          <w:szCs w:val="26"/>
        </w:rPr>
        <w:t xml:space="preserve"> (2016) 1 Cal.5th 783, 792).  The surety also</w:t>
      </w:r>
      <w:r w:rsidRPr="00EC17EC">
        <w:rPr>
          <w:rFonts w:ascii="Century Schoolbook" w:hAnsi="Century Schoolbook"/>
          <w:szCs w:val="26"/>
        </w:rPr>
        <w:t xml:space="preserve"> asserts that prosecutors often do not require fingerprints or </w:t>
      </w:r>
      <w:r w:rsidRPr="00EC17EC">
        <w:rPr>
          <w:rFonts w:ascii="Century Schoolbook" w:hAnsi="Century Schoolbook"/>
          <w:szCs w:val="26"/>
        </w:rPr>
        <w:t>a photograph</w:t>
      </w:r>
      <w:r w:rsidRPr="00EC17EC">
        <w:rPr>
          <w:rFonts w:ascii="Century Schoolbook" w:hAnsi="Century Schoolbook"/>
          <w:szCs w:val="26"/>
        </w:rPr>
        <w:t xml:space="preserve"> before filing charges, but this ignores that most of those charges are not filed against persons located in foreign countries</w:t>
      </w:r>
      <w:r w:rsidRPr="00EC17EC">
        <w:rPr>
          <w:rFonts w:ascii="Century Schoolbook" w:hAnsi="Century Schoolbook"/>
          <w:szCs w:val="26"/>
        </w:rPr>
        <w:t xml:space="preserve"> for which extradition is required</w:t>
      </w:r>
      <w:r w:rsidRPr="00EC17EC">
        <w:rPr>
          <w:rFonts w:ascii="Century Schoolbook" w:hAnsi="Century Schoolbook"/>
          <w:szCs w:val="26"/>
        </w:rPr>
        <w:t>.  The surety further</w:t>
      </w:r>
      <w:r w:rsidRPr="00EC17EC">
        <w:rPr>
          <w:rFonts w:ascii="Century Schoolbook" w:hAnsi="Century Schoolbook"/>
          <w:szCs w:val="26"/>
        </w:rPr>
        <w:t xml:space="preserve"> argues that the affidavit already establishes that</w:t>
      </w:r>
      <w:r w:rsidRPr="00EC17EC">
        <w:rPr>
          <w:rFonts w:ascii="Century Schoolbook" w:hAnsi="Century Schoolbook"/>
          <w:szCs w:val="26"/>
        </w:rPr>
        <w:t xml:space="preserve"> the </w:t>
      </w:r>
      <w:r w:rsidRPr="00EC17EC">
        <w:rPr>
          <w:rFonts w:ascii="Century Schoolbook" w:hAnsi="Century Schoolbook"/>
          <w:szCs w:val="26"/>
        </w:rPr>
        <w:t>defendant is located in the foreign country, but this ignores that what is necessary to satisfy</w:t>
      </w:r>
      <w:r w:rsidRPr="00EC17EC">
        <w:rPr>
          <w:rFonts w:ascii="Century Schoolbook" w:hAnsi="Century Schoolbook"/>
          <w:szCs w:val="26"/>
        </w:rPr>
        <w:t xml:space="preserve"> the second element of</w:t>
      </w:r>
      <w:r w:rsidRPr="00EC17EC">
        <w:rPr>
          <w:rFonts w:ascii="Century Schoolbook" w:hAnsi="Century Schoolbook"/>
          <w:szCs w:val="26"/>
        </w:rPr>
        <w:t xml:space="preserve"> subdivision (g) of </w:t>
      </w:r>
      <w:r w:rsidRPr="00EC17EC">
        <w:rPr>
          <w:rFonts w:ascii="Century Schoolbook" w:hAnsi="Century Schoolbook"/>
          <w:szCs w:val="26"/>
        </w:rPr>
        <w:t>s</w:t>
      </w:r>
      <w:r w:rsidRPr="00EC17EC">
        <w:rPr>
          <w:rFonts w:ascii="Century Schoolbook" w:hAnsi="Century Schoolbook"/>
          <w:szCs w:val="26"/>
        </w:rPr>
        <w:t xml:space="preserve">ection 1305 and what is necessary to justify and to document </w:t>
      </w:r>
      <w:r w:rsidRPr="00EC17EC">
        <w:rPr>
          <w:rFonts w:ascii="Century Schoolbook" w:hAnsi="Century Schoolbook"/>
          <w:szCs w:val="26"/>
        </w:rPr>
        <w:t>an extradition request are not</w:t>
      </w:r>
      <w:r>
        <w:rPr>
          <w:rFonts w:ascii="Century Schoolbook" w:hAnsi="Century Schoolbook"/>
          <w:szCs w:val="26"/>
        </w:rPr>
        <w:t xml:space="preserve"> necessarily</w:t>
      </w:r>
      <w:r w:rsidRPr="00EC17EC">
        <w:rPr>
          <w:rFonts w:ascii="Century Schoolbook" w:hAnsi="Century Schoolbook"/>
          <w:szCs w:val="26"/>
        </w:rPr>
        <w:t xml:space="preserve"> the same.  </w:t>
      </w:r>
      <w:r w:rsidRPr="00EC17EC">
        <w:rPr>
          <w:rFonts w:ascii="Century Schoolbook" w:hAnsi="Century Schoolbook"/>
          <w:szCs w:val="26"/>
        </w:rPr>
        <w:t>The surety lastly asserts that the photograph or fingerprint</w:t>
      </w:r>
      <w:r w:rsidRPr="00EC17EC">
        <w:rPr>
          <w:rFonts w:ascii="Century Schoolbook" w:hAnsi="Century Schoolbook"/>
          <w:szCs w:val="26"/>
        </w:rPr>
        <w:t>s</w:t>
      </w:r>
      <w:r w:rsidRPr="00EC17EC">
        <w:rPr>
          <w:rFonts w:ascii="Century Schoolbook" w:hAnsi="Century Schoolbook"/>
          <w:szCs w:val="26"/>
        </w:rPr>
        <w:t xml:space="preserve"> </w:t>
      </w:r>
      <w:r w:rsidRPr="00EC17EC">
        <w:rPr>
          <w:rFonts w:ascii="Century Schoolbook" w:hAnsi="Century Schoolbook"/>
          <w:szCs w:val="26"/>
        </w:rPr>
        <w:t xml:space="preserve">would themselves </w:t>
      </w:r>
      <w:r w:rsidRPr="00EC17EC">
        <w:rPr>
          <w:rFonts w:ascii="Century Schoolbook" w:hAnsi="Century Schoolbook"/>
          <w:szCs w:val="26"/>
        </w:rPr>
        <w:t>need to be authenticated by the same people whose s</w:t>
      </w:r>
      <w:r w:rsidRPr="00EC17EC">
        <w:rPr>
          <w:rFonts w:ascii="Century Schoolbook" w:hAnsi="Century Schoolbook"/>
          <w:szCs w:val="26"/>
        </w:rPr>
        <w:t xml:space="preserve">worn affidavits the prosecutor’s </w:t>
      </w:r>
      <w:r w:rsidRPr="00EC17EC">
        <w:rPr>
          <w:rFonts w:ascii="Century Schoolbook" w:hAnsi="Century Schoolbook"/>
          <w:szCs w:val="26"/>
        </w:rPr>
        <w:t>office is looking to corroborate, but t</w:t>
      </w:r>
      <w:r w:rsidRPr="00EC17EC">
        <w:rPr>
          <w:rFonts w:ascii="Century Schoolbook" w:hAnsi="Century Schoolbook"/>
          <w:szCs w:val="26"/>
        </w:rPr>
        <w:t>his ignores that a photograph or fingerprint</w:t>
      </w:r>
      <w:r w:rsidRPr="00EC17EC">
        <w:rPr>
          <w:rFonts w:ascii="Century Schoolbook" w:hAnsi="Century Schoolbook"/>
          <w:szCs w:val="26"/>
        </w:rPr>
        <w:t>s</w:t>
      </w:r>
      <w:r w:rsidRPr="00EC17EC">
        <w:rPr>
          <w:rFonts w:ascii="Century Schoolbook" w:hAnsi="Century Schoolbook"/>
          <w:szCs w:val="26"/>
        </w:rPr>
        <w:t xml:space="preserve"> may convey additional details (such as the back</w:t>
      </w:r>
      <w:r w:rsidRPr="00EC17EC">
        <w:rPr>
          <w:rFonts w:ascii="Century Schoolbook" w:hAnsi="Century Schoolbook"/>
          <w:szCs w:val="26"/>
        </w:rPr>
        <w:t>ground of the photograph or</w:t>
      </w:r>
      <w:r w:rsidRPr="00EC17EC">
        <w:rPr>
          <w:rFonts w:ascii="Century Schoolbook" w:hAnsi="Century Schoolbook"/>
          <w:szCs w:val="26"/>
        </w:rPr>
        <w:t xml:space="preserve"> the form on which the fingerprints are taken) that further corroborate the authentication by affidavit.</w:t>
      </w:r>
    </w:p>
    <w:p w:rsidR="00AC0614" w:rsidRDefault="00DE519E" w:rsidP="00A85AF2">
      <w:pPr>
        <w:spacing w:line="288" w:lineRule="auto"/>
        <w:rPr>
          <w:rFonts w:ascii="Century Schoolbook" w:hAnsi="Century Schoolbook"/>
          <w:szCs w:val="26"/>
        </w:rPr>
      </w:pPr>
      <w:r w:rsidRPr="00EC17EC">
        <w:rPr>
          <w:rFonts w:ascii="Century Schoolbook" w:hAnsi="Century Schoolbook"/>
          <w:szCs w:val="26"/>
        </w:rPr>
        <w:tab/>
        <w:t>For all these reasons, we hold</w:t>
      </w:r>
      <w:r w:rsidRPr="00EC17EC">
        <w:rPr>
          <w:rFonts w:ascii="Century Schoolbook" w:hAnsi="Century Schoolbook"/>
          <w:szCs w:val="26"/>
        </w:rPr>
        <w:t xml:space="preserve"> that a surety is not entitled to vacatur of a bond’s forfeiture under subdivision (g) of </w:t>
      </w:r>
      <w:r w:rsidRPr="00EC17EC">
        <w:rPr>
          <w:rFonts w:ascii="Century Schoolbook" w:hAnsi="Century Schoolbook"/>
          <w:szCs w:val="26"/>
        </w:rPr>
        <w:t>s</w:t>
      </w:r>
      <w:r w:rsidRPr="00EC17EC">
        <w:rPr>
          <w:rFonts w:ascii="Century Schoolbook" w:hAnsi="Century Schoolbook"/>
          <w:szCs w:val="26"/>
        </w:rPr>
        <w:t>ection 1305 when the prosecuting agency has not yet “elect[ed] not to seek extradition,” even if the agency’s refusal to elect is based upon its requirement that the</w:t>
      </w:r>
      <w:r w:rsidRPr="00EC17EC">
        <w:rPr>
          <w:rFonts w:ascii="Century Schoolbook" w:hAnsi="Century Schoolbook"/>
          <w:szCs w:val="26"/>
        </w:rPr>
        <w:t xml:space="preserve"> surety provide a defendant’s fingerprint</w:t>
      </w:r>
      <w:r w:rsidRPr="00EC17EC">
        <w:rPr>
          <w:rFonts w:ascii="Century Schoolbook" w:hAnsi="Century Schoolbook"/>
          <w:szCs w:val="26"/>
        </w:rPr>
        <w:t>s</w:t>
      </w:r>
      <w:r w:rsidRPr="00EC17EC">
        <w:rPr>
          <w:rFonts w:ascii="Century Schoolbook" w:hAnsi="Century Schoolbook"/>
          <w:szCs w:val="26"/>
        </w:rPr>
        <w:t xml:space="preserve"> or photograph in addition to the </w:t>
      </w:r>
      <w:r>
        <w:rPr>
          <w:rFonts w:ascii="Century Schoolbook" w:hAnsi="Century Schoolbook"/>
          <w:szCs w:val="26"/>
        </w:rPr>
        <w:t xml:space="preserve">sworn </w:t>
      </w:r>
      <w:r w:rsidRPr="00EC17EC">
        <w:rPr>
          <w:rFonts w:ascii="Century Schoolbook" w:hAnsi="Century Schoolbook"/>
          <w:szCs w:val="26"/>
        </w:rPr>
        <w:t>affidavit “positively identif</w:t>
      </w:r>
      <w:r w:rsidRPr="00EC17EC">
        <w:rPr>
          <w:rFonts w:ascii="Century Schoolbook" w:hAnsi="Century Schoolbook"/>
          <w:szCs w:val="26"/>
        </w:rPr>
        <w:t>[</w:t>
      </w:r>
      <w:r w:rsidRPr="00EC17EC">
        <w:rPr>
          <w:rFonts w:ascii="Century Schoolbook" w:hAnsi="Century Schoolbook"/>
          <w:szCs w:val="26"/>
        </w:rPr>
        <w:t>ying</w:t>
      </w:r>
      <w:r w:rsidRPr="00EC17EC">
        <w:rPr>
          <w:rFonts w:ascii="Century Schoolbook" w:hAnsi="Century Schoolbook"/>
          <w:szCs w:val="26"/>
        </w:rPr>
        <w:t>]</w:t>
      </w:r>
      <w:r w:rsidRPr="00EC17EC">
        <w:rPr>
          <w:rFonts w:ascii="Century Schoolbook" w:hAnsi="Century Schoolbook"/>
          <w:szCs w:val="26"/>
        </w:rPr>
        <w:t>” the defendant otherwise required by subdivision (g).</w:t>
      </w:r>
      <w:r>
        <w:rPr>
          <w:rStyle w:val="FootnoteReference"/>
          <w:rFonts w:ascii="Century Schoolbook" w:hAnsi="Century Schoolbook"/>
          <w:b/>
          <w:szCs w:val="26"/>
        </w:rPr>
        <w:footnoteReference w:id="8"/>
      </w:r>
    </w:p>
    <w:p w:rsidR="00CC024A" w:rsidRPr="00EC17EC" w:rsidRDefault="00DE519E" w:rsidP="00A85AF2">
      <w:pPr>
        <w:spacing w:line="288" w:lineRule="auto"/>
        <w:rPr>
          <w:rFonts w:ascii="Century Schoolbook" w:hAnsi="Century Schoolbook"/>
          <w:szCs w:val="26"/>
        </w:rPr>
      </w:pPr>
    </w:p>
    <w:p w:rsidR="0096066E" w:rsidRPr="00EC17EC" w:rsidRDefault="00DE519E" w:rsidP="00A85AF2">
      <w:pPr>
        <w:spacing w:line="288" w:lineRule="auto"/>
        <w:rPr>
          <w:rFonts w:ascii="Century Schoolbook" w:hAnsi="Century Schoolbook"/>
          <w:szCs w:val="26"/>
        </w:rPr>
      </w:pPr>
      <w:r w:rsidRPr="00EC17EC">
        <w:rPr>
          <w:rFonts w:ascii="Century Schoolbook" w:hAnsi="Century Schoolbook"/>
          <w:b/>
          <w:szCs w:val="26"/>
        </w:rPr>
        <w:t>II.</w:t>
      </w:r>
      <w:r w:rsidRPr="00EC17EC">
        <w:rPr>
          <w:rFonts w:ascii="Century Schoolbook" w:hAnsi="Century Schoolbook"/>
          <w:b/>
          <w:szCs w:val="26"/>
        </w:rPr>
        <w:tab/>
        <w:t>Further Extension of Appearance Period</w:t>
      </w:r>
    </w:p>
    <w:p w:rsidR="0096066E"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r>
      <w:r w:rsidRPr="00EC17EC">
        <w:rPr>
          <w:rFonts w:ascii="Century Schoolbook" w:hAnsi="Century Schoolbook"/>
          <w:szCs w:val="26"/>
        </w:rPr>
        <w:t xml:space="preserve">As noted above, the initial 185-day </w:t>
      </w:r>
      <w:r w:rsidRPr="00EC17EC">
        <w:rPr>
          <w:rFonts w:ascii="Century Schoolbook" w:hAnsi="Century Schoolbook"/>
          <w:szCs w:val="26"/>
        </w:rPr>
        <w:t>ap</w:t>
      </w:r>
      <w:r w:rsidRPr="00EC17EC">
        <w:rPr>
          <w:rFonts w:ascii="Century Schoolbook" w:hAnsi="Century Schoolbook"/>
          <w:szCs w:val="26"/>
        </w:rPr>
        <w:t xml:space="preserve">pearance </w:t>
      </w:r>
      <w:r w:rsidRPr="00EC17EC">
        <w:rPr>
          <w:rFonts w:ascii="Century Schoolbook" w:hAnsi="Century Schoolbook"/>
          <w:szCs w:val="26"/>
        </w:rPr>
        <w:t xml:space="preserve">period in which a surety can seek to vacate a forfeited bond may be extended for “good cause.”  (§ 1305.4.)  If the </w:t>
      </w:r>
      <w:r w:rsidRPr="00EC17EC">
        <w:rPr>
          <w:rFonts w:ascii="Century Schoolbook" w:hAnsi="Century Schoolbook"/>
          <w:szCs w:val="26"/>
        </w:rPr>
        <w:t xml:space="preserve">trial </w:t>
      </w:r>
      <w:r w:rsidRPr="00EC17EC">
        <w:rPr>
          <w:rFonts w:ascii="Century Schoolbook" w:hAnsi="Century Schoolbook"/>
          <w:szCs w:val="26"/>
        </w:rPr>
        <w:t xml:space="preserve">court finds “good cause,” it “may order the period extended to a time not exceeding 180 days </w:t>
      </w:r>
      <w:r w:rsidRPr="00EC17EC">
        <w:rPr>
          <w:rFonts w:ascii="Century Schoolbook" w:hAnsi="Century Schoolbook"/>
          <w:i/>
          <w:szCs w:val="26"/>
        </w:rPr>
        <w:t>from its order</w:t>
      </w:r>
      <w:r w:rsidRPr="00EC17EC">
        <w:rPr>
          <w:rFonts w:ascii="Century Schoolbook" w:hAnsi="Century Schoolbook"/>
          <w:szCs w:val="26"/>
        </w:rPr>
        <w:t>.”  (</w:t>
      </w:r>
      <w:r w:rsidRPr="00EC17EC">
        <w:rPr>
          <w:rFonts w:ascii="Century Schoolbook" w:hAnsi="Century Schoolbook"/>
          <w:i/>
          <w:szCs w:val="26"/>
        </w:rPr>
        <w:t>Ibid.</w:t>
      </w:r>
      <w:r w:rsidRPr="00EC17EC">
        <w:rPr>
          <w:rFonts w:ascii="Century Schoolbook" w:hAnsi="Century Schoolbook"/>
          <w:szCs w:val="26"/>
        </w:rPr>
        <w:t xml:space="preserve">, </w:t>
      </w:r>
      <w:r w:rsidRPr="00EC17EC">
        <w:rPr>
          <w:rFonts w:ascii="Century Schoolbook" w:hAnsi="Century Schoolbook"/>
          <w:szCs w:val="26"/>
        </w:rPr>
        <w:t>italics added.)  When a court initially grants an extension for less than 180 days, it may grant a second extension as long as that extension does not go beyond 180 days from the date of its first extension order.  (</w:t>
      </w:r>
      <w:r w:rsidRPr="00EC17EC">
        <w:rPr>
          <w:rFonts w:ascii="Century Schoolbook" w:hAnsi="Century Schoolbook"/>
          <w:i/>
          <w:szCs w:val="26"/>
        </w:rPr>
        <w:t>Financial Casualty</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xml:space="preserve">, 2 Cal.5th at </w:t>
      </w:r>
      <w:r w:rsidRPr="00EC17EC">
        <w:rPr>
          <w:rFonts w:ascii="Century Schoolbook" w:hAnsi="Century Schoolbook"/>
          <w:szCs w:val="26"/>
        </w:rPr>
        <w:t xml:space="preserve">pp. 46-47.)  This </w:t>
      </w:r>
      <w:r w:rsidRPr="00EC17EC">
        <w:rPr>
          <w:rFonts w:ascii="Century Schoolbook" w:hAnsi="Century Schoolbook"/>
          <w:szCs w:val="26"/>
        </w:rPr>
        <w:t xml:space="preserve">is </w:t>
      </w:r>
      <w:r w:rsidRPr="00EC17EC">
        <w:rPr>
          <w:rFonts w:ascii="Century Schoolbook" w:hAnsi="Century Schoolbook"/>
          <w:szCs w:val="26"/>
        </w:rPr>
        <w:t>true, even if that</w:t>
      </w:r>
      <w:r>
        <w:rPr>
          <w:rFonts w:ascii="Century Schoolbook" w:hAnsi="Century Schoolbook"/>
          <w:szCs w:val="26"/>
        </w:rPr>
        <w:t xml:space="preserve"> second extension’s</w:t>
      </w:r>
      <w:r w:rsidRPr="00EC17EC">
        <w:rPr>
          <w:rFonts w:ascii="Century Schoolbook" w:hAnsi="Century Schoolbook"/>
          <w:szCs w:val="26"/>
        </w:rPr>
        <w:t xml:space="preserve"> </w:t>
      </w:r>
      <w:r>
        <w:rPr>
          <w:rFonts w:ascii="Century Schoolbook" w:hAnsi="Century Schoolbook"/>
          <w:szCs w:val="26"/>
        </w:rPr>
        <w:t xml:space="preserve">end </w:t>
      </w:r>
      <w:r w:rsidRPr="00EC17EC">
        <w:rPr>
          <w:rFonts w:ascii="Century Schoolbook" w:hAnsi="Century Schoolbook"/>
          <w:szCs w:val="26"/>
        </w:rPr>
        <w:t>date is more than 365 days from the date the bond was initially forfeited</w:t>
      </w:r>
      <w:r>
        <w:rPr>
          <w:rFonts w:ascii="Century Schoolbook" w:hAnsi="Century Schoolbook"/>
          <w:szCs w:val="26"/>
        </w:rPr>
        <w:t>.  That is</w:t>
      </w:r>
      <w:r w:rsidRPr="00EC17EC">
        <w:rPr>
          <w:rFonts w:ascii="Century Schoolbook" w:hAnsi="Century Schoolbook"/>
          <w:szCs w:val="26"/>
        </w:rPr>
        <w:t xml:space="preserve"> because </w:t>
      </w:r>
      <w:r w:rsidRPr="00EC17EC">
        <w:rPr>
          <w:rFonts w:ascii="Century Schoolbook" w:hAnsi="Century Schoolbook"/>
          <w:szCs w:val="26"/>
        </w:rPr>
        <w:t>s</w:t>
      </w:r>
      <w:r w:rsidRPr="00EC17EC">
        <w:rPr>
          <w:rFonts w:ascii="Century Schoolbook" w:hAnsi="Century Schoolbook"/>
          <w:szCs w:val="26"/>
        </w:rPr>
        <w:t>ection 1305 specifically contemplates that an order extending the appearance period may be granted u</w:t>
      </w:r>
      <w:r w:rsidRPr="00EC17EC">
        <w:rPr>
          <w:rFonts w:ascii="Century Schoolbook" w:hAnsi="Century Schoolbook"/>
          <w:szCs w:val="26"/>
        </w:rPr>
        <w:t xml:space="preserve">p to 30 days </w:t>
      </w:r>
      <w:r w:rsidRPr="00EC17EC">
        <w:rPr>
          <w:rFonts w:ascii="Century Schoolbook" w:hAnsi="Century Schoolbook"/>
          <w:i/>
          <w:szCs w:val="26"/>
        </w:rPr>
        <w:t>after</w:t>
      </w:r>
      <w:r w:rsidRPr="00EC17EC">
        <w:rPr>
          <w:rFonts w:ascii="Century Schoolbook" w:hAnsi="Century Schoolbook"/>
          <w:szCs w:val="26"/>
        </w:rPr>
        <w:t xml:space="preserve"> the initial period has expired if a timely motion</w:t>
      </w:r>
      <w:r w:rsidRPr="00EC17EC">
        <w:rPr>
          <w:rFonts w:ascii="Century Schoolbook" w:hAnsi="Century Schoolbook"/>
          <w:szCs w:val="26"/>
        </w:rPr>
        <w:t xml:space="preserve"> to extend</w:t>
      </w:r>
      <w:r w:rsidRPr="00EC17EC">
        <w:rPr>
          <w:rFonts w:ascii="Century Schoolbook" w:hAnsi="Century Schoolbook"/>
          <w:szCs w:val="26"/>
        </w:rPr>
        <w:t xml:space="preserve"> is pending.  (</w:t>
      </w:r>
      <w:r w:rsidRPr="00EC17EC">
        <w:rPr>
          <w:rFonts w:ascii="Century Schoolbook" w:hAnsi="Century Schoolbook"/>
          <w:i/>
          <w:szCs w:val="26"/>
        </w:rPr>
        <w:t>Id.</w:t>
      </w:r>
      <w:r w:rsidRPr="00EC17EC">
        <w:rPr>
          <w:rFonts w:ascii="Century Schoolbook" w:hAnsi="Century Schoolbook"/>
          <w:szCs w:val="26"/>
        </w:rPr>
        <w:t xml:space="preserve"> at p. 43, citing § 1305, subd. (j).) </w:t>
      </w:r>
      <w:r w:rsidRPr="00EC17EC">
        <w:rPr>
          <w:rFonts w:ascii="Century Schoolbook" w:hAnsi="Century Schoolbook"/>
          <w:szCs w:val="26"/>
        </w:rPr>
        <w:t xml:space="preserve"> We review a trial court’s ruling on an extension for an abuse of discretion (</w:t>
      </w:r>
      <w:r w:rsidRPr="00EC17EC">
        <w:rPr>
          <w:rFonts w:ascii="Century Schoolbook" w:hAnsi="Century Schoolbook"/>
          <w:i/>
          <w:szCs w:val="26"/>
        </w:rPr>
        <w:t>Financial Casualty</w:t>
      </w:r>
      <w:r w:rsidRPr="00EC17EC">
        <w:rPr>
          <w:rFonts w:ascii="Century Schoolbook" w:hAnsi="Century Schoolbook"/>
          <w:szCs w:val="26"/>
        </w:rPr>
        <w:t>,</w:t>
      </w:r>
      <w:r w:rsidRPr="00EC17EC">
        <w:rPr>
          <w:rFonts w:ascii="Century Schoolbook" w:hAnsi="Century Schoolbook"/>
          <w:i/>
          <w:szCs w:val="26"/>
        </w:rPr>
        <w:t xml:space="preserve"> </w:t>
      </w:r>
      <w:r w:rsidRPr="00EC17EC">
        <w:rPr>
          <w:rFonts w:ascii="Century Schoolbook" w:hAnsi="Century Schoolbook"/>
          <w:szCs w:val="26"/>
        </w:rPr>
        <w:t>at p. 47), bearing in mi</w:t>
      </w:r>
      <w:r w:rsidRPr="00EC17EC">
        <w:rPr>
          <w:rFonts w:ascii="Century Schoolbook" w:hAnsi="Century Schoolbook"/>
          <w:szCs w:val="26"/>
        </w:rPr>
        <w:t>nd that a court abuses its discretion when it applies the wrong legal standard (</w:t>
      </w:r>
      <w:r w:rsidRPr="00EC17EC">
        <w:rPr>
          <w:rFonts w:ascii="Century Schoolbook" w:hAnsi="Century Schoolbook"/>
          <w:i/>
          <w:szCs w:val="26"/>
        </w:rPr>
        <w:t>Costco Wholesale Corp. v. Superior Court</w:t>
      </w:r>
      <w:r w:rsidRPr="00EC17EC">
        <w:rPr>
          <w:rFonts w:ascii="Century Schoolbook" w:hAnsi="Century Schoolbook"/>
          <w:szCs w:val="26"/>
        </w:rPr>
        <w:t xml:space="preserve"> (2009) 47 </w:t>
      </w:r>
      <w:r w:rsidRPr="00EC17EC">
        <w:rPr>
          <w:rFonts w:ascii="Century Schoolbook" w:hAnsi="Century Schoolbook"/>
          <w:szCs w:val="26"/>
        </w:rPr>
        <w:t>Cal.4th 725, 733).</w:t>
      </w:r>
    </w:p>
    <w:p w:rsidR="00702A54"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The trial court abused its discretion when it denied the extension request on the ground that 365 days ha</w:t>
      </w:r>
      <w:r w:rsidRPr="00EC17EC">
        <w:rPr>
          <w:rFonts w:ascii="Century Schoolbook" w:hAnsi="Century Schoolbook"/>
          <w:szCs w:val="26"/>
        </w:rPr>
        <w:t>d passed since the bond had been forfeited.  Some courts had followed that 365-day rule at the time the trial court made its ruling (</w:t>
      </w:r>
      <w:r w:rsidRPr="00EC17EC">
        <w:rPr>
          <w:rFonts w:ascii="Century Schoolbook" w:hAnsi="Century Schoolbook"/>
          <w:szCs w:val="26"/>
        </w:rPr>
        <w:t xml:space="preserve">e.g., </w:t>
      </w:r>
      <w:r w:rsidRPr="00EC17EC">
        <w:rPr>
          <w:rFonts w:ascii="Century Schoolbook" w:hAnsi="Century Schoolbook"/>
          <w:i/>
          <w:szCs w:val="26"/>
        </w:rPr>
        <w:t>People v. </w:t>
      </w:r>
      <w:r w:rsidRPr="00EC17EC">
        <w:rPr>
          <w:rFonts w:ascii="Century Schoolbook" w:hAnsi="Century Schoolbook"/>
          <w:i/>
          <w:szCs w:val="26"/>
        </w:rPr>
        <w:t>Taylor Billingslea Bail Bonds</w:t>
      </w:r>
      <w:r w:rsidRPr="00EC17EC">
        <w:rPr>
          <w:rFonts w:ascii="Century Schoolbook" w:hAnsi="Century Schoolbook"/>
          <w:szCs w:val="26"/>
        </w:rPr>
        <w:t xml:space="preserve"> (1999) 74 Cal.App.4th 1193, 1199), but our Supreme Court rejected it in </w:t>
      </w:r>
      <w:r w:rsidRPr="00EC17EC">
        <w:rPr>
          <w:rFonts w:ascii="Century Schoolbook" w:hAnsi="Century Schoolbook"/>
          <w:i/>
          <w:szCs w:val="26"/>
        </w:rPr>
        <w:t>Financial Casualty</w:t>
      </w:r>
      <w:r w:rsidRPr="00EC17EC">
        <w:rPr>
          <w:rFonts w:ascii="Century Schoolbook" w:hAnsi="Century Schoolbook"/>
          <w:szCs w:val="26"/>
        </w:rPr>
        <w:t>.</w:t>
      </w:r>
      <w:r w:rsidRPr="00EC17EC">
        <w:rPr>
          <w:rFonts w:ascii="Century Schoolbook" w:hAnsi="Century Schoolbook"/>
          <w:szCs w:val="26"/>
        </w:rPr>
        <w:t xml:space="preserve">  (</w:t>
      </w:r>
      <w:r w:rsidRPr="00EC17EC">
        <w:rPr>
          <w:rFonts w:ascii="Century Schoolbook" w:hAnsi="Century Schoolbook"/>
          <w:i/>
          <w:szCs w:val="26"/>
        </w:rPr>
        <w:t>Financial Casualty</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2 Cal.5th at pp. 44-45.)</w:t>
      </w:r>
    </w:p>
    <w:p w:rsidR="004E3B07"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 xml:space="preserve">Under the proper rule, there were still </w:t>
      </w:r>
      <w:r w:rsidRPr="00EC17EC">
        <w:rPr>
          <w:rFonts w:ascii="Century Schoolbook" w:hAnsi="Century Schoolbook"/>
          <w:szCs w:val="26"/>
        </w:rPr>
        <w:t>21</w:t>
      </w:r>
      <w:r w:rsidRPr="00EC17EC">
        <w:rPr>
          <w:rFonts w:ascii="Century Schoolbook" w:hAnsi="Century Schoolbook"/>
          <w:szCs w:val="26"/>
        </w:rPr>
        <w:t xml:space="preserve"> days left on the clock:  The court granted the first extension on August 25, 2014; a 180-day period would have lapsed on February 23, 2015</w:t>
      </w:r>
      <w:r w:rsidRPr="00EC17EC">
        <w:rPr>
          <w:rFonts w:ascii="Century Schoolbook" w:hAnsi="Century Schoolbook"/>
          <w:szCs w:val="26"/>
        </w:rPr>
        <w:t xml:space="preserve">, which is </w:t>
      </w:r>
      <w:r w:rsidRPr="00EC17EC">
        <w:rPr>
          <w:rFonts w:ascii="Century Schoolbook" w:hAnsi="Century Schoolbook"/>
          <w:szCs w:val="26"/>
        </w:rPr>
        <w:t>21</w:t>
      </w:r>
      <w:r w:rsidRPr="00EC17EC">
        <w:rPr>
          <w:rFonts w:ascii="Century Schoolbook" w:hAnsi="Century Schoolbook"/>
          <w:szCs w:val="26"/>
        </w:rPr>
        <w:t xml:space="preserve"> days after the court denied the further extension on February </w:t>
      </w:r>
      <w:r w:rsidRPr="00EC17EC">
        <w:rPr>
          <w:rFonts w:ascii="Century Schoolbook" w:hAnsi="Century Schoolbook"/>
          <w:szCs w:val="26"/>
        </w:rPr>
        <w:t>2</w:t>
      </w:r>
      <w:r w:rsidRPr="00EC17EC">
        <w:rPr>
          <w:rFonts w:ascii="Century Schoolbook" w:hAnsi="Century Schoolbook"/>
          <w:szCs w:val="26"/>
        </w:rPr>
        <w:t>, 2015.</w:t>
      </w:r>
    </w:p>
    <w:p w:rsidR="00666CFD"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 xml:space="preserve">We may nevertheless affirm on any </w:t>
      </w:r>
      <w:r w:rsidRPr="00EC17EC">
        <w:rPr>
          <w:rFonts w:ascii="Century Schoolbook" w:hAnsi="Century Schoolbook"/>
          <w:szCs w:val="26"/>
        </w:rPr>
        <w:t xml:space="preserve">ground in the record because </w:t>
      </w:r>
      <w:r w:rsidRPr="00EC17EC">
        <w:rPr>
          <w:rFonts w:ascii="Century Schoolbook" w:hAnsi="Century Schoolbook"/>
          <w:szCs w:val="26"/>
        </w:rPr>
        <w:t>our job is to review the trial cour</w:t>
      </w:r>
      <w:r>
        <w:rPr>
          <w:rFonts w:ascii="Century Schoolbook" w:hAnsi="Century Schoolbook"/>
          <w:szCs w:val="26"/>
        </w:rPr>
        <w:t xml:space="preserve">t’s ruling, not its reasoning.  </w:t>
      </w:r>
      <w:r w:rsidRPr="00EC17EC">
        <w:rPr>
          <w:rFonts w:ascii="Century Schoolbook" w:hAnsi="Century Schoolbook"/>
          <w:szCs w:val="26"/>
        </w:rPr>
        <w:t>(</w:t>
      </w:r>
      <w:r w:rsidRPr="00EC17EC">
        <w:rPr>
          <w:rFonts w:ascii="Century Schoolbook" w:hAnsi="Century Schoolbook"/>
          <w:i/>
          <w:szCs w:val="26"/>
        </w:rPr>
        <w:t>People v. Chism</w:t>
      </w:r>
      <w:r w:rsidRPr="00EC17EC">
        <w:rPr>
          <w:rFonts w:ascii="Century Schoolbook" w:hAnsi="Century Schoolbook"/>
          <w:szCs w:val="26"/>
        </w:rPr>
        <w:t xml:space="preserve"> (2014) 58 Cal.4th 1266,</w:t>
      </w:r>
      <w:r w:rsidRPr="00EC17EC">
        <w:rPr>
          <w:rFonts w:ascii="Century Schoolbook" w:hAnsi="Century Schoolbook"/>
          <w:szCs w:val="26"/>
        </w:rPr>
        <w:t xml:space="preserve"> 1295, fn. 12.)  In this case, we affirm because there was no “good cause” to grant a further </w:t>
      </w:r>
      <w:r w:rsidRPr="00EC17EC">
        <w:rPr>
          <w:rFonts w:ascii="Century Schoolbook" w:hAnsi="Century Schoolbook"/>
          <w:szCs w:val="26"/>
        </w:rPr>
        <w:t>21</w:t>
      </w:r>
      <w:r w:rsidRPr="00EC17EC">
        <w:rPr>
          <w:rFonts w:ascii="Century Schoolbook" w:hAnsi="Century Schoolbook"/>
          <w:szCs w:val="26"/>
        </w:rPr>
        <w:t>-day extension.  A showing of “good cause,” as noted above, rests upon a showing of (1) the surety’s “past diligence” in tracking down the absconding defendant,</w:t>
      </w:r>
      <w:r w:rsidRPr="00EC17EC">
        <w:rPr>
          <w:rFonts w:ascii="Century Schoolbook" w:hAnsi="Century Schoolbook"/>
          <w:szCs w:val="26"/>
        </w:rPr>
        <w:t xml:space="preserve"> and (2) a “reasonable likelihood th</w:t>
      </w:r>
      <w:r w:rsidRPr="00EC17EC">
        <w:rPr>
          <w:rFonts w:ascii="Century Schoolbook" w:hAnsi="Century Schoolbook"/>
          <w:szCs w:val="26"/>
        </w:rPr>
        <w:t xml:space="preserve">e </w:t>
      </w:r>
      <w:r w:rsidRPr="00EC17EC">
        <w:rPr>
          <w:rFonts w:ascii="Century Schoolbook" w:hAnsi="Century Schoolbook"/>
          <w:szCs w:val="26"/>
        </w:rPr>
        <w:t>extension will result in the defendant’s apprehension.”  (</w:t>
      </w:r>
      <w:r w:rsidRPr="00EC17EC">
        <w:rPr>
          <w:rFonts w:ascii="Century Schoolbook" w:hAnsi="Century Schoolbook"/>
          <w:i/>
          <w:szCs w:val="26"/>
        </w:rPr>
        <w:t xml:space="preserve">Financial </w:t>
      </w:r>
      <w:r w:rsidRPr="00EC17EC">
        <w:rPr>
          <w:rFonts w:ascii="Century Schoolbook" w:hAnsi="Century Schoolbook"/>
          <w:i/>
          <w:szCs w:val="26"/>
        </w:rPr>
        <w:t>Casualt</w:t>
      </w:r>
      <w:r w:rsidRPr="00EC17EC">
        <w:rPr>
          <w:rFonts w:ascii="Century Schoolbook" w:hAnsi="Century Schoolbook"/>
          <w:i/>
          <w:szCs w:val="26"/>
        </w:rPr>
        <w:t>y</w:t>
      </w:r>
      <w:r w:rsidRPr="00EC17EC">
        <w:rPr>
          <w:rFonts w:ascii="Century Schoolbook" w:hAnsi="Century Schoolbook"/>
          <w:szCs w:val="26"/>
        </w:rPr>
        <w:t xml:space="preserve">, </w:t>
      </w:r>
      <w:r w:rsidRPr="00EC17EC">
        <w:rPr>
          <w:rFonts w:ascii="Century Schoolbook" w:hAnsi="Century Schoolbook"/>
          <w:i/>
          <w:szCs w:val="26"/>
        </w:rPr>
        <w:t>supra</w:t>
      </w:r>
      <w:r w:rsidRPr="00EC17EC">
        <w:rPr>
          <w:rFonts w:ascii="Century Schoolbook" w:hAnsi="Century Schoolbook"/>
          <w:szCs w:val="26"/>
        </w:rPr>
        <w:t xml:space="preserve">, 2 Cal.5th </w:t>
      </w:r>
      <w:r w:rsidRPr="00EC17EC">
        <w:rPr>
          <w:rFonts w:ascii="Century Schoolbook" w:hAnsi="Century Schoolbook"/>
          <w:szCs w:val="26"/>
        </w:rPr>
        <w:t xml:space="preserve">at pp. 47-48.)  Here, the surety was not moving swiftly in its efforts to track down </w:t>
      </w:r>
      <w:r w:rsidRPr="00EC17EC">
        <w:rPr>
          <w:rFonts w:ascii="Century Schoolbook" w:hAnsi="Century Schoolbook"/>
          <w:szCs w:val="26"/>
        </w:rPr>
        <w:t>Angulo</w:t>
      </w:r>
      <w:r w:rsidRPr="00EC17EC">
        <w:rPr>
          <w:rFonts w:ascii="Century Schoolbook" w:hAnsi="Century Schoolbook"/>
          <w:szCs w:val="26"/>
        </w:rPr>
        <w:t xml:space="preserve"> and to inform the prosecutor’s office of those efforts:  The surety did not locate </w:t>
      </w:r>
      <w:r w:rsidRPr="00EC17EC">
        <w:rPr>
          <w:rFonts w:ascii="Century Schoolbook" w:hAnsi="Century Schoolbook"/>
          <w:szCs w:val="26"/>
        </w:rPr>
        <w:t>Angulo</w:t>
      </w:r>
      <w:r w:rsidRPr="00EC17EC">
        <w:rPr>
          <w:rFonts w:ascii="Century Schoolbook" w:hAnsi="Century Schoolbook"/>
          <w:szCs w:val="26"/>
        </w:rPr>
        <w:t xml:space="preserve"> until October 5, 2014, and did not </w:t>
      </w:r>
      <w:r>
        <w:rPr>
          <w:rFonts w:ascii="Century Schoolbook" w:hAnsi="Century Schoolbook"/>
          <w:szCs w:val="26"/>
        </w:rPr>
        <w:t>request an extradition decision from</w:t>
      </w:r>
      <w:r w:rsidRPr="00EC17EC">
        <w:rPr>
          <w:rFonts w:ascii="Century Schoolbook" w:hAnsi="Century Schoolbook"/>
          <w:szCs w:val="26"/>
        </w:rPr>
        <w:t xml:space="preserve"> the pro</w:t>
      </w:r>
      <w:r>
        <w:rPr>
          <w:rFonts w:ascii="Century Schoolbook" w:hAnsi="Century Schoolbook"/>
          <w:szCs w:val="26"/>
        </w:rPr>
        <w:t xml:space="preserve">secutor’s office </w:t>
      </w:r>
      <w:r w:rsidRPr="00EC17EC">
        <w:rPr>
          <w:rFonts w:ascii="Century Schoolbook" w:hAnsi="Century Schoolbook"/>
          <w:szCs w:val="26"/>
        </w:rPr>
        <w:t>until December 8</w:t>
      </w:r>
      <w:r w:rsidRPr="00EC17EC">
        <w:rPr>
          <w:rFonts w:ascii="Century Schoolbook" w:hAnsi="Century Schoolbook"/>
          <w:szCs w:val="26"/>
        </w:rPr>
        <w:t>—</w:t>
      </w:r>
      <w:r w:rsidRPr="00EC17EC">
        <w:rPr>
          <w:rFonts w:ascii="Century Schoolbook" w:hAnsi="Century Schoolbook"/>
          <w:szCs w:val="26"/>
        </w:rPr>
        <w:t>over two months later and less than two weeks before</w:t>
      </w:r>
      <w:r w:rsidRPr="00EC17EC">
        <w:rPr>
          <w:rFonts w:ascii="Century Schoolbook" w:hAnsi="Century Schoolbook"/>
          <w:szCs w:val="26"/>
        </w:rPr>
        <w:t xml:space="preserve"> the expiration of the first extension period on December 24, 2014.  What is more, even though the prosecutor’s office informed the surety that it would need a contemporaneous photograph or fingerprint</w:t>
      </w:r>
      <w:r w:rsidRPr="00EC17EC">
        <w:rPr>
          <w:rFonts w:ascii="Century Schoolbook" w:hAnsi="Century Schoolbook"/>
          <w:szCs w:val="26"/>
        </w:rPr>
        <w:t>s</w:t>
      </w:r>
      <w:r w:rsidRPr="00EC17EC">
        <w:rPr>
          <w:rFonts w:ascii="Century Schoolbook" w:hAnsi="Century Schoolbook"/>
          <w:szCs w:val="26"/>
        </w:rPr>
        <w:t xml:space="preserve"> of </w:t>
      </w:r>
      <w:r w:rsidRPr="00EC17EC">
        <w:rPr>
          <w:rFonts w:ascii="Century Schoolbook" w:hAnsi="Century Schoolbook"/>
          <w:szCs w:val="26"/>
        </w:rPr>
        <w:t xml:space="preserve">Angulo </w:t>
      </w:r>
      <w:r w:rsidRPr="00EC17EC">
        <w:rPr>
          <w:rFonts w:ascii="Century Schoolbook" w:hAnsi="Century Schoolbook"/>
          <w:szCs w:val="26"/>
        </w:rPr>
        <w:t>on December 16, 2014, the surety had done n</w:t>
      </w:r>
      <w:r w:rsidRPr="00EC17EC">
        <w:rPr>
          <w:rFonts w:ascii="Century Schoolbook" w:hAnsi="Century Schoolbook"/>
          <w:szCs w:val="26"/>
        </w:rPr>
        <w:t xml:space="preserve">othing to secure that additional information by the February </w:t>
      </w:r>
      <w:r w:rsidRPr="00EC17EC">
        <w:rPr>
          <w:rFonts w:ascii="Century Schoolbook" w:hAnsi="Century Schoolbook"/>
          <w:szCs w:val="26"/>
        </w:rPr>
        <w:t>2</w:t>
      </w:r>
      <w:r w:rsidRPr="00EC17EC">
        <w:rPr>
          <w:rFonts w:ascii="Century Schoolbook" w:hAnsi="Century Schoolbook"/>
          <w:szCs w:val="26"/>
        </w:rPr>
        <w:t xml:space="preserve">, 2015 hearing.  For much the same reason, the surety did not establish a reasonable likelihood of apprehending </w:t>
      </w:r>
      <w:r w:rsidRPr="00EC17EC">
        <w:rPr>
          <w:rFonts w:ascii="Century Schoolbook" w:hAnsi="Century Schoolbook"/>
          <w:szCs w:val="26"/>
        </w:rPr>
        <w:t>Angulo</w:t>
      </w:r>
      <w:r w:rsidRPr="00EC17EC">
        <w:rPr>
          <w:rFonts w:ascii="Century Schoolbook" w:hAnsi="Century Schoolbook"/>
          <w:szCs w:val="26"/>
        </w:rPr>
        <w:t>—</w:t>
      </w:r>
      <w:r w:rsidRPr="00EC17EC">
        <w:rPr>
          <w:rFonts w:ascii="Century Schoolbook" w:hAnsi="Century Schoolbook"/>
          <w:szCs w:val="26"/>
        </w:rPr>
        <w:t>or, in this case, of obtaining the photograph or fingerprint</w:t>
      </w:r>
      <w:r w:rsidRPr="00EC17EC">
        <w:rPr>
          <w:rFonts w:ascii="Century Schoolbook" w:hAnsi="Century Schoolbook"/>
          <w:szCs w:val="26"/>
        </w:rPr>
        <w:t>s</w:t>
      </w:r>
      <w:r w:rsidRPr="00EC17EC">
        <w:rPr>
          <w:rFonts w:ascii="Century Schoolbook" w:hAnsi="Century Schoolbook"/>
          <w:szCs w:val="26"/>
        </w:rPr>
        <w:t>—</w:t>
      </w:r>
      <w:r w:rsidRPr="00EC17EC">
        <w:rPr>
          <w:rFonts w:ascii="Century Schoolbook" w:hAnsi="Century Schoolbook"/>
          <w:szCs w:val="26"/>
        </w:rPr>
        <w:t>within the re</w:t>
      </w:r>
      <w:r w:rsidRPr="00EC17EC">
        <w:rPr>
          <w:rFonts w:ascii="Century Schoolbook" w:hAnsi="Century Schoolbook"/>
          <w:szCs w:val="26"/>
        </w:rPr>
        <w:t xml:space="preserve">maining </w:t>
      </w:r>
      <w:r w:rsidRPr="00EC17EC">
        <w:rPr>
          <w:rFonts w:ascii="Century Schoolbook" w:hAnsi="Century Schoolbook"/>
          <w:szCs w:val="26"/>
        </w:rPr>
        <w:t>21</w:t>
      </w:r>
      <w:r w:rsidRPr="00EC17EC">
        <w:rPr>
          <w:rFonts w:ascii="Century Schoolbook" w:hAnsi="Century Schoolbook"/>
          <w:szCs w:val="26"/>
        </w:rPr>
        <w:t xml:space="preserve"> days.  The surety’s failure to obtain that information in the seven-plus weeks between the prosecutor’s office’s letter and the hearing date seems to portend a similar result even with an additional </w:t>
      </w:r>
      <w:r w:rsidRPr="00EC17EC">
        <w:rPr>
          <w:rFonts w:ascii="Century Schoolbook" w:hAnsi="Century Schoolbook"/>
          <w:szCs w:val="26"/>
        </w:rPr>
        <w:t>21</w:t>
      </w:r>
      <w:r w:rsidRPr="00EC17EC">
        <w:rPr>
          <w:rFonts w:ascii="Century Schoolbook" w:hAnsi="Century Schoolbook"/>
          <w:szCs w:val="26"/>
        </w:rPr>
        <w:t xml:space="preserve"> days, particularly when the surety offered </w:t>
      </w:r>
      <w:r w:rsidRPr="00EC17EC">
        <w:rPr>
          <w:rFonts w:ascii="Century Schoolbook" w:hAnsi="Century Schoolbook"/>
          <w:szCs w:val="26"/>
        </w:rPr>
        <w:t xml:space="preserve">no other evidence to indicate it could obtain that information </w:t>
      </w:r>
      <w:r w:rsidRPr="00EC17EC">
        <w:rPr>
          <w:rFonts w:ascii="Century Schoolbook" w:hAnsi="Century Schoolbook"/>
          <w:szCs w:val="26"/>
        </w:rPr>
        <w:t>before the clock ran</w:t>
      </w:r>
      <w:r w:rsidRPr="00EC17EC">
        <w:rPr>
          <w:rFonts w:ascii="Century Schoolbook" w:hAnsi="Century Schoolbook"/>
          <w:szCs w:val="26"/>
        </w:rPr>
        <w:t>.</w:t>
      </w:r>
    </w:p>
    <w:p w:rsidR="00291FD9" w:rsidRPr="00EC17EC" w:rsidRDefault="00DE519E" w:rsidP="00A85AF2">
      <w:pPr>
        <w:spacing w:line="288" w:lineRule="auto"/>
        <w:jc w:val="center"/>
        <w:rPr>
          <w:rFonts w:ascii="Century Schoolbook" w:hAnsi="Century Schoolbook"/>
          <w:b/>
          <w:szCs w:val="26"/>
        </w:rPr>
      </w:pPr>
      <w:r w:rsidRPr="00EC17EC">
        <w:rPr>
          <w:rFonts w:ascii="Century Schoolbook" w:hAnsi="Century Schoolbook"/>
          <w:b/>
          <w:szCs w:val="26"/>
        </w:rPr>
        <w:t>DISPOSITION</w:t>
      </w:r>
    </w:p>
    <w:p w:rsidR="00291FD9" w:rsidRPr="00EC17EC" w:rsidRDefault="00DE519E" w:rsidP="00A85AF2">
      <w:pPr>
        <w:spacing w:line="288" w:lineRule="auto"/>
        <w:rPr>
          <w:rFonts w:ascii="Century Schoolbook" w:hAnsi="Century Schoolbook"/>
          <w:szCs w:val="26"/>
        </w:rPr>
      </w:pPr>
      <w:r w:rsidRPr="00EC17EC">
        <w:rPr>
          <w:rFonts w:ascii="Century Schoolbook" w:hAnsi="Century Schoolbook"/>
          <w:szCs w:val="26"/>
        </w:rPr>
        <w:tab/>
        <w:t>The order denying the motion to vacate and for extension of time, as well as the judgment, are affirmed.</w:t>
      </w:r>
      <w:r w:rsidRPr="00EC17EC">
        <w:rPr>
          <w:rFonts w:ascii="Century Schoolbook" w:hAnsi="Century Schoolbook"/>
          <w:szCs w:val="26"/>
        </w:rPr>
        <w:t xml:space="preserve">  The People are awarded costs on appeal.</w:t>
      </w:r>
    </w:p>
    <w:p w:rsidR="00DE4943" w:rsidRPr="00EC17EC" w:rsidRDefault="00DE519E" w:rsidP="00DE4943">
      <w:pPr>
        <w:spacing w:line="240" w:lineRule="auto"/>
        <w:rPr>
          <w:rFonts w:ascii="Century Schoolbook" w:hAnsi="Century Schoolbook"/>
          <w:szCs w:val="26"/>
        </w:rPr>
      </w:pPr>
      <w:r w:rsidRPr="00EC17EC">
        <w:rPr>
          <w:rFonts w:ascii="Century Schoolbook" w:hAnsi="Century Schoolbook"/>
          <w:b/>
          <w:szCs w:val="26"/>
        </w:rPr>
        <w:tab/>
      </w:r>
      <w:r w:rsidRPr="00EC17EC">
        <w:rPr>
          <w:rFonts w:ascii="Century Schoolbook" w:hAnsi="Century Schoolbook"/>
          <w:b/>
          <w:szCs w:val="26"/>
          <w:u w:val="single"/>
        </w:rPr>
        <w:t xml:space="preserve">CERTIFIED </w:t>
      </w:r>
      <w:r w:rsidRPr="00EC17EC">
        <w:rPr>
          <w:rFonts w:ascii="Century Schoolbook" w:hAnsi="Century Schoolbook"/>
          <w:b/>
          <w:szCs w:val="26"/>
          <w:u w:val="single"/>
        </w:rPr>
        <w:t>FOR PUBLICATION.</w:t>
      </w:r>
    </w:p>
    <w:p w:rsidR="00DE4943" w:rsidRPr="00EC17EC" w:rsidRDefault="00DE519E" w:rsidP="00DE4943">
      <w:pPr>
        <w:spacing w:line="240" w:lineRule="auto"/>
        <w:contextualSpacing/>
        <w:rPr>
          <w:rFonts w:ascii="Century Schoolbook" w:hAnsi="Century Schoolbook"/>
          <w:szCs w:val="26"/>
        </w:rPr>
      </w:pP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t>______________________, J.</w:t>
      </w:r>
    </w:p>
    <w:p w:rsidR="00DE4943" w:rsidRPr="00EC17EC" w:rsidRDefault="00DE519E" w:rsidP="00DE4943">
      <w:pPr>
        <w:spacing w:line="240" w:lineRule="auto"/>
        <w:contextualSpacing/>
        <w:rPr>
          <w:rFonts w:ascii="Century Schoolbook" w:hAnsi="Century Schoolbook"/>
          <w:szCs w:val="26"/>
        </w:rPr>
      </w:pP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r>
      <w:r w:rsidRPr="00EC17EC">
        <w:rPr>
          <w:rFonts w:ascii="Century Schoolbook" w:hAnsi="Century Schoolbook"/>
          <w:szCs w:val="26"/>
        </w:rPr>
        <w:tab/>
        <w:t>HOFFSTADT</w:t>
      </w:r>
    </w:p>
    <w:p w:rsidR="00DE4943" w:rsidRPr="00EC17EC" w:rsidRDefault="00DE519E" w:rsidP="00DE4943">
      <w:pPr>
        <w:spacing w:line="240" w:lineRule="auto"/>
        <w:contextualSpacing/>
        <w:rPr>
          <w:rFonts w:ascii="Century Schoolbook" w:hAnsi="Century Schoolbook"/>
          <w:szCs w:val="26"/>
        </w:rPr>
      </w:pPr>
      <w:r w:rsidRPr="00EC17EC">
        <w:rPr>
          <w:rFonts w:ascii="Century Schoolbook" w:hAnsi="Century Schoolbook"/>
          <w:szCs w:val="26"/>
        </w:rPr>
        <w:t>We concur:</w:t>
      </w:r>
    </w:p>
    <w:p w:rsidR="00DE4943" w:rsidRPr="00EC17EC" w:rsidRDefault="00DE519E" w:rsidP="00DE4943">
      <w:pPr>
        <w:spacing w:line="240" w:lineRule="auto"/>
        <w:contextualSpacing/>
        <w:rPr>
          <w:rFonts w:ascii="Century Schoolbook" w:hAnsi="Century Schoolbook"/>
          <w:szCs w:val="26"/>
        </w:rPr>
      </w:pPr>
    </w:p>
    <w:p w:rsidR="00DE4943" w:rsidRPr="00EC17EC" w:rsidRDefault="00DE519E" w:rsidP="00DE4943">
      <w:pPr>
        <w:spacing w:line="240" w:lineRule="auto"/>
        <w:contextualSpacing/>
        <w:rPr>
          <w:rFonts w:ascii="Century Schoolbook" w:hAnsi="Century Schoolbook"/>
          <w:szCs w:val="26"/>
        </w:rPr>
      </w:pPr>
      <w:r w:rsidRPr="00EC17EC">
        <w:rPr>
          <w:rFonts w:ascii="Century Schoolbook" w:hAnsi="Century Schoolbook"/>
          <w:szCs w:val="26"/>
        </w:rPr>
        <w:t>_________________________, Acting P. J.</w:t>
      </w:r>
    </w:p>
    <w:p w:rsidR="00DE4943" w:rsidRPr="00EC17EC" w:rsidRDefault="00DE519E" w:rsidP="00DE4943">
      <w:pPr>
        <w:spacing w:line="240" w:lineRule="auto"/>
        <w:contextualSpacing/>
        <w:rPr>
          <w:rFonts w:ascii="Century Schoolbook" w:hAnsi="Century Schoolbook"/>
          <w:szCs w:val="26"/>
        </w:rPr>
      </w:pPr>
      <w:r w:rsidRPr="00EC17EC">
        <w:rPr>
          <w:rFonts w:ascii="Century Schoolbook" w:hAnsi="Century Schoolbook"/>
          <w:szCs w:val="26"/>
        </w:rPr>
        <w:t>ASHMANN-GERST</w:t>
      </w:r>
    </w:p>
    <w:p w:rsidR="00DE4943" w:rsidRPr="00EC17EC" w:rsidRDefault="00DE519E" w:rsidP="00DE4943">
      <w:pPr>
        <w:spacing w:line="240" w:lineRule="auto"/>
        <w:contextualSpacing/>
        <w:rPr>
          <w:rFonts w:ascii="Century Schoolbook" w:hAnsi="Century Schoolbook"/>
          <w:szCs w:val="26"/>
        </w:rPr>
      </w:pPr>
    </w:p>
    <w:p w:rsidR="00DE4943" w:rsidRPr="00EC17EC" w:rsidRDefault="00DE519E" w:rsidP="00DE4943">
      <w:pPr>
        <w:spacing w:line="240" w:lineRule="auto"/>
        <w:contextualSpacing/>
        <w:rPr>
          <w:rFonts w:ascii="Century Schoolbook" w:hAnsi="Century Schoolbook"/>
          <w:szCs w:val="26"/>
        </w:rPr>
      </w:pPr>
      <w:r w:rsidRPr="00EC17EC">
        <w:rPr>
          <w:rFonts w:ascii="Century Schoolbook" w:hAnsi="Century Schoolbook"/>
          <w:szCs w:val="26"/>
        </w:rPr>
        <w:t>_________________________, J.</w:t>
      </w:r>
      <w:r>
        <w:rPr>
          <w:rFonts w:ascii="Century Schoolbook" w:hAnsi="Century Schoolbook"/>
          <w:b/>
          <w:szCs w:val="26"/>
          <w:vertAlign w:val="superscript"/>
        </w:rPr>
        <w:footnoteReference w:customMarkFollows="1" w:id="9"/>
        <w:t>*</w:t>
      </w:r>
    </w:p>
    <w:p w:rsidR="00DE4943" w:rsidRPr="00EC17EC" w:rsidRDefault="00DE519E" w:rsidP="00DE4943">
      <w:pPr>
        <w:spacing w:line="240" w:lineRule="auto"/>
        <w:contextualSpacing/>
        <w:rPr>
          <w:rFonts w:ascii="Century Schoolbook" w:hAnsi="Century Schoolbook"/>
          <w:szCs w:val="26"/>
        </w:rPr>
      </w:pPr>
      <w:r w:rsidRPr="00EC17EC">
        <w:rPr>
          <w:rFonts w:ascii="Century Schoolbook" w:hAnsi="Century Schoolbook"/>
          <w:szCs w:val="26"/>
        </w:rPr>
        <w:t>GOODMAN</w:t>
      </w:r>
    </w:p>
    <w:sectPr w:rsidR="00DE4943" w:rsidRPr="00EC17EC" w:rsidSect="008068AA">
      <w:footerReference w:type="even" r:id="rId7"/>
      <w:foot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519E">
      <w:pPr>
        <w:spacing w:line="240" w:lineRule="auto"/>
      </w:pPr>
      <w:r>
        <w:separator/>
      </w:r>
    </w:p>
  </w:endnote>
  <w:endnote w:type="continuationSeparator" w:id="0">
    <w:p w:rsidR="00000000" w:rsidRDefault="00DE5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AA" w:rsidRDefault="00DE519E" w:rsidP="005B79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68AA" w:rsidRDefault="00DE51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8AA" w:rsidRPr="000E7C25" w:rsidRDefault="00DE519E" w:rsidP="005B79CB">
    <w:pPr>
      <w:pStyle w:val="Footer"/>
      <w:framePr w:wrap="around" w:vAnchor="text" w:hAnchor="margin" w:xAlign="center" w:y="1"/>
      <w:rPr>
        <w:rStyle w:val="PageNumber"/>
        <w:rFonts w:ascii="Century Schoolbook" w:hAnsi="Century Schoolbook"/>
      </w:rPr>
    </w:pPr>
    <w:r w:rsidRPr="000E7C25">
      <w:rPr>
        <w:rStyle w:val="PageNumber"/>
        <w:rFonts w:ascii="Century Schoolbook" w:hAnsi="Century Schoolbook"/>
      </w:rPr>
      <w:fldChar w:fldCharType="begin"/>
    </w:r>
    <w:r w:rsidRPr="000E7C25">
      <w:rPr>
        <w:rStyle w:val="PageNumber"/>
        <w:rFonts w:ascii="Century Schoolbook" w:hAnsi="Century Schoolbook"/>
      </w:rPr>
      <w:instrText xml:space="preserve">PAGE  </w:instrText>
    </w:r>
    <w:r w:rsidRPr="000E7C25">
      <w:rPr>
        <w:rStyle w:val="PageNumber"/>
        <w:rFonts w:ascii="Century Schoolbook" w:hAnsi="Century Schoolbook"/>
      </w:rPr>
      <w:fldChar w:fldCharType="separate"/>
    </w:r>
    <w:r>
      <w:rPr>
        <w:rStyle w:val="PageNumber"/>
        <w:rFonts w:ascii="Century Schoolbook" w:hAnsi="Century Schoolbook"/>
        <w:noProof/>
      </w:rPr>
      <w:t>2</w:t>
    </w:r>
    <w:r w:rsidRPr="000E7C25">
      <w:rPr>
        <w:rStyle w:val="PageNumber"/>
        <w:rFonts w:ascii="Century Schoolbook" w:hAnsi="Century Schoolbook"/>
      </w:rPr>
      <w:fldChar w:fldCharType="end"/>
    </w:r>
  </w:p>
  <w:p w:rsidR="008068AA" w:rsidRPr="000E7C25" w:rsidRDefault="00DE519E">
    <w:pPr>
      <w:pStyle w:val="Footer"/>
      <w:rPr>
        <w:rFonts w:ascii="Century Schoolbook" w:hAnsi="Century Schoolboo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AA" w:rsidRPr="00872949" w:rsidRDefault="00DE519E" w:rsidP="00872949">
      <w:r>
        <w:continuationSeparator/>
      </w:r>
    </w:p>
  </w:footnote>
  <w:footnote w:type="continuationSeparator" w:id="0">
    <w:p w:rsidR="008068AA" w:rsidRDefault="00DE519E" w:rsidP="00962361">
      <w:pPr>
        <w:spacing w:line="240" w:lineRule="auto"/>
      </w:pPr>
      <w:r>
        <w:continuationSeparator/>
      </w:r>
    </w:p>
  </w:footnote>
  <w:footnote w:id="1">
    <w:p w:rsidR="008068AA" w:rsidRPr="00D60247" w:rsidRDefault="00DE519E">
      <w:pPr>
        <w:pStyle w:val="FootnoteText"/>
        <w:rPr>
          <w:rFonts w:ascii="Century Schoolbook" w:hAnsi="Century Schoolbook"/>
          <w:sz w:val="26"/>
          <w:szCs w:val="26"/>
        </w:rPr>
      </w:pPr>
      <w:r w:rsidRPr="00D60247">
        <w:rPr>
          <w:rStyle w:val="FootnoteReference"/>
          <w:rFonts w:ascii="Century Schoolbook" w:hAnsi="Century Schoolbook"/>
          <w:b/>
          <w:vertAlign w:val="baseline"/>
        </w:rPr>
        <w:footnoteRef/>
      </w:r>
      <w:r w:rsidRPr="00D60247">
        <w:rPr>
          <w:rFonts w:ascii="Century Schoolbook" w:hAnsi="Century Schoolbook"/>
          <w:sz w:val="26"/>
          <w:szCs w:val="26"/>
        </w:rPr>
        <w:t xml:space="preserve"> </w:t>
      </w:r>
      <w:r w:rsidRPr="00D60247">
        <w:rPr>
          <w:rFonts w:ascii="Century Schoolbook" w:hAnsi="Century Schoolbook"/>
          <w:sz w:val="26"/>
          <w:szCs w:val="26"/>
        </w:rPr>
        <w:tab/>
        <w:t>All further statutory references are to the Penal Code unless otherwise indicated.</w:t>
      </w:r>
    </w:p>
    <w:p w:rsidR="008068AA" w:rsidRPr="00D60247" w:rsidRDefault="00DE519E">
      <w:pPr>
        <w:pStyle w:val="FootnoteText"/>
        <w:rPr>
          <w:rFonts w:ascii="Century Schoolbook" w:hAnsi="Century Schoolbook"/>
          <w:sz w:val="26"/>
          <w:szCs w:val="26"/>
        </w:rPr>
      </w:pPr>
    </w:p>
  </w:footnote>
  <w:footnote w:id="2">
    <w:p w:rsidR="008068AA" w:rsidRPr="00D60247" w:rsidRDefault="00DE519E">
      <w:pPr>
        <w:pStyle w:val="FootnoteText"/>
        <w:rPr>
          <w:rFonts w:ascii="Century Schoolbook" w:hAnsi="Century Schoolbook"/>
          <w:sz w:val="26"/>
          <w:szCs w:val="26"/>
        </w:rPr>
      </w:pPr>
      <w:r w:rsidRPr="00D60247">
        <w:rPr>
          <w:rStyle w:val="FootnoteReference"/>
          <w:rFonts w:ascii="Century Schoolbook" w:hAnsi="Century Schoolbook"/>
          <w:b/>
          <w:vertAlign w:val="baseline"/>
        </w:rPr>
        <w:footnoteRef/>
      </w:r>
      <w:r w:rsidRPr="00D60247">
        <w:rPr>
          <w:rFonts w:ascii="Century Schoolbook" w:hAnsi="Century Schoolbook"/>
        </w:rPr>
        <w:t xml:space="preserve"> </w:t>
      </w:r>
      <w:r w:rsidRPr="00D60247">
        <w:rPr>
          <w:rFonts w:ascii="Century Schoolbook" w:hAnsi="Century Schoolbook"/>
        </w:rPr>
        <w:tab/>
      </w:r>
      <w:r w:rsidRPr="00D60247">
        <w:rPr>
          <w:rFonts w:ascii="Century Schoolbook" w:hAnsi="Century Schoolbook"/>
          <w:sz w:val="26"/>
          <w:szCs w:val="26"/>
        </w:rPr>
        <w:t xml:space="preserve">The surety asserts that the Mexican officer faxed his affidavit to the prosecutor’s office on October 6, 2014.  Although the </w:t>
      </w:r>
      <w:r w:rsidRPr="00D60247">
        <w:rPr>
          <w:rFonts w:ascii="Century Schoolbook" w:hAnsi="Century Schoolbook"/>
          <w:sz w:val="26"/>
          <w:szCs w:val="26"/>
        </w:rPr>
        <w:t>officer’s affidavit has a “FAX” sheet as a cover sheet, the cover sheet lists no fax number for the prosecutor’s office and does not contain a data line indicating it w</w:t>
      </w:r>
      <w:r>
        <w:rPr>
          <w:rFonts w:ascii="Century Schoolbook" w:hAnsi="Century Schoolbook"/>
          <w:sz w:val="26"/>
          <w:szCs w:val="26"/>
        </w:rPr>
        <w:t xml:space="preserve">as ever transmitted. </w:t>
      </w:r>
      <w:r>
        <w:rPr>
          <w:rFonts w:ascii="Century Schoolbook" w:hAnsi="Century Schoolbook"/>
          <w:sz w:val="26"/>
          <w:szCs w:val="26"/>
        </w:rPr>
        <w:t xml:space="preserve"> </w:t>
      </w:r>
      <w:r w:rsidRPr="00D60247">
        <w:rPr>
          <w:rFonts w:ascii="Century Schoolbook" w:hAnsi="Century Schoolbook"/>
          <w:sz w:val="26"/>
          <w:szCs w:val="26"/>
        </w:rPr>
        <w:t>What is more, neither the cover sheet nor the affidavit requests a</w:t>
      </w:r>
      <w:r w:rsidRPr="00D60247">
        <w:rPr>
          <w:rFonts w:ascii="Century Schoolbook" w:hAnsi="Century Schoolbook"/>
          <w:sz w:val="26"/>
          <w:szCs w:val="26"/>
        </w:rPr>
        <w:t xml:space="preserve"> decis</w:t>
      </w:r>
      <w:r>
        <w:rPr>
          <w:rFonts w:ascii="Century Schoolbook" w:hAnsi="Century Schoolbook"/>
          <w:sz w:val="26"/>
          <w:szCs w:val="26"/>
        </w:rPr>
        <w:t xml:space="preserve">ion on extradition. </w:t>
      </w:r>
      <w:r w:rsidRPr="00D60247">
        <w:rPr>
          <w:rFonts w:ascii="Century Schoolbook" w:hAnsi="Century Schoolbook"/>
          <w:sz w:val="26"/>
          <w:szCs w:val="26"/>
        </w:rPr>
        <w:t xml:space="preserve"> The surety did not request an extradition decision until its Decembe</w:t>
      </w:r>
      <w:r>
        <w:rPr>
          <w:rFonts w:ascii="Century Schoolbook" w:hAnsi="Century Schoolbook"/>
          <w:sz w:val="26"/>
          <w:szCs w:val="26"/>
        </w:rPr>
        <w:t>r 8, 2014 letter.</w:t>
      </w:r>
    </w:p>
    <w:p w:rsidR="008068AA" w:rsidRPr="00D60247" w:rsidRDefault="00DE519E">
      <w:pPr>
        <w:pStyle w:val="FootnoteText"/>
        <w:rPr>
          <w:rFonts w:ascii="Century Schoolbook" w:hAnsi="Century Schoolbook"/>
        </w:rPr>
      </w:pPr>
    </w:p>
  </w:footnote>
  <w:footnote w:id="3">
    <w:p w:rsidR="008068AA" w:rsidRPr="00D60247" w:rsidRDefault="00DE519E">
      <w:pPr>
        <w:pStyle w:val="FootnoteText"/>
        <w:rPr>
          <w:rFonts w:ascii="Century Schoolbook" w:hAnsi="Century Schoolbook"/>
          <w:sz w:val="26"/>
          <w:szCs w:val="26"/>
        </w:rPr>
      </w:pPr>
      <w:r w:rsidRPr="00D60247">
        <w:rPr>
          <w:rStyle w:val="FootnoteReference"/>
          <w:rFonts w:ascii="Century Schoolbook" w:hAnsi="Century Schoolbook"/>
          <w:b/>
          <w:vertAlign w:val="baseline"/>
        </w:rPr>
        <w:footnoteRef/>
      </w:r>
      <w:r w:rsidRPr="00D60247">
        <w:rPr>
          <w:rFonts w:ascii="Century Schoolbook" w:hAnsi="Century Schoolbook"/>
          <w:sz w:val="26"/>
          <w:szCs w:val="26"/>
        </w:rPr>
        <w:t xml:space="preserve"> </w:t>
      </w:r>
      <w:r w:rsidRPr="00D60247">
        <w:rPr>
          <w:rFonts w:ascii="Century Schoolbook" w:hAnsi="Century Schoolbook"/>
          <w:sz w:val="26"/>
          <w:szCs w:val="26"/>
        </w:rPr>
        <w:tab/>
        <w:t>Although the motion was file stamped on December 31, 2014, the parties agree that this was in error and that the motion was actua</w:t>
      </w:r>
      <w:r>
        <w:rPr>
          <w:rFonts w:ascii="Century Schoolbook" w:hAnsi="Century Schoolbook"/>
          <w:sz w:val="26"/>
          <w:szCs w:val="26"/>
        </w:rPr>
        <w:t xml:space="preserve">lly filed </w:t>
      </w:r>
      <w:r>
        <w:rPr>
          <w:rFonts w:ascii="Century Schoolbook" w:hAnsi="Century Schoolbook"/>
          <w:sz w:val="26"/>
          <w:szCs w:val="26"/>
        </w:rPr>
        <w:t>on December 24, 2014.</w:t>
      </w:r>
    </w:p>
    <w:p w:rsidR="008068AA" w:rsidRPr="00D60247" w:rsidRDefault="00DE519E">
      <w:pPr>
        <w:pStyle w:val="FootnoteText"/>
        <w:rPr>
          <w:rFonts w:ascii="Century Schoolbook" w:hAnsi="Century Schoolbook"/>
          <w:sz w:val="26"/>
          <w:szCs w:val="26"/>
        </w:rPr>
      </w:pPr>
    </w:p>
  </w:footnote>
  <w:footnote w:id="4">
    <w:p w:rsidR="008068AA" w:rsidRPr="00D60247" w:rsidRDefault="00DE519E">
      <w:pPr>
        <w:pStyle w:val="FootnoteText"/>
        <w:rPr>
          <w:rFonts w:ascii="Century Schoolbook" w:hAnsi="Century Schoolbook"/>
          <w:sz w:val="26"/>
          <w:szCs w:val="26"/>
        </w:rPr>
      </w:pPr>
      <w:r w:rsidRPr="00D60247">
        <w:rPr>
          <w:rStyle w:val="FootnoteReference"/>
          <w:rFonts w:ascii="Century Schoolbook" w:hAnsi="Century Schoolbook"/>
          <w:b/>
          <w:vertAlign w:val="baseline"/>
        </w:rPr>
        <w:footnoteRef/>
      </w:r>
      <w:r w:rsidRPr="00D60247">
        <w:rPr>
          <w:rFonts w:ascii="Century Schoolbook" w:hAnsi="Century Schoolbook"/>
          <w:sz w:val="26"/>
          <w:szCs w:val="26"/>
        </w:rPr>
        <w:t xml:space="preserve"> </w:t>
      </w:r>
      <w:r w:rsidRPr="00D60247">
        <w:rPr>
          <w:rFonts w:ascii="Century Schoolbook" w:hAnsi="Century Schoolbook"/>
          <w:sz w:val="26"/>
          <w:szCs w:val="26"/>
        </w:rPr>
        <w:tab/>
        <w:t>A surety may generally not appeal a summary judgment where, as here, it has consented in advance to the entry of summary judgment on the bond.  (</w:t>
      </w:r>
      <w:r w:rsidRPr="00D60247">
        <w:rPr>
          <w:rFonts w:ascii="Century Schoolbook" w:hAnsi="Century Schoolbook"/>
          <w:i/>
          <w:sz w:val="26"/>
          <w:szCs w:val="26"/>
        </w:rPr>
        <w:t>People v. Hodges</w:t>
      </w:r>
      <w:r w:rsidRPr="00D60247">
        <w:rPr>
          <w:rFonts w:ascii="Century Schoolbook" w:hAnsi="Century Schoolbook"/>
          <w:sz w:val="26"/>
          <w:szCs w:val="26"/>
        </w:rPr>
        <w:t xml:space="preserve"> (1928) 205 Cal. 476, 477-478.)  However, this bar does not apply when “‘the judgment was not entered in accordance with the consent given’”—that is, when the trial court did not follow the proper statutory procedures.  (</w:t>
      </w:r>
      <w:r w:rsidRPr="00D60247">
        <w:rPr>
          <w:rFonts w:ascii="Century Schoolbook" w:hAnsi="Century Schoolbook"/>
          <w:i/>
          <w:sz w:val="26"/>
          <w:szCs w:val="26"/>
        </w:rPr>
        <w:t>People v. American Contractors Inde</w:t>
      </w:r>
      <w:r w:rsidRPr="00D60247">
        <w:rPr>
          <w:rFonts w:ascii="Century Schoolbook" w:hAnsi="Century Schoolbook"/>
          <w:i/>
          <w:sz w:val="26"/>
          <w:szCs w:val="26"/>
        </w:rPr>
        <w:t>mnity Co.</w:t>
      </w:r>
      <w:r w:rsidRPr="00D60247">
        <w:rPr>
          <w:rFonts w:ascii="Century Schoolbook" w:hAnsi="Century Schoolbook"/>
          <w:sz w:val="26"/>
          <w:szCs w:val="26"/>
        </w:rPr>
        <w:t xml:space="preserve"> (2004) 33 Cal.4th 653, 664 (</w:t>
      </w:r>
      <w:r w:rsidRPr="00D60247">
        <w:rPr>
          <w:rFonts w:ascii="Century Schoolbook" w:hAnsi="Century Schoolbook"/>
          <w:i/>
          <w:sz w:val="26"/>
          <w:szCs w:val="26"/>
        </w:rPr>
        <w:t>American Contractors</w:t>
      </w:r>
      <w:r w:rsidRPr="00D60247">
        <w:rPr>
          <w:rFonts w:ascii="Century Schoolbook" w:hAnsi="Century Schoolbook"/>
          <w:sz w:val="26"/>
          <w:szCs w:val="26"/>
        </w:rPr>
        <w:t xml:space="preserve">); </w:t>
      </w:r>
      <w:r w:rsidRPr="00D60247">
        <w:rPr>
          <w:rFonts w:ascii="Century Schoolbook" w:hAnsi="Century Schoolbook"/>
          <w:i/>
          <w:sz w:val="26"/>
          <w:szCs w:val="26"/>
        </w:rPr>
        <w:t>Fairmont</w:t>
      </w:r>
      <w:r w:rsidRPr="00D60247">
        <w:rPr>
          <w:rFonts w:ascii="Century Schoolbook" w:hAnsi="Century Schoolbook"/>
          <w:sz w:val="26"/>
          <w:szCs w:val="26"/>
        </w:rPr>
        <w:t>,</w:t>
      </w:r>
      <w:r w:rsidRPr="00D60247">
        <w:rPr>
          <w:rFonts w:ascii="Century Schoolbook" w:hAnsi="Century Schoolbook"/>
          <w:i/>
          <w:sz w:val="26"/>
          <w:szCs w:val="26"/>
        </w:rPr>
        <w:t xml:space="preserve"> supra</w:t>
      </w:r>
      <w:r w:rsidRPr="00D60247">
        <w:rPr>
          <w:rFonts w:ascii="Century Schoolbook" w:hAnsi="Century Schoolbook"/>
          <w:sz w:val="26"/>
          <w:szCs w:val="26"/>
        </w:rPr>
        <w:t>, 173 Cal.App.4th at p. 542, fn. 2.)  Because the surety in this case is alleging noncompliance with section 1305, and because it is independently appealing the denial of its motio</w:t>
      </w:r>
      <w:r w:rsidRPr="00D60247">
        <w:rPr>
          <w:rFonts w:ascii="Century Schoolbook" w:hAnsi="Century Schoolbook"/>
          <w:sz w:val="26"/>
          <w:szCs w:val="26"/>
        </w:rPr>
        <w:t>n to vacate the forfeiture, this appeal is proper.  (</w:t>
      </w:r>
      <w:r w:rsidRPr="00D60247">
        <w:rPr>
          <w:rFonts w:ascii="Century Schoolbook" w:hAnsi="Century Schoolbook"/>
          <w:i/>
          <w:sz w:val="26"/>
          <w:szCs w:val="26"/>
        </w:rPr>
        <w:t>Fairmont</w:t>
      </w:r>
      <w:r w:rsidRPr="00D60247">
        <w:rPr>
          <w:rFonts w:ascii="Century Schoolbook" w:hAnsi="Century Schoolbook"/>
          <w:sz w:val="26"/>
          <w:szCs w:val="26"/>
        </w:rPr>
        <w:t>, at p. 542, fn. 2.)</w:t>
      </w:r>
    </w:p>
  </w:footnote>
  <w:footnote w:id="5">
    <w:p w:rsidR="008068AA" w:rsidRPr="00D60247" w:rsidRDefault="00DE519E">
      <w:pPr>
        <w:pStyle w:val="FootnoteText"/>
        <w:rPr>
          <w:rFonts w:ascii="Century Schoolbook" w:hAnsi="Century Schoolbook"/>
          <w:sz w:val="26"/>
          <w:szCs w:val="26"/>
        </w:rPr>
      </w:pPr>
      <w:r w:rsidRPr="00642B3C">
        <w:rPr>
          <w:rStyle w:val="FootnoteReference"/>
          <w:rFonts w:ascii="Century Schoolbook" w:hAnsi="Century Schoolbook"/>
          <w:b/>
          <w:vertAlign w:val="baseline"/>
        </w:rPr>
        <w:footnoteRef/>
      </w:r>
      <w:r w:rsidRPr="00D60247">
        <w:rPr>
          <w:rFonts w:ascii="Century Schoolbook" w:hAnsi="Century Schoolbook"/>
        </w:rPr>
        <w:t xml:space="preserve"> </w:t>
      </w:r>
      <w:r w:rsidRPr="00D60247">
        <w:rPr>
          <w:rFonts w:ascii="Century Schoolbook" w:hAnsi="Century Schoolbook"/>
        </w:rPr>
        <w:tab/>
      </w:r>
      <w:r w:rsidRPr="00D60247">
        <w:rPr>
          <w:rFonts w:ascii="Century Schoolbook" w:hAnsi="Century Schoolbook"/>
          <w:sz w:val="26"/>
          <w:szCs w:val="26"/>
        </w:rPr>
        <w:t xml:space="preserve">The surety is also entitled to relief if (1) the defendant appears in court voluntarily or is arrested </w:t>
      </w:r>
      <w:r>
        <w:rPr>
          <w:rFonts w:ascii="Century Schoolbook" w:hAnsi="Century Schoolbook"/>
          <w:sz w:val="26"/>
          <w:szCs w:val="26"/>
        </w:rPr>
        <w:t>(§§ 1305, subd. (c)(1), 1305.6);</w:t>
      </w:r>
      <w:r w:rsidRPr="00D60247">
        <w:rPr>
          <w:rFonts w:ascii="Century Schoolbook" w:hAnsi="Century Schoolbook"/>
          <w:sz w:val="26"/>
          <w:szCs w:val="26"/>
        </w:rPr>
        <w:t xml:space="preserve"> (2) the surety or its agent apprehe</w:t>
      </w:r>
      <w:r w:rsidRPr="00D60247">
        <w:rPr>
          <w:rFonts w:ascii="Century Schoolbook" w:hAnsi="Century Schoolbook"/>
          <w:sz w:val="26"/>
          <w:szCs w:val="26"/>
        </w:rPr>
        <w:t>nd the defendant and surrender him to the custody of law enforcement (§ 1305, subd. (c)(2) [within the county where the case is located] &amp; (3) [outside the cou</w:t>
      </w:r>
      <w:r>
        <w:rPr>
          <w:rFonts w:ascii="Century Schoolbook" w:hAnsi="Century Schoolbook"/>
          <w:sz w:val="26"/>
          <w:szCs w:val="26"/>
        </w:rPr>
        <w:t>nty where the case is located]);</w:t>
      </w:r>
      <w:r w:rsidRPr="00D60247">
        <w:rPr>
          <w:rFonts w:ascii="Century Schoolbook" w:hAnsi="Century Schoolbook"/>
          <w:sz w:val="26"/>
          <w:szCs w:val="26"/>
        </w:rPr>
        <w:t xml:space="preserve"> (3) the defendant is dead or “otherwise permanently unable to ap</w:t>
      </w:r>
      <w:r w:rsidRPr="00D60247">
        <w:rPr>
          <w:rFonts w:ascii="Century Schoolbook" w:hAnsi="Century Schoolbook"/>
          <w:sz w:val="26"/>
          <w:szCs w:val="26"/>
        </w:rPr>
        <w:t>pear in . . . court due to illness, insanity, or detention by military or civil authorities” “without the connivance of the bail” (</w:t>
      </w:r>
      <w:r w:rsidRPr="00D60247">
        <w:rPr>
          <w:rFonts w:ascii="Century Schoolbook" w:hAnsi="Century Schoolbook"/>
          <w:i/>
          <w:sz w:val="26"/>
          <w:szCs w:val="26"/>
        </w:rPr>
        <w:t>id.</w:t>
      </w:r>
      <w:r>
        <w:rPr>
          <w:rFonts w:ascii="Century Schoolbook" w:hAnsi="Century Schoolbook"/>
          <w:sz w:val="26"/>
          <w:szCs w:val="26"/>
        </w:rPr>
        <w:t>, subd. (d));</w:t>
      </w:r>
      <w:r w:rsidRPr="00D60247">
        <w:rPr>
          <w:rFonts w:ascii="Century Schoolbook" w:hAnsi="Century Schoolbook"/>
          <w:sz w:val="26"/>
          <w:szCs w:val="26"/>
        </w:rPr>
        <w:t xml:space="preserve"> or (4) the defendant is “in custody beyond the jurisdiction of the court that ordered the bail forfeited, an</w:t>
      </w:r>
      <w:r w:rsidRPr="00D60247">
        <w:rPr>
          <w:rFonts w:ascii="Century Schoolbook" w:hAnsi="Century Schoolbook"/>
          <w:sz w:val="26"/>
          <w:szCs w:val="26"/>
        </w:rPr>
        <w:t>d the prosecuting agency elects not to seek extradition after being informed of the” defendant’s location (</w:t>
      </w:r>
      <w:r w:rsidRPr="00D60247">
        <w:rPr>
          <w:rFonts w:ascii="Century Schoolbook" w:hAnsi="Century Schoolbook"/>
          <w:i/>
          <w:sz w:val="26"/>
          <w:szCs w:val="26"/>
        </w:rPr>
        <w:t>id.</w:t>
      </w:r>
      <w:r w:rsidRPr="00D60247">
        <w:rPr>
          <w:rFonts w:ascii="Century Schoolbook" w:hAnsi="Century Schoolbook"/>
          <w:sz w:val="26"/>
          <w:szCs w:val="26"/>
        </w:rPr>
        <w:t>, subd. (f)).</w:t>
      </w:r>
    </w:p>
  </w:footnote>
  <w:footnote w:id="6">
    <w:p w:rsidR="008068AA" w:rsidRPr="00D60247" w:rsidRDefault="00DE519E">
      <w:pPr>
        <w:pStyle w:val="FootnoteText"/>
        <w:rPr>
          <w:rFonts w:ascii="Century Schoolbook" w:hAnsi="Century Schoolbook"/>
          <w:sz w:val="26"/>
          <w:szCs w:val="26"/>
        </w:rPr>
      </w:pPr>
      <w:r w:rsidRPr="00D60247">
        <w:rPr>
          <w:rStyle w:val="FootnoteReference"/>
          <w:rFonts w:ascii="Century Schoolbook" w:hAnsi="Century Schoolbook"/>
          <w:b/>
          <w:vertAlign w:val="baseline"/>
        </w:rPr>
        <w:footnoteRef/>
      </w:r>
      <w:r w:rsidRPr="00D60247">
        <w:rPr>
          <w:rFonts w:ascii="Century Schoolbook" w:hAnsi="Century Schoolbook"/>
          <w:sz w:val="26"/>
          <w:szCs w:val="26"/>
        </w:rPr>
        <w:t xml:space="preserve"> </w:t>
      </w:r>
      <w:r w:rsidRPr="00D60247">
        <w:rPr>
          <w:rFonts w:ascii="Century Schoolbook" w:hAnsi="Century Schoolbook"/>
          <w:sz w:val="26"/>
          <w:szCs w:val="26"/>
        </w:rPr>
        <w:tab/>
        <w:t xml:space="preserve">In full, section 1305, subdivision (g) provides:  “In all cases of forfeiture where a defendant is not in custody and is beyond </w:t>
      </w:r>
      <w:r w:rsidRPr="00D60247">
        <w:rPr>
          <w:rFonts w:ascii="Century Schoolbook" w:hAnsi="Century Schoolbook"/>
          <w:sz w:val="26"/>
          <w:szCs w:val="26"/>
        </w:rPr>
        <w:t xml:space="preserve">the jurisdiction of the state, is temporarily detained, by the bail agent, in the presence of a local law enforcement officer of the jurisdiction in which the defendant is located, and is positively identified by that law enforcement officer as the wanted </w:t>
      </w:r>
      <w:r w:rsidRPr="00D60247">
        <w:rPr>
          <w:rFonts w:ascii="Century Schoolbook" w:hAnsi="Century Schoolbook"/>
          <w:sz w:val="26"/>
          <w:szCs w:val="26"/>
        </w:rPr>
        <w:t xml:space="preserve">defendant in an affidavit signed under penalty of perjury, and the prosecuting agency elects not to seek extradition after being informed of the location of the defendant, the court shall vacate the forfeiture and exonerate the bond on terms that are just </w:t>
      </w:r>
      <w:r w:rsidRPr="00D60247">
        <w:rPr>
          <w:rFonts w:ascii="Century Schoolbook" w:hAnsi="Century Schoolbook"/>
          <w:sz w:val="26"/>
          <w:szCs w:val="26"/>
        </w:rPr>
        <w:t>and do not exceed the terms imposed in similar situations with respect to other forms of pretrial release.”</w:t>
      </w:r>
    </w:p>
  </w:footnote>
  <w:footnote w:id="7">
    <w:p w:rsidR="008068AA" w:rsidRPr="00D60247" w:rsidRDefault="00DE519E" w:rsidP="00CA3363">
      <w:pPr>
        <w:spacing w:line="240" w:lineRule="auto"/>
        <w:rPr>
          <w:rFonts w:ascii="Century Schoolbook" w:hAnsi="Century Schoolbook"/>
          <w:szCs w:val="26"/>
        </w:rPr>
      </w:pPr>
      <w:r w:rsidRPr="00EC17EC">
        <w:rPr>
          <w:rStyle w:val="FootnoteReference"/>
          <w:rFonts w:ascii="Century Schoolbook" w:hAnsi="Century Schoolbook"/>
          <w:b/>
          <w:sz w:val="20"/>
          <w:szCs w:val="20"/>
          <w:vertAlign w:val="baseline"/>
        </w:rPr>
        <w:footnoteRef/>
      </w:r>
      <w:r w:rsidRPr="00D60247">
        <w:rPr>
          <w:rFonts w:ascii="Century Schoolbook" w:hAnsi="Century Schoolbook"/>
        </w:rPr>
        <w:t xml:space="preserve"> </w:t>
      </w:r>
      <w:r w:rsidRPr="00D60247">
        <w:rPr>
          <w:rFonts w:ascii="Century Schoolbook" w:hAnsi="Century Schoolbook"/>
        </w:rPr>
        <w:tab/>
        <w:t>W</w:t>
      </w:r>
      <w:r w:rsidRPr="00D60247">
        <w:rPr>
          <w:rFonts w:ascii="Century Schoolbook" w:hAnsi="Century Schoolbook"/>
          <w:szCs w:val="26"/>
        </w:rPr>
        <w:t xml:space="preserve">e clarify that the prosecutor’s office in this case was requiring a photograph </w:t>
      </w:r>
      <w:r w:rsidRPr="00D60247">
        <w:rPr>
          <w:rFonts w:ascii="Century Schoolbook" w:hAnsi="Century Schoolbook"/>
          <w:i/>
          <w:szCs w:val="26"/>
        </w:rPr>
        <w:t>or</w:t>
      </w:r>
      <w:r w:rsidRPr="00D60247">
        <w:rPr>
          <w:rFonts w:ascii="Century Schoolbook" w:hAnsi="Century Schoolbook"/>
          <w:szCs w:val="26"/>
        </w:rPr>
        <w:t xml:space="preserve"> fingerprints, not </w:t>
      </w:r>
      <w:r w:rsidRPr="00D60247">
        <w:rPr>
          <w:rFonts w:ascii="Century Schoolbook" w:hAnsi="Century Schoolbook"/>
          <w:i/>
          <w:szCs w:val="26"/>
        </w:rPr>
        <w:t>both</w:t>
      </w:r>
      <w:r w:rsidRPr="00D60247">
        <w:rPr>
          <w:rFonts w:ascii="Century Schoolbook" w:hAnsi="Century Schoolbook"/>
          <w:szCs w:val="26"/>
        </w:rPr>
        <w:t xml:space="preserve">.  Although the office in its affidavit </w:t>
      </w:r>
      <w:r w:rsidRPr="00D60247">
        <w:rPr>
          <w:rFonts w:ascii="Century Schoolbook" w:hAnsi="Century Schoolbook"/>
          <w:szCs w:val="26"/>
        </w:rPr>
        <w:t>opposing the surety’s motion to vacate the forfeitu</w:t>
      </w:r>
      <w:r>
        <w:rPr>
          <w:rFonts w:ascii="Century Schoolbook" w:hAnsi="Century Schoolbook"/>
          <w:szCs w:val="26"/>
        </w:rPr>
        <w:t>re said it wanted both</w:t>
      </w:r>
      <w:r w:rsidRPr="00D60247">
        <w:rPr>
          <w:rFonts w:ascii="Century Schoolbook" w:hAnsi="Century Schoolbook"/>
          <w:szCs w:val="26"/>
        </w:rPr>
        <w:t xml:space="preserve">, the office had previously informed the surety and, importantly, later argued to the trial court that it only needed </w:t>
      </w:r>
      <w:r>
        <w:rPr>
          <w:rFonts w:ascii="Century Schoolbook" w:hAnsi="Century Schoolbook"/>
          <w:szCs w:val="26"/>
        </w:rPr>
        <w:t>one or the other</w:t>
      </w:r>
      <w:r w:rsidRPr="00D60247">
        <w:rPr>
          <w:rFonts w:ascii="Century Schoolbook" w:hAnsi="Century Schoolbook"/>
          <w:szCs w:val="26"/>
        </w:rPr>
        <w:t>.</w:t>
      </w:r>
    </w:p>
    <w:p w:rsidR="008068AA" w:rsidRPr="00D60247" w:rsidRDefault="00DE519E">
      <w:pPr>
        <w:pStyle w:val="FootnoteText"/>
        <w:rPr>
          <w:rFonts w:ascii="Century Schoolbook" w:hAnsi="Century Schoolbook"/>
        </w:rPr>
      </w:pPr>
    </w:p>
  </w:footnote>
  <w:footnote w:id="8">
    <w:p w:rsidR="008068AA" w:rsidRPr="00D60247" w:rsidRDefault="00DE519E">
      <w:pPr>
        <w:pStyle w:val="FootnoteText"/>
        <w:rPr>
          <w:rFonts w:ascii="Century Schoolbook" w:hAnsi="Century Schoolbook"/>
          <w:sz w:val="26"/>
          <w:szCs w:val="26"/>
        </w:rPr>
      </w:pPr>
      <w:r w:rsidRPr="00D60247">
        <w:rPr>
          <w:rStyle w:val="FootnoteReference"/>
          <w:rFonts w:ascii="Century Schoolbook" w:hAnsi="Century Schoolbook"/>
          <w:b/>
          <w:vertAlign w:val="baseline"/>
        </w:rPr>
        <w:footnoteRef/>
      </w:r>
      <w:r w:rsidRPr="00D60247">
        <w:rPr>
          <w:rFonts w:ascii="Century Schoolbook" w:hAnsi="Century Schoolbook"/>
          <w:sz w:val="26"/>
          <w:szCs w:val="26"/>
        </w:rPr>
        <w:t xml:space="preserve"> </w:t>
      </w:r>
      <w:r w:rsidRPr="00D60247">
        <w:rPr>
          <w:rFonts w:ascii="Century Schoolbook" w:hAnsi="Century Schoolbook"/>
          <w:sz w:val="26"/>
          <w:szCs w:val="26"/>
        </w:rPr>
        <w:tab/>
        <w:t>In light of this holding, we need not reach</w:t>
      </w:r>
      <w:r w:rsidRPr="00D60247">
        <w:rPr>
          <w:rFonts w:ascii="Century Schoolbook" w:hAnsi="Century Schoolbook"/>
          <w:sz w:val="26"/>
          <w:szCs w:val="26"/>
        </w:rPr>
        <w:t xml:space="preserve"> the prosecutor’s office’s further arguments that Angulo was never “detained,” that he was not detained “by the bail agent” (but was detained instead by the local law enforcement officer), and that the Mexican officer was operating outside his territorial </w:t>
      </w:r>
      <w:r w:rsidRPr="00D60247">
        <w:rPr>
          <w:rFonts w:ascii="Century Schoolbook" w:hAnsi="Century Schoolbook"/>
          <w:sz w:val="26"/>
          <w:szCs w:val="26"/>
        </w:rPr>
        <w:t>jurisdiction when he detained Angulo in Tijuana.</w:t>
      </w:r>
    </w:p>
  </w:footnote>
  <w:footnote w:id="9">
    <w:p w:rsidR="008068AA" w:rsidRPr="00D60247" w:rsidRDefault="00DE519E" w:rsidP="00DE4943">
      <w:pPr>
        <w:pStyle w:val="FootnoteText"/>
        <w:rPr>
          <w:rFonts w:ascii="Century Schoolbook" w:hAnsi="Century Schoolbook"/>
          <w:sz w:val="26"/>
          <w:szCs w:val="26"/>
        </w:rPr>
      </w:pPr>
      <w:r w:rsidRPr="00D60247">
        <w:rPr>
          <w:rStyle w:val="FootnoteReference"/>
          <w:rFonts w:ascii="Century Schoolbook" w:hAnsi="Century Schoolbook"/>
          <w:b/>
          <w:vertAlign w:val="baseline"/>
        </w:rPr>
        <w:t>*</w:t>
      </w:r>
      <w:r w:rsidRPr="00D60247">
        <w:rPr>
          <w:rFonts w:ascii="Century Schoolbook" w:hAnsi="Century Schoolbook"/>
          <w:sz w:val="26"/>
          <w:szCs w:val="26"/>
        </w:rPr>
        <w:tab/>
        <w:t>Retired judge of the Los Angeles Superior Court, assigned by the Chief Justice pursuant to article VI, section 6 of the California Constitution.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3"/>
  <w:removePersonalInformation/>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F5"/>
    <w:rsid w:val="00C43AF5"/>
    <w:rsid w:val="00DE519E"/>
    <w:rsid w:val="00EB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8E"/>
    <w:pPr>
      <w:spacing w:after="0" w:line="360" w:lineRule="auto"/>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361"/>
    <w:pPr>
      <w:tabs>
        <w:tab w:val="center" w:pos="4680"/>
        <w:tab w:val="right" w:pos="9360"/>
      </w:tabs>
    </w:pPr>
  </w:style>
  <w:style w:type="character" w:customStyle="1" w:styleId="HeaderChar">
    <w:name w:val="Header Char"/>
    <w:basedOn w:val="DefaultParagraphFont"/>
    <w:link w:val="Header"/>
    <w:uiPriority w:val="99"/>
    <w:rsid w:val="00962361"/>
    <w:rPr>
      <w:rFonts w:ascii="Times New Roman" w:hAnsi="Times New Roman" w:cs="Times New Roman"/>
      <w:sz w:val="26"/>
    </w:rPr>
  </w:style>
  <w:style w:type="paragraph" w:styleId="Footer">
    <w:name w:val="footer"/>
    <w:basedOn w:val="Normal"/>
    <w:link w:val="FooterChar"/>
    <w:uiPriority w:val="99"/>
    <w:unhideWhenUsed/>
    <w:rsid w:val="00962361"/>
    <w:pPr>
      <w:tabs>
        <w:tab w:val="center" w:pos="4680"/>
        <w:tab w:val="right" w:pos="9360"/>
      </w:tabs>
    </w:pPr>
  </w:style>
  <w:style w:type="character" w:customStyle="1" w:styleId="FooterChar">
    <w:name w:val="Footer Char"/>
    <w:basedOn w:val="DefaultParagraphFont"/>
    <w:link w:val="Footer"/>
    <w:uiPriority w:val="99"/>
    <w:rsid w:val="00962361"/>
    <w:rPr>
      <w:rFonts w:ascii="Times New Roman" w:hAnsi="Times New Roman" w:cs="Times New Roman"/>
      <w:sz w:val="26"/>
    </w:rPr>
  </w:style>
  <w:style w:type="character" w:styleId="PageNumber">
    <w:name w:val="page number"/>
    <w:basedOn w:val="DefaultParagraphFont"/>
    <w:uiPriority w:val="99"/>
    <w:semiHidden/>
    <w:unhideWhenUsed/>
    <w:rsid w:val="00962361"/>
  </w:style>
  <w:style w:type="paragraph" w:styleId="FootnoteText">
    <w:name w:val="footnote text"/>
    <w:basedOn w:val="Normal"/>
    <w:link w:val="FootnoteTextChar"/>
    <w:uiPriority w:val="99"/>
    <w:semiHidden/>
    <w:unhideWhenUsed/>
    <w:rsid w:val="005B79CB"/>
    <w:pPr>
      <w:spacing w:line="240" w:lineRule="auto"/>
    </w:pPr>
    <w:rPr>
      <w:sz w:val="20"/>
      <w:szCs w:val="20"/>
    </w:rPr>
  </w:style>
  <w:style w:type="character" w:customStyle="1" w:styleId="FootnoteTextChar">
    <w:name w:val="Footnote Text Char"/>
    <w:basedOn w:val="DefaultParagraphFont"/>
    <w:link w:val="FootnoteText"/>
    <w:uiPriority w:val="99"/>
    <w:semiHidden/>
    <w:rsid w:val="005B79C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B79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5388</Words>
  <Characters>28297</Characters>
  <Application>Microsoft Office Word</Application>
  <DocSecurity>0</DocSecurity>
  <Lines>592</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2017-04-03T18:40:00Z</dcterms:created>
  <dcterms:modified xsi:type="dcterms:W3CDTF">2017-04-03T18:40:00Z</dcterms:modified>
  <cp:category/>
</cp:coreProperties>
</file>