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6D" w:rsidRPr="00877281" w:rsidRDefault="00EB600B" w:rsidP="00F72679">
      <w:pPr>
        <w:rPr>
          <w:sz w:val="20"/>
        </w:rPr>
      </w:pPr>
      <w:bookmarkStart w:id="0" w:name="_GoBack"/>
      <w:bookmarkEnd w:id="0"/>
      <w:r w:rsidRPr="00877281">
        <w:rPr>
          <w:sz w:val="20"/>
        </w:rPr>
        <w:t>F</w:t>
      </w:r>
      <w:r>
        <w:rPr>
          <w:sz w:val="20"/>
        </w:rPr>
        <w:t>iled 11/30/</w:t>
      </w:r>
      <w:r w:rsidRPr="00877281">
        <w:rPr>
          <w:sz w:val="20"/>
        </w:rPr>
        <w:t>16</w:t>
      </w:r>
      <w:r w:rsidR="00C14C6E">
        <w:rPr>
          <w:sz w:val="20"/>
        </w:rPr>
        <w:t xml:space="preserve"> Certified for Publication (order attached)</w:t>
      </w:r>
    </w:p>
    <w:p w:rsidR="00F72679" w:rsidRDefault="00EB600B" w:rsidP="00F72679"/>
    <w:p w:rsidR="00F72679" w:rsidRDefault="00EB600B" w:rsidP="00F72679"/>
    <w:p w:rsidR="00F72679" w:rsidRDefault="00EB600B" w:rsidP="00F72679"/>
    <w:p w:rsidR="00F72679" w:rsidRDefault="00EB600B" w:rsidP="00F72679"/>
    <w:p w:rsidR="00F72679" w:rsidRDefault="00EB600B" w:rsidP="00F72679">
      <w:pPr>
        <w:jc w:val="center"/>
      </w:pPr>
    </w:p>
    <w:p w:rsidR="00F72679" w:rsidRDefault="00EB600B" w:rsidP="00F72679">
      <w:pPr>
        <w:jc w:val="center"/>
      </w:pPr>
    </w:p>
    <w:p w:rsidR="00F72679" w:rsidRDefault="00EB600B" w:rsidP="00F72679">
      <w:pPr>
        <w:jc w:val="center"/>
      </w:pPr>
    </w:p>
    <w:p w:rsidR="00C14C6E" w:rsidRDefault="00C14C6E" w:rsidP="00F72679">
      <w:pPr>
        <w:jc w:val="center"/>
      </w:pPr>
    </w:p>
    <w:p w:rsidR="00C14C6E" w:rsidRDefault="00C14C6E" w:rsidP="00F72679">
      <w:pPr>
        <w:jc w:val="center"/>
      </w:pPr>
    </w:p>
    <w:p w:rsidR="00F72679" w:rsidRDefault="00EB600B" w:rsidP="00F72679">
      <w:pPr>
        <w:jc w:val="center"/>
      </w:pPr>
      <w:r>
        <w:t>IN THE COURT OF APPEAL OF THE STATE OF CALIFORNIA</w:t>
      </w:r>
    </w:p>
    <w:p w:rsidR="00F72679" w:rsidRDefault="00EB600B" w:rsidP="00F72679">
      <w:pPr>
        <w:jc w:val="center"/>
      </w:pPr>
    </w:p>
    <w:p w:rsidR="00F72679" w:rsidRDefault="00EB600B" w:rsidP="00F72679">
      <w:pPr>
        <w:jc w:val="center"/>
      </w:pPr>
      <w:r>
        <w:t>FOURTH APPELLATE DISTRICT</w:t>
      </w:r>
    </w:p>
    <w:p w:rsidR="00F72679" w:rsidRDefault="00EB600B" w:rsidP="00F72679">
      <w:pPr>
        <w:jc w:val="center"/>
      </w:pPr>
    </w:p>
    <w:p w:rsidR="00F72679" w:rsidRDefault="00EB600B" w:rsidP="00F72679">
      <w:pPr>
        <w:jc w:val="center"/>
      </w:pPr>
      <w:r>
        <w:t>DIVISION THREE</w:t>
      </w:r>
    </w:p>
    <w:p w:rsidR="00F72679" w:rsidRDefault="00EB600B" w:rsidP="00F72679">
      <w:pPr>
        <w:jc w:val="center"/>
      </w:pPr>
    </w:p>
    <w:p w:rsidR="00F72679" w:rsidRDefault="00EB600B" w:rsidP="00F72679">
      <w:pPr>
        <w:jc w:val="center"/>
      </w:pPr>
    </w:p>
    <w:tbl>
      <w:tblPr>
        <w:tblW w:w="0" w:type="auto"/>
        <w:tblLayout w:type="fixed"/>
        <w:tblLook w:val="0000" w:firstRow="0" w:lastRow="0" w:firstColumn="0" w:lastColumn="0" w:noHBand="0" w:noVBand="0"/>
      </w:tblPr>
      <w:tblGrid>
        <w:gridCol w:w="4788"/>
        <w:gridCol w:w="4788"/>
      </w:tblGrid>
      <w:tr w:rsidR="00362FEA" w:rsidTr="00F72679">
        <w:tc>
          <w:tcPr>
            <w:tcW w:w="4788" w:type="dxa"/>
            <w:tcBorders>
              <w:bottom w:val="single" w:sz="4" w:space="0" w:color="auto"/>
              <w:right w:val="single" w:sz="4" w:space="0" w:color="auto"/>
            </w:tcBorders>
            <w:shd w:val="clear" w:color="auto" w:fill="auto"/>
          </w:tcPr>
          <w:p w:rsidR="00F72679" w:rsidRDefault="00EB600B" w:rsidP="00F72679">
            <w:r>
              <w:t>NEWPORT HARBOR VENTURES, LLC</w:t>
            </w:r>
            <w:r>
              <w:t>,</w:t>
            </w:r>
            <w:r>
              <w:t xml:space="preserve"> et al.,</w:t>
            </w:r>
          </w:p>
          <w:p w:rsidR="00F72679" w:rsidRDefault="00EB600B" w:rsidP="00F72679"/>
          <w:p w:rsidR="00F72679" w:rsidRDefault="00EB600B" w:rsidP="00F72679">
            <w:r>
              <w:t xml:space="preserve">      Plaintiffs and Respondents,</w:t>
            </w:r>
          </w:p>
          <w:p w:rsidR="00F72679" w:rsidRDefault="00EB600B" w:rsidP="00F72679"/>
          <w:p w:rsidR="00F72679" w:rsidRDefault="00EB600B" w:rsidP="00F72679">
            <w:r>
              <w:tab/>
              <w:t>v.</w:t>
            </w:r>
          </w:p>
          <w:p w:rsidR="00F72679" w:rsidRDefault="00EB600B" w:rsidP="00F72679"/>
          <w:p w:rsidR="00F72679" w:rsidRDefault="00EB600B" w:rsidP="00F72679">
            <w:r>
              <w:t>MORRIS CERULLO WORLD EVANGELISM et</w:t>
            </w:r>
            <w:r>
              <w:t xml:space="preserve"> al.,</w:t>
            </w:r>
          </w:p>
          <w:p w:rsidR="00F72679" w:rsidRDefault="00EB600B" w:rsidP="00F72679"/>
          <w:p w:rsidR="00F72679" w:rsidRDefault="00EB600B" w:rsidP="00F72679">
            <w:r>
              <w:t xml:space="preserve">      Defendants and Appellants.</w:t>
            </w:r>
          </w:p>
          <w:p w:rsidR="00F72679" w:rsidRDefault="00EB600B" w:rsidP="00F72679"/>
        </w:tc>
        <w:tc>
          <w:tcPr>
            <w:tcW w:w="4788" w:type="dxa"/>
            <w:tcBorders>
              <w:left w:val="single" w:sz="4" w:space="0" w:color="auto"/>
            </w:tcBorders>
            <w:shd w:val="clear" w:color="auto" w:fill="auto"/>
          </w:tcPr>
          <w:p w:rsidR="00F72679" w:rsidRDefault="00EB600B" w:rsidP="00F72679"/>
          <w:p w:rsidR="00F72679" w:rsidRDefault="00EB600B" w:rsidP="00F72679"/>
          <w:p w:rsidR="00F72679" w:rsidRDefault="00EB600B" w:rsidP="00F72679">
            <w:r>
              <w:t xml:space="preserve">         G052660</w:t>
            </w:r>
          </w:p>
          <w:p w:rsidR="00F72679" w:rsidRDefault="00EB600B" w:rsidP="00F72679"/>
          <w:p w:rsidR="00F72679" w:rsidRDefault="00EB600B" w:rsidP="00F72679">
            <w:r>
              <w:t xml:space="preserve">         (Super. Ct. No. 30-2013-00665314)</w:t>
            </w:r>
          </w:p>
          <w:p w:rsidR="00F72679" w:rsidRDefault="00EB600B" w:rsidP="00F72679"/>
          <w:p w:rsidR="00F72679" w:rsidRDefault="00EB600B" w:rsidP="009F326D">
            <w:r>
              <w:t xml:space="preserve">         </w:t>
            </w:r>
            <w:r>
              <w:t>O P I N I O N</w:t>
            </w:r>
          </w:p>
        </w:tc>
      </w:tr>
    </w:tbl>
    <w:p w:rsidR="00FA5235" w:rsidRDefault="00EB600B" w:rsidP="00F72679">
      <w:pPr>
        <w:tabs>
          <w:tab w:val="left" w:pos="1440"/>
          <w:tab w:val="left" w:pos="2880"/>
          <w:tab w:val="left" w:pos="4320"/>
          <w:tab w:val="left" w:pos="5760"/>
          <w:tab w:val="left" w:pos="7200"/>
          <w:tab w:val="left" w:pos="8640"/>
        </w:tabs>
        <w:spacing w:line="480" w:lineRule="atLeast"/>
      </w:pPr>
    </w:p>
    <w:p w:rsidR="00753AF6" w:rsidRDefault="00EB600B" w:rsidP="00F72679">
      <w:pPr>
        <w:tabs>
          <w:tab w:val="left" w:pos="1440"/>
          <w:tab w:val="left" w:pos="2880"/>
          <w:tab w:val="left" w:pos="4320"/>
          <w:tab w:val="left" w:pos="5760"/>
          <w:tab w:val="left" w:pos="7200"/>
          <w:tab w:val="left" w:pos="8640"/>
        </w:tabs>
        <w:spacing w:line="480" w:lineRule="atLeast"/>
      </w:pPr>
      <w:r>
        <w:tab/>
      </w:r>
      <w:r>
        <w:t>Appeal from a</w:t>
      </w:r>
      <w:r>
        <w:t>n order</w:t>
      </w:r>
      <w:r>
        <w:t xml:space="preserve"> of the Superior Court of Orange County, Deborah</w:t>
      </w:r>
      <w:r>
        <w:t> </w:t>
      </w:r>
      <w:r>
        <w:t>C.</w:t>
      </w:r>
      <w:r>
        <w:t> </w:t>
      </w:r>
      <w:r>
        <w:t>Servino, Judge.  Affirmed</w:t>
      </w:r>
      <w:r>
        <w:t>.</w:t>
      </w:r>
      <w:r>
        <w:t xml:space="preserve">  Ap</w:t>
      </w:r>
      <w:r>
        <w:t>p</w:t>
      </w:r>
      <w:r>
        <w:t>ellants</w:t>
      </w:r>
      <w:r>
        <w:t>’</w:t>
      </w:r>
      <w:r>
        <w:t xml:space="preserve"> request for judicial notice.  Granted.  Respondents</w:t>
      </w:r>
      <w:r>
        <w:t>’</w:t>
      </w:r>
      <w:r>
        <w:t xml:space="preserve"> request for judicial notice.  Granted.</w:t>
      </w:r>
    </w:p>
    <w:p w:rsidR="00F72679" w:rsidRDefault="00EB600B" w:rsidP="00F72679">
      <w:pPr>
        <w:tabs>
          <w:tab w:val="left" w:pos="1440"/>
          <w:tab w:val="left" w:pos="2880"/>
          <w:tab w:val="left" w:pos="4320"/>
          <w:tab w:val="left" w:pos="5760"/>
          <w:tab w:val="left" w:pos="7200"/>
          <w:tab w:val="left" w:pos="8640"/>
        </w:tabs>
        <w:spacing w:line="480" w:lineRule="atLeast"/>
      </w:pPr>
      <w:r>
        <w:tab/>
        <w:t>Galuppo &amp; Blake, Louis A. Galuppo, Steven W. Blake, Andrew E. Hall and Daniel T. Watts for Defendants and Appellants.</w:t>
      </w:r>
    </w:p>
    <w:p w:rsidR="00F72679" w:rsidRDefault="00EB600B" w:rsidP="00F72679">
      <w:pPr>
        <w:tabs>
          <w:tab w:val="left" w:pos="1440"/>
          <w:tab w:val="left" w:pos="2880"/>
          <w:tab w:val="left" w:pos="4320"/>
          <w:tab w:val="left" w:pos="5760"/>
          <w:tab w:val="left" w:pos="7200"/>
          <w:tab w:val="left" w:pos="8640"/>
        </w:tabs>
        <w:spacing w:line="480" w:lineRule="atLeast"/>
      </w:pPr>
      <w:r>
        <w:tab/>
        <w:t>Knypstra Law, Bradley P. Knypstra and Grant</w:t>
      </w:r>
      <w:r>
        <w:t xml:space="preserve"> Hermes for Plaintiffs and Respondents.</w:t>
      </w:r>
    </w:p>
    <w:p w:rsidR="00F72679" w:rsidRDefault="00EB600B">
      <w:pPr>
        <w:tabs>
          <w:tab w:val="left" w:pos="1440"/>
          <w:tab w:val="left" w:leader="underscore" w:pos="5040"/>
        </w:tabs>
        <w:spacing w:line="480" w:lineRule="atLeast"/>
        <w:jc w:val="center"/>
      </w:pPr>
      <w:r>
        <w:t>*                *                *</w:t>
      </w:r>
    </w:p>
    <w:p w:rsidR="00F72679" w:rsidRPr="005A1280" w:rsidRDefault="00EB600B" w:rsidP="005A1280">
      <w:pPr>
        <w:tabs>
          <w:tab w:val="left" w:pos="1440"/>
          <w:tab w:val="left" w:pos="2880"/>
          <w:tab w:val="left" w:pos="4320"/>
          <w:tab w:val="left" w:pos="5760"/>
          <w:tab w:val="left" w:pos="7200"/>
          <w:tab w:val="left" w:pos="8640"/>
        </w:tabs>
        <w:spacing w:line="480" w:lineRule="atLeast"/>
        <w:jc w:val="center"/>
        <w:rPr>
          <w:b/>
        </w:rPr>
      </w:pPr>
      <w:r>
        <w:rPr>
          <w:b/>
        </w:rPr>
        <w:lastRenderedPageBreak/>
        <w:t>INTRODUCTION</w:t>
      </w:r>
    </w:p>
    <w:p w:rsidR="00573503" w:rsidRDefault="00EB600B" w:rsidP="00E0181C">
      <w:pPr>
        <w:tabs>
          <w:tab w:val="left" w:pos="1440"/>
          <w:tab w:val="left" w:pos="2880"/>
          <w:tab w:val="left" w:pos="4320"/>
          <w:tab w:val="left" w:pos="5760"/>
          <w:tab w:val="left" w:pos="7200"/>
          <w:tab w:val="left" w:pos="8640"/>
        </w:tabs>
        <w:spacing w:line="480" w:lineRule="atLeast"/>
        <w:ind w:firstLine="1440"/>
      </w:pPr>
      <w:r>
        <w:t>A special motion to strike under California’s anti</w:t>
      </w:r>
      <w:r>
        <w:noBreakHyphen/>
        <w:t>SLAPP statute, Code of Civil Procedure section 425.16,</w:t>
      </w:r>
      <w:r>
        <w:rPr>
          <w:rStyle w:val="FootnoteReference"/>
        </w:rPr>
        <w:footnoteReference w:id="1"/>
      </w:r>
      <w:r>
        <w:t xml:space="preserve"> is to be filed “within 60 days of the service of the </w:t>
      </w:r>
      <w:r>
        <w:t>co</w:t>
      </w:r>
      <w:r>
        <w:t>mplai</w:t>
      </w:r>
      <w:r>
        <w:t xml:space="preserve">nt or, in the court’s discretion, at any </w:t>
      </w:r>
      <w:r>
        <w:t xml:space="preserve">later </w:t>
      </w:r>
      <w:r>
        <w:t xml:space="preserve">time upon terms it deems proper.”  </w:t>
      </w:r>
      <w:r>
        <w:t>(§ 425.16, subd. (f)</w:t>
      </w:r>
      <w:r>
        <w:t>.</w:t>
      </w:r>
      <w:r>
        <w:t>)</w:t>
      </w:r>
      <w:r>
        <w:rPr>
          <w:rStyle w:val="FootnoteReference"/>
        </w:rPr>
        <w:footnoteReference w:id="2"/>
      </w:r>
      <w:r>
        <w:t xml:space="preserve">  In this case</w:t>
      </w:r>
      <w:r>
        <w:t>,</w:t>
      </w:r>
      <w:r>
        <w:t xml:space="preserve"> we address whether an anti</w:t>
      </w:r>
      <w:r>
        <w:noBreakHyphen/>
        <w:t>SLAPP motion was timely when it was filed within 60 days of service of a third amended complaint and no prev</w:t>
      </w:r>
      <w:r>
        <w:t>ious anti</w:t>
      </w:r>
      <w:r>
        <w:noBreakHyphen/>
        <w:t>SLAPP motion had been filed.  We conclude the filing of an amended complaint does not automatically reopen the period for bringing an anti</w:t>
      </w:r>
      <w:r>
        <w:noBreakHyphen/>
        <w:t xml:space="preserve">SLAPP motion.  </w:t>
      </w:r>
      <w:r>
        <w:t>Wh</w:t>
      </w:r>
      <w:r>
        <w:t>ether the filing of an amended complaint reopens the period for bringing an anti</w:t>
      </w:r>
      <w:r>
        <w:noBreakHyphen/>
        <w:t>SLAPP mot</w:t>
      </w:r>
      <w:r>
        <w:t xml:space="preserve">ion depends on the basis and nature of </w:t>
      </w:r>
      <w:r>
        <w:t xml:space="preserve">the </w:t>
      </w:r>
      <w:r>
        <w:t xml:space="preserve">claims in the amended complaint. </w:t>
      </w:r>
    </w:p>
    <w:p w:rsidR="00DD34E6" w:rsidRDefault="00EB600B" w:rsidP="00E0181C">
      <w:pPr>
        <w:tabs>
          <w:tab w:val="left" w:pos="1440"/>
          <w:tab w:val="left" w:pos="2880"/>
          <w:tab w:val="left" w:pos="4320"/>
          <w:tab w:val="left" w:pos="5760"/>
          <w:tab w:val="left" w:pos="7200"/>
          <w:tab w:val="left" w:pos="8640"/>
        </w:tabs>
        <w:spacing w:line="480" w:lineRule="atLeast"/>
        <w:ind w:firstLine="1440"/>
      </w:pPr>
      <w:r>
        <w:t xml:space="preserve">Defendants and appellants Morris Cerullo World Evangelism (Cerullo) and Roger Artz filed a special motion </w:t>
      </w:r>
      <w:r>
        <w:t>under the anti</w:t>
      </w:r>
      <w:r>
        <w:noBreakHyphen/>
        <w:t xml:space="preserve">SLAPP statute </w:t>
      </w:r>
      <w:r>
        <w:t xml:space="preserve">to strike </w:t>
      </w:r>
      <w:r>
        <w:t>the third amended complaint brough</w:t>
      </w:r>
      <w:r>
        <w:t xml:space="preserve">t by plaintiffs and respondents </w:t>
      </w:r>
      <w:r w:rsidRPr="0072220C">
        <w:t>Newport Harbor Ventures, LLC (NHV)</w:t>
      </w:r>
      <w:r>
        <w:t>,</w:t>
      </w:r>
      <w:r w:rsidRPr="0072220C">
        <w:t xml:space="preserve"> and Vertical Media Group, Inc. (VMG)</w:t>
      </w:r>
      <w:r>
        <w:t>.</w:t>
      </w:r>
      <w:r>
        <w:rPr>
          <w:rStyle w:val="FootnoteReference"/>
        </w:rPr>
        <w:footnoteReference w:id="3"/>
      </w:r>
      <w:r>
        <w:t xml:space="preserve">  </w:t>
      </w:r>
      <w:r>
        <w:t xml:space="preserve">The </w:t>
      </w:r>
      <w:r>
        <w:t>t</w:t>
      </w:r>
      <w:r>
        <w:t xml:space="preserve">hird </w:t>
      </w:r>
      <w:r>
        <w:t>a</w:t>
      </w:r>
      <w:r>
        <w:t xml:space="preserve">mended </w:t>
      </w:r>
      <w:r>
        <w:t>c</w:t>
      </w:r>
      <w:r>
        <w:t xml:space="preserve">omplaint alleged four causes of action:  (1) breach of </w:t>
      </w:r>
      <w:r>
        <w:t xml:space="preserve">written </w:t>
      </w:r>
      <w:r>
        <w:t>contract, (2) breach of the implied covenant</w:t>
      </w:r>
      <w:r>
        <w:t xml:space="preserve"> of good faith</w:t>
      </w:r>
      <w:r>
        <w:t>, (3) qu</w:t>
      </w:r>
      <w:r>
        <w:t xml:space="preserve">antum meruit, and (4) promissory estoppel.  The first two causes of action had been </w:t>
      </w:r>
      <w:r>
        <w:t>pleaded</w:t>
      </w:r>
      <w:r>
        <w:t xml:space="preserve"> in earlier complaints while the latter two causes of action were new to the third amended complaint.  </w:t>
      </w:r>
    </w:p>
    <w:p w:rsidR="00F40961" w:rsidRDefault="00EB600B" w:rsidP="00E0181C">
      <w:pPr>
        <w:tabs>
          <w:tab w:val="left" w:pos="1440"/>
          <w:tab w:val="left" w:pos="2880"/>
          <w:tab w:val="left" w:pos="4320"/>
          <w:tab w:val="left" w:pos="5760"/>
          <w:tab w:val="left" w:pos="7200"/>
          <w:tab w:val="left" w:pos="8640"/>
        </w:tabs>
        <w:spacing w:line="480" w:lineRule="atLeast"/>
        <w:ind w:firstLine="1440"/>
      </w:pPr>
      <w:r>
        <w:t>The act asserted by Cerullo and Artz to have been “in further</w:t>
      </w:r>
      <w:r>
        <w:t>ance of [their] right of petition or free speech” (§ 425.16(b)(1)) was the settlement of an unlawful detainer action</w:t>
      </w:r>
      <w:r>
        <w:t>.  T</w:t>
      </w:r>
      <w:r>
        <w:t>hat settlement had been</w:t>
      </w:r>
      <w:r>
        <w:t xml:space="preserve"> </w:t>
      </w:r>
      <w:r>
        <w:t xml:space="preserve">alleged in the initial complaint and each </w:t>
      </w:r>
      <w:r>
        <w:lastRenderedPageBreak/>
        <w:t xml:space="preserve">succeeding complaint.  </w:t>
      </w:r>
      <w:r>
        <w:t>The trial court denied the anti</w:t>
      </w:r>
      <w:r>
        <w:noBreakHyphen/>
        <w:t>SLAPP motion on</w:t>
      </w:r>
      <w:r>
        <w:t xml:space="preserve"> the ground </w:t>
      </w:r>
      <w:r>
        <w:t>it was untimely filed</w:t>
      </w:r>
      <w:r>
        <w:t xml:space="preserve"> because it should have been filed in response to </w:t>
      </w:r>
      <w:r>
        <w:t xml:space="preserve">the </w:t>
      </w:r>
      <w:r>
        <w:t>earlier complaints</w:t>
      </w:r>
      <w:r>
        <w:t>.</w:t>
      </w:r>
    </w:p>
    <w:p w:rsidR="00661643" w:rsidRDefault="00EB600B" w:rsidP="00E0181C">
      <w:pPr>
        <w:tabs>
          <w:tab w:val="left" w:pos="1440"/>
          <w:tab w:val="left" w:pos="2880"/>
          <w:tab w:val="left" w:pos="4320"/>
          <w:tab w:val="left" w:pos="5760"/>
          <w:tab w:val="left" w:pos="7200"/>
          <w:tab w:val="left" w:pos="8640"/>
        </w:tabs>
        <w:spacing w:line="480" w:lineRule="atLeast"/>
        <w:ind w:firstLine="1440"/>
      </w:pPr>
      <w:r>
        <w:t>We hold that</w:t>
      </w:r>
      <w:r>
        <w:t>,</w:t>
      </w:r>
      <w:r>
        <w:t xml:space="preserve"> under section 425.16(f)</w:t>
      </w:r>
      <w:r>
        <w:t>,</w:t>
      </w:r>
      <w:r>
        <w:t xml:space="preserve"> an anti</w:t>
      </w:r>
      <w:r>
        <w:noBreakHyphen/>
        <w:t xml:space="preserve">SLAPP motion is untimely if not filed within 60 days of service of the first complaint that pleads a </w:t>
      </w:r>
      <w:r>
        <w:t>cause of action coming within anti</w:t>
      </w:r>
      <w:r>
        <w:noBreakHyphen/>
        <w:t>SLAPP protection unless the trial court, in its discretion and upon terms it deems proper, permits the motion to be filed at a later time.  Thus, we conclude the anti</w:t>
      </w:r>
      <w:r>
        <w:noBreakHyphen/>
        <w:t>SLAPP motion was untimely as to the breach of contract</w:t>
      </w:r>
      <w:r>
        <w:t xml:space="preserve"> and breach of implied covenant causes of action because Cerullo and Artz could have challenged those causes of action </w:t>
      </w:r>
      <w:r>
        <w:t xml:space="preserve">by </w:t>
      </w:r>
      <w:r>
        <w:t>filing an anti</w:t>
      </w:r>
      <w:r>
        <w:noBreakHyphen/>
        <w:t>SLAPP motion to prior complaints.  The anti</w:t>
      </w:r>
      <w:r>
        <w:noBreakHyphen/>
        <w:t>SLAPP motion was timely as to the quantum meruit and promissory estoppel ca</w:t>
      </w:r>
      <w:r>
        <w:t>uses of action because they were new causes of action that could not have been challenged by an anti</w:t>
      </w:r>
      <w:r>
        <w:noBreakHyphen/>
        <w:t>SLAPP motion to a prior complaint.</w:t>
      </w:r>
    </w:p>
    <w:p w:rsidR="00661643" w:rsidRDefault="00EB600B" w:rsidP="00E0181C">
      <w:pPr>
        <w:tabs>
          <w:tab w:val="left" w:pos="1440"/>
          <w:tab w:val="left" w:pos="2880"/>
          <w:tab w:val="left" w:pos="4320"/>
          <w:tab w:val="left" w:pos="5760"/>
          <w:tab w:val="left" w:pos="7200"/>
          <w:tab w:val="left" w:pos="8640"/>
        </w:tabs>
        <w:spacing w:line="480" w:lineRule="atLeast"/>
        <w:ind w:firstLine="1440"/>
      </w:pPr>
      <w:r>
        <w:t>Because we exercise de novo review, we address the merit of the anti</w:t>
      </w:r>
      <w:r>
        <w:noBreakHyphen/>
        <w:t xml:space="preserve">SLAPP motion as </w:t>
      </w:r>
      <w:r>
        <w:t xml:space="preserve">to </w:t>
      </w:r>
      <w:r>
        <w:t>the quantum meruit and promissor</w:t>
      </w:r>
      <w:r>
        <w:t xml:space="preserve">y estoppel causes of action.  </w:t>
      </w:r>
      <w:r>
        <w:t>T</w:t>
      </w:r>
      <w:r>
        <w:t>hose causes of action arose out of protected activity as defined in section 425.16(</w:t>
      </w:r>
      <w:r>
        <w:t>e</w:t>
      </w:r>
      <w:r>
        <w:t>)</w:t>
      </w:r>
      <w:r>
        <w:t>; that issue</w:t>
      </w:r>
      <w:r>
        <w:t xml:space="preserve"> is not in dispute.  We conclude that NHV and VMG met their burden of establishing a probability of prevailing on </w:t>
      </w:r>
      <w:r>
        <w:t xml:space="preserve">both </w:t>
      </w:r>
      <w:r>
        <w:t>the quant</w:t>
      </w:r>
      <w:r>
        <w:t>um meruit cause of action</w:t>
      </w:r>
      <w:r>
        <w:t xml:space="preserve"> and the</w:t>
      </w:r>
      <w:r>
        <w:t xml:space="preserve"> promissory estoppel cause</w:t>
      </w:r>
      <w:r>
        <w:t xml:space="preserve"> of action</w:t>
      </w:r>
      <w:r>
        <w:t>.</w:t>
      </w:r>
      <w:r>
        <w:t xml:space="preserve">  </w:t>
      </w:r>
      <w:r>
        <w:t xml:space="preserve">We therefore </w:t>
      </w:r>
      <w:r>
        <w:t>affirm.</w:t>
      </w:r>
      <w:r>
        <w:t xml:space="preserve">  </w:t>
      </w:r>
    </w:p>
    <w:p w:rsidR="00F40961" w:rsidRPr="0072220C" w:rsidRDefault="00EB600B" w:rsidP="004721E5">
      <w:pPr>
        <w:keepNext/>
        <w:tabs>
          <w:tab w:val="left" w:pos="1440"/>
          <w:tab w:val="left" w:pos="2880"/>
          <w:tab w:val="left" w:pos="4320"/>
          <w:tab w:val="left" w:pos="5760"/>
          <w:tab w:val="left" w:pos="7200"/>
          <w:tab w:val="left" w:pos="8640"/>
        </w:tabs>
        <w:spacing w:before="240"/>
        <w:ind w:left="1440" w:right="1440"/>
        <w:jc w:val="center"/>
        <w:rPr>
          <w:b/>
        </w:rPr>
      </w:pPr>
      <w:r>
        <w:rPr>
          <w:b/>
        </w:rPr>
        <w:t>ALLEGATIONS OF THE</w:t>
      </w:r>
      <w:r>
        <w:rPr>
          <w:b/>
        </w:rPr>
        <w:br/>
        <w:t>THIRD AMENDED COMPLAINT</w:t>
      </w:r>
    </w:p>
    <w:p w:rsidR="005D38AF" w:rsidRDefault="00EB600B" w:rsidP="00E0181C">
      <w:pPr>
        <w:tabs>
          <w:tab w:val="left" w:pos="1440"/>
          <w:tab w:val="left" w:pos="2880"/>
          <w:tab w:val="left" w:pos="4320"/>
          <w:tab w:val="left" w:pos="5760"/>
          <w:tab w:val="left" w:pos="7200"/>
          <w:tab w:val="left" w:pos="8640"/>
        </w:tabs>
        <w:spacing w:line="480" w:lineRule="atLeast"/>
        <w:ind w:firstLine="1440"/>
      </w:pPr>
      <w:r w:rsidRPr="0072220C">
        <w:t xml:space="preserve">NHV is a California limited liability company. </w:t>
      </w:r>
      <w:r>
        <w:t xml:space="preserve"> </w:t>
      </w:r>
      <w:r w:rsidRPr="0072220C">
        <w:t xml:space="preserve">VMG is a Delaware corporation.  </w:t>
      </w:r>
      <w:r>
        <w:t xml:space="preserve">Dennis </w:t>
      </w:r>
      <w:r w:rsidRPr="0072220C">
        <w:t>D</w:t>
      </w:r>
      <w:r>
        <w:t>’</w:t>
      </w:r>
      <w:r w:rsidRPr="0072220C">
        <w:t>Alessio is the manager of NHV</w:t>
      </w:r>
      <w:r>
        <w:t xml:space="preserve"> and</w:t>
      </w:r>
      <w:r w:rsidRPr="0072220C">
        <w:t xml:space="preserve"> the president of VMG</w:t>
      </w:r>
      <w:r>
        <w:t xml:space="preserve">.  </w:t>
      </w:r>
      <w:r w:rsidRPr="0072220C">
        <w:t>Cerullo is a California corporation.  Artz is a vice</w:t>
      </w:r>
      <w:r w:rsidRPr="0072220C">
        <w:noBreakHyphen/>
        <w:t xml:space="preserve">president of Cerullo and the trustee of </w:t>
      </w:r>
      <w:r>
        <w:t>P</w:t>
      </w:r>
      <w:r w:rsidRPr="0072220C">
        <w:t>laza del Sol Real Estate Trust (Plaza del Sol)</w:t>
      </w:r>
      <w:r>
        <w:t>.</w:t>
      </w:r>
      <w:r w:rsidRPr="0072220C">
        <w:t xml:space="preserve"> </w:t>
      </w:r>
    </w:p>
    <w:p w:rsidR="005D38AF" w:rsidRDefault="00EB600B" w:rsidP="00E0181C">
      <w:pPr>
        <w:tabs>
          <w:tab w:val="left" w:pos="1440"/>
          <w:tab w:val="left" w:pos="2880"/>
          <w:tab w:val="left" w:pos="4320"/>
          <w:tab w:val="left" w:pos="5760"/>
          <w:tab w:val="left" w:pos="7200"/>
          <w:tab w:val="left" w:pos="8640"/>
        </w:tabs>
        <w:spacing w:line="480" w:lineRule="atLeast"/>
        <w:ind w:firstLine="1440"/>
      </w:pPr>
      <w:r>
        <w:t xml:space="preserve">Cerullo is a successor lessee under a ground lease of real property in Newport Beach </w:t>
      </w:r>
      <w:r>
        <w:t>(the Property)</w:t>
      </w:r>
      <w:r>
        <w:t>,</w:t>
      </w:r>
      <w:r w:rsidRPr="005A1280">
        <w:t xml:space="preserve"> </w:t>
      </w:r>
      <w:r>
        <w:t xml:space="preserve">the term of which </w:t>
      </w:r>
      <w:r w:rsidRPr="0072220C">
        <w:t>expir</w:t>
      </w:r>
      <w:r>
        <w:t>es</w:t>
      </w:r>
      <w:r w:rsidRPr="0072220C">
        <w:t xml:space="preserve"> in November 2018.</w:t>
      </w:r>
      <w:r>
        <w:t xml:space="preserve">  In 2004, </w:t>
      </w:r>
      <w:r>
        <w:t>Cerullo, as sublessor, entered into a sub</w:t>
      </w:r>
      <w:r>
        <w:noBreakHyphen/>
        <w:t xml:space="preserve">ground </w:t>
      </w:r>
      <w:r>
        <w:t xml:space="preserve">lease of </w:t>
      </w:r>
      <w:r>
        <w:t>the P</w:t>
      </w:r>
      <w:r>
        <w:t xml:space="preserve">roperty (the Sublease) with </w:t>
      </w:r>
      <w:r>
        <w:lastRenderedPageBreak/>
        <w:t>Newport Harbor Office</w:t>
      </w:r>
      <w:r>
        <w:t>s</w:t>
      </w:r>
      <w:r>
        <w:t xml:space="preserve"> </w:t>
      </w:r>
      <w:r>
        <w:t xml:space="preserve">&amp; </w:t>
      </w:r>
      <w:r>
        <w:t>Marina</w:t>
      </w:r>
      <w:r>
        <w:t>, LLC</w:t>
      </w:r>
      <w:r>
        <w:t xml:space="preserve"> (NHOM). </w:t>
      </w:r>
      <w:r>
        <w:t xml:space="preserve"> T</w:t>
      </w:r>
      <w:r>
        <w:t>he Property had been improved with an office bui</w:t>
      </w:r>
      <w:r>
        <w:t xml:space="preserve">lding and marina (the Improvements). </w:t>
      </w:r>
      <w:r>
        <w:t xml:space="preserve"> </w:t>
      </w:r>
      <w:r>
        <w:t>In order to sublease the Property, NHOM obtained a loan for more than $2 million from the Hazel I</w:t>
      </w:r>
      <w:r>
        <w:t>.</w:t>
      </w:r>
      <w:r>
        <w:t xml:space="preserve"> Maag Trust (the Maag Trust). </w:t>
      </w:r>
    </w:p>
    <w:p w:rsidR="005D38AF" w:rsidRDefault="00EB600B" w:rsidP="00E0181C">
      <w:pPr>
        <w:tabs>
          <w:tab w:val="left" w:pos="1440"/>
          <w:tab w:val="left" w:pos="2880"/>
          <w:tab w:val="left" w:pos="4320"/>
          <w:tab w:val="left" w:pos="5760"/>
          <w:tab w:val="left" w:pos="7200"/>
          <w:tab w:val="left" w:pos="8640"/>
        </w:tabs>
        <w:spacing w:line="480" w:lineRule="atLeast"/>
        <w:ind w:firstLine="1440"/>
      </w:pPr>
      <w:r>
        <w:t xml:space="preserve">By 2011, NHOM was in default of the sublease for failure to properly maintain the Property and the Improvements.  In March 2011, </w:t>
      </w:r>
      <w:r w:rsidRPr="0072220C">
        <w:t xml:space="preserve">Cerullo and Plaza del Sol entered into an asset management and option agreement (the Management Agreement) with NHV.  </w:t>
      </w:r>
      <w:r>
        <w:t xml:space="preserve">Pursuant </w:t>
      </w:r>
      <w:r>
        <w:t xml:space="preserve">to the </w:t>
      </w:r>
      <w:r>
        <w:t xml:space="preserve">Management </w:t>
      </w:r>
      <w:r>
        <w:t xml:space="preserve">Agreement, Cerullo and Plaza del Sol granted certain irrevocable rights to NHV, including an option to acquire an assignment of the ground lease.  </w:t>
      </w:r>
      <w:r>
        <w:t xml:space="preserve">In exchange, NHV agreed to act as asset manager and </w:t>
      </w:r>
      <w:r>
        <w:t>“</w:t>
      </w:r>
      <w:r>
        <w:t>perform all duties normally associated</w:t>
      </w:r>
      <w:r>
        <w:t xml:space="preserve"> with the administration of a sub</w:t>
      </w:r>
      <w:r>
        <w:noBreakHyphen/>
        <w:t>lease by the master lessor</w:t>
      </w:r>
      <w:r>
        <w:t>.</w:t>
      </w:r>
      <w:r>
        <w:t>”</w:t>
      </w:r>
      <w:r>
        <w:t xml:space="preserve">  In particular, NHV agreed to (1) </w:t>
      </w:r>
      <w:r>
        <w:t>“</w:t>
      </w:r>
      <w:r>
        <w:t>[t]ake all action necessary to enforce the terms of the [Sublease],</w:t>
      </w:r>
      <w:r>
        <w:t>”</w:t>
      </w:r>
      <w:r>
        <w:t xml:space="preserve"> including the </w:t>
      </w:r>
      <w:r>
        <w:t>“</w:t>
      </w:r>
      <w:r>
        <w:t>filing and prosecution of legal action for Unlawful Detainer</w:t>
      </w:r>
      <w:r>
        <w:t>”</w:t>
      </w:r>
      <w:r>
        <w:t xml:space="preserve">; (2) </w:t>
      </w:r>
      <w:r>
        <w:t>“</w:t>
      </w:r>
      <w:r>
        <w:t xml:space="preserve">serve </w:t>
      </w:r>
      <w:r>
        <w:t xml:space="preserve">appropriate Notices of Default and other statutory notices as conditions precedent to any Unlawful Detainer </w:t>
      </w:r>
      <w:r>
        <w:t>a</w:t>
      </w:r>
      <w:r>
        <w:t>ction</w:t>
      </w:r>
      <w:r>
        <w:t>”</w:t>
      </w:r>
      <w:r>
        <w:t>; and (3) obtain Cerullo</w:t>
      </w:r>
      <w:r>
        <w:t>’</w:t>
      </w:r>
      <w:r>
        <w:t xml:space="preserve">s written permission before commencing legal action against NHOM, the sublessee. </w:t>
      </w:r>
      <w:r>
        <w:t xml:space="preserve"> NHV was responsible for the costs </w:t>
      </w:r>
      <w:r>
        <w:t>of an</w:t>
      </w:r>
      <w:r>
        <w:t>y</w:t>
      </w:r>
      <w:r>
        <w:t xml:space="preserve"> unlawful detainer action.  </w:t>
      </w:r>
    </w:p>
    <w:p w:rsidR="005D38AF" w:rsidRDefault="00EB600B" w:rsidP="00E0181C">
      <w:pPr>
        <w:tabs>
          <w:tab w:val="left" w:pos="1440"/>
          <w:tab w:val="left" w:pos="2880"/>
          <w:tab w:val="left" w:pos="4320"/>
          <w:tab w:val="left" w:pos="5760"/>
          <w:tab w:val="left" w:pos="7200"/>
          <w:tab w:val="left" w:pos="8640"/>
        </w:tabs>
        <w:spacing w:line="480" w:lineRule="atLeast"/>
        <w:ind w:firstLine="1440"/>
      </w:pPr>
      <w:r>
        <w:t>U</w:t>
      </w:r>
      <w:r>
        <w:t xml:space="preserve">nder the Management Agreement, </w:t>
      </w:r>
      <w:r>
        <w:t xml:space="preserve">NHV would be responsible for </w:t>
      </w:r>
      <w:r>
        <w:t xml:space="preserve">getting </w:t>
      </w:r>
      <w:r>
        <w:t xml:space="preserve">NHOM </w:t>
      </w:r>
      <w:r>
        <w:t xml:space="preserve">evicted </w:t>
      </w:r>
      <w:r>
        <w:t xml:space="preserve">from the Property and </w:t>
      </w:r>
      <w:r>
        <w:t xml:space="preserve">the Sublease </w:t>
      </w:r>
      <w:r>
        <w:t>terminat</w:t>
      </w:r>
      <w:r>
        <w:t>ed</w:t>
      </w:r>
      <w:r>
        <w:t xml:space="preserve"> and, in exchange, would receive an irrevocable option to acquire </w:t>
      </w:r>
      <w:r>
        <w:t>the sublease and, potentiall</w:t>
      </w:r>
      <w:r>
        <w:t xml:space="preserve">y, an </w:t>
      </w:r>
      <w:r>
        <w:t>assignment of the ground lease from Cerullo.</w:t>
      </w:r>
      <w:r>
        <w:t xml:space="preserve">  </w:t>
      </w:r>
      <w:r>
        <w:t xml:space="preserve">In </w:t>
      </w:r>
      <w:r>
        <w:t xml:space="preserve">April 2011, NHV, Cerullo, and Plaza del Sol entered into a modification to the </w:t>
      </w:r>
      <w:r>
        <w:t xml:space="preserve">Management </w:t>
      </w:r>
      <w:r>
        <w:t>Agreement</w:t>
      </w:r>
      <w:r>
        <w:t>,</w:t>
      </w:r>
      <w:r>
        <w:t xml:space="preserve"> making VMG the asset manager in place of NHV.</w:t>
      </w:r>
    </w:p>
    <w:p w:rsidR="005D38AF" w:rsidRDefault="00EB600B" w:rsidP="00E0181C">
      <w:pPr>
        <w:tabs>
          <w:tab w:val="left" w:pos="1440"/>
          <w:tab w:val="left" w:pos="2880"/>
          <w:tab w:val="left" w:pos="4320"/>
          <w:tab w:val="left" w:pos="5760"/>
          <w:tab w:val="left" w:pos="7200"/>
          <w:tab w:val="left" w:pos="8640"/>
        </w:tabs>
        <w:spacing w:line="480" w:lineRule="atLeast"/>
        <w:ind w:firstLine="1440"/>
      </w:pPr>
      <w:r>
        <w:t>Pursuant to the</w:t>
      </w:r>
      <w:r>
        <w:t xml:space="preserve"> Management</w:t>
      </w:r>
      <w:r>
        <w:t xml:space="preserve"> Agreement, VMG took action </w:t>
      </w:r>
      <w:r>
        <w:t xml:space="preserve">to evict NHOM due to its failure to adequately maintain the Property and the Improvements.  VMG retained </w:t>
      </w:r>
      <w:r>
        <w:t>A</w:t>
      </w:r>
      <w:r>
        <w:t>ttorney Darryl Paul, who filed an unlawful detainer action against NHOM (the Unlawful Detainer Action).  VMG paid for the costs and expenses of the Un</w:t>
      </w:r>
      <w:r>
        <w:t xml:space="preserve">lawful </w:t>
      </w:r>
      <w:r>
        <w:lastRenderedPageBreak/>
        <w:t>Detainer Action, including attorney fees, costs, expert fees, and appraiser fees.  Those costs totaled more than $500,000.  As asset manager, VMG spent more than $200,000 for such things as insurance premiums, travel, office supplies, meals, enterta</w:t>
      </w:r>
      <w:r>
        <w:t>ining, accounting, salaries, wages, and service bureau.</w:t>
      </w:r>
    </w:p>
    <w:p w:rsidR="005D38AF" w:rsidRDefault="00EB600B" w:rsidP="00E0181C">
      <w:pPr>
        <w:tabs>
          <w:tab w:val="left" w:pos="1440"/>
          <w:tab w:val="left" w:pos="2880"/>
          <w:tab w:val="left" w:pos="4320"/>
          <w:tab w:val="left" w:pos="5760"/>
          <w:tab w:val="left" w:pos="7200"/>
          <w:tab w:val="left" w:pos="8640"/>
        </w:tabs>
        <w:spacing w:line="480" w:lineRule="atLeast"/>
        <w:ind w:firstLine="1440"/>
      </w:pPr>
      <w:r>
        <w:t>In August 2012, Cerullo and Artz entered into a settlement agreement regarding the Unlawful Detainer Action.  The settlement agreement was made and signed without the knowledge or approv</w:t>
      </w:r>
      <w:r>
        <w:t>al</w:t>
      </w:r>
      <w:r>
        <w:t xml:space="preserve"> of Paul, an</w:t>
      </w:r>
      <w:r>
        <w:t xml:space="preserve">d without the knowledge, participation, or approval of VMG. </w:t>
      </w:r>
    </w:p>
    <w:p w:rsidR="005D38AF" w:rsidRDefault="00EB600B" w:rsidP="00E0181C">
      <w:pPr>
        <w:tabs>
          <w:tab w:val="left" w:pos="1440"/>
          <w:tab w:val="left" w:pos="2880"/>
          <w:tab w:val="left" w:pos="4320"/>
          <w:tab w:val="left" w:pos="5760"/>
          <w:tab w:val="left" w:pos="7200"/>
          <w:tab w:val="left" w:pos="8640"/>
        </w:tabs>
        <w:spacing w:line="480" w:lineRule="atLeast"/>
        <w:ind w:firstLine="1440"/>
      </w:pPr>
      <w:r>
        <w:t xml:space="preserve">Under the settlement agreement, Cerullo </w:t>
      </w:r>
      <w:r>
        <w:t xml:space="preserve">and Artz </w:t>
      </w:r>
      <w:r>
        <w:t xml:space="preserve">agreed to dismiss the Unlawful Detainer Action against NHOM in exchange for payment of </w:t>
      </w:r>
      <w:r>
        <w:t>“</w:t>
      </w:r>
      <w:r>
        <w:t>a substantial sum</w:t>
      </w:r>
      <w:r>
        <w:t>”</w:t>
      </w:r>
      <w:r>
        <w:t xml:space="preserve"> by the Maag Trust. </w:t>
      </w:r>
      <w:r>
        <w:t xml:space="preserve"> </w:t>
      </w:r>
      <w:r>
        <w:t>The trial of the Un</w:t>
      </w:r>
      <w:r>
        <w:t xml:space="preserve">lawful Detainer Action was taken off calendar.  Although trial of the Unlawful Detainer Action </w:t>
      </w:r>
      <w:r>
        <w:t>“</w:t>
      </w:r>
      <w:r>
        <w:t>remains the subject of ongoing litigation,</w:t>
      </w:r>
      <w:r>
        <w:t>”</w:t>
      </w:r>
      <w:r>
        <w:t xml:space="preserve"> NHV and </w:t>
      </w:r>
      <w:r>
        <w:t>VMG contend</w:t>
      </w:r>
      <w:r>
        <w:t>ed</w:t>
      </w:r>
      <w:r>
        <w:t xml:space="preserve"> </w:t>
      </w:r>
      <w:r>
        <w:t>“</w:t>
      </w:r>
      <w:r>
        <w:t>there is no certain or predictable outcome in view of the Settlement Agreement.</w:t>
      </w:r>
      <w:r>
        <w:t>”</w:t>
      </w:r>
      <w:r>
        <w:t xml:space="preserve">  NHV and VMG alleged:  </w:t>
      </w:r>
      <w:r>
        <w:t>“</w:t>
      </w:r>
      <w:r>
        <w:t>The execution by Defendants of the Settlement Agreement was fraudulent and constitutes a high jacking [</w:t>
      </w:r>
      <w:r>
        <w:rPr>
          <w:i/>
        </w:rPr>
        <w:t>sic</w:t>
      </w:r>
      <w:r>
        <w:t xml:space="preserve">] of the </w:t>
      </w:r>
      <w:r>
        <w:t>[</w:t>
      </w:r>
      <w:r>
        <w:t>U</w:t>
      </w:r>
      <w:r>
        <w:t xml:space="preserve">nlawful </w:t>
      </w:r>
      <w:r>
        <w:t>D</w:t>
      </w:r>
      <w:r>
        <w:t>etainer]</w:t>
      </w:r>
      <w:r>
        <w:t xml:space="preserve"> Action from the di</w:t>
      </w:r>
      <w:r>
        <w:t>sc</w:t>
      </w:r>
      <w:r>
        <w:t>retion and auspices of Plaintiffs and from the authority and direction of co</w:t>
      </w:r>
      <w:r>
        <w:t>unsel .</w:t>
      </w:r>
      <w:r>
        <w:t> </w:t>
      </w:r>
      <w:r>
        <w:t>.</w:t>
      </w:r>
      <w:r>
        <w:t> </w:t>
      </w:r>
      <w:r>
        <w:t>. Paul.</w:t>
      </w:r>
      <w:r>
        <w:t>”</w:t>
      </w:r>
      <w:r>
        <w:t xml:space="preserve"> </w:t>
      </w:r>
    </w:p>
    <w:p w:rsidR="005D38AF" w:rsidRDefault="00EB600B" w:rsidP="00E0181C">
      <w:pPr>
        <w:tabs>
          <w:tab w:val="left" w:pos="1440"/>
          <w:tab w:val="left" w:pos="2880"/>
          <w:tab w:val="left" w:pos="4320"/>
          <w:tab w:val="left" w:pos="5760"/>
          <w:tab w:val="left" w:pos="7200"/>
          <w:tab w:val="left" w:pos="8640"/>
        </w:tabs>
        <w:spacing w:line="480" w:lineRule="atLeast"/>
        <w:ind w:firstLine="1440"/>
      </w:pPr>
      <w:r>
        <w:t xml:space="preserve">The </w:t>
      </w:r>
      <w:r>
        <w:t>t</w:t>
      </w:r>
      <w:r>
        <w:t xml:space="preserve">hird </w:t>
      </w:r>
      <w:r>
        <w:t>a</w:t>
      </w:r>
      <w:r>
        <w:t xml:space="preserve">mended </w:t>
      </w:r>
      <w:r>
        <w:t>c</w:t>
      </w:r>
      <w:r>
        <w:t>omplaint</w:t>
      </w:r>
      <w:r>
        <w:t xml:space="preserve"> asserted causes of action for breach of </w:t>
      </w:r>
      <w:r>
        <w:t xml:space="preserve">written </w:t>
      </w:r>
      <w:r>
        <w:t xml:space="preserve">contract, breach of the covenant of good faith, quantum meruit, and promissory estoppel.  The </w:t>
      </w:r>
      <w:r>
        <w:t>t</w:t>
      </w:r>
      <w:r>
        <w:t xml:space="preserve">hird </w:t>
      </w:r>
      <w:r>
        <w:t>a</w:t>
      </w:r>
      <w:r>
        <w:t xml:space="preserve">mended </w:t>
      </w:r>
      <w:r>
        <w:t>c</w:t>
      </w:r>
      <w:r>
        <w:t>omplaint</w:t>
      </w:r>
      <w:r>
        <w:t xml:space="preserve"> alleged that Cerullo and Artz breached the</w:t>
      </w:r>
      <w:r>
        <w:t xml:space="preserve"> Management Agree</w:t>
      </w:r>
      <w:r>
        <w:t xml:space="preserve">ment by failing to reimburse </w:t>
      </w:r>
      <w:r>
        <w:t>VMG</w:t>
      </w:r>
      <w:r>
        <w:t xml:space="preserve"> for money spent on the Unlawful Detainer Action and in managing the Property and that Cerullo and Artz breached the covenant of good faith </w:t>
      </w:r>
      <w:r>
        <w:t xml:space="preserve">of the Management Agreement </w:t>
      </w:r>
      <w:r>
        <w:t>by failing to make those reimbursement</w:t>
      </w:r>
      <w:r>
        <w:t>s</w:t>
      </w:r>
      <w:r>
        <w:t xml:space="preserve"> and by settling the Unlawful Detainer Action.  NHV and </w:t>
      </w:r>
      <w:r>
        <w:t>VMG</w:t>
      </w:r>
      <w:r>
        <w:t xml:space="preserve"> sought recovery under quantum meruit for the benefit their services bestowed on Cerullo and Artz.  </w:t>
      </w:r>
    </w:p>
    <w:p w:rsidR="005A1280" w:rsidRDefault="00EB600B" w:rsidP="00E0181C">
      <w:pPr>
        <w:tabs>
          <w:tab w:val="left" w:pos="1440"/>
          <w:tab w:val="left" w:pos="2880"/>
          <w:tab w:val="left" w:pos="4320"/>
          <w:tab w:val="left" w:pos="5760"/>
          <w:tab w:val="left" w:pos="7200"/>
          <w:tab w:val="left" w:pos="8640"/>
        </w:tabs>
        <w:spacing w:line="480" w:lineRule="atLeast"/>
        <w:ind w:firstLine="1440"/>
      </w:pPr>
      <w:r>
        <w:t xml:space="preserve">In the promissory estoppel cause of action, NHV and </w:t>
      </w:r>
      <w:r>
        <w:t>VMG</w:t>
      </w:r>
      <w:r>
        <w:t xml:space="preserve"> alleged that</w:t>
      </w:r>
      <w:r>
        <w:t>,</w:t>
      </w:r>
      <w:r>
        <w:t xml:space="preserve"> in March 2011</w:t>
      </w:r>
      <w:r>
        <w:t>,</w:t>
      </w:r>
      <w:r>
        <w:t xml:space="preserve"> Artz made oral promise</w:t>
      </w:r>
      <w:r>
        <w:t>s</w:t>
      </w:r>
      <w:r>
        <w:t xml:space="preserve"> to D</w:t>
      </w:r>
      <w:r>
        <w:t>’</w:t>
      </w:r>
      <w:r>
        <w:t>Alessio</w:t>
      </w:r>
      <w:r>
        <w:t xml:space="preserve"> that NHV and </w:t>
      </w:r>
      <w:r>
        <w:t>VMG</w:t>
      </w:r>
      <w:r>
        <w:t xml:space="preserve"> would become </w:t>
      </w:r>
      <w:r>
        <w:lastRenderedPageBreak/>
        <w:t xml:space="preserve">the asset manager for the </w:t>
      </w:r>
      <w:r>
        <w:t>P</w:t>
      </w:r>
      <w:r>
        <w:t>roperty and, in exchange for litigating the Unlawful Detainer Action and evicting NHOM, would have an option to acquire the ground lease to the Property and</w:t>
      </w:r>
      <w:r>
        <w:t xml:space="preserve"> the</w:t>
      </w:r>
      <w:r>
        <w:t xml:space="preserve"> </w:t>
      </w:r>
      <w:r>
        <w:t xml:space="preserve">Improvements. </w:t>
      </w:r>
      <w:r>
        <w:t xml:space="preserve"> Those alleged </w:t>
      </w:r>
      <w:r>
        <w:t xml:space="preserve">oral promises </w:t>
      </w:r>
      <w:r>
        <w:t xml:space="preserve">were made at restaurants in Carlsbad and San Clemente. </w:t>
      </w:r>
      <w:r>
        <w:t xml:space="preserve"> </w:t>
      </w:r>
      <w:r>
        <w:t>(</w:t>
      </w:r>
      <w:r>
        <w:t>T</w:t>
      </w:r>
      <w:r>
        <w:t xml:space="preserve">he promises </w:t>
      </w:r>
      <w:r>
        <w:t xml:space="preserve">basically </w:t>
      </w:r>
      <w:r>
        <w:t>mirror the terms of the Management Agreement.</w:t>
      </w:r>
      <w:r>
        <w:t>)</w:t>
      </w:r>
      <w:r>
        <w:t xml:space="preserve">  </w:t>
      </w:r>
      <w:r>
        <w:t>In reliance on those promises, NHV and V</w:t>
      </w:r>
      <w:r>
        <w:t>MG</w:t>
      </w:r>
      <w:r>
        <w:t xml:space="preserve"> agreed to act as asset manager and </w:t>
      </w:r>
      <w:r>
        <w:t>“</w:t>
      </w:r>
      <w:r>
        <w:t>undert</w:t>
      </w:r>
      <w:r>
        <w:t>[</w:t>
      </w:r>
      <w:r>
        <w:t>ook</w:t>
      </w:r>
      <w:r>
        <w:t>]</w:t>
      </w:r>
      <w:r>
        <w:t xml:space="preserve"> the litigation and expense of the </w:t>
      </w:r>
      <w:r>
        <w:t>[Unlawful Detainer]</w:t>
      </w:r>
      <w:r>
        <w:t xml:space="preserve"> Action.</w:t>
      </w:r>
      <w:r>
        <w:t>”</w:t>
      </w:r>
      <w:r>
        <w:t xml:space="preserve"> </w:t>
      </w:r>
    </w:p>
    <w:p w:rsidR="00FD22A6" w:rsidRPr="005A1280" w:rsidRDefault="00EB600B" w:rsidP="004721E5">
      <w:pPr>
        <w:keepNext/>
        <w:tabs>
          <w:tab w:val="left" w:pos="1440"/>
          <w:tab w:val="left" w:pos="2880"/>
          <w:tab w:val="left" w:pos="4320"/>
          <w:tab w:val="left" w:pos="5760"/>
          <w:tab w:val="left" w:pos="7200"/>
          <w:tab w:val="left" w:pos="8640"/>
        </w:tabs>
        <w:spacing w:line="480" w:lineRule="atLeast"/>
        <w:jc w:val="center"/>
        <w:rPr>
          <w:b/>
        </w:rPr>
      </w:pPr>
      <w:r>
        <w:rPr>
          <w:b/>
        </w:rPr>
        <w:t>PROCEDURAL HISTORY</w:t>
      </w:r>
    </w:p>
    <w:p w:rsidR="005D38AF" w:rsidRDefault="00EB600B" w:rsidP="00E0181C">
      <w:pPr>
        <w:tabs>
          <w:tab w:val="left" w:pos="1440"/>
          <w:tab w:val="left" w:pos="2880"/>
          <w:tab w:val="left" w:pos="4320"/>
          <w:tab w:val="left" w:pos="5760"/>
          <w:tab w:val="left" w:pos="7200"/>
          <w:tab w:val="left" w:pos="8640"/>
        </w:tabs>
        <w:spacing w:line="480" w:lineRule="atLeast"/>
        <w:ind w:firstLine="1440"/>
      </w:pPr>
      <w:r>
        <w:t xml:space="preserve">VMG initiated this litigation by filing a form complaint for breach of contract and intentional tort in July 2013.  The complaint alleged </w:t>
      </w:r>
      <w:r>
        <w:t xml:space="preserve">that </w:t>
      </w:r>
      <w:r>
        <w:t>Cerullo and Artz breach</w:t>
      </w:r>
      <w:r>
        <w:t>e</w:t>
      </w:r>
      <w:r>
        <w:t>d</w:t>
      </w:r>
      <w:r>
        <w:t xml:space="preserve"> the Management Agreement and/or interfered with </w:t>
      </w:r>
      <w:r>
        <w:t>it</w:t>
      </w:r>
      <w:r>
        <w:t xml:space="preserve"> by </w:t>
      </w:r>
      <w:r>
        <w:t>“</w:t>
      </w:r>
      <w:r>
        <w:t>entering into a settlement agreement, and settling unlawful detainer action, in secret, and without P</w:t>
      </w:r>
      <w:r>
        <w:t>’</w:t>
      </w:r>
      <w:r>
        <w:t>s consent.</w:t>
      </w:r>
      <w:r>
        <w:t>”</w:t>
      </w:r>
      <w:r>
        <w:t xml:space="preserve"> </w:t>
      </w:r>
    </w:p>
    <w:p w:rsidR="005D38AF" w:rsidRDefault="00EB600B" w:rsidP="00E0181C">
      <w:pPr>
        <w:tabs>
          <w:tab w:val="left" w:pos="1440"/>
          <w:tab w:val="left" w:pos="2880"/>
          <w:tab w:val="left" w:pos="4320"/>
          <w:tab w:val="left" w:pos="5760"/>
          <w:tab w:val="left" w:pos="7200"/>
          <w:tab w:val="left" w:pos="8640"/>
        </w:tabs>
        <w:spacing w:line="480" w:lineRule="atLeast"/>
        <w:ind w:firstLine="1440"/>
      </w:pPr>
      <w:r>
        <w:t xml:space="preserve">A first amended complaint was filed in December 2013.  The </w:t>
      </w:r>
      <w:r>
        <w:t>f</w:t>
      </w:r>
      <w:r>
        <w:t xml:space="preserve">irst </w:t>
      </w:r>
      <w:r>
        <w:t>a</w:t>
      </w:r>
      <w:r>
        <w:t xml:space="preserve">mended </w:t>
      </w:r>
      <w:r>
        <w:t>c</w:t>
      </w:r>
      <w:r>
        <w:t>omplaint</w:t>
      </w:r>
      <w:r>
        <w:t xml:space="preserve"> a</w:t>
      </w:r>
      <w:r>
        <w:t xml:space="preserve">dded NHV as a plaintiff and asserted causes of action for breach of written contract, breath of the covenant of good faith, breach of fiduciary duty, negligence, fraud, and declaratory relief.  </w:t>
      </w:r>
      <w:r>
        <w:t xml:space="preserve">The </w:t>
      </w:r>
      <w:r>
        <w:t>f</w:t>
      </w:r>
      <w:r>
        <w:t xml:space="preserve">irst </w:t>
      </w:r>
      <w:r>
        <w:t>a</w:t>
      </w:r>
      <w:r>
        <w:t xml:space="preserve">mended </w:t>
      </w:r>
      <w:r>
        <w:t>c</w:t>
      </w:r>
      <w:r>
        <w:t>omplaint</w:t>
      </w:r>
      <w:r>
        <w:t xml:space="preserve"> alleged</w:t>
      </w:r>
      <w:r>
        <w:t>,</w:t>
      </w:r>
      <w:r>
        <w:t xml:space="preserve"> </w:t>
      </w:r>
      <w:r>
        <w:t>“</w:t>
      </w:r>
      <w:r>
        <w:t>[t]he execution by Defen</w:t>
      </w:r>
      <w:r>
        <w:t>dants of The Settlement Agreement was fraudulent and constitutes a highjacking of The Litigation from the di</w:t>
      </w:r>
      <w:r>
        <w:t>sc</w:t>
      </w:r>
      <w:r>
        <w:t>retion and auspices of Plaintiffs and from the authority and direction of counsel .</w:t>
      </w:r>
      <w:r>
        <w:t> </w:t>
      </w:r>
      <w:r>
        <w:t>.</w:t>
      </w:r>
      <w:r>
        <w:t> </w:t>
      </w:r>
      <w:r>
        <w:t>. Paul.</w:t>
      </w:r>
      <w:r>
        <w:t>”</w:t>
      </w:r>
      <w:r>
        <w:t xml:space="preserve"> </w:t>
      </w:r>
    </w:p>
    <w:p w:rsidR="005D38AF" w:rsidRDefault="00EB600B" w:rsidP="00E0181C">
      <w:pPr>
        <w:tabs>
          <w:tab w:val="left" w:pos="1440"/>
          <w:tab w:val="left" w:pos="2880"/>
          <w:tab w:val="left" w:pos="4320"/>
          <w:tab w:val="left" w:pos="5760"/>
          <w:tab w:val="left" w:pos="7200"/>
          <w:tab w:val="left" w:pos="8640"/>
        </w:tabs>
        <w:spacing w:line="480" w:lineRule="atLeast"/>
        <w:ind w:firstLine="1440"/>
      </w:pPr>
      <w:r>
        <w:t>NHV and VMG filed a second amended complaint in Ma</w:t>
      </w:r>
      <w:r>
        <w:t xml:space="preserve">rch 2014.  The </w:t>
      </w:r>
      <w:r>
        <w:t>s</w:t>
      </w:r>
      <w:r>
        <w:t xml:space="preserve">econd </w:t>
      </w:r>
      <w:r>
        <w:t>a</w:t>
      </w:r>
      <w:r>
        <w:t xml:space="preserve">mended </w:t>
      </w:r>
      <w:r>
        <w:t>c</w:t>
      </w:r>
      <w:r>
        <w:t>omplaint</w:t>
      </w:r>
      <w:r>
        <w:t xml:space="preserve"> had three causes of action—breach of written contract, breach of the covenant of good faith, and fraud.  The </w:t>
      </w:r>
      <w:r>
        <w:t>s</w:t>
      </w:r>
      <w:r>
        <w:t xml:space="preserve">econd </w:t>
      </w:r>
      <w:r>
        <w:t>a</w:t>
      </w:r>
      <w:r>
        <w:t xml:space="preserve">mended </w:t>
      </w:r>
      <w:r>
        <w:t>c</w:t>
      </w:r>
      <w:r>
        <w:t>omplaint</w:t>
      </w:r>
      <w:r>
        <w:t xml:space="preserve"> include</w:t>
      </w:r>
      <w:r>
        <w:t>d</w:t>
      </w:r>
      <w:r>
        <w:t xml:space="preserve"> substantially the same references to the </w:t>
      </w:r>
      <w:r>
        <w:t>s</w:t>
      </w:r>
      <w:r>
        <w:t xml:space="preserve">ettlement </w:t>
      </w:r>
      <w:r>
        <w:t>a</w:t>
      </w:r>
      <w:r>
        <w:t xml:space="preserve">greement as the </w:t>
      </w:r>
      <w:r>
        <w:t>first</w:t>
      </w:r>
      <w:r>
        <w:t xml:space="preserve"> amended complaint. </w:t>
      </w:r>
    </w:p>
    <w:p w:rsidR="005D38AF" w:rsidRDefault="00EB600B" w:rsidP="00E0181C">
      <w:pPr>
        <w:tabs>
          <w:tab w:val="left" w:pos="1440"/>
          <w:tab w:val="left" w:pos="2880"/>
          <w:tab w:val="left" w:pos="4320"/>
          <w:tab w:val="left" w:pos="5760"/>
          <w:tab w:val="left" w:pos="7200"/>
          <w:tab w:val="left" w:pos="8640"/>
        </w:tabs>
        <w:spacing w:line="480" w:lineRule="atLeast"/>
        <w:ind w:firstLine="1440"/>
      </w:pPr>
      <w:r>
        <w:t xml:space="preserve">NHV and </w:t>
      </w:r>
      <w:r>
        <w:t>V</w:t>
      </w:r>
      <w:r>
        <w:t xml:space="preserve">MG filed the </w:t>
      </w:r>
      <w:r>
        <w:t>t</w:t>
      </w:r>
      <w:r>
        <w:t xml:space="preserve">hird </w:t>
      </w:r>
      <w:r>
        <w:t>a</w:t>
      </w:r>
      <w:r>
        <w:t xml:space="preserve">mended </w:t>
      </w:r>
      <w:r>
        <w:t>c</w:t>
      </w:r>
      <w:r>
        <w:t xml:space="preserve">omplaint in June 2015.  </w:t>
      </w:r>
      <w:r>
        <w:t>Within 60 days, Cerullo and Artz filed the anti</w:t>
      </w:r>
      <w:r>
        <w:noBreakHyphen/>
        <w:t xml:space="preserve">SLAPP motion to the third amended complaint. </w:t>
      </w:r>
      <w:r>
        <w:t xml:space="preserve"> </w:t>
      </w:r>
      <w:r>
        <w:t>In the anti</w:t>
      </w:r>
      <w:r>
        <w:noBreakHyphen/>
        <w:t>SLAPP motion, Cerullo and Artz argued that settlement of the Un</w:t>
      </w:r>
      <w:r>
        <w:t>lawful Detainer Action was an act arising from the right to petition and therefore was protected by the anti</w:t>
      </w:r>
      <w:r>
        <w:noBreakHyphen/>
        <w:t xml:space="preserve">SLAPP statute.  Cerullo and Artz argued that </w:t>
      </w:r>
      <w:r>
        <w:t>“</w:t>
      </w:r>
      <w:r>
        <w:t xml:space="preserve">each of the four causes of action arises from [Cerullo] signing the Purported Settlement in the </w:t>
      </w:r>
      <w:r>
        <w:t>[Unla</w:t>
      </w:r>
      <w:r>
        <w:t>wful Detainer]</w:t>
      </w:r>
      <w:r>
        <w:t xml:space="preserve"> Action.</w:t>
      </w:r>
      <w:r>
        <w:t>”</w:t>
      </w:r>
      <w:r>
        <w:t xml:space="preserve"> </w:t>
      </w:r>
    </w:p>
    <w:p w:rsidR="00F40961" w:rsidRDefault="00EB600B" w:rsidP="00E0181C">
      <w:pPr>
        <w:tabs>
          <w:tab w:val="left" w:pos="1440"/>
          <w:tab w:val="left" w:pos="2880"/>
          <w:tab w:val="left" w:pos="4320"/>
          <w:tab w:val="left" w:pos="5760"/>
          <w:tab w:val="left" w:pos="7200"/>
          <w:tab w:val="left" w:pos="8640"/>
        </w:tabs>
        <w:spacing w:line="480" w:lineRule="atLeast"/>
        <w:ind w:firstLine="1440"/>
      </w:pPr>
      <w:r>
        <w:t xml:space="preserve">In opposition, </w:t>
      </w:r>
      <w:r>
        <w:t>NHV and VMG argued the anti</w:t>
      </w:r>
      <w:r>
        <w:noBreakHyphen/>
        <w:t>SLAPP motion was not timely filed because it was not filed within 60 days of the initial complaint, the first amended complaint, or the second amended complaint.  The trial court agreed.</w:t>
      </w:r>
      <w:r>
        <w:t xml:space="preserve">  </w:t>
      </w:r>
      <w:r>
        <w:t>In denying the anti</w:t>
      </w:r>
      <w:r>
        <w:noBreakHyphen/>
        <w:t xml:space="preserve">SLAPP motion, the trial court ruled:  </w:t>
      </w:r>
      <w:r>
        <w:t>“</w:t>
      </w:r>
      <w:r>
        <w:t>Defendants</w:t>
      </w:r>
      <w:r>
        <w:t>’</w:t>
      </w:r>
      <w:r>
        <w:t xml:space="preserve"> Special Motion to Strike the Third Amended Complaint under CCP § 425.16 is denied as untimely.  The case has been pending for over two years.  The court notes that the Complaint and eve</w:t>
      </w:r>
      <w:r>
        <w:t>ry pleading filed by Plaintiffs thereafter, all referenced the Settlement Agreement at the heart of Defendants</w:t>
      </w:r>
      <w:r>
        <w:t>’</w:t>
      </w:r>
      <w:r>
        <w:t xml:space="preserve"> argument.  Defendants demurred to every pleading filed by Plaintiffs.  They filed a Motion to Strike the Complaint and the Second Amended Compla</w:t>
      </w:r>
      <w:r>
        <w:t>int.  The court has also heard and ruled on Defendants</w:t>
      </w:r>
      <w:r>
        <w:t>’</w:t>
      </w:r>
      <w:r>
        <w:t xml:space="preserve"> Motion for Judgment on the Pleadings and Motion for Summary Judgment.  Substantial </w:t>
      </w:r>
      <w:r>
        <w:t>d</w:t>
      </w:r>
      <w:r>
        <w:t xml:space="preserve">iscovery </w:t>
      </w:r>
      <w:r>
        <w:t>has already taken place.  The court has granted several discovery motions filed by Plaintiffs.  The purpose</w:t>
      </w:r>
      <w:r>
        <w:t xml:space="preserve"> of the anti</w:t>
      </w:r>
      <w:r>
        <w:noBreakHyphen/>
        <w:t xml:space="preserve">SLAPP statute is to dismiss meritless lawsuits designed to chill free speech </w:t>
      </w:r>
      <w:r>
        <w:t xml:space="preserve">rights </w:t>
      </w:r>
      <w:r>
        <w:t>at the earliest stage of the case.  That purpose no longer applies at this late stage in the litigation.  [Citations.]</w:t>
      </w:r>
      <w:r>
        <w:t>”</w:t>
      </w:r>
      <w:r>
        <w:t xml:space="preserve">  </w:t>
      </w:r>
    </w:p>
    <w:p w:rsidR="00E26B3D" w:rsidRPr="00E26B3D" w:rsidRDefault="00EB600B" w:rsidP="00E26B3D">
      <w:pPr>
        <w:keepNext/>
        <w:tabs>
          <w:tab w:val="left" w:pos="1440"/>
          <w:tab w:val="left" w:pos="2880"/>
          <w:tab w:val="left" w:pos="4320"/>
          <w:tab w:val="left" w:pos="5760"/>
          <w:tab w:val="left" w:pos="7200"/>
          <w:tab w:val="left" w:pos="8640"/>
        </w:tabs>
        <w:spacing w:line="480" w:lineRule="atLeast"/>
        <w:jc w:val="center"/>
        <w:rPr>
          <w:b/>
        </w:rPr>
      </w:pPr>
      <w:r>
        <w:rPr>
          <w:b/>
        </w:rPr>
        <w:t>REQUESTS FOR JUDICIAL NOTICE</w:t>
      </w:r>
    </w:p>
    <w:p w:rsidR="00585A0E" w:rsidRDefault="00EB600B" w:rsidP="00E0181C">
      <w:pPr>
        <w:tabs>
          <w:tab w:val="left" w:pos="1440"/>
          <w:tab w:val="left" w:pos="2880"/>
          <w:tab w:val="left" w:pos="4320"/>
          <w:tab w:val="left" w:pos="5760"/>
          <w:tab w:val="left" w:pos="7200"/>
          <w:tab w:val="left" w:pos="8640"/>
        </w:tabs>
        <w:spacing w:line="480" w:lineRule="atLeast"/>
        <w:ind w:firstLine="1440"/>
      </w:pPr>
      <w:r>
        <w:t>After or</w:t>
      </w:r>
      <w:r>
        <w:t>al argument, counsel for Cerullo and Artz filed a request for judicial notice of the fact that NHV’s corporate status had changed to suspended.  Attached as an exhibit to the request was business entity information from the California Secretary of State sh</w:t>
      </w:r>
      <w:r>
        <w:t>owing that as of September 16, 2016, NHV’s status was “FTB SUSPEN</w:t>
      </w:r>
      <w:r>
        <w:t>D</w:t>
      </w:r>
      <w:r>
        <w:t xml:space="preserve">ED.”  NHV then filed a request for judicial notice of (1) a certificate of revivor for NHV issued by the California </w:t>
      </w:r>
      <w:r>
        <w:t>Franchise Tax Board</w:t>
      </w:r>
      <w:r>
        <w:t xml:space="preserve"> on October 6, 2016 and (2) business </w:t>
      </w:r>
      <w:r>
        <w:t xml:space="preserve">entity </w:t>
      </w:r>
      <w:r>
        <w:t>detail from</w:t>
      </w:r>
      <w:r>
        <w:t xml:space="preserve"> the California Secretary of State</w:t>
      </w:r>
      <w:r>
        <w:t>’s</w:t>
      </w:r>
      <w:r>
        <w:t xml:space="preserve"> </w:t>
      </w:r>
      <w:r>
        <w:t>W</w:t>
      </w:r>
      <w:r>
        <w:t>eb</w:t>
      </w:r>
      <w:r>
        <w:t xml:space="preserve"> </w:t>
      </w:r>
      <w:r>
        <w:t>site reflecting that, as of October 7, 2016, NHV’s status was “ACTIVE.”  We grant both request</w:t>
      </w:r>
      <w:r>
        <w:t>s</w:t>
      </w:r>
      <w:r>
        <w:t xml:space="preserve"> for judicial notice.</w:t>
      </w:r>
    </w:p>
    <w:p w:rsidR="00E26B3D" w:rsidRDefault="00EB600B" w:rsidP="00E0181C">
      <w:pPr>
        <w:tabs>
          <w:tab w:val="left" w:pos="1440"/>
          <w:tab w:val="left" w:pos="2880"/>
          <w:tab w:val="left" w:pos="4320"/>
          <w:tab w:val="left" w:pos="5760"/>
          <w:tab w:val="left" w:pos="7200"/>
          <w:tab w:val="left" w:pos="8640"/>
        </w:tabs>
        <w:spacing w:line="480" w:lineRule="atLeast"/>
        <w:ind w:firstLine="1440"/>
      </w:pPr>
      <w:r>
        <w:t>The certificate of revivor for NHV states, “[t]his Limited Liability Company was relieved of suspe</w:t>
      </w:r>
      <w:r>
        <w:t>nsion or forfeiture and is no</w:t>
      </w:r>
      <w:r>
        <w:t>w</w:t>
      </w:r>
      <w:r>
        <w:t xml:space="preserve"> in good standing with the Franchise Tax Board.”  Because NHV is </w:t>
      </w:r>
      <w:r>
        <w:t>now</w:t>
      </w:r>
      <w:r>
        <w:t xml:space="preserve"> a corporation in good standing, it may defend and participate in this action.  (See </w:t>
      </w:r>
      <w:r>
        <w:rPr>
          <w:i/>
        </w:rPr>
        <w:t xml:space="preserve">Cadle </w:t>
      </w:r>
      <w:r>
        <w:rPr>
          <w:i/>
        </w:rPr>
        <w:t xml:space="preserve">Co. </w:t>
      </w:r>
      <w:r>
        <w:rPr>
          <w:i/>
        </w:rPr>
        <w:t xml:space="preserve">v. World Wide Hospitality Furniture, Inc. </w:t>
      </w:r>
      <w:r>
        <w:t xml:space="preserve">(2006) 144 </w:t>
      </w:r>
      <w:r>
        <w:t>Cal.App.4th 504, 513.)  NHV was ineligible to appear at oral argument because at that time NHV was a suspended corporation.  But counsel appearing for NHV also represented VMG</w:t>
      </w:r>
      <w:r>
        <w:rPr>
          <w:i/>
        </w:rPr>
        <w:t xml:space="preserve"> </w:t>
      </w:r>
      <w:r>
        <w:t xml:space="preserve">at oral argument and therefore could appear and argue. </w:t>
      </w:r>
      <w:r>
        <w:t xml:space="preserve"> </w:t>
      </w:r>
      <w:r>
        <w:t>Cerullo and Artz argue N</w:t>
      </w:r>
      <w:r>
        <w:t>HV cannot proceed because it did not seek a continuance to secure a revivor.  Although the “‘normal practice’” is for the court to grant a short continuance to enable the suspended corporation to obtain reinstatement (</w:t>
      </w:r>
      <w:r>
        <w:rPr>
          <w:i/>
        </w:rPr>
        <w:t>id.</w:t>
      </w:r>
      <w:r w:rsidRPr="00B847C8">
        <w:t xml:space="preserve"> </w:t>
      </w:r>
      <w:r>
        <w:t>at p. 512</w:t>
      </w:r>
      <w:r>
        <w:t>), the suspended corporat</w:t>
      </w:r>
      <w:r>
        <w:t xml:space="preserve">ion is not required to ask for a continuance for that purpose. </w:t>
      </w:r>
    </w:p>
    <w:p w:rsidR="00E5072E" w:rsidRPr="00BD2DC6" w:rsidRDefault="00EB600B" w:rsidP="00E0181C">
      <w:pPr>
        <w:tabs>
          <w:tab w:val="left" w:pos="1440"/>
          <w:tab w:val="left" w:pos="2880"/>
          <w:tab w:val="left" w:pos="4320"/>
          <w:tab w:val="left" w:pos="5760"/>
          <w:tab w:val="left" w:pos="7200"/>
          <w:tab w:val="left" w:pos="8640"/>
        </w:tabs>
        <w:spacing w:line="480" w:lineRule="atLeast"/>
        <w:ind w:firstLine="1440"/>
      </w:pPr>
    </w:p>
    <w:p w:rsidR="00381940" w:rsidRPr="00381940" w:rsidRDefault="00EB600B" w:rsidP="004721E5">
      <w:pPr>
        <w:keepNext/>
        <w:tabs>
          <w:tab w:val="left" w:pos="1440"/>
          <w:tab w:val="left" w:pos="2880"/>
          <w:tab w:val="left" w:pos="4320"/>
          <w:tab w:val="left" w:pos="5760"/>
          <w:tab w:val="left" w:pos="7200"/>
          <w:tab w:val="left" w:pos="8640"/>
        </w:tabs>
        <w:spacing w:line="480" w:lineRule="atLeast"/>
        <w:jc w:val="center"/>
        <w:rPr>
          <w:b/>
        </w:rPr>
      </w:pPr>
      <w:r>
        <w:rPr>
          <w:b/>
        </w:rPr>
        <w:t>DISCUSSION</w:t>
      </w:r>
    </w:p>
    <w:p w:rsidR="00381940" w:rsidRDefault="00EB600B" w:rsidP="004721E5">
      <w:pPr>
        <w:keepNext/>
        <w:tabs>
          <w:tab w:val="left" w:pos="1440"/>
          <w:tab w:val="left" w:pos="2880"/>
          <w:tab w:val="left" w:pos="4320"/>
          <w:tab w:val="left" w:pos="5760"/>
          <w:tab w:val="left" w:pos="7200"/>
          <w:tab w:val="left" w:pos="8640"/>
        </w:tabs>
        <w:spacing w:line="480" w:lineRule="atLeast"/>
        <w:jc w:val="center"/>
        <w:rPr>
          <w:b/>
        </w:rPr>
      </w:pPr>
      <w:r>
        <w:rPr>
          <w:b/>
        </w:rPr>
        <w:t>I.</w:t>
      </w:r>
    </w:p>
    <w:p w:rsidR="00CF0F19" w:rsidRPr="00CF0F19" w:rsidRDefault="00EB600B" w:rsidP="004721E5">
      <w:pPr>
        <w:keepNext/>
        <w:tabs>
          <w:tab w:val="left" w:pos="1440"/>
          <w:tab w:val="left" w:pos="2880"/>
          <w:tab w:val="left" w:pos="4320"/>
          <w:tab w:val="left" w:pos="5760"/>
          <w:tab w:val="left" w:pos="7200"/>
          <w:tab w:val="left" w:pos="8640"/>
        </w:tabs>
        <w:spacing w:line="480" w:lineRule="atLeast"/>
        <w:jc w:val="center"/>
        <w:rPr>
          <w:b/>
        </w:rPr>
      </w:pPr>
      <w:r>
        <w:rPr>
          <w:b/>
        </w:rPr>
        <w:t>Background Law and Standard of Review</w:t>
      </w:r>
    </w:p>
    <w:p w:rsidR="00585A0E" w:rsidRDefault="00EB600B" w:rsidP="00E0181C">
      <w:pPr>
        <w:tabs>
          <w:tab w:val="left" w:pos="1440"/>
          <w:tab w:val="left" w:pos="2880"/>
          <w:tab w:val="left" w:pos="4320"/>
          <w:tab w:val="left" w:pos="5760"/>
          <w:tab w:val="left" w:pos="7200"/>
          <w:tab w:val="left" w:pos="8640"/>
        </w:tabs>
        <w:spacing w:line="480" w:lineRule="atLeast"/>
        <w:ind w:firstLine="1440"/>
      </w:pPr>
      <w:r>
        <w:t>“</w:t>
      </w:r>
      <w:r w:rsidRPr="004721E5">
        <w:t>A cause of action against a person arising from any act of that person in furtherance of the person</w:t>
      </w:r>
      <w:r>
        <w:t>’</w:t>
      </w:r>
      <w:r w:rsidRPr="004721E5">
        <w:t>s right of petition or free speech und</w:t>
      </w:r>
      <w:r w:rsidRPr="004721E5">
        <w:t>er the United States Constitution or the California Constitution in connection with a public issue shall be subject to a special motion to strike, unless the court determines that the plaintiff has established that there is a probability that the plaintiff</w:t>
      </w:r>
      <w:r w:rsidRPr="004721E5">
        <w:t xml:space="preserve"> will prevail on the claim.</w:t>
      </w:r>
      <w:r>
        <w:t>”  (§ 425.16(b)(1).)</w:t>
      </w:r>
    </w:p>
    <w:p w:rsidR="00585A0E" w:rsidRDefault="00EB600B" w:rsidP="00E0181C">
      <w:pPr>
        <w:tabs>
          <w:tab w:val="left" w:pos="1440"/>
          <w:tab w:val="left" w:pos="2880"/>
          <w:tab w:val="left" w:pos="4320"/>
          <w:tab w:val="left" w:pos="5760"/>
          <w:tab w:val="left" w:pos="7200"/>
          <w:tab w:val="left" w:pos="8640"/>
        </w:tabs>
        <w:spacing w:line="480" w:lineRule="atLeast"/>
        <w:ind w:firstLine="1440"/>
      </w:pPr>
      <w:r>
        <w:t>“</w:t>
      </w:r>
      <w:r w:rsidRPr="00B57C25">
        <w:t>The anti</w:t>
      </w:r>
      <w:r>
        <w:noBreakHyphen/>
      </w:r>
      <w:r w:rsidRPr="00B57C25">
        <w:t xml:space="preserve">SLAPP statute does not insulate defendants from </w:t>
      </w:r>
      <w:r w:rsidRPr="00F06F17">
        <w:rPr>
          <w:i/>
        </w:rPr>
        <w:t>any</w:t>
      </w:r>
      <w:r w:rsidRPr="00B57C25">
        <w:t xml:space="preserve"> liability for claims arising from the protected rights of petition or speech. </w:t>
      </w:r>
      <w:r>
        <w:t xml:space="preserve"> </w:t>
      </w:r>
      <w:r w:rsidRPr="00B57C25">
        <w:t xml:space="preserve">It only provides a procedure for weeding out, at an early stage, </w:t>
      </w:r>
      <w:r w:rsidRPr="00F06F17">
        <w:rPr>
          <w:i/>
        </w:rPr>
        <w:t>me</w:t>
      </w:r>
      <w:r w:rsidRPr="00F06F17">
        <w:rPr>
          <w:i/>
        </w:rPr>
        <w:t>ritless</w:t>
      </w:r>
      <w:r w:rsidRPr="00B57C25">
        <w:t xml:space="preserve"> claims arising from protected activity. </w:t>
      </w:r>
      <w:r>
        <w:t xml:space="preserve"> </w:t>
      </w:r>
      <w:r w:rsidRPr="00B57C25">
        <w:t>Resolution of an anti</w:t>
      </w:r>
      <w:r>
        <w:noBreakHyphen/>
      </w:r>
      <w:r w:rsidRPr="00B57C25">
        <w:t xml:space="preserve">SLAPP motion involves two steps. </w:t>
      </w:r>
      <w:r>
        <w:t xml:space="preserve"> </w:t>
      </w:r>
      <w:r w:rsidRPr="00B57C25">
        <w:t xml:space="preserve">First, the defendant must establish that the challenged claim arises from activity protected by </w:t>
      </w:r>
      <w:r>
        <w:t xml:space="preserve">[Code of Civil Procedure] </w:t>
      </w:r>
      <w:r w:rsidRPr="00B57C25">
        <w:t xml:space="preserve">section 425.16. </w:t>
      </w:r>
      <w:r>
        <w:t xml:space="preserve"> [Citation.] </w:t>
      </w:r>
      <w:r w:rsidRPr="00B57C25">
        <w:t xml:space="preserve"> If the defendant makes the required showing, the burden shifts to the plaintiff to demonstrate the merit of the claim by establishing a probability of success. </w:t>
      </w:r>
      <w:r>
        <w:t xml:space="preserve"> </w:t>
      </w:r>
      <w:r w:rsidRPr="00B57C25">
        <w:t xml:space="preserve">We have described this second step as a </w:t>
      </w:r>
      <w:r>
        <w:t>‘</w:t>
      </w:r>
      <w:r w:rsidRPr="00B57C25">
        <w:t>summary</w:t>
      </w:r>
      <w:r>
        <w:noBreakHyphen/>
      </w:r>
      <w:r w:rsidRPr="00B57C25">
        <w:t>judgment</w:t>
      </w:r>
      <w:r>
        <w:noBreakHyphen/>
      </w:r>
      <w:r w:rsidRPr="00B57C25">
        <w:t>like procedure.</w:t>
      </w:r>
      <w:r>
        <w:t>’</w:t>
      </w:r>
      <w:r w:rsidRPr="00B57C25">
        <w:t xml:space="preserve"> </w:t>
      </w:r>
      <w:r>
        <w:t xml:space="preserve"> [Citation.] </w:t>
      </w:r>
      <w:r w:rsidRPr="00B57C25">
        <w:t xml:space="preserve"> The c</w:t>
      </w:r>
      <w:r w:rsidRPr="00B57C25">
        <w:t xml:space="preserve">ourt does not weigh evidence or resolve conflicting factual claims. </w:t>
      </w:r>
      <w:r>
        <w:t xml:space="preserve"> </w:t>
      </w:r>
      <w:r w:rsidRPr="00B57C25">
        <w:t xml:space="preserve">Its inquiry is limited to whether the plaintiff has stated a legally sufficient claim and made a prima facie factual showing sufficient to sustain a favorable judgment. </w:t>
      </w:r>
      <w:r>
        <w:t xml:space="preserve"> </w:t>
      </w:r>
      <w:r w:rsidRPr="00B57C25">
        <w:t>It accepts the pl</w:t>
      </w:r>
      <w:r w:rsidRPr="00B57C25">
        <w:t>aintiff</w:t>
      </w:r>
      <w:r>
        <w:t>’</w:t>
      </w:r>
      <w:r w:rsidRPr="00B57C25">
        <w:t>s evidence as true, and evaluates the defendant</w:t>
      </w:r>
      <w:r>
        <w:t>’</w:t>
      </w:r>
      <w:r w:rsidRPr="00B57C25">
        <w:t>s showing only to determine if it defeats the plaintiff</w:t>
      </w:r>
      <w:r>
        <w:t>’</w:t>
      </w:r>
      <w:r w:rsidRPr="00B57C25">
        <w:t xml:space="preserve">s claim as a matter of law. </w:t>
      </w:r>
      <w:bookmarkStart w:id="1" w:name="7050-10"/>
      <w:r>
        <w:t xml:space="preserve"> </w:t>
      </w:r>
      <w:bookmarkEnd w:id="1"/>
      <w:r>
        <w:t xml:space="preserve">[Citation.]  </w:t>
      </w:r>
      <w:r>
        <w:t>‘</w:t>
      </w:r>
      <w:r w:rsidRPr="00B57C25">
        <w:t>[C]laims with the requisite minimal merit may proceed.</w:t>
      </w:r>
      <w:r>
        <w:t>’</w:t>
      </w:r>
      <w:r>
        <w:t xml:space="preserve">  [Citation.]</w:t>
      </w:r>
      <w:r>
        <w:t>”</w:t>
      </w:r>
      <w:r>
        <w:t xml:space="preserve">  (</w:t>
      </w:r>
      <w:r>
        <w:rPr>
          <w:i/>
        </w:rPr>
        <w:t xml:space="preserve">Baral v. Schnitt </w:t>
      </w:r>
      <w:r>
        <w:t xml:space="preserve">(2016) </w:t>
      </w:r>
      <w:r>
        <w:t>1</w:t>
      </w:r>
      <w:r>
        <w:t xml:space="preserve"> Cal.</w:t>
      </w:r>
      <w:r>
        <w:t>5</w:t>
      </w:r>
      <w:r>
        <w:t xml:space="preserve">th </w:t>
      </w:r>
      <w:r>
        <w:t>376, 384</w:t>
      </w:r>
      <w:r>
        <w:noBreakHyphen/>
        <w:t>385, fn. omitted.)</w:t>
      </w:r>
    </w:p>
    <w:p w:rsidR="00CF0F19" w:rsidRPr="008E3D4D" w:rsidRDefault="00EB600B" w:rsidP="00E0181C">
      <w:pPr>
        <w:tabs>
          <w:tab w:val="left" w:pos="1440"/>
          <w:tab w:val="left" w:pos="2880"/>
          <w:tab w:val="left" w:pos="4320"/>
          <w:tab w:val="left" w:pos="5760"/>
          <w:tab w:val="left" w:pos="7200"/>
          <w:tab w:val="left" w:pos="8640"/>
        </w:tabs>
        <w:spacing w:line="480" w:lineRule="atLeast"/>
        <w:ind w:firstLine="1440"/>
      </w:pPr>
      <w:r>
        <w:t>We review an order granting or denying a</w:t>
      </w:r>
      <w:r>
        <w:t>n</w:t>
      </w:r>
      <w:r>
        <w:t xml:space="preserve"> anti</w:t>
      </w:r>
      <w:r>
        <w:noBreakHyphen/>
        <w:t xml:space="preserve">SLAPP </w:t>
      </w:r>
      <w:r>
        <w:t>motion</w:t>
      </w:r>
      <w:r>
        <w:t xml:space="preserve"> under the de novo standard.  (</w:t>
      </w:r>
      <w:r>
        <w:rPr>
          <w:i/>
        </w:rPr>
        <w:t xml:space="preserve">Karnazes v. Ares </w:t>
      </w:r>
      <w:r>
        <w:t>(2016) 244 Cal.App.4th 344, 35</w:t>
      </w:r>
      <w:r>
        <w:t>1</w:t>
      </w:r>
      <w:r>
        <w:t xml:space="preserve">.)  </w:t>
      </w:r>
    </w:p>
    <w:p w:rsidR="00CF0F19" w:rsidRDefault="00EB600B" w:rsidP="000D4BF4">
      <w:pPr>
        <w:keepNext/>
        <w:tabs>
          <w:tab w:val="left" w:pos="1440"/>
          <w:tab w:val="left" w:pos="2880"/>
          <w:tab w:val="left" w:pos="4320"/>
          <w:tab w:val="left" w:pos="5760"/>
          <w:tab w:val="left" w:pos="7200"/>
          <w:tab w:val="left" w:pos="8640"/>
        </w:tabs>
        <w:spacing w:line="480" w:lineRule="atLeast"/>
        <w:jc w:val="center"/>
        <w:rPr>
          <w:b/>
        </w:rPr>
      </w:pPr>
      <w:r w:rsidRPr="00381940">
        <w:rPr>
          <w:b/>
        </w:rPr>
        <w:t>II</w:t>
      </w:r>
      <w:r>
        <w:rPr>
          <w:b/>
        </w:rPr>
        <w:t>.</w:t>
      </w:r>
    </w:p>
    <w:p w:rsidR="000C7DA9" w:rsidRPr="00381940" w:rsidRDefault="00EB600B" w:rsidP="00FC3B44">
      <w:pPr>
        <w:keepNext/>
        <w:tabs>
          <w:tab w:val="left" w:pos="1350"/>
          <w:tab w:val="left" w:pos="2880"/>
          <w:tab w:val="left" w:pos="4320"/>
          <w:tab w:val="left" w:pos="5760"/>
          <w:tab w:val="left" w:pos="7200"/>
          <w:tab w:val="left" w:pos="8640"/>
        </w:tabs>
        <w:spacing w:before="240"/>
        <w:ind w:left="1152" w:right="1152"/>
        <w:jc w:val="center"/>
        <w:rPr>
          <w:b/>
        </w:rPr>
      </w:pPr>
      <w:r>
        <w:rPr>
          <w:b/>
        </w:rPr>
        <w:t xml:space="preserve">The </w:t>
      </w:r>
      <w:r>
        <w:rPr>
          <w:b/>
        </w:rPr>
        <w:t>A</w:t>
      </w:r>
      <w:r>
        <w:rPr>
          <w:b/>
        </w:rPr>
        <w:t>nti</w:t>
      </w:r>
      <w:r>
        <w:rPr>
          <w:b/>
        </w:rPr>
        <w:noBreakHyphen/>
        <w:t xml:space="preserve">SLAPP Motion Was Untimely as to the Breach of Contract and </w:t>
      </w:r>
      <w:r>
        <w:rPr>
          <w:b/>
        </w:rPr>
        <w:t>Breach of Implied Covenant Causes of Action</w:t>
      </w:r>
      <w:r>
        <w:rPr>
          <w:b/>
        </w:rPr>
        <w:t>.</w:t>
      </w:r>
    </w:p>
    <w:p w:rsidR="00A63C3C" w:rsidRPr="00A63C3C" w:rsidRDefault="00EB600B" w:rsidP="00A63C3C">
      <w:pPr>
        <w:tabs>
          <w:tab w:val="left" w:pos="1440"/>
          <w:tab w:val="left" w:pos="2880"/>
          <w:tab w:val="left" w:pos="4320"/>
          <w:tab w:val="left" w:pos="5760"/>
          <w:tab w:val="left" w:pos="7200"/>
          <w:tab w:val="left" w:pos="8640"/>
        </w:tabs>
        <w:spacing w:line="480" w:lineRule="atLeast"/>
        <w:rPr>
          <w:i/>
        </w:rPr>
      </w:pPr>
      <w:r>
        <w:t xml:space="preserve">A.  </w:t>
      </w:r>
      <w:r>
        <w:rPr>
          <w:i/>
        </w:rPr>
        <w:t>General Analysis of Timing of Anti-SLAPP Motion</w:t>
      </w:r>
    </w:p>
    <w:p w:rsidR="00585A0E" w:rsidRDefault="00EB600B" w:rsidP="00E0181C">
      <w:pPr>
        <w:tabs>
          <w:tab w:val="left" w:pos="1440"/>
          <w:tab w:val="left" w:pos="2880"/>
          <w:tab w:val="left" w:pos="4320"/>
          <w:tab w:val="left" w:pos="5760"/>
          <w:tab w:val="left" w:pos="7200"/>
          <w:tab w:val="left" w:pos="8640"/>
        </w:tabs>
        <w:spacing w:line="480" w:lineRule="atLeast"/>
        <w:ind w:firstLine="1440"/>
      </w:pPr>
      <w:r>
        <w:t>Se</w:t>
      </w:r>
      <w:r>
        <w:t>ction 425.16(f)</w:t>
      </w:r>
      <w:r>
        <w:t xml:space="preserve"> states</w:t>
      </w:r>
      <w:r>
        <w:t>, “[t]he special motion may be filed within 60 days of the service of the complaint or, in the court’s discretion, at any later time up</w:t>
      </w:r>
      <w:r>
        <w:t>on terms it deems proper.”  Section 425.16(f) imposes a time limit for bringing an anti</w:t>
      </w:r>
      <w:r>
        <w:noBreakHyphen/>
        <w:t>SLAPP motion; that is, “[a] party may not file an anti</w:t>
      </w:r>
      <w:r>
        <w:noBreakHyphen/>
        <w:t xml:space="preserve">SLAPP motion more than 60 days after the filing of the complaint, unless the trial court affirmatively exercises </w:t>
      </w:r>
      <w:r>
        <w:t>its discretion to allow a late filing.”  (</w:t>
      </w:r>
      <w:r>
        <w:rPr>
          <w:i/>
        </w:rPr>
        <w:t>Platypus Wear, Inc. v. Goldberg</w:t>
      </w:r>
      <w:r>
        <w:t xml:space="preserve"> (2008) 166 Cal.App.4th 772, 775.)</w:t>
      </w:r>
    </w:p>
    <w:p w:rsidR="00585A0E" w:rsidRDefault="00EB600B" w:rsidP="00E0181C">
      <w:pPr>
        <w:tabs>
          <w:tab w:val="left" w:pos="1440"/>
          <w:tab w:val="left" w:pos="2880"/>
          <w:tab w:val="left" w:pos="4320"/>
          <w:tab w:val="left" w:pos="5760"/>
          <w:tab w:val="left" w:pos="7200"/>
          <w:tab w:val="left" w:pos="8640"/>
        </w:tabs>
        <w:spacing w:line="480" w:lineRule="atLeast"/>
        <w:ind w:firstLine="1440"/>
      </w:pPr>
      <w:r>
        <w:t>The term “the complaint” in section 425.16(f) has been interpreted to include amended complaints.  (</w:t>
      </w:r>
      <w:r>
        <w:rPr>
          <w:i/>
        </w:rPr>
        <w:t xml:space="preserve">Lam v. Ngo </w:t>
      </w:r>
      <w:r>
        <w:t>(2001) 91 Cal.App.4th 832, 840</w:t>
      </w:r>
      <w:r>
        <w:t xml:space="preserve">.)  </w:t>
      </w:r>
      <w:r>
        <w:t>Key</w:t>
      </w:r>
      <w:r>
        <w:t xml:space="preserve"> to the decision in </w:t>
      </w:r>
      <w:r>
        <w:rPr>
          <w:i/>
        </w:rPr>
        <w:t xml:space="preserve">Lam </w:t>
      </w:r>
      <w:r>
        <w:t>is the concern a plaintiff could circumvent the anti</w:t>
      </w:r>
      <w:r>
        <w:noBreakHyphen/>
        <w:t xml:space="preserve">SLAPP statute if amended complaints were not subject to </w:t>
      </w:r>
      <w:r>
        <w:t>a</w:t>
      </w:r>
      <w:r>
        <w:t>nti</w:t>
      </w:r>
      <w:r>
        <w:noBreakHyphen/>
        <w:t>SLAPP motion</w:t>
      </w:r>
      <w:r>
        <w:t>s</w:t>
      </w:r>
      <w:r>
        <w:t>:</w:t>
      </w:r>
      <w:r>
        <w:t xml:space="preserve">  “Primarily, the purpose of the anti</w:t>
      </w:r>
      <w:r>
        <w:noBreakHyphen/>
        <w:t>SLAPP suit law would be readily circumventable if a defendant’s on</w:t>
      </w:r>
      <w:r>
        <w:t>ly opportunity to strike meritless SLAPP claims were in an attack on the original complaint.  Causes of action subject to a special motion to strike could be held back from an original complaint</w:t>
      </w:r>
      <w:r>
        <w:t xml:space="preserve"> </w:t>
      </w:r>
      <w:r>
        <w:t>.</w:t>
      </w:r>
      <w:r>
        <w:t> </w:t>
      </w:r>
      <w:r>
        <w:t>.</w:t>
      </w:r>
      <w:r>
        <w:t> </w:t>
      </w:r>
      <w:r>
        <w:t>.</w:t>
      </w:r>
      <w:r>
        <w:t> </w:t>
      </w:r>
      <w:r>
        <w:t>.  [¶]  In context, the ‘special’ anti</w:t>
      </w:r>
      <w:r>
        <w:noBreakHyphen/>
        <w:t>SLAPP suit m</w:t>
      </w:r>
      <w:r>
        <w:t xml:space="preserve">otion is directed at a </w:t>
      </w:r>
      <w:r>
        <w:t>particular</w:t>
      </w:r>
      <w:r>
        <w:t xml:space="preserve"> document, namely ‘the complaint.’  It would make no sense to read ‘complaint’ to refer to an earlier complaint that contained no anti</w:t>
      </w:r>
      <w:r>
        <w:noBreakHyphen/>
        <w:t>free</w:t>
      </w:r>
      <w:r>
        <w:noBreakHyphen/>
        <w:t>speech claims, but not allow such a motion for a later complaint that had been amen</w:t>
      </w:r>
      <w:r>
        <w:t xml:space="preserve">ded to contain some.  After all, the whole purpose of the statute is to provide a mechanism for the </w:t>
      </w:r>
      <w:r>
        <w:rPr>
          <w:i/>
        </w:rPr>
        <w:t xml:space="preserve">early </w:t>
      </w:r>
      <w:r>
        <w:t>termination of claims that are improperly aimed at the exercise of free speech or the right of petition.”  (</w:t>
      </w:r>
      <w:r>
        <w:rPr>
          <w:i/>
        </w:rPr>
        <w:t xml:space="preserve">Id. </w:t>
      </w:r>
      <w:r>
        <w:t>at pp. 840</w:t>
      </w:r>
      <w:r>
        <w:noBreakHyphen/>
        <w:t xml:space="preserve">841.)  </w:t>
      </w:r>
    </w:p>
    <w:p w:rsidR="009910A6" w:rsidRDefault="00EB600B" w:rsidP="00E0181C">
      <w:pPr>
        <w:tabs>
          <w:tab w:val="left" w:pos="1440"/>
          <w:tab w:val="left" w:pos="2880"/>
          <w:tab w:val="left" w:pos="4320"/>
          <w:tab w:val="left" w:pos="5760"/>
          <w:tab w:val="left" w:pos="7200"/>
          <w:tab w:val="left" w:pos="8640"/>
        </w:tabs>
        <w:spacing w:line="480" w:lineRule="atLeast"/>
        <w:ind w:firstLine="1440"/>
      </w:pPr>
      <w:r>
        <w:t>Cerullo and Artz ar</w:t>
      </w:r>
      <w:r>
        <w:t>gue an interpretation of the term “the complaint” to include an amended complaint is absolute and means the filing of any amended complaint automatically reopens the period for bringing an anti</w:t>
      </w:r>
      <w:r>
        <w:noBreakHyphen/>
        <w:t xml:space="preserve">SLAPP motion.  </w:t>
      </w:r>
      <w:r>
        <w:t xml:space="preserve">We </w:t>
      </w:r>
      <w:r>
        <w:t xml:space="preserve">disagree and </w:t>
      </w:r>
      <w:r>
        <w:t xml:space="preserve">follow the </w:t>
      </w:r>
      <w:r>
        <w:t>rule</w:t>
      </w:r>
      <w:r>
        <w:t xml:space="preserve">, </w:t>
      </w:r>
      <w:r>
        <w:t>expressed by t</w:t>
      </w:r>
      <w:r>
        <w:t xml:space="preserve">he Court of Appeal in </w:t>
      </w:r>
      <w:r>
        <w:rPr>
          <w:i/>
        </w:rPr>
        <w:t>Hewlett</w:t>
      </w:r>
      <w:r>
        <w:rPr>
          <w:i/>
        </w:rPr>
        <w:noBreakHyphen/>
        <w:t xml:space="preserve">Packard Co. v. Oracle Corp. </w:t>
      </w:r>
      <w:r>
        <w:t xml:space="preserve">(2015) 239 Cal.App.4th 1174, </w:t>
      </w:r>
      <w:r>
        <w:t>which</w:t>
      </w:r>
      <w:r>
        <w:t xml:space="preserve"> </w:t>
      </w:r>
      <w:r>
        <w:t>recognizes</w:t>
      </w:r>
      <w:r>
        <w:t xml:space="preserve"> the</w:t>
      </w:r>
      <w:r w:rsidRPr="00A164C6">
        <w:t xml:space="preserve"> </w:t>
      </w:r>
      <w:r>
        <w:t>anti</w:t>
      </w:r>
      <w:r>
        <w:noBreakHyphen/>
        <w:t>SLAPP statute’s</w:t>
      </w:r>
      <w:r>
        <w:t xml:space="preserve"> purpose and the need to prevent gamesmanship by both the plaintiff and the defendant</w:t>
      </w:r>
      <w:r>
        <w:t>.  In</w:t>
      </w:r>
      <w:r>
        <w:t xml:space="preserve"> </w:t>
      </w:r>
      <w:r>
        <w:rPr>
          <w:i/>
        </w:rPr>
        <w:t>Hewlett</w:t>
      </w:r>
      <w:r>
        <w:rPr>
          <w:i/>
        </w:rPr>
        <w:noBreakHyphen/>
        <w:t>Packard Co. v. Oracle Corp.</w:t>
      </w:r>
      <w:r w:rsidRPr="00B847C8">
        <w:t>,</w:t>
      </w:r>
      <w:r w:rsidRPr="00B847C8">
        <w:t xml:space="preserve"> </w:t>
      </w:r>
      <w:r>
        <w:t>the Court of Appeal stated:</w:t>
      </w:r>
      <w:r>
        <w:t xml:space="preserve">  </w:t>
      </w:r>
      <w:r>
        <w:t>“</w:t>
      </w:r>
      <w:r w:rsidRPr="000E3FEB">
        <w:t>The rule that an amended complaint reopens the time to file an anti</w:t>
      </w:r>
      <w:r>
        <w:noBreakHyphen/>
      </w:r>
      <w:r w:rsidRPr="000E3FEB">
        <w:t>SLAPP motion is intended to prevent sharp practice by plaintiffs who might otherwise circumvent the statute by filing an initial complaint devoid of qualifyin</w:t>
      </w:r>
      <w:r w:rsidRPr="000E3FEB">
        <w:t xml:space="preserve">g causes of action and then amend to add such claims after 60 days have passed. </w:t>
      </w:r>
      <w:r>
        <w:t xml:space="preserve"> [Citation.] </w:t>
      </w:r>
      <w:r w:rsidRPr="000E3FEB">
        <w:t xml:space="preserve"> But a rule properly tailored to that objective would permit an amended pleading to extend or reopen the time limit only as to </w:t>
      </w:r>
      <w:r w:rsidRPr="00AC4470">
        <w:rPr>
          <w:i/>
        </w:rPr>
        <w:t>newly pleaded</w:t>
      </w:r>
      <w:r w:rsidRPr="000E3FEB">
        <w:t xml:space="preserve"> causes of action arisi</w:t>
      </w:r>
      <w:r w:rsidRPr="000E3FEB">
        <w:t xml:space="preserve">ng from protected conduct. </w:t>
      </w:r>
      <w:r>
        <w:t xml:space="preserve"> </w:t>
      </w:r>
      <w:r w:rsidRPr="000E3FEB">
        <w:t>A rule automatically reopening a case to anti</w:t>
      </w:r>
      <w:r>
        <w:noBreakHyphen/>
      </w:r>
      <w:r w:rsidRPr="000E3FEB">
        <w:t xml:space="preserve">SLAPP proceedings upon the filing of </w:t>
      </w:r>
      <w:r w:rsidRPr="00AC4470">
        <w:rPr>
          <w:i/>
        </w:rPr>
        <w:t>any</w:t>
      </w:r>
      <w:r w:rsidRPr="000E3FEB">
        <w:t xml:space="preserve"> amendment permits defendants to forgo an early motion, perhaps in recognition of its likely failure, and yet seize upon an amended pleading t</w:t>
      </w:r>
      <w:r w:rsidRPr="000E3FEB">
        <w:t xml:space="preserve">o file the same meritless motion later in the action, thereby securing the </w:t>
      </w:r>
      <w:r>
        <w:t>‘</w:t>
      </w:r>
      <w:r w:rsidRPr="000E3FEB">
        <w:t>free time-out</w:t>
      </w:r>
      <w:r>
        <w:t>’</w:t>
      </w:r>
      <w:r w:rsidRPr="000E3FEB">
        <w:t xml:space="preserve"> condemned in </w:t>
      </w:r>
      <w:r>
        <w:t>[</w:t>
      </w:r>
      <w:r>
        <w:rPr>
          <w:i/>
        </w:rPr>
        <w:t>People ex rel. Lockyer v.</w:t>
      </w:r>
      <w:r>
        <w:t xml:space="preserve">] </w:t>
      </w:r>
      <w:r w:rsidRPr="00386ED1">
        <w:rPr>
          <w:i/>
        </w:rPr>
        <w:t>Brar</w:t>
      </w:r>
      <w:r>
        <w:t xml:space="preserve"> [(2004)]</w:t>
      </w:r>
      <w:r w:rsidRPr="000E3FEB">
        <w:t xml:space="preserve"> 115 Cal.App.4th 1315, 1318.</w:t>
      </w:r>
      <w:r>
        <w:t>”</w:t>
      </w:r>
      <w:r>
        <w:t xml:space="preserve">  (</w:t>
      </w:r>
      <w:r>
        <w:rPr>
          <w:i/>
        </w:rPr>
        <w:t>Id.</w:t>
      </w:r>
      <w:r>
        <w:t xml:space="preserve"> at p. 1192, fn. 11.)</w:t>
      </w:r>
    </w:p>
    <w:p w:rsidR="00A63C3C" w:rsidRDefault="00EB600B" w:rsidP="00A63C3C">
      <w:pPr>
        <w:tabs>
          <w:tab w:val="left" w:pos="1440"/>
          <w:tab w:val="left" w:pos="2880"/>
          <w:tab w:val="left" w:pos="4320"/>
          <w:tab w:val="left" w:pos="5760"/>
          <w:tab w:val="left" w:pos="7200"/>
          <w:tab w:val="left" w:pos="8640"/>
        </w:tabs>
        <w:spacing w:line="480" w:lineRule="atLeast"/>
        <w:ind w:firstLine="1440"/>
      </w:pPr>
      <w:r>
        <w:t xml:space="preserve">Cerullo and Artz rely on </w:t>
      </w:r>
      <w:r>
        <w:rPr>
          <w:i/>
        </w:rPr>
        <w:t xml:space="preserve">Yu v. Signet Bank/Virginia </w:t>
      </w:r>
      <w:r>
        <w:t>(2002) 103 Cal.App.4th 298, 313, 315 (</w:t>
      </w:r>
      <w:r>
        <w:rPr>
          <w:i/>
        </w:rPr>
        <w:t>Yu</w:t>
      </w:r>
      <w:r>
        <w:t>), in which</w:t>
      </w:r>
      <w:r>
        <w:rPr>
          <w:i/>
        </w:rPr>
        <w:t xml:space="preserve"> </w:t>
      </w:r>
      <w:r>
        <w:t>the Court of Appeal concluded an anti</w:t>
      </w:r>
      <w:r>
        <w:noBreakHyphen/>
        <w:t>SLAPP motion filed within 60 days of service of a third amended complaint was timely, even though the motion could have been filed at the outset of the case.  “Admitt</w:t>
      </w:r>
      <w:r>
        <w:t xml:space="preserve">edly,” the </w:t>
      </w:r>
      <w:r>
        <w:rPr>
          <w:i/>
        </w:rPr>
        <w:t>Yu</w:t>
      </w:r>
      <w:r w:rsidRPr="00B847C8">
        <w:t xml:space="preserve"> </w:t>
      </w:r>
      <w:r>
        <w:t>court stated, “this is not a case where an anti</w:t>
      </w:r>
      <w:r>
        <w:noBreakHyphen/>
        <w:t>SLAPP motion was promptly made to counter SLAPP allegations first added to an amended pleading” and the defendants’ anti</w:t>
      </w:r>
      <w:r>
        <w:noBreakHyphen/>
        <w:t>SLAPP theory appeared to have been “an afterthought.”  (</w:t>
      </w:r>
      <w:r>
        <w:rPr>
          <w:i/>
        </w:rPr>
        <w:t>Id.</w:t>
      </w:r>
      <w:r w:rsidRPr="00B847C8">
        <w:t xml:space="preserve"> </w:t>
      </w:r>
      <w:r>
        <w:t xml:space="preserve">at p. 315.)  </w:t>
      </w:r>
    </w:p>
    <w:p w:rsidR="00A63C3C" w:rsidRDefault="00EB600B" w:rsidP="00A63C3C">
      <w:pPr>
        <w:tabs>
          <w:tab w:val="left" w:pos="1440"/>
          <w:tab w:val="left" w:pos="2880"/>
          <w:tab w:val="left" w:pos="4320"/>
          <w:tab w:val="left" w:pos="5760"/>
          <w:tab w:val="left" w:pos="7200"/>
          <w:tab w:val="left" w:pos="8640"/>
        </w:tabs>
        <w:spacing w:line="480" w:lineRule="atLeast"/>
        <w:ind w:firstLine="1440"/>
      </w:pPr>
      <w:r>
        <w:t xml:space="preserve">But the holding in </w:t>
      </w:r>
      <w:r>
        <w:rPr>
          <w:i/>
        </w:rPr>
        <w:t>Yu</w:t>
      </w:r>
      <w:r w:rsidRPr="00B847C8">
        <w:t xml:space="preserve"> </w:t>
      </w:r>
      <w:r>
        <w:t>is not as clear</w:t>
      </w:r>
      <w:r>
        <w:noBreakHyphen/>
        <w:t xml:space="preserve">cut as Cerullo and Artz portray it to be.  The plaintiffs in </w:t>
      </w:r>
      <w:r>
        <w:rPr>
          <w:i/>
        </w:rPr>
        <w:t>Yu</w:t>
      </w:r>
      <w:r w:rsidRPr="00B847C8">
        <w:t xml:space="preserve"> </w:t>
      </w:r>
      <w:r>
        <w:t>had argued the anti</w:t>
      </w:r>
      <w:r>
        <w:noBreakHyphen/>
        <w:t>SLAPP statute did not permit an anti</w:t>
      </w:r>
      <w:r>
        <w:noBreakHyphen/>
        <w:t>SLAPP motion to be filed, without leave of the court, more than 60 days after service of the ori</w:t>
      </w:r>
      <w:r>
        <w:t>ginal complaint.  (</w:t>
      </w:r>
      <w:r>
        <w:rPr>
          <w:i/>
        </w:rPr>
        <w:t>Yu</w:t>
      </w:r>
      <w:r w:rsidRPr="00B847C8">
        <w:t xml:space="preserve">, </w:t>
      </w:r>
      <w:r>
        <w:rPr>
          <w:i/>
        </w:rPr>
        <w:t>supra</w:t>
      </w:r>
      <w:r w:rsidRPr="00B847C8">
        <w:t xml:space="preserve">, </w:t>
      </w:r>
      <w:r>
        <w:t xml:space="preserve">103 Cal.App.4th at p. 313.)  The </w:t>
      </w:r>
      <w:r>
        <w:rPr>
          <w:i/>
        </w:rPr>
        <w:t xml:space="preserve">Yu </w:t>
      </w:r>
      <w:r>
        <w:t xml:space="preserve">court agreed with </w:t>
      </w:r>
      <w:r>
        <w:rPr>
          <w:i/>
        </w:rPr>
        <w:t>Lam v. Ngo</w:t>
      </w:r>
      <w:r w:rsidRPr="00B847C8">
        <w:t xml:space="preserve"> </w:t>
      </w:r>
      <w:r>
        <w:t>that the word “complaint” in the anti</w:t>
      </w:r>
      <w:r>
        <w:noBreakHyphen/>
        <w:t>SLAPP statute included an amended complaint.  (</w:t>
      </w:r>
      <w:r>
        <w:rPr>
          <w:i/>
        </w:rPr>
        <w:t>Yu</w:t>
      </w:r>
      <w:r w:rsidRPr="00B847C8">
        <w:t xml:space="preserve">, </w:t>
      </w:r>
      <w:r>
        <w:rPr>
          <w:i/>
        </w:rPr>
        <w:t>supra</w:t>
      </w:r>
      <w:r w:rsidRPr="00B847C8">
        <w:t xml:space="preserve">, </w:t>
      </w:r>
      <w:r w:rsidRPr="00AC4470">
        <w:t>at</w:t>
      </w:r>
      <w:r>
        <w:rPr>
          <w:i/>
        </w:rPr>
        <w:t xml:space="preserve"> </w:t>
      </w:r>
      <w:r>
        <w:t xml:space="preserve">p. 314.)  The </w:t>
      </w:r>
      <w:r>
        <w:rPr>
          <w:i/>
        </w:rPr>
        <w:t>Yu</w:t>
      </w:r>
      <w:r w:rsidRPr="00B847C8">
        <w:t xml:space="preserve"> </w:t>
      </w:r>
      <w:r>
        <w:t xml:space="preserve">court noted, however, it was “unclear” under </w:t>
      </w:r>
      <w:r>
        <w:t>the plaintiffs’ construction of the anti</w:t>
      </w:r>
      <w:r>
        <w:noBreakHyphen/>
        <w:t>SLAPP statute when the defendants would have been entitled as a matter of right to file their motion because the original complaint had never been served and an amended complaint, filed shortly after the original on</w:t>
      </w:r>
      <w:r>
        <w:t>e, was the first complaint to be served.  (</w:t>
      </w:r>
      <w:r>
        <w:rPr>
          <w:i/>
        </w:rPr>
        <w:t>Ibid.</w:t>
      </w:r>
      <w:r>
        <w:t xml:space="preserve">) </w:t>
      </w:r>
    </w:p>
    <w:p w:rsidR="00A63C3C" w:rsidRDefault="00EB600B" w:rsidP="00A63C3C">
      <w:pPr>
        <w:tabs>
          <w:tab w:val="left" w:pos="1440"/>
          <w:tab w:val="left" w:pos="2880"/>
          <w:tab w:val="left" w:pos="4320"/>
          <w:tab w:val="left" w:pos="5760"/>
          <w:tab w:val="left" w:pos="7200"/>
          <w:tab w:val="left" w:pos="8640"/>
        </w:tabs>
        <w:spacing w:line="480" w:lineRule="atLeast"/>
        <w:ind w:firstLine="1440"/>
      </w:pPr>
      <w:r>
        <w:t xml:space="preserve">We disagree with </w:t>
      </w:r>
      <w:r>
        <w:rPr>
          <w:i/>
        </w:rPr>
        <w:t>Yu</w:t>
      </w:r>
      <w:r w:rsidRPr="00B847C8">
        <w:t xml:space="preserve"> </w:t>
      </w:r>
      <w:r>
        <w:t>to the extent it</w:t>
      </w:r>
      <w:r>
        <w:rPr>
          <w:i/>
        </w:rPr>
        <w:t xml:space="preserve"> </w:t>
      </w:r>
      <w:r>
        <w:t>holds that a defendant has an absolute right to file an anti</w:t>
      </w:r>
      <w:r>
        <w:noBreakHyphen/>
        <w:t>SLAPP motion to an amended complaint, even when the motion could have been brought against an earlier compl</w:t>
      </w:r>
      <w:r>
        <w:t>aint.  “</w:t>
      </w:r>
      <w:r w:rsidRPr="009910A6">
        <w:t xml:space="preserve">The Legislature enacted </w:t>
      </w:r>
      <w:r>
        <w:t xml:space="preserve">[Code of Civil Procedure] </w:t>
      </w:r>
      <w:r w:rsidRPr="009910A6">
        <w:t xml:space="preserve">section 425.16 to prevent and deter </w:t>
      </w:r>
      <w:r>
        <w:t>‘</w:t>
      </w:r>
      <w:r w:rsidRPr="009910A6">
        <w:t>lawsuits [referred to as SLAPP</w:t>
      </w:r>
      <w:r>
        <w:t>’</w:t>
      </w:r>
      <w:r w:rsidRPr="009910A6">
        <w:t>s] brought primarily to chill the valid exercise of the constitutional rights of freedom of speech and petition for the redress of</w:t>
      </w:r>
      <w:r w:rsidRPr="009910A6">
        <w:t xml:space="preserve"> grievances.</w:t>
      </w:r>
      <w:r>
        <w:t>’</w:t>
      </w:r>
      <w:r w:rsidRPr="009910A6">
        <w:t xml:space="preserve"> </w:t>
      </w:r>
      <w:r>
        <w:t xml:space="preserve"> [Citation.] </w:t>
      </w:r>
      <w:r w:rsidRPr="009910A6">
        <w:t xml:space="preserve"> Because these meritless lawsuits seek to deplete </w:t>
      </w:r>
      <w:r>
        <w:t>‘</w:t>
      </w:r>
      <w:r w:rsidRPr="009910A6">
        <w:t>the defendant</w:t>
      </w:r>
      <w:r>
        <w:t>’</w:t>
      </w:r>
      <w:r w:rsidRPr="009910A6">
        <w:t>s energy</w:t>
      </w:r>
      <w:r>
        <w:t>’</w:t>
      </w:r>
      <w:r w:rsidRPr="009910A6">
        <w:t xml:space="preserve"> and drain </w:t>
      </w:r>
      <w:r>
        <w:t>‘</w:t>
      </w:r>
      <w:r w:rsidRPr="009910A6">
        <w:t>his or her resources</w:t>
      </w:r>
      <w:r>
        <w:t>’</w:t>
      </w:r>
      <w:r w:rsidRPr="009910A6">
        <w:t xml:space="preserve"> </w:t>
      </w:r>
      <w:r>
        <w:t>[citation],</w:t>
      </w:r>
      <w:r w:rsidRPr="009910A6">
        <w:t xml:space="preserve"> the Legislature sought </w:t>
      </w:r>
      <w:r>
        <w:t>‘“</w:t>
      </w:r>
      <w:r w:rsidRPr="009910A6">
        <w:t>to prevent SLAPPs by ending them early and without great cost to the SLAPP target</w:t>
      </w:r>
      <w:r>
        <w:t>”</w:t>
      </w:r>
      <w:r w:rsidRPr="009910A6">
        <w:t>’</w:t>
      </w:r>
      <w:r>
        <w:t xml:space="preserve"> [citation].”  (</w:t>
      </w:r>
      <w:r>
        <w:rPr>
          <w:i/>
        </w:rPr>
        <w:t xml:space="preserve">Varian Medical Systems, Inc. v. Delfino </w:t>
      </w:r>
      <w:r>
        <w:t>(2005) 35 Cal.4th 180, 192.)</w:t>
      </w:r>
      <w:r w:rsidRPr="009910A6">
        <w:rPr>
          <w:b/>
        </w:rPr>
        <w:t xml:space="preserve"> </w:t>
      </w:r>
      <w:r>
        <w:rPr>
          <w:b/>
        </w:rPr>
        <w:t xml:space="preserve"> </w:t>
      </w:r>
      <w:r>
        <w:t>The argument advanced by Cerullo and Artz would encourage gamesmanship that could defeat rather than advance that purpose.</w:t>
      </w:r>
    </w:p>
    <w:p w:rsidR="00585A0E" w:rsidRDefault="00EB600B" w:rsidP="00E0181C">
      <w:pPr>
        <w:tabs>
          <w:tab w:val="left" w:pos="1440"/>
          <w:tab w:val="left" w:pos="2880"/>
          <w:tab w:val="left" w:pos="4320"/>
          <w:tab w:val="left" w:pos="5760"/>
          <w:tab w:val="left" w:pos="7200"/>
          <w:tab w:val="left" w:pos="8640"/>
        </w:tabs>
        <w:spacing w:line="480" w:lineRule="atLeast"/>
        <w:ind w:firstLine="1440"/>
      </w:pPr>
      <w:r>
        <w:t xml:space="preserve">We </w:t>
      </w:r>
      <w:r>
        <w:t xml:space="preserve">therefore </w:t>
      </w:r>
      <w:r>
        <w:t xml:space="preserve">conclude a defendant must file an </w:t>
      </w:r>
      <w:r>
        <w:t>anti</w:t>
      </w:r>
      <w:r>
        <w:noBreakHyphen/>
        <w:t>SLAPP motion within 60 days of service of the first complaint (or cross</w:t>
      </w:r>
      <w:r>
        <w:noBreakHyphen/>
        <w:t>complaint, as the case may be) that pleads a cause of action coming within section 425.16(</w:t>
      </w:r>
      <w:r>
        <w:t>b)(1)</w:t>
      </w:r>
      <w:r>
        <w:t xml:space="preserve"> unless the trial court, in its discretion and upon terms it deems proper, permits t</w:t>
      </w:r>
      <w:r>
        <w:t>he motion to be filed at a later time (§ 425.16(f)).  An amended complaint reopens the time to file an anti</w:t>
      </w:r>
      <w:r>
        <w:noBreakHyphen/>
        <w:t>SLAPP motion without court permission only if the amended complaint pleads new causes of action</w:t>
      </w:r>
      <w:r>
        <w:t xml:space="preserve"> that </w:t>
      </w:r>
      <w:r>
        <w:t>could not have been the target of a prior anti</w:t>
      </w:r>
      <w:r>
        <w:noBreakHyphen/>
      </w:r>
      <w:r>
        <w:t>SLAPP motion</w:t>
      </w:r>
      <w:r>
        <w:t>, or adds new allegations that make previously</w:t>
      </w:r>
      <w:r>
        <w:t xml:space="preserve"> </w:t>
      </w:r>
      <w:r>
        <w:t>pleaded causes of action subject to an anti</w:t>
      </w:r>
      <w:r>
        <w:noBreakHyphen/>
        <w:t>SLAPP motion</w:t>
      </w:r>
      <w:r>
        <w:t>.</w:t>
      </w:r>
    </w:p>
    <w:p w:rsidR="00DE5482" w:rsidRPr="00A63C3C" w:rsidRDefault="00EB600B" w:rsidP="00DE5482">
      <w:pPr>
        <w:tabs>
          <w:tab w:val="left" w:pos="1440"/>
          <w:tab w:val="left" w:pos="2880"/>
          <w:tab w:val="left" w:pos="4320"/>
          <w:tab w:val="left" w:pos="5760"/>
          <w:tab w:val="left" w:pos="7200"/>
          <w:tab w:val="left" w:pos="8640"/>
        </w:tabs>
        <w:spacing w:line="480" w:lineRule="atLeast"/>
        <w:rPr>
          <w:i/>
        </w:rPr>
      </w:pPr>
      <w:r>
        <w:t xml:space="preserve">B.  </w:t>
      </w:r>
      <w:r>
        <w:rPr>
          <w:i/>
        </w:rPr>
        <w:t>Application of Timing Rule to This Case</w:t>
      </w:r>
    </w:p>
    <w:p w:rsidR="00585A0E" w:rsidRDefault="00EB600B" w:rsidP="00E0181C">
      <w:pPr>
        <w:tabs>
          <w:tab w:val="left" w:pos="1440"/>
          <w:tab w:val="left" w:pos="2880"/>
          <w:tab w:val="left" w:pos="4320"/>
          <w:tab w:val="left" w:pos="5760"/>
          <w:tab w:val="left" w:pos="7200"/>
          <w:tab w:val="left" w:pos="8640"/>
        </w:tabs>
        <w:spacing w:line="480" w:lineRule="atLeast"/>
        <w:ind w:firstLine="1440"/>
      </w:pPr>
      <w:r>
        <w:t xml:space="preserve">In this case, </w:t>
      </w:r>
      <w:r>
        <w:t xml:space="preserve">the </w:t>
      </w:r>
      <w:r>
        <w:t>anti</w:t>
      </w:r>
      <w:r>
        <w:noBreakHyphen/>
        <w:t xml:space="preserve">SLAPP motion challenged the </w:t>
      </w:r>
      <w:r>
        <w:t>t</w:t>
      </w:r>
      <w:r>
        <w:t xml:space="preserve">hird </w:t>
      </w:r>
      <w:r>
        <w:t>a</w:t>
      </w:r>
      <w:r>
        <w:t xml:space="preserve">mended </w:t>
      </w:r>
      <w:r>
        <w:t>c</w:t>
      </w:r>
      <w:r>
        <w:t>omplaint on the ground that s</w:t>
      </w:r>
      <w:r>
        <w:t xml:space="preserve">ettlement of the Unlawful Detainer Action was an act arising from the right to petition and </w:t>
      </w:r>
      <w:r>
        <w:t xml:space="preserve">that </w:t>
      </w:r>
      <w:r>
        <w:t>“each of the four causes of action arises from [Cerullo</w:t>
      </w:r>
      <w:r>
        <w:t xml:space="preserve"> and Artz</w:t>
      </w:r>
      <w:r>
        <w:t xml:space="preserve">] signing the Purported Settlement in the [Unlawful Detainer] Action.”  </w:t>
      </w:r>
      <w:r>
        <w:t xml:space="preserve">On appeal, Cerullo and </w:t>
      </w:r>
      <w:r>
        <w:t xml:space="preserve">Artz argue that each cause of action in the </w:t>
      </w:r>
      <w:r>
        <w:t>t</w:t>
      </w:r>
      <w:r>
        <w:t xml:space="preserve">hird </w:t>
      </w:r>
      <w:r>
        <w:t>a</w:t>
      </w:r>
      <w:r>
        <w:t xml:space="preserve">mended </w:t>
      </w:r>
      <w:r>
        <w:t>c</w:t>
      </w:r>
      <w:r>
        <w:t xml:space="preserve">omplaint arose out of the protected activity of signing the settlement of the Unlawful Detainer Action. </w:t>
      </w:r>
    </w:p>
    <w:p w:rsidR="00585A0E" w:rsidRDefault="00EB600B" w:rsidP="00E0181C">
      <w:pPr>
        <w:tabs>
          <w:tab w:val="left" w:pos="1440"/>
          <w:tab w:val="left" w:pos="2880"/>
          <w:tab w:val="left" w:pos="4320"/>
          <w:tab w:val="left" w:pos="5760"/>
          <w:tab w:val="left" w:pos="7200"/>
          <w:tab w:val="left" w:pos="8640"/>
        </w:tabs>
        <w:spacing w:line="480" w:lineRule="atLeast"/>
        <w:ind w:firstLine="1440"/>
      </w:pPr>
      <w:r>
        <w:t>Settlement of the Unlawful Detainer Action was first alleged in the initial complaint, which</w:t>
      </w:r>
      <w:r>
        <w:t xml:space="preserve"> asserted causes of action for breach of contract and intentional tort.  Settlement </w:t>
      </w:r>
      <w:r>
        <w:t xml:space="preserve">of the </w:t>
      </w:r>
      <w:r>
        <w:t xml:space="preserve">Unlawful Detainer Action was pleaded again in the </w:t>
      </w:r>
      <w:r>
        <w:t>f</w:t>
      </w:r>
      <w:r>
        <w:t xml:space="preserve">irst </w:t>
      </w:r>
      <w:r>
        <w:t>a</w:t>
      </w:r>
      <w:r>
        <w:t xml:space="preserve">mended </w:t>
      </w:r>
      <w:r>
        <w:t>complaint</w:t>
      </w:r>
      <w:r>
        <w:t xml:space="preserve"> and again in the </w:t>
      </w:r>
      <w:r>
        <w:t>s</w:t>
      </w:r>
      <w:r>
        <w:t xml:space="preserve">econd </w:t>
      </w:r>
      <w:r>
        <w:t>a</w:t>
      </w:r>
      <w:r>
        <w:t xml:space="preserve">mended </w:t>
      </w:r>
      <w:r>
        <w:t>c</w:t>
      </w:r>
      <w:r>
        <w:t xml:space="preserve">omplaint.  </w:t>
      </w:r>
      <w:r>
        <w:t xml:space="preserve">The </w:t>
      </w:r>
      <w:r>
        <w:t>f</w:t>
      </w:r>
      <w:r>
        <w:t xml:space="preserve">irst </w:t>
      </w:r>
      <w:r>
        <w:t>a</w:t>
      </w:r>
      <w:r>
        <w:t xml:space="preserve">mended </w:t>
      </w:r>
      <w:r>
        <w:t>c</w:t>
      </w:r>
      <w:r>
        <w:t xml:space="preserve">omplaint and the </w:t>
      </w:r>
      <w:r>
        <w:t>s</w:t>
      </w:r>
      <w:r>
        <w:t xml:space="preserve">econd </w:t>
      </w:r>
      <w:r>
        <w:t>a</w:t>
      </w:r>
      <w:r>
        <w:t>men</w:t>
      </w:r>
      <w:r>
        <w:t xml:space="preserve">ded </w:t>
      </w:r>
      <w:r>
        <w:t>c</w:t>
      </w:r>
      <w:r>
        <w:t>omplaint included causes of action for breach of contract and breach of the implied covenant</w:t>
      </w:r>
      <w:r>
        <w:t xml:space="preserve"> of good faith</w:t>
      </w:r>
      <w:r>
        <w:t xml:space="preserve">. </w:t>
      </w:r>
    </w:p>
    <w:p w:rsidR="00585A0E" w:rsidRDefault="00EB600B" w:rsidP="00E0181C">
      <w:pPr>
        <w:tabs>
          <w:tab w:val="left" w:pos="1440"/>
          <w:tab w:val="left" w:pos="2880"/>
          <w:tab w:val="left" w:pos="4320"/>
          <w:tab w:val="left" w:pos="5760"/>
          <w:tab w:val="left" w:pos="7200"/>
          <w:tab w:val="left" w:pos="8640"/>
        </w:tabs>
        <w:spacing w:line="480" w:lineRule="atLeast"/>
        <w:ind w:firstLine="1440"/>
      </w:pPr>
      <w:r>
        <w:t>Cerullo and Artz could have file</w:t>
      </w:r>
      <w:r>
        <w:t>d</w:t>
      </w:r>
      <w:r>
        <w:t xml:space="preserve"> anti</w:t>
      </w:r>
      <w:r>
        <w:noBreakHyphen/>
        <w:t>SLAPP motions against any of those complaints</w:t>
      </w:r>
      <w:r>
        <w:t xml:space="preserve"> on the ground that settling the Unlawful Detainer Action constituted protected activity under section 425.16(</w:t>
      </w:r>
      <w:r>
        <w:t>e</w:t>
      </w:r>
      <w:r>
        <w:t>).</w:t>
      </w:r>
      <w:r>
        <w:t xml:space="preserve">  They did not do so</w:t>
      </w:r>
      <w:r>
        <w:t>.  Instead, they</w:t>
      </w:r>
      <w:r>
        <w:t xml:space="preserve"> waited until the </w:t>
      </w:r>
      <w:r>
        <w:t>t</w:t>
      </w:r>
      <w:r>
        <w:t xml:space="preserve">hird </w:t>
      </w:r>
      <w:r>
        <w:t>a</w:t>
      </w:r>
      <w:r>
        <w:t xml:space="preserve">mended </w:t>
      </w:r>
      <w:r>
        <w:t>c</w:t>
      </w:r>
      <w:r>
        <w:t xml:space="preserve">omplaint, by which time they had brought (1) a demurrer </w:t>
      </w:r>
      <w:r>
        <w:t xml:space="preserve">to </w:t>
      </w:r>
      <w:r>
        <w:t>and motion to s</w:t>
      </w:r>
      <w:r>
        <w:t xml:space="preserve">trike the initial complaint, (2) a demurrer to the </w:t>
      </w:r>
      <w:r>
        <w:t>f</w:t>
      </w:r>
      <w:r>
        <w:t xml:space="preserve">irst </w:t>
      </w:r>
      <w:r>
        <w:t>a</w:t>
      </w:r>
      <w:r>
        <w:t xml:space="preserve">mended </w:t>
      </w:r>
      <w:r>
        <w:t>c</w:t>
      </w:r>
      <w:r>
        <w:t>omplaint, (3) a demurrer</w:t>
      </w:r>
      <w:r>
        <w:t xml:space="preserve"> to</w:t>
      </w:r>
      <w:r>
        <w:t>, motion to strike, motion for judgment on the pleadings, and motion for summary judgment on</w:t>
      </w:r>
      <w:r>
        <w:t>,</w:t>
      </w:r>
      <w:r>
        <w:t xml:space="preserve"> the </w:t>
      </w:r>
      <w:r>
        <w:t>s</w:t>
      </w:r>
      <w:r>
        <w:t xml:space="preserve">econd </w:t>
      </w:r>
      <w:r>
        <w:t>a</w:t>
      </w:r>
      <w:r>
        <w:t xml:space="preserve">mended </w:t>
      </w:r>
      <w:r>
        <w:t>c</w:t>
      </w:r>
      <w:r>
        <w:t xml:space="preserve">omplaint, and (4) a demurrer to the </w:t>
      </w:r>
      <w:r>
        <w:t>t</w:t>
      </w:r>
      <w:r>
        <w:t xml:space="preserve">hird </w:t>
      </w:r>
      <w:r>
        <w:t>a</w:t>
      </w:r>
      <w:r>
        <w:t>mended</w:t>
      </w:r>
      <w:r>
        <w:t xml:space="preserve"> </w:t>
      </w:r>
      <w:r>
        <w:t>c</w:t>
      </w:r>
      <w:r>
        <w:t xml:space="preserve">omplaint. </w:t>
      </w:r>
      <w:r>
        <w:t xml:space="preserve"> The parties had engaged in extensive</w:t>
      </w:r>
      <w:r>
        <w:t xml:space="preserve"> discovery and the trial court had ruled on </w:t>
      </w:r>
      <w:r>
        <w:t xml:space="preserve">several </w:t>
      </w:r>
      <w:r>
        <w:t>discovery motions.  Entertaining the anti</w:t>
      </w:r>
      <w:r>
        <w:noBreakHyphen/>
        <w:t>SLAPP motion would have defeated rather than advanced the anti</w:t>
      </w:r>
      <w:r>
        <w:noBreakHyphen/>
        <w:t>SLAPP’s statute’s</w:t>
      </w:r>
      <w:r>
        <w:t xml:space="preserve"> “central purpose” </w:t>
      </w:r>
      <w:r>
        <w:t>of “</w:t>
      </w:r>
      <w:r>
        <w:t xml:space="preserve">screening </w:t>
      </w:r>
      <w:r>
        <w:t>out meritless claims that arise from protected activity, before the defendant is required to undergo the expense and intrusion of discovery.”  (</w:t>
      </w:r>
      <w:r>
        <w:rPr>
          <w:i/>
        </w:rPr>
        <w:t>Baral v. Schnitt</w:t>
      </w:r>
      <w:r w:rsidRPr="00501687">
        <w:t xml:space="preserve">, </w:t>
      </w:r>
      <w:r>
        <w:rPr>
          <w:i/>
        </w:rPr>
        <w:t xml:space="preserve">supra, </w:t>
      </w:r>
      <w:r>
        <w:t>1</w:t>
      </w:r>
      <w:r>
        <w:t xml:space="preserve"> Cal.</w:t>
      </w:r>
      <w:r>
        <w:t>5</w:t>
      </w:r>
      <w:r>
        <w:t>th at p.</w:t>
      </w:r>
      <w:r>
        <w:t> </w:t>
      </w:r>
      <w:r>
        <w:t>392;</w:t>
      </w:r>
      <w:r>
        <w:t xml:space="preserve"> see </w:t>
      </w:r>
      <w:r>
        <w:rPr>
          <w:i/>
        </w:rPr>
        <w:t>Platypus</w:t>
      </w:r>
      <w:r>
        <w:rPr>
          <w:i/>
        </w:rPr>
        <w:t xml:space="preserve"> </w:t>
      </w:r>
      <w:r>
        <w:rPr>
          <w:i/>
        </w:rPr>
        <w:t xml:space="preserve">Wear, </w:t>
      </w:r>
      <w:r>
        <w:rPr>
          <w:i/>
        </w:rPr>
        <w:t>Inc. v. Goldberg</w:t>
      </w:r>
      <w:r w:rsidRPr="00501687">
        <w:t xml:space="preserve">, </w:t>
      </w:r>
      <w:r>
        <w:rPr>
          <w:i/>
        </w:rPr>
        <w:t>supra</w:t>
      </w:r>
      <w:r w:rsidRPr="00501687">
        <w:t xml:space="preserve">, </w:t>
      </w:r>
      <w:r>
        <w:t xml:space="preserve">166 Cal.App.4th at p. </w:t>
      </w:r>
      <w:r>
        <w:t>776</w:t>
      </w:r>
      <w:r w:rsidRPr="00B23A1C">
        <w:t xml:space="preserve"> </w:t>
      </w:r>
      <w:r>
        <w:t>[purpose of anti</w:t>
      </w:r>
      <w:r>
        <w:noBreakHyphen/>
        <w:t xml:space="preserve">SLAPP statute </w:t>
      </w:r>
      <w:r>
        <w:t>is</w:t>
      </w:r>
      <w:r>
        <w:t xml:space="preserve"> “ensuring the </w:t>
      </w:r>
      <w:r>
        <w:rPr>
          <w:i/>
        </w:rPr>
        <w:t xml:space="preserve">prompt </w:t>
      </w:r>
      <w:r>
        <w:t>resolution of lawsuits that impinge on a defendant’s free speech rights”]</w:t>
      </w:r>
      <w:r>
        <w:t xml:space="preserve">; </w:t>
      </w:r>
      <w:r>
        <w:rPr>
          <w:i/>
        </w:rPr>
        <w:t>Kunysz v. Sand</w:t>
      </w:r>
      <w:r>
        <w:rPr>
          <w:i/>
        </w:rPr>
        <w:t>l</w:t>
      </w:r>
      <w:r>
        <w:rPr>
          <w:i/>
        </w:rPr>
        <w:t xml:space="preserve">er </w:t>
      </w:r>
      <w:r>
        <w:t>(2007) 146 Cal.App.4th 1540, 1543 [“the purpose of the anti</w:t>
      </w:r>
      <w:r>
        <w:noBreakHyphen/>
        <w:t xml:space="preserve">SLAPP statute is to dismiss meritless </w:t>
      </w:r>
      <w:r>
        <w:t>lawsuits designed to chill the defendant’s free speech rights at the earliest stage of the case”]</w:t>
      </w:r>
      <w:r>
        <w:t xml:space="preserve">.) </w:t>
      </w:r>
    </w:p>
    <w:p w:rsidR="00E70364" w:rsidRDefault="00EB600B" w:rsidP="00E0181C">
      <w:pPr>
        <w:tabs>
          <w:tab w:val="left" w:pos="1440"/>
          <w:tab w:val="left" w:pos="2880"/>
          <w:tab w:val="left" w:pos="4320"/>
          <w:tab w:val="left" w:pos="5760"/>
          <w:tab w:val="left" w:pos="7200"/>
          <w:tab w:val="left" w:pos="8640"/>
        </w:tabs>
        <w:spacing w:line="480" w:lineRule="atLeast"/>
        <w:ind w:firstLine="1440"/>
      </w:pPr>
      <w:r>
        <w:t>Cerullo and Artz did not file the anti</w:t>
      </w:r>
      <w:r>
        <w:noBreakHyphen/>
        <w:t xml:space="preserve">SLAPP motion within 60 days of service of the initial complaint, the </w:t>
      </w:r>
      <w:r>
        <w:t>f</w:t>
      </w:r>
      <w:r>
        <w:t xml:space="preserve">irst </w:t>
      </w:r>
      <w:r>
        <w:t>a</w:t>
      </w:r>
      <w:r>
        <w:t xml:space="preserve">mended </w:t>
      </w:r>
      <w:r>
        <w:t>c</w:t>
      </w:r>
      <w:r>
        <w:t xml:space="preserve">omplaint, or the </w:t>
      </w:r>
      <w:r>
        <w:t>s</w:t>
      </w:r>
      <w:r>
        <w:t xml:space="preserve">econd </w:t>
      </w:r>
      <w:r>
        <w:t>a</w:t>
      </w:r>
      <w:r>
        <w:t xml:space="preserve">mended </w:t>
      </w:r>
      <w:r>
        <w:t>c</w:t>
      </w:r>
      <w:r>
        <w:t>omplaint.  They did not seek leave of court to file a late anti</w:t>
      </w:r>
      <w:r>
        <w:noBreakHyphen/>
        <w:t>SLAPP motion.  The trial court did not err by denying the anti</w:t>
      </w:r>
      <w:r>
        <w:noBreakHyphen/>
        <w:t xml:space="preserve">SLAPP motion as untimely—at least </w:t>
      </w:r>
      <w:r>
        <w:t>as</w:t>
      </w:r>
      <w:r>
        <w:t xml:space="preserve"> to the causes of action for breach of contract and breach of the implied covenant</w:t>
      </w:r>
      <w:r>
        <w:t xml:space="preserve"> of good f</w:t>
      </w:r>
      <w:r>
        <w:t>aith</w:t>
      </w:r>
      <w:r>
        <w:t xml:space="preserve">, which appeared in earlier complaints. </w:t>
      </w:r>
    </w:p>
    <w:p w:rsidR="00E70364" w:rsidRDefault="00EB600B" w:rsidP="00E0181C">
      <w:pPr>
        <w:tabs>
          <w:tab w:val="left" w:pos="1440"/>
          <w:tab w:val="left" w:pos="2880"/>
          <w:tab w:val="left" w:pos="4320"/>
          <w:tab w:val="left" w:pos="5760"/>
          <w:tab w:val="left" w:pos="7200"/>
          <w:tab w:val="left" w:pos="8640"/>
        </w:tabs>
        <w:spacing w:line="480" w:lineRule="atLeast"/>
        <w:ind w:firstLine="1440"/>
      </w:pPr>
      <w:r>
        <w:t>T</w:t>
      </w:r>
      <w:r>
        <w:t xml:space="preserve">he </w:t>
      </w:r>
      <w:r>
        <w:t>t</w:t>
      </w:r>
      <w:r>
        <w:t xml:space="preserve">hird </w:t>
      </w:r>
      <w:r>
        <w:t>a</w:t>
      </w:r>
      <w:r>
        <w:t xml:space="preserve">mended </w:t>
      </w:r>
      <w:r>
        <w:t>c</w:t>
      </w:r>
      <w:r>
        <w:t xml:space="preserve">omplaint added two causes of action not before pleaded:  </w:t>
      </w:r>
      <w:r>
        <w:t xml:space="preserve">quantum meruit and </w:t>
      </w:r>
      <w:r>
        <w:t>promissory estoppel</w:t>
      </w:r>
      <w:r>
        <w:t>.</w:t>
      </w:r>
      <w:r>
        <w:t xml:space="preserve">  </w:t>
      </w:r>
      <w:r>
        <w:t>The quantum meruit cause of action alleged that NHV and VMG performed services under the Manag</w:t>
      </w:r>
      <w:r>
        <w:t xml:space="preserve">ement Agreement </w:t>
      </w:r>
      <w:r>
        <w:t>which</w:t>
      </w:r>
      <w:r>
        <w:t xml:space="preserve"> resulted in benefit to Cerullo and Artz for which NHV and VMG should be compensated.  </w:t>
      </w:r>
      <w:r>
        <w:t>The promissory estoppel cause of action was premised on alleged oral promise</w:t>
      </w:r>
      <w:r>
        <w:t>s</w:t>
      </w:r>
      <w:r>
        <w:t xml:space="preserve"> made by Artz to D’Alessio that NHV and VMG would become the asset mana</w:t>
      </w:r>
      <w:r>
        <w:t xml:space="preserve">ger for the </w:t>
      </w:r>
      <w:r>
        <w:t>P</w:t>
      </w:r>
      <w:r>
        <w:t xml:space="preserve">roperty and, in exchange for litigating the Unlawful Detainer Action and evicting NHOM, would have an option to acquire the ground lease to the Property and </w:t>
      </w:r>
      <w:r>
        <w:t xml:space="preserve">the </w:t>
      </w:r>
      <w:r>
        <w:t xml:space="preserve">Improvements. </w:t>
      </w:r>
    </w:p>
    <w:p w:rsidR="00973AA7" w:rsidRDefault="00EB600B" w:rsidP="00E0181C">
      <w:pPr>
        <w:tabs>
          <w:tab w:val="left" w:pos="1440"/>
          <w:tab w:val="left" w:pos="2880"/>
          <w:tab w:val="left" w:pos="4320"/>
          <w:tab w:val="left" w:pos="5760"/>
          <w:tab w:val="left" w:pos="7200"/>
          <w:tab w:val="left" w:pos="8640"/>
        </w:tabs>
        <w:spacing w:line="480" w:lineRule="atLeast"/>
        <w:ind w:firstLine="1440"/>
      </w:pPr>
      <w:r>
        <w:t>The anti</w:t>
      </w:r>
      <w:r>
        <w:noBreakHyphen/>
        <w:t>SLAPP motion was timely as to the quantum meruit and promi</w:t>
      </w:r>
      <w:r>
        <w:t xml:space="preserve">ssory estoppel causes of action.  </w:t>
      </w:r>
      <w:r>
        <w:t>To conclude o</w:t>
      </w:r>
      <w:r>
        <w:t>therwise</w:t>
      </w:r>
      <w:r>
        <w:t xml:space="preserve"> would </w:t>
      </w:r>
      <w:r>
        <w:t>allow</w:t>
      </w:r>
      <w:r>
        <w:t xml:space="preserve"> </w:t>
      </w:r>
      <w:r>
        <w:t>NHV and VMG</w:t>
      </w:r>
      <w:r>
        <w:t xml:space="preserve"> </w:t>
      </w:r>
      <w:r>
        <w:t>to</w:t>
      </w:r>
      <w:r>
        <w:t xml:space="preserve"> circumvent the purpose of the anti</w:t>
      </w:r>
      <w:r>
        <w:noBreakHyphen/>
        <w:t xml:space="preserve">SLAPP statute by holding </w:t>
      </w:r>
      <w:r>
        <w:t xml:space="preserve">back </w:t>
      </w:r>
      <w:r>
        <w:t xml:space="preserve">those two causes of action </w:t>
      </w:r>
      <w:r>
        <w:t>from earlier complaints.  (</w:t>
      </w:r>
      <w:r>
        <w:rPr>
          <w:i/>
        </w:rPr>
        <w:t>Lam</w:t>
      </w:r>
      <w:r>
        <w:rPr>
          <w:i/>
        </w:rPr>
        <w:t xml:space="preserve"> v. Ngo</w:t>
      </w:r>
      <w:r w:rsidRPr="00324EA0">
        <w:t xml:space="preserve">, </w:t>
      </w:r>
      <w:r>
        <w:rPr>
          <w:i/>
        </w:rPr>
        <w:t>supra</w:t>
      </w:r>
      <w:r w:rsidRPr="00324EA0">
        <w:t xml:space="preserve">, </w:t>
      </w:r>
      <w:r>
        <w:t>91 Cal.App.4th at pp.</w:t>
      </w:r>
      <w:r>
        <w:t> </w:t>
      </w:r>
      <w:r>
        <w:t>840</w:t>
      </w:r>
      <w:r>
        <w:noBreakHyphen/>
        <w:t xml:space="preserve">841.)  </w:t>
      </w:r>
      <w:r>
        <w:t>A</w:t>
      </w:r>
      <w:r>
        <w:t xml:space="preserve">n </w:t>
      </w:r>
      <w:r>
        <w:t>anti</w:t>
      </w:r>
      <w:r>
        <w:noBreakHyphen/>
        <w:t xml:space="preserve">SLAPP motion to the initial complaint, the </w:t>
      </w:r>
      <w:r>
        <w:t>f</w:t>
      </w:r>
      <w:r>
        <w:t xml:space="preserve">irst </w:t>
      </w:r>
      <w:r>
        <w:t>a</w:t>
      </w:r>
      <w:r>
        <w:t xml:space="preserve">mended </w:t>
      </w:r>
      <w:r>
        <w:t>c</w:t>
      </w:r>
      <w:r>
        <w:t xml:space="preserve">omplaint, or the </w:t>
      </w:r>
      <w:r>
        <w:t>s</w:t>
      </w:r>
      <w:r>
        <w:t xml:space="preserve">econd </w:t>
      </w:r>
      <w:r>
        <w:t>a</w:t>
      </w:r>
      <w:r>
        <w:t xml:space="preserve">mended </w:t>
      </w:r>
      <w:r>
        <w:t>c</w:t>
      </w:r>
      <w:r>
        <w:t>omplaint</w:t>
      </w:r>
      <w:r>
        <w:t>, even if successful,</w:t>
      </w:r>
      <w:r>
        <w:t xml:space="preserve"> would not have prevented NHV and VMG from brin</w:t>
      </w:r>
      <w:r>
        <w:t>g</w:t>
      </w:r>
      <w:r>
        <w:t xml:space="preserve">ing </w:t>
      </w:r>
      <w:r>
        <w:t>a lawsuit for quantum meruit and promissory estoppel.  That is because an ear</w:t>
      </w:r>
      <w:r>
        <w:t>lier anti</w:t>
      </w:r>
      <w:r>
        <w:noBreakHyphen/>
        <w:t xml:space="preserve">SLAPP </w:t>
      </w:r>
      <w:r>
        <w:t xml:space="preserve">motion </w:t>
      </w:r>
      <w:r>
        <w:t>would not necessarily have resolved whether NHV and VMG could demonstrate the probability of prevailing on their claims for quantum meruit and promissory estoppel.</w:t>
      </w:r>
    </w:p>
    <w:p w:rsidR="00381940" w:rsidRPr="008D71C6" w:rsidRDefault="00EB600B" w:rsidP="00297B05">
      <w:pPr>
        <w:keepNext/>
        <w:tabs>
          <w:tab w:val="left" w:pos="1440"/>
          <w:tab w:val="left" w:pos="2880"/>
          <w:tab w:val="left" w:pos="4320"/>
          <w:tab w:val="left" w:pos="5760"/>
          <w:tab w:val="left" w:pos="7200"/>
          <w:tab w:val="left" w:pos="8640"/>
        </w:tabs>
        <w:spacing w:line="480" w:lineRule="atLeast"/>
        <w:jc w:val="center"/>
        <w:rPr>
          <w:b/>
        </w:rPr>
      </w:pPr>
      <w:r w:rsidRPr="008D71C6">
        <w:rPr>
          <w:b/>
        </w:rPr>
        <w:t>III</w:t>
      </w:r>
      <w:r>
        <w:rPr>
          <w:b/>
        </w:rPr>
        <w:t>.</w:t>
      </w:r>
    </w:p>
    <w:p w:rsidR="008D71C6" w:rsidRPr="00297B05" w:rsidRDefault="00EB600B" w:rsidP="00297B05">
      <w:pPr>
        <w:keepNext/>
        <w:tabs>
          <w:tab w:val="left" w:pos="1440"/>
          <w:tab w:val="left" w:pos="2880"/>
          <w:tab w:val="left" w:pos="4320"/>
          <w:tab w:val="left" w:pos="5760"/>
          <w:tab w:val="left" w:pos="7200"/>
          <w:tab w:val="left" w:pos="8640"/>
        </w:tabs>
        <w:spacing w:before="240"/>
        <w:ind w:left="1440" w:right="1440"/>
        <w:jc w:val="center"/>
        <w:rPr>
          <w:b/>
        </w:rPr>
      </w:pPr>
      <w:r w:rsidRPr="00297B05">
        <w:rPr>
          <w:b/>
        </w:rPr>
        <w:t xml:space="preserve">NHV and VMG Made a Prima Facie Showing on the Quantum Meruit </w:t>
      </w:r>
      <w:r>
        <w:rPr>
          <w:b/>
        </w:rPr>
        <w:t xml:space="preserve">and </w:t>
      </w:r>
      <w:r w:rsidRPr="00297B05">
        <w:rPr>
          <w:b/>
        </w:rPr>
        <w:t>the Promissory Estoppel</w:t>
      </w:r>
      <w:r>
        <w:rPr>
          <w:b/>
        </w:rPr>
        <w:br/>
      </w:r>
      <w:r w:rsidRPr="00297B05">
        <w:rPr>
          <w:b/>
        </w:rPr>
        <w:t>Cause</w:t>
      </w:r>
      <w:r>
        <w:rPr>
          <w:b/>
        </w:rPr>
        <w:t>s</w:t>
      </w:r>
      <w:r w:rsidRPr="00297B05">
        <w:rPr>
          <w:b/>
        </w:rPr>
        <w:t xml:space="preserve"> of Action</w:t>
      </w:r>
      <w:r>
        <w:rPr>
          <w:b/>
        </w:rPr>
        <w:t>.</w:t>
      </w:r>
    </w:p>
    <w:p w:rsidR="00E70364" w:rsidRDefault="00EB600B" w:rsidP="00E0181C">
      <w:pPr>
        <w:tabs>
          <w:tab w:val="left" w:pos="1440"/>
          <w:tab w:val="left" w:pos="2880"/>
          <w:tab w:val="left" w:pos="4320"/>
          <w:tab w:val="left" w:pos="5760"/>
          <w:tab w:val="left" w:pos="7200"/>
          <w:tab w:val="left" w:pos="8640"/>
        </w:tabs>
        <w:spacing w:line="480" w:lineRule="atLeast"/>
        <w:ind w:firstLine="1440"/>
      </w:pPr>
      <w:r>
        <w:t>The first prong of the anti</w:t>
      </w:r>
      <w:r>
        <w:noBreakHyphen/>
        <w:t xml:space="preserve">SLAPP </w:t>
      </w:r>
      <w:r>
        <w:t>procedure</w:t>
      </w:r>
      <w:r>
        <w:t xml:space="preserve">—whether </w:t>
      </w:r>
      <w:r w:rsidRPr="00B57C25">
        <w:t>the challenged claim</w:t>
      </w:r>
      <w:r>
        <w:t>s</w:t>
      </w:r>
      <w:r w:rsidRPr="00B57C25">
        <w:t xml:space="preserve"> ar</w:t>
      </w:r>
      <w:r>
        <w:t>os</w:t>
      </w:r>
      <w:r w:rsidRPr="00B57C25">
        <w:t>e from activity protected by section 425.16</w:t>
      </w:r>
      <w:r>
        <w:t>—i</w:t>
      </w:r>
      <w:r>
        <w:t>s</w:t>
      </w:r>
      <w:r>
        <w:t xml:space="preserve"> not in dispute.  Cerullo and Artz argue the causes of action of the </w:t>
      </w:r>
      <w:r>
        <w:t>t</w:t>
      </w:r>
      <w:r>
        <w:t xml:space="preserve">hird </w:t>
      </w:r>
      <w:r>
        <w:t>a</w:t>
      </w:r>
      <w:r>
        <w:t xml:space="preserve">mended </w:t>
      </w:r>
      <w:r>
        <w:t>c</w:t>
      </w:r>
      <w:r>
        <w:t>om</w:t>
      </w:r>
      <w:r>
        <w:t xml:space="preserve">plaint arise out </w:t>
      </w:r>
      <w:r>
        <w:t xml:space="preserve">of </w:t>
      </w:r>
      <w:r>
        <w:t xml:space="preserve">the act of settling the Unlawful Detainer Action, which is an act in furtherance of their right of petition.  (§ 425.16(e).)  NHV and VMG </w:t>
      </w:r>
      <w:r>
        <w:t xml:space="preserve">do not </w:t>
      </w:r>
      <w:r>
        <w:t xml:space="preserve">contend otherwise. </w:t>
      </w:r>
    </w:p>
    <w:p w:rsidR="003428DE" w:rsidRDefault="00EB600B" w:rsidP="00E0181C">
      <w:pPr>
        <w:tabs>
          <w:tab w:val="left" w:pos="1440"/>
          <w:tab w:val="left" w:pos="2880"/>
          <w:tab w:val="left" w:pos="4320"/>
          <w:tab w:val="left" w:pos="5760"/>
          <w:tab w:val="left" w:pos="7200"/>
          <w:tab w:val="left" w:pos="8640"/>
        </w:tabs>
        <w:spacing w:line="480" w:lineRule="atLeast"/>
        <w:ind w:firstLine="1440"/>
      </w:pPr>
      <w:r>
        <w:t>In the second prong of the anti</w:t>
      </w:r>
      <w:r>
        <w:noBreakHyphen/>
        <w:t xml:space="preserve">SLAPP procedure, </w:t>
      </w:r>
      <w:r w:rsidRPr="00B57C25">
        <w:t>the burden shifts to t</w:t>
      </w:r>
      <w:r w:rsidRPr="00B57C25">
        <w:t xml:space="preserve">he plaintiff to demonstrate the merit of the claim by establishing a probability of success. </w:t>
      </w:r>
      <w:r>
        <w:t xml:space="preserve"> (</w:t>
      </w:r>
      <w:r>
        <w:rPr>
          <w:i/>
        </w:rPr>
        <w:t>Baral v. Schnitt</w:t>
      </w:r>
      <w:r w:rsidRPr="00324EA0">
        <w:t xml:space="preserve">, </w:t>
      </w:r>
      <w:r>
        <w:rPr>
          <w:i/>
        </w:rPr>
        <w:t>supra</w:t>
      </w:r>
      <w:r w:rsidRPr="00324EA0">
        <w:t xml:space="preserve">, </w:t>
      </w:r>
      <w:r>
        <w:t>1</w:t>
      </w:r>
      <w:r>
        <w:t xml:space="preserve"> Cal.</w:t>
      </w:r>
      <w:r>
        <w:t>5</w:t>
      </w:r>
      <w:r>
        <w:t>th</w:t>
      </w:r>
      <w:r>
        <w:t xml:space="preserve"> at p. 384.)</w:t>
      </w:r>
      <w:r>
        <w:t xml:space="preserve">  </w:t>
      </w:r>
      <w:r>
        <w:t>Th</w:t>
      </w:r>
      <w:r>
        <w:t>at</w:t>
      </w:r>
      <w:r>
        <w:t xml:space="preserve"> issue was fully briefed before the trial court and on appeal.  In view of its decision on timeliness, however, t</w:t>
      </w:r>
      <w:r>
        <w:t xml:space="preserve">he trial court did not </w:t>
      </w:r>
      <w:r>
        <w:t>reach the question</w:t>
      </w:r>
      <w:r>
        <w:t xml:space="preserve"> “</w:t>
      </w:r>
      <w:r w:rsidRPr="00B57C25">
        <w:t>whether the plaintiff has stated a legally sufficient claim and made a prima facie factual showing s</w:t>
      </w:r>
      <w:r w:rsidRPr="00B57C25">
        <w:t>ufficient to sustain a favorable judgment</w:t>
      </w:r>
      <w:r>
        <w:t>.</w:t>
      </w:r>
      <w:r>
        <w:t xml:space="preserve">” </w:t>
      </w:r>
      <w:r>
        <w:t xml:space="preserve"> </w:t>
      </w:r>
      <w:r>
        <w:t>(</w:t>
      </w:r>
      <w:r>
        <w:rPr>
          <w:i/>
        </w:rPr>
        <w:t>I</w:t>
      </w:r>
      <w:r>
        <w:rPr>
          <w:i/>
        </w:rPr>
        <w:t>d.</w:t>
      </w:r>
      <w:r>
        <w:t> at</w:t>
      </w:r>
      <w:r>
        <w:t xml:space="preserve"> pp. 384</w:t>
      </w:r>
      <w:r>
        <w:noBreakHyphen/>
        <w:t>385.</w:t>
      </w:r>
      <w:r>
        <w:t>)  The standard of review is de novo (</w:t>
      </w:r>
      <w:r>
        <w:rPr>
          <w:i/>
        </w:rPr>
        <w:t>Karnazes v. Ares</w:t>
      </w:r>
      <w:r w:rsidRPr="00324EA0">
        <w:t xml:space="preserve">, </w:t>
      </w:r>
      <w:r>
        <w:rPr>
          <w:i/>
        </w:rPr>
        <w:t>supra</w:t>
      </w:r>
      <w:r w:rsidRPr="00324EA0">
        <w:t xml:space="preserve">, </w:t>
      </w:r>
      <w:r>
        <w:t>244 Cal.App.4th at p. 35</w:t>
      </w:r>
      <w:r>
        <w:t>1</w:t>
      </w:r>
      <w:r>
        <w:t>)</w:t>
      </w:r>
      <w:r>
        <w:t>,</w:t>
      </w:r>
      <w:r>
        <w:t xml:space="preserve"> meaning we are in as good a position as the trial court to make that inquiry.</w:t>
      </w:r>
    </w:p>
    <w:p w:rsidR="000061FE" w:rsidRPr="000061FE" w:rsidRDefault="00EB600B" w:rsidP="00324EA0">
      <w:pPr>
        <w:keepNext/>
        <w:tabs>
          <w:tab w:val="left" w:pos="1440"/>
          <w:tab w:val="left" w:pos="2880"/>
          <w:tab w:val="left" w:pos="4320"/>
          <w:tab w:val="left" w:pos="5760"/>
          <w:tab w:val="left" w:pos="7200"/>
          <w:tab w:val="left" w:pos="8640"/>
        </w:tabs>
        <w:spacing w:line="480" w:lineRule="atLeast"/>
        <w:rPr>
          <w:i/>
        </w:rPr>
      </w:pPr>
      <w:r>
        <w:t xml:space="preserve">A.  </w:t>
      </w:r>
      <w:r>
        <w:rPr>
          <w:i/>
        </w:rPr>
        <w:t>Quantum Meruit</w:t>
      </w:r>
    </w:p>
    <w:p w:rsidR="008F3DAF" w:rsidRDefault="00EB600B" w:rsidP="00E0181C">
      <w:pPr>
        <w:tabs>
          <w:tab w:val="left" w:pos="1440"/>
          <w:tab w:val="left" w:pos="2880"/>
          <w:tab w:val="left" w:pos="4320"/>
          <w:tab w:val="left" w:pos="5760"/>
          <w:tab w:val="left" w:pos="7200"/>
          <w:tab w:val="left" w:pos="8640"/>
        </w:tabs>
        <w:spacing w:line="480" w:lineRule="atLeast"/>
        <w:ind w:firstLine="1440"/>
      </w:pPr>
      <w:r>
        <w:t>Cer</w:t>
      </w:r>
      <w:r>
        <w:t>ullo and Artz contend NHV and VMG did not state a legally sufficient claim for quantum meruit because (1) the quantum meruit cause of action was time</w:t>
      </w:r>
      <w:r>
        <w:noBreakHyphen/>
      </w:r>
      <w:r>
        <w:t>barred and (2) the quantum meruit allegations were inconsistent with the breach of contract allegations.</w:t>
      </w:r>
    </w:p>
    <w:p w:rsidR="008F3DAF" w:rsidRDefault="00EB600B" w:rsidP="00E0181C">
      <w:pPr>
        <w:tabs>
          <w:tab w:val="left" w:pos="1440"/>
          <w:tab w:val="left" w:pos="2880"/>
          <w:tab w:val="left" w:pos="4320"/>
          <w:tab w:val="left" w:pos="5760"/>
          <w:tab w:val="left" w:pos="7200"/>
          <w:tab w:val="left" w:pos="8640"/>
        </w:tabs>
        <w:spacing w:line="480" w:lineRule="atLeast"/>
        <w:ind w:firstLine="1440"/>
      </w:pPr>
      <w:r>
        <w:t>T</w:t>
      </w:r>
      <w:r>
        <w:t>he statute of limitations for quantum meruit claims is two years.  (</w:t>
      </w:r>
      <w:r>
        <w:rPr>
          <w:i/>
        </w:rPr>
        <w:t xml:space="preserve">Maglica v. Maglica </w:t>
      </w:r>
      <w:r>
        <w:t>(1998) 66 Cal.App.4th 442, 452.)  Cerullo and Artz argue, with no disagreement from NHV and VMG, that the quantum meruit cause of action accrued, and the statute of limi</w:t>
      </w:r>
      <w:r>
        <w:t xml:space="preserve">tations began to run, in </w:t>
      </w:r>
      <w:r>
        <w:t xml:space="preserve">August 2012, when the Unlawful Detainer Action was settled.  NHV and VMG filed the </w:t>
      </w:r>
      <w:r>
        <w:t>t</w:t>
      </w:r>
      <w:r>
        <w:t xml:space="preserve">hird </w:t>
      </w:r>
      <w:r>
        <w:t>a</w:t>
      </w:r>
      <w:r>
        <w:t xml:space="preserve">mended </w:t>
      </w:r>
      <w:r>
        <w:t>c</w:t>
      </w:r>
      <w:r>
        <w:t xml:space="preserve">omplaint in June 2015, </w:t>
      </w:r>
      <w:r>
        <w:t>nearly</w:t>
      </w:r>
      <w:r>
        <w:t xml:space="preserve"> three years later.</w:t>
      </w:r>
    </w:p>
    <w:p w:rsidR="00DC4781" w:rsidRDefault="00EB600B" w:rsidP="00E0181C">
      <w:pPr>
        <w:tabs>
          <w:tab w:val="left" w:pos="1440"/>
          <w:tab w:val="left" w:pos="2880"/>
          <w:tab w:val="left" w:pos="4320"/>
          <w:tab w:val="left" w:pos="5760"/>
          <w:tab w:val="left" w:pos="7200"/>
          <w:tab w:val="left" w:pos="8640"/>
        </w:tabs>
        <w:spacing w:line="480" w:lineRule="atLeast"/>
        <w:ind w:firstLine="1440"/>
      </w:pPr>
      <w:r>
        <w:t xml:space="preserve">NHV and VMG contend the </w:t>
      </w:r>
      <w:r>
        <w:t>third amended complaint</w:t>
      </w:r>
      <w:r>
        <w:t xml:space="preserve"> relates back to earlier complaints f</w:t>
      </w:r>
      <w:r>
        <w:t xml:space="preserve">or statute of limitations purposes, making the quantum meruit cause action timely.  </w:t>
      </w:r>
      <w:r w:rsidRPr="003428DE">
        <w:t xml:space="preserve">An amended complaint is considered a new action for purposes of the </w:t>
      </w:r>
      <w:r w:rsidRPr="00DC4781">
        <w:rPr>
          <w:bCs/>
        </w:rPr>
        <w:t>statute</w:t>
      </w:r>
      <w:r w:rsidRPr="00DC4781">
        <w:t xml:space="preserve"> of </w:t>
      </w:r>
      <w:r w:rsidRPr="00DC4781">
        <w:rPr>
          <w:bCs/>
        </w:rPr>
        <w:t>limitations</w:t>
      </w:r>
      <w:r w:rsidRPr="003428DE">
        <w:t xml:space="preserve"> </w:t>
      </w:r>
      <w:r>
        <w:t xml:space="preserve">only </w:t>
      </w:r>
      <w:r w:rsidRPr="003428DE">
        <w:t xml:space="preserve">if the claims do </w:t>
      </w:r>
      <w:r w:rsidRPr="00DC4781">
        <w:t xml:space="preserve">not </w:t>
      </w:r>
      <w:r w:rsidRPr="00DC4781">
        <w:rPr>
          <w:bCs/>
        </w:rPr>
        <w:t>“relate back”</w:t>
      </w:r>
      <w:r w:rsidRPr="003428DE">
        <w:t xml:space="preserve"> to an earlier timely filed complaint. </w:t>
      </w:r>
      <w:r>
        <w:t xml:space="preserve"> </w:t>
      </w:r>
      <w:r>
        <w:t>(</w:t>
      </w:r>
      <w:r w:rsidRPr="006A144B">
        <w:rPr>
          <w:i/>
        </w:rPr>
        <w:t>Pointe San Diego Residential Community, L.P. v. Procopio, Cory, Hargreaves &amp; Savitch, LLP</w:t>
      </w:r>
      <w:r w:rsidRPr="006A144B">
        <w:t xml:space="preserve"> (2011) 195 Cal.App.4th 265, 27</w:t>
      </w:r>
      <w:r>
        <w:t>6</w:t>
      </w:r>
      <w:r w:rsidRPr="006A144B">
        <w:t>.)</w:t>
      </w:r>
      <w:r>
        <w:t xml:space="preserve">  </w:t>
      </w:r>
      <w:r w:rsidRPr="003428DE">
        <w:t>Under the relation</w:t>
      </w:r>
      <w:r>
        <w:noBreakHyphen/>
        <w:t>b</w:t>
      </w:r>
      <w:r w:rsidRPr="003428DE">
        <w:t>ack doctrine, an amendment relates back to the original complaint if the amendment (1) rests on the same genera</w:t>
      </w:r>
      <w:r w:rsidRPr="003428DE">
        <w:t xml:space="preserve">l set of facts; (2) involves the same injury; and (3) refers to the same instrumentality. </w:t>
      </w:r>
      <w:r>
        <w:t xml:space="preserve"> </w:t>
      </w:r>
      <w:r w:rsidRPr="003428DE">
        <w:t>(</w:t>
      </w:r>
      <w:r w:rsidRPr="00DC4781">
        <w:rPr>
          <w:i/>
        </w:rPr>
        <w:t>Norgart v. Upjohn Co</w:t>
      </w:r>
      <w:r w:rsidRPr="003428DE">
        <w:t>. (1999) 21 Cal.4th 383, 408</w:t>
      </w:r>
      <w:r>
        <w:t>-</w:t>
      </w:r>
      <w:r w:rsidRPr="003428DE">
        <w:t>409</w:t>
      </w:r>
      <w:r>
        <w:t xml:space="preserve">.) </w:t>
      </w:r>
      <w:r w:rsidRPr="003428DE">
        <w:t xml:space="preserve"> An amended complaint relates back to an earlier complaint if </w:t>
      </w:r>
      <w:r>
        <w:t>the amended complaint</w:t>
      </w:r>
      <w:r w:rsidRPr="003428DE">
        <w:t xml:space="preserve"> is based on the same gene</w:t>
      </w:r>
      <w:r w:rsidRPr="003428DE">
        <w:t xml:space="preserve">ral set of facts, even if the plaintiff alleges a different legal theory or new cause of action. </w:t>
      </w:r>
      <w:r>
        <w:t xml:space="preserve"> </w:t>
      </w:r>
      <w:r w:rsidRPr="003428DE">
        <w:t>(</w:t>
      </w:r>
      <w:r w:rsidRPr="00DC4781">
        <w:rPr>
          <w:i/>
        </w:rPr>
        <w:t>Smeltzley v. Nicholson Mfg. Co.</w:t>
      </w:r>
      <w:r w:rsidRPr="003428DE">
        <w:t xml:space="preserve"> (1977) 18 Cal.3d 932, 934, 936</w:t>
      </w:r>
      <w:r>
        <w:t>.)</w:t>
      </w:r>
      <w:r>
        <w:t xml:space="preserve"> </w:t>
      </w:r>
    </w:p>
    <w:p w:rsidR="008F3DAF" w:rsidRDefault="00EB600B" w:rsidP="00E0181C">
      <w:pPr>
        <w:tabs>
          <w:tab w:val="left" w:pos="1440"/>
          <w:tab w:val="left" w:pos="2880"/>
          <w:tab w:val="left" w:pos="4320"/>
          <w:tab w:val="left" w:pos="5760"/>
          <w:tab w:val="left" w:pos="7200"/>
          <w:tab w:val="left" w:pos="8640"/>
        </w:tabs>
        <w:spacing w:line="480" w:lineRule="atLeast"/>
        <w:ind w:firstLine="1440"/>
      </w:pPr>
      <w:r>
        <w:t xml:space="preserve">The general set of facts forming the basis for the quantum meruit cause of action </w:t>
      </w:r>
      <w:r>
        <w:t>is</w:t>
      </w:r>
      <w:r>
        <w:t xml:space="preserve"> includ</w:t>
      </w:r>
      <w:r>
        <w:t xml:space="preserve">ed in the </w:t>
      </w:r>
      <w:r>
        <w:t>s</w:t>
      </w:r>
      <w:r>
        <w:t xml:space="preserve">econd </w:t>
      </w:r>
      <w:r>
        <w:t>a</w:t>
      </w:r>
      <w:r>
        <w:t xml:space="preserve">mendment </w:t>
      </w:r>
      <w:r>
        <w:t>c</w:t>
      </w:r>
      <w:r>
        <w:t xml:space="preserve">omplaint, which was filed in </w:t>
      </w:r>
      <w:r>
        <w:t xml:space="preserve">March 2014.  The </w:t>
      </w:r>
      <w:r>
        <w:t>s</w:t>
      </w:r>
      <w:r>
        <w:t xml:space="preserve">econd </w:t>
      </w:r>
      <w:r>
        <w:t>a</w:t>
      </w:r>
      <w:r>
        <w:t xml:space="preserve">mended </w:t>
      </w:r>
      <w:r>
        <w:t>c</w:t>
      </w:r>
      <w:r>
        <w:t>omplaint alleged that VMG retained and paid for counsel to prosecute the Unlawful Detainer Action, paid for all of the costs and expenses of the Unlawful Detainer Act</w:t>
      </w:r>
      <w:r>
        <w:t xml:space="preserve">ion (which totaled more than $500,000), and spent over $200,000 </w:t>
      </w:r>
      <w:r>
        <w:t>for expense</w:t>
      </w:r>
      <w:r>
        <w:t>s</w:t>
      </w:r>
      <w:r>
        <w:t xml:space="preserve"> </w:t>
      </w:r>
      <w:r>
        <w:t xml:space="preserve">as </w:t>
      </w:r>
      <w:r>
        <w:t>a</w:t>
      </w:r>
      <w:r>
        <w:t>sset</w:t>
      </w:r>
      <w:r>
        <w:t xml:space="preserve"> m</w:t>
      </w:r>
      <w:r>
        <w:t xml:space="preserve">anager.  </w:t>
      </w:r>
      <w:r>
        <w:t>T</w:t>
      </w:r>
      <w:r>
        <w:t xml:space="preserve">he </w:t>
      </w:r>
      <w:r>
        <w:t>s</w:t>
      </w:r>
      <w:r>
        <w:t xml:space="preserve">econd </w:t>
      </w:r>
      <w:r>
        <w:t>a</w:t>
      </w:r>
      <w:r>
        <w:t xml:space="preserve">mended </w:t>
      </w:r>
      <w:r>
        <w:t>c</w:t>
      </w:r>
      <w:r>
        <w:t>omplaint alleged that Cerullo settled the Unlawful Detainer Action without the knowledge of VMG and that Cerullo received “payment of a subs</w:t>
      </w:r>
      <w:r>
        <w:t>tantial sum” in exchange for dismissing th</w:t>
      </w:r>
      <w:r>
        <w:t xml:space="preserve">e </w:t>
      </w:r>
      <w:r>
        <w:t>U</w:t>
      </w:r>
      <w:r>
        <w:t xml:space="preserve">nlawful </w:t>
      </w:r>
      <w:r>
        <w:t>D</w:t>
      </w:r>
      <w:r>
        <w:t xml:space="preserve">etainer </w:t>
      </w:r>
      <w:r>
        <w:t>A</w:t>
      </w:r>
      <w:r>
        <w:t>ction.  Th</w:t>
      </w:r>
      <w:r>
        <w:t>o</w:t>
      </w:r>
      <w:r>
        <w:t xml:space="preserve">se same allegations, the same injury, and the same instrumentality form the basis for the quantum meruit cause of action in the </w:t>
      </w:r>
      <w:r>
        <w:t>t</w:t>
      </w:r>
      <w:r>
        <w:t xml:space="preserve">hird </w:t>
      </w:r>
      <w:r>
        <w:t>a</w:t>
      </w:r>
      <w:r>
        <w:t xml:space="preserve">mended </w:t>
      </w:r>
      <w:r>
        <w:t>c</w:t>
      </w:r>
      <w:r>
        <w:t xml:space="preserve">omplaint. </w:t>
      </w:r>
    </w:p>
    <w:p w:rsidR="008F3DAF" w:rsidRDefault="00EB600B" w:rsidP="00E0181C">
      <w:pPr>
        <w:tabs>
          <w:tab w:val="left" w:pos="1440"/>
          <w:tab w:val="left" w:pos="2880"/>
          <w:tab w:val="left" w:pos="4320"/>
          <w:tab w:val="left" w:pos="5760"/>
          <w:tab w:val="left" w:pos="7200"/>
          <w:tab w:val="left" w:pos="8640"/>
        </w:tabs>
        <w:spacing w:line="480" w:lineRule="atLeast"/>
        <w:ind w:firstLine="1440"/>
      </w:pPr>
      <w:r>
        <w:t>Th</w:t>
      </w:r>
      <w:r>
        <w:t>us, the quantum meruit cau</w:t>
      </w:r>
      <w:r>
        <w:t xml:space="preserve">se of action relates back to the </w:t>
      </w:r>
      <w:r>
        <w:t>s</w:t>
      </w:r>
      <w:r>
        <w:t xml:space="preserve">econd </w:t>
      </w:r>
      <w:r>
        <w:t>a</w:t>
      </w:r>
      <w:r>
        <w:t xml:space="preserve">mended </w:t>
      </w:r>
      <w:r>
        <w:t>c</w:t>
      </w:r>
      <w:r>
        <w:t>omplaint for statute of limitations purpose</w:t>
      </w:r>
      <w:r>
        <w:t>s</w:t>
      </w:r>
      <w:r>
        <w:t xml:space="preserve">.  Because the </w:t>
      </w:r>
      <w:r>
        <w:t>s</w:t>
      </w:r>
      <w:r>
        <w:t xml:space="preserve">econd </w:t>
      </w:r>
      <w:r>
        <w:t>a</w:t>
      </w:r>
      <w:r>
        <w:t xml:space="preserve">mended </w:t>
      </w:r>
      <w:r>
        <w:t>c</w:t>
      </w:r>
      <w:r>
        <w:t>omplaint was filed within two years of August 2012, the quantum meruit cause of action is timely.</w:t>
      </w:r>
    </w:p>
    <w:p w:rsidR="00144E00" w:rsidRDefault="00EB600B" w:rsidP="00E0181C">
      <w:pPr>
        <w:tabs>
          <w:tab w:val="left" w:pos="1440"/>
          <w:tab w:val="left" w:pos="2880"/>
          <w:tab w:val="left" w:pos="4320"/>
          <w:tab w:val="left" w:pos="5760"/>
          <w:tab w:val="left" w:pos="7200"/>
          <w:tab w:val="left" w:pos="8640"/>
        </w:tabs>
        <w:spacing w:line="480" w:lineRule="atLeast"/>
        <w:ind w:firstLine="1440"/>
      </w:pPr>
      <w:r>
        <w:t xml:space="preserve">As Cerullo and Artz contend, the breach of contract cause of action and quantum meruit cause of action are inconsistent.  </w:t>
      </w:r>
      <w:r>
        <w:t>Q</w:t>
      </w:r>
      <w:r>
        <w:t>uantum meruit recovery is inconsistent with recovery for breach of written contract.  (</w:t>
      </w:r>
      <w:r>
        <w:rPr>
          <w:i/>
        </w:rPr>
        <w:t>Hedging Concepts, Inc. v. First Alliance Mortg</w:t>
      </w:r>
      <w:r>
        <w:rPr>
          <w:i/>
        </w:rPr>
        <w:t xml:space="preserve">age Co. </w:t>
      </w:r>
      <w:r>
        <w:t>(1996) 41 Cal.App.4th 1410, 1419.)  “</w:t>
      </w:r>
      <w:r w:rsidRPr="00DD6F01">
        <w:t>A quantum meruit or quasi</w:t>
      </w:r>
      <w:r>
        <w:noBreakHyphen/>
      </w:r>
      <w:r w:rsidRPr="00DD6F01">
        <w:t xml:space="preserve">contractual recovery rests upon the equitable theory that a contract to pay for services rendered is implied by law for reasons of justice. </w:t>
      </w:r>
      <w:r>
        <w:t xml:space="preserve"> [Citation.]  </w:t>
      </w:r>
      <w:r w:rsidRPr="00DD6F01">
        <w:t>However, it is well settled tha</w:t>
      </w:r>
      <w:r w:rsidRPr="00DD6F01">
        <w:t>t there is no equitable basis for an implied</w:t>
      </w:r>
      <w:r>
        <w:noBreakHyphen/>
      </w:r>
      <w:r w:rsidRPr="00DD6F01">
        <w:t>in</w:t>
      </w:r>
      <w:r>
        <w:noBreakHyphen/>
      </w:r>
      <w:r w:rsidRPr="00DD6F01">
        <w:t>law promise to pay reasonable value when the parties have an actual agreement covering compensation.</w:t>
      </w:r>
      <w:r>
        <w:t>”  (</w:t>
      </w:r>
      <w:r>
        <w:rPr>
          <w:i/>
        </w:rPr>
        <w:t>Ibid.</w:t>
      </w:r>
      <w:r>
        <w:t xml:space="preserve">) </w:t>
      </w:r>
    </w:p>
    <w:p w:rsidR="00144E00" w:rsidRDefault="00EB600B" w:rsidP="00E0181C">
      <w:pPr>
        <w:tabs>
          <w:tab w:val="left" w:pos="1440"/>
          <w:tab w:val="left" w:pos="2880"/>
          <w:tab w:val="left" w:pos="4320"/>
          <w:tab w:val="left" w:pos="5760"/>
          <w:tab w:val="left" w:pos="7200"/>
          <w:tab w:val="left" w:pos="8640"/>
        </w:tabs>
        <w:spacing w:line="480" w:lineRule="atLeast"/>
        <w:ind w:firstLine="1440"/>
      </w:pPr>
      <w:r>
        <w:t xml:space="preserve">NHV and VMG had the obligation </w:t>
      </w:r>
      <w:r>
        <w:t xml:space="preserve">under the Management Agreement </w:t>
      </w:r>
      <w:r>
        <w:t>of paying for the costs of the Unl</w:t>
      </w:r>
      <w:r>
        <w:t>awful Detainer Action.  In the quantum meruit cause of action, NHV and VMG seek to recover those costs from Cerullo</w:t>
      </w:r>
      <w:r>
        <w:t xml:space="preserve"> and Artz</w:t>
      </w:r>
      <w:r>
        <w:t xml:space="preserve">.  </w:t>
      </w:r>
      <w:r>
        <w:t>Q</w:t>
      </w:r>
      <w:r>
        <w:t xml:space="preserve">uantum meruit </w:t>
      </w:r>
      <w:r>
        <w:t xml:space="preserve">recovery that is </w:t>
      </w:r>
      <w:r>
        <w:t>contrary to an express contractual term</w:t>
      </w:r>
      <w:r>
        <w:t xml:space="preserve"> is not allowed</w:t>
      </w:r>
      <w:r>
        <w:t>.  (</w:t>
      </w:r>
      <w:r>
        <w:rPr>
          <w:i/>
        </w:rPr>
        <w:t>Hedging Concepts, Inc. v. First Allianc</w:t>
      </w:r>
      <w:r>
        <w:rPr>
          <w:i/>
        </w:rPr>
        <w:t>e Mortgage Co.</w:t>
      </w:r>
      <w:r w:rsidRPr="00490935">
        <w:t xml:space="preserve">, </w:t>
      </w:r>
      <w:r>
        <w:rPr>
          <w:i/>
        </w:rPr>
        <w:t>supra</w:t>
      </w:r>
      <w:r w:rsidRPr="00490935">
        <w:t xml:space="preserve">, </w:t>
      </w:r>
      <w:r>
        <w:t>41 Cal.App.4th at p. 1419.)</w:t>
      </w:r>
    </w:p>
    <w:p w:rsidR="00144E00" w:rsidRDefault="00EB600B" w:rsidP="00E0181C">
      <w:pPr>
        <w:tabs>
          <w:tab w:val="left" w:pos="1440"/>
          <w:tab w:val="left" w:pos="2880"/>
          <w:tab w:val="left" w:pos="4320"/>
          <w:tab w:val="left" w:pos="5760"/>
          <w:tab w:val="left" w:pos="7200"/>
          <w:tab w:val="left" w:pos="8640"/>
        </w:tabs>
        <w:spacing w:line="480" w:lineRule="atLeast"/>
        <w:ind w:firstLine="1440"/>
      </w:pPr>
      <w:r>
        <w:t xml:space="preserve">But </w:t>
      </w:r>
      <w:r>
        <w:t>NHV and VMG were permitted to plead inconsistent counts.  “</w:t>
      </w:r>
      <w:r w:rsidRPr="00DD6F01">
        <w:t>When a pleader is in doubt about what actually occurred or what can be established by the evidence, the modern practice allows that party to p</w:t>
      </w:r>
      <w:r w:rsidRPr="00DD6F01">
        <w:t>lead in the alternative and make inconsistent allegations.</w:t>
      </w:r>
      <w:r>
        <w:t>”  (</w:t>
      </w:r>
      <w:r w:rsidRPr="00A91D60">
        <w:rPr>
          <w:i/>
        </w:rPr>
        <w:t>Mendoza v. Continental Sales Co.</w:t>
      </w:r>
      <w:r w:rsidRPr="00DD6F01">
        <w:t xml:space="preserve"> (2006) 140 Cal.App.4th 1395, 1402</w:t>
      </w:r>
      <w:r>
        <w:t>.)  “The plaintiff remains free to allege any and all ‘inconsistent counts’ that a reasonable attorney would find legally tenabl</w:t>
      </w:r>
      <w:r>
        <w:t>e on the basis of the facts known to the plaintiff at the time.”  (</w:t>
      </w:r>
      <w:r>
        <w:rPr>
          <w:i/>
        </w:rPr>
        <w:t xml:space="preserve">Crowley v. Katleman </w:t>
      </w:r>
      <w:r>
        <w:t xml:space="preserve">(1994) 8 Cal.4th 666, 691.)  Thus, a plaintiff may plead inconsistent causes of action for breach of contract and common count.  (4 Witkin, Cal. Procedure (5th ed. </w:t>
      </w:r>
      <w:r>
        <w:t>2008</w:t>
      </w:r>
      <w:r>
        <w:t>)</w:t>
      </w:r>
      <w:r>
        <w:t xml:space="preserve"> Pleading, § 407</w:t>
      </w:r>
      <w:r>
        <w:t>,</w:t>
      </w:r>
      <w:r>
        <w:t xml:space="preserve"> p. 546.)</w:t>
      </w:r>
      <w:r>
        <w:t xml:space="preserve">  NHV and VMG cannot recover for both breach of contract and quantum meruit (see </w:t>
      </w:r>
      <w:r>
        <w:rPr>
          <w:i/>
        </w:rPr>
        <w:t>Hedging Concepts, Inc. v. First Alliance Mortgage Co.</w:t>
      </w:r>
      <w:r w:rsidRPr="00490935">
        <w:t xml:space="preserve">, </w:t>
      </w:r>
      <w:r>
        <w:rPr>
          <w:i/>
        </w:rPr>
        <w:t>supra</w:t>
      </w:r>
      <w:r w:rsidRPr="00490935">
        <w:t>,</w:t>
      </w:r>
      <w:r w:rsidRPr="00490935">
        <w:t xml:space="preserve"> </w:t>
      </w:r>
      <w:r>
        <w:t>41 Cal.App.4th at pp. 1419</w:t>
      </w:r>
      <w:r>
        <w:noBreakHyphen/>
        <w:t>1420)</w:t>
      </w:r>
      <w:r>
        <w:t>,</w:t>
      </w:r>
      <w:r>
        <w:t xml:space="preserve"> but they can plead both causes of action.</w:t>
      </w:r>
      <w:r>
        <w:t xml:space="preserve">  Nothing in the anti</w:t>
      </w:r>
      <w:r>
        <w:noBreakHyphen/>
        <w:t>SLAPP statute required NHV and VMG to make an election between the breach of contract and quantum meruit causes of action in response to the anti</w:t>
      </w:r>
      <w:r>
        <w:noBreakHyphen/>
        <w:t>SLAPP motion.</w:t>
      </w:r>
      <w:r>
        <w:rPr>
          <w:rStyle w:val="FootnoteReference"/>
        </w:rPr>
        <w:footnoteReference w:id="4"/>
      </w:r>
    </w:p>
    <w:p w:rsidR="00BA728A" w:rsidRPr="00DC2E81" w:rsidRDefault="00EB600B" w:rsidP="00E0181C">
      <w:pPr>
        <w:tabs>
          <w:tab w:val="left" w:pos="1440"/>
          <w:tab w:val="left" w:pos="2880"/>
          <w:tab w:val="left" w:pos="4320"/>
          <w:tab w:val="left" w:pos="5760"/>
          <w:tab w:val="left" w:pos="7200"/>
          <w:tab w:val="left" w:pos="8640"/>
        </w:tabs>
        <w:spacing w:line="480" w:lineRule="atLeast"/>
        <w:ind w:firstLine="1440"/>
      </w:pPr>
      <w:r>
        <w:t>Cerullo and Artz argue in their reply brief that the quantum meruit claim</w:t>
      </w:r>
      <w:r>
        <w:t xml:space="preserve"> fails because, in opposition to the anti</w:t>
      </w:r>
      <w:r>
        <w:noBreakHyphen/>
        <w:t xml:space="preserve">SLAPP motion, NHV and VMG did not produce evidence they spent any money performing their obligations as asset manager.  Cerullo and Artz waived that argument by not presenting it in their opening brief.  </w:t>
      </w:r>
      <w:r>
        <w:t>(</w:t>
      </w:r>
      <w:r>
        <w:rPr>
          <w:i/>
        </w:rPr>
        <w:t>Chicago T</w:t>
      </w:r>
      <w:r>
        <w:rPr>
          <w:i/>
        </w:rPr>
        <w:t xml:space="preserve">itle Ins. Co. v. AMZ Ins. Services, Inc. </w:t>
      </w:r>
      <w:r>
        <w:t>(2010) 188 Cal.App.4th 401, 427</w:t>
      </w:r>
      <w:r>
        <w:noBreakHyphen/>
        <w:t>428.)  The argument also has no merit.  D’Alessio submitted a declaration in opposition to the anti</w:t>
      </w:r>
      <w:r>
        <w:noBreakHyphen/>
        <w:t>SLAPP motion.</w:t>
      </w:r>
      <w:r>
        <w:t xml:space="preserve">  At paragraph 14 of that declaration, D’Alessio stated he “incurred t</w:t>
      </w:r>
      <w:r>
        <w:t xml:space="preserve">housands of dollars in fees and costs” in preparing for the trial of the Unlawful Detainer Action and “incurred well over $700,000 in expenses while </w:t>
      </w:r>
      <w:r>
        <w:t>A</w:t>
      </w:r>
      <w:r>
        <w:t xml:space="preserve">sset </w:t>
      </w:r>
      <w:r>
        <w:t>M</w:t>
      </w:r>
      <w:r>
        <w:t xml:space="preserve">anager.”  </w:t>
      </w:r>
      <w:r>
        <w:t xml:space="preserve">In the same paragraph, </w:t>
      </w:r>
      <w:r>
        <w:t>D’Alessio declared that “[a]s of April 2014, the total costs and ex</w:t>
      </w:r>
      <w:r>
        <w:t>penses I incurred as Asset Manager total no less than $791,605.73.”  Although the declaration is not drafted as precisely and directly as might be desirable (e.g., D’Alessio does not state th</w:t>
      </w:r>
      <w:r>
        <w:t>at</w:t>
      </w:r>
      <w:r>
        <w:t xml:space="preserve"> he “spent money” or “wrote checks” in certain amounts)</w:t>
      </w:r>
      <w:r>
        <w:t>,</w:t>
      </w:r>
      <w:r>
        <w:t xml:space="preserve"> a fair</w:t>
      </w:r>
      <w:r>
        <w:t xml:space="preserve"> reading of the declaration is that D’Alessio spent no less th</w:t>
      </w:r>
      <w:r>
        <w:t>an</w:t>
      </w:r>
      <w:r>
        <w:t xml:space="preserve"> $791,60</w:t>
      </w:r>
      <w:r>
        <w:t>5</w:t>
      </w:r>
      <w:r>
        <w:t>.73 as asset manager.</w:t>
      </w:r>
    </w:p>
    <w:p w:rsidR="004A047C" w:rsidRPr="004A047C" w:rsidRDefault="00EB600B" w:rsidP="00E0181C">
      <w:pPr>
        <w:keepNext/>
        <w:tabs>
          <w:tab w:val="left" w:pos="1440"/>
          <w:tab w:val="left" w:pos="2880"/>
          <w:tab w:val="left" w:pos="4320"/>
          <w:tab w:val="left" w:pos="5760"/>
          <w:tab w:val="left" w:pos="7200"/>
          <w:tab w:val="left" w:pos="8640"/>
        </w:tabs>
        <w:spacing w:line="480" w:lineRule="atLeast"/>
        <w:rPr>
          <w:i/>
        </w:rPr>
      </w:pPr>
      <w:r>
        <w:t xml:space="preserve">B.  </w:t>
      </w:r>
      <w:r>
        <w:rPr>
          <w:i/>
        </w:rPr>
        <w:t>Promissory Estoppel</w:t>
      </w:r>
    </w:p>
    <w:p w:rsidR="00FF56F7" w:rsidRDefault="00EB600B" w:rsidP="00E0181C">
      <w:pPr>
        <w:tabs>
          <w:tab w:val="left" w:pos="1440"/>
          <w:tab w:val="left" w:pos="2880"/>
          <w:tab w:val="left" w:pos="4320"/>
          <w:tab w:val="left" w:pos="5760"/>
          <w:tab w:val="left" w:pos="7200"/>
          <w:tab w:val="left" w:pos="8640"/>
        </w:tabs>
        <w:spacing w:line="480" w:lineRule="atLeast"/>
        <w:ind w:firstLine="1440"/>
      </w:pPr>
      <w:r>
        <w:t xml:space="preserve">Cerullo and Artz contend that NHV and VMG did not state a legally sufficient claim for </w:t>
      </w:r>
      <w:r>
        <w:t xml:space="preserve">promissory estoppel </w:t>
      </w:r>
      <w:r>
        <w:t xml:space="preserve">because (1) the </w:t>
      </w:r>
      <w:r>
        <w:t xml:space="preserve">promissory estoppel </w:t>
      </w:r>
      <w:r>
        <w:t>cause of action was time</w:t>
      </w:r>
      <w:r>
        <w:noBreakHyphen/>
      </w:r>
      <w:r>
        <w:t xml:space="preserve">barred </w:t>
      </w:r>
      <w:r>
        <w:t>under a two</w:t>
      </w:r>
      <w:r>
        <w:noBreakHyphen/>
        <w:t xml:space="preserve">year statute of limitations, </w:t>
      </w:r>
      <w:r>
        <w:t xml:space="preserve">(2) the </w:t>
      </w:r>
      <w:r>
        <w:t xml:space="preserve">promissory estoppel </w:t>
      </w:r>
      <w:r>
        <w:t>allegations were inconsistent with the breach of contract allegations</w:t>
      </w:r>
      <w:r>
        <w:t>, and (3)</w:t>
      </w:r>
      <w:r>
        <w:t> </w:t>
      </w:r>
      <w:r>
        <w:t xml:space="preserve">NHV and VMG failed to produce evidence of a </w:t>
      </w:r>
      <w:r w:rsidRPr="00B57C25">
        <w:t xml:space="preserve">prima facie </w:t>
      </w:r>
      <w:r w:rsidRPr="00B57C25">
        <w:t>factual showing sufficient to sustain a favorable judgment</w:t>
      </w:r>
      <w:r>
        <w:t>.</w:t>
      </w:r>
      <w:r>
        <w:t xml:space="preserve">  </w:t>
      </w:r>
    </w:p>
    <w:p w:rsidR="00FF56F7" w:rsidRDefault="00EB600B" w:rsidP="00E0181C">
      <w:pPr>
        <w:tabs>
          <w:tab w:val="left" w:pos="1440"/>
          <w:tab w:val="left" w:pos="2880"/>
          <w:tab w:val="left" w:pos="4320"/>
          <w:tab w:val="left" w:pos="5760"/>
          <w:tab w:val="left" w:pos="7200"/>
          <w:tab w:val="left" w:pos="8640"/>
        </w:tabs>
        <w:spacing w:line="480" w:lineRule="atLeast"/>
        <w:ind w:firstLine="1440"/>
      </w:pPr>
      <w:r>
        <w:t>The statute of limitations for promissory estoppel based on oral promises is two years.  (§ 339</w:t>
      </w:r>
      <w:r>
        <w:t xml:space="preserve">, subd. </w:t>
      </w:r>
      <w:r>
        <w:t>1.)</w:t>
      </w:r>
      <w:r>
        <w:rPr>
          <w:rStyle w:val="FootnoteReference"/>
        </w:rPr>
        <w:footnoteReference w:id="5"/>
      </w:r>
      <w:r>
        <w:t xml:space="preserve"> </w:t>
      </w:r>
      <w:r>
        <w:t xml:space="preserve"> </w:t>
      </w:r>
      <w:r>
        <w:t xml:space="preserve">The promissory estoppel </w:t>
      </w:r>
      <w:r>
        <w:t xml:space="preserve">cause of </w:t>
      </w:r>
      <w:r>
        <w:t>action accrued in August 2012, as did the quantum me</w:t>
      </w:r>
      <w:r>
        <w:t xml:space="preserve">ruit cause of action, when the Unlawful Detainer Action was settled.  Although the </w:t>
      </w:r>
      <w:r>
        <w:t>t</w:t>
      </w:r>
      <w:r>
        <w:t xml:space="preserve">hird </w:t>
      </w:r>
      <w:r>
        <w:t>a</w:t>
      </w:r>
      <w:r>
        <w:t xml:space="preserve">mended </w:t>
      </w:r>
      <w:r>
        <w:t>c</w:t>
      </w:r>
      <w:r>
        <w:t>omplaint was filed more than two years later, t</w:t>
      </w:r>
      <w:r>
        <w:t xml:space="preserve">he promissory estoppel cause of action relates back, for statute of limitations purposes, </w:t>
      </w:r>
      <w:r>
        <w:t xml:space="preserve">to the </w:t>
      </w:r>
      <w:r>
        <w:t>s</w:t>
      </w:r>
      <w:r>
        <w:t xml:space="preserve">econd </w:t>
      </w:r>
      <w:r>
        <w:t>a</w:t>
      </w:r>
      <w:r>
        <w:t xml:space="preserve">mended </w:t>
      </w:r>
      <w:r>
        <w:t>c</w:t>
      </w:r>
      <w:r>
        <w:t xml:space="preserve">omplaint or the </w:t>
      </w:r>
      <w:r>
        <w:t>f</w:t>
      </w:r>
      <w:r>
        <w:t xml:space="preserve">irst </w:t>
      </w:r>
      <w:r>
        <w:t>a</w:t>
      </w:r>
      <w:r>
        <w:t xml:space="preserve">mended </w:t>
      </w:r>
      <w:r>
        <w:t>c</w:t>
      </w:r>
      <w:r>
        <w:t xml:space="preserve">omplaint.  The </w:t>
      </w:r>
      <w:r>
        <w:t>t</w:t>
      </w:r>
      <w:r>
        <w:t xml:space="preserve">hird </w:t>
      </w:r>
      <w:r>
        <w:t>a</w:t>
      </w:r>
      <w:r>
        <w:t>mend</w:t>
      </w:r>
      <w:r>
        <w:t>ed</w:t>
      </w:r>
      <w:r>
        <w:t xml:space="preserve"> </w:t>
      </w:r>
      <w:r>
        <w:t>c</w:t>
      </w:r>
      <w:r>
        <w:t>omplaint alleged Artz made a series of promises to D’Ales</w:t>
      </w:r>
      <w:r>
        <w:t>s</w:t>
      </w:r>
      <w:r>
        <w:t>io at restaurants in Carlsbad and San Clemente in March 2011.  Those promises were substantially the same as the terms of the Man</w:t>
      </w:r>
      <w:r>
        <w:t xml:space="preserve">agement Agreement, </w:t>
      </w:r>
      <w:r>
        <w:t xml:space="preserve">the existence and terms of </w:t>
      </w:r>
      <w:r>
        <w:t xml:space="preserve">which </w:t>
      </w:r>
      <w:r>
        <w:t xml:space="preserve">were alleged </w:t>
      </w:r>
      <w:r>
        <w:t xml:space="preserve">in the prior complaints.  </w:t>
      </w:r>
      <w:r>
        <w:t xml:space="preserve">The relief sought by the promissory estoppel cause of action (amounts spent as asset manager) is essentially the same as the relief sought by the breach of contract </w:t>
      </w:r>
      <w:r>
        <w:t>cause of action</w:t>
      </w:r>
      <w:r>
        <w:t xml:space="preserve"> in the prior complaints</w:t>
      </w:r>
      <w:r>
        <w:t xml:space="preserve">.  </w:t>
      </w:r>
    </w:p>
    <w:p w:rsidR="00FF56F7" w:rsidRDefault="00EB600B" w:rsidP="00E0181C">
      <w:pPr>
        <w:tabs>
          <w:tab w:val="left" w:pos="1440"/>
          <w:tab w:val="left" w:pos="2880"/>
          <w:tab w:val="left" w:pos="4320"/>
          <w:tab w:val="left" w:pos="5760"/>
          <w:tab w:val="left" w:pos="7200"/>
          <w:tab w:val="left" w:pos="8640"/>
        </w:tabs>
        <w:spacing w:line="480" w:lineRule="atLeast"/>
        <w:ind w:firstLine="1440"/>
      </w:pPr>
      <w:r>
        <w:t>As we explained above, a</w:t>
      </w:r>
      <w:r w:rsidRPr="003428DE">
        <w:t xml:space="preserve">n amended complaint relates back to an earlier complaint if </w:t>
      </w:r>
      <w:r>
        <w:t>the amended complaint</w:t>
      </w:r>
      <w:r w:rsidRPr="003428DE">
        <w:t xml:space="preserve"> is based on the same general set of facts, even if the plaintiff alleges a different legal theory or new ca</w:t>
      </w:r>
      <w:r w:rsidRPr="003428DE">
        <w:t xml:space="preserve">use of action. </w:t>
      </w:r>
      <w:r>
        <w:t xml:space="preserve"> </w:t>
      </w:r>
      <w:r w:rsidRPr="003428DE">
        <w:t>(</w:t>
      </w:r>
      <w:r w:rsidRPr="00DC4781">
        <w:rPr>
          <w:i/>
        </w:rPr>
        <w:t>Smeltzley v. Nicholson Mfg. Co.</w:t>
      </w:r>
      <w:r w:rsidRPr="00773EDE">
        <w:t xml:space="preserve">, </w:t>
      </w:r>
      <w:r>
        <w:rPr>
          <w:i/>
        </w:rPr>
        <w:t>supra</w:t>
      </w:r>
      <w:r w:rsidRPr="00773EDE">
        <w:t xml:space="preserve">, </w:t>
      </w:r>
      <w:r w:rsidRPr="003428DE">
        <w:t xml:space="preserve">18 Cal.3d </w:t>
      </w:r>
      <w:r>
        <w:t>at pp.</w:t>
      </w:r>
      <w:r w:rsidRPr="003428DE">
        <w:t xml:space="preserve"> 934, 936</w:t>
      </w:r>
      <w:r>
        <w:t xml:space="preserve">.)  The promissory estoppel cause of action, though a </w:t>
      </w:r>
      <w:r>
        <w:t xml:space="preserve">new </w:t>
      </w:r>
      <w:r>
        <w:t>cause of action, was based on generally the same facts as the prior complaints, relate</w:t>
      </w:r>
      <w:r>
        <w:t>d</w:t>
      </w:r>
      <w:r>
        <w:t xml:space="preserve"> back to those complaints, an</w:t>
      </w:r>
      <w:r>
        <w:t>d therefore was not barred by a two</w:t>
      </w:r>
      <w:r>
        <w:noBreakHyphen/>
        <w:t xml:space="preserve">year statute of limitations. </w:t>
      </w:r>
    </w:p>
    <w:p w:rsidR="00FF56F7" w:rsidRDefault="00EB600B" w:rsidP="00E0181C">
      <w:pPr>
        <w:tabs>
          <w:tab w:val="left" w:pos="1440"/>
          <w:tab w:val="left" w:pos="2880"/>
          <w:tab w:val="left" w:pos="4320"/>
          <w:tab w:val="left" w:pos="5760"/>
          <w:tab w:val="left" w:pos="7200"/>
          <w:tab w:val="left" w:pos="8640"/>
        </w:tabs>
        <w:spacing w:line="480" w:lineRule="atLeast"/>
        <w:ind w:firstLine="1440"/>
      </w:pPr>
      <w:r>
        <w:t xml:space="preserve">Cerullo and Artz contend the promissory estoppel cause of action is inconsistent with the breach of contract cause of action.  </w:t>
      </w:r>
      <w:r>
        <w:t>Although th</w:t>
      </w:r>
      <w:r>
        <w:t>ey are correct, NHV and VMG could plead inconsistent</w:t>
      </w:r>
      <w:r>
        <w:t xml:space="preserve"> causes of action.  </w:t>
      </w:r>
      <w:r>
        <w:t>Promissory estoppel is an equitable claim that substitutes reliance on a promise as a substitute for bargained</w:t>
      </w:r>
      <w:r>
        <w:noBreakHyphen/>
        <w:t>for consideration.  (</w:t>
      </w:r>
      <w:r>
        <w:rPr>
          <w:i/>
        </w:rPr>
        <w:t xml:space="preserve">Fleet v. Bank of America N.A. </w:t>
      </w:r>
      <w:r>
        <w:t>(2014) 229 Cal.App.4th 1403, 1412</w:t>
      </w:r>
      <w:r>
        <w:noBreakHyphen/>
        <w:t>1413.)  P</w:t>
      </w:r>
      <w:r>
        <w:t>romissory estoppel does not app</w:t>
      </w:r>
      <w:r>
        <w:t>ly</w:t>
      </w:r>
      <w:r>
        <w:t xml:space="preserve"> if the promisee gave actual consideration and, therefore, a </w:t>
      </w:r>
      <w:r>
        <w:t>cause of action for promissory estoppel is inconsistent with a cause of action for breach of contract based on the same facts</w:t>
      </w:r>
      <w:r>
        <w:t>.  (</w:t>
      </w:r>
      <w:r>
        <w:rPr>
          <w:i/>
        </w:rPr>
        <w:t>Id</w:t>
      </w:r>
      <w:r>
        <w:t>. at p. 1413.)  But “‘</w:t>
      </w:r>
      <w:r>
        <w:t xml:space="preserve">[w]hen a pleader is in doubt about what </w:t>
      </w:r>
      <w:r>
        <w:t>actually occurred or what can be established by the evidence, the modern practice allows that party to plead in the alternative and make inconsistent allegations.</w:t>
      </w:r>
      <w:r>
        <w:t>’</w:t>
      </w:r>
      <w:r>
        <w:t>”  (</w:t>
      </w:r>
      <w:r>
        <w:rPr>
          <w:i/>
        </w:rPr>
        <w:t>Ibid.</w:t>
      </w:r>
      <w:r>
        <w:t xml:space="preserve">) </w:t>
      </w:r>
      <w:r>
        <w:t xml:space="preserve"> </w:t>
      </w:r>
      <w:r>
        <w:t xml:space="preserve">At this stage, </w:t>
      </w:r>
      <w:r>
        <w:t xml:space="preserve">NHV and VMG </w:t>
      </w:r>
      <w:r>
        <w:t>do not</w:t>
      </w:r>
      <w:r>
        <w:t xml:space="preserve"> have to elect between a promissory estoppel remedy and a breach of contract remedy.  (</w:t>
      </w:r>
      <w:r>
        <w:t>4</w:t>
      </w:r>
      <w:r>
        <w:t xml:space="preserve"> Witkin, </w:t>
      </w:r>
      <w:r>
        <w:t xml:space="preserve">Cal. Procedure, </w:t>
      </w:r>
      <w:r>
        <w:rPr>
          <w:i/>
        </w:rPr>
        <w:t>supra</w:t>
      </w:r>
      <w:r w:rsidRPr="00773EDE">
        <w:t>,</w:t>
      </w:r>
      <w:r w:rsidRPr="00773EDE">
        <w:t xml:space="preserve"> </w:t>
      </w:r>
      <w:r>
        <w:t>Pleadings</w:t>
      </w:r>
      <w:r>
        <w:t xml:space="preserve">, §§ 406, 409.)  </w:t>
      </w:r>
    </w:p>
    <w:p w:rsidR="00FF56F7" w:rsidRDefault="00EB600B" w:rsidP="00E0181C">
      <w:pPr>
        <w:tabs>
          <w:tab w:val="left" w:pos="1440"/>
          <w:tab w:val="left" w:pos="2880"/>
          <w:tab w:val="left" w:pos="4320"/>
          <w:tab w:val="left" w:pos="5760"/>
          <w:tab w:val="left" w:pos="7200"/>
          <w:tab w:val="left" w:pos="8640"/>
        </w:tabs>
        <w:spacing w:line="480" w:lineRule="atLeast"/>
        <w:ind w:firstLine="1440"/>
      </w:pPr>
      <w:r>
        <w:t>Finally, we conclude that NHV and VMG met their burden of making a prima facie</w:t>
      </w:r>
      <w:r>
        <w:t xml:space="preserve"> </w:t>
      </w:r>
      <w:r w:rsidRPr="00B57C25">
        <w:t xml:space="preserve">factual showing </w:t>
      </w:r>
      <w:r>
        <w:t>on the promiss</w:t>
      </w:r>
      <w:r>
        <w:t xml:space="preserve">ory estoppel cause of action.  </w:t>
      </w:r>
      <w:r w:rsidRPr="00A9129F">
        <w:t xml:space="preserve">The </w:t>
      </w:r>
      <w:r w:rsidRPr="00A9129F">
        <w:rPr>
          <w:bCs/>
        </w:rPr>
        <w:t>elements</w:t>
      </w:r>
      <w:r w:rsidRPr="00A9129F">
        <w:t xml:space="preserve"> of </w:t>
      </w:r>
      <w:r w:rsidRPr="00A9129F">
        <w:rPr>
          <w:bCs/>
        </w:rPr>
        <w:t>promissory estoppel</w:t>
      </w:r>
      <w:r w:rsidRPr="00A9129F">
        <w:t xml:space="preserve"> are (1) a promise, (2) the promisor should reasonably expect the promise to induce action or forbearance on the part of the promisee or a third person, (3)</w:t>
      </w:r>
      <w:r>
        <w:t> </w:t>
      </w:r>
      <w:r w:rsidRPr="00A9129F">
        <w:t>the promise induces action or for</w:t>
      </w:r>
      <w:r w:rsidRPr="00A9129F">
        <w:t>bearance by the promisee or a third person</w:t>
      </w:r>
      <w:r>
        <w:t>,</w:t>
      </w:r>
      <w:r w:rsidRPr="00A9129F">
        <w:t xml:space="preserve"> and (4)</w:t>
      </w:r>
      <w:r>
        <w:t> </w:t>
      </w:r>
      <w:r w:rsidRPr="00A9129F">
        <w:t xml:space="preserve">injustice can be avoided only by enforcement of the promise. </w:t>
      </w:r>
      <w:r>
        <w:t xml:space="preserve"> </w:t>
      </w:r>
      <w:r w:rsidRPr="00A9129F">
        <w:t>(</w:t>
      </w:r>
      <w:r w:rsidRPr="00A9129F">
        <w:rPr>
          <w:i/>
        </w:rPr>
        <w:t>Kajima/Ray Wilson v. Los Angeles County Metropolitan Transportation Authority</w:t>
      </w:r>
      <w:r w:rsidRPr="00A9129F">
        <w:t xml:space="preserve"> (2000) 23 Cal.4th 305, 310</w:t>
      </w:r>
      <w:r>
        <w:t xml:space="preserve">.)  </w:t>
      </w:r>
    </w:p>
    <w:p w:rsidR="00FF56F7" w:rsidRDefault="00EB600B" w:rsidP="00E0181C">
      <w:pPr>
        <w:tabs>
          <w:tab w:val="left" w:pos="1440"/>
          <w:tab w:val="left" w:pos="2880"/>
          <w:tab w:val="left" w:pos="4320"/>
          <w:tab w:val="left" w:pos="5760"/>
          <w:tab w:val="left" w:pos="7200"/>
          <w:tab w:val="left" w:pos="8640"/>
        </w:tabs>
        <w:spacing w:line="480" w:lineRule="atLeast"/>
        <w:ind w:firstLine="1440"/>
      </w:pPr>
      <w:r>
        <w:t>Cerullo and Artz contend that NH</w:t>
      </w:r>
      <w:r>
        <w:t>V and VMG failed to produce evidence of promises made to D’Alessio and that the evidence presented in connection with the anti</w:t>
      </w:r>
      <w:r>
        <w:noBreakHyphen/>
        <w:t>SLAPP motion proved that no promises were made.</w:t>
      </w:r>
      <w:r>
        <w:t xml:space="preserve">  </w:t>
      </w:r>
      <w:r>
        <w:t>In his declaration submitted in opposition to the anti</w:t>
      </w:r>
      <w:r>
        <w:noBreakHyphen/>
        <w:t>SLAPP motion, D’Alessio s</w:t>
      </w:r>
      <w:r>
        <w:t xml:space="preserve">tated that he </w:t>
      </w:r>
      <w:r>
        <w:t xml:space="preserve">had </w:t>
      </w:r>
      <w:r>
        <w:t xml:space="preserve">met with Artz in March 2011 </w:t>
      </w:r>
      <w:r>
        <w:t xml:space="preserve">to </w:t>
      </w:r>
      <w:r>
        <w:t>discuss NHOM’s default under the Sublease</w:t>
      </w:r>
      <w:r>
        <w:t>.  D’Alessio declared that he and</w:t>
      </w:r>
      <w:r>
        <w:t xml:space="preserve"> </w:t>
      </w:r>
      <w:r>
        <w:t xml:space="preserve">Artz had </w:t>
      </w:r>
      <w:r>
        <w:t>“c</w:t>
      </w:r>
      <w:r>
        <w:t>[o]</w:t>
      </w:r>
      <w:r>
        <w:t xml:space="preserve">me to a solution” </w:t>
      </w:r>
      <w:r>
        <w:t xml:space="preserve">by which NHV “agreed to take the necessary actions to evict NHOM for its Default” and, in exchange, </w:t>
      </w:r>
      <w:r>
        <w:t xml:space="preserve">“[Cerullo] would assign the ground lease </w:t>
      </w:r>
      <w:r>
        <w:t xml:space="preserve">that </w:t>
      </w:r>
      <w:r>
        <w:t>it has with the Property owner</w:t>
      </w:r>
      <w:r>
        <w:t xml:space="preserve"> </w:t>
      </w:r>
      <w:r>
        <w:t>.</w:t>
      </w:r>
      <w:r>
        <w:t> </w:t>
      </w:r>
      <w:r>
        <w:t>.</w:t>
      </w:r>
      <w:r>
        <w:t> </w:t>
      </w:r>
      <w:r>
        <w:t xml:space="preserve">. to me (NHV), so that I could take over the Property and Improvements once NHOM was evicted and have the opportunity to operate a successful business venture at the </w:t>
      </w:r>
      <w:r>
        <w:t>P</w:t>
      </w:r>
      <w:r>
        <w:t>roperty.</w:t>
      </w:r>
      <w:r>
        <w:t xml:space="preserve">” </w:t>
      </w:r>
    </w:p>
    <w:p w:rsidR="00FF56F7" w:rsidRDefault="00EB600B" w:rsidP="00E0181C">
      <w:pPr>
        <w:tabs>
          <w:tab w:val="left" w:pos="1440"/>
          <w:tab w:val="left" w:pos="2880"/>
          <w:tab w:val="left" w:pos="4320"/>
          <w:tab w:val="left" w:pos="5760"/>
          <w:tab w:val="left" w:pos="7200"/>
          <w:tab w:val="left" w:pos="8640"/>
        </w:tabs>
        <w:spacing w:line="480" w:lineRule="atLeast"/>
        <w:ind w:firstLine="1440"/>
      </w:pPr>
      <w:r>
        <w:t xml:space="preserve">Cerullo and Artz argue D’Alessio’s declaration failed to set forth any promises made by Artz.  </w:t>
      </w:r>
      <w:r>
        <w:t xml:space="preserve">An agreement is an exchange of promises.  (E.g., </w:t>
      </w:r>
      <w:r>
        <w:rPr>
          <w:i/>
        </w:rPr>
        <w:t>Chicago Title Ins. Co. v. AMZ Ins. Services, Inc.</w:t>
      </w:r>
      <w:r w:rsidRPr="00773EDE">
        <w:t xml:space="preserve">, </w:t>
      </w:r>
      <w:r>
        <w:rPr>
          <w:i/>
        </w:rPr>
        <w:t>supra</w:t>
      </w:r>
      <w:r w:rsidRPr="00773EDE">
        <w:t xml:space="preserve">, </w:t>
      </w:r>
      <w:r>
        <w:t xml:space="preserve">188 Cal.App.4th at </w:t>
      </w:r>
      <w:r>
        <w:t>p</w:t>
      </w:r>
      <w:r>
        <w:t xml:space="preserve">p. </w:t>
      </w:r>
      <w:r>
        <w:t>421</w:t>
      </w:r>
      <w:r>
        <w:noBreakHyphen/>
      </w:r>
      <w:r>
        <w:t xml:space="preserve">422.)  D’Alessio’s declaration, by </w:t>
      </w:r>
      <w:r>
        <w:t xml:space="preserve">setting forth </w:t>
      </w:r>
      <w:r>
        <w:t xml:space="preserve">agreements made at the meeting between D’Alessio and Artz, </w:t>
      </w:r>
      <w:r>
        <w:t>also set forth promises made at th</w:t>
      </w:r>
      <w:r>
        <w:t xml:space="preserve">at meeting.  </w:t>
      </w:r>
    </w:p>
    <w:p w:rsidR="00FF56F7" w:rsidRDefault="00EB600B" w:rsidP="00E0181C">
      <w:pPr>
        <w:tabs>
          <w:tab w:val="left" w:pos="1440"/>
          <w:tab w:val="left" w:pos="2880"/>
          <w:tab w:val="left" w:pos="4320"/>
          <w:tab w:val="left" w:pos="5760"/>
          <w:tab w:val="left" w:pos="7200"/>
          <w:tab w:val="left" w:pos="8640"/>
        </w:tabs>
        <w:spacing w:line="480" w:lineRule="atLeast"/>
        <w:ind w:firstLine="1440"/>
      </w:pPr>
      <w:r>
        <w:t>In support of the anti</w:t>
      </w:r>
      <w:r>
        <w:noBreakHyphen/>
        <w:t>SLAPP motion, Cerullo and Artz submitted portions of the transcript of D’Ales</w:t>
      </w:r>
      <w:r>
        <w:t xml:space="preserve">sio’s deposition taken in November 2011 </w:t>
      </w:r>
      <w:r>
        <w:t xml:space="preserve">in connection with </w:t>
      </w:r>
      <w:r>
        <w:t xml:space="preserve">the Unlawful Detainer Action.  During the deposition, D’Alessio was asked whether he had an agreement with Cerullo or Plaza del Sol as to what would happen to the Property and </w:t>
      </w:r>
      <w:r>
        <w:t xml:space="preserve">the </w:t>
      </w:r>
      <w:r>
        <w:t>Improvements if C</w:t>
      </w:r>
      <w:r>
        <w:t xml:space="preserve">erullo prevailed in the Unlawful Detainer Action.  D’Alessio responded:  “Other than what we’ve already talked about, no.  No agreement.”  </w:t>
      </w:r>
      <w:r>
        <w:t>Cerullo and Artz contend th</w:t>
      </w:r>
      <w:r>
        <w:t xml:space="preserve">is testimony </w:t>
      </w:r>
      <w:r>
        <w:t>defeats any claim that promises were made to D’Alessio.  D’Alessio’s depositi</w:t>
      </w:r>
      <w:r>
        <w:t xml:space="preserve">on testimony </w:t>
      </w:r>
      <w:r>
        <w:t xml:space="preserve">does not defeat </w:t>
      </w:r>
      <w:r>
        <w:t>the promissory estoppel cause of action</w:t>
      </w:r>
      <w:r w:rsidRPr="00EA7BEB">
        <w:t xml:space="preserve"> </w:t>
      </w:r>
      <w:r w:rsidRPr="00B57C25">
        <w:t>as a matter of law</w:t>
      </w:r>
      <w:r>
        <w:t xml:space="preserve"> (</w:t>
      </w:r>
      <w:r>
        <w:rPr>
          <w:i/>
        </w:rPr>
        <w:t>Baral v. Schnitt</w:t>
      </w:r>
      <w:r w:rsidRPr="00773EDE">
        <w:t xml:space="preserve">, </w:t>
      </w:r>
      <w:r>
        <w:rPr>
          <w:i/>
        </w:rPr>
        <w:t>supra</w:t>
      </w:r>
      <w:r w:rsidRPr="00773EDE">
        <w:t xml:space="preserve">, </w:t>
      </w:r>
      <w:r>
        <w:t>1</w:t>
      </w:r>
      <w:r>
        <w:t xml:space="preserve"> Cal.</w:t>
      </w:r>
      <w:r>
        <w:t>5</w:t>
      </w:r>
      <w:r>
        <w:t xml:space="preserve">th </w:t>
      </w:r>
      <w:r>
        <w:t xml:space="preserve">at </w:t>
      </w:r>
      <w:r>
        <w:t>p</w:t>
      </w:r>
      <w:r>
        <w:t xml:space="preserve">p. </w:t>
      </w:r>
      <w:r>
        <w:t>384</w:t>
      </w:r>
      <w:r>
        <w:noBreakHyphen/>
      </w:r>
      <w:r>
        <w:t>385)</w:t>
      </w:r>
      <w:r>
        <w:t xml:space="preserve"> because D’Alessio testified there were </w:t>
      </w:r>
      <w:r>
        <w:t>other</w:t>
      </w:r>
      <w:r>
        <w:t xml:space="preserve"> agreements</w:t>
      </w:r>
      <w:r>
        <w:t xml:space="preserve"> “we’ve already talked about.”</w:t>
      </w:r>
      <w:r>
        <w:t xml:space="preserve">  </w:t>
      </w:r>
    </w:p>
    <w:p w:rsidR="00DF4B6E" w:rsidRDefault="00EB600B" w:rsidP="00E0181C">
      <w:pPr>
        <w:tabs>
          <w:tab w:val="left" w:pos="1440"/>
          <w:tab w:val="left" w:pos="2880"/>
          <w:tab w:val="left" w:pos="4320"/>
          <w:tab w:val="left" w:pos="5760"/>
          <w:tab w:val="left" w:pos="7200"/>
          <w:tab w:val="left" w:pos="8640"/>
        </w:tabs>
        <w:spacing w:line="480" w:lineRule="atLeast"/>
        <w:ind w:firstLine="1440"/>
      </w:pPr>
      <w:r>
        <w:t xml:space="preserve">Moreover, in assessing </w:t>
      </w:r>
      <w:r>
        <w:t xml:space="preserve">the </w:t>
      </w:r>
      <w:r>
        <w:t>a</w:t>
      </w:r>
      <w:r>
        <w:t>nti</w:t>
      </w:r>
      <w:r>
        <w:noBreakHyphen/>
        <w:t xml:space="preserve">SLAPP motion, we </w:t>
      </w:r>
      <w:r w:rsidRPr="00B57C25">
        <w:t xml:space="preserve">accept </w:t>
      </w:r>
      <w:r>
        <w:t xml:space="preserve">as true </w:t>
      </w:r>
      <w:r>
        <w:t>NHV and V</w:t>
      </w:r>
      <w:r>
        <w:t>M</w:t>
      </w:r>
      <w:r>
        <w:t>G’s e</w:t>
      </w:r>
      <w:r w:rsidRPr="00B57C25">
        <w:t>vidence</w:t>
      </w:r>
      <w:r>
        <w:t xml:space="preserve">, </w:t>
      </w:r>
      <w:r>
        <w:t xml:space="preserve">which </w:t>
      </w:r>
      <w:r>
        <w:t>includ</w:t>
      </w:r>
      <w:r>
        <w:t>ed</w:t>
      </w:r>
      <w:r>
        <w:t xml:space="preserve"> D’Alessio’s declaration.  That evidence establishe</w:t>
      </w:r>
      <w:r>
        <w:t>d</w:t>
      </w:r>
      <w:r>
        <w:t xml:space="preserve"> the promissory estoppel cause of action has “‘</w:t>
      </w:r>
      <w:r w:rsidRPr="00B57C25">
        <w:t>the requisite minimal merit</w:t>
      </w:r>
      <w:r>
        <w:t xml:space="preserve">’” </w:t>
      </w:r>
      <w:r>
        <w:t xml:space="preserve">to proceed. </w:t>
      </w:r>
      <w:r>
        <w:t xml:space="preserve"> (</w:t>
      </w:r>
      <w:r>
        <w:rPr>
          <w:i/>
        </w:rPr>
        <w:t>Baral v. Schnitt</w:t>
      </w:r>
      <w:r w:rsidRPr="00773EDE">
        <w:t xml:space="preserve">, </w:t>
      </w:r>
      <w:r>
        <w:rPr>
          <w:i/>
        </w:rPr>
        <w:t>supra</w:t>
      </w:r>
      <w:r w:rsidRPr="00773EDE">
        <w:t>,</w:t>
      </w:r>
      <w:r w:rsidRPr="00773EDE">
        <w:t xml:space="preserve"> </w:t>
      </w:r>
      <w:r>
        <w:t>1</w:t>
      </w:r>
      <w:r>
        <w:t xml:space="preserve"> Cal.</w:t>
      </w:r>
      <w:r>
        <w:t>5</w:t>
      </w:r>
      <w:r>
        <w:t xml:space="preserve">th </w:t>
      </w:r>
      <w:r>
        <w:t xml:space="preserve">at </w:t>
      </w:r>
      <w:r>
        <w:t>p. 385.)</w:t>
      </w:r>
    </w:p>
    <w:p w:rsidR="00E5072E" w:rsidRDefault="00EB600B" w:rsidP="00E0181C">
      <w:pPr>
        <w:tabs>
          <w:tab w:val="left" w:pos="1440"/>
          <w:tab w:val="left" w:pos="2880"/>
          <w:tab w:val="left" w:pos="4320"/>
          <w:tab w:val="left" w:pos="5760"/>
          <w:tab w:val="left" w:pos="7200"/>
          <w:tab w:val="left" w:pos="8640"/>
        </w:tabs>
        <w:spacing w:line="480" w:lineRule="atLeast"/>
        <w:ind w:firstLine="1440"/>
      </w:pPr>
    </w:p>
    <w:p w:rsidR="00381940" w:rsidRPr="00381940" w:rsidRDefault="00EB600B" w:rsidP="0046729E">
      <w:pPr>
        <w:keepNext/>
        <w:tabs>
          <w:tab w:val="left" w:pos="1440"/>
          <w:tab w:val="left" w:pos="2880"/>
          <w:tab w:val="left" w:pos="4320"/>
          <w:tab w:val="left" w:pos="5760"/>
          <w:tab w:val="left" w:pos="7200"/>
          <w:tab w:val="left" w:pos="8640"/>
        </w:tabs>
        <w:spacing w:line="480" w:lineRule="atLeast"/>
        <w:jc w:val="center"/>
        <w:rPr>
          <w:b/>
        </w:rPr>
      </w:pPr>
      <w:r>
        <w:rPr>
          <w:b/>
        </w:rPr>
        <w:t>DISPOSITION</w:t>
      </w:r>
    </w:p>
    <w:p w:rsidR="00381940" w:rsidRDefault="00EB600B" w:rsidP="00E0181C">
      <w:pPr>
        <w:tabs>
          <w:tab w:val="left" w:pos="1440"/>
          <w:tab w:val="left" w:pos="2880"/>
          <w:tab w:val="left" w:pos="4320"/>
          <w:tab w:val="left" w:pos="5760"/>
          <w:tab w:val="left" w:pos="7200"/>
          <w:tab w:val="left" w:pos="8640"/>
        </w:tabs>
        <w:spacing w:line="480" w:lineRule="atLeast"/>
        <w:ind w:firstLine="1440"/>
      </w:pPr>
      <w:r>
        <w:t>The order denying the anti</w:t>
      </w:r>
      <w:r>
        <w:noBreakHyphen/>
        <w:t xml:space="preserve">SLAPP motion is </w:t>
      </w:r>
      <w:r>
        <w:t>affirmed</w:t>
      </w:r>
      <w:r>
        <w:t>.  Respondents shall recover costs on appeal.</w:t>
      </w:r>
    </w:p>
    <w:p w:rsidR="00381940" w:rsidRDefault="00EB600B" w:rsidP="00381940">
      <w:pPr>
        <w:tabs>
          <w:tab w:val="left" w:pos="1440"/>
          <w:tab w:val="left" w:pos="2880"/>
          <w:tab w:val="left" w:pos="4320"/>
          <w:tab w:val="left" w:pos="5760"/>
          <w:tab w:val="left" w:pos="7200"/>
          <w:tab w:val="left" w:pos="8640"/>
        </w:tabs>
        <w:spacing w:line="480" w:lineRule="atLeast"/>
        <w:jc w:val="both"/>
      </w:pPr>
    </w:p>
    <w:p w:rsidR="00381940" w:rsidRDefault="00EB600B" w:rsidP="00381940">
      <w:pPr>
        <w:keepNext/>
        <w:tabs>
          <w:tab w:val="left" w:pos="5040"/>
        </w:tabs>
        <w:jc w:val="both"/>
      </w:pPr>
    </w:p>
    <w:p w:rsidR="00381940" w:rsidRDefault="00EB600B" w:rsidP="00381940">
      <w:pPr>
        <w:keepNext/>
        <w:tabs>
          <w:tab w:val="left" w:pos="5040"/>
        </w:tabs>
        <w:jc w:val="both"/>
      </w:pPr>
      <w:r>
        <w:tab/>
      </w:r>
    </w:p>
    <w:p w:rsidR="00381940" w:rsidRDefault="00EB600B" w:rsidP="00381940">
      <w:pPr>
        <w:keepNext/>
        <w:tabs>
          <w:tab w:val="left" w:pos="5040"/>
        </w:tabs>
        <w:jc w:val="both"/>
      </w:pPr>
      <w:r>
        <w:tab/>
        <w:t>FYBEL, J.</w:t>
      </w:r>
    </w:p>
    <w:p w:rsidR="00381940" w:rsidRDefault="00EB600B" w:rsidP="00381940">
      <w:pPr>
        <w:keepNext/>
        <w:tabs>
          <w:tab w:val="left" w:pos="5040"/>
        </w:tabs>
        <w:jc w:val="both"/>
      </w:pPr>
    </w:p>
    <w:p w:rsidR="00381940" w:rsidRDefault="00EB600B" w:rsidP="00381940">
      <w:pPr>
        <w:keepNext/>
        <w:tabs>
          <w:tab w:val="left" w:pos="5040"/>
        </w:tabs>
        <w:jc w:val="both"/>
      </w:pPr>
      <w:r>
        <w:t>WE CONCUR:</w:t>
      </w:r>
    </w:p>
    <w:p w:rsidR="00381940" w:rsidRDefault="00EB600B" w:rsidP="00381940">
      <w:pPr>
        <w:keepNext/>
        <w:tabs>
          <w:tab w:val="left" w:pos="5040"/>
        </w:tabs>
        <w:jc w:val="both"/>
      </w:pPr>
    </w:p>
    <w:p w:rsidR="00381940" w:rsidRDefault="00EB600B" w:rsidP="00381940">
      <w:pPr>
        <w:keepNext/>
        <w:tabs>
          <w:tab w:val="left" w:pos="5040"/>
        </w:tabs>
        <w:jc w:val="both"/>
      </w:pPr>
    </w:p>
    <w:p w:rsidR="00381940" w:rsidRDefault="00EB600B" w:rsidP="00381940">
      <w:pPr>
        <w:keepNext/>
        <w:tabs>
          <w:tab w:val="left" w:pos="5040"/>
        </w:tabs>
        <w:jc w:val="both"/>
      </w:pPr>
    </w:p>
    <w:p w:rsidR="00381940" w:rsidRDefault="00EB600B" w:rsidP="00381940">
      <w:pPr>
        <w:keepNext/>
        <w:tabs>
          <w:tab w:val="left" w:pos="5040"/>
        </w:tabs>
        <w:jc w:val="both"/>
      </w:pPr>
      <w:r>
        <w:t>O’LEARY, P. J.</w:t>
      </w:r>
    </w:p>
    <w:p w:rsidR="00381940" w:rsidRDefault="00EB600B" w:rsidP="00381940">
      <w:pPr>
        <w:keepNext/>
        <w:tabs>
          <w:tab w:val="left" w:pos="5040"/>
        </w:tabs>
        <w:jc w:val="both"/>
      </w:pPr>
    </w:p>
    <w:p w:rsidR="00381940" w:rsidRDefault="00EB600B" w:rsidP="00381940">
      <w:pPr>
        <w:keepNext/>
        <w:tabs>
          <w:tab w:val="left" w:pos="5040"/>
        </w:tabs>
        <w:jc w:val="both"/>
      </w:pPr>
    </w:p>
    <w:p w:rsidR="00381940" w:rsidRDefault="00EB600B" w:rsidP="00381940">
      <w:pPr>
        <w:keepNext/>
        <w:tabs>
          <w:tab w:val="left" w:pos="5040"/>
        </w:tabs>
        <w:jc w:val="both"/>
      </w:pPr>
    </w:p>
    <w:p w:rsidR="00CF0F19" w:rsidRDefault="00EB600B" w:rsidP="00381940">
      <w:pPr>
        <w:keepNext/>
        <w:tabs>
          <w:tab w:val="left" w:pos="5040"/>
        </w:tabs>
        <w:jc w:val="both"/>
      </w:pPr>
      <w:r>
        <w:t>BEDSWORTH, J.</w:t>
      </w:r>
    </w:p>
    <w:p w:rsidR="004E1293" w:rsidRDefault="004E1293" w:rsidP="004E1293">
      <w:pPr>
        <w:tabs>
          <w:tab w:val="left" w:pos="5040"/>
        </w:tabs>
        <w:jc w:val="both"/>
        <w:sectPr w:rsidR="004E1293" w:rsidSect="00F726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4E1293" w:rsidRPr="004E1293" w:rsidRDefault="004E1293" w:rsidP="004E1293">
      <w:pPr>
        <w:rPr>
          <w:sz w:val="20"/>
        </w:rPr>
      </w:pPr>
      <w:r w:rsidRPr="004E1293">
        <w:rPr>
          <w:sz w:val="20"/>
        </w:rPr>
        <w:t>Filed 12/22/2016</w:t>
      </w:r>
    </w:p>
    <w:p w:rsidR="004E1293" w:rsidRPr="004E1293" w:rsidRDefault="004E1293" w:rsidP="004E1293"/>
    <w:p w:rsidR="004E1293" w:rsidRPr="004E1293" w:rsidRDefault="004E1293" w:rsidP="004E1293">
      <w:pPr>
        <w:jc w:val="center"/>
      </w:pPr>
      <w:r w:rsidRPr="004E1293">
        <w:rPr>
          <w:b/>
        </w:rPr>
        <w:t>CERTIFIED FOR PUBLICATION</w:t>
      </w:r>
    </w:p>
    <w:p w:rsidR="004E1293" w:rsidRPr="004E1293" w:rsidRDefault="004E1293" w:rsidP="004E1293">
      <w:pPr>
        <w:jc w:val="center"/>
      </w:pPr>
    </w:p>
    <w:p w:rsidR="004E1293" w:rsidRPr="004E1293" w:rsidRDefault="004E1293" w:rsidP="004E1293">
      <w:pPr>
        <w:jc w:val="center"/>
      </w:pPr>
      <w:r w:rsidRPr="004E1293">
        <w:t>IN THE COURT OF APPEAL OF THE STATE OF CALIFORNIA</w:t>
      </w:r>
    </w:p>
    <w:p w:rsidR="004E1293" w:rsidRPr="004E1293" w:rsidRDefault="004E1293" w:rsidP="004E1293">
      <w:pPr>
        <w:jc w:val="center"/>
      </w:pPr>
    </w:p>
    <w:p w:rsidR="004E1293" w:rsidRPr="004E1293" w:rsidRDefault="004E1293" w:rsidP="004E1293">
      <w:pPr>
        <w:jc w:val="center"/>
      </w:pPr>
      <w:r w:rsidRPr="004E1293">
        <w:t>FOURTH APPELLATE DISTRICT</w:t>
      </w:r>
    </w:p>
    <w:p w:rsidR="004E1293" w:rsidRPr="004E1293" w:rsidRDefault="004E1293" w:rsidP="004E1293">
      <w:pPr>
        <w:jc w:val="center"/>
      </w:pPr>
    </w:p>
    <w:p w:rsidR="004E1293" w:rsidRPr="004E1293" w:rsidRDefault="004E1293" w:rsidP="004E1293">
      <w:pPr>
        <w:jc w:val="center"/>
      </w:pPr>
      <w:r w:rsidRPr="004E1293">
        <w:t>DIVISION THREE</w:t>
      </w:r>
    </w:p>
    <w:p w:rsidR="004E1293" w:rsidRPr="004E1293" w:rsidRDefault="004E1293" w:rsidP="004E1293">
      <w:pPr>
        <w:jc w:val="center"/>
      </w:pPr>
    </w:p>
    <w:p w:rsidR="004E1293" w:rsidRPr="004E1293" w:rsidRDefault="004E1293" w:rsidP="004E1293">
      <w:pPr>
        <w:jc w:val="center"/>
      </w:pPr>
    </w:p>
    <w:tbl>
      <w:tblPr>
        <w:tblW w:w="0" w:type="auto"/>
        <w:tblLayout w:type="fixed"/>
        <w:tblLook w:val="0000" w:firstRow="0" w:lastRow="0" w:firstColumn="0" w:lastColumn="0" w:noHBand="0" w:noVBand="0"/>
      </w:tblPr>
      <w:tblGrid>
        <w:gridCol w:w="4788"/>
        <w:gridCol w:w="4788"/>
      </w:tblGrid>
      <w:tr w:rsidR="004E1293" w:rsidRPr="004E1293" w:rsidTr="00A01737">
        <w:tc>
          <w:tcPr>
            <w:tcW w:w="4788" w:type="dxa"/>
            <w:tcBorders>
              <w:bottom w:val="single" w:sz="4" w:space="0" w:color="auto"/>
              <w:right w:val="single" w:sz="4" w:space="0" w:color="auto"/>
            </w:tcBorders>
            <w:shd w:val="clear" w:color="auto" w:fill="auto"/>
          </w:tcPr>
          <w:p w:rsidR="004E1293" w:rsidRPr="004E1293" w:rsidRDefault="004E1293" w:rsidP="004E1293">
            <w:r w:rsidRPr="004E1293">
              <w:t>NEWPORT HARBOR VENTURES, LLC, et al.,</w:t>
            </w:r>
          </w:p>
          <w:p w:rsidR="004E1293" w:rsidRPr="004E1293" w:rsidRDefault="004E1293" w:rsidP="004E1293"/>
          <w:p w:rsidR="004E1293" w:rsidRPr="004E1293" w:rsidRDefault="004E1293" w:rsidP="004E1293">
            <w:r w:rsidRPr="004E1293">
              <w:t xml:space="preserve">      Plaintiffs and Respondents,</w:t>
            </w:r>
          </w:p>
          <w:p w:rsidR="004E1293" w:rsidRPr="004E1293" w:rsidRDefault="004E1293" w:rsidP="004E1293"/>
          <w:p w:rsidR="004E1293" w:rsidRPr="004E1293" w:rsidRDefault="004E1293" w:rsidP="004E1293">
            <w:r w:rsidRPr="004E1293">
              <w:tab/>
              <w:t>v.</w:t>
            </w:r>
          </w:p>
          <w:p w:rsidR="004E1293" w:rsidRPr="004E1293" w:rsidRDefault="004E1293" w:rsidP="004E1293"/>
          <w:p w:rsidR="004E1293" w:rsidRPr="004E1293" w:rsidRDefault="004E1293" w:rsidP="004E1293">
            <w:r w:rsidRPr="004E1293">
              <w:t>MORRIS CERULLO WORLD EVANGELISM et al.,</w:t>
            </w:r>
          </w:p>
          <w:p w:rsidR="004E1293" w:rsidRPr="004E1293" w:rsidRDefault="004E1293" w:rsidP="004E1293"/>
          <w:p w:rsidR="004E1293" w:rsidRPr="004E1293" w:rsidRDefault="004E1293" w:rsidP="004E1293">
            <w:r w:rsidRPr="004E1293">
              <w:t xml:space="preserve">      Defendants and Appellants.</w:t>
            </w:r>
          </w:p>
          <w:p w:rsidR="004E1293" w:rsidRPr="004E1293" w:rsidRDefault="004E1293" w:rsidP="004E1293"/>
        </w:tc>
        <w:tc>
          <w:tcPr>
            <w:tcW w:w="4788" w:type="dxa"/>
            <w:tcBorders>
              <w:left w:val="single" w:sz="4" w:space="0" w:color="auto"/>
            </w:tcBorders>
            <w:shd w:val="clear" w:color="auto" w:fill="auto"/>
          </w:tcPr>
          <w:p w:rsidR="004E1293" w:rsidRPr="004E1293" w:rsidRDefault="004E1293" w:rsidP="004E1293"/>
          <w:p w:rsidR="004E1293" w:rsidRPr="004E1293" w:rsidRDefault="004E1293" w:rsidP="004E1293"/>
          <w:p w:rsidR="004E1293" w:rsidRPr="004E1293" w:rsidRDefault="004E1293" w:rsidP="004E1293">
            <w:r w:rsidRPr="004E1293">
              <w:t xml:space="preserve">         G052660</w:t>
            </w:r>
          </w:p>
          <w:p w:rsidR="004E1293" w:rsidRPr="004E1293" w:rsidRDefault="004E1293" w:rsidP="004E1293"/>
          <w:p w:rsidR="004E1293" w:rsidRPr="004E1293" w:rsidRDefault="004E1293" w:rsidP="004E1293">
            <w:r w:rsidRPr="004E1293">
              <w:t xml:space="preserve">         (Super. Ct. No. 30-2013-00665314)</w:t>
            </w:r>
          </w:p>
          <w:p w:rsidR="004E1293" w:rsidRPr="004E1293" w:rsidRDefault="004E1293" w:rsidP="004E1293"/>
          <w:p w:rsidR="004E1293" w:rsidRPr="004E1293" w:rsidRDefault="004E1293" w:rsidP="004E1293">
            <w:r w:rsidRPr="004E1293">
              <w:t xml:space="preserve">         ORDER GRANTING REQUEST</w:t>
            </w:r>
            <w:r w:rsidRPr="004E1293">
              <w:br/>
              <w:t xml:space="preserve">         FOR PUBLICATION</w:t>
            </w:r>
          </w:p>
        </w:tc>
      </w:tr>
    </w:tbl>
    <w:p w:rsidR="004E1293" w:rsidRPr="004E1293" w:rsidRDefault="004E1293" w:rsidP="004E1293">
      <w:pPr>
        <w:spacing w:before="240" w:line="480" w:lineRule="atLeast"/>
        <w:ind w:firstLine="1440"/>
      </w:pPr>
      <w:r w:rsidRPr="004E1293">
        <w:t>Appellants have requested that our opinion, filed on November 30, 2016, be certified for publication.  It appears that our opinion meets the standards set forth in California Rules of Court, rule 8.1105(c)(2)-(6).  The request is GRANTED.  The opinion is ordered published in the Official Reports.</w:t>
      </w:r>
    </w:p>
    <w:p w:rsidR="004E1293" w:rsidRPr="004E1293" w:rsidRDefault="004E1293" w:rsidP="004E1293">
      <w:pPr>
        <w:keepNext/>
        <w:tabs>
          <w:tab w:val="left" w:pos="5040"/>
        </w:tabs>
      </w:pPr>
    </w:p>
    <w:p w:rsidR="004E1293" w:rsidRPr="004E1293" w:rsidRDefault="004E1293" w:rsidP="004E1293">
      <w:pPr>
        <w:keepNext/>
        <w:tabs>
          <w:tab w:val="left" w:pos="5040"/>
        </w:tabs>
        <w:jc w:val="both"/>
      </w:pPr>
    </w:p>
    <w:p w:rsidR="004E1293" w:rsidRPr="004E1293" w:rsidRDefault="004E1293" w:rsidP="004E1293">
      <w:pPr>
        <w:keepNext/>
        <w:tabs>
          <w:tab w:val="left" w:pos="5040"/>
        </w:tabs>
        <w:jc w:val="both"/>
      </w:pPr>
      <w:r w:rsidRPr="004E1293">
        <w:tab/>
      </w:r>
    </w:p>
    <w:p w:rsidR="004E1293" w:rsidRPr="004E1293" w:rsidRDefault="004E1293" w:rsidP="004E1293">
      <w:pPr>
        <w:keepNext/>
        <w:tabs>
          <w:tab w:val="left" w:pos="5040"/>
        </w:tabs>
        <w:jc w:val="both"/>
      </w:pPr>
      <w:r w:rsidRPr="004E1293">
        <w:tab/>
        <w:t>FYBEL, J.</w:t>
      </w:r>
    </w:p>
    <w:p w:rsidR="004E1293" w:rsidRPr="004E1293" w:rsidRDefault="004E1293" w:rsidP="004E1293">
      <w:pPr>
        <w:keepNext/>
        <w:tabs>
          <w:tab w:val="left" w:pos="5040"/>
        </w:tabs>
        <w:jc w:val="both"/>
      </w:pPr>
    </w:p>
    <w:p w:rsidR="004E1293" w:rsidRPr="004E1293" w:rsidRDefault="004E1293" w:rsidP="004E1293">
      <w:pPr>
        <w:keepNext/>
        <w:tabs>
          <w:tab w:val="left" w:pos="5040"/>
        </w:tabs>
        <w:jc w:val="both"/>
      </w:pPr>
      <w:r w:rsidRPr="004E1293">
        <w:t>WE CONCUR:</w:t>
      </w:r>
    </w:p>
    <w:p w:rsidR="004E1293" w:rsidRPr="004E1293" w:rsidRDefault="004E1293" w:rsidP="004E1293">
      <w:pPr>
        <w:keepNext/>
        <w:tabs>
          <w:tab w:val="left" w:pos="5040"/>
        </w:tabs>
        <w:jc w:val="both"/>
      </w:pPr>
    </w:p>
    <w:p w:rsidR="004E1293" w:rsidRPr="004E1293" w:rsidRDefault="004E1293" w:rsidP="004E1293">
      <w:pPr>
        <w:keepNext/>
        <w:tabs>
          <w:tab w:val="left" w:pos="5040"/>
        </w:tabs>
        <w:jc w:val="both"/>
      </w:pPr>
    </w:p>
    <w:p w:rsidR="004E1293" w:rsidRPr="004E1293" w:rsidRDefault="004E1293" w:rsidP="004E1293">
      <w:pPr>
        <w:keepNext/>
        <w:tabs>
          <w:tab w:val="left" w:pos="5040"/>
        </w:tabs>
        <w:jc w:val="both"/>
      </w:pPr>
    </w:p>
    <w:p w:rsidR="004E1293" w:rsidRPr="004E1293" w:rsidRDefault="004E1293" w:rsidP="004E1293">
      <w:pPr>
        <w:keepNext/>
        <w:tabs>
          <w:tab w:val="left" w:pos="5040"/>
        </w:tabs>
        <w:jc w:val="both"/>
      </w:pPr>
      <w:r w:rsidRPr="004E1293">
        <w:t>O’LEARY, P. J.</w:t>
      </w:r>
    </w:p>
    <w:p w:rsidR="004E1293" w:rsidRPr="004E1293" w:rsidRDefault="004E1293" w:rsidP="004E1293">
      <w:pPr>
        <w:keepNext/>
        <w:tabs>
          <w:tab w:val="left" w:pos="5040"/>
        </w:tabs>
        <w:jc w:val="both"/>
      </w:pPr>
    </w:p>
    <w:p w:rsidR="004E1293" w:rsidRPr="004E1293" w:rsidRDefault="004E1293" w:rsidP="004E1293">
      <w:pPr>
        <w:keepNext/>
        <w:tabs>
          <w:tab w:val="left" w:pos="5040"/>
        </w:tabs>
        <w:jc w:val="both"/>
      </w:pPr>
    </w:p>
    <w:p w:rsidR="004E1293" w:rsidRPr="004E1293" w:rsidRDefault="004E1293" w:rsidP="004E1293">
      <w:pPr>
        <w:keepNext/>
        <w:tabs>
          <w:tab w:val="left" w:pos="5040"/>
        </w:tabs>
        <w:jc w:val="both"/>
      </w:pPr>
    </w:p>
    <w:p w:rsidR="004E1293" w:rsidRPr="004E1293" w:rsidRDefault="004E1293" w:rsidP="004E1293">
      <w:pPr>
        <w:keepNext/>
        <w:tabs>
          <w:tab w:val="left" w:pos="5040"/>
        </w:tabs>
        <w:jc w:val="both"/>
      </w:pPr>
      <w:r w:rsidRPr="004E1293">
        <w:t>BEDSWORTH, J.</w:t>
      </w:r>
    </w:p>
    <w:p w:rsidR="004E1293" w:rsidRPr="00F72679" w:rsidRDefault="004E1293" w:rsidP="004E1293">
      <w:pPr>
        <w:tabs>
          <w:tab w:val="left" w:pos="5040"/>
        </w:tabs>
        <w:jc w:val="both"/>
      </w:pPr>
    </w:p>
    <w:sectPr w:rsidR="004E1293" w:rsidRPr="00F72679" w:rsidSect="00E40F1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600B">
      <w:r>
        <w:separator/>
      </w:r>
    </w:p>
  </w:endnote>
  <w:endnote w:type="continuationSeparator" w:id="0">
    <w:p w:rsidR="00000000" w:rsidRDefault="00EB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F7" w:rsidRDefault="00EB600B" w:rsidP="00F409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F56F7" w:rsidRDefault="00EB6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F7" w:rsidRDefault="00EB600B" w:rsidP="00F409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56F7" w:rsidRDefault="00EB60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D5" w:rsidRDefault="00EB60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F7" w:rsidRDefault="00EB600B" w:rsidP="00F409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56F7" w:rsidRDefault="00EB60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6F7" w:rsidRDefault="00EB600B" w:rsidP="00F409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1293">
      <w:rPr>
        <w:rStyle w:val="PageNumber"/>
        <w:noProof/>
      </w:rPr>
      <w:t>23</w:t>
    </w:r>
    <w:r>
      <w:rPr>
        <w:rStyle w:val="PageNumber"/>
      </w:rPr>
      <w:fldChar w:fldCharType="end"/>
    </w:r>
  </w:p>
  <w:p w:rsidR="00FF56F7" w:rsidRDefault="00EB600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FF" w:rsidRDefault="00EB6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6F7" w:rsidRDefault="00EB600B" w:rsidP="00F72679">
      <w:r>
        <w:separator/>
      </w:r>
    </w:p>
  </w:footnote>
  <w:footnote w:type="continuationSeparator" w:id="0">
    <w:p w:rsidR="00FF56F7" w:rsidRDefault="00EB600B" w:rsidP="00F72679">
      <w:r>
        <w:continuationSeparator/>
      </w:r>
    </w:p>
  </w:footnote>
  <w:footnote w:id="1">
    <w:p w:rsidR="00FF56F7" w:rsidRPr="000D4BF4" w:rsidRDefault="00EB600B" w:rsidP="00B847C8">
      <w:pPr>
        <w:pStyle w:val="FootnoteText"/>
        <w:keepLines w:val="0"/>
        <w:widowControl/>
      </w:pPr>
      <w:r>
        <w:t xml:space="preserve">  </w:t>
      </w:r>
      <w:r>
        <w:rPr>
          <w:rStyle w:val="FootnoteReference"/>
        </w:rPr>
        <w:footnoteRef/>
      </w:r>
      <w:r>
        <w:t xml:space="preserve">  “SLAPP” is an acronym for “strategic lawsuit against public participation.”  (</w:t>
      </w:r>
      <w:r>
        <w:rPr>
          <w:i/>
        </w:rPr>
        <w:t xml:space="preserve">Equilon Enterprises v. Consumer Cause, Inc. </w:t>
      </w:r>
      <w:r>
        <w:t xml:space="preserve">(2002) 29 Cal.4th 53, 57.)  Further </w:t>
      </w:r>
      <w:r>
        <w:t>c</w:t>
      </w:r>
      <w:r>
        <w:t xml:space="preserve">ode references are to the Code of Civil Procedure.  </w:t>
      </w:r>
    </w:p>
  </w:footnote>
  <w:footnote w:id="2">
    <w:p w:rsidR="00FF56F7" w:rsidRDefault="00EB600B" w:rsidP="00B847C8">
      <w:pPr>
        <w:pStyle w:val="FootnoteText"/>
        <w:keepLines w:val="0"/>
        <w:widowControl/>
      </w:pPr>
      <w:r>
        <w:t xml:space="preserve">  </w:t>
      </w:r>
      <w:r>
        <w:rPr>
          <w:rStyle w:val="FootnoteReference"/>
        </w:rPr>
        <w:footnoteRef/>
      </w:r>
      <w:r>
        <w:t xml:space="preserve">  We refer to section 425.16, subdivision (f) as section 425.16(f).  In like fashion, we refer to section 425.16, subdivision (b)(1) as section 425.16(b)(1), and section 425.16, subdivision (e) as section 425.16(e).</w:t>
      </w:r>
    </w:p>
  </w:footnote>
  <w:footnote w:id="3">
    <w:p w:rsidR="00FF56F7" w:rsidRDefault="00EB600B" w:rsidP="00B847C8">
      <w:pPr>
        <w:pStyle w:val="FootnoteText"/>
        <w:keepLines w:val="0"/>
        <w:widowControl/>
      </w:pPr>
      <w:r>
        <w:t xml:space="preserve">  </w:t>
      </w:r>
      <w:r>
        <w:rPr>
          <w:rStyle w:val="FootnoteReference"/>
        </w:rPr>
        <w:footnoteRef/>
      </w:r>
      <w:r>
        <w:t xml:space="preserve">  We refer to Cerullo and Artz’s special motion to strike as the anti</w:t>
      </w:r>
      <w:r>
        <w:noBreakHyphen/>
        <w:t xml:space="preserve">SLAPP motion. </w:t>
      </w:r>
    </w:p>
  </w:footnote>
  <w:footnote w:id="4">
    <w:p w:rsidR="00FF56F7" w:rsidRDefault="00EB600B" w:rsidP="00490935">
      <w:pPr>
        <w:pStyle w:val="FootnoteText"/>
        <w:keepLines w:val="0"/>
        <w:widowControl/>
      </w:pPr>
      <w:r>
        <w:t xml:space="preserve">  </w:t>
      </w:r>
      <w:r>
        <w:rPr>
          <w:rStyle w:val="FootnoteReference"/>
        </w:rPr>
        <w:footnoteRef/>
      </w:r>
      <w:r>
        <w:t xml:space="preserve">  At some point, NHV and VMG might have to elect between a breach of contract remedy and a quantum meruit remedy.  (4 Witkin, Cal. Procedure, </w:t>
      </w:r>
      <w:r>
        <w:rPr>
          <w:i/>
        </w:rPr>
        <w:t>supra</w:t>
      </w:r>
      <w:r w:rsidRPr="00773EDE">
        <w:t xml:space="preserve">, </w:t>
      </w:r>
      <w:r>
        <w:t>Pleading, § 409, pp</w:t>
      </w:r>
      <w:r>
        <w:t>. 547</w:t>
      </w:r>
      <w:r>
        <w:noBreakHyphen/>
        <w:t>548.)  But that point is not now.  “‘Plaintiff is entitled to introduce his evidence upon each and all of these causes of action, and the election, or in other words the decision as to which of them is sustained, is, after the taking of all the evide</w:t>
      </w:r>
      <w:r>
        <w:t>nce, a matter for the judge or the jury.’”  (</w:t>
      </w:r>
      <w:r>
        <w:rPr>
          <w:i/>
        </w:rPr>
        <w:t>Id.</w:t>
      </w:r>
      <w:r>
        <w:t xml:space="preserve">, § 406, p. 545, quoting </w:t>
      </w:r>
      <w:r>
        <w:rPr>
          <w:i/>
        </w:rPr>
        <w:t xml:space="preserve">Tanforan v. Tanforan </w:t>
      </w:r>
      <w:r>
        <w:t xml:space="preserve">(1916) 173 Cal. 270, 274.)  </w:t>
      </w:r>
    </w:p>
  </w:footnote>
  <w:footnote w:id="5">
    <w:p w:rsidR="00FF56F7" w:rsidRDefault="00EB600B" w:rsidP="00773EDE">
      <w:pPr>
        <w:pStyle w:val="FootnoteText"/>
        <w:keepLines w:val="0"/>
        <w:widowControl/>
      </w:pPr>
      <w:r>
        <w:t xml:space="preserve">  </w:t>
      </w:r>
      <w:r>
        <w:rPr>
          <w:rStyle w:val="FootnoteReference"/>
        </w:rPr>
        <w:footnoteRef/>
      </w:r>
      <w:r>
        <w:t xml:space="preserve">  The</w:t>
      </w:r>
      <w:r>
        <w:t xml:space="preserve"> applicable</w:t>
      </w:r>
      <w:r>
        <w:t xml:space="preserve"> </w:t>
      </w:r>
      <w:r w:rsidRPr="0053018C">
        <w:rPr>
          <w:bCs/>
        </w:rPr>
        <w:t>statute</w:t>
      </w:r>
      <w:r w:rsidRPr="0053018C">
        <w:t xml:space="preserve"> of </w:t>
      </w:r>
      <w:r w:rsidRPr="0053018C">
        <w:rPr>
          <w:bCs/>
        </w:rPr>
        <w:t>limitations</w:t>
      </w:r>
      <w:r w:rsidRPr="0053018C">
        <w:t xml:space="preserve"> is determined by the nature of the right sued upon</w:t>
      </w:r>
      <w:r>
        <w:t xml:space="preserve"> rather than</w:t>
      </w:r>
      <w:r w:rsidRPr="0053018C">
        <w:t xml:space="preserve"> the form of the action or t</w:t>
      </w:r>
      <w:r w:rsidRPr="0053018C">
        <w:t>he relief demanded.  (</w:t>
      </w:r>
      <w:r w:rsidRPr="0053018C">
        <w:rPr>
          <w:i/>
        </w:rPr>
        <w:t>Day v. Greene</w:t>
      </w:r>
      <w:r w:rsidRPr="0053018C">
        <w:t xml:space="preserve"> (1963) 59 Cal.2d 404, 411.) </w:t>
      </w:r>
      <w:r>
        <w:t xml:space="preserve"> </w:t>
      </w:r>
      <w:r w:rsidRPr="0053018C">
        <w:t>The California Supreme Court accordingly has held that where the primary purpose of an equitable cause of action is to recover money under a contract, the statute of limitations applicable to</w:t>
      </w:r>
      <w:r w:rsidRPr="0053018C">
        <w:t xml:space="preserve"> contract actions governs the equitable claim. </w:t>
      </w:r>
      <w:r>
        <w:t xml:space="preserve"> </w:t>
      </w:r>
      <w:r w:rsidRPr="0053018C">
        <w:t>(</w:t>
      </w:r>
      <w:r w:rsidRPr="0053018C">
        <w:rPr>
          <w:i/>
        </w:rPr>
        <w:t>Jefferson v. J.</w:t>
      </w:r>
      <w:r>
        <w:rPr>
          <w:i/>
        </w:rPr>
        <w:t xml:space="preserve"> </w:t>
      </w:r>
      <w:r w:rsidRPr="0053018C">
        <w:rPr>
          <w:i/>
        </w:rPr>
        <w:t>E. French Co.</w:t>
      </w:r>
      <w:r w:rsidRPr="0053018C">
        <w:t xml:space="preserve"> (1960) 54 Cal.2d 717, 718</w:t>
      </w:r>
      <w:r>
        <w:noBreakHyphen/>
      </w:r>
      <w:r w:rsidRPr="0053018C">
        <w:t xml:space="preserve">719 [accounting action was subject to the two-year statute of limitations of section 339 because </w:t>
      </w:r>
      <w:r>
        <w:t>“</w:t>
      </w:r>
      <w:r w:rsidRPr="0053018C">
        <w:t>the primary purpose of the action [was] to recover mo</w:t>
      </w:r>
      <w:r w:rsidRPr="0053018C">
        <w:t>ney under the oral contract</w:t>
      </w:r>
      <w:r>
        <w:t>”</w:t>
      </w:r>
      <w:r w:rsidRPr="0053018C">
        <w:t xml:space="preserve"> and the </w:t>
      </w:r>
      <w:r>
        <w:t>“</w:t>
      </w:r>
      <w:r w:rsidRPr="0053018C">
        <w:t>accounting [was] merely ancillary to the perfection of plaintiff's right under the oral contract</w:t>
      </w:r>
      <w:r>
        <w:t>”</w:t>
      </w:r>
      <w:r w:rsidRPr="0053018C">
        <w:t>]</w:t>
      </w:r>
      <w:r>
        <w:t>.)</w:t>
      </w:r>
      <w:r w:rsidRPr="0053018C">
        <w:t xml:space="preserve"> </w:t>
      </w:r>
      <w:r>
        <w:t xml:space="preserve"> In this case, NHV and VMG’s claim for promissory estoppel is closest in nature to a claim of breach of oral contract</w:t>
      </w:r>
      <w:r>
        <w:t xml:space="preserve"> and, therefore, the two</w:t>
      </w:r>
      <w:r>
        <w:noBreakHyphen/>
        <w:t>year period of section 339, subdivision 1 (action on an obligation not in writing) is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D5" w:rsidRDefault="00EB60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D5" w:rsidRDefault="00EB60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D5" w:rsidRDefault="00EB60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FF" w:rsidRDefault="00EB60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FF" w:rsidRDefault="00EB60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4FF" w:rsidRDefault="00EB6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EA"/>
    <w:rsid w:val="00362FEA"/>
    <w:rsid w:val="004E1293"/>
    <w:rsid w:val="00C14C6E"/>
    <w:rsid w:val="00EB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6"/>
        <w:szCs w:val="26"/>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iPriority="2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C452F"/>
    <w:rPr>
      <w:rFonts w:ascii="Times New Roman" w:hAnsi="Times New Roman"/>
      <w:szCs w:val="20"/>
      <w:lang w:bidi="ar-SA"/>
    </w:rPr>
  </w:style>
  <w:style w:type="paragraph" w:styleId="Heading1">
    <w:name w:val="heading 1"/>
    <w:basedOn w:val="Normal"/>
    <w:next w:val="Normal"/>
    <w:link w:val="Heading1Char"/>
    <w:uiPriority w:val="9"/>
    <w:qFormat/>
    <w:rsid w:val="00DE320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DE320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DE320A"/>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DE320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DE320A"/>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DE320A"/>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DE320A"/>
    <w:pPr>
      <w:spacing w:before="240" w:after="60"/>
      <w:outlineLvl w:val="6"/>
    </w:pPr>
    <w:rPr>
      <w:sz w:val="24"/>
    </w:rPr>
  </w:style>
  <w:style w:type="paragraph" w:styleId="Heading8">
    <w:name w:val="heading 8"/>
    <w:basedOn w:val="Normal"/>
    <w:next w:val="Normal"/>
    <w:link w:val="Heading8Char"/>
    <w:uiPriority w:val="9"/>
    <w:semiHidden/>
    <w:unhideWhenUsed/>
    <w:qFormat/>
    <w:rsid w:val="00DE320A"/>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DE320A"/>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20A"/>
    <w:rPr>
      <w:rFonts w:asciiTheme="majorHAnsi" w:eastAsiaTheme="majorEastAsia" w:hAnsiTheme="majorHAnsi"/>
      <w:b/>
      <w:bCs/>
      <w:kern w:val="32"/>
      <w:sz w:val="32"/>
      <w:szCs w:val="32"/>
      <w:lang w:bidi="ar-SA"/>
    </w:rPr>
  </w:style>
  <w:style w:type="character" w:customStyle="1" w:styleId="Heading2Char">
    <w:name w:val="Heading 2 Char"/>
    <w:basedOn w:val="DefaultParagraphFont"/>
    <w:link w:val="Heading2"/>
    <w:uiPriority w:val="9"/>
    <w:rsid w:val="00DE320A"/>
    <w:rPr>
      <w:rFonts w:asciiTheme="majorHAnsi" w:eastAsiaTheme="majorEastAsia" w:hAnsiTheme="majorHAnsi"/>
      <w:b/>
      <w:bCs/>
      <w:i/>
      <w:iCs/>
      <w:sz w:val="28"/>
      <w:szCs w:val="28"/>
      <w:lang w:bidi="ar-SA"/>
    </w:rPr>
  </w:style>
  <w:style w:type="character" w:customStyle="1" w:styleId="Heading3Char">
    <w:name w:val="Heading 3 Char"/>
    <w:basedOn w:val="DefaultParagraphFont"/>
    <w:link w:val="Heading3"/>
    <w:uiPriority w:val="9"/>
    <w:rsid w:val="00DE320A"/>
    <w:rPr>
      <w:rFonts w:asciiTheme="majorHAnsi" w:eastAsiaTheme="majorEastAsia" w:hAnsiTheme="majorHAnsi"/>
      <w:b/>
      <w:bCs/>
      <w:lang w:bidi="ar-SA"/>
    </w:rPr>
  </w:style>
  <w:style w:type="character" w:customStyle="1" w:styleId="Heading6Char">
    <w:name w:val="Heading 6 Char"/>
    <w:basedOn w:val="DefaultParagraphFont"/>
    <w:link w:val="Heading6"/>
    <w:uiPriority w:val="9"/>
    <w:semiHidden/>
    <w:rsid w:val="00DE320A"/>
    <w:rPr>
      <w:rFonts w:ascii="Times New Roman" w:eastAsia="Times New Roman" w:hAnsi="Times New Roman"/>
      <w:b/>
      <w:bCs/>
      <w:lang w:bidi="ar-SA"/>
    </w:rPr>
  </w:style>
  <w:style w:type="character" w:customStyle="1" w:styleId="Heading7Char">
    <w:name w:val="Heading 7 Char"/>
    <w:basedOn w:val="DefaultParagraphFont"/>
    <w:link w:val="Heading7"/>
    <w:uiPriority w:val="9"/>
    <w:semiHidden/>
    <w:rsid w:val="00DE320A"/>
    <w:rPr>
      <w:rFonts w:ascii="Times New Roman" w:eastAsia="Times New Roman" w:hAnsi="Times New Roman"/>
      <w:sz w:val="24"/>
      <w:szCs w:val="20"/>
      <w:lang w:bidi="ar-SA"/>
    </w:rPr>
  </w:style>
  <w:style w:type="character" w:customStyle="1" w:styleId="Heading8Char">
    <w:name w:val="Heading 8 Char"/>
    <w:basedOn w:val="DefaultParagraphFont"/>
    <w:link w:val="Heading8"/>
    <w:uiPriority w:val="9"/>
    <w:semiHidden/>
    <w:rsid w:val="00DE320A"/>
    <w:rPr>
      <w:rFonts w:ascii="Times New Roman" w:eastAsia="Times New Roman" w:hAnsi="Times New Roman"/>
      <w:i/>
      <w:iCs/>
      <w:sz w:val="24"/>
      <w:szCs w:val="20"/>
      <w:lang w:bidi="ar-SA"/>
    </w:rPr>
  </w:style>
  <w:style w:type="character" w:customStyle="1" w:styleId="Heading9Char">
    <w:name w:val="Heading 9 Char"/>
    <w:basedOn w:val="DefaultParagraphFont"/>
    <w:link w:val="Heading9"/>
    <w:uiPriority w:val="9"/>
    <w:semiHidden/>
    <w:rsid w:val="00DE320A"/>
    <w:rPr>
      <w:rFonts w:asciiTheme="majorHAnsi" w:eastAsiaTheme="majorEastAsia" w:hAnsiTheme="majorHAnsi"/>
      <w:lang w:bidi="ar-SA"/>
    </w:rPr>
  </w:style>
  <w:style w:type="paragraph" w:styleId="Title">
    <w:name w:val="Title"/>
    <w:basedOn w:val="Normal"/>
    <w:next w:val="Normal"/>
    <w:link w:val="TitleChar"/>
    <w:uiPriority w:val="10"/>
    <w:qFormat/>
    <w:rsid w:val="00DE320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E320A"/>
    <w:rPr>
      <w:rFonts w:asciiTheme="majorHAnsi" w:eastAsiaTheme="majorEastAsia" w:hAnsiTheme="majorHAnsi"/>
      <w:b/>
      <w:bCs/>
      <w:kern w:val="28"/>
      <w:sz w:val="32"/>
      <w:szCs w:val="32"/>
      <w:lang w:bidi="ar-SA"/>
    </w:rPr>
  </w:style>
  <w:style w:type="paragraph" w:styleId="Subtitle">
    <w:name w:val="Subtitle"/>
    <w:basedOn w:val="Normal"/>
    <w:next w:val="Normal"/>
    <w:link w:val="SubtitleChar"/>
    <w:uiPriority w:val="11"/>
    <w:qFormat/>
    <w:rsid w:val="00DE320A"/>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DE320A"/>
    <w:rPr>
      <w:rFonts w:asciiTheme="majorHAnsi" w:eastAsiaTheme="majorEastAsia" w:hAnsiTheme="majorHAnsi"/>
      <w:sz w:val="24"/>
      <w:szCs w:val="20"/>
      <w:lang w:bidi="ar-SA"/>
    </w:rPr>
  </w:style>
  <w:style w:type="paragraph" w:styleId="TOCHeading">
    <w:name w:val="TOC Heading"/>
    <w:basedOn w:val="Heading1"/>
    <w:next w:val="Normal"/>
    <w:uiPriority w:val="39"/>
    <w:semiHidden/>
    <w:unhideWhenUsed/>
    <w:qFormat/>
    <w:rsid w:val="00DE320A"/>
    <w:pPr>
      <w:outlineLvl w:val="9"/>
    </w:pPr>
  </w:style>
  <w:style w:type="paragraph" w:styleId="EnvelopeAddress">
    <w:name w:val="envelope address"/>
    <w:basedOn w:val="Normal"/>
    <w:rsid w:val="00DE320A"/>
    <w:pPr>
      <w:framePr w:w="7920" w:h="1980" w:hRule="exact" w:hSpace="180" w:wrap="auto" w:hAnchor="page" w:xAlign="center" w:yAlign="bottom"/>
      <w:ind w:left="2880"/>
    </w:pPr>
  </w:style>
  <w:style w:type="paragraph" w:styleId="EnvelopeReturn">
    <w:name w:val="envelope return"/>
    <w:basedOn w:val="Normal"/>
    <w:rsid w:val="00DE320A"/>
  </w:style>
  <w:style w:type="paragraph" w:styleId="Footer">
    <w:name w:val="footer"/>
    <w:basedOn w:val="Normal"/>
    <w:link w:val="FooterChar"/>
    <w:rsid w:val="00DE320A"/>
    <w:pPr>
      <w:tabs>
        <w:tab w:val="center" w:pos="4320"/>
        <w:tab w:val="right" w:pos="8640"/>
      </w:tabs>
      <w:spacing w:line="520" w:lineRule="exact"/>
    </w:pPr>
  </w:style>
  <w:style w:type="character" w:customStyle="1" w:styleId="FooterChar">
    <w:name w:val="Footer Char"/>
    <w:basedOn w:val="DefaultParagraphFont"/>
    <w:link w:val="Footer"/>
    <w:rsid w:val="00DE320A"/>
    <w:rPr>
      <w:rFonts w:ascii="Times New Roman" w:eastAsia="Times New Roman" w:hAnsi="Times New Roman"/>
      <w:szCs w:val="20"/>
      <w:lang w:bidi="ar-SA"/>
    </w:rPr>
  </w:style>
  <w:style w:type="character" w:styleId="FootnoteReference">
    <w:name w:val="footnote reference"/>
    <w:basedOn w:val="DefaultParagraphFont"/>
    <w:rsid w:val="002C452F"/>
    <w:rPr>
      <w:rFonts w:ascii="Times New Roman" w:hAnsi="Times New Roman"/>
      <w:color w:val="000000" w:themeColor="text1"/>
      <w:position w:val="6"/>
      <w:sz w:val="26"/>
      <w:vertAlign w:val="superscript"/>
    </w:rPr>
  </w:style>
  <w:style w:type="paragraph" w:styleId="FootnoteText">
    <w:name w:val="footnote text"/>
    <w:basedOn w:val="Normal"/>
    <w:link w:val="FootnoteTextChar"/>
    <w:rsid w:val="00DE320A"/>
    <w:pPr>
      <w:keepLines/>
      <w:widowControl w:val="0"/>
    </w:pPr>
  </w:style>
  <w:style w:type="character" w:customStyle="1" w:styleId="FootnoteTextChar">
    <w:name w:val="Footnote Text Char"/>
    <w:basedOn w:val="DefaultParagraphFont"/>
    <w:link w:val="FootnoteText"/>
    <w:rsid w:val="00DE320A"/>
    <w:rPr>
      <w:rFonts w:ascii="Times New Roman" w:eastAsia="Times New Roman" w:hAnsi="Times New Roman"/>
      <w:szCs w:val="20"/>
      <w:lang w:bidi="ar-SA"/>
    </w:rPr>
  </w:style>
  <w:style w:type="paragraph" w:styleId="Header">
    <w:name w:val="header"/>
    <w:basedOn w:val="Normal"/>
    <w:link w:val="HeaderChar"/>
    <w:rsid w:val="00DE320A"/>
    <w:pPr>
      <w:tabs>
        <w:tab w:val="center" w:pos="4320"/>
        <w:tab w:val="right" w:pos="8640"/>
      </w:tabs>
    </w:pPr>
  </w:style>
  <w:style w:type="character" w:customStyle="1" w:styleId="HeaderChar">
    <w:name w:val="Header Char"/>
    <w:basedOn w:val="DefaultParagraphFont"/>
    <w:link w:val="Header"/>
    <w:rsid w:val="00DE320A"/>
    <w:rPr>
      <w:rFonts w:ascii="Times New Roman" w:eastAsia="Times New Roman" w:hAnsi="Times New Roman"/>
      <w:szCs w:val="20"/>
      <w:lang w:bidi="ar-SA"/>
    </w:rPr>
  </w:style>
  <w:style w:type="paragraph" w:customStyle="1" w:styleId="IndentedQuote">
    <w:name w:val="IndentedQuote"/>
    <w:basedOn w:val="Normal"/>
    <w:rsid w:val="00DE320A"/>
    <w:pPr>
      <w:spacing w:line="260" w:lineRule="exact"/>
      <w:ind w:left="1080" w:right="1080"/>
    </w:pPr>
  </w:style>
  <w:style w:type="paragraph" w:styleId="MacroText">
    <w:name w:val="macro"/>
    <w:link w:val="MacroTextChar"/>
    <w:rsid w:val="00DE320A"/>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lang w:bidi="ar-SA"/>
    </w:rPr>
  </w:style>
  <w:style w:type="character" w:customStyle="1" w:styleId="MacroTextChar">
    <w:name w:val="Macro Text Char"/>
    <w:basedOn w:val="DefaultParagraphFont"/>
    <w:link w:val="MacroText"/>
    <w:rsid w:val="00DE320A"/>
    <w:rPr>
      <w:rFonts w:ascii="Times New Roman" w:eastAsia="Times New Roman" w:hAnsi="Times New Roman"/>
      <w:sz w:val="22"/>
      <w:szCs w:val="20"/>
      <w:lang w:bidi="ar-SA"/>
    </w:rPr>
  </w:style>
  <w:style w:type="character" w:styleId="PageNumber">
    <w:name w:val="page number"/>
    <w:basedOn w:val="DefaultParagraphFont"/>
    <w:rsid w:val="00DE320A"/>
  </w:style>
  <w:style w:type="character" w:customStyle="1" w:styleId="Heading4Char">
    <w:name w:val="Heading 4 Char"/>
    <w:basedOn w:val="DefaultParagraphFont"/>
    <w:link w:val="Heading4"/>
    <w:uiPriority w:val="9"/>
    <w:semiHidden/>
    <w:rsid w:val="00DE320A"/>
    <w:rPr>
      <w:rFonts w:ascii="Times New Roman" w:eastAsia="Times New Roman" w:hAnsi="Times New Roman"/>
      <w:b/>
      <w:bCs/>
      <w:sz w:val="28"/>
      <w:szCs w:val="28"/>
      <w:lang w:bidi="ar-SA"/>
    </w:rPr>
  </w:style>
  <w:style w:type="character" w:customStyle="1" w:styleId="Heading5Char">
    <w:name w:val="Heading 5 Char"/>
    <w:basedOn w:val="DefaultParagraphFont"/>
    <w:link w:val="Heading5"/>
    <w:uiPriority w:val="9"/>
    <w:semiHidden/>
    <w:rsid w:val="00DE320A"/>
    <w:rPr>
      <w:rFonts w:ascii="Times New Roman" w:eastAsia="Times New Roman" w:hAnsi="Times New Roman"/>
      <w:b/>
      <w:bCs/>
      <w:i/>
      <w:iCs/>
      <w:lang w:bidi="ar-SA"/>
    </w:rPr>
  </w:style>
  <w:style w:type="character" w:styleId="Strong">
    <w:name w:val="Strong"/>
    <w:basedOn w:val="DefaultParagraphFont"/>
    <w:uiPriority w:val="22"/>
    <w:rsid w:val="00DE320A"/>
    <w:rPr>
      <w:b/>
      <w:bCs/>
    </w:rPr>
  </w:style>
  <w:style w:type="character" w:styleId="Emphasis">
    <w:name w:val="Emphasis"/>
    <w:basedOn w:val="DefaultParagraphFont"/>
    <w:uiPriority w:val="20"/>
    <w:rsid w:val="00DE320A"/>
    <w:rPr>
      <w:rFonts w:asciiTheme="minorHAnsi" w:hAnsiTheme="minorHAnsi"/>
      <w:b/>
      <w:i/>
      <w:iCs/>
    </w:rPr>
  </w:style>
  <w:style w:type="paragraph" w:styleId="NoSpacing">
    <w:name w:val="No Spacing"/>
    <w:basedOn w:val="Normal"/>
    <w:uiPriority w:val="1"/>
    <w:rsid w:val="00DE320A"/>
    <w:rPr>
      <w:szCs w:val="32"/>
    </w:rPr>
  </w:style>
  <w:style w:type="paragraph" w:styleId="ListParagraph">
    <w:name w:val="List Paragraph"/>
    <w:basedOn w:val="Normal"/>
    <w:uiPriority w:val="34"/>
    <w:rsid w:val="00DE320A"/>
    <w:pPr>
      <w:ind w:left="720"/>
      <w:contextualSpacing/>
    </w:pPr>
  </w:style>
  <w:style w:type="paragraph" w:styleId="Quote">
    <w:name w:val="Quote"/>
    <w:basedOn w:val="Normal"/>
    <w:next w:val="Normal"/>
    <w:link w:val="QuoteChar"/>
    <w:uiPriority w:val="29"/>
    <w:rsid w:val="00DE320A"/>
    <w:rPr>
      <w:i/>
    </w:rPr>
  </w:style>
  <w:style w:type="character" w:customStyle="1" w:styleId="QuoteChar">
    <w:name w:val="Quote Char"/>
    <w:basedOn w:val="DefaultParagraphFont"/>
    <w:link w:val="Quote"/>
    <w:uiPriority w:val="29"/>
    <w:rsid w:val="00DE320A"/>
    <w:rPr>
      <w:rFonts w:ascii="Times New Roman" w:eastAsia="Times New Roman" w:hAnsi="Times New Roman"/>
      <w:i/>
      <w:szCs w:val="20"/>
      <w:lang w:bidi="ar-SA"/>
    </w:rPr>
  </w:style>
  <w:style w:type="paragraph" w:styleId="IntenseQuote">
    <w:name w:val="Intense Quote"/>
    <w:basedOn w:val="Normal"/>
    <w:next w:val="Normal"/>
    <w:link w:val="IntenseQuoteChar"/>
    <w:uiPriority w:val="30"/>
    <w:rsid w:val="00DE320A"/>
    <w:pPr>
      <w:ind w:left="720" w:right="720"/>
    </w:pPr>
    <w:rPr>
      <w:b/>
      <w:i/>
      <w:szCs w:val="22"/>
    </w:rPr>
  </w:style>
  <w:style w:type="character" w:customStyle="1" w:styleId="IntenseQuoteChar">
    <w:name w:val="Intense Quote Char"/>
    <w:basedOn w:val="DefaultParagraphFont"/>
    <w:link w:val="IntenseQuote"/>
    <w:uiPriority w:val="30"/>
    <w:rsid w:val="00DE320A"/>
    <w:rPr>
      <w:rFonts w:ascii="Times New Roman" w:eastAsia="Times New Roman" w:hAnsi="Times New Roman"/>
      <w:b/>
      <w:i/>
      <w:szCs w:val="22"/>
      <w:lang w:bidi="ar-SA"/>
    </w:rPr>
  </w:style>
  <w:style w:type="character" w:styleId="SubtleEmphasis">
    <w:name w:val="Subtle Emphasis"/>
    <w:uiPriority w:val="19"/>
    <w:rsid w:val="00DE320A"/>
    <w:rPr>
      <w:i/>
      <w:color w:val="5A5A5A" w:themeColor="text1" w:themeTint="A5"/>
    </w:rPr>
  </w:style>
  <w:style w:type="character" w:styleId="IntenseEmphasis">
    <w:name w:val="Intense Emphasis"/>
    <w:basedOn w:val="DefaultParagraphFont"/>
    <w:uiPriority w:val="21"/>
    <w:rsid w:val="00DE320A"/>
    <w:rPr>
      <w:b/>
      <w:i/>
      <w:sz w:val="24"/>
      <w:szCs w:val="24"/>
      <w:u w:val="single"/>
    </w:rPr>
  </w:style>
  <w:style w:type="character" w:styleId="SubtleReference">
    <w:name w:val="Subtle Reference"/>
    <w:basedOn w:val="DefaultParagraphFont"/>
    <w:uiPriority w:val="31"/>
    <w:rsid w:val="00DE320A"/>
    <w:rPr>
      <w:sz w:val="24"/>
      <w:szCs w:val="24"/>
      <w:u w:val="single"/>
    </w:rPr>
  </w:style>
  <w:style w:type="character" w:styleId="IntenseReference">
    <w:name w:val="Intense Reference"/>
    <w:basedOn w:val="DefaultParagraphFont"/>
    <w:uiPriority w:val="32"/>
    <w:rsid w:val="00DE320A"/>
    <w:rPr>
      <w:b/>
      <w:sz w:val="24"/>
      <w:u w:val="single"/>
    </w:rPr>
  </w:style>
  <w:style w:type="character" w:styleId="BookTitle">
    <w:name w:val="Book Title"/>
    <w:basedOn w:val="DefaultParagraphFont"/>
    <w:uiPriority w:val="33"/>
    <w:rsid w:val="00DE320A"/>
    <w:rPr>
      <w:rFonts w:asciiTheme="majorHAnsi" w:eastAsiaTheme="majorEastAsia" w:hAnsiTheme="majorHAnsi"/>
      <w:b/>
      <w:i/>
      <w:sz w:val="24"/>
      <w:szCs w:val="24"/>
    </w:rPr>
  </w:style>
  <w:style w:type="character" w:styleId="Hyperlink">
    <w:name w:val="Hyperlink"/>
    <w:basedOn w:val="DefaultParagraphFont"/>
    <w:uiPriority w:val="99"/>
    <w:unhideWhenUsed/>
    <w:rsid w:val="008E3D4D"/>
    <w:rPr>
      <w:strike w:val="0"/>
      <w:dstrike w:val="0"/>
      <w:color w:val="004B91"/>
      <w:u w:val="none"/>
      <w:effect w:val="none"/>
    </w:rPr>
  </w:style>
  <w:style w:type="character" w:customStyle="1" w:styleId="pmterms31">
    <w:name w:val="pmterms31"/>
    <w:basedOn w:val="DefaultParagraphFont"/>
    <w:rsid w:val="008E3D4D"/>
    <w:rPr>
      <w:b/>
      <w:bCs/>
      <w:i w:val="0"/>
      <w:iCs w:val="0"/>
      <w:color w:val="000000"/>
    </w:rPr>
  </w:style>
  <w:style w:type="character" w:customStyle="1" w:styleId="pmterms11">
    <w:name w:val="pmterms11"/>
    <w:basedOn w:val="DefaultParagraphFont"/>
    <w:rsid w:val="00B57C25"/>
    <w:rPr>
      <w:b/>
      <w:bCs/>
      <w:i w:val="0"/>
      <w:iCs w:val="0"/>
      <w:color w:val="000000"/>
    </w:rPr>
  </w:style>
  <w:style w:type="character" w:customStyle="1" w:styleId="term1">
    <w:name w:val="term1"/>
    <w:basedOn w:val="DefaultParagraphFont"/>
    <w:rsid w:val="003428DE"/>
    <w:rPr>
      <w:b/>
      <w:bCs/>
    </w:rPr>
  </w:style>
  <w:style w:type="character" w:customStyle="1" w:styleId="pmterms21">
    <w:name w:val="pmterms21"/>
    <w:basedOn w:val="DefaultParagraphFont"/>
    <w:rsid w:val="003428DE"/>
    <w:rPr>
      <w:b/>
      <w:bCs/>
      <w:i w:val="0"/>
      <w:iCs w:val="0"/>
      <w:color w:val="000000"/>
    </w:rPr>
  </w:style>
  <w:style w:type="paragraph" w:styleId="BalloonText">
    <w:name w:val="Balloon Text"/>
    <w:basedOn w:val="Normal"/>
    <w:link w:val="BalloonTextChar"/>
    <w:rsid w:val="003428DE"/>
    <w:rPr>
      <w:rFonts w:ascii="Tahoma" w:hAnsi="Tahoma" w:cs="Tahoma"/>
      <w:sz w:val="16"/>
      <w:szCs w:val="16"/>
    </w:rPr>
  </w:style>
  <w:style w:type="character" w:customStyle="1" w:styleId="BalloonTextChar">
    <w:name w:val="Balloon Text Char"/>
    <w:basedOn w:val="DefaultParagraphFont"/>
    <w:link w:val="BalloonText"/>
    <w:rsid w:val="003428DE"/>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6484</Words>
  <Characters>33748</Characters>
  <Application>Microsoft Office Word</Application>
  <DocSecurity>0</DocSecurity>
  <Lines>613</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2016-12-22T19:07:00Z</dcterms:created>
  <dcterms:modified xsi:type="dcterms:W3CDTF">2016-12-22T19:07:00Z</dcterms:modified>
  <cp:category/>
</cp:coreProperties>
</file>