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57" w:rsidRPr="002E76C3" w:rsidRDefault="006B3AC9" w:rsidP="004E7F57">
      <w:pPr>
        <w:spacing w:line="240" w:lineRule="auto"/>
        <w:rPr>
          <w:sz w:val="20"/>
        </w:rPr>
      </w:pPr>
      <w:bookmarkStart w:id="0" w:name="_GoBack"/>
      <w:bookmarkEnd w:id="0"/>
      <w:r w:rsidRPr="002E76C3">
        <w:rPr>
          <w:sz w:val="20"/>
        </w:rPr>
        <w:t>Filed 6/15/17</w:t>
      </w:r>
    </w:p>
    <w:p w:rsidR="004E7F57" w:rsidRDefault="006B3AC9" w:rsidP="00234F1C">
      <w:pPr>
        <w:spacing w:line="240" w:lineRule="auto"/>
        <w:jc w:val="center"/>
        <w:rPr>
          <w:b/>
        </w:rPr>
      </w:pPr>
      <w:r>
        <w:rPr>
          <w:b/>
        </w:rPr>
        <w:t>CERTIFIED FOR PUBLICATION</w:t>
      </w:r>
    </w:p>
    <w:p w:rsidR="00234F1C" w:rsidRDefault="006B3AC9" w:rsidP="004E7F57">
      <w:pPr>
        <w:spacing w:line="240" w:lineRule="auto"/>
      </w:pPr>
    </w:p>
    <w:p w:rsidR="004E7F57" w:rsidRDefault="006B3AC9" w:rsidP="004E7F57">
      <w:pPr>
        <w:spacing w:line="240" w:lineRule="auto"/>
      </w:pPr>
    </w:p>
    <w:p w:rsidR="004E7F57" w:rsidRDefault="006B3AC9" w:rsidP="004E7F57">
      <w:pPr>
        <w:spacing w:line="240" w:lineRule="auto"/>
        <w:jc w:val="center"/>
      </w:pPr>
      <w:r>
        <w:t>IN THE COURT OF APPEAL OF THE STATE OF CALIFORNIA</w:t>
      </w:r>
    </w:p>
    <w:p w:rsidR="004E7F57" w:rsidRDefault="006B3AC9" w:rsidP="004E7F57">
      <w:pPr>
        <w:spacing w:line="240" w:lineRule="auto"/>
        <w:jc w:val="center"/>
      </w:pPr>
    </w:p>
    <w:p w:rsidR="004E7F57" w:rsidRDefault="006B3AC9" w:rsidP="004E7F57">
      <w:pPr>
        <w:spacing w:line="240" w:lineRule="auto"/>
        <w:jc w:val="center"/>
      </w:pPr>
      <w:r>
        <w:t>SIXTH APPELLATE DISTRICT</w:t>
      </w:r>
    </w:p>
    <w:p w:rsidR="004E7F57" w:rsidRDefault="006B3AC9" w:rsidP="004E7F57">
      <w:pPr>
        <w:spacing w:line="240" w:lineRule="auto"/>
        <w:jc w:val="center"/>
      </w:pPr>
    </w:p>
    <w:p w:rsidR="004E7F57" w:rsidRDefault="006B3AC9" w:rsidP="004E7F57">
      <w:pPr>
        <w:spacing w:line="240" w:lineRule="auto"/>
        <w:jc w:val="center"/>
      </w:pPr>
    </w:p>
    <w:tbl>
      <w:tblPr>
        <w:tblW w:w="0" w:type="auto"/>
        <w:tblLayout w:type="fixed"/>
        <w:tblLook w:val="0000" w:firstRow="0" w:lastRow="0" w:firstColumn="0" w:lastColumn="0" w:noHBand="0" w:noVBand="0"/>
      </w:tblPr>
      <w:tblGrid>
        <w:gridCol w:w="4788"/>
        <w:gridCol w:w="4788"/>
      </w:tblGrid>
      <w:tr w:rsidR="000C07ED" w:rsidTr="004E7F57">
        <w:tc>
          <w:tcPr>
            <w:tcW w:w="4788" w:type="dxa"/>
            <w:tcBorders>
              <w:bottom w:val="single" w:sz="4" w:space="0" w:color="auto"/>
              <w:right w:val="single" w:sz="4" w:space="0" w:color="auto"/>
            </w:tcBorders>
            <w:shd w:val="clear" w:color="auto" w:fill="auto"/>
          </w:tcPr>
          <w:p w:rsidR="004E7F57" w:rsidRDefault="006B3AC9" w:rsidP="004E7F57">
            <w:pPr>
              <w:spacing w:line="240" w:lineRule="auto"/>
            </w:pPr>
            <w:r>
              <w:t>THE RO</w:t>
            </w:r>
            <w:r w:rsidR="004F4362">
              <w:t>S</w:t>
            </w:r>
            <w:r>
              <w:t>S</w:t>
            </w:r>
            <w:r>
              <w:t>DALE GROUP, LLC,</w:t>
            </w:r>
          </w:p>
          <w:p w:rsidR="004E7F57" w:rsidRDefault="006B3AC9" w:rsidP="004E7F57">
            <w:pPr>
              <w:spacing w:line="240" w:lineRule="auto"/>
            </w:pPr>
          </w:p>
          <w:p w:rsidR="004E7F57" w:rsidRDefault="006B3AC9" w:rsidP="004E7F57">
            <w:pPr>
              <w:spacing w:line="240" w:lineRule="auto"/>
              <w:ind w:left="720"/>
            </w:pPr>
            <w:r>
              <w:t>Plaintiff and Appellant,</w:t>
            </w:r>
          </w:p>
          <w:p w:rsidR="004E7F57" w:rsidRDefault="006B3AC9" w:rsidP="004E7F57">
            <w:pPr>
              <w:spacing w:line="240" w:lineRule="auto"/>
              <w:ind w:left="720"/>
            </w:pPr>
          </w:p>
          <w:p w:rsidR="004E7F57" w:rsidRDefault="006B3AC9" w:rsidP="004E7F57">
            <w:pPr>
              <w:spacing w:line="240" w:lineRule="auto"/>
              <w:ind w:left="720"/>
            </w:pPr>
            <w:r>
              <w:t>v.</w:t>
            </w:r>
          </w:p>
          <w:p w:rsidR="004E7F57" w:rsidRDefault="006B3AC9" w:rsidP="004E7F57">
            <w:pPr>
              <w:spacing w:line="240" w:lineRule="auto"/>
            </w:pPr>
          </w:p>
          <w:p w:rsidR="004E7F57" w:rsidRDefault="006B3AC9" w:rsidP="004E7F57">
            <w:pPr>
              <w:spacing w:line="240" w:lineRule="auto"/>
            </w:pPr>
            <w:r>
              <w:t>TIMOTHY WALTON,</w:t>
            </w:r>
          </w:p>
          <w:p w:rsidR="004E7F57" w:rsidRDefault="006B3AC9" w:rsidP="004E7F57">
            <w:pPr>
              <w:spacing w:line="240" w:lineRule="auto"/>
            </w:pPr>
          </w:p>
          <w:p w:rsidR="004E7F57" w:rsidRDefault="006B3AC9" w:rsidP="004E7F57">
            <w:pPr>
              <w:spacing w:line="240" w:lineRule="auto"/>
              <w:ind w:left="720"/>
            </w:pPr>
            <w:r>
              <w:t>Defendant and Respondent.</w:t>
            </w:r>
          </w:p>
          <w:p w:rsidR="004E7F57" w:rsidRDefault="006B3AC9" w:rsidP="004E7F57">
            <w:pPr>
              <w:spacing w:line="240" w:lineRule="auto"/>
              <w:ind w:left="1440"/>
            </w:pPr>
          </w:p>
        </w:tc>
        <w:tc>
          <w:tcPr>
            <w:tcW w:w="4788" w:type="dxa"/>
            <w:tcBorders>
              <w:left w:val="single" w:sz="4" w:space="0" w:color="auto"/>
            </w:tcBorders>
            <w:shd w:val="clear" w:color="auto" w:fill="auto"/>
          </w:tcPr>
          <w:p w:rsidR="004E7F57" w:rsidRDefault="006B3AC9" w:rsidP="004E7F57">
            <w:pPr>
              <w:spacing w:line="240" w:lineRule="auto"/>
            </w:pPr>
            <w:r>
              <w:t xml:space="preserve">      H043476</w:t>
            </w:r>
          </w:p>
          <w:p w:rsidR="004E7F57" w:rsidRDefault="006B3AC9" w:rsidP="004E7F57">
            <w:pPr>
              <w:spacing w:line="240" w:lineRule="auto"/>
            </w:pPr>
            <w:r>
              <w:t xml:space="preserve">     (Santa Cruz County</w:t>
            </w:r>
          </w:p>
          <w:p w:rsidR="004E7F57" w:rsidRDefault="006B3AC9" w:rsidP="004E7F57">
            <w:pPr>
              <w:spacing w:line="240" w:lineRule="auto"/>
            </w:pPr>
            <w:r>
              <w:t xml:space="preserve">      Super. Ct. No. CV179135)</w:t>
            </w:r>
          </w:p>
          <w:p w:rsidR="004E7F57" w:rsidRDefault="006B3AC9" w:rsidP="004E7F57">
            <w:pPr>
              <w:spacing w:line="240" w:lineRule="auto"/>
            </w:pPr>
          </w:p>
        </w:tc>
      </w:tr>
    </w:tbl>
    <w:p w:rsidR="00EE01C6" w:rsidRPr="00D764C7" w:rsidRDefault="006B3AC9" w:rsidP="004E7F57">
      <w:pPr>
        <w:spacing w:line="240" w:lineRule="auto"/>
      </w:pPr>
      <w:r>
        <w:t xml:space="preserve">  </w:t>
      </w:r>
    </w:p>
    <w:p w:rsidR="00EE01C6" w:rsidRPr="00A61802" w:rsidRDefault="006B3AC9" w:rsidP="00EE01C6">
      <w:pPr>
        <w:jc w:val="center"/>
        <w:rPr>
          <w:b/>
          <w:smallCaps/>
        </w:rPr>
      </w:pPr>
      <w:r>
        <w:rPr>
          <w:b/>
          <w:smallCaps/>
        </w:rPr>
        <w:t xml:space="preserve">Introduction </w:t>
      </w:r>
    </w:p>
    <w:p w:rsidR="00EE01C6" w:rsidRPr="000C4A04" w:rsidRDefault="006B3AC9" w:rsidP="00EE01C6">
      <w:r>
        <w:tab/>
        <w:t xml:space="preserve"> We are asked in this appeal to reverse a dismissal of a malicious prosecution lawsuit.  Defendant and respondent Timothy Walton </w:t>
      </w:r>
      <w:r>
        <w:t xml:space="preserve">(Walton) </w:t>
      </w:r>
      <w:r>
        <w:t>asked the trial court to dismiss the case f</w:t>
      </w:r>
      <w:r>
        <w:t>or lack of standing and lack of jurisdiction because the named plaintiff, The Rossdale Group, LLC, was only a fictitious business name and the entity to which that name was registered was a dissolved Florida limited liability company called Miami Legal Res</w:t>
      </w:r>
      <w:r>
        <w:t>ources, LLC. Because no legitimate standing or jurisdictional issue was raised by Walton’s motion, we will reverse.</w:t>
      </w:r>
    </w:p>
    <w:p w:rsidR="00EE01C6" w:rsidRPr="00042F26" w:rsidRDefault="006B3AC9" w:rsidP="00EE01C6">
      <w:pPr>
        <w:jc w:val="center"/>
        <w:rPr>
          <w:b/>
          <w:smallCaps/>
        </w:rPr>
      </w:pPr>
      <w:r>
        <w:rPr>
          <w:b/>
          <w:smallCaps/>
        </w:rPr>
        <w:t xml:space="preserve">Factual And Procedural </w:t>
      </w:r>
      <w:r w:rsidRPr="00A61802">
        <w:rPr>
          <w:b/>
          <w:smallCaps/>
        </w:rPr>
        <w:t>Background</w:t>
      </w:r>
      <w:r>
        <w:t xml:space="preserve"> </w:t>
      </w:r>
    </w:p>
    <w:p w:rsidR="00EE01C6" w:rsidRDefault="006B3AC9" w:rsidP="00EE01C6">
      <w:r>
        <w:tab/>
        <w:t xml:space="preserve">This lawsuit had its genesis in an earlier action filed in 2010 by Walton against a defendant he called </w:t>
      </w:r>
      <w:r>
        <w:t>The Rossdale Group, LLC (Rossdale).  Walton, who the complaint in this case alleges is a licensed California attorney, “maintained a litigation factory” by “placing dozens of e-mail addresses on the Internet,” collecting “‘spam’” messages sent to those add</w:t>
      </w:r>
      <w:r>
        <w:t xml:space="preserve">resses, and then demanding “compensation” for supposed violations of </w:t>
      </w:r>
      <w:r>
        <w:lastRenderedPageBreak/>
        <w:t>California law.  After Rossdale refused to pay in response to a demand letter for “prohibited forms of e-mail advertising,” Walton filed suit against Rossdale, claiming, among other thing</w:t>
      </w:r>
      <w:r>
        <w:t>s, a violation of the Consumer Legal Remedies Act, Civ</w:t>
      </w:r>
      <w:r>
        <w:t>il</w:t>
      </w:r>
      <w:r>
        <w:t xml:space="preserve"> Code </w:t>
      </w:r>
      <w:r>
        <w:t>sections</w:t>
      </w:r>
      <w:r>
        <w:t xml:space="preserve"> 1750 et seq.  Walton’s lawsuit against Rossdale was dismissed after the trial court granted a motion for judgment on the pleadings with prejudice, </w:t>
      </w:r>
      <w:r>
        <w:t>and</w:t>
      </w:r>
      <w:r>
        <w:t xml:space="preserve"> judgment </w:t>
      </w:r>
      <w:r>
        <w:t>was</w:t>
      </w:r>
      <w:r>
        <w:t xml:space="preserve"> entered on May 2, 201</w:t>
      </w:r>
      <w:r>
        <w:t xml:space="preserve">2. </w:t>
      </w:r>
    </w:p>
    <w:p w:rsidR="00EE01C6" w:rsidRDefault="006B3AC9" w:rsidP="00EE01C6">
      <w:r>
        <w:tab/>
        <w:t xml:space="preserve">The same day, this action was filed against Walton, stating a single claim for malicious prosecution, based on the allegation that Walton’s prior lawsuit was pursued on legal theories Walton knew to be erroneous and discovery tactics meant to prolong </w:t>
      </w:r>
      <w:r>
        <w:t>a meritless lawsuit.  The plaintiff in this lawsuit is identified as “The Rossdale Group, LLC,” “a Florida Limited Liability Company.”  As it turns out, however, Rossdale was merely a fictitious business name registered in Florida to a Florida limited liab</w:t>
      </w:r>
      <w:r>
        <w:t xml:space="preserve">ility company called Miami Legal Resources, </w:t>
      </w:r>
      <w:r>
        <w:t>LLC (Miami Legal).</w:t>
      </w:r>
      <w:r>
        <w:t xml:space="preserve">  </w:t>
      </w:r>
    </w:p>
    <w:p w:rsidR="005162DC" w:rsidRDefault="006B3AC9" w:rsidP="00EE01C6">
      <w:r>
        <w:tab/>
        <w:t>Before we go further, we pause to note the following</w:t>
      </w:r>
      <w:r>
        <w:t xml:space="preserve">, given the somewhat convoluted history of the various related entities:  </w:t>
      </w:r>
      <w:r>
        <w:t>the plaintiff in this case always has been Miami Legal</w:t>
      </w:r>
      <w:r>
        <w:t xml:space="preserve"> (and Miam</w:t>
      </w:r>
      <w:r>
        <w:t xml:space="preserve">i Legal is </w:t>
      </w:r>
      <w:r>
        <w:t xml:space="preserve">also the appellant here).  </w:t>
      </w:r>
      <w:r>
        <w:t xml:space="preserve">When suit was filed in May 2014, the plaintiff was identified as the “Rossdale Group, LLC.” </w:t>
      </w:r>
      <w:r>
        <w:t xml:space="preserve"> The records show</w:t>
      </w:r>
      <w:r>
        <w:t xml:space="preserve"> (and the pa</w:t>
      </w:r>
      <w:r>
        <w:t>rties never disputed below) that, at that time</w:t>
      </w:r>
      <w:r>
        <w:t>, the Rossdale</w:t>
      </w:r>
      <w:r>
        <w:t xml:space="preserve"> name was duly registered to Miami Legal and Miami Legal</w:t>
      </w:r>
      <w:r>
        <w:t xml:space="preserve"> was itself in active status as a Florida limited liability company.  “</w:t>
      </w:r>
      <w:r w:rsidRPr="00D25F2B">
        <w:t>Use of a fictitious business name does not create a sep</w:t>
      </w:r>
      <w:r>
        <w:t xml:space="preserve">arate legal entity.”  </w:t>
      </w:r>
      <w:r w:rsidRPr="00D25F2B">
        <w:t>(</w:t>
      </w:r>
      <w:r w:rsidRPr="00D954EE">
        <w:rPr>
          <w:i/>
        </w:rPr>
        <w:t>Pinkerton’s</w:t>
      </w:r>
      <w:r w:rsidRPr="00D25F2B">
        <w:rPr>
          <w:i/>
        </w:rPr>
        <w:t>, Inc. v. Superior Court</w:t>
      </w:r>
      <w:r w:rsidRPr="00D25F2B">
        <w:t xml:space="preserve"> (1996) 49 Cal.A</w:t>
      </w:r>
      <w:r w:rsidRPr="00D25F2B">
        <w:t>pp.4th</w:t>
      </w:r>
      <w:r>
        <w:t xml:space="preserve"> 1342, 1348</w:t>
      </w:r>
      <w:r>
        <w:t>;</w:t>
      </w:r>
      <w:r>
        <w:t xml:space="preserve"> </w:t>
      </w:r>
      <w:r>
        <w:t>s</w:t>
      </w:r>
      <w:r>
        <w:t xml:space="preserve">ee also </w:t>
      </w:r>
      <w:r w:rsidRPr="00D954EE">
        <w:rPr>
          <w:i/>
        </w:rPr>
        <w:t>Osmo Tec SACV Co. v. Crane Envtl., Inc.</w:t>
      </w:r>
      <w:r w:rsidRPr="00D954EE">
        <w:t xml:space="preserve"> (Fla.Ct</w:t>
      </w:r>
      <w:r>
        <w:t xml:space="preserve">.App. 2004) 884 So.2d 324, 327 [a fictitious name has “no independent legal existence”].) </w:t>
      </w:r>
      <w:r>
        <w:t xml:space="preserve"> </w:t>
      </w:r>
      <w:r>
        <w:t>No substitution</w:t>
      </w:r>
      <w:r>
        <w:t xml:space="preserve"> of parties ever </w:t>
      </w:r>
      <w:r>
        <w:lastRenderedPageBreak/>
        <w:t>occurred so Miami Legal</w:t>
      </w:r>
      <w:r>
        <w:t xml:space="preserve"> remained the plaintiff below and i</w:t>
      </w:r>
      <w:r>
        <w:t>s, because the notice of appeal was filed by R</w:t>
      </w:r>
      <w:r>
        <w:t xml:space="preserve">ossdale, </w:t>
      </w:r>
      <w:r>
        <w:t xml:space="preserve">the </w:t>
      </w:r>
      <w:r>
        <w:t>appellant here as well.</w:t>
      </w:r>
      <w:r>
        <w:rPr>
          <w:rStyle w:val="FootnoteReference"/>
          <w:b/>
        </w:rPr>
        <w:footnoteReference w:id="1"/>
      </w:r>
      <w:r>
        <w:t xml:space="preserve">  </w:t>
      </w:r>
    </w:p>
    <w:p w:rsidR="00EE01C6" w:rsidRDefault="006B3AC9" w:rsidP="00EE01C6">
      <w:r>
        <w:tab/>
        <w:t>In January 2016, Walton filed what he called a “motion to dismiss.”  Basing his motion on Code of Civil Procedure section 367 and case authority on standing as a jurisdi</w:t>
      </w:r>
      <w:r>
        <w:t>ctional defect, Walton argued that the lawsuit had to be dismissed because “[i]n actuality, The Rossdale Group, LLC, is a fictitious business name registered by a company that has now dissolved”</w:t>
      </w:r>
      <w:r>
        <w:t>—</w:t>
      </w:r>
      <w:r>
        <w:t xml:space="preserve">a dissolution </w:t>
      </w:r>
      <w:r>
        <w:t>that</w:t>
      </w:r>
      <w:r>
        <w:t xml:space="preserve"> occurred after the lawsuit was filed.</w:t>
      </w:r>
      <w:r>
        <w:rPr>
          <w:rStyle w:val="FootnoteReference"/>
          <w:b/>
        </w:rPr>
        <w:footnoteReference w:id="2"/>
      </w:r>
      <w:r>
        <w:t xml:space="preserve">  Wi</w:t>
      </w:r>
      <w:r>
        <w:t>th the dissolution of Miami Legal, Walton argued, “the legal entity that is the Plaintiff in this action disappeared.”</w:t>
      </w:r>
      <w:r>
        <w:rPr>
          <w:rStyle w:val="FootnoteReference"/>
          <w:b/>
        </w:rPr>
        <w:footnoteReference w:id="3"/>
      </w:r>
      <w:r>
        <w:t xml:space="preserve">  </w:t>
      </w:r>
    </w:p>
    <w:p w:rsidR="00EE01C6" w:rsidRDefault="006B3AC9" w:rsidP="00EE01C6">
      <w:r>
        <w:tab/>
        <w:t>Miami Legal, filing under the Rossdale name, opposed the motion, supported by a declaration from Susan Lunden (Lunden), who identifie</w:t>
      </w:r>
      <w:r>
        <w:t xml:space="preserve">d herself as the “CEO” for the “Rossdale Group, LLC.”  The opposition contained no denial that Miami Legal had been dissolved.  Instead, Miami Legal argued that all of its assets and liabilities had been transferred to </w:t>
      </w:r>
      <w:r>
        <w:t xml:space="preserve">a </w:t>
      </w:r>
      <w:r>
        <w:t>Delaware entity called Rossdale, CL</w:t>
      </w:r>
      <w:r>
        <w:t>E, Inc. (Rossdale Delaware).  According to Miami Legal, Rossdale Delaware had become its “owner” in April 2013 (apparently Miami Legal was Rossdale Delaware’s subsidiary)</w:t>
      </w:r>
      <w:r>
        <w:t>.</w:t>
      </w:r>
      <w:r>
        <w:t xml:space="preserve">  The process of transferring the assets and liabilities of Miami Legal to Rossdale D</w:t>
      </w:r>
      <w:r>
        <w:t>elaware had started in 2013 and by September 2014, the “entire business” of Miami Legal had been transferred to Rossdale Delaware, which Miami Legal referred to as its “successor in interest to the causes of action asserted in their [</w:t>
      </w:r>
      <w:r w:rsidRPr="008D263E">
        <w:rPr>
          <w:i/>
        </w:rPr>
        <w:t>sic</w:t>
      </w:r>
      <w:r>
        <w:t>] lawsuit.”  The op</w:t>
      </w:r>
      <w:r>
        <w:t xml:space="preserve">position also referred to an “amend[ment]” of Rossdale’s fictitious business name statement with Florida, which was filed to “to reflect that The Rossdale Group, LLC is now owned by the new successor in interest, [Rossdale Delaware].”  (Although there are </w:t>
      </w:r>
      <w:r>
        <w:t xml:space="preserve">references to this amendment in the supporting declaration to Miami Legal’s opposition, no copy of it is </w:t>
      </w:r>
      <w:r>
        <w:t>in the record.)</w:t>
      </w:r>
    </w:p>
    <w:p w:rsidR="00EE01C6" w:rsidRDefault="006B3AC9" w:rsidP="00EE01C6">
      <w:r>
        <w:tab/>
        <w:t>In his reply, Walton asserted that no documentary evidence was provided by Lunden to support her claim that the assets and liabilities</w:t>
      </w:r>
      <w:r>
        <w:t xml:space="preserve"> of Miami Legal had in fact been assigned to Rossdale Delaware.  He also implied that any such assignment would have been void because it would have been done by the time Miami Legal </w:t>
      </w:r>
      <w:r>
        <w:t>was dissolved.</w:t>
      </w:r>
    </w:p>
    <w:p w:rsidR="004E7F57" w:rsidRPr="00BB128C" w:rsidRDefault="006B3AC9" w:rsidP="00EE01C6">
      <w:pPr>
        <w:rPr>
          <w:b/>
        </w:rPr>
      </w:pPr>
      <w:r>
        <w:tab/>
        <w:t>After a hearing on March 3, 2016, the court granted the m</w:t>
      </w:r>
      <w:r>
        <w:t>otion to dismiss.  The order states as follows:  “The Rossdale Group, LLC, lacks standing to sue.  The Rossdale Group, LLC (‘Rossdale’) asserts that Defendant Timothy Walton waived any right to complain concerning lack of standing.  However, lack of capaci</w:t>
      </w:r>
      <w:r>
        <w:t xml:space="preserve">ty to sue is a jurisdictional defect which may be raised at any time.  </w:t>
      </w:r>
      <w:r>
        <w:rPr>
          <w:i/>
        </w:rPr>
        <w:t xml:space="preserve">Common Cause of California v. Board of Supervisors of Los Angeles County </w:t>
      </w:r>
      <w:r>
        <w:t>(1989) 49 Cal.3d 432, 438 [(</w:t>
      </w:r>
      <w:r>
        <w:rPr>
          <w:i/>
        </w:rPr>
        <w:t>Common Cause</w:t>
      </w:r>
      <w:r>
        <w:t>)] (contentions based on lack of standing involve a jurisdictional chall</w:t>
      </w:r>
      <w:r>
        <w:t xml:space="preserve">enge and may be raised at any point in the proceeding). </w:t>
      </w:r>
      <w:r>
        <w:t xml:space="preserve"> </w:t>
      </w:r>
      <w:r>
        <w:t>[¶] Rossdale was never a corporate entity, it was at all times a fictitious business name, and at no time was it a valid entity, either when sued by Walton or when suing Walton.</w:t>
      </w:r>
      <w:r>
        <w:t xml:space="preserve"> </w:t>
      </w:r>
      <w:r>
        <w:t xml:space="preserve"> [¶] Rossdale does no</w:t>
      </w:r>
      <w:r>
        <w:t>t have legal capacity to sue because it is simply a fictitious business name, not a stand-alone legal entity.  At the time it filed suit,</w:t>
      </w:r>
      <w:r>
        <w:t xml:space="preserve"> . . . </w:t>
      </w:r>
      <w:r>
        <w:t xml:space="preserve">it lacked legal capacity to sue. </w:t>
      </w:r>
      <w:r>
        <w:t xml:space="preserve"> </w:t>
      </w:r>
      <w:r>
        <w:t xml:space="preserve">[¶] There is no party to whom relief may be granted in that capacity. </w:t>
      </w:r>
      <w:r>
        <w:t xml:space="preserve"> </w:t>
      </w:r>
      <w:r w:rsidRPr="003279DD">
        <w:t>[¶]</w:t>
      </w:r>
      <w:r>
        <w:t xml:space="preserve"> So </w:t>
      </w:r>
      <w:r>
        <w:t>for those reasons, the Court grants the motion to dismiss the action without leave to amend.”  Notice of entry of the order granting the dismissal was served.  This timely appeal followed.</w:t>
      </w:r>
      <w:r>
        <w:rPr>
          <w:rStyle w:val="FootnoteReference"/>
          <w:b/>
        </w:rPr>
        <w:footnoteReference w:id="4"/>
      </w:r>
    </w:p>
    <w:p w:rsidR="00EE01C6" w:rsidRDefault="006B3AC9" w:rsidP="00EE01C6">
      <w:pPr>
        <w:jc w:val="center"/>
        <w:rPr>
          <w:b/>
          <w:smallCaps/>
        </w:rPr>
      </w:pPr>
      <w:r w:rsidRPr="00A06ACD">
        <w:rPr>
          <w:b/>
          <w:smallCaps/>
        </w:rPr>
        <w:t>Discussion</w:t>
      </w:r>
    </w:p>
    <w:p w:rsidR="00EE01C6" w:rsidRDefault="006B3AC9" w:rsidP="00EE01C6">
      <w:r>
        <w:rPr>
          <w:b/>
          <w:smallCaps/>
        </w:rPr>
        <w:tab/>
      </w:r>
      <w:r>
        <w:t xml:space="preserve">Miami Legal’s primary argument is that the use of a </w:t>
      </w:r>
      <w:r>
        <w:t>fictitious name does not raise standing or jurisdictional issues.  Because we agree on this point, which is dispositive of this appeal, we do not find it necessary to address the remaini</w:t>
      </w:r>
      <w:r>
        <w:t>ng arguments made.</w:t>
      </w:r>
      <w:r>
        <w:rPr>
          <w:rStyle w:val="FootnoteReference"/>
          <w:b/>
        </w:rPr>
        <w:footnoteReference w:id="5"/>
      </w:r>
    </w:p>
    <w:p w:rsidR="00EE01C6" w:rsidRDefault="006B3AC9" w:rsidP="00EE01C6">
      <w:r w:rsidRPr="00A06ACD">
        <w:rPr>
          <w:b/>
          <w:i/>
        </w:rPr>
        <w:t>I.</w:t>
      </w:r>
      <w:r w:rsidRPr="00A06ACD">
        <w:rPr>
          <w:b/>
          <w:i/>
        </w:rPr>
        <w:tab/>
      </w:r>
      <w:r>
        <w:rPr>
          <w:b/>
          <w:i/>
        </w:rPr>
        <w:t xml:space="preserve">Pleas </w:t>
      </w:r>
      <w:r>
        <w:rPr>
          <w:b/>
          <w:i/>
        </w:rPr>
        <w:t>o</w:t>
      </w:r>
      <w:r>
        <w:rPr>
          <w:b/>
          <w:i/>
        </w:rPr>
        <w:t xml:space="preserve">f Abatement and Standard </w:t>
      </w:r>
      <w:r>
        <w:rPr>
          <w:b/>
          <w:i/>
        </w:rPr>
        <w:t>o</w:t>
      </w:r>
      <w:r>
        <w:rPr>
          <w:b/>
          <w:i/>
        </w:rPr>
        <w:t>f Review</w:t>
      </w:r>
    </w:p>
    <w:p w:rsidR="00EE01C6" w:rsidRDefault="006B3AC9" w:rsidP="00EE01C6">
      <w:r>
        <w:rPr>
          <w:b/>
          <w:i/>
        </w:rPr>
        <w:tab/>
      </w:r>
      <w:r>
        <w:t xml:space="preserve">Walton’s only statutory authority for his motion was Code of Civil Procedure section 367.  That statute, however, merely provides the general rule that every action </w:t>
      </w:r>
      <w:r w:rsidRPr="00EF6467">
        <w:t>must be prosecuted in the name of the real party in interes</w:t>
      </w:r>
      <w:r>
        <w:t>t.  (Code Civ. Proc., § 367.)  I</w:t>
      </w:r>
      <w:r>
        <w:t>n fact, Walton was pursuing what is called a plea in abatement.  “At common law a number of special pleas in abatement, also called ‘dilatory pleas,’ were made preliminarily as separate pleadings prior to both the demurrer and pleas in bar.  A plea in abat</w:t>
      </w:r>
      <w:r>
        <w:t>ement did not challenge the plaintiff’s claim on the merits but merely objected to the particular proceeding to enforce it.  The code system abolished the separate pleading but allowed the same kind of objections to be raised by demurrer or answer.”  (5 Wi</w:t>
      </w:r>
      <w:r>
        <w:t>tkin, California Procedure (5th ed. 2008) Pleading, § 1129, p. 556.)  As our Supreme Court has stated, “</w:t>
      </w:r>
      <w:r w:rsidRPr="00AA6690">
        <w:t>a plea of lack of capacity of a corporation to maintain an action by reason of a suspension of corporate powe</w:t>
      </w:r>
      <w:r>
        <w:t>rs. . . ‘</w:t>
      </w:r>
      <w:r w:rsidRPr="00AA6690">
        <w:t>is a plea in abatement which is no</w:t>
      </w:r>
      <w:r w:rsidRPr="00AA6690">
        <w:t>t favored in law, is to be strictly construed and must be supported by facts wa</w:t>
      </w:r>
      <w:r>
        <w:t>rranting the abatement’ at the time of the plea.  [Citations].”  (</w:t>
      </w:r>
      <w:r w:rsidRPr="00AA6690">
        <w:rPr>
          <w:i/>
        </w:rPr>
        <w:t>Traub Co. v. Coffee Break Service, Inc</w:t>
      </w:r>
      <w:r>
        <w:t xml:space="preserve">. (1967) 66 Cal.2d 368, 370.)  </w:t>
      </w:r>
    </w:p>
    <w:p w:rsidR="00EE01C6" w:rsidRDefault="006B3AC9" w:rsidP="00EE01C6">
      <w:r>
        <w:tab/>
      </w:r>
      <w:r w:rsidRPr="00D63219">
        <w:t>“[A]</w:t>
      </w:r>
      <w:r>
        <w:t xml:space="preserve"> </w:t>
      </w:r>
      <w:r w:rsidRPr="00D63219">
        <w:t>plea in abatement such as lack of c</w:t>
      </w:r>
      <w:r w:rsidRPr="00D63219">
        <w:t>apacity to sue ‘must be raised by defendant at the earliest opportunity or it is waived.</w:t>
      </w:r>
      <w:r>
        <w:t xml:space="preserve"> . . .</w:t>
      </w:r>
      <w:r w:rsidRPr="00D63219">
        <w:t xml:space="preserve"> </w:t>
      </w:r>
      <w:r>
        <w:t xml:space="preserve"> </w:t>
      </w:r>
      <w:r w:rsidRPr="00D63219">
        <w:t>The proper time to raise a plea in abatement is in the original answer or by demurrer at the t</w:t>
      </w:r>
      <w:r>
        <w:t>ime of the answer.’</w:t>
      </w:r>
      <w:r>
        <w:t xml:space="preserve"> </w:t>
      </w:r>
      <w:r w:rsidRPr="00D63219">
        <w:t xml:space="preserve">” </w:t>
      </w:r>
      <w:r>
        <w:t xml:space="preserve"> </w:t>
      </w:r>
      <w:r w:rsidRPr="00D63219">
        <w:t>(</w:t>
      </w:r>
      <w:r w:rsidRPr="00D63219">
        <w:rPr>
          <w:i/>
        </w:rPr>
        <w:t>Color-Vue, Inc. v. Abrams</w:t>
      </w:r>
      <w:r w:rsidRPr="00D63219">
        <w:t xml:space="preserve"> (1996) 44 Cal.Ap</w:t>
      </w:r>
      <w:r w:rsidRPr="00D63219">
        <w:t>p.4th 1</w:t>
      </w:r>
      <w:r>
        <w:t>599, 1604 (</w:t>
      </w:r>
      <w:r>
        <w:rPr>
          <w:i/>
        </w:rPr>
        <w:t>Color-Vue</w:t>
      </w:r>
      <w:r>
        <w:t>).)  “</w:t>
      </w:r>
      <w:r w:rsidRPr="00D63219">
        <w:t xml:space="preserve">This principle derives from the governing provisions </w:t>
      </w:r>
      <w:r>
        <w:t xml:space="preserve">in the Code of Civil Procedure.  </w:t>
      </w:r>
      <w:r w:rsidRPr="00D63219">
        <w:t xml:space="preserve">Under those provisions, a defendant may object to a complaint by demurrer </w:t>
      </w:r>
      <w:r>
        <w:t>or answer on the ground that ‘</w:t>
      </w:r>
      <w:r w:rsidRPr="00D63219">
        <w:t>[t]he person who filed the pleadi</w:t>
      </w:r>
      <w:r w:rsidRPr="00D63219">
        <w:t xml:space="preserve">ng does not </w:t>
      </w:r>
      <w:r>
        <w:t>have the legal capacity to sue.’</w:t>
      </w:r>
      <w:r w:rsidRPr="00D63219">
        <w:t xml:space="preserve"> </w:t>
      </w:r>
      <w:r>
        <w:t xml:space="preserve"> </w:t>
      </w:r>
      <w:r w:rsidRPr="00D63219">
        <w:t>(Code Ci</w:t>
      </w:r>
      <w:r>
        <w:t xml:space="preserve">v. Proc., § 430.10, subd. (b).)  </w:t>
      </w:r>
      <w:r w:rsidRPr="00D63219">
        <w:t>The objection may be raised by demurrer when the ground for objection appears on the face of the complaint or from any matter that is subject to judicial notice; otherwi</w:t>
      </w:r>
      <w:r w:rsidRPr="00D63219">
        <w:t xml:space="preserve">se, the objection may be raised by answer. </w:t>
      </w:r>
      <w:r>
        <w:t xml:space="preserve"> </w:t>
      </w:r>
      <w:r w:rsidRPr="00D63219">
        <w:t>(</w:t>
      </w:r>
      <w:r w:rsidRPr="00D63219">
        <w:rPr>
          <w:i/>
        </w:rPr>
        <w:t>Id</w:t>
      </w:r>
      <w:r>
        <w:t>., § </w:t>
      </w:r>
      <w:r w:rsidRPr="00D63219">
        <w:t>430.30, subds. (a) &amp; (b).</w:t>
      </w:r>
      <w:r>
        <w:t>)</w:t>
      </w:r>
      <w:r>
        <w:t>”</w:t>
      </w:r>
      <w:r>
        <w:t xml:space="preserve">  </w:t>
      </w:r>
      <w:r w:rsidRPr="00D63219">
        <w:t>(</w:t>
      </w:r>
      <w:r w:rsidRPr="00D63219">
        <w:rPr>
          <w:i/>
        </w:rPr>
        <w:t>V &amp; P Trading Co., Inc. v. United Charter, LLC</w:t>
      </w:r>
      <w:r w:rsidRPr="00D63219">
        <w:t xml:space="preserve"> (2012) 212 Cal.App.4th 12</w:t>
      </w:r>
      <w:r>
        <w:t>6, 133-134</w:t>
      </w:r>
      <w:r w:rsidRPr="00D63219">
        <w:t>.</w:t>
      </w:r>
      <w:r>
        <w:t>)</w:t>
      </w:r>
    </w:p>
    <w:p w:rsidR="00EE01C6" w:rsidRPr="00D91763" w:rsidRDefault="006B3AC9" w:rsidP="00EE01C6">
      <w:r>
        <w:tab/>
        <w:t xml:space="preserve">Where, as here, a suspension or other event causing a lack of capacity is claimed to </w:t>
      </w:r>
      <w:r>
        <w:t>have “</w:t>
      </w:r>
      <w:r w:rsidRPr="00D63219">
        <w:t>occurred after</w:t>
      </w:r>
      <w:r>
        <w:t xml:space="preserve"> the time to demur or answer ha[s]</w:t>
      </w:r>
      <w:r w:rsidRPr="00D63219">
        <w:t xml:space="preserve"> passed, </w:t>
      </w:r>
      <w:r>
        <w:t>[the parties claiming a lack of capacity] should… move[]</w:t>
      </w:r>
      <w:r w:rsidRPr="00D63219">
        <w:t xml:space="preserve"> the court for leave to file an ame</w:t>
      </w:r>
      <w:r>
        <w:t>nded answer asserting the plea.”  (</w:t>
      </w:r>
      <w:r>
        <w:rPr>
          <w:i/>
        </w:rPr>
        <w:t xml:space="preserve">Color-Vue, supra, </w:t>
      </w:r>
      <w:r>
        <w:t xml:space="preserve">44 Cal.App.4th at p. 1604, fn. 5.)  (See also </w:t>
      </w:r>
      <w:r w:rsidRPr="00601BBE">
        <w:rPr>
          <w:i/>
        </w:rPr>
        <w:t>Ste</w:t>
      </w:r>
      <w:r w:rsidRPr="00601BBE">
        <w:rPr>
          <w:i/>
        </w:rPr>
        <w:t>wart v. San Fernando Refining Co.</w:t>
      </w:r>
      <w:r w:rsidRPr="00601BBE">
        <w:t xml:space="preserve"> (1937) 2</w:t>
      </w:r>
      <w:r>
        <w:t>2 Cal.App.2d 661, 663-664 [affirming denial of motion to amend answer to include plea of abatement].)  Had Walton filed a motion to amend his answer, as he should have, the trial court’s decision on that motion wou</w:t>
      </w:r>
      <w:r>
        <w:t>ld have been reviewed for an abuse of discretion.  (</w:t>
      </w:r>
      <w:r w:rsidRPr="00D63219">
        <w:rPr>
          <w:i/>
        </w:rPr>
        <w:t>Tingley v. Times Mirror</w:t>
      </w:r>
      <w:r w:rsidRPr="00D63219">
        <w:t xml:space="preserve"> (1907) 151 Cal</w:t>
      </w:r>
      <w:r>
        <w:t>. 1, 1</w:t>
      </w:r>
      <w:r>
        <w:t>4</w:t>
      </w:r>
      <w:r>
        <w:t>.)</w:t>
      </w:r>
    </w:p>
    <w:p w:rsidR="00EE01C6" w:rsidRPr="00601BBE" w:rsidRDefault="006B3AC9" w:rsidP="00EE01C6">
      <w:r>
        <w:tab/>
        <w:t>That, however, is not what Walton did.  Instead, he filed a motion to dismiss supported by evidence, which th</w:t>
      </w:r>
      <w:r>
        <w:t xml:space="preserve">e court decided on the merits.  </w:t>
      </w:r>
      <w:r>
        <w:t>It has been he</w:t>
      </w:r>
      <w:r>
        <w:t xml:space="preserve">ld that, where there are no material factual disputes, a trial court’s determination of whether a party was a “jural entity” and had the capacity to sue was a legal question subject to independent review.  </w:t>
      </w:r>
      <w:r w:rsidRPr="00601BBE">
        <w:t>(</w:t>
      </w:r>
      <w:r w:rsidRPr="00601BBE">
        <w:rPr>
          <w:i/>
        </w:rPr>
        <w:t>Barr v. United Methodist Church</w:t>
      </w:r>
      <w:r>
        <w:t xml:space="preserve"> (1</w:t>
      </w:r>
      <w:r>
        <w:t>979) 90 Cal.App</w:t>
      </w:r>
      <w:r>
        <w:t xml:space="preserve">.3d 259, 264.) </w:t>
      </w:r>
      <w:r>
        <w:t xml:space="preserve"> Given that we do not see any factual dispute </w:t>
      </w:r>
      <w:r>
        <w:t>that</w:t>
      </w:r>
      <w:r>
        <w:t xml:space="preserve"> affects the outcome of the questions raised, we will apply a de novo standard of review as well.</w:t>
      </w:r>
      <w:r>
        <w:rPr>
          <w:rStyle w:val="FootnoteReference"/>
          <w:b/>
        </w:rPr>
        <w:footnoteReference w:id="6"/>
      </w:r>
      <w:r>
        <w:t xml:space="preserve">  </w:t>
      </w:r>
    </w:p>
    <w:p w:rsidR="00EE01C6" w:rsidRDefault="006B3AC9" w:rsidP="00EE01C6">
      <w:pPr>
        <w:rPr>
          <w:b/>
          <w:i/>
        </w:rPr>
      </w:pPr>
      <w:r>
        <w:rPr>
          <w:b/>
          <w:i/>
        </w:rPr>
        <w:t>II.</w:t>
      </w:r>
      <w:r>
        <w:rPr>
          <w:b/>
          <w:i/>
        </w:rPr>
        <w:tab/>
        <w:t>Neither Standing Nor Jurisdiction Was Implicated By Walton’s Motion</w:t>
      </w:r>
      <w:r>
        <w:rPr>
          <w:b/>
          <w:i/>
        </w:rPr>
        <w:tab/>
      </w:r>
    </w:p>
    <w:p w:rsidR="00EE01C6" w:rsidRDefault="006B3AC9" w:rsidP="00EE01C6">
      <w:r>
        <w:rPr>
          <w:b/>
          <w:i/>
        </w:rPr>
        <w:tab/>
      </w:r>
      <w:r>
        <w:t xml:space="preserve">Walton’s motion </w:t>
      </w:r>
      <w:r>
        <w:t>was based on his apparent belief that Code of Civil Procedure section 367 (section 367) provides a sort of baseline standing requirement for California courts.  As we mentioned, the text of that statute provides that “[e]very action must be prosecuted in t</w:t>
      </w:r>
      <w:r>
        <w:t xml:space="preserve">he name of the real party in interest, except as otherwise provided by statute.”  (Code Civ. Proc., § 367.)  Its purpose is to “protect a defendant </w:t>
      </w:r>
      <w:r w:rsidRPr="00CF58AB">
        <w:t>from harassment from othe</w:t>
      </w:r>
      <w:r>
        <w:t>r claimants on the same demand.”</w:t>
      </w:r>
      <w:r w:rsidRPr="00CF58AB">
        <w:t xml:space="preserve"> (</w:t>
      </w:r>
      <w:r w:rsidRPr="00CF58AB">
        <w:rPr>
          <w:i/>
        </w:rPr>
        <w:t>Redevelopment Agency of San Diego v. San Diego Ga</w:t>
      </w:r>
      <w:r w:rsidRPr="00CF58AB">
        <w:rPr>
          <w:i/>
        </w:rPr>
        <w:t>s &amp; Electric Co</w:t>
      </w:r>
      <w:r w:rsidRPr="00CF58AB">
        <w:t>. (</w:t>
      </w:r>
      <w:r>
        <w:t>2003) 111 Cal.App.4th 912, 921.)</w:t>
      </w:r>
    </w:p>
    <w:p w:rsidR="00EE01C6" w:rsidRPr="00173A54" w:rsidRDefault="006B3AC9" w:rsidP="00EE01C6">
      <w:r>
        <w:tab/>
        <w:t>Section 367 “</w:t>
      </w:r>
      <w:r w:rsidRPr="00BD54DB">
        <w:t>is not the equivalent of, and provides no occasion to import, federal-style ‘standing’ requirements</w:t>
      </w:r>
      <w:r>
        <w:t xml:space="preserve">.’ ” </w:t>
      </w:r>
      <w:r>
        <w:t xml:space="preserve"> </w:t>
      </w:r>
      <w:r>
        <w:t>(</w:t>
      </w:r>
      <w:r w:rsidRPr="00DB33CE">
        <w:rPr>
          <w:i/>
        </w:rPr>
        <w:t>Jasmine Networks, Inc. v. Superior Court</w:t>
      </w:r>
      <w:r>
        <w:t xml:space="preserve"> (2009) 180 Cal.App.4th 980, 991 (</w:t>
      </w:r>
      <w:r>
        <w:rPr>
          <w:i/>
        </w:rPr>
        <w:t>Jasmine Net</w:t>
      </w:r>
      <w:r>
        <w:rPr>
          <w:i/>
        </w:rPr>
        <w:t>works</w:t>
      </w:r>
      <w:r>
        <w:t>).)  “</w:t>
      </w:r>
      <w:r w:rsidRPr="00253683">
        <w:t xml:space="preserve">Properly understood, </w:t>
      </w:r>
      <w:r>
        <w:t>the concept of ‘standing’</w:t>
      </w:r>
      <w:r w:rsidRPr="00253683">
        <w:t xml:space="preserve"> contemplates a </w:t>
      </w:r>
      <w:r>
        <w:t>requirement that the plaintiff ‘</w:t>
      </w:r>
      <w:r w:rsidRPr="00253683">
        <w:t xml:space="preserve">establish an entitlement to judicial action, </w:t>
      </w:r>
      <w:r w:rsidRPr="007753AD">
        <w:rPr>
          <w:i/>
        </w:rPr>
        <w:t>separate from proof of the substantive merits</w:t>
      </w:r>
      <w:r>
        <w:t xml:space="preserve"> of the claim advanced.’</w:t>
      </w:r>
      <w:r w:rsidRPr="00253683">
        <w:t xml:space="preserve"> </w:t>
      </w:r>
      <w:r>
        <w:t xml:space="preserve"> </w:t>
      </w:r>
      <w:r w:rsidRPr="00253683">
        <w:t xml:space="preserve">(13A Wright et al., Fed. Practice </w:t>
      </w:r>
      <w:r w:rsidRPr="00253683">
        <w:t>and Procedure (3d ed. 2008) § 3531, p. 6</w:t>
      </w:r>
      <w:r>
        <w:t xml:space="preserve">, italics added.) </w:t>
      </w:r>
      <w:r>
        <w:t xml:space="preserve"> </w:t>
      </w:r>
      <w:r>
        <w:t>This concept ‘</w:t>
      </w:r>
      <w:r w:rsidRPr="00253683">
        <w:t>has been largely a creature of twentieth century d</w:t>
      </w:r>
      <w:r>
        <w:t>ecisions of the federal courts.’</w:t>
      </w:r>
      <w:r>
        <w:t xml:space="preserve"> </w:t>
      </w:r>
      <w:r w:rsidRPr="00253683">
        <w:t xml:space="preserve"> (</w:t>
      </w:r>
      <w:r w:rsidRPr="00E228FC">
        <w:rPr>
          <w:i/>
        </w:rPr>
        <w:t>Ibid</w:t>
      </w:r>
      <w:r>
        <w:t xml:space="preserve">., fn. omitted.)  </w:t>
      </w:r>
      <w:r w:rsidRPr="007753AD">
        <w:t xml:space="preserve">It is rooted in the </w:t>
      </w:r>
      <w:r w:rsidRPr="007753AD">
        <w:rPr>
          <w:i/>
        </w:rPr>
        <w:t>constitutionally limited subject matter jurisdiction</w:t>
      </w:r>
      <w:r w:rsidRPr="007753AD">
        <w:t xml:space="preserve"> of </w:t>
      </w:r>
      <w:r w:rsidRPr="007753AD">
        <w:t xml:space="preserve">those courts. </w:t>
      </w:r>
      <w:r>
        <w:t xml:space="preserve"> </w:t>
      </w:r>
      <w:r w:rsidRPr="007753AD">
        <w:t xml:space="preserve">(See </w:t>
      </w:r>
      <w:r w:rsidRPr="007753AD">
        <w:rPr>
          <w:i/>
        </w:rPr>
        <w:t>id.</w:t>
      </w:r>
      <w:r w:rsidRPr="007753AD">
        <w:t xml:space="preserve"> at p. 9 [</w:t>
      </w:r>
      <w:r>
        <w:t>‘</w:t>
      </w:r>
      <w:r w:rsidRPr="007753AD">
        <w:t xml:space="preserve">The threshold requirements are attributed to the </w:t>
      </w:r>
      <w:r>
        <w:t>“</w:t>
      </w:r>
      <w:r w:rsidRPr="007753AD">
        <w:t>case</w:t>
      </w:r>
      <w:r>
        <w:t>”</w:t>
      </w:r>
      <w:r w:rsidRPr="007753AD">
        <w:t xml:space="preserve"> and </w:t>
      </w:r>
      <w:r>
        <w:t>“</w:t>
      </w:r>
      <w:r w:rsidRPr="007753AD">
        <w:t>controversy</w:t>
      </w:r>
      <w:r>
        <w:t>”</w:t>
      </w:r>
      <w:r w:rsidRPr="007753AD">
        <w:t xml:space="preserve"> terms that define the federal judicial power in Article III. </w:t>
      </w:r>
      <w:r>
        <w:t xml:space="preserve"> </w:t>
      </w:r>
      <w:r w:rsidRPr="007753AD">
        <w:t xml:space="preserve">Absent constitutional standing, </w:t>
      </w:r>
      <w:r w:rsidRPr="007753AD">
        <w:rPr>
          <w:i/>
        </w:rPr>
        <w:t>the courts believe they lack power to entertain the pr</w:t>
      </w:r>
      <w:r w:rsidRPr="007753AD">
        <w:rPr>
          <w:i/>
        </w:rPr>
        <w:t>oceeding</w:t>
      </w:r>
      <w:r w:rsidRPr="007753AD">
        <w:t>.” (italics add</w:t>
      </w:r>
      <w:r>
        <w:t xml:space="preserve">ed)]; </w:t>
      </w:r>
      <w:r w:rsidRPr="007753AD">
        <w:t xml:space="preserve">see 13 Wright et al., </w:t>
      </w:r>
      <w:r w:rsidRPr="007753AD">
        <w:rPr>
          <w:i/>
        </w:rPr>
        <w:t>supra</w:t>
      </w:r>
      <w:r w:rsidRPr="007753AD">
        <w:t>, § 3522, pp. 103–104 [presumption that federal court lacks subject matter jurisdiction].)</w:t>
      </w:r>
      <w:r>
        <w:rPr>
          <w:sz w:val="24"/>
          <w:szCs w:val="24"/>
        </w:rPr>
        <w:t xml:space="preserve">  </w:t>
      </w:r>
      <w:r w:rsidRPr="00253683">
        <w:t>But as our Supreme Court has written, no such wariness surrounds the subject matter jurisdiction</w:t>
      </w:r>
      <w:r>
        <w:t xml:space="preserve"> of Californ</w:t>
      </w:r>
      <w:r>
        <w:t>ia courts:  ‘</w:t>
      </w:r>
      <w:r w:rsidRPr="00253683">
        <w:t xml:space="preserve">Article III of the </w:t>
      </w:r>
      <w:r>
        <w:t>federal Constitution imposes a “</w:t>
      </w:r>
      <w:r w:rsidRPr="00253683">
        <w:t xml:space="preserve">case-or-controversy limitation </w:t>
      </w:r>
      <w:r>
        <w:t>on federal court jurisdiction,” requiring “ ‘</w:t>
      </w:r>
      <w:r w:rsidRPr="00253683">
        <w:t>the party requesti</w:t>
      </w:r>
      <w:r>
        <w:t>ng standing [to allege] “</w:t>
      </w:r>
      <w:r w:rsidRPr="00253683">
        <w:t>such a personal stake in the outcome of the controversy as to assure that</w:t>
      </w:r>
      <w:r w:rsidRPr="00253683">
        <w:t xml:space="preserve"> concrete adverseness which shar</w:t>
      </w:r>
      <w:r>
        <w:t xml:space="preserve">pens the presentation of issues.” ’ ” </w:t>
      </w:r>
      <w:r>
        <w:t xml:space="preserve"> </w:t>
      </w:r>
      <w:r>
        <w:t xml:space="preserve">[Citation.]  </w:t>
      </w:r>
      <w:r w:rsidRPr="00253683">
        <w:t xml:space="preserve">There is no similar requirement in our state Constitution. </w:t>
      </w:r>
      <w:r>
        <w:t xml:space="preserve"> </w:t>
      </w:r>
      <w:r w:rsidRPr="00253683">
        <w:t xml:space="preserve">[Citation.]” </w:t>
      </w:r>
      <w:r>
        <w:t xml:space="preserve"> </w:t>
      </w:r>
      <w:r w:rsidRPr="00253683">
        <w:t>(</w:t>
      </w:r>
      <w:r w:rsidRPr="00DB33CE">
        <w:rPr>
          <w:i/>
        </w:rPr>
        <w:t>Grosset v. Wenaas</w:t>
      </w:r>
      <w:r w:rsidRPr="00253683">
        <w:t xml:space="preserve"> (2008) 42 Cal.4th 1100, 1117, fn. 13 [</w:t>
      </w:r>
      <w:r>
        <w:t>citation]; [Citations.]”  (</w:t>
      </w:r>
      <w:r w:rsidRPr="00DB33CE">
        <w:rPr>
          <w:i/>
        </w:rPr>
        <w:t>Jasmine</w:t>
      </w:r>
      <w:r>
        <w:rPr>
          <w:i/>
        </w:rPr>
        <w:t xml:space="preserve"> Networ</w:t>
      </w:r>
      <w:r>
        <w:rPr>
          <w:i/>
        </w:rPr>
        <w:t xml:space="preserve">ks, supra, </w:t>
      </w:r>
      <w:r>
        <w:t>180 Cal.App.4th at p. 990.)  (S</w:t>
      </w:r>
      <w:r w:rsidRPr="00357076">
        <w:t xml:space="preserve">ee </w:t>
      </w:r>
      <w:r>
        <w:t xml:space="preserve">also </w:t>
      </w:r>
      <w:r w:rsidRPr="00357076">
        <w:t>Cal. Const., art. VI, § 10 [empowering superior court to adjudicate</w:t>
      </w:r>
      <w:r>
        <w:t xml:space="preserve"> any “cause” brought before it].)  </w:t>
      </w:r>
    </w:p>
    <w:p w:rsidR="00EE01C6" w:rsidRDefault="006B3AC9" w:rsidP="00EE01C6">
      <w:r>
        <w:tab/>
        <w:t>Whatever the exact contours of the concept of standing as it is used in California, the fact that a co</w:t>
      </w:r>
      <w:r>
        <w:t>rporate entity’s status has been suspended does not implicate it.  “Defects or errors in relation to parties do not affect subject matter jurisdiction.”  (2 Witkin, Cal. Procedure (5th Ed. 2008) Jurisdiction, § 99, p. 672.)  “ ‘</w:t>
      </w:r>
      <w:r w:rsidRPr="00253683">
        <w:t>There is a difference betwee</w:t>
      </w:r>
      <w:r w:rsidRPr="00253683">
        <w:t xml:space="preserve">n the </w:t>
      </w:r>
      <w:r w:rsidRPr="00DE2D40">
        <w:rPr>
          <w:i/>
        </w:rPr>
        <w:t>capacity</w:t>
      </w:r>
      <w:r w:rsidRPr="00253683">
        <w:t xml:space="preserve"> to sue, which is the right to come into court, and the </w:t>
      </w:r>
      <w:r w:rsidRPr="00DE2D40">
        <w:rPr>
          <w:i/>
        </w:rPr>
        <w:t>standing</w:t>
      </w:r>
      <w:r w:rsidRPr="00253683">
        <w:t xml:space="preserve"> to sue, which is </w:t>
      </w:r>
      <w:r>
        <w:t>the right to relief in court.” ’</w:t>
      </w:r>
      <w:r>
        <w:t xml:space="preserve"> </w:t>
      </w:r>
      <w:r w:rsidRPr="00253683">
        <w:t xml:space="preserve"> (</w:t>
      </w:r>
      <w:r w:rsidRPr="00DE2D40">
        <w:rPr>
          <w:i/>
        </w:rPr>
        <w:t>Color-Vue</w:t>
      </w:r>
      <w:r>
        <w:rPr>
          <w:i/>
        </w:rPr>
        <w:t xml:space="preserve"> </w:t>
      </w:r>
      <w:r>
        <w:t>[</w:t>
      </w:r>
      <w:r w:rsidRPr="007C2A58">
        <w:t>supra</w:t>
      </w:r>
      <w:r>
        <w:t xml:space="preserve">], </w:t>
      </w:r>
      <w:r w:rsidRPr="00253683">
        <w:t xml:space="preserve">44 Cal.App.4th </w:t>
      </w:r>
      <w:r>
        <w:t>[at p.] 1604 [citation].)  ‘</w:t>
      </w:r>
      <w:r w:rsidRPr="00253683">
        <w:t xml:space="preserve">A plaintiff lacks standing to sue if, for example, it [is] </w:t>
      </w:r>
      <w:r>
        <w:t xml:space="preserve">not </w:t>
      </w:r>
      <w:r>
        <w:t xml:space="preserve">. . . </w:t>
      </w:r>
      <w:r>
        <w:t xml:space="preserve"> a real party in interest.’</w:t>
      </w:r>
      <w:r w:rsidRPr="00253683">
        <w:t xml:space="preserve"> (</w:t>
      </w:r>
      <w:r w:rsidRPr="00DE2D40">
        <w:rPr>
          <w:i/>
        </w:rPr>
        <w:t>Id</w:t>
      </w:r>
      <w:r>
        <w:t xml:space="preserve">. at p. 1604, fn. 4.)  </w:t>
      </w:r>
      <w:r w:rsidRPr="00253683">
        <w:t>Incapacity, on the other hand, is merely a legal disability, such as minority or incompetency, that can be cured during the pendency of the litigation. (</w:t>
      </w:r>
      <w:r w:rsidRPr="00DE2D40">
        <w:rPr>
          <w:i/>
        </w:rPr>
        <w:t>Id</w:t>
      </w:r>
      <w:r>
        <w:t>. at p. 1604.) ‘</w:t>
      </w:r>
      <w:r w:rsidRPr="00253683">
        <w:t>Suspension of corporate p</w:t>
      </w:r>
      <w:r w:rsidRPr="00253683">
        <w:t xml:space="preserve">owers results in a lack of </w:t>
      </w:r>
      <w:r w:rsidRPr="00DE2D40">
        <w:rPr>
          <w:i/>
        </w:rPr>
        <w:t>capacity</w:t>
      </w:r>
      <w:r>
        <w:t xml:space="preserve"> to sue, </w:t>
      </w:r>
      <w:r w:rsidRPr="00253683">
        <w:t xml:space="preserve">not a lack of </w:t>
      </w:r>
      <w:r w:rsidRPr="00DE2D40">
        <w:rPr>
          <w:i/>
        </w:rPr>
        <w:t xml:space="preserve">standing </w:t>
      </w:r>
      <w:r>
        <w:t>to sue.’</w:t>
      </w:r>
      <w:r w:rsidRPr="00253683">
        <w:t xml:space="preserve"> </w:t>
      </w:r>
      <w:r>
        <w:t xml:space="preserve"> </w:t>
      </w:r>
      <w:r w:rsidRPr="00253683">
        <w:t>(</w:t>
      </w:r>
      <w:r w:rsidRPr="00DE2D40">
        <w:rPr>
          <w:i/>
        </w:rPr>
        <w:t>Id</w:t>
      </w:r>
      <w:r>
        <w:t>. at pp. 1603–1604.)”  (</w:t>
      </w:r>
      <w:r w:rsidRPr="00DE2D40">
        <w:rPr>
          <w:i/>
        </w:rPr>
        <w:t>Washington Mutual Bank v. Blechman</w:t>
      </w:r>
      <w:r>
        <w:t xml:space="preserve"> (2007) 157 Cal.App.4th 662, 669-670.)  Any claim, therefore, that Miami Legal’s dissolved status prohibited further p</w:t>
      </w:r>
      <w:r>
        <w:t>rosecution of its lawsuit does not raise matters of jurisdiction or standing.</w:t>
      </w:r>
      <w:r w:rsidRPr="00534CBB">
        <w:rPr>
          <w:rStyle w:val="FootnoteReference"/>
        </w:rPr>
        <w:t xml:space="preserve"> </w:t>
      </w:r>
    </w:p>
    <w:p w:rsidR="00EE01C6" w:rsidRDefault="006B3AC9" w:rsidP="00EE01C6">
      <w:pPr>
        <w:pStyle w:val="FootnoteText"/>
        <w:spacing w:after="0" w:line="480" w:lineRule="atLeast"/>
      </w:pPr>
      <w:r>
        <w:tab/>
        <w:t xml:space="preserve">Further, the </w:t>
      </w:r>
      <w:r>
        <w:rPr>
          <w:i/>
        </w:rPr>
        <w:t xml:space="preserve">Common Cause </w:t>
      </w:r>
      <w:r>
        <w:t>case, relied upon by Walton in his motion (and cited by the trial court in its order of dismissal)</w:t>
      </w:r>
      <w:r>
        <w:t>,</w:t>
      </w:r>
      <w:r>
        <w:t xml:space="preserve"> is inapposite.  (See </w:t>
      </w:r>
      <w:r w:rsidRPr="00882605">
        <w:rPr>
          <w:i/>
        </w:rPr>
        <w:t>Common Cause</w:t>
      </w:r>
      <w:r>
        <w:rPr>
          <w:i/>
        </w:rPr>
        <w:t xml:space="preserve">, supra, </w:t>
      </w:r>
      <w:r>
        <w:t>49 Cal.3</w:t>
      </w:r>
      <w:r>
        <w:t>d at pp. 438-441.)  The question presented in that case was whether taxpayer plaintiffs had standing to require a county to implement what was, in essence, a kind of voter outreach program, without which, plaintiffs claimed, provisions of California’s Elec</w:t>
      </w:r>
      <w:r>
        <w:t>tions Code and the equal protection guarantees of the United States and California Constitutions would be violated.  (</w:t>
      </w:r>
      <w:r>
        <w:rPr>
          <w:i/>
        </w:rPr>
        <w:t xml:space="preserve">Id. </w:t>
      </w:r>
      <w:r>
        <w:t>at pp. 437-439.)  Our Supreme Court held that the taxpayers did have standing because they were seeking, by a writ of mandamus, to pro</w:t>
      </w:r>
      <w:r>
        <w:t>cure the enforcement of a public duty.  (</w:t>
      </w:r>
      <w:r>
        <w:rPr>
          <w:i/>
        </w:rPr>
        <w:t xml:space="preserve">Id. </w:t>
      </w:r>
      <w:r>
        <w:t>at pp. 439-440.)  These facts are far afield from what Walton argued in his motion.  This case involves simply a corporate capacity issue.  We are not being asked to discern here whether members of the taxpaying</w:t>
      </w:r>
      <w:r>
        <w:t xml:space="preserve"> public might have s</w:t>
      </w:r>
      <w:r>
        <w:t xml:space="preserve">tanding nor to discern the dividing line between a generalized grievance and particularized injury.  </w:t>
      </w:r>
    </w:p>
    <w:p w:rsidR="00EE01C6" w:rsidRDefault="006B3AC9" w:rsidP="00EE01C6">
      <w:pPr>
        <w:pStyle w:val="FootnoteText"/>
        <w:spacing w:after="0" w:line="480" w:lineRule="atLeast"/>
      </w:pPr>
      <w:r>
        <w:tab/>
        <w:t>We also reject the notion that either section 367 or the concept of standing prohibited Miami Legal from pursuing its case under a fi</w:t>
      </w:r>
      <w:r>
        <w:t>ctitious name.  As our Supreme Court noted over a century ago, “</w:t>
      </w:r>
      <w:r w:rsidRPr="00E81BA9">
        <w:t>a person may adopt any name in which to prosecute business, and ma</w:t>
      </w:r>
      <w:r>
        <w:t>y sue or be sued in such a name.”  (</w:t>
      </w:r>
      <w:r w:rsidRPr="006330D8">
        <w:rPr>
          <w:i/>
        </w:rPr>
        <w:t>Emery v. Kipp</w:t>
      </w:r>
      <w:r>
        <w:t xml:space="preserve"> (1908) </w:t>
      </w:r>
      <w:r w:rsidRPr="00E81BA9">
        <w:t>154 Cal. 83, 86</w:t>
      </w:r>
      <w:r>
        <w:t>.)  In addition, the argument that a “plaintiff has no</w:t>
      </w:r>
      <w:r>
        <w:t xml:space="preserve"> standing to sue under a fictitious name” was more recently rejected in </w:t>
      </w:r>
      <w:r>
        <w:rPr>
          <w:i/>
        </w:rPr>
        <w:t xml:space="preserve">Doe v. Lincoln Unified School Dist. </w:t>
      </w:r>
      <w:r>
        <w:t>(2010) 188 Cal.App.4th 758, 765-766 (</w:t>
      </w:r>
      <w:r>
        <w:rPr>
          <w:i/>
        </w:rPr>
        <w:t>Lincoln Unified</w:t>
      </w:r>
      <w:r>
        <w:t>).  In that case, a school teacher brought an action against her school district (among other de</w:t>
      </w:r>
      <w:r>
        <w:t>fendants), seeking a writ of mandate to compel the district to initiate certain proceedings under the Education Code to determine her mental fitness.  (</w:t>
      </w:r>
      <w:r>
        <w:rPr>
          <w:i/>
        </w:rPr>
        <w:t xml:space="preserve">Id. </w:t>
      </w:r>
      <w:r>
        <w:t xml:space="preserve">at p. 762.)  The teacher brought suit under a fictitious name to protect her privacy and the school </w:t>
      </w:r>
      <w:r>
        <w:t>district objected, arguing that plaintiff’s remedy was to file her documents under seal pursuant to California Rules of Court, rule 2.551.  (</w:t>
      </w:r>
      <w:r>
        <w:rPr>
          <w:i/>
        </w:rPr>
        <w:t xml:space="preserve">Id. </w:t>
      </w:r>
      <w:r>
        <w:t xml:space="preserve">at p. 765.)  </w:t>
      </w:r>
    </w:p>
    <w:p w:rsidR="00EE01C6" w:rsidRPr="006E29BD" w:rsidRDefault="006B3AC9" w:rsidP="00EE01C6">
      <w:r>
        <w:tab/>
        <w:t>The district’s arguments were rejected:  “</w:t>
      </w:r>
      <w:r w:rsidRPr="00847887">
        <w:t>The questi</w:t>
      </w:r>
      <w:r>
        <w:t>on here is not one of standing.”  (</w:t>
      </w:r>
      <w:r>
        <w:rPr>
          <w:i/>
        </w:rPr>
        <w:t>Lincoln U</w:t>
      </w:r>
      <w:r>
        <w:rPr>
          <w:i/>
        </w:rPr>
        <w:t xml:space="preserve">nified, supra, </w:t>
      </w:r>
      <w:r>
        <w:t>188 Cal.App.4th at p. 765.)  “</w:t>
      </w:r>
      <w:r w:rsidRPr="00847887">
        <w:t xml:space="preserve">The question for purposes of standing is not the name used by the party suing but whether the party suing is the party possessing the right sued upon. In this matter, there is no question plaintiff is the party </w:t>
      </w:r>
      <w:r>
        <w:t>injured by virtue of defendants’</w:t>
      </w:r>
      <w:r w:rsidRPr="00847887">
        <w:t xml:space="preserve"> actions and, therefore, she is the party possessing the right sued upon. Thus, the question is not whether plaintiff has standing to sue but whether she ma</w:t>
      </w:r>
      <w:r>
        <w:t>y do so using a fictitious name.”  (</w:t>
      </w:r>
      <w:r>
        <w:rPr>
          <w:i/>
        </w:rPr>
        <w:t>Ibid.</w:t>
      </w:r>
      <w:r>
        <w:t xml:space="preserve">)  The </w:t>
      </w:r>
      <w:r>
        <w:rPr>
          <w:i/>
        </w:rPr>
        <w:t xml:space="preserve">Lincoln Unified </w:t>
      </w:r>
      <w:r>
        <w:t>cour</w:t>
      </w:r>
      <w:r>
        <w:t>t then examined a long line of cases allowing plaintiffs to proceed under a fictitious name.  (</w:t>
      </w:r>
      <w:r>
        <w:rPr>
          <w:i/>
        </w:rPr>
        <w:t xml:space="preserve">Id. </w:t>
      </w:r>
      <w:r>
        <w:t xml:space="preserve">at pp. 766-767.) </w:t>
      </w:r>
    </w:p>
    <w:p w:rsidR="00EE01C6" w:rsidRDefault="006B3AC9" w:rsidP="00EE01C6">
      <w:r>
        <w:tab/>
        <w:t xml:space="preserve">The </w:t>
      </w:r>
      <w:r>
        <w:rPr>
          <w:i/>
        </w:rPr>
        <w:t xml:space="preserve">Lincoln Unified </w:t>
      </w:r>
      <w:r>
        <w:t>court also rejected the assertion that section 367 “</w:t>
      </w:r>
      <w:r w:rsidRPr="00847887">
        <w:t>requires that a party sue in his or her own name. It does not</w:t>
      </w:r>
      <w:r>
        <w:t xml:space="preserve">.  </w:t>
      </w:r>
      <w:r w:rsidRPr="00847887">
        <w:t>Notwithstanding its wording, this provision requires that an action be brought</w:t>
      </w:r>
      <w:r>
        <w:t xml:space="preserve"> by the real party in interest.  [Ci</w:t>
      </w:r>
      <w:r>
        <w:t xml:space="preserve">tation.] </w:t>
      </w:r>
      <w:r>
        <w:t xml:space="preserve"> </w:t>
      </w:r>
      <w:r>
        <w:t>‘</w:t>
      </w:r>
      <w:r>
        <w:t xml:space="preserve"> “</w:t>
      </w:r>
      <w:r w:rsidRPr="00847887">
        <w:t>A real party in interest ordinarily is defined as the person possessing the right sued upon by reason of the substantive law.</w:t>
      </w:r>
      <w:r>
        <w:t>”</w:t>
      </w:r>
      <w:r w:rsidRPr="00847887">
        <w:t xml:space="preserve"> </w:t>
      </w:r>
      <w:r>
        <w:t xml:space="preserve"> </w:t>
      </w:r>
      <w:r w:rsidRPr="00847887">
        <w:t>[</w:t>
      </w:r>
      <w:r w:rsidRPr="00847887">
        <w:t xml:space="preserve">Citation.] </w:t>
      </w:r>
      <w:r>
        <w:t xml:space="preserve"> </w:t>
      </w:r>
      <w:r w:rsidRPr="00847887">
        <w:t xml:space="preserve">A complaint </w:t>
      </w:r>
      <w:r>
        <w:t>filed</w:t>
      </w:r>
      <w:r w:rsidRPr="00847887">
        <w:t xml:space="preserve"> by someone other than the real party in interest is subject to general demurrer on the ground that it fails to state a cause of action. </w:t>
      </w:r>
      <w:r>
        <w:t xml:space="preserve"> </w:t>
      </w:r>
      <w:r>
        <w:t>[Citation.]</w:t>
      </w:r>
      <w:r>
        <w:t xml:space="preserve">’ </w:t>
      </w:r>
      <w:r>
        <w:t>”  (</w:t>
      </w:r>
      <w:r>
        <w:rPr>
          <w:i/>
        </w:rPr>
        <w:t xml:space="preserve">Lincoln Unified, supra, </w:t>
      </w:r>
      <w:r>
        <w:t xml:space="preserve">188 Cal.App.4th at p. 765.)  </w:t>
      </w:r>
    </w:p>
    <w:p w:rsidR="00603DB0" w:rsidRDefault="006B3AC9" w:rsidP="00603DB0">
      <w:r>
        <w:tab/>
        <w:t>Of course, this c</w:t>
      </w:r>
      <w:r>
        <w:t xml:space="preserve">ase does not involve an individual seeking to sue under a fictitious name to protect his or her identity nor does this case invoke the same kind of privacy concerns at issue in </w:t>
      </w:r>
      <w:r>
        <w:rPr>
          <w:i/>
        </w:rPr>
        <w:t xml:space="preserve">Lincoln Unified.  </w:t>
      </w:r>
      <w:r>
        <w:t xml:space="preserve">Nor did Walton’s motion in fact raise any supposed violation </w:t>
      </w:r>
      <w:r>
        <w:t xml:space="preserve">of any fictitious name statute.  </w:t>
      </w:r>
      <w:r>
        <w:t xml:space="preserve">Both this case and </w:t>
      </w:r>
      <w:r>
        <w:rPr>
          <w:i/>
        </w:rPr>
        <w:t xml:space="preserve">Lincoln Unified, </w:t>
      </w:r>
      <w:r>
        <w:t>however, stand for the proposition that, whatever other complications might arise from the use of fictitious names, doing so does not, in and of itself, raise a question of standing or ju</w:t>
      </w:r>
      <w:r>
        <w:t>risdiction.</w:t>
      </w:r>
      <w:r w:rsidRPr="008156CC">
        <w:rPr>
          <w:rStyle w:val="FootnoteReference"/>
        </w:rPr>
        <w:t xml:space="preserve"> </w:t>
      </w:r>
    </w:p>
    <w:p w:rsidR="00EE01C6" w:rsidRPr="00D01B98" w:rsidRDefault="006B3AC9" w:rsidP="00603DB0">
      <w:pPr>
        <w:jc w:val="center"/>
        <w:rPr>
          <w:b/>
          <w:smallCaps/>
        </w:rPr>
      </w:pPr>
      <w:r w:rsidRPr="00D01B98">
        <w:rPr>
          <w:b/>
          <w:smallCaps/>
        </w:rPr>
        <w:t>Disposition</w:t>
      </w:r>
    </w:p>
    <w:p w:rsidR="00EE01C6" w:rsidRDefault="006B3AC9" w:rsidP="00EE01C6">
      <w:r>
        <w:tab/>
        <w:t xml:space="preserve">The judgment is reversed.  The trial court is instructed to enter an order denying Walton’s motion to dismiss.  Costs on appeal are awarded to the appellant, Miami Legal.  </w:t>
      </w:r>
    </w:p>
    <w:p w:rsidR="004E7F57" w:rsidRDefault="006B3AC9">
      <w:pPr>
        <w:tabs>
          <w:tab w:val="clear" w:pos="720"/>
        </w:tabs>
        <w:spacing w:line="240" w:lineRule="auto"/>
      </w:pPr>
      <w:r>
        <w:br w:type="page"/>
      </w:r>
    </w:p>
    <w:p w:rsidR="004E7F57" w:rsidRPr="004E7F57" w:rsidRDefault="006B3AC9" w:rsidP="004E7F57">
      <w:pPr>
        <w:spacing w:line="240" w:lineRule="auto"/>
      </w:pPr>
      <w:r w:rsidRPr="004E7F57">
        <w:tab/>
      </w:r>
      <w:r w:rsidRPr="004E7F57">
        <w:tab/>
      </w:r>
      <w:r w:rsidRPr="004E7F57">
        <w:tab/>
      </w:r>
      <w:r w:rsidRPr="004E7F57">
        <w:tab/>
      </w:r>
      <w:r w:rsidRPr="004E7F57">
        <w:tab/>
      </w:r>
      <w:r w:rsidRPr="004E7F57">
        <w:tab/>
        <w:t>______________________________________</w:t>
      </w:r>
    </w:p>
    <w:p w:rsidR="004E7F57" w:rsidRPr="004E7F57" w:rsidRDefault="006B3AC9" w:rsidP="004E7F57">
      <w:pPr>
        <w:spacing w:line="240" w:lineRule="auto"/>
      </w:pPr>
      <w:r w:rsidRPr="004E7F57">
        <w:tab/>
      </w:r>
      <w:r w:rsidRPr="004E7F57">
        <w:tab/>
      </w:r>
      <w:r w:rsidRPr="004E7F57">
        <w:tab/>
      </w:r>
      <w:r w:rsidRPr="004E7F57">
        <w:tab/>
      </w:r>
      <w:r w:rsidRPr="004E7F57">
        <w:tab/>
      </w:r>
      <w:r w:rsidRPr="004E7F57">
        <w:tab/>
      </w:r>
      <w:r w:rsidRPr="004E7F57">
        <w:tab/>
      </w:r>
      <w:r w:rsidRPr="004E7F57">
        <w:tab/>
        <w:t>RU</w:t>
      </w:r>
      <w:r w:rsidRPr="004E7F57">
        <w:t>SHING, P.J.</w:t>
      </w: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r w:rsidRPr="004E7F57">
        <w:t>WE CONCUR:</w:t>
      </w: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r w:rsidRPr="004E7F57">
        <w:t xml:space="preserve">           </w:t>
      </w: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r w:rsidRPr="004E7F57">
        <w:t>____________________________________</w:t>
      </w:r>
    </w:p>
    <w:p w:rsidR="004E7F57" w:rsidRPr="004E7F57" w:rsidRDefault="006B3AC9" w:rsidP="004E7F57">
      <w:pPr>
        <w:spacing w:line="240" w:lineRule="auto"/>
      </w:pPr>
      <w:r w:rsidRPr="004E7F57">
        <w:t>PREMO, J.</w:t>
      </w: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r w:rsidRPr="004E7F57">
        <w:t>____________________________________</w:t>
      </w:r>
    </w:p>
    <w:p w:rsidR="004E7F57" w:rsidRPr="004E7F57" w:rsidRDefault="006B3AC9" w:rsidP="004E7F57">
      <w:pPr>
        <w:spacing w:line="240" w:lineRule="auto"/>
      </w:pPr>
      <w:r w:rsidRPr="004E7F57">
        <w:t>ELIA, J.</w:t>
      </w: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pPr>
    </w:p>
    <w:p w:rsidR="004E7F57" w:rsidRPr="004E7F57" w:rsidRDefault="006B3AC9" w:rsidP="004E7F57">
      <w:pPr>
        <w:spacing w:line="240" w:lineRule="auto"/>
        <w:rPr>
          <w:b/>
          <w:i/>
        </w:rPr>
      </w:pPr>
      <w:r w:rsidRPr="004E7F57">
        <w:rPr>
          <w:b/>
          <w:i/>
        </w:rPr>
        <w:t>The Rossdale Group, LLC v. Walton</w:t>
      </w:r>
    </w:p>
    <w:p w:rsidR="004E7F57" w:rsidRPr="004E7F57" w:rsidRDefault="006B3AC9" w:rsidP="004E7F57">
      <w:pPr>
        <w:spacing w:line="240" w:lineRule="auto"/>
        <w:rPr>
          <w:b/>
        </w:rPr>
      </w:pPr>
      <w:r w:rsidRPr="004E7F57">
        <w:rPr>
          <w:b/>
        </w:rPr>
        <w:t>H043476</w:t>
      </w:r>
    </w:p>
    <w:p w:rsidR="007C3CB4" w:rsidRDefault="006B3AC9">
      <w:pPr>
        <w:tabs>
          <w:tab w:val="clear" w:pos="720"/>
        </w:tabs>
        <w:spacing w:line="240" w:lineRule="auto"/>
      </w:pPr>
      <w:r>
        <w:br w:type="page"/>
      </w:r>
    </w:p>
    <w:p w:rsidR="007C3CB4" w:rsidRPr="007C3CB4" w:rsidRDefault="006B3AC9" w:rsidP="007C3CB4">
      <w:pPr>
        <w:spacing w:line="240" w:lineRule="auto"/>
      </w:pPr>
      <w:r w:rsidRPr="007C3CB4">
        <w:t>Trial Court:</w:t>
      </w:r>
      <w:r w:rsidRPr="007C3CB4">
        <w:tab/>
      </w:r>
      <w:r w:rsidRPr="007C3CB4">
        <w:tab/>
      </w:r>
      <w:r w:rsidRPr="007C3CB4">
        <w:tab/>
      </w:r>
      <w:r w:rsidRPr="007C3CB4">
        <w:tab/>
      </w:r>
      <w:r w:rsidRPr="007C3CB4">
        <w:tab/>
      </w:r>
      <w:r w:rsidRPr="007C3CB4">
        <w:tab/>
        <w:t>Santa Cruz County Superior Court</w:t>
      </w:r>
    </w:p>
    <w:p w:rsidR="007C3CB4" w:rsidRPr="007C3CB4" w:rsidRDefault="006B3AC9" w:rsidP="007C3CB4">
      <w:pPr>
        <w:spacing w:line="240" w:lineRule="auto"/>
      </w:pPr>
      <w:r>
        <w:tab/>
      </w:r>
      <w:r>
        <w:tab/>
      </w:r>
      <w:r>
        <w:tab/>
      </w:r>
      <w:r>
        <w:tab/>
      </w:r>
      <w:r>
        <w:tab/>
      </w:r>
      <w:r>
        <w:tab/>
      </w:r>
      <w:r>
        <w:tab/>
      </w:r>
      <w:r w:rsidRPr="007C3CB4">
        <w:t>Superior Court No.:  CV179135</w:t>
      </w: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r w:rsidRPr="007C3CB4">
        <w:t>Trial Judge:</w:t>
      </w:r>
      <w:r w:rsidRPr="007C3CB4">
        <w:tab/>
      </w:r>
      <w:r w:rsidRPr="007C3CB4">
        <w:tab/>
      </w:r>
      <w:r w:rsidRPr="007C3CB4">
        <w:tab/>
      </w:r>
      <w:r w:rsidRPr="007C3CB4">
        <w:tab/>
      </w:r>
      <w:r w:rsidRPr="007C3CB4">
        <w:tab/>
      </w:r>
      <w:r w:rsidRPr="007C3CB4">
        <w:tab/>
        <w:t>The Honorable Paul P. Burdick</w:t>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r w:rsidRPr="007C3CB4">
        <w:t>Attorneys for Plaintiff and Appellant</w:t>
      </w:r>
      <w:r>
        <w:tab/>
      </w:r>
      <w:r w:rsidRPr="007C3CB4">
        <w:tab/>
        <w:t>David Alan Makman</w:t>
      </w:r>
    </w:p>
    <w:p w:rsidR="007C3CB4" w:rsidRPr="007C3CB4" w:rsidRDefault="006B3AC9" w:rsidP="007C3CB4">
      <w:pPr>
        <w:spacing w:line="240" w:lineRule="auto"/>
      </w:pPr>
      <w:r w:rsidRPr="007C3CB4">
        <w:t>The Rossdale Group, LLC.:</w:t>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p>
    <w:p w:rsidR="007C3CB4" w:rsidRPr="007C3CB4" w:rsidRDefault="006B3AC9" w:rsidP="007C3CB4">
      <w:pPr>
        <w:spacing w:line="240" w:lineRule="auto"/>
      </w:pP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Attorneys for Defendant and R</w:t>
      </w:r>
      <w:r w:rsidRPr="007C3CB4">
        <w:t>espondent</w:t>
      </w:r>
      <w:r w:rsidRPr="007C3CB4">
        <w:tab/>
      </w:r>
      <w:r w:rsidRPr="007C3CB4">
        <w:tab/>
        <w:t>Timothy J. Walton in pro per</w:t>
      </w:r>
    </w:p>
    <w:p w:rsidR="007C3CB4" w:rsidRPr="007C3CB4" w:rsidRDefault="006B3AC9" w:rsidP="007C3CB4">
      <w:pPr>
        <w:spacing w:line="240" w:lineRule="auto"/>
      </w:pPr>
      <w:r w:rsidRPr="007C3CB4">
        <w:t>Timothy Walton:</w:t>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r w:rsidRPr="007C3CB4">
        <w:t xml:space="preserve"> </w:t>
      </w: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r w:rsidRPr="007C3CB4">
        <w:tab/>
      </w:r>
      <w:r w:rsidRPr="007C3CB4">
        <w:tab/>
      </w:r>
      <w:r w:rsidRPr="007C3CB4">
        <w:tab/>
      </w:r>
      <w:r w:rsidRPr="007C3CB4">
        <w:tab/>
      </w:r>
      <w:r w:rsidRPr="007C3CB4">
        <w:tab/>
      </w:r>
      <w:r w:rsidRPr="007C3CB4">
        <w:tab/>
      </w:r>
      <w:r w:rsidRPr="007C3CB4">
        <w:tab/>
      </w: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pPr>
    </w:p>
    <w:p w:rsidR="007C3CB4" w:rsidRPr="007C3CB4" w:rsidRDefault="006B3AC9" w:rsidP="007C3CB4">
      <w:pPr>
        <w:spacing w:line="240" w:lineRule="auto"/>
        <w:rPr>
          <w:b/>
          <w:i/>
        </w:rPr>
      </w:pPr>
      <w:r w:rsidRPr="007C3CB4">
        <w:rPr>
          <w:b/>
          <w:i/>
        </w:rPr>
        <w:t>The Rossdale Group, LLC. v. Walton</w:t>
      </w:r>
    </w:p>
    <w:p w:rsidR="004E7F57" w:rsidRPr="00EE01C6" w:rsidRDefault="006B3AC9" w:rsidP="001C1778">
      <w:pPr>
        <w:spacing w:line="240" w:lineRule="auto"/>
      </w:pPr>
      <w:r w:rsidRPr="007C3CB4">
        <w:rPr>
          <w:b/>
        </w:rPr>
        <w:t>H043476</w:t>
      </w:r>
    </w:p>
    <w:sectPr w:rsidR="004E7F57" w:rsidRPr="00EE01C6" w:rsidSect="007C3CB4">
      <w:footerReference w:type="default" r:id="rId7"/>
      <w:pgSz w:w="12240" w:h="15840" w:code="1"/>
      <w:pgMar w:top="1440" w:right="1440" w:bottom="1440" w:left="1440" w:header="720" w:footer="720" w:gutter="0"/>
      <w:paperSrc w:first="261" w:other="261"/>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3AC9">
      <w:pPr>
        <w:spacing w:line="240" w:lineRule="auto"/>
      </w:pPr>
      <w:r>
        <w:separator/>
      </w:r>
    </w:p>
  </w:endnote>
  <w:endnote w:type="continuationSeparator" w:id="0">
    <w:p w:rsidR="00000000" w:rsidRDefault="006B3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CA" w:rsidRDefault="006B3AC9">
    <w:pPr>
      <w:pStyle w:val="Footer"/>
      <w:jc w:val="center"/>
    </w:pPr>
    <w:r>
      <w:fldChar w:fldCharType="begin"/>
    </w:r>
    <w:r>
      <w:instrText xml:space="preserve"> PAGE   \* MERGEFORMAT </w:instrText>
    </w:r>
    <w:r>
      <w:fldChar w:fldCharType="separate"/>
    </w:r>
    <w:r>
      <w:rPr>
        <w:noProof/>
      </w:rPr>
      <w:t>2</w:t>
    </w:r>
    <w:r>
      <w:rPr>
        <w:noProof/>
      </w:rPr>
      <w:fldChar w:fldCharType="end"/>
    </w:r>
  </w:p>
  <w:p w:rsidR="006E3ACA" w:rsidRDefault="006B3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CA" w:rsidRDefault="006B3AC9" w:rsidP="008B7D0E">
      <w:pPr>
        <w:spacing w:line="240" w:lineRule="auto"/>
      </w:pPr>
      <w:r>
        <w:separator/>
      </w:r>
    </w:p>
  </w:footnote>
  <w:footnote w:type="continuationSeparator" w:id="0">
    <w:p w:rsidR="006E3ACA" w:rsidRDefault="006B3AC9" w:rsidP="008B7D0E">
      <w:pPr>
        <w:spacing w:line="240" w:lineRule="auto"/>
      </w:pPr>
      <w:r>
        <w:continuationSeparator/>
      </w:r>
    </w:p>
  </w:footnote>
  <w:footnote w:id="1">
    <w:p w:rsidR="006E3ACA" w:rsidRPr="00824043" w:rsidRDefault="006B3AC9" w:rsidP="00483B72">
      <w:pPr>
        <w:spacing w:after="240" w:line="240" w:lineRule="auto"/>
      </w:pPr>
      <w:r>
        <w:tab/>
      </w:r>
      <w:r w:rsidRPr="004E7F57">
        <w:rPr>
          <w:rStyle w:val="FootnoteReference"/>
          <w:b/>
        </w:rPr>
        <w:footnoteRef/>
      </w:r>
      <w:r>
        <w:t xml:space="preserve">  Walton’s motion to dismiss acknowledged the relationship between the Rossdale name and Miami Legal</w:t>
      </w:r>
      <w:r>
        <w:t>,</w:t>
      </w:r>
      <w:r>
        <w:t xml:space="preserve"> and Walton never argued that the suit should be dismissed because of what appears</w:t>
      </w:r>
      <w:r>
        <w:t xml:space="preserve"> to be a misnomer.</w:t>
      </w:r>
      <w:r>
        <w:t xml:space="preserve">  </w:t>
      </w:r>
    </w:p>
  </w:footnote>
  <w:footnote w:id="2">
    <w:p w:rsidR="006E3ACA" w:rsidRPr="000E411E" w:rsidRDefault="006B3AC9" w:rsidP="00483B72">
      <w:pPr>
        <w:pStyle w:val="FootnoteText"/>
      </w:pPr>
      <w:r>
        <w:tab/>
      </w:r>
      <w:r w:rsidRPr="004E7F57">
        <w:rPr>
          <w:rStyle w:val="FootnoteReference"/>
          <w:b/>
        </w:rPr>
        <w:footnoteRef/>
      </w:r>
      <w:r>
        <w:t xml:space="preserve">  Code of Civil Procedure section 367 reads: “Every action must be prosecuted in the name of the real party in interest, except as otherwise provided b</w:t>
      </w:r>
      <w:r>
        <w:t xml:space="preserve">y statute.”  </w:t>
      </w:r>
    </w:p>
  </w:footnote>
  <w:footnote w:id="3">
    <w:p w:rsidR="006E3ACA" w:rsidRPr="006A7B55" w:rsidRDefault="006B3AC9" w:rsidP="00EE01C6">
      <w:pPr>
        <w:pStyle w:val="FootnoteText"/>
      </w:pPr>
      <w:r>
        <w:tab/>
      </w:r>
      <w:r w:rsidRPr="004E7F57">
        <w:rPr>
          <w:rStyle w:val="FootnoteReference"/>
          <w:b/>
        </w:rPr>
        <w:footnoteRef/>
      </w:r>
      <w:r>
        <w:t xml:space="preserve">  As we alluded to earlier, the history of the different entities and their relationship with each other is more than convoluted.  For example, in Walton’s motion to dismiss, he brought to the trial court’s attention the existence of anothe</w:t>
      </w:r>
      <w:r>
        <w:t>r limited liability company, also called “Miami Legal Resources, LLC</w:t>
      </w:r>
      <w:r>
        <w:t>,</w:t>
      </w:r>
      <w:r>
        <w:t>” which had filed its articles of organization with the state of Florida in September 2015.  Walton appears to have been anticipating that Miami Legal would argue that all of its assets w</w:t>
      </w:r>
      <w:r>
        <w:t>ere transferred to this new entity and so could continue the lawsuit as before.</w:t>
      </w:r>
      <w:r>
        <w:t xml:space="preserve"> </w:t>
      </w:r>
      <w:r>
        <w:t xml:space="preserve"> In its opposition, however, Miami Legal conceded that this new entity was “irrelevant” to Walton’s motion.  Why there is or was a second entity using the same name as the firs</w:t>
      </w:r>
      <w:r>
        <w:t>t (or even whether it is or was indeed a truly separate entity) has never been explained by Miami Legal and has only added to the convo</w:t>
      </w:r>
      <w:r>
        <w:t>luted background of this case.  The record does show that the first Miami Legal w</w:t>
      </w:r>
      <w:r>
        <w:t xml:space="preserve">as dissolved in September 2014. </w:t>
      </w:r>
      <w:r>
        <w:t xml:space="preserve"> And the</w:t>
      </w:r>
      <w:r>
        <w:t xml:space="preserve"> current status report </w:t>
      </w:r>
      <w:r>
        <w:t>available from Flo</w:t>
      </w:r>
      <w:r>
        <w:t xml:space="preserve">rida’s Division of Corporations, which we take judicial notice of on our own motion, </w:t>
      </w:r>
      <w:r>
        <w:t xml:space="preserve">shows the second Miami Legal </w:t>
      </w:r>
      <w:r>
        <w:t xml:space="preserve">appears to be </w:t>
      </w:r>
      <w:r>
        <w:t xml:space="preserve">operating under the same taxpayer identification number as the first Miami Legal.  </w:t>
      </w:r>
      <w:r>
        <w:t>(</w:t>
      </w:r>
      <w:r>
        <w:t>See</w:t>
      </w:r>
      <w:r>
        <w:t xml:space="preserve"> </w:t>
      </w:r>
      <w:r>
        <w:t>Florida Division of Corporations, &lt;http://</w:t>
      </w:r>
      <w:r w:rsidRPr="00C352BD">
        <w:t>search.sunbiz.org/Inquiry/CorporationSearch/SearchResultDetail?inquirytype=EntityName&amp;directionType=Initial&amp;searchNameOrder=MIAMILEGALRESOURCES%20L150001509300&amp;aggregateId=flal-l15000150930-fc58a47e-9a4f-4a34-ba92</w:t>
      </w:r>
      <w:r w:rsidRPr="00C352BD">
        <w:t>-46fbed3e9c8c&amp;searchTerm=Miami%20Legal&amp;listNameOrder=MIAMILEGALASSIST%20P1600000127</w:t>
      </w:r>
      <w:r>
        <w:t xml:space="preserve">50&gt;, as of </w:t>
      </w:r>
      <w:r>
        <w:t>Jun. 6</w:t>
      </w:r>
      <w:r>
        <w:t xml:space="preserve">, 2017.)  </w:t>
      </w:r>
      <w:r>
        <w:t>Because Walton’</w:t>
      </w:r>
      <w:r>
        <w:t xml:space="preserve">s motion did not cite any state </w:t>
      </w:r>
      <w:r>
        <w:t xml:space="preserve">statute regarding Miami Legal’s status and relied </w:t>
      </w:r>
      <w:r>
        <w:t xml:space="preserve">only </w:t>
      </w:r>
      <w:r>
        <w:t>on standing and jurisdictional arguments, we</w:t>
      </w:r>
      <w:r>
        <w:t xml:space="preserve"> need not discuss this topic in detail.  </w:t>
      </w:r>
    </w:p>
  </w:footnote>
  <w:footnote w:id="4">
    <w:p w:rsidR="006E3ACA" w:rsidRDefault="006B3AC9" w:rsidP="00EE01C6">
      <w:pPr>
        <w:pStyle w:val="FootnoteText"/>
      </w:pPr>
      <w:r>
        <w:tab/>
      </w:r>
      <w:r w:rsidRPr="004E7F57">
        <w:rPr>
          <w:rStyle w:val="FootnoteReference"/>
          <w:b/>
        </w:rPr>
        <w:footnoteRef/>
      </w:r>
      <w:r>
        <w:t xml:space="preserve">  Walton’s brief as respondent was stricken for his failure to pay the filing fee required by Government Code section 68926, subdivision (b).  As a result, we may accept as true the facts stated in appellant’s op</w:t>
      </w:r>
      <w:r>
        <w:t xml:space="preserve">ening brief.  (See </w:t>
      </w:r>
      <w:r>
        <w:rPr>
          <w:i/>
        </w:rPr>
        <w:t xml:space="preserve">Miles v. Speidel </w:t>
      </w:r>
      <w:r>
        <w:t>(1989) 211 Cal.App.3d 879, 881; Cal. Rules of Court, rule 8.220(a)(2).)</w:t>
      </w:r>
    </w:p>
  </w:footnote>
  <w:footnote w:id="5">
    <w:p w:rsidR="006E3ACA" w:rsidRDefault="006B3AC9">
      <w:pPr>
        <w:pStyle w:val="FootnoteText"/>
      </w:pPr>
      <w:r>
        <w:tab/>
      </w:r>
      <w:r w:rsidRPr="004E7F57">
        <w:rPr>
          <w:rStyle w:val="FootnoteReference"/>
          <w:b/>
        </w:rPr>
        <w:footnoteRef/>
      </w:r>
      <w:r>
        <w:t xml:space="preserve">  Although Miami Legal’s appellate brief raises Florida’s fictitious name statute and whether violations of it can be waived, we do not read Walto</w:t>
      </w:r>
      <w:r>
        <w:t xml:space="preserve">n’s original motion </w:t>
      </w:r>
      <w:r>
        <w:t>as even raising this issue.  As we have mentioned,</w:t>
      </w:r>
      <w:r>
        <w:t xml:space="preserve"> neither Walton’s motion nor the memorandum in support of it state statute relating to either a fictitious name registration problem or capacity to sue based on a dissolution.  Walton’s </w:t>
      </w:r>
      <w:r>
        <w:t>motion was instead based solely on standing and jurisdiction (which he argued were inherent in Code of Civ</w:t>
      </w:r>
      <w:r>
        <w:t>il Procedure section 367</w:t>
      </w:r>
      <w:r>
        <w:t>)</w:t>
      </w:r>
      <w:r>
        <w:t>.</w:t>
      </w:r>
      <w:r>
        <w:t xml:space="preserve"> </w:t>
      </w:r>
    </w:p>
  </w:footnote>
  <w:footnote w:id="6">
    <w:p w:rsidR="006E3ACA" w:rsidRPr="00700901" w:rsidRDefault="006B3AC9" w:rsidP="004E7F57">
      <w:pPr>
        <w:spacing w:line="240" w:lineRule="auto"/>
      </w:pPr>
      <w:r>
        <w:tab/>
      </w:r>
      <w:r w:rsidRPr="004E7F57">
        <w:rPr>
          <w:rStyle w:val="FootnoteReference"/>
          <w:b/>
        </w:rPr>
        <w:footnoteRef/>
      </w:r>
      <w:r w:rsidRPr="004E7F57">
        <w:rPr>
          <w:b/>
        </w:rPr>
        <w:t xml:space="preserve"> </w:t>
      </w:r>
      <w:r>
        <w:t xml:space="preserve"> We note that at least one court has treated a motion to strike pleadings raising corporate capacity issues as akin to </w:t>
      </w:r>
      <w:r>
        <w:t xml:space="preserve">a motion for summary judgment because of the disputed nature of the evidence and applied the same standard of review applicable to such motions. (See </w:t>
      </w:r>
      <w:r w:rsidRPr="00D42568">
        <w:rPr>
          <w:i/>
        </w:rPr>
        <w:t>Mediterranean Exports, Inc. v. Superior Court</w:t>
      </w:r>
      <w:r>
        <w:t xml:space="preserve"> </w:t>
      </w:r>
      <w:r w:rsidRPr="00D42568">
        <w:t>(</w:t>
      </w:r>
      <w:r>
        <w:t xml:space="preserve">1981) 119 Cal.App.3d 605, 615.)  The procedural difficulties raised by pleas in abatement are perhaps caused by the fact that their common law origins fit uneasily in today’s code centered environment.  (See </w:t>
      </w:r>
      <w:r w:rsidRPr="00A43E89">
        <w:rPr>
          <w:i/>
        </w:rPr>
        <w:t>Burnand v. Irigoyen</w:t>
      </w:r>
      <w:r w:rsidRPr="00A43E89">
        <w:t xml:space="preserve"> (1943) 56 Cal.App.2d 624, 62</w:t>
      </w:r>
      <w:r w:rsidRPr="00A43E89">
        <w:t>8-629</w:t>
      </w:r>
      <w:r>
        <w:t xml:space="preserve"> [“</w:t>
      </w:r>
      <w:r w:rsidRPr="00A43E89">
        <w:t>The terms abate and abatement are not defined by statute and neither has any specific applica</w:t>
      </w:r>
      <w:r>
        <w:t xml:space="preserve">tion to any statutory procedure”].)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ED"/>
    <w:rsid w:val="000C07ED"/>
    <w:rsid w:val="002E76C3"/>
    <w:rsid w:val="004F4362"/>
    <w:rsid w:val="006B3AC9"/>
    <w:rsid w:val="006B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7D0E"/>
    <w:pPr>
      <w:tabs>
        <w:tab w:val="left" w:pos="720"/>
      </w:tabs>
      <w:spacing w:line="480" w:lineRule="atLeast"/>
    </w:pPr>
    <w:rPr>
      <w:rFonts w:eastAsia="Times New Roman"/>
      <w:szCs w:val="22"/>
      <w:lang w:bidi="ar-SA"/>
    </w:rPr>
  </w:style>
  <w:style w:type="paragraph" w:styleId="Heading1">
    <w:name w:val="heading 1"/>
    <w:basedOn w:val="Normal"/>
    <w:next w:val="Normal"/>
    <w:link w:val="Heading1Char"/>
    <w:uiPriority w:val="9"/>
    <w:qFormat/>
    <w:rsid w:val="00410EC5"/>
    <w:pPr>
      <w:keepNext/>
      <w:tabs>
        <w:tab w:val="clear" w:pos="720"/>
      </w:tabs>
      <w:spacing w:before="240" w:after="60" w:line="240"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410EC5"/>
    <w:pPr>
      <w:keepNext/>
      <w:tabs>
        <w:tab w:val="clear" w:pos="720"/>
      </w:tabs>
      <w:spacing w:before="240" w:after="60" w:line="240"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410EC5"/>
    <w:pPr>
      <w:keepNext/>
      <w:tabs>
        <w:tab w:val="clear" w:pos="720"/>
      </w:tabs>
      <w:spacing w:before="240" w:after="60" w:line="240" w:lineRule="auto"/>
      <w:outlineLvl w:val="2"/>
    </w:pPr>
    <w:rPr>
      <w:rFonts w:asciiTheme="majorHAnsi" w:eastAsiaTheme="majorEastAsia" w:hAnsiTheme="majorHAnsi"/>
      <w:b/>
      <w:bCs/>
      <w:szCs w:val="26"/>
      <w:lang w:bidi="en-US"/>
    </w:rPr>
  </w:style>
  <w:style w:type="paragraph" w:styleId="Heading6">
    <w:name w:val="heading 6"/>
    <w:basedOn w:val="Normal"/>
    <w:next w:val="Normal"/>
    <w:link w:val="Heading6Char"/>
    <w:uiPriority w:val="9"/>
    <w:semiHidden/>
    <w:unhideWhenUsed/>
    <w:qFormat/>
    <w:rsid w:val="00410EC5"/>
    <w:pPr>
      <w:tabs>
        <w:tab w:val="clear" w:pos="720"/>
      </w:tabs>
      <w:spacing w:before="240" w:after="60" w:line="240" w:lineRule="auto"/>
      <w:outlineLvl w:val="5"/>
    </w:pPr>
    <w:rPr>
      <w:rFonts w:eastAsiaTheme="minorHAnsi"/>
      <w:b/>
      <w:bCs/>
      <w:szCs w:val="26"/>
      <w:lang w:bidi="en-US"/>
    </w:rPr>
  </w:style>
  <w:style w:type="paragraph" w:styleId="Heading7">
    <w:name w:val="heading 7"/>
    <w:basedOn w:val="Normal"/>
    <w:next w:val="Normal"/>
    <w:link w:val="Heading7Char"/>
    <w:uiPriority w:val="9"/>
    <w:semiHidden/>
    <w:unhideWhenUsed/>
    <w:qFormat/>
    <w:rsid w:val="00410EC5"/>
    <w:pPr>
      <w:tabs>
        <w:tab w:val="clear" w:pos="720"/>
      </w:tabs>
      <w:spacing w:before="240" w:after="60" w:line="240" w:lineRule="auto"/>
      <w:outlineLvl w:val="6"/>
    </w:pPr>
    <w:rPr>
      <w:rFonts w:eastAsiaTheme="minorHAnsi"/>
      <w:sz w:val="24"/>
      <w:szCs w:val="24"/>
      <w:lang w:bidi="en-US"/>
    </w:rPr>
  </w:style>
  <w:style w:type="paragraph" w:styleId="Heading8">
    <w:name w:val="heading 8"/>
    <w:basedOn w:val="Normal"/>
    <w:next w:val="Normal"/>
    <w:link w:val="Heading8Char"/>
    <w:uiPriority w:val="9"/>
    <w:semiHidden/>
    <w:unhideWhenUsed/>
    <w:qFormat/>
    <w:rsid w:val="00410EC5"/>
    <w:pPr>
      <w:tabs>
        <w:tab w:val="clear" w:pos="720"/>
      </w:tabs>
      <w:spacing w:before="240" w:after="60" w:line="240" w:lineRule="auto"/>
      <w:outlineLvl w:val="7"/>
    </w:pPr>
    <w:rPr>
      <w:rFonts w:eastAsiaTheme="minorHAnsi"/>
      <w:i/>
      <w:iCs/>
      <w:sz w:val="24"/>
      <w:szCs w:val="24"/>
      <w:lang w:bidi="en-US"/>
    </w:rPr>
  </w:style>
  <w:style w:type="paragraph" w:styleId="Heading9">
    <w:name w:val="heading 9"/>
    <w:basedOn w:val="Normal"/>
    <w:next w:val="Normal"/>
    <w:link w:val="Heading9Char"/>
    <w:uiPriority w:val="9"/>
    <w:semiHidden/>
    <w:unhideWhenUsed/>
    <w:qFormat/>
    <w:rsid w:val="00410EC5"/>
    <w:pPr>
      <w:tabs>
        <w:tab w:val="clear" w:pos="720"/>
      </w:tabs>
      <w:spacing w:before="240" w:after="60" w:line="240" w:lineRule="auto"/>
      <w:outlineLvl w:val="8"/>
    </w:pPr>
    <w:rPr>
      <w:rFonts w:asciiTheme="majorHAnsi" w:eastAsiaTheme="majorEastAsia" w:hAnsiTheme="majorHAnsi"/>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E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10E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10EC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10EC5"/>
    <w:rPr>
      <w:b/>
      <w:bCs/>
    </w:rPr>
  </w:style>
  <w:style w:type="character" w:customStyle="1" w:styleId="Heading7Char">
    <w:name w:val="Heading 7 Char"/>
    <w:basedOn w:val="DefaultParagraphFont"/>
    <w:link w:val="Heading7"/>
    <w:uiPriority w:val="9"/>
    <w:semiHidden/>
    <w:rsid w:val="00410EC5"/>
    <w:rPr>
      <w:sz w:val="24"/>
      <w:szCs w:val="24"/>
    </w:rPr>
  </w:style>
  <w:style w:type="character" w:customStyle="1" w:styleId="Heading8Char">
    <w:name w:val="Heading 8 Char"/>
    <w:basedOn w:val="DefaultParagraphFont"/>
    <w:link w:val="Heading8"/>
    <w:uiPriority w:val="9"/>
    <w:semiHidden/>
    <w:rsid w:val="00410EC5"/>
    <w:rPr>
      <w:i/>
      <w:iCs/>
      <w:sz w:val="24"/>
      <w:szCs w:val="24"/>
    </w:rPr>
  </w:style>
  <w:style w:type="character" w:customStyle="1" w:styleId="Heading9Char">
    <w:name w:val="Heading 9 Char"/>
    <w:basedOn w:val="DefaultParagraphFont"/>
    <w:link w:val="Heading9"/>
    <w:uiPriority w:val="9"/>
    <w:semiHidden/>
    <w:rsid w:val="00410EC5"/>
    <w:rPr>
      <w:rFonts w:asciiTheme="majorHAnsi" w:eastAsiaTheme="majorEastAsia" w:hAnsiTheme="majorHAnsi"/>
    </w:rPr>
  </w:style>
  <w:style w:type="paragraph" w:styleId="Title">
    <w:name w:val="Title"/>
    <w:basedOn w:val="Normal"/>
    <w:next w:val="Normal"/>
    <w:link w:val="TitleChar"/>
    <w:uiPriority w:val="10"/>
    <w:qFormat/>
    <w:rsid w:val="00410EC5"/>
    <w:pPr>
      <w:tabs>
        <w:tab w:val="clear" w:pos="720"/>
      </w:tabs>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10E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0EC5"/>
    <w:pPr>
      <w:tabs>
        <w:tab w:val="clear" w:pos="720"/>
      </w:tabs>
      <w:spacing w:after="60" w:line="240" w:lineRule="auto"/>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410EC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10EC5"/>
    <w:pPr>
      <w:outlineLvl w:val="9"/>
    </w:pPr>
  </w:style>
  <w:style w:type="paragraph" w:styleId="FootnoteText">
    <w:name w:val="footnote text"/>
    <w:basedOn w:val="Normal"/>
    <w:link w:val="FootnoteTextChar"/>
    <w:semiHidden/>
    <w:rsid w:val="008B7D0E"/>
    <w:pPr>
      <w:spacing w:after="240" w:line="240" w:lineRule="auto"/>
      <w:ind w:firstLine="144"/>
    </w:pPr>
  </w:style>
  <w:style w:type="character" w:customStyle="1" w:styleId="FootnoteTextChar">
    <w:name w:val="Footnote Text Char"/>
    <w:basedOn w:val="DefaultParagraphFont"/>
    <w:link w:val="FootnoteText"/>
    <w:semiHidden/>
    <w:rsid w:val="008B7D0E"/>
    <w:rPr>
      <w:rFonts w:eastAsia="Times New Roman"/>
      <w:szCs w:val="22"/>
      <w:lang w:bidi="ar-SA"/>
    </w:rPr>
  </w:style>
  <w:style w:type="character" w:styleId="FootnoteReference">
    <w:name w:val="footnote reference"/>
    <w:rsid w:val="008B7D0E"/>
    <w:rPr>
      <w:vertAlign w:val="superscript"/>
    </w:rPr>
  </w:style>
  <w:style w:type="paragraph" w:styleId="Footer">
    <w:name w:val="footer"/>
    <w:basedOn w:val="Normal"/>
    <w:link w:val="FooterChar"/>
    <w:rsid w:val="008B7D0E"/>
    <w:pPr>
      <w:tabs>
        <w:tab w:val="center" w:pos="4680"/>
        <w:tab w:val="right" w:pos="9360"/>
      </w:tabs>
    </w:pPr>
  </w:style>
  <w:style w:type="character" w:customStyle="1" w:styleId="FooterChar">
    <w:name w:val="Footer Char"/>
    <w:basedOn w:val="DefaultParagraphFont"/>
    <w:link w:val="Footer"/>
    <w:rsid w:val="008B7D0E"/>
    <w:rPr>
      <w:rFonts w:eastAsia="Times New Roman"/>
      <w:szCs w:val="22"/>
      <w:lang w:bidi="ar-SA"/>
    </w:rPr>
  </w:style>
  <w:style w:type="character" w:customStyle="1" w:styleId="ssrfcpassagedeactivated">
    <w:name w:val="ss_rfcpassage_deactivated"/>
    <w:basedOn w:val="DefaultParagraphFont"/>
    <w:rsid w:val="008B7D0E"/>
  </w:style>
  <w:style w:type="character" w:customStyle="1" w:styleId="ssit">
    <w:name w:val="ss_it"/>
    <w:basedOn w:val="DefaultParagraphFont"/>
    <w:rsid w:val="007753AD"/>
  </w:style>
  <w:style w:type="character" w:styleId="Hyperlink">
    <w:name w:val="Hyperlink"/>
    <w:basedOn w:val="DefaultParagraphFont"/>
    <w:uiPriority w:val="99"/>
    <w:unhideWhenUsed/>
    <w:rsid w:val="006E3ACA"/>
    <w:rPr>
      <w:color w:val="0000FF" w:themeColor="hyperlink"/>
      <w:u w:val="single"/>
    </w:rPr>
  </w:style>
  <w:style w:type="paragraph" w:styleId="Header">
    <w:name w:val="header"/>
    <w:basedOn w:val="Normal"/>
    <w:link w:val="HeaderChar"/>
    <w:uiPriority w:val="99"/>
    <w:unhideWhenUsed/>
    <w:rsid w:val="00B26162"/>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B26162"/>
    <w:rPr>
      <w:rFonts w:eastAsia="Times New Roman"/>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7D0E"/>
    <w:pPr>
      <w:tabs>
        <w:tab w:val="left" w:pos="720"/>
      </w:tabs>
      <w:spacing w:line="480" w:lineRule="atLeast"/>
    </w:pPr>
    <w:rPr>
      <w:rFonts w:eastAsia="Times New Roman"/>
      <w:szCs w:val="22"/>
      <w:lang w:bidi="ar-SA"/>
    </w:rPr>
  </w:style>
  <w:style w:type="paragraph" w:styleId="Heading1">
    <w:name w:val="heading 1"/>
    <w:basedOn w:val="Normal"/>
    <w:next w:val="Normal"/>
    <w:link w:val="Heading1Char"/>
    <w:uiPriority w:val="9"/>
    <w:qFormat/>
    <w:rsid w:val="00410EC5"/>
    <w:pPr>
      <w:keepNext/>
      <w:tabs>
        <w:tab w:val="clear" w:pos="720"/>
      </w:tabs>
      <w:spacing w:before="240" w:after="60" w:line="240"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410EC5"/>
    <w:pPr>
      <w:keepNext/>
      <w:tabs>
        <w:tab w:val="clear" w:pos="720"/>
      </w:tabs>
      <w:spacing w:before="240" w:after="60" w:line="240"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410EC5"/>
    <w:pPr>
      <w:keepNext/>
      <w:tabs>
        <w:tab w:val="clear" w:pos="720"/>
      </w:tabs>
      <w:spacing w:before="240" w:after="60" w:line="240" w:lineRule="auto"/>
      <w:outlineLvl w:val="2"/>
    </w:pPr>
    <w:rPr>
      <w:rFonts w:asciiTheme="majorHAnsi" w:eastAsiaTheme="majorEastAsia" w:hAnsiTheme="majorHAnsi"/>
      <w:b/>
      <w:bCs/>
      <w:szCs w:val="26"/>
      <w:lang w:bidi="en-US"/>
    </w:rPr>
  </w:style>
  <w:style w:type="paragraph" w:styleId="Heading6">
    <w:name w:val="heading 6"/>
    <w:basedOn w:val="Normal"/>
    <w:next w:val="Normal"/>
    <w:link w:val="Heading6Char"/>
    <w:uiPriority w:val="9"/>
    <w:semiHidden/>
    <w:unhideWhenUsed/>
    <w:qFormat/>
    <w:rsid w:val="00410EC5"/>
    <w:pPr>
      <w:tabs>
        <w:tab w:val="clear" w:pos="720"/>
      </w:tabs>
      <w:spacing w:before="240" w:after="60" w:line="240" w:lineRule="auto"/>
      <w:outlineLvl w:val="5"/>
    </w:pPr>
    <w:rPr>
      <w:rFonts w:eastAsiaTheme="minorHAnsi"/>
      <w:b/>
      <w:bCs/>
      <w:szCs w:val="26"/>
      <w:lang w:bidi="en-US"/>
    </w:rPr>
  </w:style>
  <w:style w:type="paragraph" w:styleId="Heading7">
    <w:name w:val="heading 7"/>
    <w:basedOn w:val="Normal"/>
    <w:next w:val="Normal"/>
    <w:link w:val="Heading7Char"/>
    <w:uiPriority w:val="9"/>
    <w:semiHidden/>
    <w:unhideWhenUsed/>
    <w:qFormat/>
    <w:rsid w:val="00410EC5"/>
    <w:pPr>
      <w:tabs>
        <w:tab w:val="clear" w:pos="720"/>
      </w:tabs>
      <w:spacing w:before="240" w:after="60" w:line="240" w:lineRule="auto"/>
      <w:outlineLvl w:val="6"/>
    </w:pPr>
    <w:rPr>
      <w:rFonts w:eastAsiaTheme="minorHAnsi"/>
      <w:sz w:val="24"/>
      <w:szCs w:val="24"/>
      <w:lang w:bidi="en-US"/>
    </w:rPr>
  </w:style>
  <w:style w:type="paragraph" w:styleId="Heading8">
    <w:name w:val="heading 8"/>
    <w:basedOn w:val="Normal"/>
    <w:next w:val="Normal"/>
    <w:link w:val="Heading8Char"/>
    <w:uiPriority w:val="9"/>
    <w:semiHidden/>
    <w:unhideWhenUsed/>
    <w:qFormat/>
    <w:rsid w:val="00410EC5"/>
    <w:pPr>
      <w:tabs>
        <w:tab w:val="clear" w:pos="720"/>
      </w:tabs>
      <w:spacing w:before="240" w:after="60" w:line="240" w:lineRule="auto"/>
      <w:outlineLvl w:val="7"/>
    </w:pPr>
    <w:rPr>
      <w:rFonts w:eastAsiaTheme="minorHAnsi"/>
      <w:i/>
      <w:iCs/>
      <w:sz w:val="24"/>
      <w:szCs w:val="24"/>
      <w:lang w:bidi="en-US"/>
    </w:rPr>
  </w:style>
  <w:style w:type="paragraph" w:styleId="Heading9">
    <w:name w:val="heading 9"/>
    <w:basedOn w:val="Normal"/>
    <w:next w:val="Normal"/>
    <w:link w:val="Heading9Char"/>
    <w:uiPriority w:val="9"/>
    <w:semiHidden/>
    <w:unhideWhenUsed/>
    <w:qFormat/>
    <w:rsid w:val="00410EC5"/>
    <w:pPr>
      <w:tabs>
        <w:tab w:val="clear" w:pos="720"/>
      </w:tabs>
      <w:spacing w:before="240" w:after="60" w:line="240" w:lineRule="auto"/>
      <w:outlineLvl w:val="8"/>
    </w:pPr>
    <w:rPr>
      <w:rFonts w:asciiTheme="majorHAnsi" w:eastAsiaTheme="majorEastAsia" w:hAnsiTheme="majorHAnsi"/>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E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10E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10EC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410EC5"/>
    <w:rPr>
      <w:b/>
      <w:bCs/>
    </w:rPr>
  </w:style>
  <w:style w:type="character" w:customStyle="1" w:styleId="Heading7Char">
    <w:name w:val="Heading 7 Char"/>
    <w:basedOn w:val="DefaultParagraphFont"/>
    <w:link w:val="Heading7"/>
    <w:uiPriority w:val="9"/>
    <w:semiHidden/>
    <w:rsid w:val="00410EC5"/>
    <w:rPr>
      <w:sz w:val="24"/>
      <w:szCs w:val="24"/>
    </w:rPr>
  </w:style>
  <w:style w:type="character" w:customStyle="1" w:styleId="Heading8Char">
    <w:name w:val="Heading 8 Char"/>
    <w:basedOn w:val="DefaultParagraphFont"/>
    <w:link w:val="Heading8"/>
    <w:uiPriority w:val="9"/>
    <w:semiHidden/>
    <w:rsid w:val="00410EC5"/>
    <w:rPr>
      <w:i/>
      <w:iCs/>
      <w:sz w:val="24"/>
      <w:szCs w:val="24"/>
    </w:rPr>
  </w:style>
  <w:style w:type="character" w:customStyle="1" w:styleId="Heading9Char">
    <w:name w:val="Heading 9 Char"/>
    <w:basedOn w:val="DefaultParagraphFont"/>
    <w:link w:val="Heading9"/>
    <w:uiPriority w:val="9"/>
    <w:semiHidden/>
    <w:rsid w:val="00410EC5"/>
    <w:rPr>
      <w:rFonts w:asciiTheme="majorHAnsi" w:eastAsiaTheme="majorEastAsia" w:hAnsiTheme="majorHAnsi"/>
    </w:rPr>
  </w:style>
  <w:style w:type="paragraph" w:styleId="Title">
    <w:name w:val="Title"/>
    <w:basedOn w:val="Normal"/>
    <w:next w:val="Normal"/>
    <w:link w:val="TitleChar"/>
    <w:uiPriority w:val="10"/>
    <w:qFormat/>
    <w:rsid w:val="00410EC5"/>
    <w:pPr>
      <w:tabs>
        <w:tab w:val="clear" w:pos="720"/>
      </w:tabs>
      <w:spacing w:before="240" w:after="60" w:line="240"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410E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10EC5"/>
    <w:pPr>
      <w:tabs>
        <w:tab w:val="clear" w:pos="720"/>
      </w:tabs>
      <w:spacing w:after="60" w:line="240" w:lineRule="auto"/>
      <w:jc w:val="center"/>
      <w:outlineLvl w:val="1"/>
    </w:pPr>
    <w:rPr>
      <w:rFonts w:asciiTheme="majorHAnsi" w:eastAsiaTheme="majorEastAsia" w:hAnsiTheme="majorHAnsi"/>
      <w:sz w:val="24"/>
      <w:szCs w:val="24"/>
      <w:lang w:bidi="en-US"/>
    </w:rPr>
  </w:style>
  <w:style w:type="character" w:customStyle="1" w:styleId="SubtitleChar">
    <w:name w:val="Subtitle Char"/>
    <w:basedOn w:val="DefaultParagraphFont"/>
    <w:link w:val="Subtitle"/>
    <w:uiPriority w:val="11"/>
    <w:rsid w:val="00410EC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410EC5"/>
    <w:pPr>
      <w:outlineLvl w:val="9"/>
    </w:pPr>
  </w:style>
  <w:style w:type="paragraph" w:styleId="FootnoteText">
    <w:name w:val="footnote text"/>
    <w:basedOn w:val="Normal"/>
    <w:link w:val="FootnoteTextChar"/>
    <w:semiHidden/>
    <w:rsid w:val="008B7D0E"/>
    <w:pPr>
      <w:spacing w:after="240" w:line="240" w:lineRule="auto"/>
      <w:ind w:firstLine="144"/>
    </w:pPr>
  </w:style>
  <w:style w:type="character" w:customStyle="1" w:styleId="FootnoteTextChar">
    <w:name w:val="Footnote Text Char"/>
    <w:basedOn w:val="DefaultParagraphFont"/>
    <w:link w:val="FootnoteText"/>
    <w:semiHidden/>
    <w:rsid w:val="008B7D0E"/>
    <w:rPr>
      <w:rFonts w:eastAsia="Times New Roman"/>
      <w:szCs w:val="22"/>
      <w:lang w:bidi="ar-SA"/>
    </w:rPr>
  </w:style>
  <w:style w:type="character" w:styleId="FootnoteReference">
    <w:name w:val="footnote reference"/>
    <w:rsid w:val="008B7D0E"/>
    <w:rPr>
      <w:vertAlign w:val="superscript"/>
    </w:rPr>
  </w:style>
  <w:style w:type="paragraph" w:styleId="Footer">
    <w:name w:val="footer"/>
    <w:basedOn w:val="Normal"/>
    <w:link w:val="FooterChar"/>
    <w:rsid w:val="008B7D0E"/>
    <w:pPr>
      <w:tabs>
        <w:tab w:val="center" w:pos="4680"/>
        <w:tab w:val="right" w:pos="9360"/>
      </w:tabs>
    </w:pPr>
  </w:style>
  <w:style w:type="character" w:customStyle="1" w:styleId="FooterChar">
    <w:name w:val="Footer Char"/>
    <w:basedOn w:val="DefaultParagraphFont"/>
    <w:link w:val="Footer"/>
    <w:rsid w:val="008B7D0E"/>
    <w:rPr>
      <w:rFonts w:eastAsia="Times New Roman"/>
      <w:szCs w:val="22"/>
      <w:lang w:bidi="ar-SA"/>
    </w:rPr>
  </w:style>
  <w:style w:type="character" w:customStyle="1" w:styleId="ssrfcpassagedeactivated">
    <w:name w:val="ss_rfcpassage_deactivated"/>
    <w:basedOn w:val="DefaultParagraphFont"/>
    <w:rsid w:val="008B7D0E"/>
  </w:style>
  <w:style w:type="character" w:customStyle="1" w:styleId="ssit">
    <w:name w:val="ss_it"/>
    <w:basedOn w:val="DefaultParagraphFont"/>
    <w:rsid w:val="007753AD"/>
  </w:style>
  <w:style w:type="character" w:styleId="Hyperlink">
    <w:name w:val="Hyperlink"/>
    <w:basedOn w:val="DefaultParagraphFont"/>
    <w:uiPriority w:val="99"/>
    <w:unhideWhenUsed/>
    <w:rsid w:val="006E3ACA"/>
    <w:rPr>
      <w:color w:val="0000FF" w:themeColor="hyperlink"/>
      <w:u w:val="single"/>
    </w:rPr>
  </w:style>
  <w:style w:type="paragraph" w:styleId="Header">
    <w:name w:val="header"/>
    <w:basedOn w:val="Normal"/>
    <w:link w:val="HeaderChar"/>
    <w:uiPriority w:val="99"/>
    <w:unhideWhenUsed/>
    <w:rsid w:val="00B26162"/>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B26162"/>
    <w:rPr>
      <w:rFonts w:eastAsia="Times New Roman"/>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3094</Words>
  <Characters>15792</Characters>
  <Application>Microsoft Office Word</Application>
  <DocSecurity>0</DocSecurity>
  <Lines>330</Lines>
  <Paragraphs>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2017-06-15T19:37:00Z</dcterms:created>
  <dcterms:modified xsi:type="dcterms:W3CDTF">2017-06-15T19:37:00Z</dcterms:modified>
  <cp:category/>
</cp:coreProperties>
</file>