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AA" w:rsidRPr="00403D1D" w:rsidRDefault="00964C2D">
      <w:pPr>
        <w:rPr>
          <w:sz w:val="20"/>
        </w:rPr>
      </w:pPr>
      <w:bookmarkStart w:id="0" w:name="_GoBack"/>
      <w:bookmarkEnd w:id="0"/>
      <w:r w:rsidRPr="00403D1D">
        <w:rPr>
          <w:sz w:val="20"/>
        </w:rPr>
        <w:t>Filed 11/16/16</w:t>
      </w:r>
    </w:p>
    <w:p w:rsidR="001F1E62" w:rsidRDefault="001F1E62" w:rsidP="001F1E62">
      <w:pPr>
        <w:jc w:val="center"/>
      </w:pPr>
    </w:p>
    <w:p w:rsidR="001F1E62" w:rsidRDefault="001F1E62" w:rsidP="001F1E62">
      <w:pPr>
        <w:jc w:val="center"/>
      </w:pPr>
    </w:p>
    <w:p w:rsidR="001F1E62" w:rsidRDefault="001F1E62" w:rsidP="001F1E62">
      <w:pPr>
        <w:jc w:val="center"/>
      </w:pPr>
    </w:p>
    <w:p w:rsidR="001F1E62" w:rsidRDefault="001F1E62" w:rsidP="001F1E62">
      <w:pPr>
        <w:jc w:val="center"/>
        <w:rPr>
          <w:sz w:val="36"/>
        </w:rPr>
      </w:pPr>
      <w:r>
        <w:rPr>
          <w:b/>
          <w:sz w:val="36"/>
        </w:rPr>
        <w:t>IN THE SUPREME COURT OF CALIFORNIA</w:t>
      </w:r>
    </w:p>
    <w:p w:rsidR="001F1E62" w:rsidRDefault="001F1E62" w:rsidP="001F1E62">
      <w:pPr>
        <w:jc w:val="center"/>
      </w:pPr>
    </w:p>
    <w:p w:rsidR="001F1E62" w:rsidRDefault="001F1E62" w:rsidP="001F1E62">
      <w:pPr>
        <w:jc w:val="center"/>
      </w:pPr>
    </w:p>
    <w:p w:rsidR="001F1E62" w:rsidRDefault="001F1E62" w:rsidP="001F1E62">
      <w:pPr>
        <w:jc w:val="center"/>
      </w:pPr>
    </w:p>
    <w:p w:rsidR="001F1E62" w:rsidRDefault="001F1E62" w:rsidP="001F1E62">
      <w:pPr>
        <w:tabs>
          <w:tab w:val="left" w:pos="4680"/>
          <w:tab w:val="center" w:pos="7200"/>
        </w:tabs>
        <w:spacing w:line="240" w:lineRule="atLeast"/>
      </w:pPr>
      <w:bookmarkStart w:id="1" w:name="plaintiff"/>
      <w:bookmarkEnd w:id="1"/>
      <w:r>
        <w:t>DEPARTMENT OF FINANCE et al.,</w:t>
      </w:r>
      <w:r>
        <w:tab/>
        <w:t>)</w:t>
      </w:r>
    </w:p>
    <w:p w:rsidR="001F1E62" w:rsidRDefault="001F1E62" w:rsidP="001F1E6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</w:p>
    <w:p w:rsidR="001F1E62" w:rsidRDefault="001F1E62" w:rsidP="001F1E6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2" w:name="LD"/>
      <w:bookmarkEnd w:id="2"/>
      <w:r>
        <w:t>Plaintiffs and Respondents,</w:t>
      </w:r>
      <w:r>
        <w:tab/>
        <w:t>)</w:t>
      </w:r>
    </w:p>
    <w:p w:rsidR="001F1E62" w:rsidRDefault="001F1E62" w:rsidP="001F1E6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  <w:t>S214855</w:t>
      </w:r>
    </w:p>
    <w:p w:rsidR="001F1E62" w:rsidRDefault="001F1E62" w:rsidP="001F1E6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  <w:t>v.</w:t>
      </w:r>
      <w:r>
        <w:tab/>
        <w:t>)</w:t>
      </w:r>
    </w:p>
    <w:p w:rsidR="001F1E62" w:rsidRDefault="001F1E62" w:rsidP="001F1E6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</w:r>
      <w:bookmarkStart w:id="3" w:name="appealnum"/>
      <w:bookmarkEnd w:id="3"/>
      <w:r>
        <w:t>Ct.App. 2/1 B237153</w:t>
      </w:r>
    </w:p>
    <w:p w:rsidR="001F1E62" w:rsidRDefault="001F1E62" w:rsidP="001F1E62">
      <w:pPr>
        <w:tabs>
          <w:tab w:val="left" w:pos="4680"/>
          <w:tab w:val="center" w:pos="7200"/>
        </w:tabs>
        <w:spacing w:line="240" w:lineRule="atLeast"/>
      </w:pPr>
      <w:bookmarkStart w:id="4" w:name="defendant"/>
      <w:bookmarkEnd w:id="4"/>
      <w:r>
        <w:t>COMMISSION ON STATE MANDATES,</w:t>
      </w:r>
      <w:r>
        <w:tab/>
        <w:t>)</w:t>
      </w:r>
    </w:p>
    <w:p w:rsidR="001F1E62" w:rsidRDefault="001F1E62" w:rsidP="001F1E62">
      <w:pPr>
        <w:tabs>
          <w:tab w:val="left" w:pos="4680"/>
          <w:tab w:val="center" w:pos="7200"/>
        </w:tabs>
        <w:spacing w:line="240" w:lineRule="atLeast"/>
      </w:pPr>
      <w:r>
        <w:tab/>
        <w:t>)</w:t>
      </w:r>
      <w:r>
        <w:tab/>
      </w:r>
      <w:bookmarkStart w:id="5" w:name="county"/>
      <w:bookmarkEnd w:id="5"/>
      <w:r>
        <w:t>Los Angeles County</w:t>
      </w:r>
    </w:p>
    <w:p w:rsidR="001F1E62" w:rsidRDefault="001F1E62" w:rsidP="001F1E6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6" w:name="VD"/>
      <w:bookmarkEnd w:id="6"/>
      <w:r>
        <w:t xml:space="preserve">Defendant and Respondent; </w:t>
      </w:r>
      <w:r>
        <w:tab/>
        <w:t>)</w:t>
      </w:r>
      <w:r>
        <w:tab/>
      </w:r>
      <w:bookmarkStart w:id="7" w:name="supernum"/>
      <w:bookmarkEnd w:id="7"/>
      <w:r>
        <w:t>Super. Ct. No. BS130730</w:t>
      </w:r>
    </w:p>
    <w:p w:rsidR="001F1E62" w:rsidRDefault="001F1E62" w:rsidP="001F1E6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</w:r>
    </w:p>
    <w:p w:rsidR="001F1E62" w:rsidRDefault="001F1E62" w:rsidP="001F1E62">
      <w:pPr>
        <w:tabs>
          <w:tab w:val="left" w:pos="4680"/>
          <w:tab w:val="center" w:pos="7200"/>
        </w:tabs>
        <w:spacing w:line="240" w:lineRule="atLeast"/>
      </w:pPr>
      <w:r>
        <w:tab/>
        <w:t>)</w:t>
      </w:r>
      <w:r>
        <w:br/>
        <w:t>COUNTY OF LOS ANGELES et al.,</w:t>
      </w:r>
      <w:r>
        <w:tab/>
        <w:t>)</w:t>
      </w:r>
    </w:p>
    <w:p w:rsidR="001F1E62" w:rsidRDefault="001F1E62" w:rsidP="001F1E62">
      <w:pPr>
        <w:tabs>
          <w:tab w:val="left" w:pos="4680"/>
          <w:tab w:val="center" w:pos="7200"/>
        </w:tabs>
        <w:spacing w:line="240" w:lineRule="atLeast"/>
      </w:pPr>
      <w:r>
        <w:tab/>
        <w:t>)</w:t>
      </w:r>
      <w:r>
        <w:tab/>
      </w:r>
    </w:p>
    <w:p w:rsidR="001F1E62" w:rsidRDefault="001F1E62" w:rsidP="001F1E6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  <w:t xml:space="preserve">Real Parties in Interest </w:t>
      </w:r>
      <w:r>
        <w:tab/>
        <w:t>)</w:t>
      </w:r>
      <w:r>
        <w:br/>
      </w:r>
      <w:r>
        <w:tab/>
        <w:t xml:space="preserve">and Appellants. </w:t>
      </w:r>
      <w:r>
        <w:tab/>
        <w:t>)</w:t>
      </w:r>
      <w:r>
        <w:tab/>
      </w:r>
    </w:p>
    <w:p w:rsidR="001F1E62" w:rsidRDefault="001F1E62" w:rsidP="001F1E62">
      <w:pPr>
        <w:tabs>
          <w:tab w:val="left" w:leader="underscore" w:pos="4680"/>
        </w:tabs>
        <w:spacing w:line="240" w:lineRule="atLeast"/>
        <w:rPr>
          <w:u w:val="single"/>
        </w:rPr>
      </w:pPr>
      <w:r>
        <w:tab/>
        <w:t>)</w:t>
      </w:r>
    </w:p>
    <w:p w:rsidR="001F1E62" w:rsidRDefault="001F1E62" w:rsidP="001F1E62"/>
    <w:p w:rsidR="001F1E62" w:rsidRDefault="001F1E62" w:rsidP="001F1E62"/>
    <w:p w:rsidR="001F1E62" w:rsidRDefault="001F1E62" w:rsidP="001F1E62">
      <w:pPr>
        <w:tabs>
          <w:tab w:val="left" w:leader="underscore" w:pos="4680"/>
        </w:tabs>
        <w:spacing w:line="240" w:lineRule="atLeast"/>
        <w:jc w:val="center"/>
        <w:rPr>
          <w:b/>
        </w:rPr>
      </w:pPr>
      <w:r>
        <w:rPr>
          <w:b/>
        </w:rPr>
        <w:t>ORDER MODIFYING OPINION AND</w:t>
      </w:r>
    </w:p>
    <w:p w:rsidR="001F1E62" w:rsidRDefault="001F1E62" w:rsidP="001F1E62">
      <w:pPr>
        <w:tabs>
          <w:tab w:val="left" w:leader="underscore" w:pos="4680"/>
        </w:tabs>
        <w:spacing w:line="240" w:lineRule="atLeast"/>
        <w:jc w:val="center"/>
        <w:rPr>
          <w:b/>
        </w:rPr>
      </w:pPr>
      <w:r>
        <w:rPr>
          <w:b/>
        </w:rPr>
        <w:t>DENYING PETITION FOR REHEARING</w:t>
      </w:r>
    </w:p>
    <w:p w:rsidR="001F1E62" w:rsidRDefault="001F1E62" w:rsidP="001F1E62">
      <w:pPr>
        <w:tabs>
          <w:tab w:val="left" w:leader="underscore" w:pos="4680"/>
        </w:tabs>
        <w:spacing w:after="240" w:line="480" w:lineRule="atLeast"/>
      </w:pPr>
      <w:r>
        <w:t>THE COURT:</w:t>
      </w:r>
    </w:p>
    <w:p w:rsidR="00A82AAA" w:rsidRDefault="00A82AAA" w:rsidP="00A82AAA">
      <w:pPr>
        <w:pStyle w:val="Text"/>
      </w:pPr>
      <w:r w:rsidRPr="00282473">
        <w:t>The opinion in this matter filed on August 29, 2016, and appearing in the California Official Reports at 1 Cal.5th 749, is modified as follows:</w:t>
      </w:r>
    </w:p>
    <w:p w:rsidR="00D5679F" w:rsidRPr="00282473" w:rsidRDefault="00D5679F" w:rsidP="00D5679F">
      <w:pPr>
        <w:pStyle w:val="Text"/>
      </w:pPr>
      <w:r w:rsidRPr="00282473">
        <w:t xml:space="preserve">On page 768 of the published opinion, a footnote is </w:t>
      </w:r>
      <w:r>
        <w:t>inserted</w:t>
      </w:r>
      <w:r w:rsidRPr="00282473">
        <w:t xml:space="preserve"> at the end of the sentence that reads:  </w:t>
      </w:r>
      <w:r>
        <w:t>“</w:t>
      </w:r>
      <w:r w:rsidRPr="005E4288">
        <w:t>The board’s legal authority to administer the CWA and its technical experience in water quality control would call on sister agencies as well as c</w:t>
      </w:r>
      <w:r>
        <w:t>ourts to defer to that finding.”</w:t>
      </w:r>
      <w:r w:rsidRPr="00282473">
        <w:t xml:space="preserve">  The new footnote, which is numbered as footnote 15, </w:t>
      </w:r>
      <w:r w:rsidRPr="00282473">
        <w:lastRenderedPageBreak/>
        <w:t>reads:  “Of course, t</w:t>
      </w:r>
      <w:r>
        <w:t>his finding would be</w:t>
      </w:r>
      <w:r w:rsidRPr="00282473">
        <w:t xml:space="preserve"> </w:t>
      </w:r>
      <w:r>
        <w:t xml:space="preserve">case specific, </w:t>
      </w:r>
      <w:r w:rsidRPr="00282473">
        <w:t>based among other things on local factual circumstances.”</w:t>
      </w:r>
    </w:p>
    <w:p w:rsidR="00D5679F" w:rsidRDefault="00D5679F" w:rsidP="00D5679F">
      <w:pPr>
        <w:pStyle w:val="Text"/>
      </w:pPr>
      <w:r w:rsidRPr="00282473">
        <w:t xml:space="preserve">On page 771 of the published opinion, </w:t>
      </w:r>
      <w:r>
        <w:t xml:space="preserve">current </w:t>
      </w:r>
      <w:r w:rsidRPr="00282473">
        <w:t>footnote 15 is renumbered as footnote 16.</w:t>
      </w:r>
    </w:p>
    <w:p w:rsidR="00A82AAA" w:rsidRPr="00282473" w:rsidRDefault="00A82AAA" w:rsidP="00A82AAA">
      <w:pPr>
        <w:pStyle w:val="Text"/>
      </w:pPr>
      <w:r w:rsidRPr="00282473">
        <w:t>On page 772 of the published opinion, the word “fatally” is deleted from the sentence that reads:  “The fact the EPA itself had issued permits in other cities, but did not include the trash receptacle condition, fatally undermines the argument that the requirement was federally mandated.”</w:t>
      </w:r>
    </w:p>
    <w:p w:rsidR="00A82AAA" w:rsidRDefault="00A82AAA" w:rsidP="00A82AAA">
      <w:pPr>
        <w:pStyle w:val="Text"/>
      </w:pPr>
      <w:r w:rsidRPr="00282473">
        <w:t xml:space="preserve">This modification does not </w:t>
      </w:r>
      <w:r>
        <w:t xml:space="preserve">affect </w:t>
      </w:r>
      <w:r w:rsidRPr="00282473">
        <w:t>the judgment.</w:t>
      </w:r>
    </w:p>
    <w:p w:rsidR="00A82AAA" w:rsidRDefault="00A82AAA" w:rsidP="00A82AAA">
      <w:pPr>
        <w:pStyle w:val="Text"/>
      </w:pPr>
      <w:r w:rsidRPr="00282473">
        <w:t>The request for judicial notice and the petition for rehearing, both filed on September 13, 2016, are denied.</w:t>
      </w:r>
    </w:p>
    <w:p w:rsidR="00A82AAA" w:rsidRDefault="00A82AAA" w:rsidP="004373A8">
      <w:pPr>
        <w:pStyle w:val="Text"/>
        <w:ind w:firstLine="720"/>
      </w:pPr>
    </w:p>
    <w:p w:rsidR="00A82AAA" w:rsidRPr="002103E8" w:rsidRDefault="00A82AAA" w:rsidP="004373A8">
      <w:pPr>
        <w:pStyle w:val="Text"/>
        <w:ind w:firstLine="720"/>
        <w:rPr>
          <w:u w:val="single"/>
        </w:rPr>
      </w:pPr>
    </w:p>
    <w:sectPr w:rsidR="00A82AAA" w:rsidRPr="00210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DA" w:rsidRDefault="005609DA">
      <w:r>
        <w:separator/>
      </w:r>
    </w:p>
  </w:endnote>
  <w:endnote w:type="continuationSeparator" w:id="0">
    <w:p w:rsidR="005609DA" w:rsidRDefault="0056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29" w:rsidRDefault="00845929">
    <w:pPr>
      <w:spacing w:before="480" w:line="1" w:lineRule="exact"/>
      <w:rPr>
        <w:rFonts w:ascii="Univers (W1)" w:hAnsi="Univers (W1)"/>
      </w:rPr>
    </w:pPr>
  </w:p>
  <w:p w:rsidR="00845929" w:rsidRDefault="007B702C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29" w:rsidRDefault="00845929">
    <w:pPr>
      <w:spacing w:before="480" w:line="1" w:lineRule="exact"/>
    </w:pPr>
  </w:p>
  <w:p w:rsidR="00845929" w:rsidRDefault="007B702C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 w:rsidR="00FB624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E" w:rsidRDefault="00782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DA" w:rsidRDefault="005609DA">
      <w:r>
        <w:separator/>
      </w:r>
    </w:p>
    <w:p w:rsidR="005609DA" w:rsidRDefault="005609DA"/>
  </w:footnote>
  <w:footnote w:type="continuationSeparator" w:id="0">
    <w:p w:rsidR="005609DA" w:rsidRDefault="005609DA">
      <w:pPr>
        <w:rPr>
          <w:sz w:val="22"/>
        </w:rPr>
      </w:pPr>
      <w:r>
        <w:continuationSeparator/>
      </w:r>
    </w:p>
    <w:p w:rsidR="005609DA" w:rsidRDefault="005609DA">
      <w:pPr>
        <w:rPr>
          <w:i/>
          <w:sz w:val="20"/>
        </w:rPr>
      </w:pPr>
    </w:p>
    <w:p w:rsidR="005609DA" w:rsidRDefault="005609DA">
      <w:pPr>
        <w:rPr>
          <w:i/>
          <w:sz w:val="20"/>
        </w:rPr>
      </w:pPr>
      <w:r>
        <w:rPr>
          <w:i/>
          <w:sz w:val="20"/>
        </w:rPr>
        <w:t>(footnote continued from previous page)</w:t>
      </w:r>
    </w:p>
    <w:p w:rsidR="005609DA" w:rsidRDefault="005609DA"/>
    <w:p w:rsidR="005609DA" w:rsidRDefault="005609DA"/>
  </w:footnote>
  <w:footnote w:type="continuationNotice" w:id="1">
    <w:p w:rsidR="005609DA" w:rsidRDefault="005609DA">
      <w:pPr>
        <w:rPr>
          <w:i/>
          <w:sz w:val="22"/>
        </w:rPr>
      </w:pPr>
    </w:p>
    <w:p w:rsidR="005609DA" w:rsidRDefault="005609DA">
      <w:pPr>
        <w:jc w:val="right"/>
        <w:rPr>
          <w:i/>
          <w:sz w:val="20"/>
        </w:rPr>
      </w:pPr>
      <w:r>
        <w:rPr>
          <w:i/>
          <w:sz w:val="20"/>
        </w:rPr>
        <w:t>(footnote continued on next page)</w:t>
      </w:r>
    </w:p>
    <w:p w:rsidR="005609DA" w:rsidRDefault="005609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E" w:rsidRDefault="00782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E" w:rsidRDefault="00782B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E" w:rsidRDefault="00782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intFractionalCharacterWidth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DA"/>
    <w:rsid w:val="00175993"/>
    <w:rsid w:val="001F1E62"/>
    <w:rsid w:val="002103E8"/>
    <w:rsid w:val="002620C3"/>
    <w:rsid w:val="002D7702"/>
    <w:rsid w:val="00381AA8"/>
    <w:rsid w:val="00403D1D"/>
    <w:rsid w:val="004373A8"/>
    <w:rsid w:val="004471F2"/>
    <w:rsid w:val="005609DA"/>
    <w:rsid w:val="005E4288"/>
    <w:rsid w:val="00601E04"/>
    <w:rsid w:val="00756EDA"/>
    <w:rsid w:val="00782BFE"/>
    <w:rsid w:val="00786D31"/>
    <w:rsid w:val="007B702C"/>
    <w:rsid w:val="007F14A6"/>
    <w:rsid w:val="00845929"/>
    <w:rsid w:val="009550D9"/>
    <w:rsid w:val="00964C2D"/>
    <w:rsid w:val="00A41E54"/>
    <w:rsid w:val="00A82AAA"/>
    <w:rsid w:val="00A9494C"/>
    <w:rsid w:val="00AB1968"/>
    <w:rsid w:val="00BD2D70"/>
    <w:rsid w:val="00D5679F"/>
    <w:rsid w:val="00DE6E19"/>
    <w:rsid w:val="00E35F01"/>
    <w:rsid w:val="00E92438"/>
    <w:rsid w:val="00ED05C6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1277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2016-11-18T00:15:00Z</cp:lastPrinted>
  <dcterms:created xsi:type="dcterms:W3CDTF">2016-11-18T00:16:00Z</dcterms:created>
  <dcterms:modified xsi:type="dcterms:W3CDTF">2016-11-18T00:16:00Z</dcterms:modified>
  <cp:category/>
</cp:coreProperties>
</file>