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DD" w:rsidRPr="006D2912" w:rsidRDefault="006D2912" w:rsidP="006D2912">
      <w:pPr>
        <w:rPr>
          <w:sz w:val="20"/>
        </w:rPr>
      </w:pPr>
      <w:r>
        <w:rPr>
          <w:sz w:val="20"/>
        </w:rPr>
        <w:t>Filed 2/21/18</w:t>
      </w:r>
      <w:bookmarkStart w:id="0" w:name="_GoBack"/>
      <w:bookmarkEnd w:id="0"/>
    </w:p>
    <w:p w:rsidR="008D38FE" w:rsidRDefault="006D2912" w:rsidP="008104DD">
      <w:pPr>
        <w:jc w:val="center"/>
      </w:pPr>
    </w:p>
    <w:p w:rsidR="008D38FE" w:rsidRDefault="006D2912" w:rsidP="008104DD">
      <w:pPr>
        <w:jc w:val="center"/>
      </w:pPr>
    </w:p>
    <w:p w:rsidR="008104DD" w:rsidRDefault="006D2912" w:rsidP="008104DD">
      <w:pPr>
        <w:jc w:val="center"/>
      </w:pPr>
    </w:p>
    <w:p w:rsidR="008104DD" w:rsidRDefault="006D2912" w:rsidP="008104DD">
      <w:pPr>
        <w:jc w:val="center"/>
        <w:rPr>
          <w:sz w:val="36"/>
        </w:rPr>
      </w:pPr>
      <w:r>
        <w:rPr>
          <w:b/>
          <w:sz w:val="36"/>
        </w:rPr>
        <w:t>IN THE SUPREME COURT OF CALIFORNIA</w:t>
      </w:r>
    </w:p>
    <w:p w:rsidR="008104DD" w:rsidRDefault="006D2912" w:rsidP="008104DD">
      <w:pPr>
        <w:jc w:val="center"/>
      </w:pPr>
    </w:p>
    <w:p w:rsidR="008104DD" w:rsidRDefault="006D2912" w:rsidP="008104DD">
      <w:pPr>
        <w:jc w:val="center"/>
      </w:pPr>
    </w:p>
    <w:p w:rsidR="008104DD" w:rsidRDefault="006D2912" w:rsidP="008104DD">
      <w:pPr>
        <w:jc w:val="center"/>
      </w:pPr>
    </w:p>
    <w:p w:rsidR="008104DD" w:rsidRDefault="006D2912" w:rsidP="008104DD">
      <w:pPr>
        <w:tabs>
          <w:tab w:val="left" w:pos="4680"/>
          <w:tab w:val="center" w:pos="7200"/>
        </w:tabs>
        <w:spacing w:line="240" w:lineRule="atLeast"/>
      </w:pPr>
      <w:bookmarkStart w:id="1" w:name="plaintiff"/>
      <w:bookmarkEnd w:id="1"/>
      <w:r w:rsidRPr="0028545E">
        <w:rPr>
          <w:caps/>
        </w:rPr>
        <w:t>City of San Buenaventura</w:t>
      </w:r>
      <w:r>
        <w:t>,</w:t>
      </w:r>
      <w:r>
        <w:tab/>
        <w:t>)</w:t>
      </w:r>
    </w:p>
    <w:p w:rsidR="008104DD" w:rsidRDefault="006D2912" w:rsidP="008104DD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</w:p>
    <w:p w:rsidR="008104DD" w:rsidRDefault="006D2912" w:rsidP="008104DD">
      <w:pPr>
        <w:tabs>
          <w:tab w:val="left" w:pos="1080"/>
          <w:tab w:val="left" w:pos="4680"/>
          <w:tab w:val="center" w:pos="7200"/>
        </w:tabs>
        <w:spacing w:line="240" w:lineRule="atLeast"/>
      </w:pPr>
      <w:r>
        <w:tab/>
      </w:r>
      <w:bookmarkStart w:id="2" w:name="LD"/>
      <w:bookmarkEnd w:id="2"/>
      <w:r>
        <w:t>Plaintiff, Cross-defendant</w:t>
      </w:r>
      <w:r>
        <w:tab/>
        <w:t>)</w:t>
      </w:r>
    </w:p>
    <w:p w:rsidR="008104DD" w:rsidRDefault="006D2912" w:rsidP="008104DD">
      <w:pPr>
        <w:tabs>
          <w:tab w:val="left" w:pos="1080"/>
          <w:tab w:val="left" w:pos="4680"/>
          <w:tab w:val="center" w:pos="7200"/>
        </w:tabs>
        <w:spacing w:line="240" w:lineRule="atLeast"/>
      </w:pPr>
      <w:r>
        <w:tab/>
        <w:t>and Appellant,</w:t>
      </w:r>
      <w:r>
        <w:tab/>
        <w:t>)</w:t>
      </w:r>
    </w:p>
    <w:p w:rsidR="008104DD" w:rsidRDefault="006D2912" w:rsidP="008104DD">
      <w:pPr>
        <w:tabs>
          <w:tab w:val="left" w:pos="1440"/>
          <w:tab w:val="left" w:pos="4680"/>
          <w:tab w:val="center" w:pos="6840"/>
        </w:tabs>
        <w:spacing w:line="240" w:lineRule="atLeast"/>
      </w:pPr>
      <w:r>
        <w:tab/>
      </w:r>
      <w:r>
        <w:tab/>
        <w:t>)</w:t>
      </w:r>
      <w:r>
        <w:tab/>
        <w:t>S226036</w:t>
      </w:r>
    </w:p>
    <w:p w:rsidR="008104DD" w:rsidRDefault="006D2912" w:rsidP="008104DD">
      <w:pPr>
        <w:tabs>
          <w:tab w:val="left" w:pos="1080"/>
          <w:tab w:val="left" w:pos="4680"/>
          <w:tab w:val="center" w:pos="7200"/>
        </w:tabs>
        <w:spacing w:line="240" w:lineRule="atLeast"/>
      </w:pPr>
      <w:r>
        <w:tab/>
        <w:t>v.</w:t>
      </w:r>
      <w:r>
        <w:tab/>
        <w:t>)</w:t>
      </w:r>
    </w:p>
    <w:p w:rsidR="008104DD" w:rsidRDefault="006D2912" w:rsidP="008104DD">
      <w:pPr>
        <w:tabs>
          <w:tab w:val="left" w:pos="1440"/>
          <w:tab w:val="left" w:pos="4680"/>
          <w:tab w:val="center" w:pos="6840"/>
        </w:tabs>
        <w:spacing w:line="240" w:lineRule="atLeast"/>
      </w:pPr>
      <w:r>
        <w:tab/>
      </w:r>
      <w:r>
        <w:tab/>
        <w:t>)</w:t>
      </w:r>
      <w:r>
        <w:tab/>
      </w:r>
      <w:bookmarkStart w:id="3" w:name="appealnum"/>
      <w:bookmarkEnd w:id="3"/>
      <w:proofErr w:type="spellStart"/>
      <w:r>
        <w:t>Ct.App</w:t>
      </w:r>
      <w:proofErr w:type="spellEnd"/>
      <w:r>
        <w:t>. 2/6 B251810</w:t>
      </w:r>
    </w:p>
    <w:p w:rsidR="008104DD" w:rsidRDefault="006D2912" w:rsidP="008104DD">
      <w:pPr>
        <w:tabs>
          <w:tab w:val="left" w:pos="4680"/>
          <w:tab w:val="center" w:pos="7200"/>
        </w:tabs>
        <w:spacing w:line="240" w:lineRule="atLeast"/>
        <w:rPr>
          <w:caps/>
        </w:rPr>
      </w:pPr>
      <w:bookmarkStart w:id="4" w:name="defendant"/>
      <w:bookmarkEnd w:id="4"/>
      <w:r w:rsidRPr="0028545E">
        <w:rPr>
          <w:caps/>
        </w:rPr>
        <w:t xml:space="preserve">United Water Conservation </w:t>
      </w:r>
      <w:r>
        <w:rPr>
          <w:caps/>
        </w:rPr>
        <w:tab/>
        <w:t>)</w:t>
      </w:r>
    </w:p>
    <w:p w:rsidR="008104DD" w:rsidRDefault="006D2912" w:rsidP="008104DD">
      <w:pPr>
        <w:tabs>
          <w:tab w:val="left" w:pos="4680"/>
          <w:tab w:val="center" w:pos="7200"/>
        </w:tabs>
        <w:spacing w:line="240" w:lineRule="atLeast"/>
      </w:pPr>
      <w:r w:rsidRPr="0028545E">
        <w:rPr>
          <w:caps/>
        </w:rPr>
        <w:t>District</w:t>
      </w:r>
      <w:r>
        <w:t xml:space="preserve"> et al.,</w:t>
      </w:r>
      <w:r>
        <w:tab/>
        <w:t>)</w:t>
      </w:r>
    </w:p>
    <w:p w:rsidR="008104DD" w:rsidRDefault="006D2912" w:rsidP="008104DD">
      <w:pPr>
        <w:tabs>
          <w:tab w:val="left" w:pos="4680"/>
          <w:tab w:val="center" w:pos="6840"/>
        </w:tabs>
        <w:spacing w:line="240" w:lineRule="atLeast"/>
      </w:pPr>
      <w:r>
        <w:tab/>
        <w:t>)</w:t>
      </w:r>
      <w:r>
        <w:tab/>
      </w:r>
      <w:bookmarkStart w:id="5" w:name="county"/>
      <w:bookmarkEnd w:id="5"/>
      <w:r>
        <w:t>Santa Barbara County</w:t>
      </w:r>
    </w:p>
    <w:p w:rsidR="008104DD" w:rsidRDefault="006D2912" w:rsidP="008104DD">
      <w:pPr>
        <w:tabs>
          <w:tab w:val="left" w:pos="1080"/>
          <w:tab w:val="left" w:pos="4680"/>
          <w:tab w:val="center" w:pos="6840"/>
        </w:tabs>
        <w:spacing w:line="240" w:lineRule="atLeast"/>
        <w:ind w:right="-360"/>
      </w:pPr>
      <w:r>
        <w:tab/>
      </w:r>
      <w:bookmarkStart w:id="6" w:name="VD"/>
      <w:bookmarkEnd w:id="6"/>
      <w:r>
        <w:t xml:space="preserve">Defendants, </w:t>
      </w:r>
      <w:r>
        <w:t>Cross-complainants</w:t>
      </w:r>
      <w:r>
        <w:tab/>
        <w:t>)</w:t>
      </w:r>
    </w:p>
    <w:p w:rsidR="008104DD" w:rsidRDefault="006D2912" w:rsidP="008104DD">
      <w:pPr>
        <w:tabs>
          <w:tab w:val="left" w:pos="1080"/>
          <w:tab w:val="left" w:pos="4680"/>
          <w:tab w:val="center" w:pos="6840"/>
        </w:tabs>
        <w:spacing w:line="240" w:lineRule="atLeast"/>
        <w:ind w:right="-360"/>
      </w:pPr>
      <w:r>
        <w:tab/>
        <w:t>and Appellants.</w:t>
      </w:r>
      <w:r>
        <w:tab/>
        <w:t>)</w:t>
      </w:r>
      <w:r>
        <w:tab/>
      </w:r>
      <w:bookmarkStart w:id="7" w:name="supernum"/>
      <w:bookmarkEnd w:id="7"/>
      <w:r>
        <w:t>Super</w:t>
      </w:r>
      <w:proofErr w:type="gramStart"/>
      <w:r>
        <w:t xml:space="preserve">. </w:t>
      </w:r>
      <w:proofErr w:type="gramEnd"/>
      <w:r>
        <w:t xml:space="preserve">Ct. Nos. VENCI 00401714, </w:t>
      </w:r>
      <w:r>
        <w:tab/>
      </w:r>
      <w:r>
        <w:tab/>
      </w:r>
      <w:r>
        <w:tab/>
        <w:t>)</w:t>
      </w:r>
      <w:r>
        <w:tab/>
        <w:t>VENCI 1414739</w:t>
      </w:r>
    </w:p>
    <w:p w:rsidR="008104DD" w:rsidRDefault="006D2912" w:rsidP="008104DD">
      <w:pPr>
        <w:tabs>
          <w:tab w:val="left" w:leader="underscore" w:pos="4680"/>
        </w:tabs>
        <w:spacing w:line="240" w:lineRule="atLeast"/>
        <w:rPr>
          <w:u w:val="single"/>
        </w:rPr>
      </w:pPr>
      <w:r>
        <w:tab/>
        <w:t>)</w:t>
      </w:r>
    </w:p>
    <w:p w:rsidR="00A36213" w:rsidRDefault="006D2912" w:rsidP="00A36213">
      <w:pPr>
        <w:spacing w:line="480" w:lineRule="atLeast"/>
      </w:pPr>
    </w:p>
    <w:p w:rsidR="008104DD" w:rsidRDefault="006D2912" w:rsidP="00B93411">
      <w:pPr>
        <w:pStyle w:val="Text"/>
        <w:spacing w:line="240" w:lineRule="auto"/>
        <w:ind w:firstLine="0"/>
        <w:jc w:val="center"/>
        <w:rPr>
          <w:b/>
        </w:rPr>
      </w:pPr>
      <w:r>
        <w:rPr>
          <w:b/>
        </w:rPr>
        <w:t>ORDER MODIFYING OPINION, DENYING PETITION FOR REHEARING, AND GRANTING MOTION FOR JUDICIAL NOTICE</w:t>
      </w:r>
    </w:p>
    <w:p w:rsidR="00B93411" w:rsidRPr="002713BB" w:rsidRDefault="006D2912" w:rsidP="008104DD">
      <w:pPr>
        <w:pStyle w:val="Text"/>
        <w:ind w:firstLine="0"/>
        <w:jc w:val="center"/>
        <w:rPr>
          <w:b/>
        </w:rPr>
      </w:pPr>
    </w:p>
    <w:p w:rsidR="008104DD" w:rsidRDefault="006D2912" w:rsidP="008104DD">
      <w:pPr>
        <w:pStyle w:val="Text"/>
        <w:ind w:firstLine="0"/>
      </w:pPr>
      <w:r w:rsidRPr="002713BB">
        <w:rPr>
          <w:b/>
        </w:rPr>
        <w:t>THE COURT</w:t>
      </w:r>
      <w:r>
        <w:t>:</w:t>
      </w:r>
    </w:p>
    <w:p w:rsidR="008104DD" w:rsidRDefault="006D2912" w:rsidP="008104DD">
      <w:pPr>
        <w:pStyle w:val="Text"/>
        <w:ind w:firstLine="0"/>
      </w:pPr>
      <w:r>
        <w:t xml:space="preserve"> </w:t>
      </w:r>
      <w:r>
        <w:tab/>
        <w:t>The opinion herein, appearing at 3 Cal.5th 1191, i</w:t>
      </w:r>
      <w:r>
        <w:t>s modified as follows:</w:t>
      </w:r>
    </w:p>
    <w:p w:rsidR="00A36213" w:rsidRDefault="006D2912" w:rsidP="000112B5">
      <w:pPr>
        <w:pStyle w:val="Text"/>
        <w:ind w:firstLine="0"/>
      </w:pPr>
      <w:r>
        <w:tab/>
        <w:t>1.</w:t>
      </w:r>
      <w:r>
        <w:tab/>
        <w:t>The last two sentences appearing in footnote 3 in 3 Cal.5th at page</w:t>
      </w:r>
      <w:r>
        <w:t xml:space="preserve"> 1200 </w:t>
      </w:r>
      <w:proofErr w:type="gramStart"/>
      <w:r>
        <w:t>are deleted</w:t>
      </w:r>
      <w:proofErr w:type="gramEnd"/>
      <w:r>
        <w:t xml:space="preserve">. </w:t>
      </w:r>
      <w:r>
        <w:t xml:space="preserve"> </w:t>
      </w:r>
      <w:r>
        <w:t>The footnote now reads</w:t>
      </w:r>
      <w:proofErr w:type="gramStart"/>
      <w:r>
        <w:t>:  “</w:t>
      </w:r>
      <w:proofErr w:type="gramEnd"/>
      <w:r>
        <w:t xml:space="preserve">Article XIII C provides that all taxes imposed by local governments are either general taxes or special taxes (art. </w:t>
      </w:r>
      <w:r>
        <w:t>XIII C, § 2, subd. (a)), and requires all general taxes to be approved by a majority vote (art. XIII C, § 2, subd</w:t>
      </w:r>
      <w:proofErr w:type="gramStart"/>
      <w:r>
        <w:t xml:space="preserve">. </w:t>
      </w:r>
      <w:proofErr w:type="gramEnd"/>
      <w:r>
        <w:t>(b)) and all special taxes to be approved by a two-thirds vote (art. XIII C, § 2, subd</w:t>
      </w:r>
      <w:proofErr w:type="gramStart"/>
      <w:r>
        <w:t xml:space="preserve">. </w:t>
      </w:r>
      <w:proofErr w:type="gramEnd"/>
      <w:r>
        <w:t>(d)).”</w:t>
      </w:r>
    </w:p>
    <w:p w:rsidR="00364C6E" w:rsidRDefault="006D2912" w:rsidP="000112B5">
      <w:pPr>
        <w:pStyle w:val="Text"/>
        <w:ind w:firstLine="0"/>
      </w:pPr>
      <w:r>
        <w:lastRenderedPageBreak/>
        <w:tab/>
        <w:t>2.</w:t>
      </w:r>
      <w:r>
        <w:tab/>
      </w:r>
      <w:r>
        <w:t>I</w:t>
      </w:r>
      <w:r>
        <w:t xml:space="preserve">n the second full paragraph appearing in </w:t>
      </w:r>
      <w:r>
        <w:t xml:space="preserve">3 Cal.5th at page 1214, </w:t>
      </w:r>
      <w:r>
        <w:t xml:space="preserve">in the third sentence in that paragraph, </w:t>
      </w:r>
      <w:r>
        <w:t xml:space="preserve">the phrase “the burdens </w:t>
      </w:r>
      <w:r>
        <w:t>on</w:t>
      </w:r>
      <w:r>
        <w:t xml:space="preserve"> </w:t>
      </w:r>
      <w:r>
        <w:t xml:space="preserve">or” </w:t>
      </w:r>
      <w:proofErr w:type="gramStart"/>
      <w:r>
        <w:t>is inserted</w:t>
      </w:r>
      <w:proofErr w:type="gramEnd"/>
      <w:r>
        <w:t xml:space="preserve"> after the phrase “a reasonable relationship to” and before the phrase “</w:t>
      </w:r>
      <w:r>
        <w:t>the benefits of.”</w:t>
      </w:r>
      <w:r>
        <w:t xml:space="preserve">  The sentence now reads</w:t>
      </w:r>
      <w:proofErr w:type="gramStart"/>
      <w:r>
        <w:t>:  “</w:t>
      </w:r>
      <w:proofErr w:type="gramEnd"/>
      <w:r>
        <w:t>We thus remand the case to the C</w:t>
      </w:r>
      <w:r>
        <w:t xml:space="preserve">ourt of Appeal with instructions to consider whether the record sufficiently establishes that the District’s rates for the 2011–2012 and the 2012–2013 water years bore a reasonable relationship to the burdens </w:t>
      </w:r>
      <w:r>
        <w:t>on</w:t>
      </w:r>
      <w:r>
        <w:t xml:space="preserve"> or the benefits of its conservation activiti</w:t>
      </w:r>
      <w:r>
        <w:t xml:space="preserve">es, as article XIII C requires.”  </w:t>
      </w:r>
    </w:p>
    <w:p w:rsidR="0059345D" w:rsidRDefault="006D2912" w:rsidP="000112B5">
      <w:pPr>
        <w:pStyle w:val="Text"/>
        <w:ind w:firstLine="0"/>
      </w:pPr>
      <w:r>
        <w:tab/>
        <w:t xml:space="preserve">3. </w:t>
      </w:r>
      <w:r>
        <w:tab/>
        <w:t xml:space="preserve">In the second full paragraph appearing in 3 Cal.5th at page 1214, in the last sentence in that paragraph, the phrase “, as the District argues, it” </w:t>
      </w:r>
      <w:proofErr w:type="gramStart"/>
      <w:r>
        <w:t>is replaced</w:t>
      </w:r>
      <w:proofErr w:type="gramEnd"/>
      <w:r>
        <w:t xml:space="preserve"> with “the parties.”  </w:t>
      </w:r>
      <w:r>
        <w:t>The footnote at the end of this sen</w:t>
      </w:r>
      <w:r>
        <w:t xml:space="preserve">tence should </w:t>
      </w:r>
      <w:proofErr w:type="gramStart"/>
      <w:r>
        <w:t>be retained</w:t>
      </w:r>
      <w:proofErr w:type="gramEnd"/>
      <w:r>
        <w:t xml:space="preserve"> as in the originally filed opinion.  </w:t>
      </w:r>
      <w:r>
        <w:t>The sentence now reads</w:t>
      </w:r>
      <w:proofErr w:type="gramStart"/>
      <w:r>
        <w:t>:  “</w:t>
      </w:r>
      <w:proofErr w:type="gramEnd"/>
      <w:r>
        <w:t xml:space="preserve">In making this determination, the Court of Appeal may consider whether the parties should be afforded the opportunity to supplement the administrative record with </w:t>
      </w:r>
      <w:r>
        <w:t>evidence bearing on this question.</w:t>
      </w:r>
      <w:r w:rsidRPr="006E5396">
        <w:rPr>
          <w:vertAlign w:val="superscript"/>
        </w:rPr>
        <w:t>9</w:t>
      </w:r>
      <w:r>
        <w:t>”</w:t>
      </w:r>
    </w:p>
    <w:p w:rsidR="008104DD" w:rsidRDefault="006D2912" w:rsidP="008104DD">
      <w:pPr>
        <w:pStyle w:val="Text"/>
        <w:ind w:firstLine="0"/>
      </w:pPr>
      <w:r>
        <w:tab/>
        <w:t xml:space="preserve">This modification does not affect the judgment. </w:t>
      </w:r>
    </w:p>
    <w:p w:rsidR="0036554B" w:rsidRDefault="006D2912" w:rsidP="008104DD">
      <w:pPr>
        <w:pStyle w:val="Text"/>
        <w:ind w:firstLine="0"/>
      </w:pPr>
      <w:r>
        <w:tab/>
        <w:t xml:space="preserve">The petition for rehearing </w:t>
      </w:r>
      <w:proofErr w:type="gramStart"/>
      <w:r>
        <w:t>is denied</w:t>
      </w:r>
      <w:proofErr w:type="gramEnd"/>
      <w:r>
        <w:t xml:space="preserve">.  </w:t>
      </w:r>
      <w:r>
        <w:t xml:space="preserve">The motion for judicial notice </w:t>
      </w:r>
      <w:proofErr w:type="gramStart"/>
      <w:r>
        <w:t>is granted</w:t>
      </w:r>
      <w:proofErr w:type="gramEnd"/>
      <w:r>
        <w:t xml:space="preserve">. </w:t>
      </w:r>
    </w:p>
    <w:p w:rsidR="008104DD" w:rsidRDefault="006D2912" w:rsidP="00A36213">
      <w:pPr>
        <w:spacing w:line="480" w:lineRule="atLeast"/>
      </w:pPr>
    </w:p>
    <w:sectPr w:rsidR="008104DD" w:rsidSect="00B75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800" w:left="1800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2912">
      <w:r>
        <w:separator/>
      </w:r>
    </w:p>
  </w:endnote>
  <w:endnote w:type="continuationSeparator" w:id="0">
    <w:p w:rsidR="00000000" w:rsidRDefault="006D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1D" w:rsidRDefault="006D2912">
    <w:pPr>
      <w:spacing w:before="480" w:line="1" w:lineRule="exact"/>
      <w:rPr>
        <w:rFonts w:ascii="Univers (W1)" w:hAnsi="Univers (W1)"/>
      </w:rPr>
    </w:pPr>
  </w:p>
  <w:p w:rsidR="00F70A1D" w:rsidRDefault="006D2912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 xml:space="preserve">page \* </w:instrText>
    </w:r>
    <w:r>
      <w:instrText>arabic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1D" w:rsidRDefault="006D2912">
    <w:pPr>
      <w:spacing w:before="480" w:line="1" w:lineRule="exact"/>
    </w:pPr>
  </w:p>
  <w:p w:rsidR="00F70A1D" w:rsidRDefault="006D2912">
    <w:pPr>
      <w:tabs>
        <w:tab w:val="center" w:pos="4680"/>
        <w:tab w:val="right" w:pos="9360"/>
      </w:tabs>
    </w:pPr>
    <w:r>
      <w:tab/>
    </w:r>
    <w:r>
      <w:fldChar w:fldCharType="begin"/>
    </w:r>
    <w:r>
      <w:instrText>page \* arabic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18" w:rsidRDefault="006D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2912">
      <w:r>
        <w:separator/>
      </w:r>
    </w:p>
  </w:footnote>
  <w:footnote w:type="continuationSeparator" w:id="0">
    <w:p w:rsidR="00000000" w:rsidRDefault="006D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18" w:rsidRDefault="006D2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18" w:rsidRDefault="006D2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18" w:rsidRDefault="006D2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12"/>
    <w:rsid w:val="006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E1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link w:val="FootnoteTextChar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uiPriority w:val="99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character" w:styleId="Emphasis">
    <w:name w:val="Emphasis"/>
    <w:basedOn w:val="DefaultParagraphFont"/>
    <w:uiPriority w:val="20"/>
    <w:qFormat/>
    <w:rsid w:val="00721F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B7FA2"/>
    <w:rPr>
      <w:color w:val="0000FF" w:themeColor="hyperlink"/>
      <w:u w:val="single"/>
    </w:rPr>
  </w:style>
  <w:style w:type="character" w:customStyle="1" w:styleId="FootnoteTextChar">
    <w:name w:val="Footnote Text Char"/>
    <w:link w:val="FootnoteText"/>
    <w:semiHidden/>
    <w:rsid w:val="008104DD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Chamber's Staff Memo (3/14/94)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2018-02-22T16:30:00Z</dcterms:created>
  <dcterms:modified xsi:type="dcterms:W3CDTF">2018-02-22T16:30:00Z</dcterms:modified>
</cp:coreProperties>
</file>