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798" w:rsidRPr="00CF0EE4" w:rsidRDefault="00CF0EE4">
      <w:pPr>
        <w:rPr>
          <w:sz w:val="20"/>
        </w:rPr>
      </w:pPr>
      <w:r>
        <w:rPr>
          <w:sz w:val="20"/>
        </w:rPr>
        <w:t>Filed 1/18/18</w:t>
      </w:r>
    </w:p>
    <w:p w:rsidR="00452798" w:rsidRPr="00CD4E55" w:rsidRDefault="00EF3834">
      <w:pPr>
        <w:jc w:val="center"/>
      </w:pPr>
    </w:p>
    <w:p w:rsidR="00452798" w:rsidRPr="00CD4E55" w:rsidRDefault="00EF3834">
      <w:pPr>
        <w:jc w:val="center"/>
      </w:pPr>
    </w:p>
    <w:p w:rsidR="00452798" w:rsidRPr="00CD4E55" w:rsidRDefault="00EF3834">
      <w:pPr>
        <w:jc w:val="center"/>
      </w:pPr>
    </w:p>
    <w:p w:rsidR="00452798" w:rsidRPr="00CD4E55" w:rsidRDefault="00EF3834">
      <w:pPr>
        <w:jc w:val="center"/>
        <w:rPr>
          <w:sz w:val="36"/>
        </w:rPr>
      </w:pPr>
      <w:r w:rsidRPr="00CD4E55">
        <w:rPr>
          <w:b/>
          <w:sz w:val="36"/>
        </w:rPr>
        <w:t>IN THE SUPREME COURT OF CALIFORNIA</w:t>
      </w:r>
    </w:p>
    <w:p w:rsidR="00452798" w:rsidRPr="00CD4E55" w:rsidRDefault="00EF3834">
      <w:pPr>
        <w:jc w:val="center"/>
      </w:pPr>
    </w:p>
    <w:p w:rsidR="00452798" w:rsidRPr="00CD4E55" w:rsidRDefault="00EF3834">
      <w:pPr>
        <w:jc w:val="center"/>
      </w:pPr>
    </w:p>
    <w:p w:rsidR="00452798" w:rsidRPr="00CD4E55" w:rsidRDefault="00EF3834">
      <w:pPr>
        <w:jc w:val="center"/>
      </w:pPr>
    </w:p>
    <w:p w:rsidR="00452798" w:rsidRPr="00CD4E55" w:rsidRDefault="00EF3834">
      <w:pPr>
        <w:tabs>
          <w:tab w:val="left" w:pos="4680"/>
          <w:tab w:val="center" w:pos="7200"/>
        </w:tabs>
        <w:spacing w:line="240" w:lineRule="atLeast"/>
      </w:pPr>
      <w:bookmarkStart w:id="0" w:name="plaintiff"/>
      <w:bookmarkEnd w:id="0"/>
      <w:proofErr w:type="spellStart"/>
      <w:r w:rsidRPr="00CD4E55">
        <w:t>M</w:t>
      </w:r>
      <w:r w:rsidRPr="00B2234C">
        <w:rPr>
          <w:smallCaps/>
        </w:rPr>
        <w:t>c</w:t>
      </w:r>
      <w:r w:rsidRPr="00CD4E55">
        <w:t>MILLI</w:t>
      </w:r>
      <w:r w:rsidRPr="00CD4E55">
        <w:t>N</w:t>
      </w:r>
      <w:proofErr w:type="spellEnd"/>
      <w:r w:rsidRPr="00CD4E55">
        <w:t xml:space="preserve"> ALBANY LLC et al.</w:t>
      </w:r>
      <w:r w:rsidRPr="00CD4E55">
        <w:t>,</w:t>
      </w:r>
      <w:r w:rsidRPr="00CD4E55">
        <w:tab/>
        <w:t>)</w:t>
      </w:r>
    </w:p>
    <w:p w:rsidR="00452798" w:rsidRPr="00CD4E55" w:rsidRDefault="00EF3834">
      <w:pPr>
        <w:tabs>
          <w:tab w:val="left" w:pos="1440"/>
          <w:tab w:val="left" w:pos="4680"/>
          <w:tab w:val="center" w:pos="7200"/>
        </w:tabs>
        <w:spacing w:line="240" w:lineRule="atLeast"/>
      </w:pPr>
      <w:r w:rsidRPr="00CD4E55">
        <w:tab/>
      </w:r>
      <w:r w:rsidRPr="00CD4E55">
        <w:tab/>
        <w:t>)</w:t>
      </w:r>
    </w:p>
    <w:p w:rsidR="00452798" w:rsidRPr="00CD4E55" w:rsidRDefault="00EF3834">
      <w:pPr>
        <w:tabs>
          <w:tab w:val="left" w:pos="1440"/>
          <w:tab w:val="left" w:pos="4680"/>
          <w:tab w:val="center" w:pos="7200"/>
        </w:tabs>
        <w:spacing w:line="240" w:lineRule="atLeast"/>
      </w:pPr>
      <w:r w:rsidRPr="00CD4E55">
        <w:tab/>
      </w:r>
      <w:bookmarkStart w:id="1" w:name="LD"/>
      <w:bookmarkEnd w:id="1"/>
      <w:r w:rsidRPr="00CD4E55">
        <w:t>Petitioners,</w:t>
      </w:r>
      <w:r w:rsidRPr="00CD4E55">
        <w:tab/>
        <w:t>)</w:t>
      </w:r>
    </w:p>
    <w:p w:rsidR="00452798" w:rsidRPr="00CD4E55" w:rsidRDefault="00EF3834">
      <w:pPr>
        <w:tabs>
          <w:tab w:val="left" w:pos="1440"/>
          <w:tab w:val="left" w:pos="4680"/>
          <w:tab w:val="center" w:pos="7200"/>
        </w:tabs>
        <w:spacing w:line="240" w:lineRule="atLeast"/>
      </w:pPr>
      <w:r w:rsidRPr="00CD4E55">
        <w:tab/>
      </w:r>
      <w:r w:rsidRPr="00CD4E55">
        <w:tab/>
        <w:t>)</w:t>
      </w:r>
      <w:r w:rsidRPr="00CD4E55">
        <w:tab/>
        <w:t>S</w:t>
      </w:r>
      <w:bookmarkStart w:id="2" w:name="casenum"/>
      <w:bookmarkEnd w:id="2"/>
      <w:r w:rsidRPr="00CD4E55">
        <w:t>229762</w:t>
      </w:r>
    </w:p>
    <w:p w:rsidR="00452798" w:rsidRPr="00CD4E55" w:rsidRDefault="00EF3834">
      <w:pPr>
        <w:tabs>
          <w:tab w:val="left" w:pos="1440"/>
          <w:tab w:val="left" w:pos="4680"/>
          <w:tab w:val="center" w:pos="7200"/>
        </w:tabs>
        <w:spacing w:line="240" w:lineRule="atLeast"/>
      </w:pPr>
      <w:r w:rsidRPr="00CD4E55">
        <w:tab/>
        <w:t>v.</w:t>
      </w:r>
      <w:r w:rsidRPr="00CD4E55">
        <w:tab/>
        <w:t>)</w:t>
      </w:r>
    </w:p>
    <w:p w:rsidR="00452798" w:rsidRPr="00CD4E55" w:rsidRDefault="00EF3834">
      <w:pPr>
        <w:tabs>
          <w:tab w:val="left" w:pos="1440"/>
          <w:tab w:val="left" w:pos="4680"/>
          <w:tab w:val="center" w:pos="7200"/>
        </w:tabs>
        <w:spacing w:line="240" w:lineRule="atLeast"/>
      </w:pPr>
      <w:r w:rsidRPr="00CD4E55">
        <w:tab/>
      </w:r>
      <w:r w:rsidRPr="00CD4E55">
        <w:tab/>
        <w:t>)</w:t>
      </w:r>
      <w:r w:rsidRPr="00CD4E55">
        <w:tab/>
      </w:r>
      <w:bookmarkStart w:id="3" w:name="appealnum"/>
      <w:bookmarkEnd w:id="3"/>
      <w:proofErr w:type="spellStart"/>
      <w:r w:rsidRPr="00CD4E55">
        <w:t>Ct.App</w:t>
      </w:r>
      <w:proofErr w:type="spellEnd"/>
      <w:r w:rsidRPr="00CD4E55">
        <w:t>. 5 F069370</w:t>
      </w:r>
    </w:p>
    <w:p w:rsidR="002B16AF" w:rsidRPr="00CD4E55" w:rsidRDefault="00EF3834">
      <w:pPr>
        <w:tabs>
          <w:tab w:val="left" w:pos="4680"/>
          <w:tab w:val="center" w:pos="7200"/>
        </w:tabs>
        <w:spacing w:line="240" w:lineRule="atLeast"/>
      </w:pPr>
      <w:bookmarkStart w:id="4" w:name="defendant"/>
      <w:bookmarkEnd w:id="4"/>
      <w:r w:rsidRPr="00CD4E55">
        <w:t xml:space="preserve">THE SUPERIOR COURT OF KERN </w:t>
      </w:r>
      <w:r w:rsidRPr="00CD4E55">
        <w:tab/>
        <w:t>)</w:t>
      </w:r>
    </w:p>
    <w:p w:rsidR="00452798" w:rsidRPr="00CD4E55" w:rsidRDefault="00EF3834">
      <w:pPr>
        <w:tabs>
          <w:tab w:val="left" w:pos="4680"/>
          <w:tab w:val="center" w:pos="7200"/>
        </w:tabs>
        <w:spacing w:line="240" w:lineRule="atLeast"/>
      </w:pPr>
      <w:r w:rsidRPr="00CD4E55">
        <w:t>COUNTY</w:t>
      </w:r>
      <w:r w:rsidRPr="00CD4E55">
        <w:t>,</w:t>
      </w:r>
      <w:r w:rsidRPr="00CD4E55">
        <w:tab/>
        <w:t>)</w:t>
      </w:r>
    </w:p>
    <w:p w:rsidR="00452798" w:rsidRPr="00CD4E55" w:rsidRDefault="00EF3834">
      <w:pPr>
        <w:tabs>
          <w:tab w:val="left" w:pos="4680"/>
          <w:tab w:val="center" w:pos="7200"/>
        </w:tabs>
        <w:spacing w:line="240" w:lineRule="atLeast"/>
      </w:pPr>
      <w:r w:rsidRPr="00CD4E55">
        <w:tab/>
        <w:t>)</w:t>
      </w:r>
      <w:r w:rsidRPr="00CD4E55">
        <w:tab/>
      </w:r>
      <w:bookmarkStart w:id="5" w:name="county"/>
      <w:bookmarkEnd w:id="5"/>
      <w:r w:rsidRPr="00CD4E55">
        <w:t>Kern</w:t>
      </w:r>
      <w:r w:rsidRPr="00CD4E55">
        <w:t xml:space="preserve"> County</w:t>
      </w:r>
      <w:r w:rsidRPr="00CD4E55">
        <w:t xml:space="preserve"> Super. Ct.</w:t>
      </w:r>
    </w:p>
    <w:p w:rsidR="00452798" w:rsidRPr="00CD4E55" w:rsidRDefault="00EF3834">
      <w:pPr>
        <w:tabs>
          <w:tab w:val="left" w:pos="1440"/>
          <w:tab w:val="left" w:pos="4680"/>
          <w:tab w:val="center" w:pos="7200"/>
        </w:tabs>
        <w:spacing w:line="240" w:lineRule="atLeast"/>
      </w:pPr>
      <w:r w:rsidRPr="00CD4E55">
        <w:tab/>
      </w:r>
      <w:bookmarkStart w:id="6" w:name="VD"/>
      <w:bookmarkEnd w:id="6"/>
      <w:r w:rsidRPr="00CD4E55">
        <w:t>Respondent;</w:t>
      </w:r>
      <w:r w:rsidRPr="00CD4E55">
        <w:tab/>
        <w:t>)</w:t>
      </w:r>
      <w:r w:rsidRPr="00CD4E55">
        <w:tab/>
      </w:r>
      <w:bookmarkStart w:id="7" w:name="supernum"/>
      <w:bookmarkEnd w:id="7"/>
      <w:r w:rsidRPr="00CD4E55">
        <w:t>No. S-1500-CV-279141</w:t>
      </w:r>
    </w:p>
    <w:p w:rsidR="002B16AF" w:rsidRPr="00CD4E55" w:rsidRDefault="00EF3834">
      <w:pPr>
        <w:tabs>
          <w:tab w:val="left" w:pos="1440"/>
          <w:tab w:val="left" w:pos="4680"/>
          <w:tab w:val="center" w:pos="7200"/>
        </w:tabs>
        <w:spacing w:line="240" w:lineRule="atLeast"/>
      </w:pPr>
      <w:r w:rsidRPr="00CD4E55">
        <w:tab/>
      </w:r>
      <w:r w:rsidRPr="00CD4E55">
        <w:tab/>
        <w:t>)</w:t>
      </w:r>
    </w:p>
    <w:p w:rsidR="002B16AF" w:rsidRPr="00CD4E55" w:rsidRDefault="00EF3834">
      <w:pPr>
        <w:tabs>
          <w:tab w:val="left" w:pos="1440"/>
          <w:tab w:val="left" w:pos="4680"/>
          <w:tab w:val="center" w:pos="7200"/>
        </w:tabs>
        <w:spacing w:line="240" w:lineRule="atLeast"/>
      </w:pPr>
      <w:r w:rsidRPr="00CD4E55">
        <w:t xml:space="preserve">CARL VAN </w:t>
      </w:r>
      <w:r w:rsidRPr="00CD4E55">
        <w:t>TASSEL et al.</w:t>
      </w:r>
      <w:r>
        <w:t>,</w:t>
      </w:r>
      <w:r w:rsidRPr="00CD4E55">
        <w:tab/>
        <w:t>)</w:t>
      </w:r>
    </w:p>
    <w:p w:rsidR="002B16AF" w:rsidRPr="00CD4E55" w:rsidRDefault="00EF3834">
      <w:pPr>
        <w:tabs>
          <w:tab w:val="left" w:pos="1440"/>
          <w:tab w:val="left" w:pos="4680"/>
          <w:tab w:val="center" w:pos="7200"/>
        </w:tabs>
        <w:spacing w:line="240" w:lineRule="atLeast"/>
      </w:pPr>
      <w:r w:rsidRPr="00CD4E55">
        <w:tab/>
      </w:r>
      <w:r w:rsidRPr="00CD4E55">
        <w:tab/>
        <w:t>)</w:t>
      </w:r>
      <w:r w:rsidRPr="00CD4E55">
        <w:tab/>
      </w:r>
    </w:p>
    <w:p w:rsidR="002B16AF" w:rsidRPr="00CD4E55" w:rsidRDefault="00EF3834">
      <w:pPr>
        <w:tabs>
          <w:tab w:val="left" w:pos="1440"/>
          <w:tab w:val="left" w:pos="4680"/>
          <w:tab w:val="center" w:pos="7200"/>
        </w:tabs>
        <w:spacing w:line="240" w:lineRule="atLeast"/>
      </w:pPr>
      <w:r w:rsidRPr="00CD4E55">
        <w:tab/>
        <w:t>Real Parties in Interest.</w:t>
      </w:r>
      <w:r w:rsidRPr="00CD4E55">
        <w:tab/>
        <w:t>)</w:t>
      </w:r>
    </w:p>
    <w:p w:rsidR="00452798" w:rsidRPr="00CD4E55" w:rsidRDefault="00EF3834">
      <w:pPr>
        <w:tabs>
          <w:tab w:val="left" w:leader="underscore" w:pos="4680"/>
        </w:tabs>
        <w:spacing w:line="240" w:lineRule="atLeast"/>
        <w:rPr>
          <w:u w:val="single"/>
        </w:rPr>
      </w:pPr>
      <w:r w:rsidRPr="00CD4E55">
        <w:tab/>
        <w:t>)</w:t>
      </w:r>
    </w:p>
    <w:p w:rsidR="00452798" w:rsidRPr="00CD4E55" w:rsidRDefault="00EF3834">
      <w:pPr>
        <w:tabs>
          <w:tab w:val="left" w:pos="1440"/>
          <w:tab w:val="left" w:pos="4680"/>
          <w:tab w:val="center" w:pos="7200"/>
        </w:tabs>
        <w:spacing w:line="480" w:lineRule="atLeast"/>
      </w:pPr>
    </w:p>
    <w:p w:rsidR="008C21CD" w:rsidRPr="00CD4E55" w:rsidRDefault="00EF3834">
      <w:pPr>
        <w:tabs>
          <w:tab w:val="left" w:pos="1440"/>
        </w:tabs>
        <w:spacing w:line="480" w:lineRule="atLeast"/>
        <w:ind w:firstLine="720"/>
        <w:rPr>
          <w:szCs w:val="26"/>
        </w:rPr>
      </w:pPr>
      <w:bookmarkStart w:id="8" w:name="mainstory"/>
      <w:bookmarkEnd w:id="8"/>
      <w:r>
        <w:t xml:space="preserve">In </w:t>
      </w:r>
      <w:proofErr w:type="spellStart"/>
      <w:r w:rsidRPr="00CD4E55">
        <w:rPr>
          <w:i/>
        </w:rPr>
        <w:t>Aas</w:t>
      </w:r>
      <w:proofErr w:type="spellEnd"/>
      <w:r w:rsidRPr="00CD4E55">
        <w:rPr>
          <w:i/>
        </w:rPr>
        <w:t xml:space="preserve"> v. Superior Court</w:t>
      </w:r>
      <w:r w:rsidRPr="00CD4E55">
        <w:t xml:space="preserve"> (2000) 24 Cal.4th 627, </w:t>
      </w:r>
      <w:r w:rsidRPr="00CD4E55">
        <w:t>632</w:t>
      </w:r>
      <w:r>
        <w:t xml:space="preserve"> (</w:t>
      </w:r>
      <w:proofErr w:type="spellStart"/>
      <w:r>
        <w:rPr>
          <w:i/>
        </w:rPr>
        <w:t>Aas</w:t>
      </w:r>
      <w:proofErr w:type="spellEnd"/>
      <w:r>
        <w:t>)</w:t>
      </w:r>
      <w:r w:rsidRPr="00CD4E55">
        <w:t>, this court held that the economic loss</w:t>
      </w:r>
      <w:r w:rsidRPr="00CD4E55">
        <w:t xml:space="preserve"> rule </w:t>
      </w:r>
      <w:r>
        <w:t xml:space="preserve">bars </w:t>
      </w:r>
      <w:r w:rsidRPr="00CD4E55">
        <w:t>homeowners suing in</w:t>
      </w:r>
      <w:r w:rsidRPr="00CD4E55">
        <w:t xml:space="preserve"> negligence</w:t>
      </w:r>
      <w:r w:rsidRPr="00CD4E55">
        <w:t xml:space="preserve"> for constructi</w:t>
      </w:r>
      <w:r w:rsidRPr="00CD4E55">
        <w:t>o</w:t>
      </w:r>
      <w:r w:rsidRPr="00CD4E55">
        <w:t>n defects</w:t>
      </w:r>
      <w:r>
        <w:t xml:space="preserve"> from recovering</w:t>
      </w:r>
      <w:r>
        <w:t xml:space="preserve"> damages where there is no showing of</w:t>
      </w:r>
      <w:r>
        <w:t xml:space="preserve"> </w:t>
      </w:r>
      <w:r>
        <w:t xml:space="preserve">actual </w:t>
      </w:r>
      <w:r w:rsidRPr="00CD4E55">
        <w:t>property damage or personal injury.  We expla</w:t>
      </w:r>
      <w:r>
        <w:t>ined that requir</w:t>
      </w:r>
      <w:r>
        <w:t>ing a</w:t>
      </w:r>
      <w:r>
        <w:t xml:space="preserve"> show</w:t>
      </w:r>
      <w:r>
        <w:t>ing of</w:t>
      </w:r>
      <w:r>
        <w:t xml:space="preserve"> </w:t>
      </w:r>
      <w:r>
        <w:t xml:space="preserve">more than economic loss </w:t>
      </w:r>
      <w:r w:rsidRPr="00CD4E55">
        <w:t>was necessary to preserve the boundary between tort an</w:t>
      </w:r>
      <w:r>
        <w:t>d contract theories of recovery</w:t>
      </w:r>
      <w:r>
        <w:t>,</w:t>
      </w:r>
      <w:r>
        <w:t xml:space="preserve"> and</w:t>
      </w:r>
      <w:r w:rsidRPr="00CD4E55">
        <w:t xml:space="preserve"> </w:t>
      </w:r>
      <w:r>
        <w:t xml:space="preserve">to </w:t>
      </w:r>
      <w:r w:rsidRPr="00CD4E55">
        <w:t>prevent tort la</w:t>
      </w:r>
      <w:r w:rsidRPr="00CD4E55">
        <w:t xml:space="preserve">w from expanding contractual warranties </w:t>
      </w:r>
      <w:r>
        <w:t xml:space="preserve">beyond what home builders had </w:t>
      </w:r>
      <w:r w:rsidRPr="00CD4E55">
        <w:t>agreed to provide.  (</w:t>
      </w:r>
      <w:r w:rsidRPr="00CD4E55">
        <w:rPr>
          <w:i/>
        </w:rPr>
        <w:t>Id.</w:t>
      </w:r>
      <w:r w:rsidRPr="00CD4E55">
        <w:t xml:space="preserve"> at pp. 635–636</w:t>
      </w:r>
      <w:r w:rsidRPr="00CD4E55">
        <w:t xml:space="preserve">; see </w:t>
      </w:r>
      <w:r w:rsidRPr="00CD4E55">
        <w:rPr>
          <w:rFonts w:cstheme="minorHAnsi"/>
          <w:i/>
          <w:szCs w:val="26"/>
        </w:rPr>
        <w:t xml:space="preserve">Seely </w:t>
      </w:r>
      <w:r w:rsidRPr="00CD4E55">
        <w:rPr>
          <w:i/>
          <w:szCs w:val="26"/>
        </w:rPr>
        <w:t>v. White Motor</w:t>
      </w:r>
      <w:r w:rsidRPr="00CD4E55">
        <w:rPr>
          <w:i/>
          <w:szCs w:val="26"/>
        </w:rPr>
        <w:t xml:space="preserve"> Co.</w:t>
      </w:r>
      <w:r w:rsidRPr="00CD4E55">
        <w:rPr>
          <w:szCs w:val="26"/>
        </w:rPr>
        <w:t xml:space="preserve"> (1965) 63 Cal.2d </w:t>
      </w:r>
      <w:r w:rsidRPr="00CD4E55">
        <w:rPr>
          <w:szCs w:val="26"/>
        </w:rPr>
        <w:t>9, 18</w:t>
      </w:r>
      <w:r w:rsidRPr="00CD4E55">
        <w:rPr>
          <w:szCs w:val="26"/>
        </w:rPr>
        <w:t xml:space="preserve">.)  We emphasized that the Legislature was free to alter these limits on recovery and </w:t>
      </w:r>
      <w:r>
        <w:rPr>
          <w:szCs w:val="26"/>
        </w:rPr>
        <w:t xml:space="preserve">to </w:t>
      </w:r>
      <w:r w:rsidRPr="00CD4E55">
        <w:rPr>
          <w:szCs w:val="26"/>
        </w:rPr>
        <w:t>add w</w:t>
      </w:r>
      <w:r w:rsidRPr="00CD4E55">
        <w:rPr>
          <w:szCs w:val="26"/>
        </w:rPr>
        <w:t xml:space="preserve">hatever additional </w:t>
      </w:r>
      <w:r>
        <w:rPr>
          <w:szCs w:val="26"/>
        </w:rPr>
        <w:t xml:space="preserve">homeowner </w:t>
      </w:r>
      <w:r w:rsidRPr="00CD4E55">
        <w:rPr>
          <w:szCs w:val="26"/>
        </w:rPr>
        <w:t>protections it deemed appropriate.  (</w:t>
      </w:r>
      <w:proofErr w:type="spellStart"/>
      <w:r w:rsidRPr="00CD4E55">
        <w:rPr>
          <w:i/>
          <w:szCs w:val="26"/>
        </w:rPr>
        <w:t>Aas</w:t>
      </w:r>
      <w:proofErr w:type="spellEnd"/>
      <w:r w:rsidRPr="00CD4E55">
        <w:rPr>
          <w:szCs w:val="26"/>
        </w:rPr>
        <w:t>, at pp. 650, 653</w:t>
      </w:r>
      <w:r w:rsidRPr="00CD4E55">
        <w:rPr>
          <w:szCs w:val="26"/>
        </w:rPr>
        <w:t xml:space="preserve">.) </w:t>
      </w:r>
    </w:p>
    <w:p w:rsidR="00151754" w:rsidRDefault="00EF3834">
      <w:pPr>
        <w:tabs>
          <w:tab w:val="left" w:pos="1440"/>
        </w:tabs>
        <w:spacing w:line="480" w:lineRule="atLeast"/>
        <w:ind w:firstLine="720"/>
        <w:rPr>
          <w:szCs w:val="26"/>
        </w:rPr>
      </w:pPr>
      <w:r w:rsidRPr="00CD4E55">
        <w:rPr>
          <w:szCs w:val="26"/>
        </w:rPr>
        <w:lastRenderedPageBreak/>
        <w:t xml:space="preserve">Two years later, spurred by </w:t>
      </w:r>
      <w:proofErr w:type="spellStart"/>
      <w:r w:rsidRPr="00CD4E55">
        <w:rPr>
          <w:i/>
          <w:szCs w:val="26"/>
        </w:rPr>
        <w:t>Aas</w:t>
      </w:r>
      <w:proofErr w:type="spellEnd"/>
      <w:r w:rsidRPr="00CD4E55">
        <w:rPr>
          <w:szCs w:val="26"/>
        </w:rPr>
        <w:t xml:space="preserve"> and </w:t>
      </w:r>
      <w:r>
        <w:rPr>
          <w:szCs w:val="26"/>
        </w:rPr>
        <w:t xml:space="preserve">by </w:t>
      </w:r>
      <w:r w:rsidRPr="00CD4E55">
        <w:rPr>
          <w:szCs w:val="26"/>
        </w:rPr>
        <w:t xml:space="preserve">lobbying from homeowner and construction interest groups, the Legislature passed </w:t>
      </w:r>
      <w:r w:rsidRPr="00CD4E55">
        <w:rPr>
          <w:szCs w:val="26"/>
        </w:rPr>
        <w:t xml:space="preserve">comprehensive construction defect litigation reform.  (Stats. 2002, </w:t>
      </w:r>
      <w:proofErr w:type="spellStart"/>
      <w:r w:rsidRPr="00CD4E55">
        <w:rPr>
          <w:szCs w:val="26"/>
        </w:rPr>
        <w:t>ch.</w:t>
      </w:r>
      <w:proofErr w:type="spellEnd"/>
      <w:r w:rsidRPr="00CD4E55">
        <w:rPr>
          <w:szCs w:val="26"/>
        </w:rPr>
        <w:t xml:space="preserve"> 722, principally codified at Civ. Code, </w:t>
      </w:r>
      <w:r w:rsidRPr="00CD4E55">
        <w:t>§§ 895–945.5</w:t>
      </w:r>
      <w:r w:rsidRPr="00CD4E55">
        <w:rPr>
          <w:szCs w:val="26"/>
        </w:rPr>
        <w:t xml:space="preserve"> </w:t>
      </w:r>
      <w:r>
        <w:rPr>
          <w:szCs w:val="26"/>
        </w:rPr>
        <w:t>(</w:t>
      </w:r>
      <w:r>
        <w:rPr>
          <w:szCs w:val="26"/>
        </w:rPr>
        <w:t xml:space="preserve">commonly known as the Right to Repair Act, </w:t>
      </w:r>
      <w:r>
        <w:rPr>
          <w:szCs w:val="26"/>
        </w:rPr>
        <w:t xml:space="preserve">hereafter </w:t>
      </w:r>
      <w:r w:rsidRPr="00CD4E55">
        <w:rPr>
          <w:szCs w:val="26"/>
        </w:rPr>
        <w:t>the Act</w:t>
      </w:r>
      <w:r>
        <w:rPr>
          <w:szCs w:val="26"/>
        </w:rPr>
        <w:t>)</w:t>
      </w:r>
      <w:r>
        <w:rPr>
          <w:szCs w:val="26"/>
        </w:rPr>
        <w:t xml:space="preserve">; </w:t>
      </w:r>
      <w:r>
        <w:t>all further unlabeled statutory references are to the Civil Code</w:t>
      </w:r>
      <w:r>
        <w:rPr>
          <w:szCs w:val="26"/>
        </w:rPr>
        <w:t xml:space="preserve">.) </w:t>
      </w:r>
      <w:r>
        <w:rPr>
          <w:szCs w:val="26"/>
        </w:rPr>
        <w:t xml:space="preserve"> The Act </w:t>
      </w:r>
      <w:r>
        <w:rPr>
          <w:szCs w:val="26"/>
        </w:rPr>
        <w:t xml:space="preserve">sets forth </w:t>
      </w:r>
      <w:r w:rsidRPr="00CD4E55">
        <w:rPr>
          <w:szCs w:val="26"/>
        </w:rPr>
        <w:t xml:space="preserve">detailed statewide standards </w:t>
      </w:r>
      <w:r>
        <w:rPr>
          <w:szCs w:val="26"/>
        </w:rPr>
        <w:t xml:space="preserve">that </w:t>
      </w:r>
      <w:r w:rsidRPr="00CD4E55">
        <w:rPr>
          <w:szCs w:val="26"/>
        </w:rPr>
        <w:t xml:space="preserve">the components of a </w:t>
      </w:r>
      <w:r w:rsidRPr="00CD4E55">
        <w:rPr>
          <w:szCs w:val="26"/>
        </w:rPr>
        <w:t xml:space="preserve">dwelling </w:t>
      </w:r>
      <w:r>
        <w:rPr>
          <w:szCs w:val="26"/>
        </w:rPr>
        <w:t xml:space="preserve">must satisfy.  It also establishes </w:t>
      </w:r>
      <w:r w:rsidRPr="00CD4E55">
        <w:rPr>
          <w:szCs w:val="26"/>
        </w:rPr>
        <w:t>a pre</w:t>
      </w:r>
      <w:r w:rsidRPr="00CD4E55">
        <w:rPr>
          <w:szCs w:val="26"/>
        </w:rPr>
        <w:t xml:space="preserve">litigation dispute </w:t>
      </w:r>
      <w:r>
        <w:rPr>
          <w:szCs w:val="26"/>
        </w:rPr>
        <w:t>resolution process that affords</w:t>
      </w:r>
      <w:r w:rsidRPr="00CD4E55">
        <w:rPr>
          <w:szCs w:val="26"/>
        </w:rPr>
        <w:t xml:space="preserve"> builders notice of a</w:t>
      </w:r>
      <w:r w:rsidRPr="00CD4E55">
        <w:rPr>
          <w:szCs w:val="26"/>
        </w:rPr>
        <w:t>lleged constru</w:t>
      </w:r>
      <w:r>
        <w:rPr>
          <w:szCs w:val="26"/>
        </w:rPr>
        <w:t>ction defects</w:t>
      </w:r>
      <w:r>
        <w:rPr>
          <w:szCs w:val="26"/>
        </w:rPr>
        <w:t xml:space="preserve"> and </w:t>
      </w:r>
      <w:r w:rsidRPr="00CD4E55">
        <w:rPr>
          <w:szCs w:val="26"/>
        </w:rPr>
        <w:t>the opportunity to cure</w:t>
      </w:r>
      <w:r>
        <w:rPr>
          <w:szCs w:val="26"/>
        </w:rPr>
        <w:t xml:space="preserve"> such d</w:t>
      </w:r>
      <w:r>
        <w:rPr>
          <w:szCs w:val="26"/>
        </w:rPr>
        <w:t>efects</w:t>
      </w:r>
      <w:r>
        <w:rPr>
          <w:szCs w:val="26"/>
        </w:rPr>
        <w:t>, while grant</w:t>
      </w:r>
      <w:r w:rsidRPr="00CD4E55">
        <w:rPr>
          <w:szCs w:val="26"/>
        </w:rPr>
        <w:t>ing</w:t>
      </w:r>
      <w:r>
        <w:rPr>
          <w:szCs w:val="26"/>
        </w:rPr>
        <w:t xml:space="preserve"> homeowners the right</w:t>
      </w:r>
      <w:r w:rsidRPr="00CD4E55">
        <w:rPr>
          <w:szCs w:val="26"/>
        </w:rPr>
        <w:t xml:space="preserve"> to sue for deficiencies even in the absence of property damage or personal injury.</w:t>
      </w:r>
    </w:p>
    <w:p w:rsidR="006340EA" w:rsidRDefault="00EF3834" w:rsidP="006340EA">
      <w:pPr>
        <w:tabs>
          <w:tab w:val="left" w:pos="1440"/>
        </w:tabs>
        <w:spacing w:line="480" w:lineRule="atLeast"/>
        <w:ind w:firstLine="720"/>
      </w:pPr>
      <w:r>
        <w:t>We are asked to decide</w:t>
      </w:r>
      <w:r w:rsidRPr="00CD4E55">
        <w:t xml:space="preserve"> whether the lawsuit here, a common law action </w:t>
      </w:r>
      <w:r>
        <w:t>alleging</w:t>
      </w:r>
      <w:r w:rsidRPr="00CD4E55">
        <w:t xml:space="preserve"> construction defects resulting in both economic los</w:t>
      </w:r>
      <w:r w:rsidRPr="00CD4E55">
        <w:t>s and property damage, is subject to the Act’s prelitigation notice and cure procedures.</w:t>
      </w:r>
      <w:r>
        <w:t xml:space="preserve">  The answer depends on the extent to which </w:t>
      </w:r>
      <w:r w:rsidRPr="00CD4E55">
        <w:t>the</w:t>
      </w:r>
      <w:r>
        <w:t xml:space="preserve"> Act was intended to</w:t>
      </w:r>
      <w:r w:rsidRPr="00CD4E55">
        <w:t xml:space="preserve"> </w:t>
      </w:r>
      <w:r>
        <w:t xml:space="preserve">alter the </w:t>
      </w:r>
      <w:r w:rsidRPr="00CD4E55">
        <w:t>common law</w:t>
      </w:r>
      <w:r>
        <w:t xml:space="preserve"> </w:t>
      </w:r>
      <w:r>
        <w:t>—</w:t>
      </w:r>
      <w:r>
        <w:t xml:space="preserve"> </w:t>
      </w:r>
      <w:r>
        <w:t xml:space="preserve">specifically, </w:t>
      </w:r>
      <w:r>
        <w:t xml:space="preserve">whether it was designed only to abrogate </w:t>
      </w:r>
      <w:proofErr w:type="spellStart"/>
      <w:r>
        <w:rPr>
          <w:i/>
        </w:rPr>
        <w:t>Aas</w:t>
      </w:r>
      <w:proofErr w:type="spellEnd"/>
      <w:r>
        <w:t xml:space="preserve">, supplementing </w:t>
      </w:r>
      <w:r>
        <w:t>common law remedies</w:t>
      </w:r>
      <w:r>
        <w:t xml:space="preserve"> with a statutory</w:t>
      </w:r>
      <w:r>
        <w:t xml:space="preserve"> claim for </w:t>
      </w:r>
      <w:r>
        <w:t>pure</w:t>
      </w:r>
      <w:r>
        <w:t>ly</w:t>
      </w:r>
      <w:r>
        <w:t xml:space="preserve"> </w:t>
      </w:r>
      <w:r>
        <w:t>economic loss</w:t>
      </w:r>
      <w:r>
        <w:t xml:space="preserve">, or to go further </w:t>
      </w:r>
      <w:r>
        <w:t xml:space="preserve">and supplant the common law with </w:t>
      </w:r>
      <w:r>
        <w:t>new</w:t>
      </w:r>
      <w:r>
        <w:t xml:space="preserve"> rules</w:t>
      </w:r>
      <w:r>
        <w:t xml:space="preserve"> </w:t>
      </w:r>
      <w:r>
        <w:t xml:space="preserve">governing </w:t>
      </w:r>
      <w:r>
        <w:t>the</w:t>
      </w:r>
      <w:r>
        <w:t xml:space="preserve"> </w:t>
      </w:r>
      <w:r>
        <w:t>method of</w:t>
      </w:r>
      <w:r>
        <w:t xml:space="preserve"> recovery</w:t>
      </w:r>
      <w:r>
        <w:t xml:space="preserve"> </w:t>
      </w:r>
      <w:r>
        <w:t>in</w:t>
      </w:r>
      <w:r>
        <w:t xml:space="preserve"> </w:t>
      </w:r>
      <w:r>
        <w:t xml:space="preserve">actions alleging </w:t>
      </w:r>
      <w:r>
        <w:t>property damage</w:t>
      </w:r>
      <w:r w:rsidRPr="00CD4E55">
        <w:t>.</w:t>
      </w:r>
      <w:r w:rsidRPr="00CD4E55">
        <w:t xml:space="preserve">  </w:t>
      </w:r>
      <w:r>
        <w:t>Based on an</w:t>
      </w:r>
      <w:r w:rsidRPr="00CD4E55">
        <w:t xml:space="preserve"> examination of the text </w:t>
      </w:r>
      <w:r>
        <w:t>and</w:t>
      </w:r>
      <w:r w:rsidRPr="00CD4E55">
        <w:t xml:space="preserve"> legislative hist</w:t>
      </w:r>
      <w:r w:rsidRPr="00CD4E55">
        <w:t xml:space="preserve">ory </w:t>
      </w:r>
      <w:r w:rsidRPr="00CD4E55">
        <w:t>of the Act</w:t>
      </w:r>
      <w:r>
        <w:t>, we</w:t>
      </w:r>
      <w:r w:rsidRPr="00CD4E55">
        <w:t xml:space="preserve"> conclude the Legislature</w:t>
      </w:r>
      <w:r>
        <w:t xml:space="preserve"> intended </w:t>
      </w:r>
      <w:r>
        <w:t>the</w:t>
      </w:r>
      <w:r>
        <w:t xml:space="preserve"> broader displacement.  </w:t>
      </w:r>
      <w:r>
        <w:t xml:space="preserve">Although </w:t>
      </w:r>
      <w:r w:rsidRPr="00CD4E55">
        <w:t>the Legislature preserved common law claims for personal i</w:t>
      </w:r>
      <w:r>
        <w:t xml:space="preserve">njury, it made </w:t>
      </w:r>
      <w:r w:rsidRPr="00CD4E55">
        <w:t xml:space="preserve">the Act the </w:t>
      </w:r>
      <w:r>
        <w:t xml:space="preserve">virtually </w:t>
      </w:r>
      <w:r w:rsidRPr="00CD4E55">
        <w:t xml:space="preserve">exclusive remedy </w:t>
      </w:r>
      <w:r>
        <w:t xml:space="preserve">not just </w:t>
      </w:r>
      <w:r>
        <w:t xml:space="preserve">for </w:t>
      </w:r>
      <w:r w:rsidRPr="00CD4E55">
        <w:t>economic loss bu</w:t>
      </w:r>
      <w:r>
        <w:t xml:space="preserve">t also </w:t>
      </w:r>
      <w:r>
        <w:t xml:space="preserve">for </w:t>
      </w:r>
      <w:r w:rsidRPr="00CD4E55">
        <w:t>property damage</w:t>
      </w:r>
      <w:r>
        <w:t xml:space="preserve"> arising from construction defects</w:t>
      </w:r>
      <w:r w:rsidRPr="00CD4E55">
        <w:t xml:space="preserve">.  </w:t>
      </w:r>
      <w:r>
        <w:t>T</w:t>
      </w:r>
      <w:r w:rsidRPr="00CD4E55">
        <w:t xml:space="preserve">he </w:t>
      </w:r>
      <w:r>
        <w:t>present</w:t>
      </w:r>
      <w:r w:rsidRPr="00CD4E55">
        <w:t xml:space="preserve"> suit for property damage is </w:t>
      </w:r>
      <w:r>
        <w:t xml:space="preserve">therefore </w:t>
      </w:r>
      <w:r w:rsidRPr="00CD4E55">
        <w:t>subject to the Act’s prelitigation procedures, and the Court of Appeal was correct to order a stay until those procedures have been followed.</w:t>
      </w:r>
    </w:p>
    <w:p w:rsidR="002B16AF" w:rsidRPr="00CD4E55" w:rsidRDefault="00EF3834" w:rsidP="002B16AF">
      <w:pPr>
        <w:keepNext/>
        <w:tabs>
          <w:tab w:val="left" w:pos="1440"/>
        </w:tabs>
        <w:spacing w:line="480" w:lineRule="atLeast"/>
        <w:jc w:val="center"/>
        <w:rPr>
          <w:b/>
          <w:caps/>
          <w:smallCaps/>
        </w:rPr>
      </w:pPr>
      <w:r>
        <w:rPr>
          <w:b/>
          <w:smallCaps/>
        </w:rPr>
        <w:lastRenderedPageBreak/>
        <w:t>I.</w:t>
      </w:r>
    </w:p>
    <w:p w:rsidR="00B33891" w:rsidRPr="00CD4E55" w:rsidRDefault="00EF3834">
      <w:pPr>
        <w:tabs>
          <w:tab w:val="left" w:pos="1440"/>
        </w:tabs>
        <w:spacing w:line="480" w:lineRule="atLeast"/>
        <w:ind w:firstLine="720"/>
      </w:pPr>
      <w:r w:rsidRPr="00CD4E55">
        <w:t>Plaintiffs Carl and Sand</w:t>
      </w:r>
      <w:r w:rsidRPr="00CD4E55">
        <w:t xml:space="preserve">ra Van Tassel </w:t>
      </w:r>
      <w:r>
        <w:t>and several dozen other homeowners</w:t>
      </w:r>
      <w:r w:rsidRPr="00CD4E55">
        <w:t xml:space="preserve"> (collectively </w:t>
      </w:r>
      <w:r>
        <w:t xml:space="preserve">the </w:t>
      </w:r>
      <w:r w:rsidRPr="00CD4E55">
        <w:t>Van Tassel</w:t>
      </w:r>
      <w:r>
        <w:t>s</w:t>
      </w:r>
      <w:r w:rsidRPr="00CD4E55">
        <w:t xml:space="preserve">) purchased 37 new single-family homes from developer and general contractor </w:t>
      </w:r>
      <w:proofErr w:type="spellStart"/>
      <w:r w:rsidRPr="00CD4E55">
        <w:t>McMillin</w:t>
      </w:r>
      <w:proofErr w:type="spellEnd"/>
      <w:r>
        <w:t xml:space="preserve"> Albany</w:t>
      </w:r>
      <w:r w:rsidRPr="00CD4E55">
        <w:t xml:space="preserve"> LLC (</w:t>
      </w:r>
      <w:proofErr w:type="spellStart"/>
      <w:r w:rsidRPr="00CD4E55">
        <w:t>McMillin</w:t>
      </w:r>
      <w:proofErr w:type="spellEnd"/>
      <w:r w:rsidRPr="00CD4E55">
        <w:t>) at various times after January 2</w:t>
      </w:r>
      <w:r>
        <w:t xml:space="preserve">003.  </w:t>
      </w:r>
      <w:r w:rsidRPr="00CD4E55">
        <w:t xml:space="preserve">In 2013, </w:t>
      </w:r>
      <w:r>
        <w:t xml:space="preserve">the </w:t>
      </w:r>
      <w:r w:rsidRPr="00CD4E55">
        <w:t>Van Tassel</w:t>
      </w:r>
      <w:r>
        <w:t>s</w:t>
      </w:r>
      <w:r w:rsidRPr="00CD4E55">
        <w:t xml:space="preserve"> sued </w:t>
      </w:r>
      <w:proofErr w:type="spellStart"/>
      <w:r w:rsidRPr="00CD4E55">
        <w:t>McMillin</w:t>
      </w:r>
      <w:proofErr w:type="spellEnd"/>
      <w:r w:rsidRPr="00CD4E55">
        <w:t xml:space="preserve">, alleging the homes were defective in </w:t>
      </w:r>
      <w:r w:rsidRPr="00CD4E55">
        <w:t>nearly every aspect of their construction, including the foundation</w:t>
      </w:r>
      <w:r>
        <w:t>s</w:t>
      </w:r>
      <w:r w:rsidRPr="00CD4E55">
        <w:t>, plumbing, electrical systems, roof</w:t>
      </w:r>
      <w:r>
        <w:t>s</w:t>
      </w:r>
      <w:r w:rsidRPr="00CD4E55">
        <w:t>, windows, floors</w:t>
      </w:r>
      <w:r w:rsidRPr="00CD4E55">
        <w:t>,</w:t>
      </w:r>
      <w:r w:rsidRPr="00CD4E55">
        <w:t xml:space="preserve"> and chimney</w:t>
      </w:r>
      <w:r>
        <w:t>s</w:t>
      </w:r>
      <w:r>
        <w:t xml:space="preserve">.  </w:t>
      </w:r>
      <w:r w:rsidRPr="00CD4E55">
        <w:t>The operative</w:t>
      </w:r>
      <w:r>
        <w:t xml:space="preserve"> first amended complaint included</w:t>
      </w:r>
      <w:r w:rsidRPr="00CD4E55">
        <w:t xml:space="preserve"> com</w:t>
      </w:r>
      <w:r>
        <w:t>mon law claims</w:t>
      </w:r>
      <w:r w:rsidRPr="00CD4E55">
        <w:t xml:space="preserve"> for negligence, strict product liability, breach of contract, and breach of warranty</w:t>
      </w:r>
      <w:r w:rsidRPr="00CD4E55">
        <w:t>, a</w:t>
      </w:r>
      <w:r>
        <w:t>nd</w:t>
      </w:r>
      <w:r w:rsidRPr="00CD4E55">
        <w:t xml:space="preserve"> a statutory claim for violation of the </w:t>
      </w:r>
      <w:r w:rsidRPr="00CD4E55">
        <w:t xml:space="preserve">construction </w:t>
      </w:r>
      <w:r w:rsidRPr="00CD4E55">
        <w:t xml:space="preserve">standards set forth in section 896. </w:t>
      </w:r>
      <w:r>
        <w:t xml:space="preserve"> </w:t>
      </w:r>
      <w:r w:rsidRPr="00CD4E55">
        <w:t xml:space="preserve">The complaint </w:t>
      </w:r>
      <w:r w:rsidRPr="00CD4E55">
        <w:t xml:space="preserve">alleged the defects had </w:t>
      </w:r>
      <w:r>
        <w:t xml:space="preserve">caused </w:t>
      </w:r>
      <w:r w:rsidRPr="00CD4E55">
        <w:t>property damage to the homes</w:t>
      </w:r>
      <w:r>
        <w:t xml:space="preserve"> an</w:t>
      </w:r>
      <w:r>
        <w:t xml:space="preserve">d </w:t>
      </w:r>
      <w:r>
        <w:t>economic loss</w:t>
      </w:r>
      <w:r w:rsidRPr="00CD4E55">
        <w:t xml:space="preserve"> due to the cost of repair</w:t>
      </w:r>
      <w:r>
        <w:t>s</w:t>
      </w:r>
      <w:r w:rsidRPr="00CD4E55">
        <w:t xml:space="preserve"> an</w:t>
      </w:r>
      <w:r>
        <w:t>d reduction in property value</w:t>
      </w:r>
      <w:r>
        <w:t>s</w:t>
      </w:r>
      <w:r>
        <w:t>.</w:t>
      </w:r>
    </w:p>
    <w:p w:rsidR="00D8041D" w:rsidRPr="00CD4E55" w:rsidRDefault="00EF3834">
      <w:pPr>
        <w:tabs>
          <w:tab w:val="left" w:pos="1440"/>
        </w:tabs>
        <w:spacing w:line="480" w:lineRule="atLeast"/>
        <w:ind w:firstLine="720"/>
      </w:pPr>
      <w:proofErr w:type="spellStart"/>
      <w:r w:rsidRPr="00CD4E55">
        <w:t>McMillin</w:t>
      </w:r>
      <w:proofErr w:type="spellEnd"/>
      <w:r w:rsidRPr="00CD4E55">
        <w:t xml:space="preserve"> approached </w:t>
      </w:r>
      <w:r>
        <w:t xml:space="preserve">the </w:t>
      </w:r>
      <w:r w:rsidRPr="00CD4E55">
        <w:t>Van Tassel</w:t>
      </w:r>
      <w:r>
        <w:t>s</w:t>
      </w:r>
      <w:r w:rsidRPr="00CD4E55">
        <w:t xml:space="preserve"> </w:t>
      </w:r>
      <w:r>
        <w:t xml:space="preserve">seeking a stipulation to </w:t>
      </w:r>
      <w:r w:rsidRPr="00CD4E55">
        <w:t xml:space="preserve">stay </w:t>
      </w:r>
      <w:r>
        <w:t xml:space="preserve">the </w:t>
      </w:r>
      <w:r w:rsidRPr="00CD4E55">
        <w:t>litigation so the parties could proceed through the informal process contemplated by the Act</w:t>
      </w:r>
      <w:r w:rsidRPr="00CD4E55">
        <w:t xml:space="preserve">.  </w:t>
      </w:r>
      <w:r>
        <w:t>(</w:t>
      </w:r>
      <w:r w:rsidRPr="00CD4E55">
        <w:t>§§ 910–938.)</w:t>
      </w:r>
      <w:r w:rsidRPr="00CD4E55">
        <w:t xml:space="preserve"> </w:t>
      </w:r>
      <w:r w:rsidRPr="00CD4E55">
        <w:t xml:space="preserve"> That process begins with </w:t>
      </w:r>
      <w:r>
        <w:t xml:space="preserve">written </w:t>
      </w:r>
      <w:r>
        <w:t>notice from the homeowner to the</w:t>
      </w:r>
      <w:r w:rsidRPr="00CD4E55">
        <w:t xml:space="preserve"> builder of allegations that the builder’s construction falls short of the standards prescribed by the Act.  (§ 910.)  The builder must acknowledge receipt (§ 913) and thereafter has a right to insp</w:t>
      </w:r>
      <w:r>
        <w:t>ect and test any alleged defect</w:t>
      </w:r>
      <w:r w:rsidRPr="00CD4E55">
        <w:t xml:space="preserve"> (§ 916).  Following any in</w:t>
      </w:r>
      <w:r w:rsidRPr="00CD4E55">
        <w:t>spection and testing, the builder may offer to</w:t>
      </w:r>
      <w:r>
        <w:t xml:space="preserve"> repair the defect (§ 917)</w:t>
      </w:r>
      <w:r w:rsidRPr="00CD4E55">
        <w:t xml:space="preserve"> or pay compensation in lieu of a repair (§ 929).  The Act regulates the procedures for any repair, authorizes mediation, and preserves the homeowner’s right to sue in the event the re</w:t>
      </w:r>
      <w:r w:rsidRPr="00CD4E55">
        <w:t>pair is unsatisfactory and no settlement c</w:t>
      </w:r>
      <w:r>
        <w:t>an be reached.  (§§ 917–930</w:t>
      </w:r>
      <w:r w:rsidRPr="00CD4E55">
        <w:t>.)</w:t>
      </w:r>
    </w:p>
    <w:p w:rsidR="008637E4" w:rsidRPr="00CD4E55" w:rsidRDefault="00EF3834">
      <w:pPr>
        <w:tabs>
          <w:tab w:val="left" w:pos="1440"/>
        </w:tabs>
        <w:spacing w:line="480" w:lineRule="atLeast"/>
        <w:ind w:firstLine="720"/>
      </w:pPr>
      <w:r>
        <w:t xml:space="preserve">The </w:t>
      </w:r>
      <w:r w:rsidRPr="00CD4E55">
        <w:t>Van Tassel</w:t>
      </w:r>
      <w:r>
        <w:t>s</w:t>
      </w:r>
      <w:r w:rsidRPr="00CD4E55">
        <w:t xml:space="preserve"> elected not to stipulate to a sta</w:t>
      </w:r>
      <w:r w:rsidRPr="00CD4E55">
        <w:t>y</w:t>
      </w:r>
      <w:r w:rsidRPr="00CD4E55">
        <w:t xml:space="preserve"> and instead</w:t>
      </w:r>
      <w:r w:rsidRPr="00CD4E55">
        <w:t xml:space="preserve"> dismissed the</w:t>
      </w:r>
      <w:r>
        <w:t>ir</w:t>
      </w:r>
      <w:r w:rsidRPr="00CD4E55">
        <w:t xml:space="preserve"> </w:t>
      </w:r>
      <w:r w:rsidRPr="00CD4E55">
        <w:t>section 896 claim</w:t>
      </w:r>
      <w:r>
        <w:t xml:space="preserve">. </w:t>
      </w:r>
      <w:r w:rsidRPr="00CD4E55">
        <w:t xml:space="preserve"> </w:t>
      </w:r>
      <w:proofErr w:type="spellStart"/>
      <w:r w:rsidRPr="00CD4E55">
        <w:t>McMillin</w:t>
      </w:r>
      <w:proofErr w:type="spellEnd"/>
      <w:r w:rsidRPr="00CD4E55">
        <w:t xml:space="preserve"> moved for a court-ordered stay</w:t>
      </w:r>
      <w:r w:rsidRPr="00CD4E55">
        <w:t xml:space="preserve">.  </w:t>
      </w:r>
      <w:r w:rsidRPr="00CD4E55">
        <w:t>(</w:t>
      </w:r>
      <w:r>
        <w:t>§ 930, subd. </w:t>
      </w:r>
      <w:r w:rsidRPr="00CD4E55">
        <w:t>(b)</w:t>
      </w:r>
      <w:r w:rsidRPr="00CD4E55">
        <w:t xml:space="preserve"> [“If the claimant does no</w:t>
      </w:r>
      <w:r w:rsidRPr="00CD4E55">
        <w:t xml:space="preserve">t conform with the requirements of this chapter, the builder may bring a motion to stay any subsequent court action or other </w:t>
      </w:r>
      <w:r w:rsidRPr="00CD4E55">
        <w:lastRenderedPageBreak/>
        <w:t>proceeding until the requirements of this chapter have been satisfied.”]</w:t>
      </w:r>
      <w:r w:rsidRPr="00CD4E55">
        <w:t xml:space="preserve">.)  In response, </w:t>
      </w:r>
      <w:r>
        <w:t xml:space="preserve">the </w:t>
      </w:r>
      <w:r w:rsidRPr="00CD4E55">
        <w:t>Van Tassel</w:t>
      </w:r>
      <w:r>
        <w:t>s</w:t>
      </w:r>
      <w:r w:rsidRPr="00CD4E55">
        <w:t xml:space="preserve"> argued </w:t>
      </w:r>
      <w:r w:rsidRPr="00CD4E55">
        <w:t xml:space="preserve">that </w:t>
      </w:r>
      <w:r w:rsidRPr="00CD4E55">
        <w:t>because the co</w:t>
      </w:r>
      <w:r w:rsidRPr="00CD4E55">
        <w:t xml:space="preserve">mplaint now omitted any claim </w:t>
      </w:r>
      <w:r w:rsidRPr="00CD4E55">
        <w:t xml:space="preserve">under the Act, the </w:t>
      </w:r>
      <w:r>
        <w:t xml:space="preserve">Act’s </w:t>
      </w:r>
      <w:r w:rsidRPr="00CD4E55">
        <w:t>informal pre</w:t>
      </w:r>
      <w:r>
        <w:t>litigation process</w:t>
      </w:r>
      <w:r w:rsidRPr="00CD4E55">
        <w:t xml:space="preserve"> </w:t>
      </w:r>
      <w:r w:rsidRPr="00CD4E55">
        <w:t>did not</w:t>
      </w:r>
      <w:r>
        <w:t xml:space="preserve"> apply</w:t>
      </w:r>
      <w:r>
        <w:t xml:space="preserve">.  The Van Tassels cited </w:t>
      </w:r>
      <w:r>
        <w:rPr>
          <w:i/>
        </w:rPr>
        <w:t>Liberty Mutual Ins.</w:t>
      </w:r>
      <w:r w:rsidRPr="00CD4E55">
        <w:rPr>
          <w:i/>
        </w:rPr>
        <w:t xml:space="preserve"> Co. v. Brookfield Crystal Cove LLC</w:t>
      </w:r>
      <w:r w:rsidRPr="00CD4E55">
        <w:t xml:space="preserve"> (2013) 219 Cal.App.4</w:t>
      </w:r>
      <w:r>
        <w:t>th 98</w:t>
      </w:r>
      <w:r>
        <w:t>, 101 (</w:t>
      </w:r>
      <w:r>
        <w:rPr>
          <w:i/>
        </w:rPr>
        <w:t>Liberty Mutual</w:t>
      </w:r>
      <w:r>
        <w:t xml:space="preserve">), which held that </w:t>
      </w:r>
      <w:r w:rsidRPr="00CD4E55">
        <w:t xml:space="preserve">the Act was </w:t>
      </w:r>
      <w:r>
        <w:t>adop</w:t>
      </w:r>
      <w:r w:rsidRPr="00CD4E55">
        <w:t>ted to provide a reme</w:t>
      </w:r>
      <w:r>
        <w:t>dy for construction defects caus</w:t>
      </w:r>
      <w:r w:rsidRPr="00CD4E55">
        <w:t xml:space="preserve">ing </w:t>
      </w:r>
      <w:r>
        <w:t>only economic loss</w:t>
      </w:r>
      <w:r>
        <w:t xml:space="preserve"> and did not alter</w:t>
      </w:r>
      <w:r>
        <w:t xml:space="preserve"> pre</w:t>
      </w:r>
      <w:r w:rsidRPr="00CD4E55">
        <w:t xml:space="preserve">existing common law remedies in cases where </w:t>
      </w:r>
      <w:r>
        <w:t xml:space="preserve">actual </w:t>
      </w:r>
      <w:r w:rsidRPr="00CD4E55">
        <w:t>property damage or personal injuries resulted</w:t>
      </w:r>
      <w:r w:rsidRPr="00CD4E55">
        <w:t>.</w:t>
      </w:r>
    </w:p>
    <w:p w:rsidR="00C138FE" w:rsidRPr="00CD4E55" w:rsidRDefault="00EF3834">
      <w:pPr>
        <w:tabs>
          <w:tab w:val="left" w:pos="1440"/>
        </w:tabs>
        <w:spacing w:line="480" w:lineRule="atLeast"/>
        <w:ind w:firstLine="720"/>
      </w:pPr>
      <w:r w:rsidRPr="00CD4E55">
        <w:t>The trial court denied the motion for</w:t>
      </w:r>
      <w:r>
        <w:t xml:space="preserve"> a stay.  </w:t>
      </w:r>
      <w:r w:rsidRPr="00CD4E55">
        <w:t xml:space="preserve">It </w:t>
      </w:r>
      <w:r w:rsidRPr="00CD4E55">
        <w:t>observ</w:t>
      </w:r>
      <w:r w:rsidRPr="00CD4E55">
        <w:t xml:space="preserve">ed </w:t>
      </w:r>
      <w:r w:rsidRPr="00CD4E55">
        <w:t xml:space="preserve">that </w:t>
      </w:r>
      <w:r w:rsidRPr="00CD4E55">
        <w:t>the issues</w:t>
      </w:r>
      <w:r w:rsidRPr="00CD4E55">
        <w:t xml:space="preserve"> </w:t>
      </w:r>
      <w:r>
        <w:t xml:space="preserve">decided in </w:t>
      </w:r>
      <w:r w:rsidRPr="00CD4E55">
        <w:rPr>
          <w:i/>
        </w:rPr>
        <w:t>Liberty Mutual</w:t>
      </w:r>
      <w:r w:rsidRPr="00CD4E55">
        <w:t xml:space="preserve"> might </w:t>
      </w:r>
      <w:r>
        <w:t xml:space="preserve">be the subject of further </w:t>
      </w:r>
      <w:r w:rsidRPr="00CD4E55">
        <w:t xml:space="preserve">appellate </w:t>
      </w:r>
      <w:r>
        <w:t>inquiry</w:t>
      </w:r>
      <w:r>
        <w:t>,</w:t>
      </w:r>
      <w:r w:rsidRPr="00CD4E55">
        <w:t xml:space="preserve"> but concluded it was bound to follow </w:t>
      </w:r>
      <w:r w:rsidRPr="00CD4E55">
        <w:t>the case</w:t>
      </w:r>
      <w:r>
        <w:t xml:space="preserve">.  </w:t>
      </w:r>
      <w:r w:rsidRPr="00CD4E55">
        <w:t>Recogniz</w:t>
      </w:r>
      <w:r w:rsidRPr="00CD4E55">
        <w:t xml:space="preserve">ing </w:t>
      </w:r>
      <w:r>
        <w:t xml:space="preserve">that </w:t>
      </w:r>
      <w:r w:rsidRPr="00CD4E55">
        <w:t>the question was not free from doubt, the trial court certified the issue as one worthy of imme</w:t>
      </w:r>
      <w:r w:rsidRPr="00CD4E55">
        <w:t>diate review.  (</w:t>
      </w:r>
      <w:r>
        <w:t>Code Civ. Proc., § 166.1</w:t>
      </w:r>
      <w:r w:rsidRPr="00CD4E55">
        <w:t xml:space="preserve">.) </w:t>
      </w:r>
      <w:r w:rsidRPr="00CD4E55">
        <w:t xml:space="preserve"> </w:t>
      </w:r>
      <w:proofErr w:type="spellStart"/>
      <w:r w:rsidRPr="00CD4E55">
        <w:t>McMillin</w:t>
      </w:r>
      <w:proofErr w:type="spellEnd"/>
      <w:r w:rsidRPr="00CD4E55">
        <w:t xml:space="preserve"> sought writ relief.</w:t>
      </w:r>
    </w:p>
    <w:p w:rsidR="0025292F" w:rsidRPr="00CD4E55" w:rsidRDefault="00EF3834">
      <w:pPr>
        <w:tabs>
          <w:tab w:val="left" w:pos="1440"/>
        </w:tabs>
        <w:spacing w:line="480" w:lineRule="atLeast"/>
        <w:ind w:firstLine="720"/>
      </w:pPr>
      <w:r w:rsidRPr="00CD4E55">
        <w:t>The Court of Appeal granted</w:t>
      </w:r>
      <w:r>
        <w:t xml:space="preserve"> the petition and</w:t>
      </w:r>
      <w:r w:rsidRPr="00CD4E55">
        <w:t xml:space="preserve"> </w:t>
      </w:r>
      <w:r w:rsidRPr="00B14067">
        <w:t>issued</w:t>
      </w:r>
      <w:r>
        <w:t xml:space="preserve"> </w:t>
      </w:r>
      <w:r w:rsidRPr="00CD4E55">
        <w:t>the writ</w:t>
      </w:r>
      <w:r w:rsidRPr="00CD4E55">
        <w:t>, disagreeing</w:t>
      </w:r>
      <w:r w:rsidRPr="00CD4E55">
        <w:t xml:space="preserve"> with</w:t>
      </w:r>
      <w:r w:rsidRPr="00CD4E55">
        <w:t xml:space="preserve"> </w:t>
      </w:r>
      <w:r w:rsidRPr="00CD4E55">
        <w:rPr>
          <w:i/>
        </w:rPr>
        <w:t xml:space="preserve">Liberty Mutual </w:t>
      </w:r>
      <w:r>
        <w:t xml:space="preserve">and another </w:t>
      </w:r>
      <w:r w:rsidRPr="00CD4E55">
        <w:t xml:space="preserve">case that </w:t>
      </w:r>
      <w:r>
        <w:t xml:space="preserve">had </w:t>
      </w:r>
      <w:r w:rsidRPr="00CD4E55">
        <w:t>followed it,</w:t>
      </w:r>
      <w:r w:rsidRPr="00CD4E55">
        <w:t xml:space="preserve"> </w:t>
      </w:r>
      <w:r w:rsidRPr="00CD4E55">
        <w:rPr>
          <w:i/>
        </w:rPr>
        <w:t>Burch</w:t>
      </w:r>
      <w:r w:rsidRPr="00CD4E55">
        <w:rPr>
          <w:i/>
        </w:rPr>
        <w:t xml:space="preserve"> v. Superior Court</w:t>
      </w:r>
      <w:r w:rsidRPr="00CD4E55">
        <w:t xml:space="preserve"> (2014) 223 Cal.App.4th 141</w:t>
      </w:r>
      <w:r w:rsidRPr="00CD4E55">
        <w:t>1</w:t>
      </w:r>
      <w:r w:rsidRPr="00CD4E55">
        <w:t>.</w:t>
      </w:r>
      <w:r>
        <w:t xml:space="preserve"> </w:t>
      </w:r>
      <w:r>
        <w:t xml:space="preserve"> </w:t>
      </w:r>
      <w:r>
        <w:t>The court</w:t>
      </w:r>
      <w:r w:rsidRPr="00CD4E55">
        <w:t xml:space="preserve"> examined the text and history of the Act and conc</w:t>
      </w:r>
      <w:r w:rsidRPr="00CD4E55">
        <w:t>luded</w:t>
      </w:r>
      <w:r>
        <w:t xml:space="preserve"> </w:t>
      </w:r>
      <w:r w:rsidRPr="00CD4E55">
        <w:t xml:space="preserve">that the Act was </w:t>
      </w:r>
      <w:r w:rsidRPr="00CD4E55">
        <w:t>meant</w:t>
      </w:r>
      <w:r w:rsidRPr="00CD4E55">
        <w:t xml:space="preserve"> to at least partially supplant common law remedies in cases where property damage had occurred.</w:t>
      </w:r>
      <w:r w:rsidRPr="00CD4E55">
        <w:t xml:space="preserve"> </w:t>
      </w:r>
      <w:r w:rsidRPr="00CD4E55">
        <w:t xml:space="preserve"> </w:t>
      </w:r>
      <w:r w:rsidRPr="00CD4E55">
        <w:t xml:space="preserve">In the Court of Appeal’s view, “the Legislature intended </w:t>
      </w:r>
      <w:r>
        <w:t xml:space="preserve">that </w:t>
      </w:r>
      <w:r w:rsidRPr="00CD4E55">
        <w:t xml:space="preserve">all </w:t>
      </w:r>
      <w:r w:rsidRPr="00CD4E55">
        <w:t>claims arising out of defects in residential construction” involving p</w:t>
      </w:r>
      <w:r>
        <w:t xml:space="preserve">ost-2003 sales of new houses </w:t>
      </w:r>
      <w:r w:rsidRPr="00CD4E55">
        <w:t xml:space="preserve">“be subject to the standards and </w:t>
      </w:r>
      <w:r>
        <w:t xml:space="preserve">the </w:t>
      </w:r>
      <w:r>
        <w:t xml:space="preserve">requirements of the Act.”  </w:t>
      </w:r>
      <w:r w:rsidRPr="00CD4E55">
        <w:t>According</w:t>
      </w:r>
      <w:r w:rsidRPr="00CD4E55">
        <w:t>ly, the Court of Appeal hel</w:t>
      </w:r>
      <w:r w:rsidRPr="00CD4E55">
        <w:t>d the Act’s pre</w:t>
      </w:r>
      <w:r w:rsidRPr="00CD4E55">
        <w:t xml:space="preserve">litigation resolution </w:t>
      </w:r>
      <w:r>
        <w:t xml:space="preserve">process </w:t>
      </w:r>
      <w:r w:rsidRPr="00CD4E55">
        <w:t>applied here</w:t>
      </w:r>
      <w:r w:rsidRPr="00CD4E55">
        <w:t xml:space="preserve"> </w:t>
      </w:r>
      <w:r>
        <w:t xml:space="preserve">even though </w:t>
      </w:r>
      <w:r>
        <w:t xml:space="preserve">the </w:t>
      </w:r>
      <w:r w:rsidRPr="00CD4E55">
        <w:t>Van Tassel</w:t>
      </w:r>
      <w:r>
        <w:t xml:space="preserve">s </w:t>
      </w:r>
      <w:r>
        <w:t xml:space="preserve">had </w:t>
      </w:r>
      <w:r>
        <w:t xml:space="preserve">dismissed </w:t>
      </w:r>
      <w:r w:rsidRPr="00CD4E55">
        <w:t>the</w:t>
      </w:r>
      <w:r>
        <w:t>ir</w:t>
      </w:r>
      <w:r w:rsidRPr="00CD4E55">
        <w:t xml:space="preserve"> s</w:t>
      </w:r>
      <w:r>
        <w:t xml:space="preserve">tatutory claim under the Act.  </w:t>
      </w:r>
      <w:r w:rsidRPr="00CD4E55">
        <w:t xml:space="preserve">The </w:t>
      </w:r>
      <w:r>
        <w:t xml:space="preserve">court concluded that </w:t>
      </w:r>
      <w:proofErr w:type="spellStart"/>
      <w:r w:rsidRPr="00CD4E55">
        <w:t>McMillin</w:t>
      </w:r>
      <w:proofErr w:type="spellEnd"/>
      <w:r w:rsidRPr="00CD4E55">
        <w:t xml:space="preserve"> </w:t>
      </w:r>
      <w:r>
        <w:t xml:space="preserve">is entitled to </w:t>
      </w:r>
      <w:r w:rsidRPr="00CD4E55">
        <w:t xml:space="preserve">a </w:t>
      </w:r>
      <w:r>
        <w:t>stay pending completion of the prelitigation process</w:t>
      </w:r>
      <w:r w:rsidRPr="00CD4E55">
        <w:t>.</w:t>
      </w:r>
    </w:p>
    <w:p w:rsidR="002B16AF" w:rsidRPr="00CD4E55" w:rsidRDefault="00EF3834">
      <w:pPr>
        <w:tabs>
          <w:tab w:val="left" w:pos="1440"/>
        </w:tabs>
        <w:spacing w:line="480" w:lineRule="atLeast"/>
        <w:ind w:firstLine="720"/>
      </w:pPr>
      <w:r w:rsidRPr="00CD4E55">
        <w:t>We gr</w:t>
      </w:r>
      <w:r w:rsidRPr="00CD4E55">
        <w:t xml:space="preserve">anted </w:t>
      </w:r>
      <w:r w:rsidRPr="00CD4E55">
        <w:t>review.</w:t>
      </w:r>
    </w:p>
    <w:p w:rsidR="002B16AF" w:rsidRPr="00CD4E55" w:rsidRDefault="00EF3834" w:rsidP="002B16AF">
      <w:pPr>
        <w:keepNext/>
        <w:tabs>
          <w:tab w:val="left" w:pos="1440"/>
        </w:tabs>
        <w:spacing w:line="480" w:lineRule="atLeast"/>
        <w:jc w:val="center"/>
        <w:rPr>
          <w:b/>
          <w:caps/>
          <w:smallCaps/>
        </w:rPr>
      </w:pPr>
      <w:r>
        <w:rPr>
          <w:b/>
          <w:smallCaps/>
        </w:rPr>
        <w:lastRenderedPageBreak/>
        <w:t>II.</w:t>
      </w:r>
    </w:p>
    <w:p w:rsidR="007F16D2" w:rsidRDefault="00EF3834" w:rsidP="00C179CB">
      <w:pPr>
        <w:tabs>
          <w:tab w:val="left" w:pos="1440"/>
        </w:tabs>
        <w:spacing w:line="480" w:lineRule="atLeast"/>
        <w:ind w:firstLine="720"/>
        <w:rPr>
          <w:rFonts w:cstheme="minorHAnsi"/>
          <w:bCs/>
          <w:szCs w:val="26"/>
        </w:rPr>
      </w:pPr>
      <w:r w:rsidRPr="00CD4E55">
        <w:t>In deciding whether a statutory scheme alters o</w:t>
      </w:r>
      <w:r w:rsidRPr="00CD4E55">
        <w:t xml:space="preserve">r displaces the common law, we begin with a presumption that the Legislature did not so intend.  </w:t>
      </w:r>
      <w:r w:rsidRPr="00CD4E55">
        <w:t>(</w:t>
      </w:r>
      <w:proofErr w:type="spellStart"/>
      <w:r w:rsidRPr="00CD4E55">
        <w:rPr>
          <w:i/>
        </w:rPr>
        <w:t>Fahlen</w:t>
      </w:r>
      <w:proofErr w:type="spellEnd"/>
      <w:r w:rsidRPr="00CD4E55">
        <w:rPr>
          <w:i/>
        </w:rPr>
        <w:t xml:space="preserve"> v. Sutter Central Valley Hospitals</w:t>
      </w:r>
      <w:r w:rsidRPr="00CD4E55">
        <w:t xml:space="preserve"> (2014) 58 Cal.4th 655, 669</w:t>
      </w:r>
      <w:r>
        <w:t xml:space="preserve"> (</w:t>
      </w:r>
      <w:proofErr w:type="spellStart"/>
      <w:r>
        <w:rPr>
          <w:i/>
        </w:rPr>
        <w:t>Fahlen</w:t>
      </w:r>
      <w:proofErr w:type="spellEnd"/>
      <w:r>
        <w:t>)</w:t>
      </w:r>
      <w:r w:rsidRPr="00CD4E55">
        <w:t>;</w:t>
      </w:r>
      <w:r w:rsidRPr="00CD4E55">
        <w:rPr>
          <w:i/>
        </w:rPr>
        <w:t xml:space="preserve"> </w:t>
      </w:r>
      <w:r w:rsidRPr="00CD4E55">
        <w:rPr>
          <w:rFonts w:cstheme="minorHAnsi"/>
          <w:bCs/>
          <w:i/>
          <w:szCs w:val="26"/>
        </w:rPr>
        <w:t xml:space="preserve">California Assn. of Health Facilities v. Department of Health Services </w:t>
      </w:r>
      <w:r w:rsidRPr="00CD4E55">
        <w:rPr>
          <w:rFonts w:cstheme="minorHAnsi"/>
          <w:bCs/>
          <w:szCs w:val="26"/>
        </w:rPr>
        <w:t xml:space="preserve">(1997) </w:t>
      </w:r>
      <w:r w:rsidRPr="00CD4E55">
        <w:rPr>
          <w:rFonts w:cstheme="minorHAnsi"/>
          <w:bCs/>
          <w:szCs w:val="26"/>
        </w:rPr>
        <w:t>16 Cal.4th 284, 297</w:t>
      </w:r>
      <w:r>
        <w:rPr>
          <w:rFonts w:cstheme="minorHAnsi"/>
          <w:bCs/>
          <w:szCs w:val="26"/>
        </w:rPr>
        <w:t xml:space="preserve"> (</w:t>
      </w:r>
      <w:r>
        <w:rPr>
          <w:rFonts w:cstheme="minorHAnsi"/>
          <w:bCs/>
          <w:i/>
          <w:szCs w:val="26"/>
        </w:rPr>
        <w:t>Health Facilities</w:t>
      </w:r>
      <w:r>
        <w:rPr>
          <w:rFonts w:cstheme="minorHAnsi"/>
          <w:bCs/>
          <w:szCs w:val="26"/>
        </w:rPr>
        <w:t>)</w:t>
      </w:r>
      <w:r w:rsidRPr="00CD4E55">
        <w:rPr>
          <w:rFonts w:cstheme="minorHAnsi"/>
          <w:bCs/>
          <w:szCs w:val="26"/>
        </w:rPr>
        <w:t xml:space="preserve">.)  </w:t>
      </w:r>
      <w:r>
        <w:rPr>
          <w:rFonts w:cstheme="minorHAnsi"/>
          <w:bCs/>
          <w:szCs w:val="26"/>
        </w:rPr>
        <w:t>T</w:t>
      </w:r>
      <w:r w:rsidRPr="00CD4E55">
        <w:rPr>
          <w:rFonts w:cstheme="minorHAnsi"/>
          <w:bCs/>
          <w:szCs w:val="26"/>
        </w:rPr>
        <w:t xml:space="preserve">o the extent possible, we construe statutory enactments as consonant with </w:t>
      </w:r>
      <w:r>
        <w:rPr>
          <w:rFonts w:cstheme="minorHAnsi"/>
          <w:bCs/>
          <w:szCs w:val="26"/>
        </w:rPr>
        <w:t>existing common law and reconcil</w:t>
      </w:r>
      <w:r w:rsidRPr="00CD4E55">
        <w:rPr>
          <w:rFonts w:cstheme="minorHAnsi"/>
          <w:bCs/>
          <w:szCs w:val="26"/>
        </w:rPr>
        <w:t xml:space="preserve">e </w:t>
      </w:r>
      <w:r w:rsidRPr="00CD4E55">
        <w:rPr>
          <w:rFonts w:cstheme="minorHAnsi"/>
          <w:bCs/>
          <w:szCs w:val="26"/>
        </w:rPr>
        <w:t>the two bodies of law.  (</w:t>
      </w:r>
      <w:r w:rsidRPr="00CD4E55">
        <w:rPr>
          <w:rFonts w:cstheme="minorHAnsi"/>
          <w:bCs/>
          <w:i/>
          <w:szCs w:val="26"/>
        </w:rPr>
        <w:t>Verdugo v. Target Corp.</w:t>
      </w:r>
      <w:r w:rsidRPr="00CD4E55">
        <w:rPr>
          <w:rFonts w:cstheme="minorHAnsi"/>
          <w:bCs/>
          <w:szCs w:val="26"/>
        </w:rPr>
        <w:t xml:space="preserve"> (2014) 59 Cal.4th 312, 326; </w:t>
      </w:r>
      <w:r w:rsidRPr="00CD4E55">
        <w:rPr>
          <w:rFonts w:cstheme="minorHAnsi"/>
          <w:bCs/>
          <w:i/>
          <w:szCs w:val="26"/>
        </w:rPr>
        <w:t>People v. Ceja</w:t>
      </w:r>
      <w:r w:rsidRPr="00CD4E55">
        <w:rPr>
          <w:rFonts w:cstheme="minorHAnsi"/>
          <w:bCs/>
          <w:szCs w:val="26"/>
        </w:rPr>
        <w:t xml:space="preserve"> (2010) </w:t>
      </w:r>
      <w:r>
        <w:rPr>
          <w:rFonts w:cstheme="minorHAnsi"/>
          <w:bCs/>
          <w:szCs w:val="26"/>
        </w:rPr>
        <w:t xml:space="preserve">49 </w:t>
      </w:r>
      <w:r w:rsidRPr="00CD4E55">
        <w:rPr>
          <w:rFonts w:cstheme="minorHAnsi"/>
          <w:bCs/>
          <w:szCs w:val="26"/>
        </w:rPr>
        <w:t>Ca</w:t>
      </w:r>
      <w:r w:rsidRPr="00CD4E55">
        <w:rPr>
          <w:rFonts w:cstheme="minorHAnsi"/>
          <w:bCs/>
          <w:szCs w:val="26"/>
        </w:rPr>
        <w:t>l.4th 1, 10.)</w:t>
      </w:r>
      <w:r>
        <w:rPr>
          <w:rFonts w:cstheme="minorHAnsi"/>
          <w:bCs/>
          <w:szCs w:val="26"/>
        </w:rPr>
        <w:t xml:space="preserve"> </w:t>
      </w:r>
      <w:r w:rsidRPr="00CD4E55">
        <w:rPr>
          <w:rFonts w:cstheme="minorHAnsi"/>
          <w:bCs/>
          <w:szCs w:val="26"/>
        </w:rPr>
        <w:t xml:space="preserve"> </w:t>
      </w:r>
      <w:r>
        <w:rPr>
          <w:rFonts w:cstheme="minorHAnsi"/>
          <w:bCs/>
          <w:szCs w:val="26"/>
        </w:rPr>
        <w:t xml:space="preserve">Only “ ‘where there is no rational basis for harmonizing’ ” a statute with the common law will we conclude </w:t>
      </w:r>
      <w:r>
        <w:rPr>
          <w:rFonts w:cstheme="minorHAnsi"/>
          <w:bCs/>
          <w:szCs w:val="26"/>
        </w:rPr>
        <w:t xml:space="preserve">that </w:t>
      </w:r>
      <w:r>
        <w:rPr>
          <w:rFonts w:cstheme="minorHAnsi"/>
          <w:bCs/>
          <w:szCs w:val="26"/>
        </w:rPr>
        <w:t>settled common law principles must yield.  (</w:t>
      </w:r>
      <w:r w:rsidRPr="00CD4E55">
        <w:rPr>
          <w:rFonts w:cstheme="minorHAnsi"/>
          <w:bCs/>
          <w:i/>
          <w:szCs w:val="26"/>
        </w:rPr>
        <w:t>Health Facilities</w:t>
      </w:r>
      <w:r w:rsidRPr="00CD4E55">
        <w:rPr>
          <w:rFonts w:cstheme="minorHAnsi"/>
          <w:bCs/>
          <w:szCs w:val="26"/>
        </w:rPr>
        <w:t>, at p. 297</w:t>
      </w:r>
      <w:r>
        <w:rPr>
          <w:rFonts w:cstheme="minorHAnsi"/>
          <w:bCs/>
          <w:szCs w:val="26"/>
        </w:rPr>
        <w:t>.)</w:t>
      </w:r>
    </w:p>
    <w:p w:rsidR="009F2B4E" w:rsidRPr="007F16D2" w:rsidRDefault="00EF3834" w:rsidP="00C179CB">
      <w:pPr>
        <w:tabs>
          <w:tab w:val="left" w:pos="1440"/>
        </w:tabs>
        <w:spacing w:line="480" w:lineRule="atLeast"/>
        <w:ind w:firstLine="720"/>
        <w:rPr>
          <w:rFonts w:cstheme="minorHAnsi"/>
          <w:bCs/>
          <w:szCs w:val="26"/>
        </w:rPr>
      </w:pPr>
      <w:r>
        <w:rPr>
          <w:rFonts w:cstheme="minorHAnsi"/>
          <w:bCs/>
          <w:szCs w:val="26"/>
        </w:rPr>
        <w:t xml:space="preserve">Although </w:t>
      </w:r>
      <w:r w:rsidRPr="00CD4E55">
        <w:rPr>
          <w:rFonts w:cstheme="minorHAnsi"/>
          <w:bCs/>
          <w:szCs w:val="26"/>
        </w:rPr>
        <w:t xml:space="preserve">the presumption </w:t>
      </w:r>
      <w:r>
        <w:rPr>
          <w:rFonts w:cstheme="minorHAnsi"/>
          <w:bCs/>
          <w:szCs w:val="26"/>
        </w:rPr>
        <w:t>against displacement of the c</w:t>
      </w:r>
      <w:r>
        <w:rPr>
          <w:rFonts w:cstheme="minorHAnsi"/>
          <w:bCs/>
          <w:szCs w:val="26"/>
        </w:rPr>
        <w:t xml:space="preserve">ommon law </w:t>
      </w:r>
      <w:r w:rsidRPr="00CD4E55">
        <w:rPr>
          <w:rFonts w:cstheme="minorHAnsi"/>
          <w:bCs/>
          <w:szCs w:val="26"/>
        </w:rPr>
        <w:t xml:space="preserve">is </w:t>
      </w:r>
      <w:r>
        <w:rPr>
          <w:rFonts w:cstheme="minorHAnsi"/>
          <w:bCs/>
          <w:szCs w:val="26"/>
        </w:rPr>
        <w:t>strong,</w:t>
      </w:r>
      <w:r w:rsidRPr="00CD4E55">
        <w:rPr>
          <w:rFonts w:cstheme="minorHAnsi"/>
          <w:bCs/>
          <w:szCs w:val="26"/>
        </w:rPr>
        <w:t xml:space="preserve"> </w:t>
      </w:r>
      <w:r>
        <w:rPr>
          <w:rFonts w:cstheme="minorHAnsi"/>
          <w:bCs/>
          <w:szCs w:val="26"/>
        </w:rPr>
        <w:t xml:space="preserve">abrogation of the common law does not require </w:t>
      </w:r>
      <w:r w:rsidRPr="00CD4E55">
        <w:rPr>
          <w:rFonts w:cstheme="minorHAnsi"/>
          <w:bCs/>
          <w:szCs w:val="26"/>
        </w:rPr>
        <w:t>an express declaration</w:t>
      </w:r>
      <w:r>
        <w:rPr>
          <w:rFonts w:cstheme="minorHAnsi"/>
          <w:bCs/>
          <w:szCs w:val="26"/>
        </w:rPr>
        <w:t xml:space="preserve">; it is enough that </w:t>
      </w:r>
      <w:r w:rsidRPr="00CD4E55">
        <w:rPr>
          <w:rFonts w:cstheme="minorHAnsi"/>
          <w:bCs/>
          <w:szCs w:val="26"/>
        </w:rPr>
        <w:t>“the language or evident purpose of the statute manifest a legislative intent to repeal” a common law rule.  (</w:t>
      </w:r>
      <w:r w:rsidRPr="00CD4E55">
        <w:rPr>
          <w:rFonts w:cstheme="minorHAnsi"/>
          <w:bCs/>
          <w:i/>
          <w:szCs w:val="26"/>
        </w:rPr>
        <w:t>Health Facilities</w:t>
      </w:r>
      <w:r>
        <w:rPr>
          <w:rFonts w:cstheme="minorHAnsi"/>
          <w:bCs/>
          <w:szCs w:val="26"/>
        </w:rPr>
        <w:t xml:space="preserve">, </w:t>
      </w:r>
      <w:r>
        <w:rPr>
          <w:rFonts w:cstheme="minorHAnsi"/>
          <w:bCs/>
          <w:i/>
          <w:szCs w:val="26"/>
        </w:rPr>
        <w:t>supra</w:t>
      </w:r>
      <w:r>
        <w:rPr>
          <w:rFonts w:cstheme="minorHAnsi"/>
          <w:bCs/>
          <w:szCs w:val="26"/>
        </w:rPr>
        <w:t xml:space="preserve">, 16 </w:t>
      </w:r>
      <w:r w:rsidRPr="007F16D2">
        <w:rPr>
          <w:rFonts w:cstheme="minorHAnsi"/>
          <w:bCs/>
          <w:szCs w:val="26"/>
        </w:rPr>
        <w:t xml:space="preserve">Cal.4th </w:t>
      </w:r>
      <w:r>
        <w:rPr>
          <w:rFonts w:cstheme="minorHAnsi"/>
          <w:bCs/>
          <w:szCs w:val="26"/>
        </w:rPr>
        <w:t>at p. </w:t>
      </w:r>
      <w:r w:rsidRPr="00CD4E55">
        <w:rPr>
          <w:rFonts w:cstheme="minorHAnsi"/>
          <w:bCs/>
          <w:szCs w:val="26"/>
        </w:rPr>
        <w:t xml:space="preserve">297; see </w:t>
      </w:r>
      <w:proofErr w:type="spellStart"/>
      <w:r w:rsidRPr="00CD4E55">
        <w:rPr>
          <w:rFonts w:cstheme="minorHAnsi"/>
          <w:bCs/>
          <w:i/>
          <w:szCs w:val="26"/>
        </w:rPr>
        <w:t>Fahlen</w:t>
      </w:r>
      <w:proofErr w:type="spellEnd"/>
      <w:r>
        <w:t xml:space="preserve">, </w:t>
      </w:r>
      <w:r>
        <w:rPr>
          <w:i/>
        </w:rPr>
        <w:t>supra</w:t>
      </w:r>
      <w:r>
        <w:t xml:space="preserve">, </w:t>
      </w:r>
      <w:r w:rsidRPr="00CD4E55">
        <w:t>58 Cal.4th</w:t>
      </w:r>
      <w:r>
        <w:rPr>
          <w:rFonts w:cstheme="minorHAnsi"/>
          <w:bCs/>
          <w:szCs w:val="26"/>
        </w:rPr>
        <w:t xml:space="preserve"> at p. </w:t>
      </w:r>
      <w:r w:rsidRPr="00CD4E55">
        <w:rPr>
          <w:rFonts w:cstheme="minorHAnsi"/>
          <w:bCs/>
          <w:szCs w:val="26"/>
        </w:rPr>
        <w:t>669 [abrogation may be found “ ‘ “by express declaration or by necessary implication” ’ ”]</w:t>
      </w:r>
      <w:r w:rsidRPr="00CD4E55">
        <w:rPr>
          <w:rFonts w:cstheme="minorHAnsi"/>
          <w:bCs/>
          <w:szCs w:val="26"/>
        </w:rPr>
        <w:t>.)</w:t>
      </w:r>
      <w:r w:rsidRPr="00CD4E55">
        <w:rPr>
          <w:rFonts w:cstheme="minorHAnsi"/>
          <w:bCs/>
          <w:szCs w:val="26"/>
        </w:rPr>
        <w:t xml:space="preserve">  </w:t>
      </w:r>
      <w:r>
        <w:rPr>
          <w:rFonts w:cstheme="minorHAnsi"/>
          <w:bCs/>
          <w:szCs w:val="26"/>
        </w:rPr>
        <w:t>I</w:t>
      </w:r>
      <w:r w:rsidRPr="00CD4E55">
        <w:rPr>
          <w:rFonts w:cstheme="minorHAnsi"/>
          <w:bCs/>
          <w:szCs w:val="26"/>
        </w:rPr>
        <w:t xml:space="preserve">n </w:t>
      </w:r>
      <w:r w:rsidRPr="00CD4E55">
        <w:rPr>
          <w:rFonts w:cstheme="minorHAnsi"/>
          <w:bCs/>
          <w:i/>
          <w:szCs w:val="26"/>
        </w:rPr>
        <w:t>Martinez v. Combs</w:t>
      </w:r>
      <w:r w:rsidRPr="00CD4E55">
        <w:rPr>
          <w:rFonts w:cstheme="minorHAnsi"/>
          <w:bCs/>
          <w:szCs w:val="26"/>
        </w:rPr>
        <w:t xml:space="preserve"> (2010) 49 Cal.4th </w:t>
      </w:r>
      <w:r w:rsidRPr="00CD4E55">
        <w:rPr>
          <w:rFonts w:cstheme="minorHAnsi"/>
          <w:bCs/>
          <w:szCs w:val="26"/>
        </w:rPr>
        <w:t xml:space="preserve">35, </w:t>
      </w:r>
      <w:r>
        <w:rPr>
          <w:rFonts w:cstheme="minorHAnsi"/>
          <w:bCs/>
          <w:szCs w:val="26"/>
        </w:rPr>
        <w:t xml:space="preserve">for example, </w:t>
      </w:r>
      <w:r w:rsidRPr="00CD4E55">
        <w:rPr>
          <w:rFonts w:cstheme="minorHAnsi"/>
          <w:bCs/>
          <w:szCs w:val="26"/>
        </w:rPr>
        <w:t>we canvassed the “full historical and statutory context” su</w:t>
      </w:r>
      <w:r w:rsidRPr="00CD4E55">
        <w:rPr>
          <w:rFonts w:cstheme="minorHAnsi"/>
          <w:bCs/>
          <w:szCs w:val="26"/>
        </w:rPr>
        <w:t>rrounding enactment of statutory minimum wag</w:t>
      </w:r>
      <w:r>
        <w:rPr>
          <w:rFonts w:cstheme="minorHAnsi"/>
          <w:bCs/>
          <w:szCs w:val="26"/>
        </w:rPr>
        <w:t xml:space="preserve">e protections and concluded </w:t>
      </w:r>
      <w:r>
        <w:rPr>
          <w:rFonts w:cstheme="minorHAnsi"/>
          <w:bCs/>
          <w:szCs w:val="26"/>
        </w:rPr>
        <w:t xml:space="preserve">that </w:t>
      </w:r>
      <w:r>
        <w:rPr>
          <w:rFonts w:cstheme="minorHAnsi"/>
          <w:bCs/>
          <w:szCs w:val="26"/>
        </w:rPr>
        <w:t>it</w:t>
      </w:r>
      <w:r w:rsidRPr="00CD4E55">
        <w:rPr>
          <w:rFonts w:cstheme="minorHAnsi"/>
          <w:bCs/>
          <w:szCs w:val="26"/>
        </w:rPr>
        <w:t xml:space="preserve"> “show[</w:t>
      </w:r>
      <w:proofErr w:type="spellStart"/>
      <w:r w:rsidRPr="00CD4E55">
        <w:rPr>
          <w:rFonts w:cstheme="minorHAnsi"/>
          <w:bCs/>
          <w:szCs w:val="26"/>
        </w:rPr>
        <w:t>ed</w:t>
      </w:r>
      <w:proofErr w:type="spellEnd"/>
      <w:r w:rsidRPr="00CD4E55">
        <w:rPr>
          <w:rFonts w:cstheme="minorHAnsi"/>
          <w:bCs/>
          <w:szCs w:val="26"/>
        </w:rPr>
        <w:t>] unmistakably” that the Legislature intended Industrial Welfare Commission definitions of the employment relationship to control, even when those definitions might dep</w:t>
      </w:r>
      <w:r w:rsidRPr="00CD4E55">
        <w:rPr>
          <w:rFonts w:cstheme="minorHAnsi"/>
          <w:bCs/>
          <w:szCs w:val="26"/>
        </w:rPr>
        <w:t>art from the common law.</w:t>
      </w:r>
      <w:r w:rsidRPr="00CD4E55">
        <w:rPr>
          <w:rFonts w:cstheme="minorHAnsi"/>
          <w:bCs/>
          <w:szCs w:val="26"/>
        </w:rPr>
        <w:t xml:space="preserve">  (</w:t>
      </w:r>
      <w:r w:rsidRPr="00CD4E55">
        <w:rPr>
          <w:rFonts w:cstheme="minorHAnsi"/>
          <w:bCs/>
          <w:i/>
          <w:szCs w:val="26"/>
        </w:rPr>
        <w:t>Id.</w:t>
      </w:r>
      <w:r>
        <w:rPr>
          <w:rFonts w:cstheme="minorHAnsi"/>
          <w:bCs/>
          <w:szCs w:val="26"/>
        </w:rPr>
        <w:t xml:space="preserve"> at p. </w:t>
      </w:r>
      <w:r w:rsidRPr="00CD4E55">
        <w:rPr>
          <w:rFonts w:cstheme="minorHAnsi"/>
          <w:bCs/>
          <w:szCs w:val="26"/>
        </w:rPr>
        <w:t xml:space="preserve">64; see </w:t>
      </w:r>
      <w:r w:rsidRPr="00CD4E55">
        <w:rPr>
          <w:rFonts w:cstheme="minorHAnsi"/>
          <w:bCs/>
          <w:i/>
          <w:szCs w:val="26"/>
        </w:rPr>
        <w:t>Verdugo v. Target Corp.</w:t>
      </w:r>
      <w:r>
        <w:rPr>
          <w:rFonts w:cstheme="minorHAnsi"/>
          <w:bCs/>
          <w:szCs w:val="26"/>
        </w:rPr>
        <w:t xml:space="preserve">, </w:t>
      </w:r>
      <w:r>
        <w:rPr>
          <w:rFonts w:cstheme="minorHAnsi"/>
          <w:bCs/>
          <w:i/>
          <w:szCs w:val="26"/>
        </w:rPr>
        <w:t>supra</w:t>
      </w:r>
      <w:r>
        <w:rPr>
          <w:rFonts w:cstheme="minorHAnsi"/>
          <w:bCs/>
          <w:szCs w:val="26"/>
        </w:rPr>
        <w:t xml:space="preserve">, </w:t>
      </w:r>
      <w:r w:rsidRPr="00CD4E55">
        <w:rPr>
          <w:rFonts w:cstheme="minorHAnsi"/>
          <w:bCs/>
          <w:szCs w:val="26"/>
        </w:rPr>
        <w:t xml:space="preserve">59 Cal.4th </w:t>
      </w:r>
      <w:r w:rsidRPr="00CD4E55">
        <w:rPr>
          <w:rFonts w:cstheme="minorHAnsi"/>
          <w:bCs/>
          <w:szCs w:val="26"/>
        </w:rPr>
        <w:t>at p</w:t>
      </w:r>
      <w:r>
        <w:rPr>
          <w:rFonts w:cstheme="minorHAnsi"/>
          <w:bCs/>
          <w:szCs w:val="26"/>
        </w:rPr>
        <w:t>p. 326–</w:t>
      </w:r>
      <w:r w:rsidRPr="00CD4E55">
        <w:rPr>
          <w:rFonts w:cstheme="minorHAnsi"/>
          <w:bCs/>
          <w:szCs w:val="26"/>
        </w:rPr>
        <w:t xml:space="preserve">327 [giving other examples </w:t>
      </w:r>
      <w:r>
        <w:rPr>
          <w:rFonts w:cstheme="minorHAnsi"/>
          <w:bCs/>
          <w:szCs w:val="26"/>
        </w:rPr>
        <w:t xml:space="preserve">where </w:t>
      </w:r>
      <w:r w:rsidRPr="00CD4E55">
        <w:rPr>
          <w:rFonts w:cstheme="minorHAnsi"/>
          <w:bCs/>
          <w:szCs w:val="26"/>
        </w:rPr>
        <w:t xml:space="preserve">the Legislature clearly but implicitly </w:t>
      </w:r>
      <w:r>
        <w:rPr>
          <w:rFonts w:cstheme="minorHAnsi"/>
          <w:bCs/>
          <w:szCs w:val="26"/>
        </w:rPr>
        <w:t xml:space="preserve">abrogated </w:t>
      </w:r>
      <w:r w:rsidRPr="00CD4E55">
        <w:rPr>
          <w:rFonts w:cstheme="minorHAnsi"/>
          <w:bCs/>
          <w:szCs w:val="26"/>
        </w:rPr>
        <w:t>the common law].)</w:t>
      </w:r>
    </w:p>
    <w:p w:rsidR="00E36BD6" w:rsidRDefault="00EF3834" w:rsidP="00C179CB">
      <w:pPr>
        <w:tabs>
          <w:tab w:val="left" w:pos="1440"/>
        </w:tabs>
        <w:spacing w:line="480" w:lineRule="atLeast"/>
        <w:ind w:firstLine="720"/>
      </w:pPr>
      <w:r>
        <w:t xml:space="preserve">As explained below, the statute here </w:t>
      </w:r>
      <w:r w:rsidRPr="00CD4E55">
        <w:t xml:space="preserve">leaves the common </w:t>
      </w:r>
      <w:r w:rsidRPr="00CD4E55">
        <w:t>law undisturbed</w:t>
      </w:r>
      <w:r>
        <w:t xml:space="preserve"> in some areas</w:t>
      </w:r>
      <w:r w:rsidRPr="00CD4E55">
        <w:t xml:space="preserve">, expressly preserving actions for breach of contract, fraud, and personal injury.  (§ 943, subd. (a).)  In other areas, however, the Legislature’s </w:t>
      </w:r>
      <w:r w:rsidRPr="00CD4E55">
        <w:lastRenderedPageBreak/>
        <w:t xml:space="preserve">intent to reshape the </w:t>
      </w:r>
      <w:r>
        <w:t>rules</w:t>
      </w:r>
      <w:r w:rsidRPr="00CD4E55">
        <w:t xml:space="preserve"> governing construction defect actions is </w:t>
      </w:r>
      <w:r w:rsidRPr="00CD4E55">
        <w:t>patent.  W</w:t>
      </w:r>
      <w:r w:rsidRPr="00CD4E55">
        <w:t>here common law principles had foreclosed recovery for defects in the absence of property damage or personal injury (</w:t>
      </w:r>
      <w:proofErr w:type="spellStart"/>
      <w:r>
        <w:rPr>
          <w:i/>
        </w:rPr>
        <w:t>Aas</w:t>
      </w:r>
      <w:proofErr w:type="spellEnd"/>
      <w:r w:rsidRPr="00CD4E55">
        <w:t xml:space="preserve">, </w:t>
      </w:r>
      <w:r w:rsidRPr="00CD4E55">
        <w:rPr>
          <w:i/>
        </w:rPr>
        <w:t>supra</w:t>
      </w:r>
      <w:r w:rsidRPr="00CD4E55">
        <w:t xml:space="preserve">, 24 Cal.4th </w:t>
      </w:r>
      <w:r>
        <w:t>at p. 632</w:t>
      </w:r>
      <w:r w:rsidRPr="00CD4E55">
        <w:t>), the Act supplies a new statutory cause of action for purely economic loss (</w:t>
      </w:r>
      <w:r>
        <w:t>§§ </w:t>
      </w:r>
      <w:r w:rsidRPr="00CD4E55">
        <w:t>896–897, 942–944).  And, o</w:t>
      </w:r>
      <w:r w:rsidRPr="00CD4E55">
        <w:t>f direct relevance here, even in some areas where the comm</w:t>
      </w:r>
      <w:r>
        <w:t>on law had supplied a remedy</w:t>
      </w:r>
      <w:r>
        <w:t xml:space="preserve"> </w:t>
      </w:r>
      <w:r w:rsidRPr="00CD4E55">
        <w:t>for construction defects resulting in property</w:t>
      </w:r>
      <w:r>
        <w:t xml:space="preserve"> damage but not personal injury, </w:t>
      </w:r>
      <w:r w:rsidRPr="00CD4E55">
        <w:t xml:space="preserve">the text and legislative history reflect </w:t>
      </w:r>
      <w:r>
        <w:t xml:space="preserve">a </w:t>
      </w:r>
      <w:r>
        <w:t>clear and unequivocal</w:t>
      </w:r>
      <w:r>
        <w:t xml:space="preserve"> </w:t>
      </w:r>
      <w:r w:rsidRPr="00CD4E55">
        <w:t>intent to supplant common</w:t>
      </w:r>
      <w:r w:rsidRPr="00CD4E55">
        <w:t xml:space="preserve"> law negligence and strict product liability</w:t>
      </w:r>
      <w:r w:rsidRPr="00CD4E55">
        <w:t xml:space="preserve"> actions with a statutory cla</w:t>
      </w:r>
      <w:r>
        <w:t>i</w:t>
      </w:r>
      <w:r w:rsidRPr="00CD4E55">
        <w:t>m</w:t>
      </w:r>
      <w:r w:rsidRPr="00CD4E55">
        <w:t xml:space="preserve"> under the </w:t>
      </w:r>
      <w:r w:rsidRPr="00CD4E55">
        <w:t>Act.</w:t>
      </w:r>
    </w:p>
    <w:p w:rsidR="009653C0" w:rsidRPr="009653C0" w:rsidRDefault="00EF3834" w:rsidP="009653C0">
      <w:pPr>
        <w:keepNext/>
        <w:tabs>
          <w:tab w:val="left" w:pos="1440"/>
        </w:tabs>
        <w:spacing w:before="240" w:line="240" w:lineRule="atLeast"/>
        <w:jc w:val="center"/>
        <w:rPr>
          <w:b/>
        </w:rPr>
      </w:pPr>
      <w:r>
        <w:rPr>
          <w:b/>
        </w:rPr>
        <w:t>A.</w:t>
      </w:r>
    </w:p>
    <w:p w:rsidR="0081000F" w:rsidRDefault="00EF3834" w:rsidP="00505806">
      <w:pPr>
        <w:tabs>
          <w:tab w:val="left" w:pos="1440"/>
        </w:tabs>
        <w:spacing w:line="480" w:lineRule="atLeast"/>
        <w:ind w:firstLine="720"/>
      </w:pPr>
      <w:r w:rsidRPr="00CD4E55">
        <w:t xml:space="preserve">We begin with the text of the Act, </w:t>
      </w:r>
      <w:r>
        <w:t>which “comprehensively revises</w:t>
      </w:r>
      <w:r w:rsidRPr="00CD4E55">
        <w:t xml:space="preserve"> the law applicable to construction defect litigation for individual residential units” within it</w:t>
      </w:r>
      <w:r w:rsidRPr="00CD4E55">
        <w:t xml:space="preserve">s coverage.  </w:t>
      </w:r>
      <w:r w:rsidRPr="00CD4E55">
        <w:t>(</w:t>
      </w:r>
      <w:proofErr w:type="spellStart"/>
      <w:r w:rsidRPr="00CD4E55">
        <w:rPr>
          <w:i/>
        </w:rPr>
        <w:t>Lantzy</w:t>
      </w:r>
      <w:proofErr w:type="spellEnd"/>
      <w:r w:rsidRPr="00CD4E55">
        <w:rPr>
          <w:i/>
        </w:rPr>
        <w:t xml:space="preserve"> v. Centex Homes</w:t>
      </w:r>
      <w:r w:rsidRPr="00CD4E55">
        <w:t xml:space="preserve"> (2003) </w:t>
      </w:r>
      <w:r w:rsidRPr="00CD4E55">
        <w:t xml:space="preserve">31 </w:t>
      </w:r>
      <w:r w:rsidRPr="00CD4E55">
        <w:t xml:space="preserve">Cal.4th </w:t>
      </w:r>
      <w:r>
        <w:t>363, 382, fn. </w:t>
      </w:r>
      <w:r w:rsidRPr="00CD4E55">
        <w:t>16</w:t>
      </w:r>
      <w:r w:rsidRPr="00CD4E55">
        <w:t>.</w:t>
      </w:r>
      <w:r w:rsidRPr="00CD4E55">
        <w:t>)</w:t>
      </w:r>
      <w:r w:rsidRPr="00CD4E55">
        <w:t xml:space="preserve">  </w:t>
      </w:r>
      <w:r>
        <w:t>The Act adds</w:t>
      </w:r>
      <w:r w:rsidRPr="00CD4E55">
        <w:t xml:space="preserve"> t</w:t>
      </w:r>
      <w:r w:rsidRPr="00CD4E55">
        <w:t xml:space="preserve">itle 7 </w:t>
      </w:r>
      <w:r w:rsidRPr="00CD4E55">
        <w:t>to</w:t>
      </w:r>
      <w:r w:rsidRPr="00CD4E55">
        <w:t xml:space="preserve"> division 2, part </w:t>
      </w:r>
      <w:r w:rsidRPr="00CD4E55">
        <w:t xml:space="preserve">2 </w:t>
      </w:r>
      <w:r w:rsidRPr="00CD4E55">
        <w:t>of the Civil Code.</w:t>
      </w:r>
      <w:r>
        <w:t xml:space="preserve">  (§§ 895–945.5.)</w:t>
      </w:r>
      <w:r>
        <w:t xml:space="preserve">  That title</w:t>
      </w:r>
      <w:r w:rsidRPr="00CD4E55">
        <w:t xml:space="preserve"> consists of five chapters.  Chapter 1 establishes definitions applicable to the entire title.  </w:t>
      </w:r>
      <w:r>
        <w:t xml:space="preserve">(§ 895.)  Chapter 2 </w:t>
      </w:r>
      <w:r w:rsidRPr="00CD4E55">
        <w:t>defines standards for building construction.</w:t>
      </w:r>
      <w:r>
        <w:t xml:space="preserve">  (§§ 896–897.)</w:t>
      </w:r>
      <w:r w:rsidRPr="00CD4E55">
        <w:t xml:space="preserve">  Chapter 3 governs </w:t>
      </w:r>
      <w:r w:rsidRPr="00CD4E55">
        <w:t xml:space="preserve">various builder obligations, including </w:t>
      </w:r>
      <w:r w:rsidRPr="00CD4E55">
        <w:t>the war</w:t>
      </w:r>
      <w:r w:rsidRPr="00CD4E55">
        <w:t>ranties a build</w:t>
      </w:r>
      <w:r w:rsidRPr="00CD4E55">
        <w:t>er must provide</w:t>
      </w:r>
      <w:r w:rsidRPr="00CD4E55">
        <w:t xml:space="preserve">.  </w:t>
      </w:r>
      <w:r>
        <w:t>(§§ </w:t>
      </w:r>
      <w:r w:rsidRPr="00CD4E55">
        <w:t>900–907</w:t>
      </w:r>
      <w:r>
        <w:t>.</w:t>
      </w:r>
      <w:r w:rsidRPr="00CD4E55">
        <w:t xml:space="preserve">) </w:t>
      </w:r>
      <w:r>
        <w:t xml:space="preserve"> </w:t>
      </w:r>
      <w:r w:rsidRPr="00CD4E55">
        <w:t>Chapt</w:t>
      </w:r>
      <w:r w:rsidRPr="00CD4E55">
        <w:t>er 4 creates a pre</w:t>
      </w:r>
      <w:r w:rsidRPr="00CD4E55">
        <w:t>litigation dispute resolution proc</w:t>
      </w:r>
      <w:r w:rsidRPr="00CD4E55">
        <w:t xml:space="preserve">ess.  </w:t>
      </w:r>
      <w:r>
        <w:t>(§§ 910–938.)  C</w:t>
      </w:r>
      <w:r w:rsidRPr="00CD4E55">
        <w:t xml:space="preserve">hapter 5 </w:t>
      </w:r>
      <w:r w:rsidRPr="00CD4E55">
        <w:t>describes the procedures for lawsuits under the Act.</w:t>
      </w:r>
      <w:r>
        <w:t xml:space="preserve">  (§§ </w:t>
      </w:r>
      <w:r w:rsidRPr="00CD4E55">
        <w:t>941</w:t>
      </w:r>
      <w:r>
        <w:t>–945.5.)</w:t>
      </w:r>
    </w:p>
    <w:p w:rsidR="00205272" w:rsidRPr="00CD4E55" w:rsidRDefault="00EF3834" w:rsidP="00505806">
      <w:pPr>
        <w:tabs>
          <w:tab w:val="left" w:pos="1440"/>
        </w:tabs>
        <w:spacing w:line="480" w:lineRule="atLeast"/>
        <w:ind w:firstLine="720"/>
      </w:pPr>
      <w:r>
        <w:t>S</w:t>
      </w:r>
      <w:r w:rsidRPr="00CD4E55">
        <w:t xml:space="preserve">ection 896, which codifies a lengthy set of standards for the </w:t>
      </w:r>
      <w:r w:rsidRPr="00CD4E55">
        <w:t>construction of individual dwellings</w:t>
      </w:r>
      <w:r>
        <w:t>,</w:t>
      </w:r>
      <w:r w:rsidRPr="00CD4E55">
        <w:t xml:space="preserve"> begins with a preamble describing the intended effect of those standards.  </w:t>
      </w:r>
      <w:r>
        <w:t>A</w:t>
      </w:r>
      <w:r w:rsidRPr="00CD4E55">
        <w:t>s relevant here</w:t>
      </w:r>
      <w:r>
        <w:t>, the preamble says</w:t>
      </w:r>
      <w:r w:rsidRPr="00CD4E55">
        <w:t xml:space="preserve">: </w:t>
      </w:r>
      <w:r>
        <w:t xml:space="preserve"> </w:t>
      </w:r>
      <w:r w:rsidRPr="00CD4E55">
        <w:t>“</w:t>
      </w:r>
      <w:r w:rsidRPr="00CD4E55">
        <w:rPr>
          <w:szCs w:val="26"/>
          <w:shd w:val="clear" w:color="auto" w:fill="FFFFFF"/>
        </w:rPr>
        <w:t>In any action seeking recovery of damages arising out of, or related to deficiencies in, the residential</w:t>
      </w:r>
      <w:r w:rsidRPr="00CD4E55">
        <w:rPr>
          <w:szCs w:val="26"/>
          <w:shd w:val="clear" w:color="auto" w:fill="FFFFFF"/>
        </w:rPr>
        <w:t xml:space="preserve"> construction, design, specifications, surveying, planning, supervision, testing, or observation of construction, a builder</w:t>
      </w:r>
      <w:r w:rsidRPr="00CD4E55">
        <w:rPr>
          <w:szCs w:val="26"/>
          <w:shd w:val="clear" w:color="auto" w:fill="FFFFFF"/>
        </w:rPr>
        <w:t xml:space="preserve"> . . .</w:t>
      </w:r>
      <w:r w:rsidRPr="00CD4E55">
        <w:rPr>
          <w:szCs w:val="26"/>
          <w:shd w:val="clear" w:color="auto" w:fill="FFFFFF"/>
        </w:rPr>
        <w:t xml:space="preserve"> shall, except as specifically set forth in </w:t>
      </w:r>
      <w:r w:rsidRPr="00CD4E55">
        <w:rPr>
          <w:szCs w:val="26"/>
          <w:shd w:val="clear" w:color="auto" w:fill="FFFFFF"/>
        </w:rPr>
        <w:lastRenderedPageBreak/>
        <w:t>this title, be liable for, and the claimant’s claims or causes of action shall be l</w:t>
      </w:r>
      <w:r w:rsidRPr="00CD4E55">
        <w:rPr>
          <w:szCs w:val="26"/>
          <w:shd w:val="clear" w:color="auto" w:fill="FFFFFF"/>
        </w:rPr>
        <w:t xml:space="preserve">imited to violation of, the following standards, except as specifically set forth in this title. </w:t>
      </w:r>
      <w:r>
        <w:rPr>
          <w:szCs w:val="26"/>
          <w:shd w:val="clear" w:color="auto" w:fill="FFFFFF"/>
        </w:rPr>
        <w:t xml:space="preserve"> </w:t>
      </w:r>
      <w:r w:rsidRPr="00CD4E55">
        <w:rPr>
          <w:szCs w:val="26"/>
          <w:shd w:val="clear" w:color="auto" w:fill="FFFFFF"/>
        </w:rPr>
        <w:t xml:space="preserve">This title applies to original construction intended to be sold as an individual dwelling unit. </w:t>
      </w:r>
      <w:r>
        <w:rPr>
          <w:szCs w:val="26"/>
          <w:shd w:val="clear" w:color="auto" w:fill="FFFFFF"/>
        </w:rPr>
        <w:t xml:space="preserve"> </w:t>
      </w:r>
      <w:r w:rsidRPr="00CD4E55">
        <w:rPr>
          <w:szCs w:val="26"/>
          <w:shd w:val="clear" w:color="auto" w:fill="FFFFFF"/>
        </w:rPr>
        <w:t>As to condominium conversions, this title does not apply to o</w:t>
      </w:r>
      <w:r w:rsidRPr="00CD4E55">
        <w:rPr>
          <w:szCs w:val="26"/>
          <w:shd w:val="clear" w:color="auto" w:fill="FFFFFF"/>
        </w:rPr>
        <w:t>r does not supersede any other statutory or common law.”</w:t>
      </w:r>
      <w:r>
        <w:rPr>
          <w:szCs w:val="26"/>
          <w:shd w:val="clear" w:color="auto" w:fill="FFFFFF"/>
        </w:rPr>
        <w:t xml:space="preserve">  (§ 896.)</w:t>
      </w:r>
    </w:p>
    <w:p w:rsidR="00420256" w:rsidRPr="00CD4E55" w:rsidRDefault="00EF3834" w:rsidP="00255FB0">
      <w:pPr>
        <w:tabs>
          <w:tab w:val="left" w:pos="1440"/>
        </w:tabs>
        <w:spacing w:line="480" w:lineRule="atLeast"/>
        <w:ind w:firstLine="720"/>
      </w:pPr>
      <w:r w:rsidRPr="00CD4E55">
        <w:t>Three aspects of this</w:t>
      </w:r>
      <w:r>
        <w:t xml:space="preserve"> text</w:t>
      </w:r>
      <w:r w:rsidRPr="00CD4E55">
        <w:t xml:space="preserve"> are instructive.  First, the provision applies to “any action” seeking damages for a construction defect, </w:t>
      </w:r>
      <w:r>
        <w:t>not</w:t>
      </w:r>
      <w:r>
        <w:t xml:space="preserve"> just</w:t>
      </w:r>
      <w:r>
        <w:t xml:space="preserve"> </w:t>
      </w:r>
      <w:r>
        <w:t>any action under the</w:t>
      </w:r>
      <w:r w:rsidRPr="00CD4E55">
        <w:t xml:space="preserve"> title.  (§ 896.)  Th</w:t>
      </w:r>
      <w:r>
        <w:t xml:space="preserve">is </w:t>
      </w:r>
      <w:r>
        <w:t>suggests an intent to create</w:t>
      </w:r>
      <w:r w:rsidRPr="00CD4E55">
        <w:t xml:space="preserve"> not</w:t>
      </w:r>
      <w:r>
        <w:t xml:space="preserve"> merely</w:t>
      </w:r>
      <w:r w:rsidRPr="00CD4E55">
        <w:t xml:space="preserve"> </w:t>
      </w:r>
      <w:r w:rsidRPr="00CD4E55">
        <w:rPr>
          <w:i/>
        </w:rPr>
        <w:t>a</w:t>
      </w:r>
      <w:r w:rsidRPr="00CD4E55">
        <w:t xml:space="preserve"> remedy</w:t>
      </w:r>
      <w:r w:rsidRPr="00CD4E55">
        <w:rPr>
          <w:i/>
        </w:rPr>
        <w:t xml:space="preserve"> </w:t>
      </w:r>
      <w:r>
        <w:t>for construction defects</w:t>
      </w:r>
      <w:r w:rsidRPr="00CD4E55">
        <w:t xml:space="preserve"> but </w:t>
      </w:r>
      <w:r w:rsidRPr="00CD4E55">
        <w:rPr>
          <w:i/>
        </w:rPr>
        <w:t>the</w:t>
      </w:r>
      <w:r w:rsidRPr="00CD4E55">
        <w:t xml:space="preserve"> remedy.  Second, “the claimant’s claims or causes of action shall be limited to violation of[] the following standards, except as specifically set forth in this title.”  </w:t>
      </w:r>
      <w:r w:rsidRPr="00CD4E55">
        <w:t>(</w:t>
      </w:r>
      <w:r>
        <w:rPr>
          <w:i/>
        </w:rPr>
        <w:t>Ibi</w:t>
      </w:r>
      <w:r>
        <w:rPr>
          <w:i/>
        </w:rPr>
        <w:t>d.</w:t>
      </w:r>
      <w:r w:rsidRPr="00CD4E55">
        <w:t>)</w:t>
      </w:r>
      <w:r w:rsidRPr="00E65CC3">
        <w:t xml:space="preserve"> </w:t>
      </w:r>
      <w:r>
        <w:t xml:space="preserve"> </w:t>
      </w:r>
      <w:r>
        <w:t>This</w:t>
      </w:r>
      <w:r w:rsidRPr="00CD4E55">
        <w:t xml:space="preserve"> </w:t>
      </w:r>
      <w:r>
        <w:t xml:space="preserve">express </w:t>
      </w:r>
      <w:r w:rsidRPr="00CD4E55">
        <w:t xml:space="preserve">language of </w:t>
      </w:r>
      <w:r w:rsidRPr="00CD4E55">
        <w:t xml:space="preserve">limitation </w:t>
      </w:r>
      <w:r>
        <w:t xml:space="preserve">means that </w:t>
      </w:r>
      <w:r w:rsidRPr="00CD4E55">
        <w:t>a</w:t>
      </w:r>
      <w:r w:rsidRPr="00CD4E55">
        <w:t xml:space="preserve"> party </w:t>
      </w:r>
      <w:r w:rsidRPr="00CD4E55">
        <w:t xml:space="preserve">seeking damages for a construction defect </w:t>
      </w:r>
      <w:r w:rsidRPr="00CD4E55">
        <w:t xml:space="preserve">may sue for violation of these standards, and </w:t>
      </w:r>
      <w:r w:rsidRPr="00CD4E55">
        <w:rPr>
          <w:i/>
        </w:rPr>
        <w:t>only</w:t>
      </w:r>
      <w:r w:rsidRPr="00CD4E55">
        <w:t xml:space="preserve"> violation of these standards</w:t>
      </w:r>
      <w:r w:rsidRPr="00CD4E55">
        <w:t>, unless the Act provides an exception</w:t>
      </w:r>
      <w:r w:rsidRPr="00CD4E55">
        <w:t>.</w:t>
      </w:r>
      <w:r w:rsidRPr="00CD4E55">
        <w:t xml:space="preserve">  This clause evinces a clear intent</w:t>
      </w:r>
      <w:r w:rsidRPr="00CD4E55">
        <w:t xml:space="preserve"> to </w:t>
      </w:r>
      <w:r w:rsidRPr="00CD4E55">
        <w:t>displace</w:t>
      </w:r>
      <w:r w:rsidRPr="00CD4E55">
        <w:t>,</w:t>
      </w:r>
      <w:r w:rsidRPr="00CD4E55">
        <w:t xml:space="preserve"> </w:t>
      </w:r>
      <w:r w:rsidRPr="00CD4E55">
        <w:t>i</w:t>
      </w:r>
      <w:r w:rsidRPr="00CD4E55">
        <w:t>n whole or in part</w:t>
      </w:r>
      <w:r w:rsidRPr="00CD4E55">
        <w:t>, existing remedies for construction defects.</w:t>
      </w:r>
      <w:r w:rsidRPr="00CD4E55">
        <w:t xml:space="preserve">  Third, </w:t>
      </w:r>
      <w:r w:rsidRPr="00CD4E55">
        <w:t xml:space="preserve">“[t]his title applies to original construction intended to be sold as an individual </w:t>
      </w:r>
      <w:r>
        <w:t xml:space="preserve">dwelling unit,” but </w:t>
      </w:r>
      <w:r w:rsidRPr="00CD4E55">
        <w:t>“[a]s to condominium conversions, this title does not apply to or</w:t>
      </w:r>
      <w:r w:rsidRPr="00CD4E55">
        <w:t xml:space="preserve"> does not supersede any other statutory or common law</w:t>
      </w:r>
      <w:r>
        <w:t>.</w:t>
      </w:r>
      <w:r w:rsidRPr="00CD4E55">
        <w:t>”</w:t>
      </w:r>
      <w:r>
        <w:t xml:space="preserve">  </w:t>
      </w:r>
      <w:r w:rsidRPr="00CD4E55">
        <w:t>(</w:t>
      </w:r>
      <w:r>
        <w:rPr>
          <w:i/>
        </w:rPr>
        <w:t>Ibid.</w:t>
      </w:r>
      <w:r w:rsidRPr="00CD4E55">
        <w:t>)</w:t>
      </w:r>
      <w:r w:rsidRPr="00CD4E55">
        <w:t xml:space="preserve">  </w:t>
      </w:r>
      <w:r>
        <w:t>T</w:t>
      </w:r>
      <w:r w:rsidRPr="00CD4E55">
        <w:t>he A</w:t>
      </w:r>
      <w:r w:rsidRPr="00CD4E55">
        <w:t>ct govern</w:t>
      </w:r>
      <w:r>
        <w:t>s</w:t>
      </w:r>
      <w:r w:rsidRPr="00CD4E55">
        <w:t xml:space="preserve"> claims </w:t>
      </w:r>
      <w:r>
        <w:t xml:space="preserve">concerning </w:t>
      </w:r>
      <w:r w:rsidRPr="00CD4E55">
        <w:t>stand-alone homes</w:t>
      </w:r>
      <w:r>
        <w:t xml:space="preserve">; </w:t>
      </w:r>
      <w:r w:rsidRPr="00CD4E55">
        <w:t xml:space="preserve">for such disputes, </w:t>
      </w:r>
      <w:r>
        <w:t xml:space="preserve">the Act’s provisions </w:t>
      </w:r>
      <w:r>
        <w:t xml:space="preserve">do </w:t>
      </w:r>
      <w:r w:rsidRPr="00CD4E55">
        <w:t>“supersede an</w:t>
      </w:r>
      <w:r w:rsidRPr="00CD4E55">
        <w:t>y other statutory or common law</w:t>
      </w:r>
      <w:r w:rsidRPr="00CD4E55">
        <w:t>”</w:t>
      </w:r>
      <w:r w:rsidRPr="00CD4E55">
        <w:t xml:space="preserve"> except as elsewhere provided.</w:t>
      </w:r>
    </w:p>
    <w:p w:rsidR="00C732D5" w:rsidRDefault="00EF3834" w:rsidP="00C732D5">
      <w:pPr>
        <w:tabs>
          <w:tab w:val="left" w:pos="1440"/>
        </w:tabs>
        <w:spacing w:line="480" w:lineRule="atLeast"/>
        <w:ind w:firstLine="720"/>
      </w:pPr>
      <w:r w:rsidRPr="00CD4E55">
        <w:t xml:space="preserve">The Van Tassels </w:t>
      </w:r>
      <w:r w:rsidRPr="00CD4E55">
        <w:t>argue that section 896</w:t>
      </w:r>
      <w:r>
        <w:t xml:space="preserve"> should be read to refer </w:t>
      </w:r>
      <w:r w:rsidRPr="00CD4E55">
        <w:t>and apply o</w:t>
      </w:r>
      <w:r>
        <w:t>nly to</w:t>
      </w:r>
      <w:r w:rsidRPr="00CD4E55">
        <w:t xml:space="preserve"> claims concerning defects that have yet to cause da</w:t>
      </w:r>
      <w:r>
        <w:t xml:space="preserve">mage.  </w:t>
      </w:r>
      <w:r>
        <w:t>But n</w:t>
      </w:r>
      <w:r w:rsidRPr="00CD4E55">
        <w:t xml:space="preserve">o such limitation </w:t>
      </w:r>
      <w:r>
        <w:t xml:space="preserve">appears in </w:t>
      </w:r>
      <w:r w:rsidRPr="00CD4E55">
        <w:t xml:space="preserve">the text, which </w:t>
      </w:r>
      <w:r>
        <w:t xml:space="preserve">says </w:t>
      </w:r>
      <w:r w:rsidRPr="00CD4E55">
        <w:t xml:space="preserve">the Act </w:t>
      </w:r>
      <w:r>
        <w:t xml:space="preserve">applies </w:t>
      </w:r>
      <w:r w:rsidRPr="00CD4E55">
        <w:t>to</w:t>
      </w:r>
      <w:r w:rsidRPr="00CD4E55">
        <w:t xml:space="preserve"> “any action seeking recovery of damages arising out of” con</w:t>
      </w:r>
      <w:r w:rsidRPr="00CD4E55">
        <w:t xml:space="preserve">struction defects.  (§ 896.)  </w:t>
      </w:r>
      <w:r>
        <w:t>The Van Tass</w:t>
      </w:r>
      <w:r>
        <w:t>els also object that</w:t>
      </w:r>
      <w:r>
        <w:t xml:space="preserve"> if section 896</w:t>
      </w:r>
      <w:r>
        <w:t xml:space="preserve"> is read </w:t>
      </w:r>
      <w:r>
        <w:t xml:space="preserve">to apply </w:t>
      </w:r>
      <w:r>
        <w:t>broadly, the shorter limitations period</w:t>
      </w:r>
      <w:r>
        <w:t>s</w:t>
      </w:r>
      <w:r>
        <w:t xml:space="preserve"> it imposes for certain types of defects (</w:t>
      </w:r>
      <w:r>
        <w:t xml:space="preserve">e.g., § 896, </w:t>
      </w:r>
      <w:proofErr w:type="spellStart"/>
      <w:r>
        <w:t>subds</w:t>
      </w:r>
      <w:proofErr w:type="spellEnd"/>
      <w:r>
        <w:t>. </w:t>
      </w:r>
      <w:r>
        <w:t>(e)–(g)) may limit ho</w:t>
      </w:r>
      <w:r>
        <w:t>meowners’ ability to recover.  But t</w:t>
      </w:r>
      <w:r>
        <w:t>he</w:t>
      </w:r>
      <w:r>
        <w:t xml:space="preserve">re is nothing absurd about </w:t>
      </w:r>
      <w:r>
        <w:lastRenderedPageBreak/>
        <w:t>accepting</w:t>
      </w:r>
      <w:r>
        <w:t xml:space="preserve"> these limitations periods at face value, and they supply no special reason to disregard the import of the </w:t>
      </w:r>
      <w:r>
        <w:t>remainder of the statut</w:t>
      </w:r>
      <w:r>
        <w:t>e.</w:t>
      </w:r>
    </w:p>
    <w:p w:rsidR="003E4E74" w:rsidRPr="00CD4E55" w:rsidRDefault="00EF3834" w:rsidP="00117064">
      <w:pPr>
        <w:tabs>
          <w:tab w:val="left" w:pos="1440"/>
        </w:tabs>
        <w:spacing w:line="480" w:lineRule="atLeast"/>
        <w:ind w:firstLine="720"/>
        <w:rPr>
          <w:szCs w:val="26"/>
        </w:rPr>
      </w:pPr>
      <w:r w:rsidRPr="00CD4E55">
        <w:rPr>
          <w:szCs w:val="26"/>
        </w:rPr>
        <w:t xml:space="preserve">We turn next to chapter 5 </w:t>
      </w:r>
      <w:r w:rsidRPr="00CD4E55">
        <w:t>(§§ 941–945.5), which contains key provisions governing the d</w:t>
      </w:r>
      <w:r w:rsidRPr="00CD4E55">
        <w:t>amages recoverable in an action under the Act and the extent to which the Act provides the exclusive vehicle for recovery of such damages.</w:t>
      </w:r>
      <w:r w:rsidRPr="00CD4E55">
        <w:rPr>
          <w:szCs w:val="26"/>
        </w:rPr>
        <w:t xml:space="preserve">  T</w:t>
      </w:r>
      <w:r w:rsidRPr="00CD4E55">
        <w:t xml:space="preserve">he Legislature was </w:t>
      </w:r>
      <w:r w:rsidRPr="00CD4E55">
        <w:t xml:space="preserve">well </w:t>
      </w:r>
      <w:r w:rsidRPr="00CD4E55">
        <w:t xml:space="preserve">aware of the </w:t>
      </w:r>
      <w:r w:rsidRPr="00CD4E55">
        <w:t>main categori</w:t>
      </w:r>
      <w:r w:rsidRPr="00CD4E55">
        <w:t>es of damages involved in construction defect actions (economic l</w:t>
      </w:r>
      <w:r w:rsidRPr="00CD4E55">
        <w:t xml:space="preserve">oss, property </w:t>
      </w:r>
      <w:r w:rsidRPr="00CD4E55">
        <w:t xml:space="preserve">loss, </w:t>
      </w:r>
      <w:r w:rsidRPr="00CD4E55">
        <w:t xml:space="preserve">death or </w:t>
      </w:r>
      <w:r w:rsidRPr="00CD4E55">
        <w:t>personal injury) and their</w:t>
      </w:r>
      <w:r>
        <w:t xml:space="preserve"> </w:t>
      </w:r>
      <w:r w:rsidRPr="00CD4E55">
        <w:t>treatment under existing law.</w:t>
      </w:r>
      <w:r w:rsidRPr="00CD4E55">
        <w:t xml:space="preserve">  The major stakeholders on all</w:t>
      </w:r>
      <w:r w:rsidRPr="00CD4E55">
        <w:t xml:space="preserve"> sides of construction defect litigation participated</w:t>
      </w:r>
      <w:r w:rsidRPr="00CD4E55">
        <w:t xml:space="preserve"> in developing the Act.  </w:t>
      </w:r>
      <w:r w:rsidRPr="00CD4E55">
        <w:t>(</w:t>
      </w:r>
      <w:r>
        <w:t xml:space="preserve">See </w:t>
      </w:r>
      <w:r w:rsidRPr="00CD4E55">
        <w:t>Sen</w:t>
      </w:r>
      <w:r w:rsidRPr="00CD4E55">
        <w:t>. Com. on Jud</w:t>
      </w:r>
      <w:r>
        <w:t>iciary</w:t>
      </w:r>
      <w:r w:rsidRPr="00CD4E55">
        <w:t xml:space="preserve">, </w:t>
      </w:r>
      <w:r>
        <w:t>A</w:t>
      </w:r>
      <w:r w:rsidRPr="00CD4E55">
        <w:t xml:space="preserve">nalysis of Sen. Bill No. 800 </w:t>
      </w:r>
      <w:r w:rsidRPr="00CD4E55">
        <w:t>(2001–200</w:t>
      </w:r>
      <w:r w:rsidRPr="00CD4E55">
        <w:t>2 Reg. Sess.) as amended Aug. 28</w:t>
      </w:r>
      <w:r w:rsidRPr="00CD4E55">
        <w:t>, 2002, p</w:t>
      </w:r>
      <w:r>
        <w:t>p. </w:t>
      </w:r>
      <w:r w:rsidRPr="00CD4E55">
        <w:t>3</w:t>
      </w:r>
      <w:r>
        <w:t xml:space="preserve">, </w:t>
      </w:r>
      <w:r>
        <w:t>8</w:t>
      </w:r>
      <w:r w:rsidRPr="00CD4E55">
        <w:t>.)  T</w:t>
      </w:r>
      <w:r w:rsidRPr="00CD4E55">
        <w:t xml:space="preserve">he Legislature </w:t>
      </w:r>
      <w:r w:rsidRPr="00CD4E55">
        <w:t xml:space="preserve">also </w:t>
      </w:r>
      <w:r>
        <w:t>expressly considered</w:t>
      </w:r>
      <w:r w:rsidRPr="00CD4E55">
        <w:t xml:space="preserve"> </w:t>
      </w:r>
      <w:proofErr w:type="spellStart"/>
      <w:r>
        <w:rPr>
          <w:i/>
        </w:rPr>
        <w:t>Aas</w:t>
      </w:r>
      <w:proofErr w:type="spellEnd"/>
      <w:r>
        <w:t xml:space="preserve"> </w:t>
      </w:r>
      <w:r w:rsidRPr="00CD4E55">
        <w:t>and its rule requiring property damage or personal injury, not just economic loss, for any tort suit alleging a construction defect.  (</w:t>
      </w:r>
      <w:proofErr w:type="spellStart"/>
      <w:r w:rsidRPr="00CD4E55">
        <w:t>Assem</w:t>
      </w:r>
      <w:proofErr w:type="spellEnd"/>
      <w:r w:rsidRPr="00CD4E55">
        <w:t>. Com. on</w:t>
      </w:r>
      <w:r w:rsidRPr="00CD4E55">
        <w:t xml:space="preserve"> Judiciary, Analysis of Sen. Bill No. 800 (2001–2002 Reg. Sess.) as amende</w:t>
      </w:r>
      <w:r>
        <w:t>d Aug. 26, 2002, p</w:t>
      </w:r>
      <w:r>
        <w:t>p</w:t>
      </w:r>
      <w:r>
        <w:t>. 2</w:t>
      </w:r>
      <w:r>
        <w:t>–3</w:t>
      </w:r>
      <w:r w:rsidRPr="00CD4E55">
        <w:t>; Sen. Com. on Jud</w:t>
      </w:r>
      <w:r>
        <w:t>iciary</w:t>
      </w:r>
      <w:r w:rsidRPr="00CD4E55">
        <w:t xml:space="preserve">, </w:t>
      </w:r>
      <w:r>
        <w:t>A</w:t>
      </w:r>
      <w:r w:rsidRPr="00CD4E55">
        <w:t>nalysis of Sen. Bill No. 800 (2001–200</w:t>
      </w:r>
      <w:r w:rsidRPr="00CD4E55">
        <w:t>2 Reg. Sess.) as amended Aug. 28</w:t>
      </w:r>
      <w:r w:rsidRPr="00CD4E55">
        <w:t>, 2002, p</w:t>
      </w:r>
      <w:r w:rsidRPr="00CD4E55">
        <w:t>p</w:t>
      </w:r>
      <w:r w:rsidRPr="00CD4E55">
        <w:t>. 1</w:t>
      </w:r>
      <w:r>
        <w:t>–</w:t>
      </w:r>
      <w:r>
        <w:t>4</w:t>
      </w:r>
      <w:r w:rsidRPr="00CD4E55">
        <w:t>.)</w:t>
      </w:r>
      <w:r w:rsidRPr="00CD4E55">
        <w:t xml:space="preserve">  </w:t>
      </w:r>
      <w:r w:rsidRPr="00CD4E55">
        <w:t>Informed by the various stakeholders’ conc</w:t>
      </w:r>
      <w:r w:rsidRPr="00CD4E55">
        <w:t>erns, the Legislature enacted provisions that reflect a conscious effort</w:t>
      </w:r>
      <w:r w:rsidRPr="00CD4E55">
        <w:t xml:space="preserve"> to address</w:t>
      </w:r>
      <w:r w:rsidRPr="00CD4E55">
        <w:t xml:space="preserve"> how and when </w:t>
      </w:r>
      <w:r>
        <w:t>various categories of damages w</w:t>
      </w:r>
      <w:r w:rsidRPr="00CD4E55">
        <w:t>ould be recoverable going forward.</w:t>
      </w:r>
    </w:p>
    <w:p w:rsidR="009334F5" w:rsidRDefault="00EF3834" w:rsidP="0012206C">
      <w:pPr>
        <w:tabs>
          <w:tab w:val="left" w:pos="1440"/>
        </w:tabs>
        <w:spacing w:line="480" w:lineRule="atLeast"/>
        <w:ind w:firstLine="720"/>
      </w:pPr>
      <w:r>
        <w:t>T</w:t>
      </w:r>
      <w:r w:rsidRPr="00CD4E55">
        <w:t xml:space="preserve">he provisions </w:t>
      </w:r>
      <w:r>
        <w:t xml:space="preserve">of </w:t>
      </w:r>
      <w:r w:rsidRPr="00CD4E55">
        <w:t>chapter 5</w:t>
      </w:r>
      <w:r w:rsidRPr="00CD4E55">
        <w:t xml:space="preserve"> make explicit t</w:t>
      </w:r>
      <w:r w:rsidRPr="00CD4E55">
        <w:t>he intended avenues</w:t>
      </w:r>
      <w:r w:rsidRPr="00CD4E55">
        <w:t xml:space="preserve"> for </w:t>
      </w:r>
      <w:r>
        <w:t>recoup</w:t>
      </w:r>
      <w:r w:rsidRPr="00CD4E55">
        <w:t xml:space="preserve">ing </w:t>
      </w:r>
      <w:r w:rsidRPr="00CD4E55">
        <w:t>economic loss</w:t>
      </w:r>
      <w:r>
        <w:t>es</w:t>
      </w:r>
      <w:r w:rsidRPr="00CD4E55">
        <w:t>,</w:t>
      </w:r>
      <w:r w:rsidRPr="00CD4E55">
        <w:t xml:space="preserve"> property</w:t>
      </w:r>
      <w:r>
        <w:t xml:space="preserve"> damages</w:t>
      </w:r>
      <w:r w:rsidRPr="00CD4E55">
        <w:t>, and personal injury</w:t>
      </w:r>
      <w:r>
        <w:t xml:space="preserve"> damages</w:t>
      </w:r>
      <w:r w:rsidRPr="00CD4E55">
        <w:t>.</w:t>
      </w:r>
      <w:r w:rsidRPr="00CD4E55">
        <w:t xml:space="preserve">  Section 944 defines the universe of</w:t>
      </w:r>
      <w:r w:rsidRPr="00CD4E55">
        <w:t xml:space="preserve"> damages that are recoverable in an action under the Act.  (§ 944 [“If a claim for damages is made under this title, the homeowner is only entitled to damages for” a series of specified types of losses].)</w:t>
      </w:r>
      <w:r w:rsidRPr="00CD4E55">
        <w:t xml:space="preserve">  In turn, section 943 makes an action under the Act</w:t>
      </w:r>
      <w:r w:rsidRPr="00CD4E55">
        <w:t xml:space="preserve"> the exclusive means of recovery for da</w:t>
      </w:r>
      <w:r>
        <w:t>mages identified in section 944</w:t>
      </w:r>
      <w:r w:rsidRPr="00CD4E55">
        <w:t xml:space="preserve"> absent an express exception:  “Except as provided in this title, no other cause of action for a claim covered by </w:t>
      </w:r>
      <w:r w:rsidRPr="00CD4E55">
        <w:lastRenderedPageBreak/>
        <w:t>this title or for damages rec</w:t>
      </w:r>
      <w:r>
        <w:t>overable under S</w:t>
      </w:r>
      <w:r w:rsidRPr="00CD4E55">
        <w:t xml:space="preserve">ection 944 is allowed.” </w:t>
      </w:r>
      <w:r>
        <w:t xml:space="preserve"> (§</w:t>
      </w:r>
      <w:r>
        <w:t> 943, subd. (</w:t>
      </w:r>
      <w:r w:rsidRPr="00CD4E55">
        <w:t xml:space="preserve">a).)  In other words, section 944 identifies what damages </w:t>
      </w:r>
      <w:r w:rsidRPr="00CD4E55">
        <w:rPr>
          <w:i/>
        </w:rPr>
        <w:t xml:space="preserve">may </w:t>
      </w:r>
      <w:r w:rsidRPr="00CD4E55">
        <w:t xml:space="preserve">be recovered in an action under the Act, </w:t>
      </w:r>
      <w:r>
        <w:t xml:space="preserve">and </w:t>
      </w:r>
      <w:r w:rsidRPr="00CD4E55">
        <w:t xml:space="preserve">section 943 establishes that such damages </w:t>
      </w:r>
      <w:r w:rsidRPr="00CD4E55">
        <w:rPr>
          <w:i/>
        </w:rPr>
        <w:t>may only</w:t>
      </w:r>
      <w:r w:rsidRPr="00CD4E55">
        <w:t xml:space="preserve"> be recovered in an action under the Act</w:t>
      </w:r>
      <w:r>
        <w:t>, absent an express exception</w:t>
      </w:r>
      <w:r>
        <w:t>.</w:t>
      </w:r>
    </w:p>
    <w:p w:rsidR="0012206C" w:rsidRPr="00CD4E55" w:rsidRDefault="00EF3834" w:rsidP="0012206C">
      <w:pPr>
        <w:tabs>
          <w:tab w:val="left" w:pos="1440"/>
        </w:tabs>
        <w:spacing w:line="480" w:lineRule="atLeast"/>
        <w:ind w:firstLine="720"/>
      </w:pPr>
      <w:r w:rsidRPr="00CD4E55">
        <w:t>The list of rec</w:t>
      </w:r>
      <w:r w:rsidRPr="00CD4E55">
        <w:t>overable damages in section 944 and the list of exceptions in section 943 have differ</w:t>
      </w:r>
      <w:r>
        <w:t>e</w:t>
      </w:r>
      <w:r>
        <w:t>nt consequences for recovery of</w:t>
      </w:r>
      <w:r w:rsidRPr="00CD4E55">
        <w:t xml:space="preserve"> economic losses, perso</w:t>
      </w:r>
      <w:r>
        <w:t>nal injury</w:t>
      </w:r>
      <w:r>
        <w:t xml:space="preserve"> damages</w:t>
      </w:r>
      <w:r>
        <w:t>, and property damage</w:t>
      </w:r>
      <w:r>
        <w:t>s</w:t>
      </w:r>
      <w:r>
        <w:t>:</w:t>
      </w:r>
    </w:p>
    <w:p w:rsidR="006D48EB" w:rsidRPr="00CD4E55" w:rsidRDefault="00EF3834" w:rsidP="006D48EB">
      <w:pPr>
        <w:tabs>
          <w:tab w:val="left" w:pos="1440"/>
        </w:tabs>
        <w:spacing w:line="480" w:lineRule="atLeast"/>
        <w:ind w:firstLine="720"/>
      </w:pPr>
      <w:r>
        <w:rPr>
          <w:i/>
        </w:rPr>
        <w:t>Economic Loss</w:t>
      </w:r>
      <w:r>
        <w:t>.</w:t>
      </w:r>
      <w:r>
        <w:t xml:space="preserve">  As noted, before </w:t>
      </w:r>
      <w:r w:rsidRPr="00CD4E55">
        <w:t xml:space="preserve">the Act, </w:t>
      </w:r>
      <w:r>
        <w:t xml:space="preserve">tort </w:t>
      </w:r>
      <w:r w:rsidRPr="00CD4E55">
        <w:t>recovery of purely economic</w:t>
      </w:r>
      <w:r w:rsidRPr="00CD4E55">
        <w:t xml:space="preserve"> losses occasioned by construction defects was forbidden by this court’s decision in </w:t>
      </w:r>
      <w:proofErr w:type="spellStart"/>
      <w:r w:rsidRPr="00CD4E55">
        <w:rPr>
          <w:i/>
        </w:rPr>
        <w:t>Aas</w:t>
      </w:r>
      <w:proofErr w:type="spellEnd"/>
      <w:r w:rsidRPr="00CD4E55">
        <w:t>.  (</w:t>
      </w:r>
      <w:proofErr w:type="spellStart"/>
      <w:r w:rsidRPr="00CD4E55">
        <w:rPr>
          <w:i/>
        </w:rPr>
        <w:t>Aas</w:t>
      </w:r>
      <w:proofErr w:type="spellEnd"/>
      <w:r w:rsidRPr="00CD4E55">
        <w:t xml:space="preserve">, </w:t>
      </w:r>
      <w:r w:rsidRPr="00CD4E55">
        <w:rPr>
          <w:i/>
        </w:rPr>
        <w:t>supra</w:t>
      </w:r>
      <w:r w:rsidRPr="00CD4E55">
        <w:t>, 24 Cal.4th at p. 632</w:t>
      </w:r>
      <w:r w:rsidRPr="00CD4E55">
        <w:t xml:space="preserve">.)  Section 944 now specifies </w:t>
      </w:r>
      <w:r>
        <w:t>that various forms of economic loss are</w:t>
      </w:r>
      <w:r w:rsidRPr="00CD4E55">
        <w:t xml:space="preserve"> recoverable in an action under the Act.  (§ 944 [listing among</w:t>
      </w:r>
      <w:r w:rsidRPr="00CD4E55">
        <w:t xml:space="preserve"> recoverable damages “</w:t>
      </w:r>
      <w:r w:rsidRPr="00CD4E55">
        <w:rPr>
          <w:szCs w:val="26"/>
          <w:shd w:val="clear" w:color="auto" w:fill="FFFFFF"/>
        </w:rPr>
        <w:t>the reasonable value of repairing any violation of the standards set forth in this title, the reasonable cost of repairing any damages caused by the repair efforts, . . . the reasonable cost of removing and replacing any improper repa</w:t>
      </w:r>
      <w:r w:rsidRPr="00CD4E55">
        <w:rPr>
          <w:szCs w:val="26"/>
          <w:shd w:val="clear" w:color="auto" w:fill="FFFFFF"/>
        </w:rPr>
        <w:t>ir by the builder, reasonable relocation and storage expenses, lost business income if the home was used as a principal place of a business licensed to be operated from the home, [and] reasonable investigative costs for each established violation . . . .”]</w:t>
      </w:r>
      <w:r w:rsidRPr="00CD4E55">
        <w:rPr>
          <w:szCs w:val="26"/>
          <w:shd w:val="clear" w:color="auto" w:fill="FFFFFF"/>
        </w:rPr>
        <w:t xml:space="preserve">.)  </w:t>
      </w:r>
      <w:r w:rsidRPr="00CD4E55">
        <w:t>Consequently</w:t>
      </w:r>
      <w:r w:rsidRPr="00CD4E55">
        <w:t xml:space="preserve">, </w:t>
      </w:r>
      <w:r w:rsidRPr="00CD4E55">
        <w:t xml:space="preserve">a party suffering economic loss from defective construction </w:t>
      </w:r>
      <w:r w:rsidRPr="00CD4E55">
        <w:t xml:space="preserve">may </w:t>
      </w:r>
      <w:r w:rsidRPr="00CD4E55">
        <w:t xml:space="preserve">now </w:t>
      </w:r>
      <w:r w:rsidRPr="00CD4E55">
        <w:t xml:space="preserve">bring </w:t>
      </w:r>
      <w:r w:rsidRPr="00CD4E55">
        <w:t xml:space="preserve">an </w:t>
      </w:r>
      <w:r w:rsidRPr="00CD4E55">
        <w:t>action to recover these damages under the Act</w:t>
      </w:r>
      <w:r>
        <w:t xml:space="preserve"> </w:t>
      </w:r>
      <w:r w:rsidRPr="00CD4E55">
        <w:t xml:space="preserve">without having to wait until the defect has </w:t>
      </w:r>
      <w:r>
        <w:t xml:space="preserve">caused </w:t>
      </w:r>
      <w:r w:rsidRPr="00CD4E55">
        <w:t>property damage or personal injury</w:t>
      </w:r>
      <w:r w:rsidRPr="00CD4E55">
        <w:t xml:space="preserve">.  </w:t>
      </w:r>
      <w:r>
        <w:t xml:space="preserve">Were </w:t>
      </w:r>
      <w:r w:rsidRPr="00CD4E55">
        <w:t>there any doubt, s</w:t>
      </w:r>
      <w:r w:rsidRPr="00CD4E55">
        <w:t xml:space="preserve">ection </w:t>
      </w:r>
      <w:r>
        <w:t>942 makes clear that “[</w:t>
      </w:r>
      <w:proofErr w:type="spellStart"/>
      <w:r>
        <w:t>i</w:t>
      </w:r>
      <w:proofErr w:type="spellEnd"/>
      <w:r>
        <w:t>]</w:t>
      </w:r>
      <w:r w:rsidRPr="00CD4E55">
        <w:t>n order to make a claim for violation of the” Act’s standards, “[n]o further showing of causation or damages is required to meet the burden of proof regardi</w:t>
      </w:r>
      <w:r>
        <w:t>ng a violation of a standard.”</w:t>
      </w:r>
    </w:p>
    <w:p w:rsidR="00262C1D" w:rsidRPr="00CD4E55" w:rsidRDefault="00EF3834" w:rsidP="006D48EB">
      <w:pPr>
        <w:tabs>
          <w:tab w:val="left" w:pos="1440"/>
        </w:tabs>
        <w:spacing w:line="480" w:lineRule="atLeast"/>
        <w:ind w:firstLine="720"/>
      </w:pPr>
      <w:r w:rsidRPr="00CD4E55">
        <w:rPr>
          <w:i/>
        </w:rPr>
        <w:t>Personal Injury</w:t>
      </w:r>
      <w:r>
        <w:t>.</w:t>
      </w:r>
      <w:r w:rsidRPr="00CD4E55">
        <w:t xml:space="preserve">  In contrast, person</w:t>
      </w:r>
      <w:r>
        <w:t>al injury damages</w:t>
      </w:r>
      <w:r w:rsidRPr="00CD4E55">
        <w:t xml:space="preserve"> are not listed as a category</w:t>
      </w:r>
      <w:r w:rsidRPr="00CD4E55">
        <w:t xml:space="preserve"> recoverable under </w:t>
      </w:r>
      <w:r>
        <w:t>the Act</w:t>
      </w:r>
      <w:r w:rsidRPr="00CD4E55">
        <w:t xml:space="preserve">. </w:t>
      </w:r>
      <w:r w:rsidRPr="00CD4E55">
        <w:t xml:space="preserve"> </w:t>
      </w:r>
      <w:r w:rsidRPr="00CD4E55">
        <w:t xml:space="preserve">(§ 944.)  </w:t>
      </w:r>
      <w:r w:rsidRPr="00CD4E55">
        <w:t xml:space="preserve">This </w:t>
      </w:r>
      <w:r w:rsidRPr="00CD4E55">
        <w:t xml:space="preserve">omission </w:t>
      </w:r>
      <w:r w:rsidRPr="00CD4E55">
        <w:t>places personal injury</w:t>
      </w:r>
      <w:r w:rsidRPr="00CD4E55">
        <w:t xml:space="preserve"> </w:t>
      </w:r>
      <w:r w:rsidRPr="00CD4E55">
        <w:t xml:space="preserve">claims </w:t>
      </w:r>
      <w:r w:rsidRPr="00CD4E55">
        <w:t xml:space="preserve">outside the scope of </w:t>
      </w:r>
      <w:r w:rsidRPr="00CD4E55">
        <w:t xml:space="preserve">section </w:t>
      </w:r>
      <w:r w:rsidRPr="00CD4E55">
        <w:t>943</w:t>
      </w:r>
      <w:r w:rsidRPr="00CD4E55">
        <w:t xml:space="preserve">, subdivision (a), which makes an action </w:t>
      </w:r>
      <w:r w:rsidRPr="00CD4E55">
        <w:lastRenderedPageBreak/>
        <w:t xml:space="preserve">under </w:t>
      </w:r>
      <w:r w:rsidRPr="00CD4E55">
        <w:t>the Act</w:t>
      </w:r>
      <w:r w:rsidRPr="00CD4E55">
        <w:t xml:space="preserve"> the exclusive remedy for </w:t>
      </w:r>
      <w:r w:rsidRPr="00CD4E55">
        <w:t xml:space="preserve">those </w:t>
      </w:r>
      <w:r w:rsidRPr="00CD4E55">
        <w:t>damages l</w:t>
      </w:r>
      <w:r w:rsidRPr="00CD4E55">
        <w:t>isted in section 944</w:t>
      </w:r>
      <w:r w:rsidRPr="00CD4E55">
        <w:t>.  To</w:t>
      </w:r>
      <w:r w:rsidRPr="00CD4E55">
        <w:t xml:space="preserve"> make the point even clearer, </w:t>
      </w:r>
      <w:r w:rsidRPr="00CD4E55">
        <w:t xml:space="preserve">the Legislature also included </w:t>
      </w:r>
      <w:r w:rsidRPr="00CD4E55">
        <w:t>personal injury</w:t>
      </w:r>
      <w:r w:rsidRPr="00CD4E55">
        <w:t xml:space="preserve"> </w:t>
      </w:r>
      <w:r w:rsidRPr="00CD4E55">
        <w:t xml:space="preserve">claims </w:t>
      </w:r>
      <w:r w:rsidRPr="00CD4E55">
        <w:t xml:space="preserve">in a </w:t>
      </w:r>
      <w:r>
        <w:t>list of claims that are exempt</w:t>
      </w:r>
      <w:r w:rsidRPr="00CD4E55">
        <w:t xml:space="preserve"> from the exclusivity of </w:t>
      </w:r>
      <w:r>
        <w:t>the Act</w:t>
      </w:r>
      <w:r w:rsidRPr="00CD4E55">
        <w:t>.</w:t>
      </w:r>
      <w:r w:rsidRPr="00CD4E55">
        <w:t xml:space="preserve">  (</w:t>
      </w:r>
      <w:r>
        <w:t>§</w:t>
      </w:r>
      <w:r w:rsidRPr="00CD4E55">
        <w:t>§ </w:t>
      </w:r>
      <w:r w:rsidRPr="00CD4E55">
        <w:rPr>
          <w:szCs w:val="26"/>
          <w:shd w:val="clear" w:color="auto" w:fill="FFFFFF"/>
        </w:rPr>
        <w:t xml:space="preserve">931 [listing </w:t>
      </w:r>
      <w:r>
        <w:rPr>
          <w:szCs w:val="26"/>
          <w:shd w:val="clear" w:color="auto" w:fill="FFFFFF"/>
        </w:rPr>
        <w:t xml:space="preserve">any action </w:t>
      </w:r>
      <w:r w:rsidRPr="00CD4E55">
        <w:rPr>
          <w:szCs w:val="26"/>
          <w:shd w:val="clear" w:color="auto" w:fill="FFFFFF"/>
        </w:rPr>
        <w:t>for “personal injuries”</w:t>
      </w:r>
      <w:r>
        <w:rPr>
          <w:szCs w:val="26"/>
          <w:shd w:val="clear" w:color="auto" w:fill="FFFFFF"/>
        </w:rPr>
        <w:t xml:space="preserve"> among the causes of action</w:t>
      </w:r>
      <w:r>
        <w:rPr>
          <w:szCs w:val="26"/>
          <w:shd w:val="clear" w:color="auto" w:fill="FFFFFF"/>
        </w:rPr>
        <w:t xml:space="preserve"> </w:t>
      </w:r>
      <w:r w:rsidRPr="00CD4E55">
        <w:rPr>
          <w:szCs w:val="26"/>
          <w:shd w:val="clear" w:color="auto" w:fill="FFFFFF"/>
        </w:rPr>
        <w:t>not covered by the Act</w:t>
      </w:r>
      <w:r w:rsidRPr="00CD4E55">
        <w:rPr>
          <w:szCs w:val="26"/>
          <w:shd w:val="clear" w:color="auto" w:fill="FFFFFF"/>
        </w:rPr>
        <w:t>]</w:t>
      </w:r>
      <w:r>
        <w:rPr>
          <w:szCs w:val="26"/>
          <w:shd w:val="clear" w:color="auto" w:fill="FFFFFF"/>
        </w:rPr>
        <w:t xml:space="preserve">, </w:t>
      </w:r>
      <w:r>
        <w:t>943, subd. </w:t>
      </w:r>
      <w:r w:rsidRPr="00CD4E55">
        <w:t xml:space="preserve">(a) [“this title does not apply to </w:t>
      </w:r>
      <w:r w:rsidRPr="00CD4E55">
        <w:rPr>
          <w:szCs w:val="26"/>
          <w:shd w:val="clear" w:color="auto" w:fill="FFFFFF"/>
        </w:rPr>
        <w:t xml:space="preserve">. . . </w:t>
      </w:r>
      <w:r w:rsidRPr="00CD4E55">
        <w:t xml:space="preserve">any action for </w:t>
      </w:r>
      <w:r w:rsidRPr="00CD4E55">
        <w:rPr>
          <w:szCs w:val="26"/>
          <w:shd w:val="clear" w:color="auto" w:fill="FFFFFF"/>
        </w:rPr>
        <w:t>. . . personal injury . . .”]</w:t>
      </w:r>
      <w:r w:rsidRPr="00CD4E55">
        <w:t>.)</w:t>
      </w:r>
      <w:r w:rsidRPr="00CD4E55">
        <w:t xml:space="preserve">  Thus, common law tort claims for personal injury are preserved.</w:t>
      </w:r>
    </w:p>
    <w:p w:rsidR="00262C1D" w:rsidRPr="00CD4E55" w:rsidRDefault="00EF3834" w:rsidP="006D48EB">
      <w:pPr>
        <w:tabs>
          <w:tab w:val="left" w:pos="1440"/>
        </w:tabs>
        <w:spacing w:line="480" w:lineRule="atLeast"/>
        <w:ind w:firstLine="720"/>
      </w:pPr>
      <w:r w:rsidRPr="00CD4E55">
        <w:rPr>
          <w:i/>
        </w:rPr>
        <w:t>Property Damage</w:t>
      </w:r>
      <w:r>
        <w:t>.</w:t>
      </w:r>
      <w:r w:rsidRPr="00CD4E55">
        <w:t xml:space="preserve">  </w:t>
      </w:r>
      <w:r>
        <w:t xml:space="preserve">As with economic losses, the Act expressly includes </w:t>
      </w:r>
      <w:r w:rsidRPr="00CD4E55">
        <w:t>property damage</w:t>
      </w:r>
      <w:r>
        <w:t>s</w:t>
      </w:r>
      <w:r w:rsidRPr="00CD4E55">
        <w:t xml:space="preserve"> resulting from construction defect</w:t>
      </w:r>
      <w:r w:rsidRPr="00CD4E55">
        <w:t>s</w:t>
      </w:r>
      <w:r>
        <w:t xml:space="preserve"> </w:t>
      </w:r>
      <w:r w:rsidRPr="00CD4E55">
        <w:t xml:space="preserve">among the categories of damages recoverable under </w:t>
      </w:r>
      <w:r>
        <w:t>the Act</w:t>
      </w:r>
      <w:r w:rsidRPr="00CD4E55">
        <w:t xml:space="preserve">. </w:t>
      </w:r>
      <w:r>
        <w:t xml:space="preserve"> </w:t>
      </w:r>
      <w:r w:rsidRPr="00CD4E55">
        <w:t>(</w:t>
      </w:r>
      <w:r w:rsidRPr="00CD4E55">
        <w:t>§ </w:t>
      </w:r>
      <w:r w:rsidRPr="00CD4E55">
        <w:t>944 [</w:t>
      </w:r>
      <w:r w:rsidRPr="00CD4E55">
        <w:t xml:space="preserve">a homeowner may recover </w:t>
      </w:r>
      <w:r w:rsidRPr="00CD4E55">
        <w:t>“</w:t>
      </w:r>
      <w:r w:rsidRPr="00CD4E55">
        <w:rPr>
          <w:szCs w:val="26"/>
          <w:shd w:val="clear" w:color="auto" w:fill="FFFFFF"/>
        </w:rPr>
        <w:t>the reasonable cost of repairing and rectifying any damage</w:t>
      </w:r>
      <w:r w:rsidRPr="00CD4E55">
        <w:rPr>
          <w:szCs w:val="26"/>
          <w:shd w:val="clear" w:color="auto" w:fill="FFFFFF"/>
        </w:rPr>
        <w:t>s resulting from the failure of the home to meet the standards”]</w:t>
      </w:r>
      <w:r w:rsidRPr="00CD4E55">
        <w:rPr>
          <w:szCs w:val="26"/>
          <w:shd w:val="clear" w:color="auto" w:fill="FFFFFF"/>
        </w:rPr>
        <w:t>; see § 896 [</w:t>
      </w:r>
      <w:r>
        <w:rPr>
          <w:szCs w:val="26"/>
          <w:shd w:val="clear" w:color="auto" w:fill="FFFFFF"/>
        </w:rPr>
        <w:t xml:space="preserve">the </w:t>
      </w:r>
      <w:r w:rsidRPr="00CD4E55">
        <w:rPr>
          <w:szCs w:val="26"/>
          <w:shd w:val="clear" w:color="auto" w:fill="FFFFFF"/>
        </w:rPr>
        <w:t>Act applies to “recovery of damages arising out of, or related to” construction defects]</w:t>
      </w:r>
      <w:r w:rsidRPr="00CD4E55">
        <w:rPr>
          <w:szCs w:val="26"/>
          <w:shd w:val="clear" w:color="auto" w:fill="FFFFFF"/>
        </w:rPr>
        <w:t>.)</w:t>
      </w:r>
      <w:r w:rsidRPr="00CD4E55">
        <w:t xml:space="preserve">  </w:t>
      </w:r>
      <w:r w:rsidRPr="00CD4E55">
        <w:t xml:space="preserve">This places </w:t>
      </w:r>
      <w:r w:rsidRPr="00CD4E55">
        <w:t>cla</w:t>
      </w:r>
      <w:r w:rsidRPr="00CD4E55">
        <w:t>i</w:t>
      </w:r>
      <w:r w:rsidRPr="00CD4E55">
        <w:t xml:space="preserve">ms </w:t>
      </w:r>
      <w:r w:rsidRPr="00CD4E55">
        <w:t>involving property damage</w:t>
      </w:r>
      <w:r>
        <w:t>s</w:t>
      </w:r>
      <w:r w:rsidRPr="00CD4E55">
        <w:t xml:space="preserve"> </w:t>
      </w:r>
      <w:r w:rsidRPr="00CD4E55">
        <w:t>with</w:t>
      </w:r>
      <w:r>
        <w:t xml:space="preserve">in the </w:t>
      </w:r>
      <w:r w:rsidRPr="00CD4E55">
        <w:t xml:space="preserve">purview of </w:t>
      </w:r>
      <w:r w:rsidRPr="00CD4E55">
        <w:t xml:space="preserve">section </w:t>
      </w:r>
      <w:r w:rsidRPr="00CD4E55">
        <w:t>943</w:t>
      </w:r>
      <w:r w:rsidRPr="00CD4E55">
        <w:t xml:space="preserve">, </w:t>
      </w:r>
      <w:r w:rsidRPr="00CD4E55">
        <w:t>subdivision (</w:t>
      </w:r>
      <w:r w:rsidRPr="00CD4E55">
        <w:t>a</w:t>
      </w:r>
      <w:r w:rsidRPr="00CD4E55">
        <w:t>)</w:t>
      </w:r>
      <w:r w:rsidRPr="00CD4E55">
        <w:t>, which make</w:t>
      </w:r>
      <w:r>
        <w:t>s a claim under the Act the exclusive</w:t>
      </w:r>
      <w:r w:rsidRPr="00CD4E55">
        <w:t xml:space="preserve"> way to reco</w:t>
      </w:r>
      <w:r w:rsidRPr="00CD4E55">
        <w:t>ver such damages.  And unlike personal injury</w:t>
      </w:r>
      <w:r>
        <w:t xml:space="preserve"> claims</w:t>
      </w:r>
      <w:r w:rsidRPr="00CD4E55">
        <w:t xml:space="preserve">, </w:t>
      </w:r>
      <w:r>
        <w:t xml:space="preserve">negligence and strict liability </w:t>
      </w:r>
      <w:r w:rsidRPr="00CD4E55">
        <w:t>claims for property damage</w:t>
      </w:r>
      <w:r>
        <w:t>s</w:t>
      </w:r>
      <w:r w:rsidRPr="00CD4E55">
        <w:t xml:space="preserve"> are not</w:t>
      </w:r>
      <w:r w:rsidRPr="00CD4E55">
        <w:t xml:space="preserve"> among the few </w:t>
      </w:r>
      <w:r w:rsidRPr="00CD4E55">
        <w:t>types of claims expressly except</w:t>
      </w:r>
      <w:r w:rsidRPr="00CD4E55">
        <w:t xml:space="preserve">ed from </w:t>
      </w:r>
      <w:r w:rsidRPr="00CD4E55">
        <w:t>sect</w:t>
      </w:r>
      <w:r w:rsidRPr="00CD4E55">
        <w:t>ion 943’s exclusivity</w:t>
      </w:r>
      <w:r w:rsidRPr="00CD4E55">
        <w:t>.</w:t>
      </w:r>
      <w:r w:rsidRPr="00CD4E55">
        <w:t xml:space="preserve"> </w:t>
      </w:r>
      <w:r w:rsidRPr="00CD4E55">
        <w:t xml:space="preserve"> </w:t>
      </w:r>
      <w:r w:rsidRPr="00CD4E55">
        <w:t>(§ </w:t>
      </w:r>
      <w:r w:rsidRPr="00CD4E55">
        <w:t>943, subd. </w:t>
      </w:r>
      <w:r w:rsidRPr="00CD4E55">
        <w:t>(a)</w:t>
      </w:r>
      <w:r>
        <w:t>; see § 931 [no</w:t>
      </w:r>
      <w:r w:rsidRPr="00CD4E55">
        <w:t xml:space="preserve">ting claims for personal injury, but not property damage, </w:t>
      </w:r>
      <w:r>
        <w:t>fall outside</w:t>
      </w:r>
      <w:r w:rsidRPr="00CD4E55">
        <w:t xml:space="preserve"> the Act’s coverage]</w:t>
      </w:r>
      <w:r w:rsidRPr="00CD4E55">
        <w:t>.)</w:t>
      </w:r>
    </w:p>
    <w:p w:rsidR="00262C1D" w:rsidRPr="00CD4E55" w:rsidRDefault="00EF3834" w:rsidP="00262C1D">
      <w:pPr>
        <w:tabs>
          <w:tab w:val="left" w:pos="1440"/>
        </w:tabs>
        <w:spacing w:line="480" w:lineRule="atLeast"/>
        <w:ind w:firstLine="720"/>
      </w:pPr>
      <w:r>
        <w:t xml:space="preserve">To sum up </w:t>
      </w:r>
      <w:r w:rsidRPr="00CD4E55">
        <w:t xml:space="preserve">this </w:t>
      </w:r>
      <w:r w:rsidRPr="00CD4E55">
        <w:t xml:space="preserve">portion of the </w:t>
      </w:r>
      <w:r>
        <w:t>statutory scheme</w:t>
      </w:r>
      <w:r>
        <w:t>:</w:t>
      </w:r>
      <w:r w:rsidRPr="00CD4E55">
        <w:t xml:space="preserve">  For economic losses, the Legislature intended to supersede</w:t>
      </w:r>
      <w:r w:rsidRPr="00CD4E55">
        <w:t xml:space="preserve"> </w:t>
      </w:r>
      <w:proofErr w:type="spellStart"/>
      <w:r w:rsidRPr="00CD4E55">
        <w:rPr>
          <w:i/>
        </w:rPr>
        <w:t>Aas</w:t>
      </w:r>
      <w:proofErr w:type="spellEnd"/>
      <w:r>
        <w:t xml:space="preserve"> </w:t>
      </w:r>
      <w:r w:rsidRPr="00CD4E55">
        <w:t xml:space="preserve">and provide a statutory basis for recovery.  For personal injuries, the Legislature preserved the status quo, retaining the common law as </w:t>
      </w:r>
      <w:r w:rsidRPr="00CD4E55">
        <w:t>an avenue for recovery.  And for</w:t>
      </w:r>
      <w:r w:rsidRPr="00CD4E55">
        <w:t xml:space="preserve"> property damage, the Le</w:t>
      </w:r>
      <w:r w:rsidRPr="00CD4E55">
        <w:t xml:space="preserve">gislature replaced the </w:t>
      </w:r>
      <w:r w:rsidRPr="00CD4E55">
        <w:t>common law methods of recovery wit</w:t>
      </w:r>
      <w:r w:rsidRPr="00CD4E55">
        <w:t>h the new st</w:t>
      </w:r>
      <w:r w:rsidRPr="00CD4E55">
        <w:t>atutory scheme</w:t>
      </w:r>
      <w:r>
        <w:t xml:space="preserve">.  The Act, in effect, provides </w:t>
      </w:r>
      <w:r w:rsidRPr="00CD4E55">
        <w:t>that construction defect</w:t>
      </w:r>
      <w:r w:rsidRPr="00CD4E55">
        <w:t xml:space="preserve"> claims not involving personal injury </w:t>
      </w:r>
      <w:r>
        <w:t xml:space="preserve">will </w:t>
      </w:r>
      <w:r w:rsidRPr="00CD4E55">
        <w:t>be treated the s</w:t>
      </w:r>
      <w:r>
        <w:t xml:space="preserve">ame procedurally going forward whether or not </w:t>
      </w:r>
      <w:r>
        <w:t>the underlying defects</w:t>
      </w:r>
      <w:r w:rsidRPr="00CD4E55">
        <w:t xml:space="preserve"> </w:t>
      </w:r>
      <w:r>
        <w:t>gave rise to</w:t>
      </w:r>
      <w:r w:rsidRPr="00CD4E55">
        <w:t xml:space="preserve"> any property damage.</w:t>
      </w:r>
    </w:p>
    <w:p w:rsidR="005E7A69" w:rsidRDefault="00EF3834" w:rsidP="00262C1D">
      <w:pPr>
        <w:tabs>
          <w:tab w:val="left" w:pos="1440"/>
        </w:tabs>
        <w:spacing w:line="480" w:lineRule="atLeast"/>
        <w:ind w:firstLine="720"/>
      </w:pPr>
      <w:r w:rsidRPr="00CD4E55">
        <w:lastRenderedPageBreak/>
        <w:t>As with sect</w:t>
      </w:r>
      <w:r w:rsidRPr="00CD4E55">
        <w:t>ion 896, the Van Tassels argue that section 943, subdivision (a) should be read to make the Ac</w:t>
      </w:r>
      <w:r>
        <w:t>t the exclusive remedy only for</w:t>
      </w:r>
      <w:r w:rsidRPr="00CD4E55">
        <w:t xml:space="preserve"> claims concerning defects that have yet to cause </w:t>
      </w:r>
      <w:r>
        <w:t>damage.</w:t>
      </w:r>
      <w:r>
        <w:t xml:space="preserve">  But t</w:t>
      </w:r>
      <w:r w:rsidRPr="00CD4E55">
        <w:t>his view cannot be reconciled with the portion of section 943, subd</w:t>
      </w:r>
      <w:r w:rsidRPr="00CD4E55">
        <w:t>ivision (a) making the Act the exclusive means of recovering any of the categories of damages listed in section 944</w:t>
      </w:r>
      <w:r>
        <w:t xml:space="preserve"> </w:t>
      </w:r>
      <w:r w:rsidRPr="00CD4E55">
        <w:t>—</w:t>
      </w:r>
      <w:r>
        <w:t xml:space="preserve"> </w:t>
      </w:r>
      <w:r w:rsidRPr="00CD4E55">
        <w:t xml:space="preserve">categories that, as </w:t>
      </w:r>
      <w:r>
        <w:t>noted</w:t>
      </w:r>
      <w:r w:rsidRPr="00CD4E55">
        <w:t>, include resulting damages from construction defects, not just economic loss.</w:t>
      </w:r>
      <w:r>
        <w:t xml:space="preserve">  Moreover, if the </w:t>
      </w:r>
      <w:r>
        <w:t xml:space="preserve">only purpose of the </w:t>
      </w:r>
      <w:r>
        <w:t xml:space="preserve">Act’s creation of a statutory claim </w:t>
      </w:r>
      <w:r>
        <w:t>was to abrogate</w:t>
      </w:r>
      <w:r w:rsidRPr="00CD4E55">
        <w:t xml:space="preserve"> the </w:t>
      </w:r>
      <w:proofErr w:type="spellStart"/>
      <w:r w:rsidRPr="00CD4E55">
        <w:rPr>
          <w:i/>
        </w:rPr>
        <w:t>Aas</w:t>
      </w:r>
      <w:proofErr w:type="spellEnd"/>
      <w:r>
        <w:t xml:space="preserve"> rule for negligence claims</w:t>
      </w:r>
      <w:r>
        <w:t xml:space="preserve"> and </w:t>
      </w:r>
      <w:r>
        <w:t xml:space="preserve">provide </w:t>
      </w:r>
      <w:r w:rsidRPr="00CD4E55">
        <w:t xml:space="preserve">for </w:t>
      </w:r>
      <w:r>
        <w:t xml:space="preserve">recovery of </w:t>
      </w:r>
      <w:r w:rsidRPr="00CD4E55">
        <w:t>economic loss</w:t>
      </w:r>
      <w:r>
        <w:t>es</w:t>
      </w:r>
      <w:r>
        <w:t xml:space="preserve">, </w:t>
      </w:r>
      <w:r>
        <w:t>the Act’s</w:t>
      </w:r>
      <w:r>
        <w:t xml:space="preserve"> provisions would have had no effect</w:t>
      </w:r>
      <w:r w:rsidRPr="00CD4E55">
        <w:t xml:space="preserve"> </w:t>
      </w:r>
      <w:r>
        <w:t xml:space="preserve">on </w:t>
      </w:r>
      <w:r w:rsidRPr="00CD4E55">
        <w:t>actions for breach of contract, fraud, or personal inju</w:t>
      </w:r>
      <w:r w:rsidRPr="00CD4E55">
        <w:t>ry</w:t>
      </w:r>
      <w:r>
        <w:t xml:space="preserve">.  </w:t>
      </w:r>
      <w:r>
        <w:t>Had that been the limit of the Legislature’s i</w:t>
      </w:r>
      <w:r>
        <w:t>ntent, the</w:t>
      </w:r>
      <w:r>
        <w:t xml:space="preserve"> i</w:t>
      </w:r>
      <w:r>
        <w:t xml:space="preserve">nclusion of </w:t>
      </w:r>
      <w:r>
        <w:t xml:space="preserve">an </w:t>
      </w:r>
      <w:r>
        <w:t xml:space="preserve">exception </w:t>
      </w:r>
      <w:r>
        <w:t xml:space="preserve">expressly </w:t>
      </w:r>
      <w:r>
        <w:t>preserving such claims</w:t>
      </w:r>
      <w:r>
        <w:t xml:space="preserve"> would have been unnecessary</w:t>
      </w:r>
      <w:r>
        <w:t xml:space="preserve">.  </w:t>
      </w:r>
      <w:r w:rsidRPr="00CD4E55">
        <w:t>(</w:t>
      </w:r>
      <w:r>
        <w:t>§ 943, subd. </w:t>
      </w:r>
      <w:r w:rsidRPr="00CD4E55">
        <w:t>(a) [“this title does not apply to any action by a claimant to enforce a contract or expres</w:t>
      </w:r>
      <w:r w:rsidRPr="00CD4E55">
        <w:t>s contractual provision, or any action for fraud, personal injury, or violation of a statute”].)</w:t>
      </w:r>
    </w:p>
    <w:p w:rsidR="008F321C" w:rsidRPr="00CD4E55" w:rsidRDefault="00EF3834" w:rsidP="00BD7334">
      <w:pPr>
        <w:tabs>
          <w:tab w:val="left" w:pos="1440"/>
        </w:tabs>
        <w:spacing w:line="480" w:lineRule="atLeast"/>
        <w:ind w:firstLine="720"/>
      </w:pPr>
      <w:r>
        <w:t>S</w:t>
      </w:r>
      <w:r>
        <w:t>ection 897, which applies to</w:t>
      </w:r>
      <w:r w:rsidRPr="00CD4E55">
        <w:t xml:space="preserve"> elements of constru</w:t>
      </w:r>
      <w:r>
        <w:t xml:space="preserve">ction not otherwise addressed in </w:t>
      </w:r>
      <w:r w:rsidRPr="00CD4E55">
        <w:t>section 896</w:t>
      </w:r>
      <w:r>
        <w:t>, is also relevant</w:t>
      </w:r>
      <w:r w:rsidRPr="00CD4E55">
        <w:t xml:space="preserve">.  </w:t>
      </w:r>
      <w:r>
        <w:t xml:space="preserve">Although </w:t>
      </w:r>
      <w:r>
        <w:t>section 896 was intended to be compr</w:t>
      </w:r>
      <w:r>
        <w:t xml:space="preserve">ehensive, </w:t>
      </w:r>
      <w:r>
        <w:t xml:space="preserve">section 897 provides a </w:t>
      </w:r>
      <w:r>
        <w:t>supplemental</w:t>
      </w:r>
      <w:r>
        <w:t xml:space="preserve"> standard</w:t>
      </w:r>
      <w:r>
        <w:t xml:space="preserve"> for any building components that section 896 may have overlooked</w:t>
      </w:r>
      <w:r>
        <w:t>:</w:t>
      </w:r>
      <w:r>
        <w:t xml:space="preserve">  A</w:t>
      </w:r>
      <w:r>
        <w:t xml:space="preserve">ny part not otherwise covered is defective and </w:t>
      </w:r>
      <w:r w:rsidRPr="00CD4E55">
        <w:t>“actionable i</w:t>
      </w:r>
      <w:r>
        <w:t xml:space="preserve">f it </w:t>
      </w:r>
      <w:r>
        <w:t>causes damage.”</w:t>
      </w:r>
      <w:r w:rsidRPr="00CD4E55">
        <w:t xml:space="preserve">  This use of damage to measure defectiveness is not </w:t>
      </w:r>
      <w:r w:rsidRPr="00CD4E55">
        <w:t>unusual; many of the more specific standards in section</w:t>
      </w:r>
      <w:r>
        <w:t xml:space="preserve"> 896 likewise use the causation of damage </w:t>
      </w:r>
      <w:r w:rsidRPr="00CD4E55">
        <w:t>as part of the test for whether a given pa</w:t>
      </w:r>
      <w:r>
        <w:t xml:space="preserve">rt is defective.  (§ 896, </w:t>
      </w:r>
      <w:proofErr w:type="spellStart"/>
      <w:r>
        <w:t>subds</w:t>
      </w:r>
      <w:proofErr w:type="spellEnd"/>
      <w:r>
        <w:t>. </w:t>
      </w:r>
      <w:r w:rsidRPr="00CD4E55">
        <w:rPr>
          <w:szCs w:val="26"/>
        </w:rPr>
        <w:t>(a)(3), (6), (7), (9), (11), (12), (18), (c)(1).)</w:t>
      </w:r>
      <w:r>
        <w:rPr>
          <w:szCs w:val="26"/>
        </w:rPr>
        <w:t xml:space="preserve">  </w:t>
      </w:r>
      <w:r>
        <w:rPr>
          <w:szCs w:val="26"/>
        </w:rPr>
        <w:t>Thus, a</w:t>
      </w:r>
      <w:r>
        <w:rPr>
          <w:szCs w:val="26"/>
        </w:rPr>
        <w:t xml:space="preserve"> claim under the Act, whet</w:t>
      </w:r>
      <w:r>
        <w:rPr>
          <w:szCs w:val="26"/>
        </w:rPr>
        <w:t xml:space="preserve">her predicated on a violation of section 896 or </w:t>
      </w:r>
      <w:r>
        <w:rPr>
          <w:szCs w:val="26"/>
        </w:rPr>
        <w:t xml:space="preserve">section </w:t>
      </w:r>
      <w:r>
        <w:rPr>
          <w:szCs w:val="26"/>
        </w:rPr>
        <w:t xml:space="preserve">897, often </w:t>
      </w:r>
      <w:r>
        <w:rPr>
          <w:szCs w:val="26"/>
        </w:rPr>
        <w:t xml:space="preserve">may </w:t>
      </w:r>
      <w:r>
        <w:rPr>
          <w:szCs w:val="26"/>
        </w:rPr>
        <w:t>involve circumstances where an alleged defect h</w:t>
      </w:r>
      <w:r>
        <w:rPr>
          <w:szCs w:val="26"/>
        </w:rPr>
        <w:t>as resulted in property damage.</w:t>
      </w:r>
    </w:p>
    <w:p w:rsidR="00C732D5" w:rsidRPr="009236D3" w:rsidRDefault="00EF3834" w:rsidP="00087C40">
      <w:pPr>
        <w:tabs>
          <w:tab w:val="left" w:pos="1440"/>
        </w:tabs>
        <w:spacing w:line="480" w:lineRule="atLeast"/>
        <w:ind w:firstLine="720"/>
      </w:pPr>
      <w:r w:rsidRPr="00CD4E55">
        <w:t>The Van Tassels read section 897 as p</w:t>
      </w:r>
      <w:r>
        <w:t>roviding that any defect</w:t>
      </w:r>
      <w:r w:rsidRPr="00CD4E55">
        <w:t xml:space="preserve"> co</w:t>
      </w:r>
      <w:r>
        <w:t>vered by that section</w:t>
      </w:r>
      <w:r>
        <w:t xml:space="preserve"> </w:t>
      </w:r>
      <w:r>
        <w:t>can form the</w:t>
      </w:r>
      <w:r w:rsidRPr="00CD4E55">
        <w:t xml:space="preserve"> basis </w:t>
      </w:r>
      <w:r>
        <w:t xml:space="preserve">of </w:t>
      </w:r>
      <w:r>
        <w:t xml:space="preserve">a </w:t>
      </w:r>
      <w:r>
        <w:t xml:space="preserve">suit under the common law rather than under </w:t>
      </w:r>
      <w:r>
        <w:lastRenderedPageBreak/>
        <w:t>the Act.  Again, t</w:t>
      </w:r>
      <w:r w:rsidRPr="00CD4E55">
        <w:t>he statutory text and context do not sup</w:t>
      </w:r>
      <w:r>
        <w:t>port this reading.  First, when</w:t>
      </w:r>
      <w:r w:rsidRPr="00CD4E55">
        <w:t xml:space="preserve"> the Legislature intended to preserve common law claims as </w:t>
      </w:r>
      <w:r>
        <w:t>a complement</w:t>
      </w:r>
      <w:r w:rsidRPr="00CD4E55">
        <w:t xml:space="preserve"> to claims under the Act, it did so expressly. </w:t>
      </w:r>
      <w:r w:rsidRPr="00CD4E55">
        <w:t xml:space="preserve"> (</w:t>
      </w:r>
      <w:r>
        <w:t>§§ 931, 943, subd. </w:t>
      </w:r>
      <w:r w:rsidRPr="00CD4E55">
        <w:t>(a)</w:t>
      </w:r>
      <w:r w:rsidRPr="00CD4E55">
        <w:t>;</w:t>
      </w:r>
      <w:r>
        <w:t xml:space="preserve"> see</w:t>
      </w:r>
      <w:r w:rsidRPr="00CD4E55">
        <w:t xml:space="preserve"> </w:t>
      </w:r>
      <w:proofErr w:type="spellStart"/>
      <w:r w:rsidRPr="00CD4E55">
        <w:rPr>
          <w:i/>
        </w:rPr>
        <w:t>Gi</w:t>
      </w:r>
      <w:r>
        <w:rPr>
          <w:i/>
        </w:rPr>
        <w:t>l</w:t>
      </w:r>
      <w:r w:rsidRPr="00CD4E55">
        <w:rPr>
          <w:i/>
        </w:rPr>
        <w:t>lotti</w:t>
      </w:r>
      <w:proofErr w:type="spellEnd"/>
      <w:r w:rsidRPr="00CD4E55">
        <w:rPr>
          <w:i/>
        </w:rPr>
        <w:t xml:space="preserve"> v. Stewart</w:t>
      </w:r>
      <w:r>
        <w:t xml:space="preserve"> </w:t>
      </w:r>
      <w:r>
        <w:t xml:space="preserve">(2017) </w:t>
      </w:r>
      <w:r>
        <w:t xml:space="preserve">11 Cal.App.5th </w:t>
      </w:r>
      <w:r>
        <w:t>875,</w:t>
      </w:r>
      <w:r>
        <w:t xml:space="preserve"> 894</w:t>
      </w:r>
      <w:r w:rsidRPr="00CD4E55">
        <w:t>.)</w:t>
      </w:r>
      <w:r w:rsidRPr="00CD4E55">
        <w:t xml:space="preserve">  No similar language appears in section 897 to suggest violations of its </w:t>
      </w:r>
      <w:r>
        <w:t xml:space="preserve">catchall </w:t>
      </w:r>
      <w:r w:rsidRPr="00CD4E55">
        <w:t>standard may be pursued in a common law negligence or strict liability action outside the p</w:t>
      </w:r>
      <w:r w:rsidRPr="00CD4E55">
        <w:t xml:space="preserve">arameters of </w:t>
      </w:r>
      <w:r>
        <w:t xml:space="preserve">the Act.  Second, </w:t>
      </w:r>
      <w:r>
        <w:t>other parts of the Act treat</w:t>
      </w:r>
      <w:r w:rsidRPr="00CD4E55">
        <w:t xml:space="preserve"> se</w:t>
      </w:r>
      <w:r>
        <w:t>ctions 896 and 897 as</w:t>
      </w:r>
      <w:r>
        <w:t xml:space="preserve"> a unified and connected whole</w:t>
      </w:r>
      <w:r>
        <w:t>.  (S</w:t>
      </w:r>
      <w:r>
        <w:t xml:space="preserve">ee </w:t>
      </w:r>
      <w:r>
        <w:t>§</w:t>
      </w:r>
      <w:r>
        <w:t>§ 910 [requir</w:t>
      </w:r>
      <w:r w:rsidRPr="00CD4E55">
        <w:t xml:space="preserve">ing </w:t>
      </w:r>
      <w:r>
        <w:t xml:space="preserve">exhaustion of prelitigation procedures in all cases where </w:t>
      </w:r>
      <w:r w:rsidRPr="00CD4E55">
        <w:t>“</w:t>
      </w:r>
      <w:r>
        <w:t xml:space="preserve">a violation of </w:t>
      </w:r>
      <w:r w:rsidRPr="00CD4E55">
        <w:t>the standards set forth in Chapter 2 [§§ 89</w:t>
      </w:r>
      <w:r w:rsidRPr="00CD4E55">
        <w:t>6–897]”</w:t>
      </w:r>
      <w:r>
        <w:t xml:space="preserve"> is alleged</w:t>
      </w:r>
      <w:r w:rsidRPr="00CD4E55">
        <w:t>]</w:t>
      </w:r>
      <w:r>
        <w:t xml:space="preserve">, 942 [establishing rules for “a claim for violation of the standards set forth in Chapter 2 </w:t>
      </w:r>
      <w:r w:rsidRPr="00CD4E55">
        <w:t>[§§ 896–897]”</w:t>
      </w:r>
      <w:r>
        <w:t>].</w:t>
      </w:r>
      <w:r>
        <w:t>)</w:t>
      </w:r>
      <w:r>
        <w:t xml:space="preserve">  Such treatment is at </w:t>
      </w:r>
      <w:r>
        <w:t>odds with the Van Tassels’</w:t>
      </w:r>
      <w:r>
        <w:t xml:space="preserve"> proposal that section 897, unlike section 896, may be enforced at common law</w:t>
      </w:r>
      <w:r>
        <w:t>.</w:t>
      </w:r>
      <w:r>
        <w:t xml:space="preserve"> </w:t>
      </w:r>
      <w:r>
        <w:t xml:space="preserve"> </w:t>
      </w:r>
      <w:r>
        <w:t>W</w:t>
      </w:r>
      <w:r>
        <w:t xml:space="preserve">ere </w:t>
      </w:r>
      <w:r>
        <w:t xml:space="preserve">we </w:t>
      </w:r>
      <w:r>
        <w:t xml:space="preserve">to agree with the Van Tassels </w:t>
      </w:r>
      <w:r w:rsidRPr="00CD4E55">
        <w:t>that a defect standard based on damage causation reflects a legislative intent to preserve a common</w:t>
      </w:r>
      <w:r>
        <w:t xml:space="preserve"> law claim for </w:t>
      </w:r>
      <w:r>
        <w:t xml:space="preserve">such </w:t>
      </w:r>
      <w:r>
        <w:t>defect</w:t>
      </w:r>
      <w:r>
        <w:t>s</w:t>
      </w:r>
      <w:r>
        <w:t>,</w:t>
      </w:r>
      <w:r>
        <w:t xml:space="preserve"> this would create difficulties in applying section 896</w:t>
      </w:r>
      <w:r>
        <w:t xml:space="preserve">.  That section </w:t>
      </w:r>
      <w:r>
        <w:t xml:space="preserve">measures defectiveness for </w:t>
      </w:r>
      <w:r>
        <w:t>so</w:t>
      </w:r>
      <w:r>
        <w:t>me but not all building components by</w:t>
      </w:r>
      <w:r w:rsidRPr="00CD4E55">
        <w:t xml:space="preserve"> whether damage was </w:t>
      </w:r>
      <w:r>
        <w:t>caused</w:t>
      </w:r>
      <w:r w:rsidRPr="00CD4E55">
        <w:t xml:space="preserve"> and</w:t>
      </w:r>
      <w:r>
        <w:t xml:space="preserve">, </w:t>
      </w:r>
      <w:r w:rsidRPr="00CD4E55">
        <w:t>under the Van Tassels’ reading</w:t>
      </w:r>
      <w:r>
        <w:t>,</w:t>
      </w:r>
      <w:r w:rsidRPr="00CD4E55">
        <w:t xml:space="preserve"> </w:t>
      </w:r>
      <w:r>
        <w:t>w</w:t>
      </w:r>
      <w:r>
        <w:t>ould support a common law claim</w:t>
      </w:r>
      <w:r>
        <w:t xml:space="preserve"> for </w:t>
      </w:r>
      <w:r w:rsidRPr="00CD4E55">
        <w:t xml:space="preserve">some but not all </w:t>
      </w:r>
      <w:r>
        <w:t>standard violations</w:t>
      </w:r>
      <w:r>
        <w:t>.  (Compare</w:t>
      </w:r>
      <w:r>
        <w:t xml:space="preserve"> § </w:t>
      </w:r>
      <w:r>
        <w:t xml:space="preserve">896, </w:t>
      </w:r>
      <w:proofErr w:type="spellStart"/>
      <w:r>
        <w:t>subd</w:t>
      </w:r>
      <w:r>
        <w:t>s</w:t>
      </w:r>
      <w:proofErr w:type="spellEnd"/>
      <w:r>
        <w:t>. </w:t>
      </w:r>
      <w:r w:rsidRPr="00CD4E55">
        <w:t>(a)(3), (6), (7), (11), (12</w:t>
      </w:r>
      <w:r w:rsidRPr="00CD4E55">
        <w:t>)</w:t>
      </w:r>
      <w:r>
        <w:t xml:space="preserve">, (18), (c)(1) [setting out </w:t>
      </w:r>
      <w:r w:rsidRPr="00CD4E55">
        <w:t xml:space="preserve">standards </w:t>
      </w:r>
      <w:r>
        <w:t xml:space="preserve">for various components </w:t>
      </w:r>
      <w:r w:rsidRPr="00CD4E55">
        <w:t>th</w:t>
      </w:r>
      <w:r>
        <w:t xml:space="preserve">at </w:t>
      </w:r>
      <w:r w:rsidRPr="00CD4E55">
        <w:t>depend on damage]</w:t>
      </w:r>
      <w:r>
        <w:t xml:space="preserve"> </w:t>
      </w:r>
      <w:r w:rsidRPr="00CD4E55">
        <w:t xml:space="preserve">with </w:t>
      </w:r>
      <w:r w:rsidRPr="00CD4E55">
        <w:rPr>
          <w:i/>
        </w:rPr>
        <w:t>id.</w:t>
      </w:r>
      <w:r w:rsidRPr="00CD4E55">
        <w:t xml:space="preserve">, </w:t>
      </w:r>
      <w:proofErr w:type="spellStart"/>
      <w:r w:rsidRPr="00CD4E55">
        <w:t>subd</w:t>
      </w:r>
      <w:r>
        <w:t>s</w:t>
      </w:r>
      <w:proofErr w:type="spellEnd"/>
      <w:r w:rsidRPr="00CD4E55">
        <w:t>.</w:t>
      </w:r>
      <w:r>
        <w:t> </w:t>
      </w:r>
      <w:r>
        <w:t>(a)(4), (14</w:t>
      </w:r>
      <w:r w:rsidRPr="00CD4E55">
        <w:t>)</w:t>
      </w:r>
      <w:r>
        <w:t>–(17), (b)(1)–(4), (d)</w:t>
      </w:r>
      <w:r>
        <w:t>–</w:t>
      </w:r>
      <w:r>
        <w:t>(f)</w:t>
      </w:r>
      <w:r w:rsidRPr="00CD4E55">
        <w:t xml:space="preserve"> [setting out s</w:t>
      </w:r>
      <w:r>
        <w:t xml:space="preserve">tandards for other components </w:t>
      </w:r>
      <w:r w:rsidRPr="00CD4E55">
        <w:t>that do not depend on damage]</w:t>
      </w:r>
      <w:r w:rsidRPr="00CD4E55">
        <w:t>.)</w:t>
      </w:r>
      <w:r>
        <w:t xml:space="preserve">  Had the Legislature intended such a se</w:t>
      </w:r>
      <w:r>
        <w:t xml:space="preserve">lective preservation of common law remedies, </w:t>
      </w:r>
      <w:r>
        <w:t xml:space="preserve">we think </w:t>
      </w:r>
      <w:r>
        <w:t>it would have said so, as it did elsewhere.</w:t>
      </w:r>
    </w:p>
    <w:p w:rsidR="003D43C0" w:rsidRDefault="00EF3834" w:rsidP="00BF65BB">
      <w:pPr>
        <w:tabs>
          <w:tab w:val="left" w:pos="1440"/>
        </w:tabs>
        <w:spacing w:line="480" w:lineRule="atLeast"/>
        <w:ind w:firstLine="720"/>
      </w:pPr>
      <w:r>
        <w:rPr>
          <w:szCs w:val="26"/>
        </w:rPr>
        <w:t>Against these textual inferences, t</w:t>
      </w:r>
      <w:r w:rsidRPr="00402B54">
        <w:rPr>
          <w:szCs w:val="26"/>
        </w:rPr>
        <w:t xml:space="preserve">he Van Tassels </w:t>
      </w:r>
      <w:r>
        <w:rPr>
          <w:szCs w:val="26"/>
        </w:rPr>
        <w:t xml:space="preserve">point to </w:t>
      </w:r>
      <w:r>
        <w:rPr>
          <w:szCs w:val="26"/>
        </w:rPr>
        <w:t xml:space="preserve">other portions of the Act </w:t>
      </w:r>
      <w:r>
        <w:rPr>
          <w:szCs w:val="26"/>
        </w:rPr>
        <w:t xml:space="preserve">that purportedly </w:t>
      </w:r>
      <w:r>
        <w:rPr>
          <w:szCs w:val="26"/>
        </w:rPr>
        <w:t>preserve common law claims and confine the Act’s preliti</w:t>
      </w:r>
      <w:r>
        <w:rPr>
          <w:szCs w:val="26"/>
        </w:rPr>
        <w:t xml:space="preserve">gation procedures to statutory claims under the Act.  (See §§ 910, 914, subd. (a), 942.)  Central to their argument is </w:t>
      </w:r>
      <w:r w:rsidRPr="00402B54">
        <w:rPr>
          <w:szCs w:val="26"/>
        </w:rPr>
        <w:t>section 910</w:t>
      </w:r>
      <w:r>
        <w:rPr>
          <w:szCs w:val="26"/>
        </w:rPr>
        <w:t xml:space="preserve">, which </w:t>
      </w:r>
      <w:r>
        <w:rPr>
          <w:szCs w:val="26"/>
        </w:rPr>
        <w:t xml:space="preserve">says: </w:t>
      </w:r>
      <w:r>
        <w:rPr>
          <w:szCs w:val="26"/>
        </w:rPr>
        <w:t xml:space="preserve"> </w:t>
      </w:r>
      <w:r w:rsidRPr="00CD4E55">
        <w:t xml:space="preserve">“Prior to </w:t>
      </w:r>
      <w:r w:rsidRPr="00CD4E55">
        <w:lastRenderedPageBreak/>
        <w:t xml:space="preserve">filing an action against any party alleged to have contributed to a violation of the standards set </w:t>
      </w:r>
      <w:r w:rsidRPr="00CD4E55">
        <w:t>forth in Chapter 2 (commencing with Section 896), the claimant shall initiate the following prelitigation procedures . . . .”</w:t>
      </w:r>
      <w:r>
        <w:t xml:space="preserve">  The Van Tassels contend</w:t>
      </w:r>
      <w:r>
        <w:t xml:space="preserve"> </w:t>
      </w:r>
      <w:r>
        <w:t xml:space="preserve">that </w:t>
      </w:r>
      <w:r>
        <w:t>this passage</w:t>
      </w:r>
      <w:r>
        <w:rPr>
          <w:szCs w:val="26"/>
        </w:rPr>
        <w:t xml:space="preserve"> </w:t>
      </w:r>
      <w:r w:rsidRPr="00402B54">
        <w:rPr>
          <w:szCs w:val="26"/>
        </w:rPr>
        <w:t>limi</w:t>
      </w:r>
      <w:r w:rsidRPr="00CD4E55">
        <w:t xml:space="preserve">ts the </w:t>
      </w:r>
      <w:r>
        <w:t xml:space="preserve">applicability of the Act’s </w:t>
      </w:r>
      <w:r w:rsidRPr="00CD4E55">
        <w:t>prelitigation procedures to cases where the compl</w:t>
      </w:r>
      <w:r w:rsidRPr="00CD4E55">
        <w:t>aint formally “allege[s]” the defendant has “contributed to a violation of the standards” set forth in the Act</w:t>
      </w:r>
      <w:r>
        <w:t xml:space="preserve">.  A </w:t>
      </w:r>
      <w:r>
        <w:t>common law claim for property damage that does not contain such formal allegations</w:t>
      </w:r>
      <w:r>
        <w:t>, they argue,</w:t>
      </w:r>
      <w:r>
        <w:t xml:space="preserve"> is exempt from the Act’s prelitigation proced</w:t>
      </w:r>
      <w:r>
        <w:t>ures.</w:t>
      </w:r>
      <w:r>
        <w:t xml:space="preserve">  </w:t>
      </w:r>
      <w:r>
        <w:t xml:space="preserve">But </w:t>
      </w:r>
      <w:r>
        <w:t xml:space="preserve">this </w:t>
      </w:r>
      <w:r>
        <w:t>reading of the statute</w:t>
      </w:r>
      <w:r>
        <w:t xml:space="preserve"> </w:t>
      </w:r>
      <w:r>
        <w:t xml:space="preserve">is difficult to reconcile with section 943, subdivision (a), which says:  </w:t>
      </w:r>
      <w:r>
        <w:t>“Except as provided in this title, no other cause of action for a claim covered by this title or for damages recoverable under Section 944 is a</w:t>
      </w:r>
      <w:r>
        <w:t xml:space="preserve">llowed.”  </w:t>
      </w:r>
      <w:r>
        <w:t>In other words, s</w:t>
      </w:r>
      <w:r>
        <w:t xml:space="preserve">ection 943 disallows claims </w:t>
      </w:r>
      <w:r>
        <w:t xml:space="preserve">other than those predicated on the Act’s standards, </w:t>
      </w:r>
      <w:r>
        <w:t>with exceptions not applicable here.</w:t>
      </w:r>
      <w:r>
        <w:t xml:space="preserve">  And if a claim for property damage alleges a violation of section 896 or section 897, then section 910 by its t</w:t>
      </w:r>
      <w:r>
        <w:t xml:space="preserve">erms subjects the claim to the Act’s prelitigation procedures.  </w:t>
      </w:r>
    </w:p>
    <w:p w:rsidR="00B0014D" w:rsidRDefault="00EF3834" w:rsidP="00BF65BB">
      <w:pPr>
        <w:tabs>
          <w:tab w:val="left" w:pos="1440"/>
        </w:tabs>
        <w:spacing w:line="480" w:lineRule="atLeast"/>
        <w:ind w:firstLine="720"/>
        <w:rPr>
          <w:rFonts w:cstheme="minorHAnsi"/>
          <w:bCs/>
          <w:szCs w:val="26"/>
        </w:rPr>
      </w:pPr>
      <w:r>
        <w:t>Finally, t</w:t>
      </w:r>
      <w:r>
        <w:t xml:space="preserve">he </w:t>
      </w:r>
      <w:r w:rsidRPr="00CD4E55">
        <w:t>Van Tassel</w:t>
      </w:r>
      <w:r>
        <w:t>s argue</w:t>
      </w:r>
      <w:r w:rsidRPr="00CD4E55">
        <w:t xml:space="preserve"> </w:t>
      </w:r>
      <w:r>
        <w:t xml:space="preserve">that </w:t>
      </w:r>
      <w:r w:rsidRPr="00CD4E55">
        <w:t>the presumption against abrogation of the common law requires an express statement that the Legislature intended t</w:t>
      </w:r>
      <w:r>
        <w:t xml:space="preserve">o displace existing remedies.  </w:t>
      </w:r>
      <w:r w:rsidRPr="00CD4E55">
        <w:t>It does no</w:t>
      </w:r>
      <w:r w:rsidRPr="00CD4E55">
        <w:t>t.  (</w:t>
      </w:r>
      <w:r>
        <w:rPr>
          <w:i/>
        </w:rPr>
        <w:t>A</w:t>
      </w:r>
      <w:r w:rsidRPr="00CD4E55">
        <w:rPr>
          <w:i/>
        </w:rPr>
        <w:t>nte</w:t>
      </w:r>
      <w:r w:rsidRPr="00CD4E55">
        <w:t xml:space="preserve">, </w:t>
      </w:r>
      <w:r>
        <w:t xml:space="preserve">at </w:t>
      </w:r>
      <w:r w:rsidRPr="00CD4E55">
        <w:t>p</w:t>
      </w:r>
      <w:r w:rsidRPr="00CD4E55">
        <w:t xml:space="preserve">. </w:t>
      </w:r>
      <w:r>
        <w:t>5</w:t>
      </w:r>
      <w:r w:rsidRPr="00CD4E55">
        <w:t xml:space="preserve">.)  Moreover, both sides agree </w:t>
      </w:r>
      <w:r>
        <w:t xml:space="preserve">that </w:t>
      </w:r>
      <w:r w:rsidRPr="00CD4E55">
        <w:t xml:space="preserve">the Legislature in passing the Act sought to abrogate the common law, even though the text contains no express statement of that intent.  They differ only in degree:  </w:t>
      </w:r>
      <w:r>
        <w:t>T</w:t>
      </w:r>
      <w:r>
        <w:t xml:space="preserve">he </w:t>
      </w:r>
      <w:r w:rsidRPr="00CD4E55">
        <w:t>Van Tassel</w:t>
      </w:r>
      <w:r>
        <w:t>s</w:t>
      </w:r>
      <w:r>
        <w:t xml:space="preserve"> contend </w:t>
      </w:r>
      <w:r>
        <w:t xml:space="preserve">that </w:t>
      </w:r>
      <w:r w:rsidRPr="00CD4E55">
        <w:t>the Le</w:t>
      </w:r>
      <w:r w:rsidRPr="00CD4E55">
        <w:t xml:space="preserve">gislature sought </w:t>
      </w:r>
      <w:r>
        <w:t xml:space="preserve">only </w:t>
      </w:r>
      <w:r w:rsidRPr="00CD4E55">
        <w:t xml:space="preserve">to overrule the common law limits on recovery identified in </w:t>
      </w:r>
      <w:proofErr w:type="spellStart"/>
      <w:r w:rsidRPr="00CD4E55">
        <w:rPr>
          <w:i/>
        </w:rPr>
        <w:t>Aas</w:t>
      </w:r>
      <w:proofErr w:type="spellEnd"/>
      <w:r w:rsidRPr="00CD4E55">
        <w:t xml:space="preserve">, </w:t>
      </w:r>
      <w:r>
        <w:t xml:space="preserve">whereas </w:t>
      </w:r>
      <w:proofErr w:type="spellStart"/>
      <w:r w:rsidRPr="00CD4E55">
        <w:t>McMillin</w:t>
      </w:r>
      <w:proofErr w:type="spellEnd"/>
      <w:r w:rsidRPr="00CD4E55">
        <w:t xml:space="preserve"> contends </w:t>
      </w:r>
      <w:r>
        <w:t xml:space="preserve">that </w:t>
      </w:r>
      <w:r w:rsidRPr="00CD4E55">
        <w:t>the Legislature went further</w:t>
      </w:r>
      <w:r>
        <w:t xml:space="preserve"> in supplanting certain common law claims with statutory ones</w:t>
      </w:r>
      <w:r w:rsidRPr="00CD4E55">
        <w:t>.</w:t>
      </w:r>
      <w:r>
        <w:t xml:space="preserve">  As explained above, </w:t>
      </w:r>
      <w:r>
        <w:t xml:space="preserve">we agree with </w:t>
      </w:r>
      <w:proofErr w:type="spellStart"/>
      <w:r>
        <w:t>McMillin</w:t>
      </w:r>
      <w:r>
        <w:t>’s</w:t>
      </w:r>
      <w:proofErr w:type="spellEnd"/>
      <w:r>
        <w:t xml:space="preserve"> </w:t>
      </w:r>
      <w:r>
        <w:t>reading of the Act.</w:t>
      </w:r>
    </w:p>
    <w:p w:rsidR="00AD2897" w:rsidRPr="00AD2897" w:rsidRDefault="00EF3834" w:rsidP="009653C0">
      <w:pPr>
        <w:keepNext/>
        <w:tabs>
          <w:tab w:val="left" w:pos="1440"/>
        </w:tabs>
        <w:spacing w:before="240" w:line="240" w:lineRule="atLeast"/>
        <w:jc w:val="center"/>
        <w:rPr>
          <w:b/>
        </w:rPr>
      </w:pPr>
      <w:r>
        <w:rPr>
          <w:b/>
        </w:rPr>
        <w:lastRenderedPageBreak/>
        <w:t>B</w:t>
      </w:r>
      <w:r>
        <w:rPr>
          <w:b/>
        </w:rPr>
        <w:t>.</w:t>
      </w:r>
    </w:p>
    <w:p w:rsidR="00215558" w:rsidRPr="00C01ABF" w:rsidRDefault="00EF3834">
      <w:pPr>
        <w:tabs>
          <w:tab w:val="left" w:pos="1440"/>
        </w:tabs>
        <w:spacing w:line="480" w:lineRule="atLeast"/>
        <w:ind w:firstLine="720"/>
      </w:pPr>
      <w:r w:rsidRPr="00CD4E55">
        <w:t xml:space="preserve">The </w:t>
      </w:r>
      <w:r w:rsidRPr="00CD4E55">
        <w:t>legislative history</w:t>
      </w:r>
      <w:r>
        <w:t xml:space="preserve"> of the Act</w:t>
      </w:r>
      <w:r>
        <w:t xml:space="preserve"> </w:t>
      </w:r>
      <w:r w:rsidRPr="00CD4E55">
        <w:t xml:space="preserve">confirms </w:t>
      </w:r>
      <w:r>
        <w:t xml:space="preserve">that </w:t>
      </w:r>
      <w:r w:rsidRPr="00CD4E55">
        <w:t xml:space="preserve">displacement of parts of the existing remedial scheme was </w:t>
      </w:r>
      <w:r w:rsidRPr="00CD4E55">
        <w:t xml:space="preserve">no accident, but rather </w:t>
      </w:r>
      <w:r w:rsidRPr="00CD4E55">
        <w:t>a considered ch</w:t>
      </w:r>
      <w:r>
        <w:t xml:space="preserve">oice to reform </w:t>
      </w:r>
      <w:r w:rsidRPr="00CD4E55">
        <w:t>constr</w:t>
      </w:r>
      <w:r w:rsidRPr="00CD4E55">
        <w:rPr>
          <w:szCs w:val="26"/>
        </w:rPr>
        <w:t>uction defect litigation.</w:t>
      </w:r>
    </w:p>
    <w:p w:rsidR="00815FD0" w:rsidRPr="00593063" w:rsidRDefault="00EF3834" w:rsidP="00815FD0">
      <w:pPr>
        <w:tabs>
          <w:tab w:val="left" w:pos="1440"/>
        </w:tabs>
        <w:spacing w:line="480" w:lineRule="atLeast"/>
        <w:ind w:firstLine="720"/>
        <w:rPr>
          <w:b/>
        </w:rPr>
      </w:pPr>
      <w:r>
        <w:t>First</w:t>
      </w:r>
      <w:r w:rsidRPr="00CD4E55">
        <w:t>, language in the Legislature’s ana</w:t>
      </w:r>
      <w:r w:rsidRPr="00CD4E55">
        <w:t xml:space="preserve">lyses of the Act’s effects reflects an intent that the Act would govern not only </w:t>
      </w:r>
      <w:r>
        <w:t>no damage cases, but cases</w:t>
      </w:r>
      <w:r w:rsidRPr="00CD4E55">
        <w:t xml:space="preserve"> where pro</w:t>
      </w:r>
      <w:r>
        <w:t xml:space="preserve">perty damage </w:t>
      </w:r>
      <w:r w:rsidRPr="00CD4E55">
        <w:t xml:space="preserve">had resulted.  The Act’s standards were designed so that “except where explicitly specified otherwise, liability would accrue </w:t>
      </w:r>
      <w:r w:rsidRPr="00CD4E55">
        <w:t>under the standards regardless of whethe</w:t>
      </w:r>
      <w:r>
        <w:t>r the violation of the standard</w:t>
      </w:r>
      <w:r w:rsidRPr="00CD4E55">
        <w:t xml:space="preserve"> had resulted in actual damage or injury.”  (Sen. Com. on Judiciary, </w:t>
      </w:r>
      <w:r>
        <w:t>A</w:t>
      </w:r>
      <w:r w:rsidRPr="00CD4E55">
        <w:t>nalysis of Sen. Bill No. 800 (2001–2002 Reg. Sess.)</w:t>
      </w:r>
      <w:r>
        <w:t xml:space="preserve"> as amended Aug. 28, 2002, p. </w:t>
      </w:r>
      <w:r>
        <w:t>4</w:t>
      </w:r>
      <w:r w:rsidRPr="00CD4E55">
        <w:t>.</w:t>
      </w:r>
      <w:r>
        <w:t xml:space="preserve">)  </w:t>
      </w:r>
      <w:r w:rsidRPr="00CD4E55">
        <w:t xml:space="preserve">Both halves of this intended </w:t>
      </w:r>
      <w:r w:rsidRPr="00CD4E55">
        <w:t>application are significant</w:t>
      </w:r>
      <w:r>
        <w:t>:  L</w:t>
      </w:r>
      <w:r w:rsidRPr="00CD4E55">
        <w:t>iability under the standards would attach even in the ab</w:t>
      </w:r>
      <w:r>
        <w:t>sence of actual damage</w:t>
      </w:r>
      <w:r w:rsidRPr="00CD4E55">
        <w:t xml:space="preserve">, thus effectively abrogating </w:t>
      </w:r>
      <w:proofErr w:type="spellStart"/>
      <w:r>
        <w:rPr>
          <w:i/>
        </w:rPr>
        <w:t>Aas</w:t>
      </w:r>
      <w:proofErr w:type="spellEnd"/>
      <w:r w:rsidRPr="00CD4E55">
        <w:t xml:space="preserve">.  </w:t>
      </w:r>
      <w:r>
        <w:t xml:space="preserve">And </w:t>
      </w:r>
      <w:r w:rsidRPr="00CD4E55">
        <w:t xml:space="preserve">liability under the standards would </w:t>
      </w:r>
      <w:r>
        <w:t xml:space="preserve">also </w:t>
      </w:r>
      <w:r w:rsidRPr="00CD4E55">
        <w:t>at</w:t>
      </w:r>
      <w:r>
        <w:t>tach in cases of actual damage</w:t>
      </w:r>
      <w:r>
        <w:t xml:space="preserve">; in other words, </w:t>
      </w:r>
      <w:r>
        <w:t>t</w:t>
      </w:r>
      <w:r w:rsidRPr="00CD4E55">
        <w:t xml:space="preserve">he Legislature </w:t>
      </w:r>
      <w:r w:rsidRPr="00CD4E55">
        <w:t xml:space="preserve">anticipated that passage of the Act would result in standards that governed liability even when violation of the standards </w:t>
      </w:r>
      <w:r w:rsidRPr="00C652C0">
        <w:rPr>
          <w:i/>
        </w:rPr>
        <w:t>had</w:t>
      </w:r>
      <w:r>
        <w:t xml:space="preserve"> resulted in </w:t>
      </w:r>
      <w:r w:rsidRPr="00CD4E55">
        <w:t xml:space="preserve">property damage.  </w:t>
      </w:r>
      <w:r>
        <w:t>The Legislature</w:t>
      </w:r>
      <w:r w:rsidRPr="00CD4E55">
        <w:t xml:space="preserve"> thus recognized and intended that claims under the Act would cover territory previously </w:t>
      </w:r>
      <w:r>
        <w:t xml:space="preserve">in </w:t>
      </w:r>
      <w:r w:rsidRPr="00CD4E55">
        <w:t>the domain of the common law.</w:t>
      </w:r>
    </w:p>
    <w:p w:rsidR="00815FD0" w:rsidRPr="00130231" w:rsidRDefault="00EF3834" w:rsidP="00815FD0">
      <w:pPr>
        <w:tabs>
          <w:tab w:val="left" w:pos="1440"/>
        </w:tabs>
        <w:spacing w:line="480" w:lineRule="atLeast"/>
        <w:ind w:firstLine="720"/>
      </w:pPr>
      <w:r>
        <w:t>Second</w:t>
      </w:r>
      <w:r w:rsidRPr="00CD4E55">
        <w:t xml:space="preserve">, </w:t>
      </w:r>
      <w:r>
        <w:t>the Act “establishes</w:t>
      </w:r>
      <w:r w:rsidRPr="00CD4E55">
        <w:t xml:space="preserve"> a mandatory process prior to the filing of a construction defect action,” with the “major component of th</w:t>
      </w:r>
      <w:r w:rsidRPr="00CD4E55">
        <w:t xml:space="preserve">is process” </w:t>
      </w:r>
      <w:r>
        <w:t xml:space="preserve">being </w:t>
      </w:r>
      <w:r w:rsidRPr="00CD4E55">
        <w:t xml:space="preserve">“the builder’s absolute right to attempt a repair prior to a homeowner filing an action in court.”  (Sen. Com. on Judiciary, </w:t>
      </w:r>
      <w:r>
        <w:t>A</w:t>
      </w:r>
      <w:r w:rsidRPr="00CD4E55">
        <w:t>nalysis of Sen. Bill No. 800 (2001–2002 Reg. Sess.) as amended Aug. 2</w:t>
      </w:r>
      <w:r>
        <w:t xml:space="preserve">8, 2002, p. </w:t>
      </w:r>
      <w:r>
        <w:t>5</w:t>
      </w:r>
      <w:r w:rsidRPr="00CD4E55">
        <w:t>.)</w:t>
      </w:r>
      <w:r>
        <w:t xml:space="preserve">  These purposes, the creati</w:t>
      </w:r>
      <w:r>
        <w:t xml:space="preserve">on of a mandatory prelitigation process and the granting of a right to repair, would be thwarted if we were to read the </w:t>
      </w:r>
      <w:r>
        <w:t xml:space="preserve">Act to permit </w:t>
      </w:r>
      <w:r w:rsidRPr="00CD4E55">
        <w:t xml:space="preserve">homeowners </w:t>
      </w:r>
      <w:r>
        <w:t xml:space="preserve">to </w:t>
      </w:r>
      <w:r w:rsidRPr="00CD4E55">
        <w:t xml:space="preserve">continue to </w:t>
      </w:r>
      <w:r>
        <w:t>sue as before at common law</w:t>
      </w:r>
      <w:r>
        <w:t>,</w:t>
      </w:r>
      <w:r w:rsidRPr="008012EF">
        <w:t xml:space="preserve"> </w:t>
      </w:r>
      <w:r w:rsidRPr="00CD4E55">
        <w:t>without abiding by</w:t>
      </w:r>
      <w:r>
        <w:t xml:space="preserve"> the procedural</w:t>
      </w:r>
      <w:r w:rsidRPr="00CD4E55">
        <w:t xml:space="preserve"> requirements of the Act</w:t>
      </w:r>
      <w:r>
        <w:t>,</w:t>
      </w:r>
      <w:r>
        <w:t xml:space="preserve"> </w:t>
      </w:r>
      <w:r>
        <w:t>for cons</w:t>
      </w:r>
      <w:r>
        <w:t>truction defect claims involving damages other than economic loss</w:t>
      </w:r>
      <w:r>
        <w:t>.</w:t>
      </w:r>
    </w:p>
    <w:p w:rsidR="00561B10" w:rsidRPr="00593063" w:rsidRDefault="00EF3834" w:rsidP="00561B10">
      <w:pPr>
        <w:tabs>
          <w:tab w:val="left" w:pos="1440"/>
        </w:tabs>
        <w:spacing w:line="480" w:lineRule="atLeast"/>
        <w:ind w:firstLine="720"/>
      </w:pPr>
      <w:r>
        <w:lastRenderedPageBreak/>
        <w:t>Third</w:t>
      </w:r>
      <w:r w:rsidRPr="00CD4E55">
        <w:t xml:space="preserve">, </w:t>
      </w:r>
      <w:r>
        <w:t xml:space="preserve">although </w:t>
      </w:r>
      <w:r w:rsidRPr="00CD4E55">
        <w:t xml:space="preserve">there is no doubt that </w:t>
      </w:r>
      <w:r>
        <w:t xml:space="preserve">the Act had the intended effect of overriding </w:t>
      </w:r>
      <w:proofErr w:type="spellStart"/>
      <w:r w:rsidRPr="00CD4E55">
        <w:rPr>
          <w:i/>
        </w:rPr>
        <w:t>Aas</w:t>
      </w:r>
      <w:r>
        <w:t>’s</w:t>
      </w:r>
      <w:proofErr w:type="spellEnd"/>
      <w:r>
        <w:t xml:space="preserve"> </w:t>
      </w:r>
      <w:r w:rsidRPr="00CD4E55">
        <w:t>limits on construction defect</w:t>
      </w:r>
      <w:r w:rsidRPr="00CD4E55">
        <w:t xml:space="preserve"> action</w:t>
      </w:r>
      <w:r w:rsidRPr="00CD4E55">
        <w:t>s</w:t>
      </w:r>
      <w:r w:rsidRPr="00CD4E55">
        <w:t xml:space="preserve">, that effect was treated </w:t>
      </w:r>
      <w:r>
        <w:t xml:space="preserve">in both the Assembly and Senate </w:t>
      </w:r>
      <w:r>
        <w:t xml:space="preserve">as </w:t>
      </w:r>
      <w:r>
        <w:t>one</w:t>
      </w:r>
      <w:r w:rsidRPr="00CD4E55">
        <w:t xml:space="preserve"> consequence of the overall reform package, </w:t>
      </w:r>
      <w:r>
        <w:t xml:space="preserve">not as </w:t>
      </w:r>
      <w:r w:rsidRPr="00CD4E55">
        <w:t xml:space="preserve">the principal goal of the Act.  </w:t>
      </w:r>
      <w:r>
        <w:t>T</w:t>
      </w:r>
      <w:r>
        <w:t>he Assembly Committee on the Judiciary described as a “principal feature of the bill” the establishment of construction defect standards and then observed that one conse</w:t>
      </w:r>
      <w:r>
        <w:t xml:space="preserve">quence of the “standards [is to] effectively end the debate over the controversial decision in the </w:t>
      </w:r>
      <w:proofErr w:type="spellStart"/>
      <w:r>
        <w:rPr>
          <w:i/>
        </w:rPr>
        <w:t>Aas</w:t>
      </w:r>
      <w:proofErr w:type="spellEnd"/>
      <w:r>
        <w:t xml:space="preserve"> case.”  </w:t>
      </w:r>
      <w:r w:rsidRPr="00CD4E55">
        <w:t>(</w:t>
      </w:r>
      <w:proofErr w:type="spellStart"/>
      <w:r w:rsidRPr="00CD4E55">
        <w:t>Assem</w:t>
      </w:r>
      <w:proofErr w:type="spellEnd"/>
      <w:r w:rsidRPr="00CD4E55">
        <w:t xml:space="preserve">. Com. on Judiciary, Analysis of Sen. Bill No. 800 (2001–2002 Reg. Sess.) as amended Aug. 26, 2002, p. </w:t>
      </w:r>
      <w:r>
        <w:t>3</w:t>
      </w:r>
      <w:r>
        <w:t xml:space="preserve">; accord, </w:t>
      </w:r>
      <w:r w:rsidRPr="00CD4E55">
        <w:t xml:space="preserve">Sen. Rules Com., Off. of </w:t>
      </w:r>
      <w:r w:rsidRPr="00CD4E55">
        <w:t xml:space="preserve">Sen. Floor Analyses, </w:t>
      </w:r>
      <w:r>
        <w:t>a</w:t>
      </w:r>
      <w:r w:rsidRPr="00CD4E55">
        <w:t>nalysis of Sen. Bill No. 800 (2001–2002 Reg. Sess.) as amended Aug. 2</w:t>
      </w:r>
      <w:r>
        <w:t>8, 2002, p. 3</w:t>
      </w:r>
      <w:r w:rsidRPr="00CD4E55">
        <w:t>.)</w:t>
      </w:r>
      <w:r>
        <w:t xml:space="preserve">  In a similar vein, the Senate Committee on the Judiciary </w:t>
      </w:r>
      <w:r>
        <w:t xml:space="preserve">described the Act as creating standards that would “govern any </w:t>
      </w:r>
      <w:r>
        <w:t xml:space="preserve">action seeking recovery of damages arising out of or </w:t>
      </w:r>
      <w:r>
        <w:t>related to construction defects</w:t>
      </w:r>
      <w:r>
        <w:t xml:space="preserve">” </w:t>
      </w:r>
      <w:r>
        <w:t xml:space="preserve">and </w:t>
      </w:r>
      <w:r>
        <w:t>then noted that “[</w:t>
      </w:r>
      <w:proofErr w:type="spellStart"/>
      <w:r>
        <w:t>i</w:t>
      </w:r>
      <w:proofErr w:type="spellEnd"/>
      <w:r>
        <w:t xml:space="preserve">]n addition” the </w:t>
      </w:r>
      <w:r>
        <w:t xml:space="preserve">rules for liability under the standards </w:t>
      </w:r>
      <w:r>
        <w:t>would “</w:t>
      </w:r>
      <w:r>
        <w:t xml:space="preserve">essentially overrule the </w:t>
      </w:r>
      <w:proofErr w:type="spellStart"/>
      <w:r>
        <w:rPr>
          <w:i/>
        </w:rPr>
        <w:t>Aas</w:t>
      </w:r>
      <w:proofErr w:type="spellEnd"/>
      <w:r>
        <w:t xml:space="preserve"> decision and, for most defects, eliminate that decisio</w:t>
      </w:r>
      <w:r>
        <w:t>n’s holding that construction defects must cause actual damage or injury prior to being actionable.”  (</w:t>
      </w:r>
      <w:r w:rsidRPr="00CD4E55">
        <w:t xml:space="preserve">Sen. Com. on Judiciary, </w:t>
      </w:r>
      <w:r>
        <w:t>A</w:t>
      </w:r>
      <w:r w:rsidRPr="00CD4E55">
        <w:t>nalysis of Sen. Bill No. 800 (2001–2002 Reg. Sess.) as amended Au</w:t>
      </w:r>
      <w:r>
        <w:t xml:space="preserve">g. 28, 2002, p. </w:t>
      </w:r>
      <w:r>
        <w:t>4</w:t>
      </w:r>
      <w:r>
        <w:t>.)</w:t>
      </w:r>
      <w:r>
        <w:t xml:space="preserve">  If the Van Tassels’</w:t>
      </w:r>
      <w:r w:rsidRPr="00CD4E55">
        <w:t xml:space="preserve"> </w:t>
      </w:r>
      <w:r>
        <w:t>interpretation</w:t>
      </w:r>
      <w:r w:rsidRPr="00CD4E55">
        <w:t xml:space="preserve"> </w:t>
      </w:r>
      <w:r w:rsidRPr="00CD4E55">
        <w:t xml:space="preserve">of the </w:t>
      </w:r>
      <w:r w:rsidRPr="00CD4E55">
        <w:t xml:space="preserve">Act </w:t>
      </w:r>
      <w:r>
        <w:t xml:space="preserve">were </w:t>
      </w:r>
      <w:r w:rsidRPr="00CD4E55">
        <w:t xml:space="preserve">correct, </w:t>
      </w:r>
      <w:r>
        <w:t xml:space="preserve">then </w:t>
      </w:r>
      <w:r w:rsidRPr="00CD4E55">
        <w:t xml:space="preserve">the legislative </w:t>
      </w:r>
      <w:r w:rsidRPr="00CD4E55">
        <w:t>analyses certainly bury</w:t>
      </w:r>
      <w:r>
        <w:t xml:space="preserve"> the </w:t>
      </w:r>
      <w:proofErr w:type="spellStart"/>
      <w:r>
        <w:t>lede</w:t>
      </w:r>
      <w:proofErr w:type="spellEnd"/>
      <w:r w:rsidRPr="00CD4E55">
        <w:t>.</w:t>
      </w:r>
    </w:p>
    <w:p w:rsidR="00B0014D" w:rsidRDefault="00EF3834">
      <w:pPr>
        <w:tabs>
          <w:tab w:val="left" w:pos="1440"/>
        </w:tabs>
        <w:spacing w:line="480" w:lineRule="atLeast"/>
        <w:ind w:firstLine="720"/>
        <w:rPr>
          <w:szCs w:val="26"/>
        </w:rPr>
      </w:pPr>
      <w:r w:rsidRPr="00CD4E55">
        <w:rPr>
          <w:szCs w:val="26"/>
        </w:rPr>
        <w:t xml:space="preserve">In sum, the legislative history </w:t>
      </w:r>
      <w:r>
        <w:rPr>
          <w:szCs w:val="26"/>
        </w:rPr>
        <w:t xml:space="preserve">confirms </w:t>
      </w:r>
      <w:r w:rsidRPr="00CD4E55">
        <w:rPr>
          <w:szCs w:val="26"/>
        </w:rPr>
        <w:t xml:space="preserve">what the </w:t>
      </w:r>
      <w:r>
        <w:rPr>
          <w:szCs w:val="26"/>
        </w:rPr>
        <w:t xml:space="preserve">statutory </w:t>
      </w:r>
      <w:r w:rsidRPr="00CD4E55">
        <w:rPr>
          <w:szCs w:val="26"/>
        </w:rPr>
        <w:t xml:space="preserve">text </w:t>
      </w:r>
      <w:r>
        <w:rPr>
          <w:szCs w:val="26"/>
        </w:rPr>
        <w:t>reflects</w:t>
      </w:r>
      <w:r>
        <w:rPr>
          <w:szCs w:val="26"/>
        </w:rPr>
        <w:t xml:space="preserve">:  </w:t>
      </w:r>
      <w:r>
        <w:rPr>
          <w:szCs w:val="26"/>
        </w:rPr>
        <w:t>the Act was design</w:t>
      </w:r>
      <w:r w:rsidRPr="00CD4E55">
        <w:rPr>
          <w:szCs w:val="26"/>
        </w:rPr>
        <w:t xml:space="preserve">ed as a broad reform </w:t>
      </w:r>
      <w:r>
        <w:rPr>
          <w:szCs w:val="26"/>
        </w:rPr>
        <w:t>package that would</w:t>
      </w:r>
      <w:r w:rsidRPr="00CD4E55">
        <w:rPr>
          <w:szCs w:val="26"/>
        </w:rPr>
        <w:t xml:space="preserve"> substantial</w:t>
      </w:r>
      <w:r>
        <w:rPr>
          <w:szCs w:val="26"/>
        </w:rPr>
        <w:t xml:space="preserve">ly change existing law </w:t>
      </w:r>
      <w:r>
        <w:rPr>
          <w:szCs w:val="26"/>
        </w:rPr>
        <w:t>by</w:t>
      </w:r>
      <w:r>
        <w:rPr>
          <w:szCs w:val="26"/>
        </w:rPr>
        <w:t xml:space="preserve"> displacing </w:t>
      </w:r>
      <w:r w:rsidRPr="00CD4E55">
        <w:rPr>
          <w:szCs w:val="26"/>
        </w:rPr>
        <w:t>s</w:t>
      </w:r>
      <w:r w:rsidRPr="00CD4E55">
        <w:rPr>
          <w:szCs w:val="26"/>
        </w:rPr>
        <w:t xml:space="preserve">ome common law claims and </w:t>
      </w:r>
      <w:r>
        <w:rPr>
          <w:szCs w:val="26"/>
        </w:rPr>
        <w:t>substituting in their stead</w:t>
      </w:r>
      <w:r w:rsidRPr="00CD4E55">
        <w:rPr>
          <w:szCs w:val="26"/>
        </w:rPr>
        <w:t xml:space="preserve"> a statutory cause of action</w:t>
      </w:r>
      <w:r>
        <w:rPr>
          <w:szCs w:val="26"/>
        </w:rPr>
        <w:t xml:space="preserve"> with a mandatory prelitigation process</w:t>
      </w:r>
      <w:r w:rsidRPr="00CD4E55">
        <w:rPr>
          <w:szCs w:val="26"/>
        </w:rPr>
        <w:t>.</w:t>
      </w:r>
    </w:p>
    <w:p w:rsidR="009653C0" w:rsidRPr="009653C0" w:rsidRDefault="00EF3834" w:rsidP="009653C0">
      <w:pPr>
        <w:keepNext/>
        <w:tabs>
          <w:tab w:val="left" w:pos="1440"/>
        </w:tabs>
        <w:spacing w:before="240" w:line="240" w:lineRule="atLeast"/>
        <w:jc w:val="center"/>
        <w:rPr>
          <w:b/>
        </w:rPr>
      </w:pPr>
      <w:r>
        <w:rPr>
          <w:b/>
        </w:rPr>
        <w:t>III.</w:t>
      </w:r>
    </w:p>
    <w:p w:rsidR="00A41DC6" w:rsidRDefault="00EF3834" w:rsidP="009653C0">
      <w:pPr>
        <w:tabs>
          <w:tab w:val="left" w:pos="1440"/>
        </w:tabs>
        <w:spacing w:line="480" w:lineRule="atLeast"/>
        <w:ind w:firstLine="720"/>
      </w:pPr>
      <w:r>
        <w:t>E</w:t>
      </w:r>
      <w:r>
        <w:t xml:space="preserve">choing an argument made by the Court of Appeal in </w:t>
      </w:r>
      <w:r w:rsidRPr="00CD4E55">
        <w:rPr>
          <w:i/>
        </w:rPr>
        <w:t>Liberty Mutual</w:t>
      </w:r>
      <w:r w:rsidRPr="00CD4E55">
        <w:t xml:space="preserve">, </w:t>
      </w:r>
      <w:r w:rsidRPr="00CD4E55">
        <w:rPr>
          <w:i/>
        </w:rPr>
        <w:t>supra</w:t>
      </w:r>
      <w:r w:rsidRPr="00CD4E55">
        <w:t>, 219 Cal.App.4th 98</w:t>
      </w:r>
      <w:r>
        <w:t xml:space="preserve">, the Van Tassels contend </w:t>
      </w:r>
      <w:r>
        <w:t xml:space="preserve">that </w:t>
      </w:r>
      <w:r>
        <w:t xml:space="preserve">the detailed prelitigation </w:t>
      </w:r>
      <w:r>
        <w:lastRenderedPageBreak/>
        <w:t xml:space="preserve">procedures and timelines set out in chapter 4 (§§ 910–938) </w:t>
      </w:r>
      <w:r>
        <w:t xml:space="preserve">cannot rationally be applied </w:t>
      </w:r>
      <w:r>
        <w:t>to defect</w:t>
      </w:r>
      <w:r>
        <w:t>s</w:t>
      </w:r>
      <w:r>
        <w:t xml:space="preserve"> </w:t>
      </w:r>
      <w:r>
        <w:t xml:space="preserve">that create a sudden </w:t>
      </w:r>
      <w:r>
        <w:t>loss</w:t>
      </w:r>
      <w:r>
        <w:t xml:space="preserve"> requiring emergency repairs</w:t>
      </w:r>
      <w:r>
        <w:t>.  From this</w:t>
      </w:r>
      <w:r>
        <w:t>,</w:t>
      </w:r>
      <w:r>
        <w:t xml:space="preserve"> they infer</w:t>
      </w:r>
      <w:r>
        <w:t xml:space="preserve"> </w:t>
      </w:r>
      <w:r>
        <w:t xml:space="preserve">that </w:t>
      </w:r>
      <w:r>
        <w:t>the</w:t>
      </w:r>
      <w:r>
        <w:t xml:space="preserve"> Act and its procedures were never</w:t>
      </w:r>
      <w:r>
        <w:t xml:space="preserve"> intended </w:t>
      </w:r>
      <w:r>
        <w:t>to extend to claims for defects r</w:t>
      </w:r>
      <w:r>
        <w:t>esulting in actual damage</w:t>
      </w:r>
      <w:r>
        <w:t xml:space="preserve">.  </w:t>
      </w:r>
      <w:r>
        <w:t xml:space="preserve">We are not presented with a </w:t>
      </w:r>
      <w:r>
        <w:t>case in which any party had to take emergency action</w:t>
      </w:r>
      <w:r>
        <w:t xml:space="preserve">.  </w:t>
      </w:r>
      <w:r>
        <w:t xml:space="preserve">But the emergency scenario does not give us reason to doubt that </w:t>
      </w:r>
      <w:r>
        <w:t xml:space="preserve">the </w:t>
      </w:r>
      <w:r>
        <w:t>Act applies</w:t>
      </w:r>
      <w:r>
        <w:t xml:space="preserve"> to property damage cases.</w:t>
      </w:r>
    </w:p>
    <w:p w:rsidR="008536C3" w:rsidRDefault="00EF3834" w:rsidP="009653C0">
      <w:pPr>
        <w:tabs>
          <w:tab w:val="left" w:pos="1440"/>
        </w:tabs>
        <w:spacing w:line="480" w:lineRule="atLeast"/>
        <w:ind w:firstLine="720"/>
      </w:pPr>
      <w:r>
        <w:t>The A</w:t>
      </w:r>
      <w:r>
        <w:t xml:space="preserve">ct requires a homeowner, before suing, to provide a builder with </w:t>
      </w:r>
      <w:r>
        <w:t xml:space="preserve">written </w:t>
      </w:r>
      <w:r>
        <w:t xml:space="preserve">notice </w:t>
      </w:r>
      <w:r>
        <w:t>and a general description of</w:t>
      </w:r>
      <w:r>
        <w:t xml:space="preserve"> an alleged construction defect.  (§ 910, subd. (a).)  </w:t>
      </w:r>
      <w:r>
        <w:t>T</w:t>
      </w:r>
      <w:r>
        <w:t xml:space="preserve">he Act </w:t>
      </w:r>
      <w:r>
        <w:t xml:space="preserve">then </w:t>
      </w:r>
      <w:r>
        <w:t xml:space="preserve">subjects the builder to a series of deadlines by which it must </w:t>
      </w:r>
      <w:r>
        <w:t>acknowledge recei</w:t>
      </w:r>
      <w:r>
        <w:t>pt, supply relevant records, and, if it chooses, inspect, offer to repair the defect, and commence repairs.  (§§ 912–913, 916–917, 921.)</w:t>
      </w:r>
      <w:r>
        <w:t xml:space="preserve">  In nonemergency cases, there is no tension between these provisions and the port</w:t>
      </w:r>
      <w:r>
        <w:t>ions of the Act that extend</w:t>
      </w:r>
      <w:r>
        <w:t xml:space="preserve"> its applic</w:t>
      </w:r>
      <w:r>
        <w:t>ation to cases involv</w:t>
      </w:r>
      <w:r>
        <w:t>ing property damage.</w:t>
      </w:r>
      <w:r>
        <w:t xml:space="preserve"> </w:t>
      </w:r>
      <w:r>
        <w:t xml:space="preserve"> I</w:t>
      </w:r>
      <w:r>
        <w:t>n the absence of</w:t>
      </w:r>
      <w:r>
        <w:t xml:space="preserve"> delay risk</w:t>
      </w:r>
      <w:r>
        <w:t>ing</w:t>
      </w:r>
      <w:r>
        <w:t xml:space="preserve"> </w:t>
      </w:r>
      <w:r>
        <w:t xml:space="preserve">a </w:t>
      </w:r>
      <w:r>
        <w:t>worsening of any damage, a homeowner will have time to give the requisite notice and await the builder’s response.  If the builder drags its feet in a way that exacerbate</w:t>
      </w:r>
      <w:r>
        <w:t>s</w:t>
      </w:r>
      <w:r>
        <w:t xml:space="preserve"> damage,</w:t>
      </w:r>
      <w:r>
        <w:t xml:space="preserve"> the Act protects the homeowner.  (See § 944 [builder is liable for “the reasonable cost of repairing and rectifying any damages resulting from the failure of the home to meet the standards”]; </w:t>
      </w:r>
      <w:r w:rsidRPr="00BB0B94">
        <w:rPr>
          <w:i/>
        </w:rPr>
        <w:t>KB Home Greater Los Angeles</w:t>
      </w:r>
      <w:r>
        <w:rPr>
          <w:i/>
        </w:rPr>
        <w:t>,</w:t>
      </w:r>
      <w:r w:rsidRPr="00BB0B94">
        <w:rPr>
          <w:i/>
        </w:rPr>
        <w:t xml:space="preserve"> Inc. v. Superior Court</w:t>
      </w:r>
      <w:r w:rsidRPr="00BB0B94">
        <w:t xml:space="preserve"> (2014) 223 </w:t>
      </w:r>
      <w:r w:rsidRPr="00BB0B94">
        <w:t>Cal.Ap</w:t>
      </w:r>
      <w:r>
        <w:t>p.4th 1471, 1478</w:t>
      </w:r>
      <w:r>
        <w:t xml:space="preserve"> (</w:t>
      </w:r>
      <w:r>
        <w:rPr>
          <w:i/>
        </w:rPr>
        <w:t>KB Home</w:t>
      </w:r>
      <w:r>
        <w:t>)</w:t>
      </w:r>
      <w:r>
        <w:t xml:space="preserve"> [“Since the builder is required to compensate the homeowner for consequential damages, including the cost of repair of actual property damage caused by a construction defect, any delay up to the statutory maximum risks incr</w:t>
      </w:r>
      <w:r>
        <w:t>easing the builder’s liability</w:t>
      </w:r>
      <w:r>
        <w:t>.</w:t>
      </w:r>
      <w:r>
        <w:t>”].)</w:t>
      </w:r>
    </w:p>
    <w:p w:rsidR="005C0D26" w:rsidRDefault="00EF3834" w:rsidP="009653C0">
      <w:pPr>
        <w:tabs>
          <w:tab w:val="left" w:pos="1440"/>
        </w:tabs>
        <w:spacing w:line="480" w:lineRule="atLeast"/>
        <w:ind w:firstLine="720"/>
      </w:pPr>
      <w:r>
        <w:t xml:space="preserve">Defects that trigger </w:t>
      </w:r>
      <w:r>
        <w:t xml:space="preserve">sudden </w:t>
      </w:r>
      <w:r>
        <w:t xml:space="preserve">ongoing, escalating damage present a more difficult problem.  The Act does not expressly address how its operation might change in such </w:t>
      </w:r>
      <w:r>
        <w:t xml:space="preserve">unusual </w:t>
      </w:r>
      <w:r>
        <w:t xml:space="preserve">circumstances.  </w:t>
      </w:r>
      <w:r>
        <w:t>T</w:t>
      </w:r>
      <w:r>
        <w:t>he minimal requirement</w:t>
      </w:r>
      <w:r>
        <w:t>s</w:t>
      </w:r>
      <w:r>
        <w:t xml:space="preserve"> of formal written notice and awaiting a builder response </w:t>
      </w:r>
      <w:r>
        <w:t>could be</w:t>
      </w:r>
      <w:r>
        <w:t xml:space="preserve"> onerous in cases where a </w:t>
      </w:r>
      <w:r>
        <w:lastRenderedPageBreak/>
        <w:t xml:space="preserve">construction failure creates a need for emergency action by a homeowner or the homeowner’s insurer.  </w:t>
      </w:r>
      <w:r>
        <w:t xml:space="preserve">But we need not read the notice requirement in isolation.  The </w:t>
      </w:r>
      <w:r>
        <w:t>Act also imposes on homeowners a general duty to act reasonably in order to mitigate losses.  (See § 945.5, subd. (b) [affording builders an affirmative defense where losses are the result of “a homeowner’s unreasonable failure to minimize or prevent those</w:t>
      </w:r>
      <w:r>
        <w:t xml:space="preserve"> damages in a timely manner”].)  A failur</w:t>
      </w:r>
      <w:r>
        <w:t>e to give</w:t>
      </w:r>
      <w:r>
        <w:t xml:space="preserve"> formal written notice </w:t>
      </w:r>
      <w:r>
        <w:t xml:space="preserve">before taking any other action </w:t>
      </w:r>
      <w:r>
        <w:t xml:space="preserve">might well be excused in circumstances where a homeowner </w:t>
      </w:r>
      <w:r>
        <w:t xml:space="preserve">has </w:t>
      </w:r>
      <w:r>
        <w:t xml:space="preserve">acted reasonably to mitigate losses </w:t>
      </w:r>
      <w:r>
        <w:t>and has provided</w:t>
      </w:r>
      <w:r>
        <w:t xml:space="preserve"> i</w:t>
      </w:r>
      <w:r>
        <w:t>nformal notice</w:t>
      </w:r>
      <w:r>
        <w:t>, and subsequent writte</w:t>
      </w:r>
      <w:r>
        <w:t xml:space="preserve">n notice, </w:t>
      </w:r>
      <w:r>
        <w:t xml:space="preserve">in a manner that is as timely and effective as </w:t>
      </w:r>
      <w:r>
        <w:t>reason</w:t>
      </w:r>
      <w:r>
        <w:t>ably practicable under the circu</w:t>
      </w:r>
      <w:r>
        <w:t>mstances.</w:t>
      </w:r>
      <w:r>
        <w:t xml:space="preserve">  (</w:t>
      </w:r>
      <w:r>
        <w:t xml:space="preserve">See </w:t>
      </w:r>
      <w:r>
        <w:rPr>
          <w:i/>
        </w:rPr>
        <w:t>Lewis v. Superior Court</w:t>
      </w:r>
      <w:r>
        <w:t xml:space="preserve"> (1985) 175 Cal.App.3d 366, 378 [construing statute of limitations for filing of complaint to permit an exception “based u</w:t>
      </w:r>
      <w:r>
        <w:t>pon impossibility where catastrophic fire or earthquake or other events might render it physically impossible” to comply]; c</w:t>
      </w:r>
      <w:r>
        <w:t xml:space="preserve">f. </w:t>
      </w:r>
      <w:r w:rsidRPr="00BB0B94">
        <w:rPr>
          <w:i/>
        </w:rPr>
        <w:t>KB Home</w:t>
      </w:r>
      <w:r>
        <w:t xml:space="preserve">, </w:t>
      </w:r>
      <w:r>
        <w:rPr>
          <w:i/>
        </w:rPr>
        <w:t>supra</w:t>
      </w:r>
      <w:r>
        <w:t>,</w:t>
      </w:r>
      <w:r w:rsidRPr="00BB0B94">
        <w:t xml:space="preserve"> 223 Cal.Ap</w:t>
      </w:r>
      <w:r>
        <w:t>p.4th 1471 [notice requirement not excused where homeowner alerted insurer, but not builder, and insure</w:t>
      </w:r>
      <w:r>
        <w:t>r completed repairs three months later before finally notifying builder]</w:t>
      </w:r>
      <w:r>
        <w:t>.</w:t>
      </w:r>
      <w:r>
        <w:t>)</w:t>
      </w:r>
    </w:p>
    <w:p w:rsidR="002832CA" w:rsidRDefault="00EF3834" w:rsidP="009653C0">
      <w:pPr>
        <w:tabs>
          <w:tab w:val="left" w:pos="1440"/>
        </w:tabs>
        <w:spacing w:line="480" w:lineRule="atLeast"/>
        <w:ind w:firstLine="720"/>
      </w:pPr>
      <w:r>
        <w:t xml:space="preserve">A similar principle of reasonableness must be applied to the interpretation of the builder’s rights and obligations.  </w:t>
      </w:r>
      <w:r>
        <w:t xml:space="preserve">Although </w:t>
      </w:r>
      <w:r>
        <w:t>the Act establishes various maximum time periods in wh</w:t>
      </w:r>
      <w:r>
        <w:t xml:space="preserve">ich the builder </w:t>
      </w:r>
      <w:r>
        <w:t>may</w:t>
      </w:r>
      <w:r>
        <w:t xml:space="preserve"> respond, in</w:t>
      </w:r>
      <w:r>
        <w:t>spect, offer to repair, and commence</w:t>
      </w:r>
      <w:r>
        <w:t xml:space="preserve"> repairs </w:t>
      </w:r>
      <w:r>
        <w:t>(§§ </w:t>
      </w:r>
      <w:r>
        <w:t xml:space="preserve">913, 916–917, 921), the builder avails itself of the full time allowed by the Act at its peril.  The builder is liable for the damages its construction defects </w:t>
      </w:r>
      <w:r>
        <w:t>cause</w:t>
      </w:r>
      <w:r>
        <w:t xml:space="preserve">, and even </w:t>
      </w:r>
      <w:r>
        <w:t>when a homeowner has acted unreasonably</w:t>
      </w:r>
      <w:r>
        <w:t xml:space="preserve"> in failing to limit losses</w:t>
      </w:r>
      <w:r>
        <w:t>, the builder remains liable for “damages due to the untimely or inadequate response of a builder to the homeowner’s claim.”  (§ 945</w:t>
      </w:r>
      <w:r>
        <w:t>.5</w:t>
      </w:r>
      <w:r>
        <w:t>, subd. </w:t>
      </w:r>
      <w:r>
        <w:t xml:space="preserve">(b).)  What constitutes a timely </w:t>
      </w:r>
      <w:r>
        <w:t>response</w:t>
      </w:r>
      <w:r>
        <w:t xml:space="preserve"> will v</w:t>
      </w:r>
      <w:r>
        <w:t xml:space="preserve">ary according to the circumstances, and </w:t>
      </w:r>
      <w:r>
        <w:t xml:space="preserve">the maximum response periods set forth by the Act do not necessarily insulate </w:t>
      </w:r>
      <w:r>
        <w:t xml:space="preserve">a builder </w:t>
      </w:r>
      <w:r>
        <w:t>from damages when the builder has failed</w:t>
      </w:r>
      <w:r>
        <w:t xml:space="preserve"> to </w:t>
      </w:r>
      <w:r>
        <w:t xml:space="preserve">take </w:t>
      </w:r>
      <w:r>
        <w:lastRenderedPageBreak/>
        <w:t xml:space="preserve">remedial action as </w:t>
      </w:r>
      <w:r>
        <w:t xml:space="preserve">promptly </w:t>
      </w:r>
      <w:r>
        <w:t>as is reasonable</w:t>
      </w:r>
      <w:r>
        <w:t xml:space="preserve"> under the circumstances.  </w:t>
      </w:r>
      <w:r>
        <w:t>T</w:t>
      </w:r>
      <w:r>
        <w:t>he Act</w:t>
      </w:r>
      <w:r>
        <w:t>’</w:t>
      </w:r>
      <w:r>
        <w:t xml:space="preserve">s liability provisions thus </w:t>
      </w:r>
      <w:r>
        <w:t>supply</w:t>
      </w:r>
      <w:r>
        <w:t xml:space="preserve"> builders</w:t>
      </w:r>
      <w:r>
        <w:t xml:space="preserve"> and homeowners</w:t>
      </w:r>
      <w:r>
        <w:t xml:space="preserve"> </w:t>
      </w:r>
      <w:r>
        <w:t xml:space="preserve">clear incentives to </w:t>
      </w:r>
      <w:r>
        <w:t>move</w:t>
      </w:r>
      <w:r>
        <w:t xml:space="preserve"> quickly </w:t>
      </w:r>
      <w:r>
        <w:t>to minimize damages when alerted to emergencies</w:t>
      </w:r>
      <w:r>
        <w:t xml:space="preserve">.  </w:t>
      </w:r>
      <w:r w:rsidRPr="00BB0B94">
        <w:t>(</w:t>
      </w:r>
      <w:r w:rsidRPr="00BB0B94">
        <w:rPr>
          <w:i/>
        </w:rPr>
        <w:t>KB Home</w:t>
      </w:r>
      <w:r>
        <w:t xml:space="preserve">, </w:t>
      </w:r>
      <w:r>
        <w:rPr>
          <w:i/>
        </w:rPr>
        <w:t>supra</w:t>
      </w:r>
      <w:r>
        <w:t xml:space="preserve">, </w:t>
      </w:r>
      <w:r w:rsidRPr="00BB0B94">
        <w:t>223 Cal.Ap</w:t>
      </w:r>
      <w:r>
        <w:t xml:space="preserve">p.4th </w:t>
      </w:r>
      <w:r>
        <w:t>at p. </w:t>
      </w:r>
      <w:r>
        <w:t>1478.)</w:t>
      </w:r>
    </w:p>
    <w:p w:rsidR="00D85D90" w:rsidRPr="00D85D90" w:rsidRDefault="00EF3834" w:rsidP="009653C0">
      <w:pPr>
        <w:tabs>
          <w:tab w:val="left" w:pos="1440"/>
        </w:tabs>
        <w:spacing w:line="480" w:lineRule="atLeast"/>
        <w:ind w:firstLine="720"/>
      </w:pPr>
      <w:r>
        <w:t xml:space="preserve">The Van Tassels </w:t>
      </w:r>
      <w:r>
        <w:t>highlight</w:t>
      </w:r>
      <w:r>
        <w:t xml:space="preserve"> section 930, subdivision (a), which requires “[t]he time periods . . . in this chapter . . . to be strictly construed, . . . unless extended by the mutual agreement of the parties</w:t>
      </w:r>
      <w:r>
        <w:t>.</w:t>
      </w:r>
      <w:r>
        <w:t xml:space="preserve">”  But this directive simply ensures that </w:t>
      </w:r>
      <w:r>
        <w:t>the time periods are followed whe</w:t>
      </w:r>
      <w:r>
        <w:t>n the parties have not agreed otherwise.  It does not mean that the parties are necessarily immune from liability for failing to take swifter action when circumstances dictate.</w:t>
      </w:r>
    </w:p>
    <w:p w:rsidR="00393E0A" w:rsidRPr="00393E0A" w:rsidRDefault="00EF3834" w:rsidP="00C5224C">
      <w:pPr>
        <w:tabs>
          <w:tab w:val="left" w:pos="1440"/>
        </w:tabs>
        <w:spacing w:line="480" w:lineRule="atLeast"/>
        <w:ind w:firstLine="720"/>
      </w:pPr>
      <w:r>
        <w:t xml:space="preserve">Because this case does not involve a catastrophic occurrence or emergency repairs, we need not decide definitively how the Act would apply on such facts.  </w:t>
      </w:r>
      <w:r>
        <w:t>But o</w:t>
      </w:r>
      <w:r>
        <w:t xml:space="preserve">ur review of the Act’s provisions reveals enough play in the joints to suggest </w:t>
      </w:r>
      <w:r>
        <w:t xml:space="preserve">that </w:t>
      </w:r>
      <w:r>
        <w:t xml:space="preserve">the Act can </w:t>
      </w:r>
      <w:r>
        <w:t xml:space="preserve">be </w:t>
      </w:r>
      <w:r>
        <w:t>adapt</w:t>
      </w:r>
      <w:r>
        <w:t>ed</w:t>
      </w:r>
      <w:r>
        <w:t xml:space="preserve"> well enough to extreme circumstances.</w:t>
      </w:r>
      <w:r>
        <w:t xml:space="preserve">  T</w:t>
      </w:r>
      <w:r>
        <w:t xml:space="preserve">he tension between </w:t>
      </w:r>
      <w:r>
        <w:t>the Act’s timelines a</w:t>
      </w:r>
      <w:r>
        <w:t xml:space="preserve">nd the occasional need for </w:t>
      </w:r>
      <w:r>
        <w:t xml:space="preserve">expeditious action </w:t>
      </w:r>
      <w:r>
        <w:t xml:space="preserve">in </w:t>
      </w:r>
      <w:r>
        <w:t>exi</w:t>
      </w:r>
      <w:r>
        <w:t xml:space="preserve">gent circumstances </w:t>
      </w:r>
      <w:r>
        <w:t xml:space="preserve">does not provide a sufficiently compelling </w:t>
      </w:r>
      <w:r>
        <w:t xml:space="preserve">reason to disregard </w:t>
      </w:r>
      <w:r>
        <w:t>the numerous</w:t>
      </w:r>
      <w:r>
        <w:t xml:space="preserve"> </w:t>
      </w:r>
      <w:r>
        <w:t xml:space="preserve">indications in </w:t>
      </w:r>
      <w:r>
        <w:t>the</w:t>
      </w:r>
      <w:r>
        <w:t xml:space="preserve"> </w:t>
      </w:r>
      <w:r>
        <w:t xml:space="preserve">Act’s text and history that </w:t>
      </w:r>
      <w:r>
        <w:t xml:space="preserve">the Legislature </w:t>
      </w:r>
      <w:r>
        <w:t xml:space="preserve">clearly intended it </w:t>
      </w:r>
      <w:r>
        <w:t xml:space="preserve">to govern cases involving actual property damage.  </w:t>
      </w:r>
      <w:r w:rsidRPr="00CD4E55">
        <w:t xml:space="preserve">We disapprove </w:t>
      </w:r>
      <w:r w:rsidRPr="00CD4E55">
        <w:rPr>
          <w:i/>
        </w:rPr>
        <w:t xml:space="preserve">Liberty Mutual </w:t>
      </w:r>
      <w:r>
        <w:rPr>
          <w:i/>
        </w:rPr>
        <w:t>Ins.</w:t>
      </w:r>
      <w:r w:rsidRPr="00CD4E55">
        <w:rPr>
          <w:i/>
        </w:rPr>
        <w:t xml:space="preserve"> Co. v. Brookfield Crystal Cove LLC</w:t>
      </w:r>
      <w:r w:rsidRPr="00CD4E55">
        <w:t xml:space="preserve">, </w:t>
      </w:r>
      <w:r w:rsidRPr="00CD4E55">
        <w:rPr>
          <w:i/>
        </w:rPr>
        <w:t>supra</w:t>
      </w:r>
      <w:r w:rsidRPr="00CD4E55">
        <w:t xml:space="preserve">, 219 Cal.App.4th 98, and </w:t>
      </w:r>
      <w:r w:rsidRPr="00CD4E55">
        <w:rPr>
          <w:i/>
        </w:rPr>
        <w:t>Burch v. Superior Court</w:t>
      </w:r>
      <w:r w:rsidRPr="00CD4E55">
        <w:t xml:space="preserve">, </w:t>
      </w:r>
      <w:r w:rsidRPr="00CD4E55">
        <w:rPr>
          <w:i/>
        </w:rPr>
        <w:t>supra</w:t>
      </w:r>
      <w:r w:rsidRPr="00CD4E55">
        <w:t>, 223 Cal</w:t>
      </w:r>
      <w:r w:rsidRPr="00CD4E55">
        <w:t>.App.4th 1411, to the extent they are inconsistent with the views expressed in this opinion.</w:t>
      </w:r>
    </w:p>
    <w:p w:rsidR="00AD2897" w:rsidRPr="00AD2897" w:rsidRDefault="00EF3834" w:rsidP="002A7C46">
      <w:pPr>
        <w:keepNext/>
        <w:tabs>
          <w:tab w:val="left" w:pos="1440"/>
        </w:tabs>
        <w:spacing w:line="480" w:lineRule="atLeast"/>
        <w:jc w:val="center"/>
        <w:rPr>
          <w:b/>
          <w:i/>
        </w:rPr>
      </w:pPr>
      <w:r>
        <w:rPr>
          <w:b/>
          <w:szCs w:val="26"/>
        </w:rPr>
        <w:t>IV</w:t>
      </w:r>
      <w:r w:rsidRPr="00AD2897">
        <w:rPr>
          <w:b/>
          <w:szCs w:val="26"/>
        </w:rPr>
        <w:t>.</w:t>
      </w:r>
    </w:p>
    <w:p w:rsidR="0085447B" w:rsidRDefault="00EF3834">
      <w:pPr>
        <w:tabs>
          <w:tab w:val="left" w:pos="1440"/>
        </w:tabs>
        <w:spacing w:line="480" w:lineRule="atLeast"/>
        <w:ind w:firstLine="720"/>
      </w:pPr>
      <w:r w:rsidRPr="00CD4E55">
        <w:t>The Van Tassels voluntarily dismissed without prejudice their cause of action for violation of s</w:t>
      </w:r>
      <w:r>
        <w:t xml:space="preserve">ection 896’s standards. </w:t>
      </w:r>
      <w:r w:rsidRPr="00CD4E55">
        <w:t xml:space="preserve"> Even so, the operative complaint includes claims resting on allegations that </w:t>
      </w:r>
      <w:proofErr w:type="spellStart"/>
      <w:r w:rsidRPr="00CD4E55">
        <w:t>McMillin</w:t>
      </w:r>
      <w:proofErr w:type="spellEnd"/>
      <w:r w:rsidRPr="00CD4E55">
        <w:t xml:space="preserve"> defectively constructed the foundation</w:t>
      </w:r>
      <w:r>
        <w:t>s</w:t>
      </w:r>
      <w:r w:rsidRPr="00CD4E55">
        <w:t>, plumbing, roof</w:t>
      </w:r>
      <w:r>
        <w:t>s</w:t>
      </w:r>
      <w:r w:rsidRPr="00CD4E55">
        <w:t>, electrical conduits, framing, flooring, and walls of the plain</w:t>
      </w:r>
      <w:r>
        <w:t xml:space="preserve">tiffs’ homes.  </w:t>
      </w:r>
      <w:r w:rsidRPr="00CD4E55">
        <w:t xml:space="preserve">This </w:t>
      </w:r>
      <w:r>
        <w:t>suit remains</w:t>
      </w:r>
      <w:r w:rsidRPr="00CD4E55">
        <w:t xml:space="preserve"> an “action seeki</w:t>
      </w:r>
      <w:r w:rsidRPr="00CD4E55">
        <w:t xml:space="preserve">ng recovery of damages </w:t>
      </w:r>
      <w:r w:rsidRPr="00CD4E55">
        <w:lastRenderedPageBreak/>
        <w:t>arising out of, or related to deficiencies in, the residential constru</w:t>
      </w:r>
      <w:r>
        <w:t>ction” of the plaintiffs’ homes</w:t>
      </w:r>
      <w:r w:rsidRPr="00CD4E55">
        <w:t xml:space="preserve"> (§ 896), </w:t>
      </w:r>
      <w:r>
        <w:t xml:space="preserve">and </w:t>
      </w:r>
      <w:proofErr w:type="spellStart"/>
      <w:r w:rsidRPr="00CD4E55">
        <w:t>McMillin’s</w:t>
      </w:r>
      <w:proofErr w:type="spellEnd"/>
      <w:r w:rsidRPr="00CD4E55">
        <w:t xml:space="preserve"> liability under the Van Tassels’ negligence and strict liability claims depends on the extent to which it v</w:t>
      </w:r>
      <w:r w:rsidRPr="00CD4E55">
        <w:t>iolated the st</w:t>
      </w:r>
      <w:r>
        <w:t xml:space="preserve">andards of sections 896 and 897.  Thus, </w:t>
      </w:r>
      <w:r w:rsidRPr="00CD4E55">
        <w:t xml:space="preserve">the Van Tassels were required to initiate the prelitigation procedures provided for in </w:t>
      </w:r>
      <w:r>
        <w:t>the Act</w:t>
      </w:r>
      <w:r>
        <w:t xml:space="preserve">. </w:t>
      </w:r>
      <w:r>
        <w:t xml:space="preserve"> </w:t>
      </w:r>
      <w:r>
        <w:rPr>
          <w:szCs w:val="26"/>
        </w:rPr>
        <w:t>(S</w:t>
      </w:r>
      <w:r w:rsidRPr="00402B54">
        <w:rPr>
          <w:szCs w:val="26"/>
        </w:rPr>
        <w:t xml:space="preserve">ee </w:t>
      </w:r>
      <w:r w:rsidRPr="00402B54">
        <w:rPr>
          <w:i/>
          <w:szCs w:val="26"/>
        </w:rPr>
        <w:t>Elliott Homes</w:t>
      </w:r>
      <w:r>
        <w:rPr>
          <w:i/>
          <w:szCs w:val="26"/>
        </w:rPr>
        <w:t>, Inc.</w:t>
      </w:r>
      <w:r w:rsidRPr="00402B54">
        <w:rPr>
          <w:i/>
          <w:szCs w:val="26"/>
        </w:rPr>
        <w:t xml:space="preserve"> v. Superior Court</w:t>
      </w:r>
      <w:r>
        <w:rPr>
          <w:szCs w:val="26"/>
        </w:rPr>
        <w:t xml:space="preserve"> (2016)</w:t>
      </w:r>
      <w:r w:rsidRPr="00402B54">
        <w:rPr>
          <w:szCs w:val="26"/>
        </w:rPr>
        <w:t xml:space="preserve"> 6 Cal.App.5th </w:t>
      </w:r>
      <w:r>
        <w:rPr>
          <w:szCs w:val="26"/>
        </w:rPr>
        <w:t xml:space="preserve">333, </w:t>
      </w:r>
      <w:r w:rsidRPr="00402B54">
        <w:rPr>
          <w:szCs w:val="26"/>
        </w:rPr>
        <w:t xml:space="preserve">341 </w:t>
      </w:r>
      <w:r>
        <w:rPr>
          <w:szCs w:val="26"/>
        </w:rPr>
        <w:t>[</w:t>
      </w:r>
      <w:r w:rsidRPr="00402B54">
        <w:rPr>
          <w:szCs w:val="26"/>
        </w:rPr>
        <w:t>“</w:t>
      </w:r>
      <w:r>
        <w:rPr>
          <w:szCs w:val="26"/>
        </w:rPr>
        <w:t>[W]</w:t>
      </w:r>
      <w:r w:rsidRPr="00402B54">
        <w:rPr>
          <w:szCs w:val="26"/>
        </w:rPr>
        <w:t xml:space="preserve">here the complaint alleges </w:t>
      </w:r>
      <w:r w:rsidRPr="00402B54">
        <w:rPr>
          <w:szCs w:val="26"/>
        </w:rPr>
        <w:t>deficiencies in construction that constitute violations of the standards set out in chapter 2 of the Act, the claims are subject to the Act, and the homeowner must comply with the prelitigation procedure, regardless of the theory of liability asserted in t</w:t>
      </w:r>
      <w:r w:rsidRPr="00402B54">
        <w:rPr>
          <w:szCs w:val="26"/>
        </w:rPr>
        <w:t>he complaint.</w:t>
      </w:r>
      <w:r>
        <w:rPr>
          <w:szCs w:val="26"/>
        </w:rPr>
        <w:t>”]</w:t>
      </w:r>
      <w:r>
        <w:rPr>
          <w:szCs w:val="26"/>
        </w:rPr>
        <w:t>.</w:t>
      </w:r>
      <w:r>
        <w:t>)</w:t>
      </w:r>
    </w:p>
    <w:p w:rsidR="0084482F" w:rsidRPr="005A307A" w:rsidRDefault="00EF3834" w:rsidP="005A307A">
      <w:pPr>
        <w:tabs>
          <w:tab w:val="left" w:pos="1440"/>
        </w:tabs>
        <w:spacing w:line="480" w:lineRule="atLeast"/>
        <w:ind w:firstLine="720"/>
      </w:pPr>
      <w:r>
        <w:t>In holding that claims seeking recovery for construction defect damages are subject to the Act’s prelitigation procedures regardless of how they are pleaded, we have no occasion to address the extent to which a party might rely upon commo</w:t>
      </w:r>
      <w:r>
        <w:t>n law principles in pursuing liability under the Act.  Nor does our holding embrace claims such as those for breach of contract, fraud, or personal injury that are expressly placed outside the reach of the Act’s exclusivity.  (</w:t>
      </w:r>
      <w:r>
        <w:t>§ 943, subd. </w:t>
      </w:r>
      <w:r>
        <w:t xml:space="preserve">(a).)  </w:t>
      </w:r>
      <w:r>
        <w:t>That limi</w:t>
      </w:r>
      <w:r>
        <w:t>t</w:t>
      </w:r>
      <w:r>
        <w:t xml:space="preserve"> do</w:t>
      </w:r>
      <w:r>
        <w:t>es</w:t>
      </w:r>
      <w:r>
        <w:t xml:space="preserve"> not </w:t>
      </w:r>
      <w:r>
        <w:t xml:space="preserve">help </w:t>
      </w:r>
      <w:r>
        <w:t>the Van Tassels</w:t>
      </w:r>
      <w:r>
        <w:t>’ position</w:t>
      </w:r>
      <w:r>
        <w:t xml:space="preserve"> here, for while t</w:t>
      </w:r>
      <w:r>
        <w:t>he complaint includes breach of contract and</w:t>
      </w:r>
      <w:r>
        <w:t xml:space="preserve"> breach of warranty claims, </w:t>
      </w:r>
      <w:r>
        <w:t xml:space="preserve">it also includes claims for strict liability and negligent failure to construct defect-free homes, </w:t>
      </w:r>
      <w:r>
        <w:t>to</w:t>
      </w:r>
      <w:r>
        <w:t xml:space="preserve"> which no statutory exce</w:t>
      </w:r>
      <w:r>
        <w:t xml:space="preserve">ption applies.  Accordingly, </w:t>
      </w:r>
      <w:r>
        <w:t>the Van Tassels must comply with</w:t>
      </w:r>
      <w:r>
        <w:t xml:space="preserve"> </w:t>
      </w:r>
      <w:r>
        <w:t xml:space="preserve">the </w:t>
      </w:r>
      <w:r>
        <w:t xml:space="preserve">Act’s </w:t>
      </w:r>
      <w:r>
        <w:t xml:space="preserve">prelitigation procedures before </w:t>
      </w:r>
      <w:r>
        <w:t xml:space="preserve">their </w:t>
      </w:r>
      <w:r>
        <w:t>suit may proceed.</w:t>
      </w:r>
      <w:r>
        <w:t xml:space="preserve">  Because </w:t>
      </w:r>
      <w:r w:rsidRPr="00CD4E55">
        <w:t xml:space="preserve">the Van Tassels have not </w:t>
      </w:r>
      <w:r>
        <w:t xml:space="preserve">yet </w:t>
      </w:r>
      <w:r>
        <w:t xml:space="preserve">done so, </w:t>
      </w:r>
      <w:proofErr w:type="spellStart"/>
      <w:r>
        <w:t>McMillin</w:t>
      </w:r>
      <w:proofErr w:type="spellEnd"/>
      <w:r>
        <w:t xml:space="preserve"> is entitled to a stay</w:t>
      </w:r>
      <w:r w:rsidRPr="00CD4E55">
        <w:t>.</w:t>
      </w:r>
      <w:r>
        <w:t xml:space="preserve">  </w:t>
      </w:r>
      <w:r w:rsidRPr="00CD4E55">
        <w:t>(</w:t>
      </w:r>
      <w:r>
        <w:t>§ 930, subd. </w:t>
      </w:r>
      <w:r>
        <w:t>(b)</w:t>
      </w:r>
      <w:r>
        <w:t>.)</w:t>
      </w:r>
    </w:p>
    <w:p w:rsidR="00CD400F" w:rsidRDefault="00EF3834">
      <w:pPr>
        <w:rPr>
          <w:b/>
          <w:smallCaps/>
        </w:rPr>
      </w:pPr>
      <w:r>
        <w:br w:type="page"/>
      </w:r>
    </w:p>
    <w:p w:rsidR="00420256" w:rsidRPr="00CD4E55" w:rsidRDefault="00EF3834" w:rsidP="00420256">
      <w:pPr>
        <w:pStyle w:val="Heading1"/>
      </w:pPr>
      <w:r>
        <w:lastRenderedPageBreak/>
        <w:t>Conclusion</w:t>
      </w:r>
    </w:p>
    <w:p w:rsidR="00420256" w:rsidRPr="00CD4E55" w:rsidRDefault="00EF3834" w:rsidP="00420256">
      <w:pPr>
        <w:keepNext/>
        <w:tabs>
          <w:tab w:val="left" w:pos="1440"/>
        </w:tabs>
        <w:spacing w:line="480" w:lineRule="atLeast"/>
        <w:ind w:firstLine="720"/>
      </w:pPr>
      <w:r>
        <w:t>W</w:t>
      </w:r>
      <w:r w:rsidRPr="00CD4E55">
        <w:t>e affirm</w:t>
      </w:r>
      <w:r w:rsidRPr="00CD4E55">
        <w:t xml:space="preserve"> the judgment of the Court of Appeal and remand for further proceedings not inconsistent with this opinion.</w:t>
      </w:r>
    </w:p>
    <w:p w:rsidR="00420256" w:rsidRPr="00CD4E55" w:rsidRDefault="00EF3834" w:rsidP="00420256">
      <w:pPr>
        <w:keepNext/>
        <w:tabs>
          <w:tab w:val="left" w:pos="1440"/>
        </w:tabs>
        <w:spacing w:line="480" w:lineRule="atLeast"/>
        <w:ind w:firstLine="720"/>
        <w:rPr>
          <w:smallCaps/>
        </w:rPr>
      </w:pPr>
      <w:r w:rsidRPr="00CD4E55">
        <w:rPr>
          <w:b/>
          <w:bCs/>
          <w:smallCaps/>
        </w:rPr>
        <w:tab/>
      </w:r>
      <w:r w:rsidRPr="00CD4E55">
        <w:rPr>
          <w:b/>
          <w:bCs/>
          <w:smallCaps/>
        </w:rPr>
        <w:tab/>
      </w:r>
      <w:r w:rsidRPr="00CD4E55">
        <w:rPr>
          <w:b/>
          <w:bCs/>
          <w:smallCaps/>
        </w:rPr>
        <w:tab/>
      </w:r>
      <w:r w:rsidRPr="00CD4E55">
        <w:rPr>
          <w:b/>
          <w:bCs/>
          <w:smallCaps/>
        </w:rPr>
        <w:tab/>
      </w:r>
      <w:r w:rsidRPr="00CD4E55">
        <w:rPr>
          <w:b/>
          <w:bCs/>
          <w:smallCaps/>
        </w:rPr>
        <w:tab/>
      </w:r>
      <w:r w:rsidRPr="00CD4E55">
        <w:rPr>
          <w:b/>
          <w:bCs/>
          <w:smallCaps/>
        </w:rPr>
        <w:tab/>
      </w:r>
      <w:r>
        <w:rPr>
          <w:b/>
          <w:bCs/>
          <w:smallCaps/>
        </w:rPr>
        <w:t>L</w:t>
      </w:r>
      <w:r w:rsidR="00B74926">
        <w:rPr>
          <w:b/>
          <w:bCs/>
          <w:smallCaps/>
        </w:rPr>
        <w:t>IU</w:t>
      </w:r>
      <w:r w:rsidRPr="00CD4E55">
        <w:rPr>
          <w:b/>
          <w:bCs/>
          <w:smallCaps/>
        </w:rPr>
        <w:t>, J.</w:t>
      </w:r>
    </w:p>
    <w:p w:rsidR="00420256" w:rsidRPr="00CD4E55" w:rsidRDefault="00EF3834" w:rsidP="00420256">
      <w:pPr>
        <w:keepNext/>
        <w:tabs>
          <w:tab w:val="left" w:pos="1440"/>
        </w:tabs>
        <w:spacing w:line="480" w:lineRule="atLeast"/>
        <w:rPr>
          <w:rFonts w:ascii="Baskerville Old Face" w:hAnsi="Baskerville Old Face"/>
        </w:rPr>
      </w:pPr>
    </w:p>
    <w:p w:rsidR="00B74926" w:rsidRDefault="00EF3834">
      <w:pPr>
        <w:tabs>
          <w:tab w:val="left" w:pos="1800"/>
        </w:tabs>
        <w:rPr>
          <w:b/>
          <w:smallCaps/>
        </w:rPr>
      </w:pPr>
      <w:r w:rsidRPr="001F2F2C">
        <w:rPr>
          <w:b/>
          <w:smallCaps/>
        </w:rPr>
        <w:t>W</w:t>
      </w:r>
      <w:r w:rsidR="00B74926">
        <w:rPr>
          <w:b/>
          <w:smallCaps/>
        </w:rPr>
        <w:t>E</w:t>
      </w:r>
      <w:r w:rsidRPr="001F2F2C">
        <w:rPr>
          <w:b/>
          <w:smallCaps/>
        </w:rPr>
        <w:t xml:space="preserve"> C</w:t>
      </w:r>
      <w:r w:rsidR="00B74926">
        <w:rPr>
          <w:b/>
          <w:smallCaps/>
        </w:rPr>
        <w:t>ONCUR</w:t>
      </w:r>
      <w:r w:rsidRPr="001F2F2C">
        <w:rPr>
          <w:b/>
          <w:smallCaps/>
        </w:rPr>
        <w:t>:</w:t>
      </w:r>
    </w:p>
    <w:p w:rsidR="00B74926" w:rsidRDefault="00B74926">
      <w:pPr>
        <w:tabs>
          <w:tab w:val="left" w:pos="1800"/>
        </w:tabs>
        <w:rPr>
          <w:b/>
          <w:smallCaps/>
        </w:rPr>
      </w:pPr>
    </w:p>
    <w:p w:rsidR="00FC6282" w:rsidRDefault="00EF3834">
      <w:pPr>
        <w:tabs>
          <w:tab w:val="left" w:pos="1800"/>
        </w:tabs>
        <w:rPr>
          <w:caps/>
        </w:rPr>
      </w:pPr>
      <w:r w:rsidRPr="00FE1B1A">
        <w:rPr>
          <w:b/>
          <w:caps/>
        </w:rPr>
        <w:t>C</w:t>
      </w:r>
      <w:r w:rsidR="00B74926">
        <w:rPr>
          <w:b/>
          <w:caps/>
        </w:rPr>
        <w:t>ANTIL</w:t>
      </w:r>
      <w:r>
        <w:rPr>
          <w:b/>
          <w:bCs/>
          <w:smallCaps/>
        </w:rPr>
        <w:t>-S</w:t>
      </w:r>
      <w:r w:rsidR="00B74926">
        <w:rPr>
          <w:b/>
          <w:bCs/>
          <w:smallCaps/>
        </w:rPr>
        <w:t>AKAUYE</w:t>
      </w:r>
      <w:r w:rsidRPr="00CD4E55">
        <w:rPr>
          <w:b/>
          <w:bCs/>
          <w:smallCaps/>
        </w:rPr>
        <w:t xml:space="preserve">, </w:t>
      </w:r>
      <w:r>
        <w:rPr>
          <w:b/>
          <w:bCs/>
          <w:smallCaps/>
        </w:rPr>
        <w:t xml:space="preserve">C. </w:t>
      </w:r>
      <w:r w:rsidRPr="00CD4E55">
        <w:rPr>
          <w:b/>
          <w:bCs/>
          <w:smallCaps/>
        </w:rPr>
        <w:t>J.</w:t>
      </w:r>
    </w:p>
    <w:p w:rsidR="00FC6282" w:rsidRDefault="00EF3834">
      <w:pPr>
        <w:tabs>
          <w:tab w:val="left" w:pos="1800"/>
        </w:tabs>
        <w:rPr>
          <w:b/>
          <w:bCs/>
          <w:smallCaps/>
        </w:rPr>
      </w:pPr>
      <w:r w:rsidRPr="00AE3F61">
        <w:rPr>
          <w:b/>
          <w:caps/>
        </w:rPr>
        <w:t>C</w:t>
      </w:r>
      <w:r w:rsidR="00B74926">
        <w:rPr>
          <w:b/>
          <w:caps/>
        </w:rPr>
        <w:t>HIN</w:t>
      </w:r>
      <w:r w:rsidRPr="00CD4E55">
        <w:rPr>
          <w:b/>
          <w:bCs/>
          <w:smallCaps/>
        </w:rPr>
        <w:t>, J.</w:t>
      </w:r>
    </w:p>
    <w:p w:rsidR="00FC6282" w:rsidRDefault="00EF3834">
      <w:pPr>
        <w:tabs>
          <w:tab w:val="left" w:pos="1800"/>
        </w:tabs>
        <w:rPr>
          <w:b/>
          <w:bCs/>
          <w:smallCaps/>
        </w:rPr>
      </w:pPr>
      <w:r>
        <w:rPr>
          <w:b/>
          <w:bCs/>
          <w:smallCaps/>
        </w:rPr>
        <w:t>C</w:t>
      </w:r>
      <w:r w:rsidR="00B74926">
        <w:rPr>
          <w:b/>
          <w:bCs/>
          <w:smallCaps/>
        </w:rPr>
        <w:t>ORRIGAN</w:t>
      </w:r>
      <w:r>
        <w:rPr>
          <w:b/>
          <w:bCs/>
          <w:smallCaps/>
        </w:rPr>
        <w:t>, J.</w:t>
      </w:r>
    </w:p>
    <w:p w:rsidR="00FE1B1A" w:rsidRDefault="00EF3834">
      <w:pPr>
        <w:tabs>
          <w:tab w:val="left" w:pos="1800"/>
        </w:tabs>
        <w:rPr>
          <w:b/>
          <w:bCs/>
          <w:smallCaps/>
        </w:rPr>
      </w:pPr>
      <w:r>
        <w:rPr>
          <w:b/>
          <w:bCs/>
          <w:smallCaps/>
        </w:rPr>
        <w:t>C</w:t>
      </w:r>
      <w:r w:rsidR="00B74926">
        <w:rPr>
          <w:b/>
          <w:bCs/>
          <w:smallCaps/>
        </w:rPr>
        <w:t>UÉLLAR</w:t>
      </w:r>
      <w:r>
        <w:rPr>
          <w:b/>
          <w:bCs/>
          <w:smallCaps/>
        </w:rPr>
        <w:t>, J.</w:t>
      </w:r>
    </w:p>
    <w:p w:rsidR="00FE1B1A" w:rsidRDefault="00EF3834">
      <w:pPr>
        <w:tabs>
          <w:tab w:val="left" w:pos="1800"/>
        </w:tabs>
        <w:rPr>
          <w:b/>
          <w:bCs/>
          <w:smallCaps/>
        </w:rPr>
      </w:pPr>
      <w:r>
        <w:rPr>
          <w:b/>
          <w:bCs/>
          <w:smallCaps/>
        </w:rPr>
        <w:t>K</w:t>
      </w:r>
      <w:r w:rsidR="00B74926">
        <w:rPr>
          <w:b/>
          <w:bCs/>
          <w:smallCaps/>
        </w:rPr>
        <w:t>RUGER</w:t>
      </w:r>
      <w:r>
        <w:rPr>
          <w:b/>
          <w:bCs/>
          <w:smallCaps/>
        </w:rPr>
        <w:t>, J.</w:t>
      </w:r>
    </w:p>
    <w:p w:rsidR="00FE1B1A" w:rsidRPr="00DE03AA" w:rsidRDefault="00EF3834" w:rsidP="00FE1B1A">
      <w:pPr>
        <w:tabs>
          <w:tab w:val="left" w:pos="1800"/>
        </w:tabs>
        <w:rPr>
          <w:caps/>
        </w:rPr>
      </w:pPr>
      <w:r>
        <w:rPr>
          <w:b/>
          <w:bCs/>
          <w:smallCaps/>
        </w:rPr>
        <w:t>L</w:t>
      </w:r>
      <w:r w:rsidR="00B74926">
        <w:rPr>
          <w:b/>
          <w:bCs/>
          <w:smallCaps/>
        </w:rPr>
        <w:t>UI</w:t>
      </w:r>
      <w:r>
        <w:rPr>
          <w:b/>
          <w:bCs/>
          <w:smallCaps/>
        </w:rPr>
        <w:t>, J.</w:t>
      </w:r>
      <w:r>
        <w:rPr>
          <w:rStyle w:val="FootnoteReference"/>
          <w:b w:val="0"/>
          <w:bCs/>
          <w:smallCaps/>
        </w:rPr>
        <w:footnoteReference w:id="2"/>
      </w:r>
    </w:p>
    <w:p w:rsidR="00B74926" w:rsidRDefault="00B74926">
      <w:pPr>
        <w:tabs>
          <w:tab w:val="left" w:pos="1800"/>
        </w:tabs>
        <w:rPr>
          <w:caps/>
        </w:rPr>
        <w:sectPr w:rsidR="00B74926" w:rsidSect="00BD1DAF">
          <w:headerReference w:type="even" r:id="rId7"/>
          <w:headerReference w:type="default" r:id="rId8"/>
          <w:footerReference w:type="even" r:id="rId9"/>
          <w:footerReference w:type="default" r:id="rId10"/>
          <w:headerReference w:type="first" r:id="rId11"/>
          <w:footerReference w:type="first" r:id="rId12"/>
          <w:footnotePr>
            <w:numFmt w:val="chicago"/>
          </w:footnotePr>
          <w:pgSz w:w="12240" w:h="15840" w:code="1"/>
          <w:pgMar w:top="1440" w:right="1800" w:bottom="1440" w:left="1800" w:header="720" w:footer="720" w:gutter="0"/>
          <w:cols w:space="720"/>
          <w:titlePg/>
        </w:sectPr>
      </w:pPr>
    </w:p>
    <w:p w:rsidR="00B74926" w:rsidRDefault="00B74926" w:rsidP="00B74926">
      <w:pPr>
        <w:rPr>
          <w:i/>
          <w:sz w:val="20"/>
        </w:rPr>
      </w:pPr>
      <w:r>
        <w:rPr>
          <w:i/>
          <w:sz w:val="20"/>
        </w:rPr>
        <w:lastRenderedPageBreak/>
        <w:t>See last page for addresses and telephone numbers for counsel who argued in Supreme Court.</w:t>
      </w:r>
    </w:p>
    <w:p w:rsidR="00B74926" w:rsidRDefault="00B74926" w:rsidP="00B74926">
      <w:pPr>
        <w:rPr>
          <w:i/>
          <w:sz w:val="20"/>
        </w:rPr>
      </w:pPr>
    </w:p>
    <w:p w:rsidR="00B74926" w:rsidRPr="00EB6D3F" w:rsidRDefault="00B74926" w:rsidP="00B74926">
      <w:pPr>
        <w:rPr>
          <w:bCs/>
          <w:i/>
          <w:sz w:val="20"/>
        </w:rPr>
      </w:pPr>
      <w:r>
        <w:rPr>
          <w:b/>
          <w:sz w:val="20"/>
        </w:rPr>
        <w:t>Name of Opinion</w:t>
      </w:r>
      <w:r>
        <w:rPr>
          <w:sz w:val="20"/>
        </w:rPr>
        <w:t xml:space="preserve"> </w:t>
      </w:r>
      <w:proofErr w:type="spellStart"/>
      <w:r>
        <w:rPr>
          <w:sz w:val="20"/>
        </w:rPr>
        <w:t>McMillin</w:t>
      </w:r>
      <w:proofErr w:type="spellEnd"/>
      <w:r>
        <w:rPr>
          <w:sz w:val="20"/>
        </w:rPr>
        <w:t xml:space="preserve"> Albany LLC v. Superior Court</w:t>
      </w:r>
    </w:p>
    <w:p w:rsidR="00B74926" w:rsidRDefault="00B74926" w:rsidP="00B74926">
      <w:pPr>
        <w:rPr>
          <w:b/>
          <w:sz w:val="20"/>
        </w:rPr>
      </w:pPr>
      <w:r>
        <w:rPr>
          <w:b/>
          <w:sz w:val="20"/>
        </w:rPr>
        <w:t>__________________________________________________________________________________</w:t>
      </w:r>
    </w:p>
    <w:p w:rsidR="00B74926" w:rsidRDefault="00B74926" w:rsidP="00B74926">
      <w:pPr>
        <w:rPr>
          <w:b/>
          <w:sz w:val="20"/>
        </w:rPr>
      </w:pPr>
    </w:p>
    <w:p w:rsidR="00B74926" w:rsidRDefault="00B74926" w:rsidP="00B74926">
      <w:pPr>
        <w:rPr>
          <w:bCs/>
          <w:sz w:val="20"/>
        </w:rPr>
      </w:pPr>
      <w:r>
        <w:rPr>
          <w:b/>
          <w:sz w:val="20"/>
        </w:rPr>
        <w:t>Unpublished Opinion</w:t>
      </w:r>
    </w:p>
    <w:p w:rsidR="00B74926" w:rsidRDefault="00B74926" w:rsidP="00B74926">
      <w:pPr>
        <w:rPr>
          <w:sz w:val="20"/>
        </w:rPr>
      </w:pPr>
      <w:r>
        <w:rPr>
          <w:b/>
          <w:sz w:val="20"/>
        </w:rPr>
        <w:t>Original Appeal</w:t>
      </w:r>
    </w:p>
    <w:p w:rsidR="00B74926" w:rsidRDefault="00B74926" w:rsidP="00B74926">
      <w:pPr>
        <w:rPr>
          <w:b/>
          <w:sz w:val="20"/>
        </w:rPr>
      </w:pPr>
      <w:r>
        <w:rPr>
          <w:b/>
          <w:sz w:val="20"/>
        </w:rPr>
        <w:t>Original Proceeding</w:t>
      </w:r>
    </w:p>
    <w:p w:rsidR="00B74926" w:rsidRPr="00EB6D3F" w:rsidRDefault="00B74926" w:rsidP="00B74926">
      <w:pPr>
        <w:rPr>
          <w:sz w:val="20"/>
        </w:rPr>
      </w:pPr>
      <w:r>
        <w:rPr>
          <w:b/>
          <w:sz w:val="20"/>
        </w:rPr>
        <w:t>Review Granted</w:t>
      </w:r>
      <w:r>
        <w:rPr>
          <w:sz w:val="20"/>
        </w:rPr>
        <w:t xml:space="preserve"> XXX 239 Cal.App.4th 1132</w:t>
      </w:r>
    </w:p>
    <w:p w:rsidR="00B74926" w:rsidRDefault="00B74926" w:rsidP="00B74926">
      <w:pPr>
        <w:rPr>
          <w:b/>
          <w:sz w:val="20"/>
        </w:rPr>
      </w:pPr>
      <w:r>
        <w:rPr>
          <w:b/>
          <w:sz w:val="20"/>
        </w:rPr>
        <w:t>Rehearing Granted</w:t>
      </w:r>
    </w:p>
    <w:p w:rsidR="00B74926" w:rsidRDefault="00B74926" w:rsidP="00B74926">
      <w:pPr>
        <w:rPr>
          <w:b/>
          <w:sz w:val="20"/>
        </w:rPr>
      </w:pPr>
    </w:p>
    <w:p w:rsidR="00B74926" w:rsidRDefault="00B74926" w:rsidP="00B74926">
      <w:pPr>
        <w:rPr>
          <w:b/>
          <w:sz w:val="20"/>
        </w:rPr>
      </w:pPr>
      <w:r>
        <w:rPr>
          <w:b/>
          <w:sz w:val="20"/>
        </w:rPr>
        <w:t>__________________________________________________________________________________</w:t>
      </w:r>
    </w:p>
    <w:p w:rsidR="00B74926" w:rsidRDefault="00B74926" w:rsidP="00B74926">
      <w:pPr>
        <w:rPr>
          <w:b/>
          <w:sz w:val="20"/>
        </w:rPr>
      </w:pPr>
    </w:p>
    <w:p w:rsidR="00B74926" w:rsidRPr="00EB6D3F" w:rsidRDefault="00B74926" w:rsidP="00B74926">
      <w:pPr>
        <w:rPr>
          <w:bCs/>
          <w:sz w:val="20"/>
        </w:rPr>
      </w:pPr>
      <w:r>
        <w:rPr>
          <w:b/>
          <w:sz w:val="20"/>
        </w:rPr>
        <w:t>Opinion No.</w:t>
      </w:r>
      <w:r>
        <w:rPr>
          <w:sz w:val="20"/>
        </w:rPr>
        <w:t xml:space="preserve"> S229762</w:t>
      </w:r>
    </w:p>
    <w:p w:rsidR="00B74926" w:rsidRPr="00EB6D3F" w:rsidRDefault="00B74926" w:rsidP="00B74926">
      <w:pPr>
        <w:rPr>
          <w:bCs/>
          <w:sz w:val="20"/>
        </w:rPr>
      </w:pPr>
      <w:r>
        <w:rPr>
          <w:b/>
          <w:sz w:val="20"/>
        </w:rPr>
        <w:t>Date Filed:</w:t>
      </w:r>
      <w:r>
        <w:rPr>
          <w:sz w:val="20"/>
        </w:rPr>
        <w:t xml:space="preserve"> January 18, 2018</w:t>
      </w:r>
    </w:p>
    <w:p w:rsidR="00B74926" w:rsidRDefault="00B74926" w:rsidP="00B74926">
      <w:pPr>
        <w:rPr>
          <w:b/>
          <w:sz w:val="20"/>
        </w:rPr>
      </w:pPr>
      <w:r>
        <w:rPr>
          <w:b/>
          <w:sz w:val="20"/>
        </w:rPr>
        <w:t>__________________________________________________________________________________</w:t>
      </w:r>
    </w:p>
    <w:p w:rsidR="00B74926" w:rsidRDefault="00B74926" w:rsidP="00B74926">
      <w:pPr>
        <w:rPr>
          <w:b/>
          <w:sz w:val="20"/>
        </w:rPr>
      </w:pPr>
    </w:p>
    <w:p w:rsidR="00B74926" w:rsidRPr="00EB6D3F" w:rsidRDefault="00B74926" w:rsidP="00B74926">
      <w:pPr>
        <w:rPr>
          <w:bCs/>
          <w:sz w:val="20"/>
        </w:rPr>
      </w:pPr>
      <w:r>
        <w:rPr>
          <w:b/>
          <w:sz w:val="20"/>
        </w:rPr>
        <w:t>Court:</w:t>
      </w:r>
      <w:r>
        <w:rPr>
          <w:sz w:val="20"/>
        </w:rPr>
        <w:t xml:space="preserve"> Superior</w:t>
      </w:r>
    </w:p>
    <w:p w:rsidR="00B74926" w:rsidRPr="00EB6D3F" w:rsidRDefault="00B74926" w:rsidP="00B74926">
      <w:pPr>
        <w:rPr>
          <w:bCs/>
          <w:sz w:val="20"/>
        </w:rPr>
      </w:pPr>
      <w:r>
        <w:rPr>
          <w:b/>
          <w:sz w:val="20"/>
        </w:rPr>
        <w:t>County:</w:t>
      </w:r>
      <w:r>
        <w:rPr>
          <w:sz w:val="20"/>
        </w:rPr>
        <w:t xml:space="preserve"> Kern</w:t>
      </w:r>
    </w:p>
    <w:p w:rsidR="00B74926" w:rsidRPr="00EB6D3F" w:rsidRDefault="00B74926" w:rsidP="00B74926">
      <w:pPr>
        <w:ind w:left="720" w:hanging="720"/>
        <w:rPr>
          <w:bCs/>
          <w:sz w:val="20"/>
        </w:rPr>
      </w:pPr>
      <w:r>
        <w:rPr>
          <w:b/>
          <w:sz w:val="20"/>
        </w:rPr>
        <w:t>Judge:</w:t>
      </w:r>
      <w:r>
        <w:rPr>
          <w:sz w:val="20"/>
        </w:rPr>
        <w:t xml:space="preserve"> David R. Lampe</w:t>
      </w:r>
    </w:p>
    <w:p w:rsidR="00B74926" w:rsidRDefault="00B74926" w:rsidP="00B74926">
      <w:pPr>
        <w:rPr>
          <w:b/>
          <w:sz w:val="20"/>
        </w:rPr>
      </w:pPr>
    </w:p>
    <w:p w:rsidR="00B74926" w:rsidRDefault="00B74926" w:rsidP="00B74926">
      <w:pPr>
        <w:rPr>
          <w:b/>
          <w:sz w:val="20"/>
        </w:rPr>
      </w:pPr>
      <w:r>
        <w:rPr>
          <w:b/>
          <w:sz w:val="20"/>
        </w:rPr>
        <w:t>__________________________________________________________________________________</w:t>
      </w:r>
    </w:p>
    <w:p w:rsidR="00B74926" w:rsidRDefault="00B74926" w:rsidP="00B74926">
      <w:pPr>
        <w:rPr>
          <w:b/>
          <w:sz w:val="20"/>
        </w:rPr>
      </w:pPr>
    </w:p>
    <w:p w:rsidR="00B74926" w:rsidRDefault="00B74926" w:rsidP="00B74926">
      <w:pPr>
        <w:rPr>
          <w:b/>
          <w:sz w:val="20"/>
        </w:rPr>
      </w:pPr>
      <w:r>
        <w:rPr>
          <w:b/>
          <w:sz w:val="20"/>
        </w:rPr>
        <w:t>Counsel:</w:t>
      </w:r>
    </w:p>
    <w:p w:rsidR="00B74926" w:rsidRDefault="00B74926" w:rsidP="00B74926">
      <w:pPr>
        <w:rPr>
          <w:b/>
          <w:sz w:val="20"/>
        </w:rPr>
      </w:pPr>
    </w:p>
    <w:p w:rsidR="00B74926" w:rsidRDefault="00B74926" w:rsidP="00B74926">
      <w:pPr>
        <w:rPr>
          <w:sz w:val="20"/>
        </w:rPr>
      </w:pPr>
      <w:proofErr w:type="spellStart"/>
      <w:r>
        <w:rPr>
          <w:sz w:val="20"/>
        </w:rPr>
        <w:t>Borton</w:t>
      </w:r>
      <w:proofErr w:type="spellEnd"/>
      <w:r>
        <w:rPr>
          <w:sz w:val="20"/>
        </w:rPr>
        <w:t xml:space="preserve"> </w:t>
      </w:r>
      <w:proofErr w:type="spellStart"/>
      <w:r>
        <w:rPr>
          <w:sz w:val="20"/>
        </w:rPr>
        <w:t>Petrini</w:t>
      </w:r>
      <w:proofErr w:type="spellEnd"/>
      <w:r>
        <w:rPr>
          <w:sz w:val="20"/>
        </w:rPr>
        <w:t>, Calvin R. Stead and Andrew M. Morgan for Petitioners.</w:t>
      </w:r>
    </w:p>
    <w:p w:rsidR="00B74926" w:rsidRDefault="00B74926" w:rsidP="00B74926">
      <w:pPr>
        <w:rPr>
          <w:sz w:val="20"/>
        </w:rPr>
      </w:pPr>
    </w:p>
    <w:p w:rsidR="00B74926" w:rsidRDefault="00B74926" w:rsidP="00B74926">
      <w:pPr>
        <w:rPr>
          <w:sz w:val="20"/>
        </w:rPr>
      </w:pPr>
      <w:proofErr w:type="spellStart"/>
      <w:r>
        <w:rPr>
          <w:sz w:val="20"/>
        </w:rPr>
        <w:t>Ulich</w:t>
      </w:r>
      <w:proofErr w:type="spellEnd"/>
      <w:r>
        <w:rPr>
          <w:sz w:val="20"/>
        </w:rPr>
        <w:t xml:space="preserve"> </w:t>
      </w:r>
      <w:proofErr w:type="spellStart"/>
      <w:r>
        <w:rPr>
          <w:sz w:val="20"/>
        </w:rPr>
        <w:t>Ganion</w:t>
      </w:r>
      <w:proofErr w:type="spellEnd"/>
      <w:r>
        <w:rPr>
          <w:sz w:val="20"/>
        </w:rPr>
        <w:t xml:space="preserve"> </w:t>
      </w:r>
      <w:proofErr w:type="spellStart"/>
      <w:r>
        <w:rPr>
          <w:sz w:val="20"/>
        </w:rPr>
        <w:t>Balmuth</w:t>
      </w:r>
      <w:proofErr w:type="spellEnd"/>
      <w:r>
        <w:rPr>
          <w:sz w:val="20"/>
        </w:rPr>
        <w:t xml:space="preserve"> Fisher &amp; Feld and Donald W. Fisher as Amici Curiae on behalf of Petitioners.</w:t>
      </w:r>
    </w:p>
    <w:p w:rsidR="00B74926" w:rsidRDefault="00B74926" w:rsidP="00B74926">
      <w:pPr>
        <w:rPr>
          <w:sz w:val="20"/>
        </w:rPr>
      </w:pPr>
    </w:p>
    <w:p w:rsidR="00B74926" w:rsidRDefault="00B74926" w:rsidP="00B74926">
      <w:pPr>
        <w:rPr>
          <w:sz w:val="20"/>
        </w:rPr>
      </w:pPr>
      <w:r>
        <w:rPr>
          <w:sz w:val="20"/>
        </w:rPr>
        <w:t xml:space="preserve">Donahue Fitzgerald, Kathleen F. Carpenter, Amy R. </w:t>
      </w:r>
      <w:proofErr w:type="spellStart"/>
      <w:r>
        <w:rPr>
          <w:sz w:val="20"/>
        </w:rPr>
        <w:t>Gowan</w:t>
      </w:r>
      <w:proofErr w:type="spellEnd"/>
      <w:r>
        <w:rPr>
          <w:sz w:val="20"/>
        </w:rPr>
        <w:t>; Ware Law and Dee A. Ware for California Building Industry Association, Building Industry Legal Defense Foundation and California Infill Federation</w:t>
      </w:r>
      <w:r w:rsidRPr="00652EC0">
        <w:rPr>
          <w:sz w:val="20"/>
        </w:rPr>
        <w:t xml:space="preserve"> </w:t>
      </w:r>
      <w:r>
        <w:rPr>
          <w:sz w:val="20"/>
        </w:rPr>
        <w:t>as Amici Curiae on behalf of Petitioners.</w:t>
      </w:r>
    </w:p>
    <w:p w:rsidR="00B74926" w:rsidRDefault="00B74926" w:rsidP="00B74926">
      <w:pPr>
        <w:rPr>
          <w:sz w:val="20"/>
        </w:rPr>
      </w:pPr>
    </w:p>
    <w:p w:rsidR="00B74926" w:rsidRDefault="00B74926" w:rsidP="00B74926">
      <w:pPr>
        <w:rPr>
          <w:sz w:val="20"/>
        </w:rPr>
      </w:pPr>
      <w:r>
        <w:rPr>
          <w:sz w:val="20"/>
        </w:rPr>
        <w:t xml:space="preserve">Ryan &amp; Lifter, Jill J. Lifter; Chapman, </w:t>
      </w:r>
      <w:proofErr w:type="spellStart"/>
      <w:r>
        <w:rPr>
          <w:sz w:val="20"/>
        </w:rPr>
        <w:t>Glucksman</w:t>
      </w:r>
      <w:proofErr w:type="spellEnd"/>
      <w:r>
        <w:rPr>
          <w:sz w:val="20"/>
        </w:rPr>
        <w:t xml:space="preserve"> Dean </w:t>
      </w:r>
      <w:proofErr w:type="spellStart"/>
      <w:r>
        <w:rPr>
          <w:sz w:val="20"/>
        </w:rPr>
        <w:t>Roeb</w:t>
      </w:r>
      <w:proofErr w:type="spellEnd"/>
      <w:r>
        <w:rPr>
          <w:sz w:val="20"/>
        </w:rPr>
        <w:t xml:space="preserve"> &amp; Barger and Glenn T. Barger for Association of Defense Counsel of Northern California and Nevada and Association of Southern California Defense Counsel as Amici Curiae on behalf of Petitioners.</w:t>
      </w:r>
    </w:p>
    <w:p w:rsidR="00B74926" w:rsidRDefault="00B74926" w:rsidP="00B74926">
      <w:pPr>
        <w:rPr>
          <w:sz w:val="20"/>
        </w:rPr>
      </w:pPr>
    </w:p>
    <w:p w:rsidR="00B74926" w:rsidRDefault="00B74926" w:rsidP="00B74926">
      <w:pPr>
        <w:rPr>
          <w:sz w:val="20"/>
        </w:rPr>
      </w:pPr>
      <w:r>
        <w:rPr>
          <w:sz w:val="20"/>
        </w:rPr>
        <w:t xml:space="preserve">Hirsch </w:t>
      </w:r>
      <w:proofErr w:type="spellStart"/>
      <w:r>
        <w:rPr>
          <w:sz w:val="20"/>
        </w:rPr>
        <w:t>Closson</w:t>
      </w:r>
      <w:proofErr w:type="spellEnd"/>
      <w:r>
        <w:rPr>
          <w:sz w:val="20"/>
        </w:rPr>
        <w:t xml:space="preserve">, Robert V. </w:t>
      </w:r>
      <w:proofErr w:type="spellStart"/>
      <w:r>
        <w:rPr>
          <w:sz w:val="20"/>
        </w:rPr>
        <w:t>Closson</w:t>
      </w:r>
      <w:proofErr w:type="spellEnd"/>
      <w:r>
        <w:rPr>
          <w:sz w:val="20"/>
        </w:rPr>
        <w:t xml:space="preserve"> and Jodi E. Lambert for California Professional Association of Specialty Contractors as Amicus Curiae on behalf of Petitioners.</w:t>
      </w:r>
    </w:p>
    <w:p w:rsidR="00B74926" w:rsidRDefault="00B74926" w:rsidP="00B74926">
      <w:pPr>
        <w:rPr>
          <w:sz w:val="20"/>
        </w:rPr>
      </w:pPr>
    </w:p>
    <w:p w:rsidR="00B74926" w:rsidRDefault="00B74926" w:rsidP="00B74926">
      <w:pPr>
        <w:rPr>
          <w:sz w:val="20"/>
        </w:rPr>
      </w:pPr>
      <w:proofErr w:type="spellStart"/>
      <w:r>
        <w:rPr>
          <w:sz w:val="20"/>
        </w:rPr>
        <w:t>Newmeyer</w:t>
      </w:r>
      <w:proofErr w:type="spellEnd"/>
      <w:r>
        <w:rPr>
          <w:sz w:val="20"/>
        </w:rPr>
        <w:t xml:space="preserve"> &amp; Dillion, Alan H. Packer, J. Nathan Owens, Paul L. </w:t>
      </w:r>
      <w:proofErr w:type="spellStart"/>
      <w:r>
        <w:rPr>
          <w:sz w:val="20"/>
        </w:rPr>
        <w:t>Tetzloff</w:t>
      </w:r>
      <w:proofErr w:type="spellEnd"/>
      <w:r>
        <w:rPr>
          <w:sz w:val="20"/>
        </w:rPr>
        <w:t xml:space="preserve"> and Jeffrey R. Brower for Leading Builders of America as Amicus Curiae on behalf of Petitioners.</w:t>
      </w:r>
    </w:p>
    <w:p w:rsidR="00B74926" w:rsidRDefault="00B74926" w:rsidP="00B74926">
      <w:pPr>
        <w:rPr>
          <w:sz w:val="20"/>
        </w:rPr>
      </w:pPr>
    </w:p>
    <w:p w:rsidR="00B74926" w:rsidRDefault="00B74926" w:rsidP="00B74926">
      <w:pPr>
        <w:rPr>
          <w:sz w:val="20"/>
        </w:rPr>
      </w:pPr>
      <w:r>
        <w:rPr>
          <w:sz w:val="20"/>
        </w:rPr>
        <w:t xml:space="preserve">Epstein Grinnell &amp; Howell, Anne L. Rauch; </w:t>
      </w:r>
      <w:proofErr w:type="spellStart"/>
      <w:r>
        <w:rPr>
          <w:sz w:val="20"/>
        </w:rPr>
        <w:t>Berding</w:t>
      </w:r>
      <w:proofErr w:type="spellEnd"/>
      <w:r>
        <w:rPr>
          <w:sz w:val="20"/>
        </w:rPr>
        <w:t xml:space="preserve"> &amp; Weil and Tyler P. </w:t>
      </w:r>
      <w:proofErr w:type="spellStart"/>
      <w:r>
        <w:rPr>
          <w:sz w:val="20"/>
        </w:rPr>
        <w:t>Berding</w:t>
      </w:r>
      <w:proofErr w:type="spellEnd"/>
      <w:r>
        <w:rPr>
          <w:sz w:val="20"/>
        </w:rPr>
        <w:t xml:space="preserve"> for Consumer Attorneys of California as Amicus Curiae on behalf of Petitioners.</w:t>
      </w:r>
    </w:p>
    <w:p w:rsidR="00B74926" w:rsidRDefault="00B74926" w:rsidP="00B74926">
      <w:pPr>
        <w:rPr>
          <w:sz w:val="20"/>
        </w:rPr>
      </w:pPr>
    </w:p>
    <w:p w:rsidR="00B74926" w:rsidRDefault="00B74926" w:rsidP="00B74926">
      <w:pPr>
        <w:rPr>
          <w:sz w:val="20"/>
        </w:rPr>
      </w:pPr>
      <w:r>
        <w:rPr>
          <w:sz w:val="20"/>
        </w:rPr>
        <w:t>No appearance for Respondent.</w:t>
      </w:r>
    </w:p>
    <w:p w:rsidR="00B74926" w:rsidRDefault="00B74926" w:rsidP="00B74926">
      <w:pPr>
        <w:rPr>
          <w:sz w:val="20"/>
        </w:rPr>
      </w:pPr>
    </w:p>
    <w:p w:rsidR="00B74926" w:rsidRPr="00EB6D3F" w:rsidRDefault="00B74926" w:rsidP="00B74926">
      <w:pPr>
        <w:rPr>
          <w:sz w:val="20"/>
        </w:rPr>
      </w:pPr>
      <w:r>
        <w:rPr>
          <w:sz w:val="20"/>
        </w:rPr>
        <w:t xml:space="preserve">Milstein Adelman, Milstein Adelman Jackson Fairchild &amp; Wade, Mark A. Milstein, Fred M. Adelman and Mayo L. </w:t>
      </w:r>
      <w:proofErr w:type="spellStart"/>
      <w:r>
        <w:rPr>
          <w:sz w:val="20"/>
        </w:rPr>
        <w:t>Makarcyzk</w:t>
      </w:r>
      <w:proofErr w:type="spellEnd"/>
      <w:r>
        <w:rPr>
          <w:sz w:val="20"/>
        </w:rPr>
        <w:t xml:space="preserve"> for Real Parties in Interest.</w:t>
      </w:r>
    </w:p>
    <w:p w:rsidR="00B74926" w:rsidRDefault="00B74926" w:rsidP="00B74926">
      <w:pPr>
        <w:rPr>
          <w:sz w:val="20"/>
        </w:rPr>
      </w:pPr>
    </w:p>
    <w:p w:rsidR="00B74926" w:rsidRPr="00EB6D3F" w:rsidRDefault="00B74926" w:rsidP="00B74926">
      <w:pPr>
        <w:rPr>
          <w:sz w:val="20"/>
        </w:rPr>
      </w:pPr>
      <w:r>
        <w:rPr>
          <w:sz w:val="20"/>
        </w:rPr>
        <w:t xml:space="preserve">Benson Legal, Susan M. Benson; Williams | </w:t>
      </w:r>
      <w:proofErr w:type="spellStart"/>
      <w:r>
        <w:rPr>
          <w:sz w:val="20"/>
        </w:rPr>
        <w:t>Palecek</w:t>
      </w:r>
      <w:proofErr w:type="spellEnd"/>
      <w:r>
        <w:rPr>
          <w:sz w:val="20"/>
        </w:rPr>
        <w:t xml:space="preserve"> Law Group and Jason P. Williams for The National Association of Subrogation Professionals</w:t>
      </w:r>
      <w:r w:rsidRPr="007E45AE">
        <w:rPr>
          <w:sz w:val="20"/>
        </w:rPr>
        <w:t xml:space="preserve"> </w:t>
      </w:r>
      <w:r>
        <w:rPr>
          <w:sz w:val="20"/>
        </w:rPr>
        <w:t>as Amicus Curiae on behalf of</w:t>
      </w:r>
      <w:r w:rsidRPr="007E45AE">
        <w:rPr>
          <w:sz w:val="20"/>
        </w:rPr>
        <w:t xml:space="preserve"> </w:t>
      </w:r>
      <w:r>
        <w:rPr>
          <w:sz w:val="20"/>
        </w:rPr>
        <w:t>Real Parties in Interest.</w:t>
      </w:r>
    </w:p>
    <w:p w:rsidR="00B74926" w:rsidRDefault="00B74926" w:rsidP="00B74926">
      <w:pPr>
        <w:rPr>
          <w:sz w:val="20"/>
        </w:rPr>
      </w:pPr>
    </w:p>
    <w:p w:rsidR="00B74926" w:rsidRDefault="00B74926" w:rsidP="00B74926">
      <w:pPr>
        <w:rPr>
          <w:sz w:val="20"/>
        </w:rPr>
      </w:pPr>
    </w:p>
    <w:p w:rsidR="00B74926" w:rsidRDefault="00B74926" w:rsidP="00B74926">
      <w:pPr>
        <w:rPr>
          <w:sz w:val="20"/>
        </w:rPr>
      </w:pPr>
    </w:p>
    <w:p w:rsidR="00B74926" w:rsidRDefault="00B74926" w:rsidP="00B74926">
      <w:pPr>
        <w:rPr>
          <w:sz w:val="20"/>
        </w:rPr>
      </w:pPr>
    </w:p>
    <w:p w:rsidR="00B74926" w:rsidRDefault="00B74926" w:rsidP="00B74926">
      <w:pPr>
        <w:rPr>
          <w:sz w:val="20"/>
        </w:rPr>
      </w:pPr>
    </w:p>
    <w:p w:rsidR="00B74926" w:rsidRDefault="00B74926" w:rsidP="00B74926">
      <w:pPr>
        <w:rPr>
          <w:sz w:val="20"/>
        </w:rPr>
      </w:pPr>
    </w:p>
    <w:p w:rsidR="00B74926" w:rsidRPr="007E45AE" w:rsidRDefault="00B74926" w:rsidP="00B74926">
      <w:pPr>
        <w:rPr>
          <w:b/>
          <w:sz w:val="20"/>
        </w:rPr>
      </w:pPr>
      <w:r w:rsidRPr="007E45AE">
        <w:rPr>
          <w:b/>
          <w:sz w:val="20"/>
        </w:rPr>
        <w:t>Page 2 – S229762 – counsel continued</w:t>
      </w:r>
    </w:p>
    <w:p w:rsidR="00B74926" w:rsidRDefault="00B74926" w:rsidP="00B74926">
      <w:pPr>
        <w:rPr>
          <w:sz w:val="20"/>
        </w:rPr>
      </w:pPr>
    </w:p>
    <w:p w:rsidR="00B74926" w:rsidRDefault="00B74926" w:rsidP="00B74926">
      <w:pPr>
        <w:rPr>
          <w:b/>
          <w:sz w:val="20"/>
        </w:rPr>
      </w:pPr>
      <w:r>
        <w:rPr>
          <w:b/>
          <w:sz w:val="20"/>
        </w:rPr>
        <w:t>Counsel:</w:t>
      </w:r>
    </w:p>
    <w:p w:rsidR="00B74926" w:rsidRDefault="00B74926" w:rsidP="00B74926">
      <w:pPr>
        <w:rPr>
          <w:b/>
          <w:sz w:val="20"/>
        </w:rPr>
      </w:pPr>
    </w:p>
    <w:p w:rsidR="00B74926" w:rsidRDefault="00B74926" w:rsidP="00B74926">
      <w:pPr>
        <w:rPr>
          <w:sz w:val="20"/>
        </w:rPr>
      </w:pPr>
      <w:r>
        <w:rPr>
          <w:sz w:val="20"/>
        </w:rPr>
        <w:t xml:space="preserve">Law Offices of Brian J. Ferber, Brian J. Ferber; </w:t>
      </w:r>
      <w:proofErr w:type="spellStart"/>
      <w:r>
        <w:rPr>
          <w:sz w:val="20"/>
        </w:rPr>
        <w:t>Benedon</w:t>
      </w:r>
      <w:proofErr w:type="spellEnd"/>
      <w:r>
        <w:rPr>
          <w:sz w:val="20"/>
        </w:rPr>
        <w:t xml:space="preserve"> &amp; </w:t>
      </w:r>
      <w:proofErr w:type="spellStart"/>
      <w:r>
        <w:rPr>
          <w:sz w:val="20"/>
        </w:rPr>
        <w:t>Serlin</w:t>
      </w:r>
      <w:proofErr w:type="spellEnd"/>
      <w:r>
        <w:rPr>
          <w:sz w:val="20"/>
        </w:rPr>
        <w:t xml:space="preserve">, Gerald M. </w:t>
      </w:r>
      <w:proofErr w:type="spellStart"/>
      <w:r>
        <w:rPr>
          <w:sz w:val="20"/>
        </w:rPr>
        <w:t>Serlin</w:t>
      </w:r>
      <w:proofErr w:type="spellEnd"/>
      <w:r>
        <w:rPr>
          <w:sz w:val="20"/>
        </w:rPr>
        <w:t xml:space="preserve"> and Wendy S. Albers as Amici Curiae on behalf of</w:t>
      </w:r>
      <w:r w:rsidRPr="007E45AE">
        <w:rPr>
          <w:sz w:val="20"/>
        </w:rPr>
        <w:t xml:space="preserve"> </w:t>
      </w:r>
      <w:r>
        <w:rPr>
          <w:sz w:val="20"/>
        </w:rPr>
        <w:t>Real Parties in Interest.</w:t>
      </w:r>
    </w:p>
    <w:p w:rsidR="00B74926" w:rsidRDefault="00B74926" w:rsidP="00B74926">
      <w:pPr>
        <w:rPr>
          <w:sz w:val="20"/>
        </w:rPr>
      </w:pPr>
    </w:p>
    <w:p w:rsidR="00B74926" w:rsidRPr="00EB6D3F" w:rsidRDefault="00B74926" w:rsidP="00B74926">
      <w:pPr>
        <w:rPr>
          <w:sz w:val="20"/>
        </w:rPr>
      </w:pPr>
      <w:r>
        <w:rPr>
          <w:sz w:val="20"/>
        </w:rPr>
        <w:t>Horvitz &amp; Levy, H. Thomas Watson and Daniel J. Gonzalez for MWI, Inc., as Amicus Curiae on behalf of</w:t>
      </w:r>
      <w:r w:rsidRPr="007E45AE">
        <w:rPr>
          <w:sz w:val="20"/>
        </w:rPr>
        <w:t xml:space="preserve"> </w:t>
      </w:r>
      <w:r>
        <w:rPr>
          <w:sz w:val="20"/>
        </w:rPr>
        <w:t>Real Parties in Interest.</w:t>
      </w:r>
    </w:p>
    <w:p w:rsidR="00B74926" w:rsidRPr="00EB6D3F" w:rsidRDefault="00B74926" w:rsidP="00B74926">
      <w:pPr>
        <w:rPr>
          <w:sz w:val="20"/>
        </w:rPr>
      </w:pPr>
    </w:p>
    <w:p w:rsidR="00B74926" w:rsidRPr="00EB6D3F" w:rsidRDefault="00B74926" w:rsidP="00B74926">
      <w:pPr>
        <w:rPr>
          <w:sz w:val="20"/>
        </w:rPr>
      </w:pPr>
      <w:proofErr w:type="spellStart"/>
      <w:r>
        <w:rPr>
          <w:sz w:val="20"/>
        </w:rPr>
        <w:t>Kasdan</w:t>
      </w:r>
      <w:proofErr w:type="spellEnd"/>
      <w:r>
        <w:rPr>
          <w:sz w:val="20"/>
        </w:rPr>
        <w:t xml:space="preserve"> </w:t>
      </w:r>
      <w:proofErr w:type="spellStart"/>
      <w:r>
        <w:rPr>
          <w:sz w:val="20"/>
        </w:rPr>
        <w:t>Lippsmith</w:t>
      </w:r>
      <w:proofErr w:type="spellEnd"/>
      <w:r>
        <w:rPr>
          <w:sz w:val="20"/>
        </w:rPr>
        <w:t xml:space="preserve"> Weber Turner, Kenneth S. </w:t>
      </w:r>
      <w:proofErr w:type="spellStart"/>
      <w:r>
        <w:rPr>
          <w:sz w:val="20"/>
        </w:rPr>
        <w:t>Kasdan</w:t>
      </w:r>
      <w:proofErr w:type="spellEnd"/>
      <w:r>
        <w:rPr>
          <w:sz w:val="20"/>
        </w:rPr>
        <w:t xml:space="preserve">, Michael D. Tuner, Bryan M. </w:t>
      </w:r>
      <w:proofErr w:type="spellStart"/>
      <w:r>
        <w:rPr>
          <w:sz w:val="20"/>
        </w:rPr>
        <w:t>Zuetel</w:t>
      </w:r>
      <w:proofErr w:type="spellEnd"/>
      <w:r>
        <w:rPr>
          <w:sz w:val="20"/>
        </w:rPr>
        <w:t xml:space="preserve"> and Derek J. Scott as Amici Curiae on behalf of Real Parties in Interest.</w:t>
      </w:r>
    </w:p>
    <w:p w:rsidR="00B74926" w:rsidRDefault="00B74926" w:rsidP="00B74926">
      <w:pPr>
        <w:rPr>
          <w:b/>
          <w:sz w:val="20"/>
        </w:rPr>
      </w:pPr>
    </w:p>
    <w:p w:rsidR="00B74926" w:rsidRDefault="00B74926" w:rsidP="00B74926">
      <w:pPr>
        <w:rPr>
          <w:b/>
          <w:sz w:val="20"/>
        </w:rPr>
      </w:pPr>
    </w:p>
    <w:p w:rsidR="00B74926" w:rsidRDefault="00B74926" w:rsidP="00B74926">
      <w:pPr>
        <w:rPr>
          <w:b/>
          <w:sz w:val="20"/>
        </w:rPr>
      </w:pPr>
    </w:p>
    <w:p w:rsidR="00B74926" w:rsidRDefault="00B74926" w:rsidP="00B74926">
      <w:pPr>
        <w:rPr>
          <w:b/>
          <w:sz w:val="20"/>
        </w:rPr>
      </w:pPr>
      <w:r>
        <w:rPr>
          <w:b/>
          <w:sz w:val="20"/>
        </w:rPr>
        <w:br w:type="page"/>
      </w:r>
    </w:p>
    <w:p w:rsidR="00B74926" w:rsidRDefault="00B74926" w:rsidP="00B74926">
      <w:pPr>
        <w:rPr>
          <w:b/>
          <w:sz w:val="20"/>
        </w:rPr>
      </w:pPr>
    </w:p>
    <w:p w:rsidR="00B74926" w:rsidRDefault="00B74926" w:rsidP="00B74926">
      <w:pPr>
        <w:rPr>
          <w:b/>
          <w:sz w:val="20"/>
        </w:rPr>
      </w:pPr>
    </w:p>
    <w:p w:rsidR="00B74926" w:rsidRDefault="00B74926" w:rsidP="00B74926">
      <w:pPr>
        <w:rPr>
          <w:b/>
          <w:sz w:val="20"/>
        </w:rPr>
      </w:pPr>
    </w:p>
    <w:p w:rsidR="00B74926" w:rsidRDefault="00B74926" w:rsidP="00B74926">
      <w:pPr>
        <w:rPr>
          <w:b/>
          <w:sz w:val="20"/>
        </w:rPr>
      </w:pPr>
      <w:r>
        <w:rPr>
          <w:b/>
          <w:sz w:val="20"/>
        </w:rPr>
        <w:t>Counsel who argued in Supreme Court (not intended for publication with opinion):</w:t>
      </w:r>
    </w:p>
    <w:p w:rsidR="00B74926" w:rsidRDefault="00B74926" w:rsidP="00B74926">
      <w:pPr>
        <w:rPr>
          <w:b/>
          <w:sz w:val="20"/>
        </w:rPr>
      </w:pPr>
    </w:p>
    <w:p w:rsidR="00B74926" w:rsidRDefault="00B74926" w:rsidP="00B74926">
      <w:pPr>
        <w:rPr>
          <w:b/>
          <w:sz w:val="20"/>
        </w:rPr>
      </w:pPr>
      <w:r>
        <w:rPr>
          <w:sz w:val="20"/>
        </w:rPr>
        <w:t>Andrew M. Morgan</w:t>
      </w:r>
    </w:p>
    <w:p w:rsidR="00B74926" w:rsidRDefault="00B74926" w:rsidP="00B74926">
      <w:pPr>
        <w:rPr>
          <w:sz w:val="20"/>
        </w:rPr>
      </w:pPr>
      <w:proofErr w:type="spellStart"/>
      <w:r>
        <w:rPr>
          <w:sz w:val="20"/>
        </w:rPr>
        <w:t>Borton</w:t>
      </w:r>
      <w:proofErr w:type="spellEnd"/>
      <w:r>
        <w:rPr>
          <w:sz w:val="20"/>
        </w:rPr>
        <w:t xml:space="preserve"> </w:t>
      </w:r>
      <w:proofErr w:type="spellStart"/>
      <w:r>
        <w:rPr>
          <w:sz w:val="20"/>
        </w:rPr>
        <w:t>Petrini</w:t>
      </w:r>
      <w:proofErr w:type="spellEnd"/>
    </w:p>
    <w:p w:rsidR="00B74926" w:rsidRDefault="00B74926" w:rsidP="00B74926">
      <w:pPr>
        <w:rPr>
          <w:sz w:val="20"/>
        </w:rPr>
      </w:pPr>
      <w:r>
        <w:rPr>
          <w:sz w:val="20"/>
        </w:rPr>
        <w:t>5060 California Avenue, Suite 700</w:t>
      </w:r>
    </w:p>
    <w:p w:rsidR="00B74926" w:rsidRDefault="00B74926" w:rsidP="00B74926">
      <w:pPr>
        <w:rPr>
          <w:sz w:val="20"/>
        </w:rPr>
      </w:pPr>
      <w:r>
        <w:rPr>
          <w:sz w:val="20"/>
        </w:rPr>
        <w:t>Bakersfield, CA  93309</w:t>
      </w:r>
    </w:p>
    <w:p w:rsidR="00B74926" w:rsidRDefault="00B74926" w:rsidP="00B74926">
      <w:pPr>
        <w:rPr>
          <w:sz w:val="20"/>
        </w:rPr>
      </w:pPr>
      <w:r>
        <w:rPr>
          <w:sz w:val="20"/>
        </w:rPr>
        <w:t>(661) 322-3051</w:t>
      </w:r>
    </w:p>
    <w:p w:rsidR="00B74926" w:rsidRDefault="00B74926" w:rsidP="00B74926">
      <w:pPr>
        <w:rPr>
          <w:sz w:val="20"/>
        </w:rPr>
      </w:pPr>
    </w:p>
    <w:p w:rsidR="00B74926" w:rsidRDefault="00B74926" w:rsidP="00B74926">
      <w:pPr>
        <w:rPr>
          <w:sz w:val="20"/>
        </w:rPr>
      </w:pPr>
      <w:r>
        <w:rPr>
          <w:sz w:val="20"/>
        </w:rPr>
        <w:t xml:space="preserve">Mayo L. </w:t>
      </w:r>
      <w:proofErr w:type="spellStart"/>
      <w:r>
        <w:rPr>
          <w:sz w:val="20"/>
        </w:rPr>
        <w:t>Makarcyzk</w:t>
      </w:r>
      <w:proofErr w:type="spellEnd"/>
    </w:p>
    <w:p w:rsidR="00B74926" w:rsidRDefault="00B74926" w:rsidP="00B74926">
      <w:pPr>
        <w:rPr>
          <w:sz w:val="20"/>
        </w:rPr>
      </w:pPr>
      <w:r>
        <w:rPr>
          <w:sz w:val="20"/>
        </w:rPr>
        <w:t>Milstein Adelman Jackson Fairchild &amp; Wade</w:t>
      </w:r>
    </w:p>
    <w:p w:rsidR="00B74926" w:rsidRDefault="00B74926" w:rsidP="00B74926">
      <w:pPr>
        <w:rPr>
          <w:sz w:val="20"/>
        </w:rPr>
      </w:pPr>
      <w:r>
        <w:rPr>
          <w:sz w:val="20"/>
        </w:rPr>
        <w:t>10250 Constellation Boulevard, Suite 1400</w:t>
      </w:r>
    </w:p>
    <w:p w:rsidR="00B74926" w:rsidRDefault="00B74926" w:rsidP="00B74926">
      <w:pPr>
        <w:rPr>
          <w:sz w:val="20"/>
        </w:rPr>
      </w:pPr>
      <w:r>
        <w:rPr>
          <w:sz w:val="20"/>
        </w:rPr>
        <w:t>Los Angeles, CA  90067</w:t>
      </w:r>
    </w:p>
    <w:p w:rsidR="00B74926" w:rsidRDefault="00B74926" w:rsidP="00B74926">
      <w:pPr>
        <w:rPr>
          <w:sz w:val="20"/>
        </w:rPr>
      </w:pPr>
      <w:r>
        <w:rPr>
          <w:sz w:val="20"/>
        </w:rPr>
        <w:t>(310) 396-9600</w:t>
      </w:r>
    </w:p>
    <w:p w:rsidR="00B74926" w:rsidRDefault="00B74926" w:rsidP="00B74926">
      <w:pPr>
        <w:rPr>
          <w:sz w:val="20"/>
        </w:rPr>
      </w:pPr>
    </w:p>
    <w:p w:rsidR="00B74926" w:rsidRDefault="00B74926" w:rsidP="00B74926">
      <w:pPr>
        <w:rPr>
          <w:sz w:val="20"/>
        </w:rPr>
      </w:pPr>
      <w:r>
        <w:rPr>
          <w:sz w:val="20"/>
        </w:rPr>
        <w:t>Wendy S. Albers</w:t>
      </w:r>
    </w:p>
    <w:p w:rsidR="00B74926" w:rsidRDefault="00B74926" w:rsidP="00B74926">
      <w:pPr>
        <w:rPr>
          <w:sz w:val="20"/>
        </w:rPr>
      </w:pPr>
      <w:proofErr w:type="spellStart"/>
      <w:r>
        <w:rPr>
          <w:sz w:val="20"/>
        </w:rPr>
        <w:t>Benedon</w:t>
      </w:r>
      <w:proofErr w:type="spellEnd"/>
      <w:r>
        <w:rPr>
          <w:sz w:val="20"/>
        </w:rPr>
        <w:t xml:space="preserve"> &amp; </w:t>
      </w:r>
      <w:proofErr w:type="spellStart"/>
      <w:r>
        <w:rPr>
          <w:sz w:val="20"/>
        </w:rPr>
        <w:t>Serlin</w:t>
      </w:r>
      <w:proofErr w:type="spellEnd"/>
    </w:p>
    <w:p w:rsidR="00B74926" w:rsidRDefault="00B74926" w:rsidP="00B74926">
      <w:pPr>
        <w:rPr>
          <w:sz w:val="20"/>
        </w:rPr>
      </w:pPr>
      <w:r>
        <w:rPr>
          <w:sz w:val="20"/>
        </w:rPr>
        <w:t>22708 Mariano Street</w:t>
      </w:r>
    </w:p>
    <w:p w:rsidR="00B74926" w:rsidRDefault="00B74926" w:rsidP="00B74926">
      <w:pPr>
        <w:rPr>
          <w:sz w:val="20"/>
        </w:rPr>
      </w:pPr>
      <w:r>
        <w:rPr>
          <w:sz w:val="20"/>
        </w:rPr>
        <w:t>Woodland Hills, CA  91367</w:t>
      </w:r>
    </w:p>
    <w:p w:rsidR="00B74926" w:rsidRDefault="00B74926" w:rsidP="00B74926">
      <w:pPr>
        <w:rPr>
          <w:b/>
          <w:sz w:val="20"/>
        </w:rPr>
      </w:pPr>
      <w:r>
        <w:rPr>
          <w:sz w:val="20"/>
        </w:rPr>
        <w:t>(818) 340-1950</w:t>
      </w:r>
    </w:p>
    <w:p w:rsidR="00FC6282" w:rsidRPr="00DE03AA" w:rsidRDefault="00EF3834">
      <w:pPr>
        <w:tabs>
          <w:tab w:val="left" w:pos="1800"/>
        </w:tabs>
        <w:rPr>
          <w:caps/>
        </w:rPr>
      </w:pPr>
      <w:bookmarkStart w:id="9" w:name="_GoBack"/>
      <w:bookmarkEnd w:id="9"/>
    </w:p>
    <w:sectPr w:rsidR="00FC6282" w:rsidRPr="00DE03AA">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834" w:rsidRDefault="00EF3834">
      <w:r>
        <w:separator/>
      </w:r>
    </w:p>
  </w:endnote>
  <w:endnote w:type="continuationSeparator" w:id="0">
    <w:p w:rsidR="00EF3834" w:rsidRDefault="00EF3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altName w:val="Times New Roman"/>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Arial"/>
    <w:panose1 w:val="020F0502020204030204"/>
    <w:charset w:val="00"/>
    <w:family w:val="swiss"/>
    <w:pitch w:val="variable"/>
    <w:sig w:usb0="A00002EF" w:usb1="4000207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C69" w:rsidRDefault="00EF3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9E3" w:rsidRDefault="00EF3834">
    <w:pPr>
      <w:pStyle w:val="Footer"/>
      <w:jc w:val="center"/>
    </w:pPr>
    <w:r>
      <w:fldChar w:fldCharType="begin"/>
    </w:r>
    <w:r>
      <w:instrText>PAGE</w:instrText>
    </w:r>
    <w:r>
      <w:fldChar w:fldCharType="separate"/>
    </w:r>
    <w:r w:rsidR="00B74926">
      <w:rPr>
        <w:noProof/>
      </w:rPr>
      <w:t>20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C69" w:rsidRDefault="00EF38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596" w:rsidRDefault="00EF38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596" w:rsidRDefault="00EF383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596" w:rsidRDefault="00EF3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834" w:rsidRDefault="00EF3834">
      <w:r>
        <w:separator/>
      </w:r>
    </w:p>
  </w:footnote>
  <w:footnote w:type="continuationSeparator" w:id="0">
    <w:p w:rsidR="00EF3834" w:rsidRDefault="00EF3834">
      <w:pPr>
        <w:rPr>
          <w:sz w:val="22"/>
        </w:rPr>
      </w:pPr>
      <w:r>
        <w:rPr>
          <w:sz w:val="22"/>
        </w:rPr>
        <w:continuationSeparator/>
      </w:r>
    </w:p>
    <w:p w:rsidR="00EF3834" w:rsidRDefault="00EF3834">
      <w:pPr>
        <w:rPr>
          <w:sz w:val="22"/>
        </w:rPr>
      </w:pPr>
    </w:p>
    <w:p w:rsidR="00EF3834" w:rsidRDefault="00EF3834">
      <w:pPr>
        <w:rPr>
          <w:i/>
          <w:sz w:val="20"/>
        </w:rPr>
      </w:pPr>
      <w:r>
        <w:rPr>
          <w:i/>
          <w:sz w:val="20"/>
        </w:rPr>
        <w:t>(footnote continued from previous page)</w:t>
      </w:r>
    </w:p>
    <w:p w:rsidR="00EF3834" w:rsidRDefault="00EF3834">
      <w:pPr>
        <w:rPr>
          <w:sz w:val="22"/>
        </w:rPr>
      </w:pPr>
    </w:p>
  </w:footnote>
  <w:footnote w:type="continuationNotice" w:id="1">
    <w:p w:rsidR="00EF3834" w:rsidRDefault="00EF3834">
      <w:pPr>
        <w:rPr>
          <w:i/>
          <w:sz w:val="22"/>
        </w:rPr>
      </w:pPr>
    </w:p>
    <w:p w:rsidR="00EF3834" w:rsidRDefault="00EF3834">
      <w:pPr>
        <w:jc w:val="right"/>
        <w:rPr>
          <w:i/>
          <w:sz w:val="20"/>
        </w:rPr>
      </w:pPr>
      <w:r>
        <w:rPr>
          <w:i/>
          <w:sz w:val="20"/>
        </w:rPr>
        <w:t>(footnote continued on next page)</w:t>
      </w:r>
    </w:p>
  </w:footnote>
  <w:footnote w:id="2">
    <w:p w:rsidR="00055115" w:rsidRDefault="00EF3834" w:rsidP="00055115">
      <w:pPr>
        <w:rPr>
          <w:szCs w:val="26"/>
        </w:rPr>
      </w:pPr>
      <w:r>
        <w:rPr>
          <w:rStyle w:val="FootnoteReference"/>
        </w:rPr>
        <w:footnoteRef/>
      </w:r>
      <w:r>
        <w:t xml:space="preserve">     </w:t>
      </w:r>
      <w:r>
        <w:t>Presiding</w:t>
      </w:r>
      <w:r>
        <w:rPr>
          <w:szCs w:val="26"/>
        </w:rPr>
        <w:t xml:space="preserve"> Justice of the Court of Appeal, Second </w:t>
      </w:r>
      <w:r>
        <w:rPr>
          <w:szCs w:val="26"/>
        </w:rPr>
        <w:t>Appellate District, Division Two</w:t>
      </w:r>
      <w:r>
        <w:rPr>
          <w:szCs w:val="26"/>
        </w:rPr>
        <w:t>, a</w:t>
      </w:r>
      <w:r>
        <w:rPr>
          <w:szCs w:val="26"/>
        </w:rPr>
        <w:t>ssigned by the Chief Justice pursuant to article VI, section 6 of the California Constitution.</w:t>
      </w:r>
    </w:p>
    <w:p w:rsidR="00055115" w:rsidRDefault="00EF383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C69" w:rsidRDefault="00EF38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C69" w:rsidRDefault="00EF38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C69" w:rsidRDefault="00EF38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596" w:rsidRDefault="00EF38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596" w:rsidRDefault="00EF38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596" w:rsidRDefault="00EF3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16EEB"/>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printFractionalCharacterWidth/>
  <w:proofState w:spelling="clean"/>
  <w:defaultTabStop w:val="720"/>
  <w:doNotHyphenateCaps/>
  <w:displayHorizontalDrawingGridEvery w:val="0"/>
  <w:displayVerticalDrawingGridEvery w:val="0"/>
  <w:doNotUseMarginsForDrawingGridOrigin/>
  <w:noPunctuationKerning/>
  <w:characterSpacingControl w:val="doNotCompress"/>
  <w:footnotePr>
    <w:numFmt w:val="chicago"/>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F0"/>
    <w:rsid w:val="004159F0"/>
    <w:rsid w:val="00B74926"/>
    <w:rsid w:val="00CF0EE4"/>
    <w:rsid w:val="00EF3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65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paragraph" w:styleId="Heading1">
    <w:name w:val="heading 1"/>
    <w:basedOn w:val="Normal"/>
    <w:next w:val="Normal"/>
    <w:link w:val="Heading1Char"/>
    <w:qFormat/>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paragraph" w:styleId="Heading6">
    <w:name w:val="heading 6"/>
    <w:basedOn w:val="Normal"/>
    <w:next w:val="Normal"/>
    <w:link w:val="Heading6Char"/>
    <w:uiPriority w:val="9"/>
    <w:unhideWhenUsed/>
    <w:qFormat/>
    <w:rsid w:val="00257D2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FootnoteReference">
    <w:name w:val="footnote reference"/>
    <w:basedOn w:val="DefaultParagraphFont"/>
    <w:semiHidden/>
    <w:rPr>
      <w:b/>
      <w:position w:val="6"/>
      <w:sz w:val="20"/>
    </w:rPr>
  </w:style>
  <w:style w:type="paragraph" w:styleId="FootnoteText">
    <w:name w:val="footnote text"/>
    <w:basedOn w:val="Normal"/>
    <w:semiHidden/>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semiHidden/>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character" w:customStyle="1" w:styleId="Heading1Char">
    <w:name w:val="Heading 1 Char"/>
    <w:link w:val="Heading1"/>
    <w:rsid w:val="00420256"/>
    <w:rPr>
      <w:b/>
      <w:smallCaps/>
      <w:sz w:val="26"/>
    </w:rPr>
  </w:style>
  <w:style w:type="character" w:customStyle="1" w:styleId="Heading6Char">
    <w:name w:val="Heading 6 Char"/>
    <w:basedOn w:val="DefaultParagraphFont"/>
    <w:link w:val="Heading6"/>
    <w:uiPriority w:val="9"/>
    <w:rsid w:val="00257D2E"/>
    <w:rPr>
      <w:rFonts w:asciiTheme="majorHAnsi" w:eastAsiaTheme="majorEastAsia" w:hAnsiTheme="majorHAnsi" w:cstheme="majorBidi"/>
      <w:i/>
      <w:iCs/>
      <w:color w:val="243F60" w:themeColor="accent1" w:themeShade="7F"/>
      <w:sz w:val="26"/>
    </w:rPr>
  </w:style>
  <w:style w:type="paragraph" w:styleId="NormalWeb">
    <w:name w:val="Normal (Web)"/>
    <w:basedOn w:val="Normal"/>
    <w:uiPriority w:val="99"/>
    <w:semiHidden/>
    <w:unhideWhenUsed/>
    <w:rsid w:val="00257D2E"/>
    <w:pPr>
      <w:spacing w:before="100" w:beforeAutospacing="1" w:after="100" w:afterAutospacing="1"/>
    </w:pPr>
    <w:rPr>
      <w:rFonts w:ascii="Times" w:hAnsi="Times"/>
      <w:sz w:val="20"/>
    </w:rPr>
  </w:style>
  <w:style w:type="character" w:styleId="CommentReference">
    <w:name w:val="annotation reference"/>
    <w:basedOn w:val="DefaultParagraphFont"/>
    <w:uiPriority w:val="99"/>
    <w:semiHidden/>
    <w:unhideWhenUsed/>
    <w:rsid w:val="003F1041"/>
    <w:rPr>
      <w:sz w:val="16"/>
      <w:szCs w:val="16"/>
    </w:rPr>
  </w:style>
  <w:style w:type="paragraph" w:styleId="CommentText">
    <w:name w:val="annotation text"/>
    <w:basedOn w:val="Normal"/>
    <w:link w:val="CommentTextChar"/>
    <w:uiPriority w:val="99"/>
    <w:semiHidden/>
    <w:unhideWhenUsed/>
    <w:rsid w:val="003F1041"/>
    <w:rPr>
      <w:sz w:val="20"/>
    </w:rPr>
  </w:style>
  <w:style w:type="character" w:customStyle="1" w:styleId="CommentTextChar">
    <w:name w:val="Comment Text Char"/>
    <w:basedOn w:val="DefaultParagraphFont"/>
    <w:link w:val="CommentText"/>
    <w:uiPriority w:val="99"/>
    <w:semiHidden/>
    <w:rsid w:val="003F1041"/>
  </w:style>
  <w:style w:type="paragraph" w:styleId="CommentSubject">
    <w:name w:val="annotation subject"/>
    <w:basedOn w:val="CommentText"/>
    <w:next w:val="CommentText"/>
    <w:link w:val="CommentSubjectChar"/>
    <w:uiPriority w:val="99"/>
    <w:semiHidden/>
    <w:unhideWhenUsed/>
    <w:rsid w:val="003F1041"/>
    <w:rPr>
      <w:b/>
      <w:bCs/>
    </w:rPr>
  </w:style>
  <w:style w:type="character" w:customStyle="1" w:styleId="CommentSubjectChar">
    <w:name w:val="Comment Subject Char"/>
    <w:basedOn w:val="CommentTextChar"/>
    <w:link w:val="CommentSubject"/>
    <w:uiPriority w:val="99"/>
    <w:semiHidden/>
    <w:rsid w:val="003F1041"/>
    <w:rPr>
      <w:b/>
      <w:bCs/>
    </w:rPr>
  </w:style>
  <w:style w:type="paragraph" w:styleId="Revision">
    <w:name w:val="Revision"/>
    <w:hidden/>
    <w:uiPriority w:val="99"/>
    <w:semiHidden/>
    <w:rsid w:val="003F1041"/>
    <w:rPr>
      <w:sz w:val="26"/>
    </w:rPr>
  </w:style>
  <w:style w:type="paragraph" w:styleId="BalloonText">
    <w:name w:val="Balloon Text"/>
    <w:basedOn w:val="Normal"/>
    <w:link w:val="BalloonTextChar"/>
    <w:uiPriority w:val="99"/>
    <w:semiHidden/>
    <w:unhideWhenUsed/>
    <w:rsid w:val="003F1041"/>
    <w:rPr>
      <w:rFonts w:ascii="Tahoma" w:hAnsi="Tahoma" w:cs="Tahoma"/>
      <w:sz w:val="16"/>
      <w:szCs w:val="16"/>
    </w:rPr>
  </w:style>
  <w:style w:type="character" w:customStyle="1" w:styleId="BalloonTextChar">
    <w:name w:val="Balloon Text Char"/>
    <w:basedOn w:val="DefaultParagraphFont"/>
    <w:link w:val="BalloonText"/>
    <w:uiPriority w:val="99"/>
    <w:semiHidden/>
    <w:rsid w:val="003F1041"/>
    <w:rPr>
      <w:rFonts w:ascii="Tahoma" w:hAnsi="Tahoma" w:cs="Tahoma"/>
      <w:sz w:val="16"/>
      <w:szCs w:val="16"/>
    </w:rPr>
  </w:style>
  <w:style w:type="character" w:customStyle="1" w:styleId="HeaderChar">
    <w:name w:val="Header Char"/>
    <w:basedOn w:val="DefaultParagraphFont"/>
    <w:link w:val="Header"/>
    <w:rsid w:val="00B74926"/>
    <w:rPr>
      <w:sz w:val="26"/>
    </w:rPr>
  </w:style>
  <w:style w:type="character" w:customStyle="1" w:styleId="FooterChar">
    <w:name w:val="Footer Char"/>
    <w:basedOn w:val="DefaultParagraphFont"/>
    <w:link w:val="Footer"/>
    <w:rsid w:val="00B74926"/>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6060</Words>
  <Characters>34545</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New majority calendar template</vt:lpstr>
    </vt:vector>
  </TitlesOfParts>
  <Company/>
  <LinksUpToDate>false</LinksUpToDate>
  <CharactersWithSpaces>40524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2018-01-16T19:32:00Z</dcterms:created>
  <dcterms:modified xsi:type="dcterms:W3CDTF">2018-01-16T19:35:00Z</dcterms:modified>
</cp:coreProperties>
</file>