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A4" w:rsidRPr="00BD6DD2" w:rsidRDefault="00BD6DD2" w:rsidP="000120A4">
      <w:pPr>
        <w:ind w:left="720" w:hanging="720"/>
        <w:rPr>
          <w:sz w:val="20"/>
        </w:rPr>
      </w:pPr>
      <w:r>
        <w:rPr>
          <w:sz w:val="20"/>
        </w:rPr>
        <w:t>Filed 3/22/18</w:t>
      </w:r>
    </w:p>
    <w:p w:rsidR="000120A4" w:rsidRDefault="0012664A" w:rsidP="000120A4">
      <w:pPr>
        <w:jc w:val="center"/>
      </w:pPr>
    </w:p>
    <w:p w:rsidR="000120A4" w:rsidRDefault="0012664A" w:rsidP="000120A4">
      <w:pPr>
        <w:jc w:val="center"/>
      </w:pPr>
    </w:p>
    <w:p w:rsidR="000120A4" w:rsidRDefault="0012664A" w:rsidP="000120A4">
      <w:pPr>
        <w:jc w:val="center"/>
      </w:pPr>
    </w:p>
    <w:p w:rsidR="000120A4" w:rsidRDefault="0012664A" w:rsidP="000120A4">
      <w:pPr>
        <w:jc w:val="center"/>
        <w:rPr>
          <w:sz w:val="36"/>
        </w:rPr>
      </w:pPr>
      <w:r>
        <w:rPr>
          <w:b/>
          <w:sz w:val="36"/>
        </w:rPr>
        <w:t>IN THE SUPREME COURT OF CALIFORNIA</w:t>
      </w:r>
    </w:p>
    <w:p w:rsidR="000120A4" w:rsidRDefault="0012664A" w:rsidP="000120A4">
      <w:pPr>
        <w:jc w:val="center"/>
      </w:pPr>
    </w:p>
    <w:p w:rsidR="000120A4" w:rsidRDefault="0012664A" w:rsidP="000120A4">
      <w:pPr>
        <w:jc w:val="center"/>
      </w:pPr>
    </w:p>
    <w:p w:rsidR="000120A4" w:rsidRDefault="0012664A" w:rsidP="000120A4">
      <w:pPr>
        <w:jc w:val="center"/>
      </w:pPr>
    </w:p>
    <w:p w:rsidR="000120A4" w:rsidRDefault="0012664A" w:rsidP="000120A4">
      <w:pPr>
        <w:tabs>
          <w:tab w:val="left" w:pos="4680"/>
          <w:tab w:val="center" w:pos="7200"/>
        </w:tabs>
        <w:spacing w:line="240" w:lineRule="atLeast"/>
      </w:pPr>
      <w:bookmarkStart w:id="0" w:name="plaintiff"/>
      <w:bookmarkEnd w:id="0"/>
      <w:r>
        <w:t>THE REGENTS OF THE UNIVERSITY</w:t>
      </w:r>
      <w:r>
        <w:tab/>
        <w:t>)</w:t>
      </w:r>
    </w:p>
    <w:p w:rsidR="000120A4" w:rsidRDefault="0012664A" w:rsidP="000120A4">
      <w:pPr>
        <w:tabs>
          <w:tab w:val="left" w:pos="4680"/>
          <w:tab w:val="center" w:pos="7200"/>
        </w:tabs>
        <w:spacing w:line="240" w:lineRule="atLeast"/>
      </w:pPr>
      <w:r>
        <w:t>OF CALIFORNIA et al.</w:t>
      </w:r>
      <w:r>
        <w:t>,</w:t>
      </w:r>
      <w:r>
        <w:tab/>
        <w:t>)</w:t>
      </w:r>
    </w:p>
    <w:p w:rsidR="000120A4" w:rsidRDefault="0012664A" w:rsidP="000120A4">
      <w:pPr>
        <w:tabs>
          <w:tab w:val="left" w:pos="1440"/>
          <w:tab w:val="left" w:pos="4680"/>
          <w:tab w:val="center" w:pos="7200"/>
        </w:tabs>
        <w:spacing w:line="240" w:lineRule="atLeast"/>
      </w:pPr>
      <w:r>
        <w:tab/>
      </w:r>
      <w:r>
        <w:tab/>
        <w:t>)</w:t>
      </w:r>
    </w:p>
    <w:p w:rsidR="000120A4" w:rsidRDefault="0012664A" w:rsidP="000120A4">
      <w:pPr>
        <w:tabs>
          <w:tab w:val="left" w:pos="1440"/>
          <w:tab w:val="left" w:pos="4680"/>
          <w:tab w:val="center" w:pos="7200"/>
        </w:tabs>
        <w:spacing w:line="240" w:lineRule="atLeast"/>
      </w:pPr>
      <w:r>
        <w:tab/>
      </w:r>
      <w:bookmarkStart w:id="1" w:name="LD"/>
      <w:bookmarkEnd w:id="1"/>
      <w:r>
        <w:t>Petitioners,</w:t>
      </w:r>
      <w:r>
        <w:tab/>
        <w:t>)</w:t>
      </w:r>
    </w:p>
    <w:p w:rsidR="000120A4" w:rsidRDefault="0012664A" w:rsidP="000120A4">
      <w:pPr>
        <w:tabs>
          <w:tab w:val="left" w:pos="1440"/>
          <w:tab w:val="left" w:pos="4680"/>
          <w:tab w:val="center" w:pos="7200"/>
        </w:tabs>
        <w:spacing w:line="240" w:lineRule="atLeast"/>
      </w:pPr>
      <w:r>
        <w:tab/>
      </w:r>
      <w:r>
        <w:tab/>
        <w:t>)</w:t>
      </w:r>
      <w:r>
        <w:tab/>
        <w:t>S</w:t>
      </w:r>
      <w:bookmarkStart w:id="2" w:name="casenum"/>
      <w:bookmarkEnd w:id="2"/>
      <w:r>
        <w:t>230568</w:t>
      </w:r>
    </w:p>
    <w:p w:rsidR="000120A4" w:rsidRDefault="0012664A" w:rsidP="000120A4">
      <w:pPr>
        <w:tabs>
          <w:tab w:val="left" w:pos="1440"/>
          <w:tab w:val="left" w:pos="4680"/>
          <w:tab w:val="center" w:pos="7200"/>
        </w:tabs>
        <w:spacing w:line="240" w:lineRule="atLeast"/>
      </w:pPr>
      <w:r>
        <w:tab/>
        <w:t>v.</w:t>
      </w:r>
      <w:r>
        <w:tab/>
        <w:t>)</w:t>
      </w:r>
    </w:p>
    <w:p w:rsidR="000120A4" w:rsidRDefault="0012664A" w:rsidP="000120A4">
      <w:pPr>
        <w:tabs>
          <w:tab w:val="left" w:pos="1440"/>
          <w:tab w:val="left" w:pos="4680"/>
          <w:tab w:val="center" w:pos="7200"/>
        </w:tabs>
        <w:spacing w:line="240" w:lineRule="atLeast"/>
      </w:pPr>
      <w:r>
        <w:tab/>
      </w:r>
      <w:r>
        <w:tab/>
        <w:t>)</w:t>
      </w:r>
      <w:r>
        <w:tab/>
      </w:r>
      <w:bookmarkStart w:id="3" w:name="appealnum"/>
      <w:bookmarkEnd w:id="3"/>
      <w:proofErr w:type="spellStart"/>
      <w:r>
        <w:t>Ct.App</w:t>
      </w:r>
      <w:proofErr w:type="spellEnd"/>
      <w:r>
        <w:t>. 2/7 B259424</w:t>
      </w:r>
    </w:p>
    <w:p w:rsidR="000120A4" w:rsidRDefault="0012664A" w:rsidP="000120A4">
      <w:pPr>
        <w:tabs>
          <w:tab w:val="left" w:pos="4680"/>
          <w:tab w:val="center" w:pos="7200"/>
        </w:tabs>
        <w:spacing w:line="240" w:lineRule="atLeast"/>
      </w:pPr>
      <w:bookmarkStart w:id="4" w:name="defendant"/>
      <w:bookmarkEnd w:id="4"/>
      <w:r>
        <w:t>THE SUPERIOR COURT OF LOS</w:t>
      </w:r>
      <w:r>
        <w:tab/>
        <w:t>)</w:t>
      </w:r>
      <w:r w:rsidRPr="00322DF4">
        <w:t xml:space="preserve"> </w:t>
      </w:r>
    </w:p>
    <w:p w:rsidR="000120A4" w:rsidRDefault="0012664A" w:rsidP="000120A4">
      <w:pPr>
        <w:tabs>
          <w:tab w:val="left" w:pos="4680"/>
          <w:tab w:val="center" w:pos="7200"/>
        </w:tabs>
        <w:spacing w:line="240" w:lineRule="atLeast"/>
      </w:pPr>
      <w:r>
        <w:t>ANGELES COUNTY,</w:t>
      </w:r>
      <w:r>
        <w:tab/>
        <w:t>)</w:t>
      </w:r>
      <w:r w:rsidRPr="00322DF4">
        <w:t xml:space="preserve"> </w:t>
      </w:r>
      <w:r>
        <w:tab/>
      </w:r>
      <w:bookmarkStart w:id="5" w:name="county"/>
      <w:bookmarkEnd w:id="5"/>
      <w:r>
        <w:t>Los Angeles County</w:t>
      </w:r>
    </w:p>
    <w:p w:rsidR="000120A4" w:rsidRDefault="0012664A" w:rsidP="000120A4">
      <w:pPr>
        <w:tabs>
          <w:tab w:val="left" w:pos="4680"/>
          <w:tab w:val="center" w:pos="7200"/>
        </w:tabs>
        <w:spacing w:line="240" w:lineRule="atLeast"/>
      </w:pPr>
      <w:r>
        <w:tab/>
        <w:t xml:space="preserve">) </w:t>
      </w:r>
      <w:r>
        <w:tab/>
      </w:r>
      <w:bookmarkStart w:id="6" w:name="supernum"/>
      <w:bookmarkEnd w:id="6"/>
      <w:r>
        <w:t xml:space="preserve">Super. Ct. No. </w:t>
      </w:r>
      <w:r>
        <w:t>SC108504</w:t>
      </w:r>
    </w:p>
    <w:p w:rsidR="000120A4" w:rsidRDefault="0012664A" w:rsidP="000120A4">
      <w:pPr>
        <w:tabs>
          <w:tab w:val="left" w:pos="1440"/>
          <w:tab w:val="left" w:pos="4680"/>
          <w:tab w:val="center" w:pos="7200"/>
        </w:tabs>
        <w:spacing w:line="240" w:lineRule="atLeast"/>
      </w:pPr>
      <w:r>
        <w:tab/>
      </w:r>
      <w:bookmarkStart w:id="7" w:name="VD"/>
      <w:bookmarkEnd w:id="7"/>
      <w:r>
        <w:t>Respondent;</w:t>
      </w:r>
      <w:r>
        <w:tab/>
        <w:t>)</w:t>
      </w:r>
    </w:p>
    <w:p w:rsidR="000120A4" w:rsidRDefault="0012664A" w:rsidP="000120A4">
      <w:pPr>
        <w:tabs>
          <w:tab w:val="left" w:pos="1440"/>
          <w:tab w:val="left" w:pos="4680"/>
          <w:tab w:val="center" w:pos="7200"/>
        </w:tabs>
        <w:spacing w:line="240" w:lineRule="atLeast"/>
      </w:pPr>
      <w:r>
        <w:tab/>
      </w:r>
      <w:r>
        <w:tab/>
        <w:t>)</w:t>
      </w:r>
    </w:p>
    <w:p w:rsidR="000120A4" w:rsidRDefault="0012664A" w:rsidP="000120A4">
      <w:pPr>
        <w:tabs>
          <w:tab w:val="left" w:pos="1440"/>
          <w:tab w:val="left" w:pos="4680"/>
          <w:tab w:val="center" w:pos="7200"/>
        </w:tabs>
        <w:spacing w:line="240" w:lineRule="atLeast"/>
      </w:pPr>
      <w:r>
        <w:t>KATHERINE ROSEN,</w:t>
      </w:r>
      <w:r>
        <w:tab/>
        <w:t>)</w:t>
      </w:r>
    </w:p>
    <w:p w:rsidR="000120A4" w:rsidRDefault="0012664A" w:rsidP="000120A4">
      <w:pPr>
        <w:tabs>
          <w:tab w:val="left" w:pos="1440"/>
          <w:tab w:val="left" w:pos="4680"/>
          <w:tab w:val="center" w:pos="7200"/>
        </w:tabs>
        <w:spacing w:line="240" w:lineRule="atLeast"/>
      </w:pPr>
      <w:r>
        <w:tab/>
      </w:r>
      <w:r>
        <w:tab/>
        <w:t>)</w:t>
      </w:r>
    </w:p>
    <w:p w:rsidR="000120A4" w:rsidRDefault="0012664A" w:rsidP="000120A4">
      <w:pPr>
        <w:tabs>
          <w:tab w:val="left" w:pos="1440"/>
          <w:tab w:val="left" w:pos="4680"/>
          <w:tab w:val="center" w:pos="7200"/>
        </w:tabs>
        <w:spacing w:line="240" w:lineRule="atLeast"/>
      </w:pPr>
      <w:r>
        <w:tab/>
        <w:t>Real Party in Interest.</w:t>
      </w:r>
      <w:r>
        <w:tab/>
        <w:t>)</w:t>
      </w:r>
    </w:p>
    <w:p w:rsidR="000120A4" w:rsidRDefault="0012664A" w:rsidP="000120A4">
      <w:pPr>
        <w:tabs>
          <w:tab w:val="left" w:leader="underscore" w:pos="4680"/>
        </w:tabs>
        <w:spacing w:line="240" w:lineRule="atLeast"/>
        <w:rPr>
          <w:u w:val="single"/>
        </w:rPr>
      </w:pPr>
      <w:r>
        <w:tab/>
        <w:t>)</w:t>
      </w:r>
    </w:p>
    <w:p w:rsidR="000120A4" w:rsidRDefault="0012664A" w:rsidP="000120A4">
      <w:pPr>
        <w:tabs>
          <w:tab w:val="left" w:pos="1440"/>
          <w:tab w:val="left" w:pos="4680"/>
          <w:tab w:val="center" w:pos="7200"/>
        </w:tabs>
      </w:pPr>
    </w:p>
    <w:p w:rsidR="000120A4" w:rsidRDefault="0012664A" w:rsidP="000120A4">
      <w:pPr>
        <w:tabs>
          <w:tab w:val="left" w:pos="1440"/>
          <w:tab w:val="left" w:pos="4680"/>
          <w:tab w:val="center" w:pos="7200"/>
        </w:tabs>
        <w:spacing w:after="120"/>
      </w:pPr>
    </w:p>
    <w:p w:rsidR="006E6836" w:rsidRDefault="0012664A" w:rsidP="000120A4">
      <w:pPr>
        <w:spacing w:line="360" w:lineRule="auto"/>
      </w:pPr>
      <w:bookmarkStart w:id="8" w:name="mainstory"/>
      <w:bookmarkEnd w:id="8"/>
      <w:r>
        <w:tab/>
        <w:t xml:space="preserve">After he enrolled in the University of California at Los Angeles (UCLA), </w:t>
      </w:r>
      <w:r>
        <w:t>Damon Thompson</w:t>
      </w:r>
      <w:r>
        <w:t xml:space="preserve"> </w:t>
      </w:r>
      <w:r>
        <w:t>experienc</w:t>
      </w:r>
      <w:r>
        <w:t>ed</w:t>
      </w:r>
      <w:r>
        <w:t xml:space="preserve"> auditory hallucinations</w:t>
      </w:r>
      <w:r>
        <w:t xml:space="preserve">. </w:t>
      </w:r>
      <w:r>
        <w:t xml:space="preserve"> </w:t>
      </w:r>
      <w:r>
        <w:t xml:space="preserve">He believed </w:t>
      </w:r>
      <w:r>
        <w:t xml:space="preserve">other students </w:t>
      </w:r>
      <w:r>
        <w:t xml:space="preserve">in the classroom </w:t>
      </w:r>
      <w:r>
        <w:t>and dormitory were</w:t>
      </w:r>
      <w:r>
        <w:t xml:space="preserve"> criticizing him.  </w:t>
      </w:r>
      <w:r>
        <w:t>School</w:t>
      </w:r>
      <w:r>
        <w:t xml:space="preserve"> administrators</w:t>
      </w:r>
      <w:r>
        <w:t xml:space="preserve"> eventually</w:t>
      </w:r>
      <w:r>
        <w:t xml:space="preserve"> learned of Thompson’s delusions</w:t>
      </w:r>
      <w:r>
        <w:t xml:space="preserve"> </w:t>
      </w:r>
      <w:r>
        <w:t>and attempted</w:t>
      </w:r>
      <w:r>
        <w:t xml:space="preserve"> to </w:t>
      </w:r>
      <w:r>
        <w:t>pr</w:t>
      </w:r>
      <w:r>
        <w:t>ovide mental health treatment.  However</w:t>
      </w:r>
      <w:r>
        <w:t xml:space="preserve">, </w:t>
      </w:r>
      <w:r>
        <w:t xml:space="preserve">one morning </w:t>
      </w:r>
      <w:r>
        <w:t>Thompson</w:t>
      </w:r>
      <w:r>
        <w:t xml:space="preserve"> </w:t>
      </w:r>
      <w:r>
        <w:t>stabbed</w:t>
      </w:r>
      <w:r>
        <w:t xml:space="preserve"> </w:t>
      </w:r>
      <w:proofErr w:type="gramStart"/>
      <w:r>
        <w:t>fellow student</w:t>
      </w:r>
      <w:proofErr w:type="gramEnd"/>
      <w:r>
        <w:t xml:space="preserve"> Katherine </w:t>
      </w:r>
      <w:r>
        <w:t>Rosen</w:t>
      </w:r>
      <w:r>
        <w:t xml:space="preserve"> during </w:t>
      </w:r>
      <w:r>
        <w:t xml:space="preserve">a </w:t>
      </w:r>
      <w:r>
        <w:t xml:space="preserve">chemistry </w:t>
      </w:r>
      <w:r>
        <w:t>lab</w:t>
      </w:r>
      <w:r>
        <w:t xml:space="preserve">.  Rosen </w:t>
      </w:r>
      <w:r>
        <w:t xml:space="preserve">sued the university and several of its employees </w:t>
      </w:r>
      <w:r>
        <w:t>for negligence, arguing the</w:t>
      </w:r>
      <w:r>
        <w:t>y</w:t>
      </w:r>
      <w:r>
        <w:t xml:space="preserve"> </w:t>
      </w:r>
      <w:r>
        <w:t>failed</w:t>
      </w:r>
      <w:r>
        <w:t xml:space="preserve"> to protect her </w:t>
      </w:r>
      <w:r>
        <w:t>from Thompson’s foreseeable violent conduct.</w:t>
      </w:r>
    </w:p>
    <w:p w:rsidR="008679DD" w:rsidRDefault="0012664A" w:rsidP="006342EC">
      <w:pPr>
        <w:spacing w:line="360" w:lineRule="auto"/>
      </w:pPr>
      <w:r>
        <w:lastRenderedPageBreak/>
        <w:tab/>
        <w:t xml:space="preserve">This case </w:t>
      </w:r>
      <w:r>
        <w:t>involves</w:t>
      </w:r>
      <w:r>
        <w:t xml:space="preserve"> </w:t>
      </w:r>
      <w:r>
        <w:t xml:space="preserve">whether, and </w:t>
      </w:r>
      <w:r>
        <w:t>under what circumstances</w:t>
      </w:r>
      <w:r>
        <w:t xml:space="preserve">, a </w:t>
      </w:r>
      <w:r>
        <w:t xml:space="preserve">college or </w:t>
      </w:r>
      <w:r>
        <w:t>university</w:t>
      </w:r>
      <w:r>
        <w:rPr>
          <w:rStyle w:val="FootnoteReference"/>
        </w:rPr>
        <w:footnoteReference w:id="1"/>
      </w:r>
      <w:r>
        <w:t xml:space="preserve"> owes a duty of care to prot</w:t>
      </w:r>
      <w:r>
        <w:t>ect students</w:t>
      </w:r>
      <w:r>
        <w:t xml:space="preserve"> like Rosen</w:t>
      </w:r>
      <w:r>
        <w:t xml:space="preserve"> </w:t>
      </w:r>
      <w:r>
        <w:t xml:space="preserve">from harm.  </w:t>
      </w:r>
      <w:r>
        <w:t xml:space="preserve">Considering the unique features of the </w:t>
      </w:r>
      <w:r>
        <w:t>collegiate</w:t>
      </w:r>
      <w:r>
        <w:t xml:space="preserve"> environment, w</w:t>
      </w:r>
      <w:r>
        <w:t xml:space="preserve">e </w:t>
      </w:r>
      <w:r>
        <w:t>hold that</w:t>
      </w:r>
      <w:r>
        <w:t xml:space="preserve"> </w:t>
      </w:r>
      <w:r>
        <w:t>universities</w:t>
      </w:r>
      <w:r>
        <w:t xml:space="preserve"> have a special relationship with their students</w:t>
      </w:r>
      <w:r>
        <w:t xml:space="preserve"> and a duty to protect </w:t>
      </w:r>
      <w:r>
        <w:t>them</w:t>
      </w:r>
      <w:r>
        <w:t xml:space="preserve"> from foreseeable </w:t>
      </w:r>
      <w:r>
        <w:t>violence</w:t>
      </w:r>
      <w:r>
        <w:t xml:space="preserve"> </w:t>
      </w:r>
      <w:r>
        <w:t>during curricular activities</w:t>
      </w:r>
      <w:r>
        <w:t xml:space="preserve">. </w:t>
      </w:r>
      <w:r>
        <w:t xml:space="preserve"> </w:t>
      </w:r>
      <w:r>
        <w:t>Because the Court of Appeal reached a different conclusion, we reverse its decision and remand for further proceedings.</w:t>
      </w:r>
    </w:p>
    <w:p w:rsidR="00CF0FA4" w:rsidRDefault="0012664A" w:rsidP="00CF0FA4">
      <w:pPr>
        <w:keepNext/>
        <w:tabs>
          <w:tab w:val="left" w:pos="1440"/>
        </w:tabs>
        <w:spacing w:line="360" w:lineRule="auto"/>
        <w:jc w:val="center"/>
        <w:rPr>
          <w:b/>
          <w:caps/>
        </w:rPr>
      </w:pPr>
      <w:r>
        <w:rPr>
          <w:caps/>
        </w:rPr>
        <w:t xml:space="preserve">I.  </w:t>
      </w:r>
      <w:r w:rsidRPr="002B59AE">
        <w:rPr>
          <w:caps/>
        </w:rPr>
        <w:t>BACKGROUND</w:t>
      </w:r>
    </w:p>
    <w:p w:rsidR="007C5729" w:rsidRDefault="0012664A" w:rsidP="00537BAE">
      <w:pPr>
        <w:keepNext/>
        <w:spacing w:line="360" w:lineRule="auto"/>
      </w:pPr>
      <w:r>
        <w:t>A.</w:t>
      </w:r>
      <w:r>
        <w:tab/>
      </w:r>
      <w:r w:rsidRPr="00457C52">
        <w:rPr>
          <w:i/>
        </w:rPr>
        <w:t xml:space="preserve">Thompson’s </w:t>
      </w:r>
      <w:r w:rsidRPr="00457C52">
        <w:rPr>
          <w:i/>
        </w:rPr>
        <w:t>Behavior Preceding the Assault</w:t>
      </w:r>
    </w:p>
    <w:p w:rsidR="00E45B19" w:rsidRDefault="0012664A" w:rsidP="007C5729">
      <w:pPr>
        <w:spacing w:line="360" w:lineRule="auto"/>
      </w:pPr>
      <w:r>
        <w:tab/>
      </w:r>
      <w:r>
        <w:t xml:space="preserve">Damon Thompson transferred to UCLA in </w:t>
      </w:r>
      <w:r>
        <w:t xml:space="preserve">the </w:t>
      </w:r>
      <w:r>
        <w:t xml:space="preserve">fall of 2008. </w:t>
      </w:r>
      <w:r>
        <w:t xml:space="preserve"> </w:t>
      </w:r>
      <w:r>
        <w:t xml:space="preserve">He soon began </w:t>
      </w:r>
      <w:r>
        <w:t>experiencing problems with other students in both classroom and residence hall settings.</w:t>
      </w:r>
    </w:p>
    <w:p w:rsidR="007C5729" w:rsidRDefault="0012664A" w:rsidP="007C5729">
      <w:pPr>
        <w:spacing w:line="360" w:lineRule="auto"/>
      </w:pPr>
      <w:r>
        <w:tab/>
      </w:r>
      <w:r>
        <w:t>At the end of fall quarter</w:t>
      </w:r>
      <w:r>
        <w:t>, Thompson</w:t>
      </w:r>
      <w:r>
        <w:t xml:space="preserve"> </w:t>
      </w:r>
      <w:r>
        <w:t>emailed</w:t>
      </w:r>
      <w:r>
        <w:t xml:space="preserve"> his</w:t>
      </w:r>
      <w:r>
        <w:t xml:space="preserve"> history professor</w:t>
      </w:r>
      <w:r>
        <w:t xml:space="preserve"> </w:t>
      </w:r>
      <w:r>
        <w:t xml:space="preserve">that </w:t>
      </w:r>
      <w:r>
        <w:t xml:space="preserve">he was “angered” by “offensive” remarks </w:t>
      </w:r>
      <w:r>
        <w:t xml:space="preserve">from other </w:t>
      </w:r>
      <w:r>
        <w:t xml:space="preserve">students during </w:t>
      </w:r>
      <w:r>
        <w:t>the final</w:t>
      </w:r>
      <w:r>
        <w:t xml:space="preserve"> examination</w:t>
      </w:r>
      <w:r>
        <w:t xml:space="preserve"> and “</w:t>
      </w:r>
      <w:r>
        <w:t xml:space="preserve">outrage[d]” </w:t>
      </w:r>
      <w:r>
        <w:t>because</w:t>
      </w:r>
      <w:r>
        <w:t xml:space="preserve"> their comments had affected his performance</w:t>
      </w:r>
      <w:r>
        <w:t xml:space="preserve">.  </w:t>
      </w:r>
      <w:r>
        <w:t xml:space="preserve">Thompson also </w:t>
      </w:r>
      <w:r>
        <w:t>complained</w:t>
      </w:r>
      <w:r>
        <w:t xml:space="preserve"> he</w:t>
      </w:r>
      <w:r>
        <w:t xml:space="preserve"> had</w:t>
      </w:r>
      <w:r>
        <w:t xml:space="preserve"> heard </w:t>
      </w:r>
      <w:r>
        <w:t>the p</w:t>
      </w:r>
      <w:r>
        <w:t xml:space="preserve">rofessor calling him </w:t>
      </w:r>
      <w:proofErr w:type="gramStart"/>
      <w:r>
        <w:t>“ ‘</w:t>
      </w:r>
      <w:proofErr w:type="gramEnd"/>
      <w:r>
        <w:t>troubled’ and ‘crazy’ among other things.”</w:t>
      </w:r>
      <w:r>
        <w:t xml:space="preserve">  </w:t>
      </w:r>
      <w:r>
        <w:t>When the professor</w:t>
      </w:r>
      <w:r>
        <w:t xml:space="preserve"> forwarded </w:t>
      </w:r>
      <w:r>
        <w:t>Thompson’s</w:t>
      </w:r>
      <w:r>
        <w:t xml:space="preserve"> </w:t>
      </w:r>
      <w:r>
        <w:t>messages</w:t>
      </w:r>
      <w:r>
        <w:t xml:space="preserve"> to </w:t>
      </w:r>
      <w:r>
        <w:t>his</w:t>
      </w:r>
      <w:r>
        <w:t xml:space="preserve"> </w:t>
      </w:r>
      <w:r>
        <w:t xml:space="preserve">department </w:t>
      </w:r>
      <w:r>
        <w:t>chair</w:t>
      </w:r>
      <w:r>
        <w:t>,</w:t>
      </w:r>
      <w:r>
        <w:t xml:space="preserve"> </w:t>
      </w:r>
      <w:r>
        <w:t>h</w:t>
      </w:r>
      <w:r>
        <w:t xml:space="preserve">e </w:t>
      </w:r>
      <w:proofErr w:type="gramStart"/>
      <w:r>
        <w:t>wa</w:t>
      </w:r>
      <w:r>
        <w:t>s</w:t>
      </w:r>
      <w:r>
        <w:t xml:space="preserve"> advised</w:t>
      </w:r>
      <w:proofErr w:type="gramEnd"/>
      <w:r>
        <w:t xml:space="preserve"> to calm Thompson</w:t>
      </w:r>
      <w:r>
        <w:t xml:space="preserve"> and</w:t>
      </w:r>
      <w:r>
        <w:t xml:space="preserve"> encourage him to visit</w:t>
      </w:r>
      <w:r>
        <w:t xml:space="preserve"> the school’s counseling s</w:t>
      </w:r>
      <w:r>
        <w:t>ervices</w:t>
      </w:r>
      <w:r>
        <w:t xml:space="preserve"> if </w:t>
      </w:r>
      <w:r>
        <w:t>he</w:t>
      </w:r>
      <w:r>
        <w:t xml:space="preserve"> </w:t>
      </w:r>
      <w:r>
        <w:t xml:space="preserve">appeared </w:t>
      </w:r>
      <w:r>
        <w:t>“genuinely paranoid or a potential threat</w:t>
      </w:r>
      <w:r>
        <w:t>.</w:t>
      </w:r>
      <w:r>
        <w:t xml:space="preserve">” </w:t>
      </w:r>
    </w:p>
    <w:p w:rsidR="007C5729" w:rsidRDefault="0012664A" w:rsidP="007C5729">
      <w:pPr>
        <w:spacing w:line="360" w:lineRule="auto"/>
      </w:pPr>
      <w:r>
        <w:tab/>
      </w:r>
      <w:r>
        <w:t>Thompson next</w:t>
      </w:r>
      <w:r>
        <w:t xml:space="preserve"> </w:t>
      </w:r>
      <w:r>
        <w:t>complain</w:t>
      </w:r>
      <w:r>
        <w:t>ed about</w:t>
      </w:r>
      <w:r>
        <w:t xml:space="preserve"> mistreat</w:t>
      </w:r>
      <w:r>
        <w:t>ment</w:t>
      </w:r>
      <w:r>
        <w:t xml:space="preserve"> by </w:t>
      </w:r>
      <w:proofErr w:type="gramStart"/>
      <w:r>
        <w:t xml:space="preserve">fellow </w:t>
      </w:r>
      <w:r>
        <w:t>dormitory</w:t>
      </w:r>
      <w:proofErr w:type="gramEnd"/>
      <w:r>
        <w:t xml:space="preserve"> residents</w:t>
      </w:r>
      <w:r>
        <w:t xml:space="preserve">. </w:t>
      </w:r>
      <w:r>
        <w:t xml:space="preserve"> </w:t>
      </w:r>
      <w:r>
        <w:t>In a three-page letter to the De</w:t>
      </w:r>
      <w:r>
        <w:t>an of Students, Thompson</w:t>
      </w:r>
      <w:r>
        <w:t xml:space="preserve"> </w:t>
      </w:r>
      <w:r>
        <w:t>alleged a</w:t>
      </w:r>
      <w:r>
        <w:t xml:space="preserve"> female resident had </w:t>
      </w:r>
      <w:r>
        <w:t xml:space="preserve">repeatedly </w:t>
      </w:r>
      <w:r>
        <w:t>made “unwelcomed verbal sexual advances” toward him</w:t>
      </w:r>
      <w:r>
        <w:t>, and others had spread rumors and “accusations of a sexual nature about [him</w:t>
      </w:r>
      <w:proofErr w:type="gramStart"/>
      <w:r>
        <w:t>] .</w:t>
      </w:r>
      <w:proofErr w:type="gramEnd"/>
      <w:r>
        <w:t xml:space="preserve"> . . throughout the entire student body.” </w:t>
      </w:r>
      <w:r>
        <w:t xml:space="preserve"> </w:t>
      </w:r>
      <w:r>
        <w:t>He</w:t>
      </w:r>
      <w:r>
        <w:t xml:space="preserve"> </w:t>
      </w:r>
      <w:r>
        <w:t>claimed the</w:t>
      </w:r>
      <w:r>
        <w:t xml:space="preserve"> residents </w:t>
      </w:r>
      <w:r>
        <w:t xml:space="preserve">frequently </w:t>
      </w:r>
      <w:r>
        <w:t xml:space="preserve">disrupted his sleep, </w:t>
      </w:r>
      <w:r>
        <w:t xml:space="preserve">called him </w:t>
      </w:r>
      <w:proofErr w:type="gramStart"/>
      <w:r>
        <w:t>“ ‘</w:t>
      </w:r>
      <w:proofErr w:type="gramEnd"/>
      <w:r>
        <w:t>stupid</w:t>
      </w:r>
      <w:r>
        <w:t>,</w:t>
      </w:r>
      <w:r>
        <w:t>’ ”</w:t>
      </w:r>
      <w:r>
        <w:t xml:space="preserve"> and </w:t>
      </w:r>
      <w:r>
        <w:t>eavesdropped on</w:t>
      </w:r>
      <w:r>
        <w:t xml:space="preserve"> his</w:t>
      </w:r>
      <w:r>
        <w:t xml:space="preserve"> </w:t>
      </w:r>
      <w:r>
        <w:lastRenderedPageBreak/>
        <w:t>phone calls.</w:t>
      </w:r>
      <w:r>
        <w:t xml:space="preserve"> </w:t>
      </w:r>
      <w:r>
        <w:t xml:space="preserve"> Not only had he been “made the ‘target</w:t>
      </w:r>
      <w:proofErr w:type="gramStart"/>
      <w:r>
        <w:t>’ ”</w:t>
      </w:r>
      <w:proofErr w:type="gramEnd"/>
      <w:r>
        <w:t xml:space="preserve"> </w:t>
      </w:r>
      <w:r>
        <w:t>of the residents’ “teasing,” but he also “receive[d] an immense amount of unwanted attentio</w:t>
      </w:r>
      <w:r>
        <w:t>n” around campus.</w:t>
      </w:r>
      <w:r>
        <w:t xml:space="preserve"> </w:t>
      </w:r>
      <w:r>
        <w:t xml:space="preserve"> </w:t>
      </w:r>
      <w:r>
        <w:t>Thompson warned that if the university failed to discipline the responsible parties, the matter would likely “escalate</w:t>
      </w:r>
      <w:r>
        <w:t xml:space="preserve"> into a more serious situation</w:t>
      </w:r>
      <w:r>
        <w:t xml:space="preserve">,” </w:t>
      </w:r>
      <w:r>
        <w:t>and</w:t>
      </w:r>
      <w:r>
        <w:t xml:space="preserve"> </w:t>
      </w:r>
      <w:r>
        <w:t>he</w:t>
      </w:r>
      <w:r>
        <w:t xml:space="preserve"> </w:t>
      </w:r>
      <w:r>
        <w:t>would</w:t>
      </w:r>
      <w:r>
        <w:t xml:space="preserve"> “</w:t>
      </w:r>
      <w:r>
        <w:t xml:space="preserve">end up </w:t>
      </w:r>
      <w:r>
        <w:t>act</w:t>
      </w:r>
      <w:r>
        <w:t>ing</w:t>
      </w:r>
      <w:r>
        <w:t xml:space="preserve"> in a manner that will incur undesirable consequences.” </w:t>
      </w:r>
      <w:r>
        <w:t xml:space="preserve"> A week later,</w:t>
      </w:r>
      <w:r>
        <w:t xml:space="preserve"> </w:t>
      </w:r>
      <w:r>
        <w:t>the s</w:t>
      </w:r>
      <w:r>
        <w:t xml:space="preserve">chool moved </w:t>
      </w:r>
      <w:r>
        <w:t xml:space="preserve">Thompson to a new dormitory.  </w:t>
      </w:r>
    </w:p>
    <w:p w:rsidR="007C5729" w:rsidRDefault="0012664A" w:rsidP="007C5729">
      <w:pPr>
        <w:spacing w:line="360" w:lineRule="auto"/>
      </w:pPr>
      <w:r>
        <w:tab/>
      </w:r>
      <w:r>
        <w:t>In late January 2009</w:t>
      </w:r>
      <w:r>
        <w:t xml:space="preserve">, Thompson </w:t>
      </w:r>
      <w:r>
        <w:t xml:space="preserve">complained to </w:t>
      </w:r>
      <w:r>
        <w:t>three prof</w:t>
      </w:r>
      <w:r>
        <w:t>essors and teaching assistant</w:t>
      </w:r>
      <w:r>
        <w:t xml:space="preserve"> Jenny Hernandez</w:t>
      </w:r>
      <w:r>
        <w:t xml:space="preserve"> </w:t>
      </w:r>
      <w:r>
        <w:t>that students had been trying to distract him with offensive c</w:t>
      </w:r>
      <w:r>
        <w:t>omments</w:t>
      </w:r>
      <w:r>
        <w:t xml:space="preserve">.  </w:t>
      </w:r>
      <w:r>
        <w:t xml:space="preserve">Hernandez </w:t>
      </w:r>
      <w:r>
        <w:t>told</w:t>
      </w:r>
      <w:r>
        <w:t xml:space="preserve"> </w:t>
      </w:r>
      <w:r>
        <w:t>her supervising professo</w:t>
      </w:r>
      <w:r>
        <w:t xml:space="preserve">r </w:t>
      </w:r>
      <w:r>
        <w:t>she had never observed th</w:t>
      </w:r>
      <w:r>
        <w:t>is</w:t>
      </w:r>
      <w:r>
        <w:t xml:space="preserve"> behavior</w:t>
      </w:r>
      <w:r>
        <w:t xml:space="preserve"> but</w:t>
      </w:r>
      <w:r>
        <w:t xml:space="preserve"> </w:t>
      </w:r>
      <w:r>
        <w:t xml:space="preserve">Thompson </w:t>
      </w:r>
      <w:r>
        <w:t xml:space="preserve">himself </w:t>
      </w:r>
      <w:r>
        <w:t xml:space="preserve">acted </w:t>
      </w:r>
      <w:r>
        <w:t>oddly, frequently talking</w:t>
      </w:r>
      <w:r>
        <w:t xml:space="preserve"> to himself</w:t>
      </w:r>
      <w:r>
        <w:t xml:space="preserve">.  </w:t>
      </w:r>
      <w:r>
        <w:t>She</w:t>
      </w:r>
      <w:r>
        <w:t xml:space="preserve"> </w:t>
      </w:r>
      <w:r>
        <w:t>believed</w:t>
      </w:r>
      <w:r>
        <w:t xml:space="preserve"> </w:t>
      </w:r>
      <w:r>
        <w:t>he</w:t>
      </w:r>
      <w:r>
        <w:t xml:space="preserve"> was displaying signs of schizophrenia and should </w:t>
      </w:r>
      <w:proofErr w:type="gramStart"/>
      <w:r>
        <w:t>be referred</w:t>
      </w:r>
      <w:proofErr w:type="gramEnd"/>
      <w:r>
        <w:t xml:space="preserve"> to </w:t>
      </w:r>
      <w:r>
        <w:t>the university’s</w:t>
      </w:r>
      <w:r>
        <w:t xml:space="preserve"> Counseling and Psychological Services (CAPS)</w:t>
      </w:r>
      <w:r>
        <w:t xml:space="preserve">. </w:t>
      </w:r>
      <w:r>
        <w:t xml:space="preserve"> Hernandez and </w:t>
      </w:r>
      <w:r>
        <w:t>the professor</w:t>
      </w:r>
      <w:r>
        <w:t xml:space="preserve"> met with Thompson and urged him to </w:t>
      </w:r>
      <w:r>
        <w:t>use these services</w:t>
      </w:r>
      <w:r>
        <w:t xml:space="preserve">, but Thompson denied </w:t>
      </w:r>
      <w:proofErr w:type="gramStart"/>
      <w:r>
        <w:t>“ ‘</w:t>
      </w:r>
      <w:proofErr w:type="gramEnd"/>
      <w:r>
        <w:t>hearing things</w:t>
      </w:r>
      <w:r>
        <w:t>’ </w:t>
      </w:r>
      <w:r>
        <w:t>” or “</w:t>
      </w:r>
      <w:r>
        <w:t> ‘</w:t>
      </w:r>
      <w:r>
        <w:t>making this up.</w:t>
      </w:r>
      <w:r>
        <w:t>’ </w:t>
      </w:r>
      <w:r>
        <w:t>”</w:t>
      </w:r>
      <w:r>
        <w:t xml:space="preserve"> </w:t>
      </w:r>
      <w:r>
        <w:t xml:space="preserve"> </w:t>
      </w:r>
      <w:r>
        <w:t>Another</w:t>
      </w:r>
      <w:r>
        <w:t xml:space="preserve"> professor </w:t>
      </w:r>
      <w:r>
        <w:t>forwarded</w:t>
      </w:r>
      <w:r>
        <w:t xml:space="preserve"> Thompson’s </w:t>
      </w:r>
      <w:r>
        <w:t>complaints</w:t>
      </w:r>
      <w:r>
        <w:t xml:space="preserve"> </w:t>
      </w:r>
      <w:r>
        <w:t>to</w:t>
      </w:r>
      <w:r>
        <w:t xml:space="preserve"> A</w:t>
      </w:r>
      <w:r>
        <w:t>ssistant Dean of Students Cary Porter</w:t>
      </w:r>
      <w:r>
        <w:t>,</w:t>
      </w:r>
      <w:r>
        <w:t xml:space="preserve"> </w:t>
      </w:r>
      <w:r>
        <w:t>who</w:t>
      </w:r>
      <w:r>
        <w:t xml:space="preserve"> contacte</w:t>
      </w:r>
      <w:r>
        <w:t xml:space="preserve">d </w:t>
      </w:r>
      <w:r>
        <w:t xml:space="preserve">the university’s </w:t>
      </w:r>
      <w:r>
        <w:t>“Consultation and Response Team” (</w:t>
      </w:r>
      <w:r>
        <w:t>Response Team</w:t>
      </w:r>
      <w:r>
        <w:t xml:space="preserve">).  </w:t>
      </w:r>
      <w:r>
        <w:t xml:space="preserve">The </w:t>
      </w:r>
      <w:r>
        <w:t>Response Team</w:t>
      </w:r>
      <w:r>
        <w:t xml:space="preserve"> </w:t>
      </w:r>
      <w:r>
        <w:t xml:space="preserve">advises </w:t>
      </w:r>
      <w:r>
        <w:t xml:space="preserve">campus members </w:t>
      </w:r>
      <w:r>
        <w:t>who have</w:t>
      </w:r>
      <w:r>
        <w:t xml:space="preserve"> concerns about the well-being of </w:t>
      </w:r>
      <w:proofErr w:type="gramStart"/>
      <w:r>
        <w:t xml:space="preserve">particular </w:t>
      </w:r>
      <w:r>
        <w:t>students</w:t>
      </w:r>
      <w:proofErr w:type="gramEnd"/>
      <w:r>
        <w:t xml:space="preserve">.  </w:t>
      </w:r>
      <w:r>
        <w:t xml:space="preserve">Dean </w:t>
      </w:r>
      <w:r>
        <w:t xml:space="preserve">Porter also met with Thompson and encouraged him to seek medical help at </w:t>
      </w:r>
      <w:r>
        <w:t>CAP</w:t>
      </w:r>
      <w:r>
        <w:t>S.</w:t>
      </w:r>
      <w:r>
        <w:t xml:space="preserve"> </w:t>
      </w:r>
    </w:p>
    <w:p w:rsidR="007C5729" w:rsidRDefault="0012664A" w:rsidP="007C5729">
      <w:pPr>
        <w:spacing w:line="360" w:lineRule="auto"/>
      </w:pPr>
      <w:r>
        <w:tab/>
        <w:t xml:space="preserve">Thompson’s dormitory </w:t>
      </w:r>
      <w:r>
        <w:t>problems</w:t>
      </w:r>
      <w:r>
        <w:t xml:space="preserve"> escalated in February.  </w:t>
      </w:r>
      <w:r>
        <w:t xml:space="preserve">He told </w:t>
      </w:r>
      <w:r>
        <w:t>resident director</w:t>
      </w:r>
      <w:r>
        <w:t xml:space="preserve"> Janelle </w:t>
      </w:r>
      <w:proofErr w:type="spellStart"/>
      <w:r>
        <w:t>Rahyns</w:t>
      </w:r>
      <w:proofErr w:type="spellEnd"/>
      <w:r>
        <w:t xml:space="preserve"> </w:t>
      </w:r>
      <w:r>
        <w:t>there were</w:t>
      </w:r>
      <w:r>
        <w:t xml:space="preserve"> </w:t>
      </w:r>
      <w:r>
        <w:t>“voices coming through the walls calling him an idiot.”  He heard a clicking noise</w:t>
      </w:r>
      <w:r>
        <w:t xml:space="preserve"> above his room</w:t>
      </w:r>
      <w:r>
        <w:t xml:space="preserve"> that sounded like a gun, and he believed the ot</w:t>
      </w:r>
      <w:r>
        <w:t xml:space="preserve">her residents were planning to shoot him.  </w:t>
      </w:r>
      <w:r>
        <w:t>Thompson t</w:t>
      </w:r>
      <w:r>
        <w:t xml:space="preserve">old </w:t>
      </w:r>
      <w:proofErr w:type="spellStart"/>
      <w:r>
        <w:t>Rahyns</w:t>
      </w:r>
      <w:proofErr w:type="spellEnd"/>
      <w:r>
        <w:t xml:space="preserve"> he had telephoned his fa</w:t>
      </w:r>
      <w:r>
        <w:t xml:space="preserve">ther and </w:t>
      </w:r>
      <w:proofErr w:type="gramStart"/>
      <w:r>
        <w:t xml:space="preserve">was </w:t>
      </w:r>
      <w:r>
        <w:t>advised</w:t>
      </w:r>
      <w:proofErr w:type="gramEnd"/>
      <w:r>
        <w:t xml:space="preserve"> </w:t>
      </w:r>
      <w:r>
        <w:t>to</w:t>
      </w:r>
      <w:r>
        <w:t xml:space="preserve"> “hurt the other residents.”  </w:t>
      </w:r>
      <w:r>
        <w:t xml:space="preserve">While </w:t>
      </w:r>
      <w:r>
        <w:t>a</w:t>
      </w:r>
      <w:r>
        <w:t>dmitting</w:t>
      </w:r>
      <w:r>
        <w:t xml:space="preserve"> he had</w:t>
      </w:r>
      <w:r>
        <w:t xml:space="preserve"> “thought about</w:t>
      </w:r>
      <w:r>
        <w:t xml:space="preserve"> it</w:t>
      </w:r>
      <w:r>
        <w:t>,</w:t>
      </w:r>
      <w:r>
        <w:t xml:space="preserve">” </w:t>
      </w:r>
      <w:r>
        <w:t xml:space="preserve">Thompson said he </w:t>
      </w:r>
      <w:r>
        <w:t xml:space="preserve">decided </w:t>
      </w:r>
      <w:r>
        <w:t>not</w:t>
      </w:r>
      <w:r>
        <w:t xml:space="preserve"> to </w:t>
      </w:r>
      <w:r>
        <w:t>hurt anyone</w:t>
      </w:r>
      <w:r>
        <w:t xml:space="preserve">.  </w:t>
      </w:r>
      <w:r>
        <w:t>C</w:t>
      </w:r>
      <w:r>
        <w:t xml:space="preserve">ampus police </w:t>
      </w:r>
      <w:r>
        <w:t xml:space="preserve">arrived and </w:t>
      </w:r>
      <w:r>
        <w:t xml:space="preserve">searched the </w:t>
      </w:r>
      <w:r>
        <w:t>premises</w:t>
      </w:r>
      <w:r>
        <w:t xml:space="preserve"> </w:t>
      </w:r>
      <w:r>
        <w:t xml:space="preserve">but </w:t>
      </w:r>
      <w:r>
        <w:t xml:space="preserve">found no weapon.  </w:t>
      </w:r>
      <w:r>
        <w:t xml:space="preserve">They concluded Thompson needed a </w:t>
      </w:r>
      <w:r>
        <w:t>psychiatric</w:t>
      </w:r>
      <w:r>
        <w:t xml:space="preserve"> evaluation </w:t>
      </w:r>
      <w:r>
        <w:t>and</w:t>
      </w:r>
      <w:r>
        <w:t xml:space="preserve"> escorted </w:t>
      </w:r>
      <w:r>
        <w:t xml:space="preserve">him </w:t>
      </w:r>
      <w:r>
        <w:t xml:space="preserve">to the </w:t>
      </w:r>
      <w:r>
        <w:t>emergency room</w:t>
      </w:r>
      <w:r>
        <w:t xml:space="preserve"> for that</w:t>
      </w:r>
      <w:r>
        <w:t xml:space="preserve"> purpose</w:t>
      </w:r>
      <w:r>
        <w:t xml:space="preserve">.  During the examination, Thompson </w:t>
      </w:r>
      <w:r>
        <w:t xml:space="preserve">reported a history of depression and </w:t>
      </w:r>
      <w:r>
        <w:t>compla</w:t>
      </w:r>
      <w:r>
        <w:t>ined of auditory hallu</w:t>
      </w:r>
      <w:r>
        <w:t>cinations and</w:t>
      </w:r>
      <w:r>
        <w:t xml:space="preserve"> </w:t>
      </w:r>
      <w:r>
        <w:lastRenderedPageBreak/>
        <w:t xml:space="preserve">paranoid thinking. </w:t>
      </w:r>
      <w:r>
        <w:t xml:space="preserve"> For several months, he had heard people talking about him and insulting him, even when</w:t>
      </w:r>
      <w:r>
        <w:t xml:space="preserve"> </w:t>
      </w:r>
      <w:proofErr w:type="gramStart"/>
      <w:r>
        <w:t>“ ‘</w:t>
      </w:r>
      <w:proofErr w:type="gramEnd"/>
      <w:r>
        <w:t>there’</w:t>
      </w:r>
      <w:r>
        <w:t>s no one there.’</w:t>
      </w:r>
      <w:r>
        <w:t> </w:t>
      </w:r>
      <w:r>
        <w:t xml:space="preserve">”  </w:t>
      </w:r>
      <w:r>
        <w:t>He denied</w:t>
      </w:r>
      <w:r>
        <w:t xml:space="preserve"> suicidal or homicidal thinking</w:t>
      </w:r>
      <w:r>
        <w:t>.  The</w:t>
      </w:r>
      <w:r>
        <w:t xml:space="preserve"> examiner diagnosed Thompson with possible schizophrenia</w:t>
      </w:r>
      <w:r>
        <w:t xml:space="preserve"> and</w:t>
      </w:r>
      <w:r>
        <w:t xml:space="preserve"> major depressive disorder. </w:t>
      </w:r>
      <w:r>
        <w:t xml:space="preserve"> Thompson agreed to </w:t>
      </w:r>
      <w:r>
        <w:t xml:space="preserve">take </w:t>
      </w:r>
      <w:r>
        <w:t xml:space="preserve">a low-dose antipsychotic medication </w:t>
      </w:r>
      <w:r>
        <w:t>and</w:t>
      </w:r>
      <w:r>
        <w:t xml:space="preserve"> </w:t>
      </w:r>
      <w:r>
        <w:t>begin</w:t>
      </w:r>
      <w:r>
        <w:t xml:space="preserve"> </w:t>
      </w:r>
      <w:r>
        <w:t xml:space="preserve">outpatient treatment at CAPS. </w:t>
      </w:r>
      <w:r>
        <w:t xml:space="preserve"> </w:t>
      </w:r>
      <w:r>
        <w:t>Dean</w:t>
      </w:r>
      <w:r>
        <w:t xml:space="preserve"> Porter and the </w:t>
      </w:r>
      <w:r>
        <w:t>Response Team</w:t>
      </w:r>
      <w:r>
        <w:t xml:space="preserve"> </w:t>
      </w:r>
      <w:proofErr w:type="gramStart"/>
      <w:r>
        <w:t>were informed</w:t>
      </w:r>
      <w:proofErr w:type="gramEnd"/>
      <w:r>
        <w:t xml:space="preserve"> </w:t>
      </w:r>
      <w:r>
        <w:t xml:space="preserve">about </w:t>
      </w:r>
      <w:r>
        <w:t>the</w:t>
      </w:r>
      <w:r>
        <w:t xml:space="preserve"> incident and </w:t>
      </w:r>
      <w:r>
        <w:t xml:space="preserve">Thompson’s </w:t>
      </w:r>
      <w:r>
        <w:t xml:space="preserve">mental evaluation. </w:t>
      </w:r>
      <w:r>
        <w:t xml:space="preserve"> The </w:t>
      </w:r>
      <w:r>
        <w:t>Response Team</w:t>
      </w:r>
      <w:r>
        <w:t xml:space="preserve"> </w:t>
      </w:r>
      <w:r>
        <w:t xml:space="preserve">began </w:t>
      </w:r>
      <w:r>
        <w:t>discuss</w:t>
      </w:r>
      <w:r>
        <w:t>ing</w:t>
      </w:r>
      <w:r>
        <w:t xml:space="preserve"> Thompson at its</w:t>
      </w:r>
      <w:r>
        <w:t xml:space="preserve"> </w:t>
      </w:r>
      <w:r>
        <w:t>weekly</w:t>
      </w:r>
      <w:r>
        <w:t xml:space="preserve"> meeting</w:t>
      </w:r>
      <w:r>
        <w:t>s</w:t>
      </w:r>
      <w:r>
        <w:t xml:space="preserve">. </w:t>
      </w:r>
      <w:r>
        <w:t xml:space="preserve"> </w:t>
      </w:r>
    </w:p>
    <w:p w:rsidR="007C5729" w:rsidRDefault="0012664A" w:rsidP="007C5729">
      <w:pPr>
        <w:spacing w:line="360" w:lineRule="auto"/>
      </w:pPr>
      <w:r>
        <w:tab/>
      </w:r>
      <w:r>
        <w:t xml:space="preserve">In March 2009, </w:t>
      </w:r>
      <w:r>
        <w:t xml:space="preserve">Thompson began sessions with </w:t>
      </w:r>
      <w:r>
        <w:t xml:space="preserve">CAPS </w:t>
      </w:r>
      <w:r>
        <w:t xml:space="preserve">psychologist Nicole Green.  </w:t>
      </w:r>
      <w:r>
        <w:t>Although he denied wanting to hurt himself or others, h</w:t>
      </w:r>
      <w:r>
        <w:t>e</w:t>
      </w:r>
      <w:r>
        <w:t xml:space="preserve"> continued to</w:t>
      </w:r>
      <w:r>
        <w:t xml:space="preserve"> </w:t>
      </w:r>
      <w:r>
        <w:t>report auditory hallu</w:t>
      </w:r>
      <w:r>
        <w:t xml:space="preserve">cinations and paranoid thoughts.  He </w:t>
      </w:r>
      <w:r>
        <w:t xml:space="preserve">had </w:t>
      </w:r>
      <w:r>
        <w:t xml:space="preserve">thrown away the </w:t>
      </w:r>
      <w:r>
        <w:t xml:space="preserve">prescribed </w:t>
      </w:r>
      <w:r>
        <w:t>antipsychotic medication</w:t>
      </w:r>
      <w:r>
        <w:t xml:space="preserve">. </w:t>
      </w:r>
      <w:r>
        <w:t xml:space="preserve"> Green </w:t>
      </w:r>
      <w:r>
        <w:t xml:space="preserve">diagnosed schizophrenia and </w:t>
      </w:r>
      <w:r>
        <w:t>urged</w:t>
      </w:r>
      <w:r>
        <w:t xml:space="preserve"> </w:t>
      </w:r>
      <w:r>
        <w:t>Thompson</w:t>
      </w:r>
      <w:r>
        <w:t xml:space="preserve"> to see a CAPS psychiatrist. </w:t>
      </w:r>
      <w:r>
        <w:t xml:space="preserve"> </w:t>
      </w:r>
      <w:r>
        <w:t>Thompson</w:t>
      </w:r>
      <w:r>
        <w:t xml:space="preserve"> refused to </w:t>
      </w:r>
      <w:r>
        <w:t>consider medication</w:t>
      </w:r>
      <w:r>
        <w:t xml:space="preserve"> until he </w:t>
      </w:r>
      <w:r>
        <w:t>could</w:t>
      </w:r>
      <w:r>
        <w:t xml:space="preserve"> determine whether the voices were real.  </w:t>
      </w:r>
      <w:r>
        <w:t>He</w:t>
      </w:r>
      <w:r>
        <w:t xml:space="preserve"> expressed frustration tha</w:t>
      </w:r>
      <w:r>
        <w:t xml:space="preserve">t nobody believed </w:t>
      </w:r>
      <w:r>
        <w:t>him</w:t>
      </w:r>
      <w:r>
        <w:t xml:space="preserve"> and </w:t>
      </w:r>
      <w:r>
        <w:t xml:space="preserve">said he would try to record the voices. </w:t>
      </w:r>
      <w:r>
        <w:t xml:space="preserve"> </w:t>
      </w:r>
      <w:r>
        <w:t xml:space="preserve">Around this time, </w:t>
      </w:r>
      <w:proofErr w:type="spellStart"/>
      <w:r>
        <w:t>Rahyns</w:t>
      </w:r>
      <w:proofErr w:type="spellEnd"/>
      <w:r>
        <w:t xml:space="preserve"> </w:t>
      </w:r>
      <w:r>
        <w:t>notified</w:t>
      </w:r>
      <w:r>
        <w:t xml:space="preserve"> </w:t>
      </w:r>
      <w:r>
        <w:t xml:space="preserve">CAPS that Thompson was </w:t>
      </w:r>
      <w:r>
        <w:t>“</w:t>
      </w:r>
      <w:r>
        <w:t xml:space="preserve">still having </w:t>
      </w:r>
      <w:r>
        <w:t>trouble”</w:t>
      </w:r>
      <w:r>
        <w:t xml:space="preserve"> in the dormitory</w:t>
      </w:r>
      <w:r>
        <w:t xml:space="preserve">.  </w:t>
      </w:r>
      <w:r>
        <w:t xml:space="preserve">The </w:t>
      </w:r>
      <w:r>
        <w:t>Response Team</w:t>
      </w:r>
      <w:r>
        <w:t xml:space="preserve"> </w:t>
      </w:r>
      <w:r>
        <w:t xml:space="preserve">decided to </w:t>
      </w:r>
      <w:r>
        <w:t xml:space="preserve">move </w:t>
      </w:r>
      <w:r>
        <w:t>him</w:t>
      </w:r>
      <w:r>
        <w:t xml:space="preserve"> to a single room and e</w:t>
      </w:r>
      <w:r>
        <w:t>xplor</w:t>
      </w:r>
      <w:r>
        <w:t>e</w:t>
      </w:r>
      <w:r>
        <w:t xml:space="preserve"> possibiliti</w:t>
      </w:r>
      <w:r>
        <w:t>es for trans</w:t>
      </w:r>
      <w:r>
        <w:t>itioning him into different housing.</w:t>
      </w:r>
      <w:r>
        <w:t xml:space="preserve"> </w:t>
      </w:r>
      <w:r>
        <w:t xml:space="preserve"> </w:t>
      </w:r>
    </w:p>
    <w:p w:rsidR="007C5729" w:rsidRDefault="0012664A" w:rsidP="007C5729">
      <w:pPr>
        <w:spacing w:line="360" w:lineRule="auto"/>
      </w:pPr>
      <w:r>
        <w:tab/>
        <w:t xml:space="preserve">Later in March, Thompson told Green he was still hearing voices and </w:t>
      </w:r>
      <w:proofErr w:type="gramStart"/>
      <w:r>
        <w:t>be</w:t>
      </w:r>
      <w:r>
        <w:t>ing harassed</w:t>
      </w:r>
      <w:proofErr w:type="gramEnd"/>
      <w:r>
        <w:t xml:space="preserve"> by other students.  H</w:t>
      </w:r>
      <w:r>
        <w:t xml:space="preserve">e was </w:t>
      </w:r>
      <w:r>
        <w:t>now</w:t>
      </w:r>
      <w:r>
        <w:t xml:space="preserve"> ame</w:t>
      </w:r>
      <w:r>
        <w:t>nable to psychiatric evaluation</w:t>
      </w:r>
      <w:r>
        <w:t xml:space="preserve">.  </w:t>
      </w:r>
      <w:r>
        <w:t>Later that day, a</w:t>
      </w:r>
      <w:r>
        <w:t xml:space="preserve">t a session with CAPS psychiatrist </w:t>
      </w:r>
      <w:r>
        <w:t xml:space="preserve">Charles </w:t>
      </w:r>
      <w:r>
        <w:t>McDaniel</w:t>
      </w:r>
      <w:r>
        <w:t>,</w:t>
      </w:r>
      <w:r>
        <w:t xml:space="preserve"> </w:t>
      </w:r>
      <w:r>
        <w:t>Thompson</w:t>
      </w:r>
      <w:r>
        <w:t xml:space="preserve"> admitted </w:t>
      </w:r>
      <w:r>
        <w:t>thinking</w:t>
      </w:r>
      <w:r>
        <w:t xml:space="preserve"> about harming others, although </w:t>
      </w:r>
      <w:r>
        <w:t>he had no identified</w:t>
      </w:r>
      <w:r>
        <w:t xml:space="preserve"> victim or plan. </w:t>
      </w:r>
      <w:r>
        <w:t xml:space="preserve"> He </w:t>
      </w:r>
      <w:r>
        <w:t>heard</w:t>
      </w:r>
      <w:r>
        <w:t xml:space="preserve"> numerous distinct voices</w:t>
      </w:r>
      <w:r>
        <w:t xml:space="preserve"> in his dormitory and classrooms.  He wanted to harm the people insulting him but could not attribute the voices to s</w:t>
      </w:r>
      <w:r>
        <w:t xml:space="preserve">pecific individuals. </w:t>
      </w:r>
      <w:r>
        <w:t xml:space="preserve"> </w:t>
      </w:r>
      <w:r>
        <w:t>McDaniel strongly urged</w:t>
      </w:r>
      <w:r>
        <w:t xml:space="preserve"> Thompson </w:t>
      </w:r>
      <w:r>
        <w:t>to submit to</w:t>
      </w:r>
      <w:r>
        <w:t xml:space="preserve"> voluntary hospitalization.  H</w:t>
      </w:r>
      <w:r>
        <w:t xml:space="preserve">e refused </w:t>
      </w:r>
      <w:r>
        <w:t xml:space="preserve">but </w:t>
      </w:r>
      <w:r>
        <w:t xml:space="preserve">agreed to take medication. </w:t>
      </w:r>
      <w:r>
        <w:t xml:space="preserve"> </w:t>
      </w:r>
      <w:r>
        <w:t>While</w:t>
      </w:r>
      <w:r>
        <w:t xml:space="preserve"> CAPS staff agreed </w:t>
      </w:r>
      <w:r>
        <w:t>Thompson did not meet the criteria for a</w:t>
      </w:r>
      <w:r>
        <w:t>n involuntary hold,</w:t>
      </w:r>
      <w:r>
        <w:t xml:space="preserve"> </w:t>
      </w:r>
      <w:r>
        <w:t xml:space="preserve">McDaniel recommended involuntary </w:t>
      </w:r>
      <w:r>
        <w:t xml:space="preserve">hospitalization if </w:t>
      </w:r>
      <w:r>
        <w:t xml:space="preserve">his thoughts of harming </w:t>
      </w:r>
      <w:r>
        <w:t xml:space="preserve">others worsened. </w:t>
      </w:r>
      <w:r>
        <w:t xml:space="preserve"> </w:t>
      </w:r>
      <w:r>
        <w:t xml:space="preserve">Thompson </w:t>
      </w:r>
      <w:r>
        <w:t>attended additional CAPS sessions in</w:t>
      </w:r>
      <w:r>
        <w:t xml:space="preserve"> April</w:t>
      </w:r>
      <w:r>
        <w:t xml:space="preserve"> and continued </w:t>
      </w:r>
      <w:r>
        <w:lastRenderedPageBreak/>
        <w:t>to report auditory hallucinations</w:t>
      </w:r>
      <w:r>
        <w:t xml:space="preserve">. </w:t>
      </w:r>
      <w:r>
        <w:t xml:space="preserve"> Although angered by this perceived harassment, Thompson said he did not intend to harm his to</w:t>
      </w:r>
      <w:r>
        <w:t>rmentors</w:t>
      </w:r>
      <w:r>
        <w:t xml:space="preserve">. </w:t>
      </w:r>
      <w:r>
        <w:t xml:space="preserve"> </w:t>
      </w:r>
      <w:r>
        <w:t>He</w:t>
      </w:r>
      <w:r>
        <w:t xml:space="preserve"> withdrew from treatment in late April.  </w:t>
      </w:r>
    </w:p>
    <w:p w:rsidR="007C5729" w:rsidRDefault="0012664A" w:rsidP="007C5729">
      <w:pPr>
        <w:spacing w:line="360" w:lineRule="auto"/>
      </w:pPr>
      <w:r>
        <w:tab/>
        <w:t xml:space="preserve">On June 3, 2009, campus police </w:t>
      </w:r>
      <w:r>
        <w:t xml:space="preserve">responded to an incident at Thompson’s dormitory.  A resident reported that </w:t>
      </w:r>
      <w:r>
        <w:t xml:space="preserve">Thompson had knocked on </w:t>
      </w:r>
      <w:r>
        <w:t>his</w:t>
      </w:r>
      <w:r>
        <w:t xml:space="preserve"> door</w:t>
      </w:r>
      <w:r>
        <w:t xml:space="preserve">, </w:t>
      </w:r>
      <w:r>
        <w:t>accused him of making too much noise</w:t>
      </w:r>
      <w:r>
        <w:t>,</w:t>
      </w:r>
      <w:r>
        <w:t xml:space="preserve"> and pushed him. </w:t>
      </w:r>
      <w:r>
        <w:t xml:space="preserve"> </w:t>
      </w:r>
      <w:r>
        <w:t>When</w:t>
      </w:r>
      <w:r>
        <w:t xml:space="preserve"> the resident </w:t>
      </w:r>
      <w:r>
        <w:t>denied</w:t>
      </w:r>
      <w:r>
        <w:t xml:space="preserve"> making noise, Thompson pushed him again, </w:t>
      </w:r>
      <w:r>
        <w:t>saying</w:t>
      </w:r>
      <w:r>
        <w:t xml:space="preserve"> this </w:t>
      </w:r>
      <w:r>
        <w:t>wa</w:t>
      </w:r>
      <w:r>
        <w:t xml:space="preserve">s </w:t>
      </w:r>
      <w:r>
        <w:t>his</w:t>
      </w:r>
      <w:r>
        <w:t xml:space="preserve"> </w:t>
      </w:r>
      <w:proofErr w:type="gramStart"/>
      <w:r>
        <w:t>“</w:t>
      </w:r>
      <w:r>
        <w:t> ‘</w:t>
      </w:r>
      <w:proofErr w:type="gramEnd"/>
      <w:r>
        <w:t>last warning.</w:t>
      </w:r>
      <w:r>
        <w:t>’ </w:t>
      </w:r>
      <w:r>
        <w:t xml:space="preserve">” </w:t>
      </w:r>
      <w:r>
        <w:t xml:space="preserve"> </w:t>
      </w:r>
      <w:proofErr w:type="gramStart"/>
      <w:r>
        <w:t>As a result of</w:t>
      </w:r>
      <w:proofErr w:type="gramEnd"/>
      <w:r>
        <w:t xml:space="preserve"> the incident, Thompson was expelled from university housing and ordered to </w:t>
      </w:r>
      <w:r>
        <w:t>return to</w:t>
      </w:r>
      <w:r>
        <w:t xml:space="preserve"> CAPS </w:t>
      </w:r>
      <w:r>
        <w:t>at</w:t>
      </w:r>
      <w:r>
        <w:t xml:space="preserve"> the</w:t>
      </w:r>
      <w:r>
        <w:t xml:space="preserve"> beginning of</w:t>
      </w:r>
      <w:r>
        <w:t xml:space="preserve"> fall </w:t>
      </w:r>
      <w:r>
        <w:t>quarter</w:t>
      </w:r>
      <w:r>
        <w:t xml:space="preserve">. </w:t>
      </w:r>
      <w:r>
        <w:t xml:space="preserve"> After he moved to an apartment, Thompson twice called the police to complain neighbors were yelling at him through the floor. </w:t>
      </w:r>
    </w:p>
    <w:p w:rsidR="007C5729" w:rsidRDefault="0012664A" w:rsidP="007C5729">
      <w:pPr>
        <w:spacing w:line="360" w:lineRule="auto"/>
      </w:pPr>
      <w:r>
        <w:tab/>
      </w:r>
      <w:r>
        <w:t>Meanwhile</w:t>
      </w:r>
      <w:r>
        <w:t xml:space="preserve">, Thompson continued to </w:t>
      </w:r>
      <w:r>
        <w:t>experience</w:t>
      </w:r>
      <w:r>
        <w:t xml:space="preserve"> auditory hallucinations</w:t>
      </w:r>
      <w:r>
        <w:t xml:space="preserve"> in the classroom</w:t>
      </w:r>
      <w:r>
        <w:t xml:space="preserve">.  </w:t>
      </w:r>
      <w:r>
        <w:t>During the summer, he</w:t>
      </w:r>
      <w:r>
        <w:t xml:space="preserve"> </w:t>
      </w:r>
      <w:r>
        <w:t>complained to</w:t>
      </w:r>
      <w:r>
        <w:t xml:space="preserve"> two </w:t>
      </w:r>
      <w:r>
        <w:t>faculty</w:t>
      </w:r>
      <w:r>
        <w:t xml:space="preserve"> </w:t>
      </w:r>
      <w:r>
        <w:t>members about</w:t>
      </w:r>
      <w:r>
        <w:t xml:space="preserve"> </w:t>
      </w:r>
      <w:r>
        <w:t>insults and harassment</w:t>
      </w:r>
      <w:r>
        <w:t xml:space="preserve"> in </w:t>
      </w:r>
      <w:r>
        <w:t>his</w:t>
      </w:r>
      <w:r>
        <w:t xml:space="preserve"> </w:t>
      </w:r>
      <w:r>
        <w:t xml:space="preserve">chemistry laboratory. </w:t>
      </w:r>
      <w:r>
        <w:t xml:space="preserve"> </w:t>
      </w:r>
      <w:r>
        <w:t>After</w:t>
      </w:r>
      <w:r>
        <w:t xml:space="preserve"> fall </w:t>
      </w:r>
      <w:r>
        <w:t>quarter</w:t>
      </w:r>
      <w:r>
        <w:t xml:space="preserve"> started, Thompson </w:t>
      </w:r>
      <w:r>
        <w:t>emailed</w:t>
      </w:r>
      <w:r>
        <w:t xml:space="preserve"> professor Alfred </w:t>
      </w:r>
      <w:proofErr w:type="spellStart"/>
      <w:r>
        <w:t>Bacher</w:t>
      </w:r>
      <w:proofErr w:type="spellEnd"/>
      <w:r>
        <w:t xml:space="preserve"> that the disruptive behavior of other students was interfering with his experiments</w:t>
      </w:r>
      <w:r>
        <w:t xml:space="preserve">. </w:t>
      </w:r>
      <w:r>
        <w:t xml:space="preserve"> The next day, </w:t>
      </w:r>
      <w:r>
        <w:t>September 30</w:t>
      </w:r>
      <w:r>
        <w:t>,</w:t>
      </w:r>
      <w:r>
        <w:t xml:space="preserve"> </w:t>
      </w:r>
      <w:r>
        <w:t xml:space="preserve">Thompson </w:t>
      </w:r>
      <w:r>
        <w:t>told</w:t>
      </w:r>
      <w:r>
        <w:t xml:space="preserve"> CAPS </w:t>
      </w:r>
      <w:r>
        <w:t>psychologist</w:t>
      </w:r>
      <w:r>
        <w:t xml:space="preserve"> Tanya Brown he still “occasionally” heard “voices of other students having ‘malice’ toward him and making critical and racist comments.”  Nevertheless, he denied an intent to harm anyone, including those criticizing him. </w:t>
      </w:r>
      <w:r>
        <w:t xml:space="preserve"> </w:t>
      </w:r>
      <w:r>
        <w:t xml:space="preserve">Brown </w:t>
      </w:r>
      <w:r>
        <w:t>noted</w:t>
      </w:r>
      <w:r>
        <w:t xml:space="preserve"> that Thompson displayed a guarded attitude, slowed speech, delusional thought processes</w:t>
      </w:r>
      <w:r>
        <w:t>,</w:t>
      </w:r>
      <w:r>
        <w:t xml:space="preserve"> and impaired insight.  </w:t>
      </w:r>
      <w:r>
        <w:t>CAPS</w:t>
      </w:r>
      <w:r>
        <w:t xml:space="preserve"> psychiatrist Charles McDaniel </w:t>
      </w:r>
      <w:r>
        <w:t>met with Thompson the same day</w:t>
      </w:r>
      <w:r>
        <w:t xml:space="preserve"> and</w:t>
      </w:r>
      <w:r>
        <w:t xml:space="preserve"> made similar observations</w:t>
      </w:r>
      <w:r>
        <w:t xml:space="preserve">. </w:t>
      </w:r>
      <w:r>
        <w:t xml:space="preserve"> Due to</w:t>
      </w:r>
      <w:r>
        <w:t xml:space="preserve"> Thompson</w:t>
      </w:r>
      <w:r>
        <w:t xml:space="preserve">’s </w:t>
      </w:r>
      <w:r>
        <w:t>behavior</w:t>
      </w:r>
      <w:r>
        <w:t>,</w:t>
      </w:r>
      <w:r>
        <w:t xml:space="preserve"> </w:t>
      </w:r>
      <w:r>
        <w:t>McDani</w:t>
      </w:r>
      <w:r>
        <w:t>el was unsure whether he was reporting his symptoms accurately</w:t>
      </w:r>
      <w:r>
        <w:t xml:space="preserve">.  </w:t>
      </w:r>
      <w:r>
        <w:t xml:space="preserve">Thompson </w:t>
      </w:r>
      <w:r>
        <w:t>agreed</w:t>
      </w:r>
      <w:r>
        <w:t xml:space="preserve"> </w:t>
      </w:r>
      <w:r>
        <w:t>to</w:t>
      </w:r>
      <w:r>
        <w:t xml:space="preserve"> start treatment at </w:t>
      </w:r>
      <w:r>
        <w:t>the university’s behavioral health</w:t>
      </w:r>
      <w:r>
        <w:t xml:space="preserve"> clinic</w:t>
      </w:r>
      <w:r>
        <w:t xml:space="preserve">. </w:t>
      </w:r>
    </w:p>
    <w:p w:rsidR="007C5729" w:rsidRDefault="0012664A" w:rsidP="00056D29">
      <w:pPr>
        <w:keepNext/>
        <w:spacing w:line="360" w:lineRule="auto"/>
      </w:pPr>
      <w:r>
        <w:t>B.</w:t>
      </w:r>
      <w:r>
        <w:tab/>
      </w:r>
      <w:r w:rsidRPr="00457C52">
        <w:rPr>
          <w:i/>
        </w:rPr>
        <w:t>The Assault</w:t>
      </w:r>
    </w:p>
    <w:p w:rsidR="00903F45" w:rsidRDefault="0012664A" w:rsidP="007C5729">
      <w:pPr>
        <w:spacing w:line="360" w:lineRule="auto"/>
      </w:pPr>
      <w:r>
        <w:tab/>
      </w:r>
      <w:r>
        <w:t>On October 6th, teachin</w:t>
      </w:r>
      <w:r>
        <w:t>g assistant Adam Goetz emailed P</w:t>
      </w:r>
      <w:r>
        <w:t xml:space="preserve">rofessor </w:t>
      </w:r>
      <w:proofErr w:type="spellStart"/>
      <w:r>
        <w:t>B</w:t>
      </w:r>
      <w:r>
        <w:t>a</w:t>
      </w:r>
      <w:r>
        <w:t>cher</w:t>
      </w:r>
      <w:proofErr w:type="spellEnd"/>
      <w:r>
        <w:t xml:space="preserve"> </w:t>
      </w:r>
      <w:r>
        <w:t>describing</w:t>
      </w:r>
      <w:r>
        <w:t xml:space="preserve"> “another incident” </w:t>
      </w:r>
      <w:r>
        <w:t>with</w:t>
      </w:r>
      <w:r>
        <w:t xml:space="preserve"> Thompson</w:t>
      </w:r>
      <w:r>
        <w:t xml:space="preserve"> in that day’s chemistry lab</w:t>
      </w:r>
      <w:r>
        <w:t xml:space="preserve">. </w:t>
      </w:r>
      <w:r>
        <w:t xml:space="preserve"> Shortly after the professor left the room, Thompson accused </w:t>
      </w:r>
      <w:r>
        <w:t xml:space="preserve">another student of calling him </w:t>
      </w:r>
      <w:r>
        <w:lastRenderedPageBreak/>
        <w:t xml:space="preserve">stupid.  </w:t>
      </w:r>
      <w:r>
        <w:t>He</w:t>
      </w:r>
      <w:r>
        <w:t xml:space="preserve"> </w:t>
      </w:r>
      <w:r>
        <w:t xml:space="preserve">insisted </w:t>
      </w:r>
      <w:r>
        <w:t>on learning the student’s name</w:t>
      </w:r>
      <w:r>
        <w:t>.</w:t>
      </w:r>
      <w:r>
        <w:t xml:space="preserve">  After </w:t>
      </w:r>
      <w:r>
        <w:t xml:space="preserve">Goetz </w:t>
      </w:r>
      <w:r>
        <w:t>gave</w:t>
      </w:r>
      <w:r>
        <w:t xml:space="preserve"> him</w:t>
      </w:r>
      <w:r>
        <w:t xml:space="preserve"> the name</w:t>
      </w:r>
      <w:r>
        <w:t>, Thompson “calmed</w:t>
      </w:r>
      <w:r>
        <w:t xml:space="preserve"> down” and “seemed fine</w:t>
      </w:r>
      <w:r>
        <w:t>.</w:t>
      </w:r>
      <w:r>
        <w:t xml:space="preserve">”  </w:t>
      </w:r>
      <w:r>
        <w:t xml:space="preserve">But </w:t>
      </w:r>
      <w:r>
        <w:t xml:space="preserve">Goetz </w:t>
      </w:r>
      <w:r>
        <w:t xml:space="preserve">remained </w:t>
      </w:r>
      <w:r>
        <w:t>worried</w:t>
      </w:r>
      <w:r>
        <w:t xml:space="preserve"> that Thompson’s </w:t>
      </w:r>
      <w:r>
        <w:t xml:space="preserve">behavior </w:t>
      </w:r>
      <w:r>
        <w:t>was</w:t>
      </w:r>
      <w:r>
        <w:t xml:space="preserve"> becom</w:t>
      </w:r>
      <w:r>
        <w:t>ing</w:t>
      </w:r>
      <w:r>
        <w:t xml:space="preserve"> a weekly “routine.” </w:t>
      </w:r>
      <w:r>
        <w:t xml:space="preserve"> Goetz later testified that Thompson frequently identified Katherine Rosen, who worked “right next to” Thompson in the lab, as one of the studen</w:t>
      </w:r>
      <w:r>
        <w:t xml:space="preserve">ts calling him stupid. </w:t>
      </w:r>
      <w:r>
        <w:t xml:space="preserve"> </w:t>
      </w:r>
    </w:p>
    <w:p w:rsidR="000A79CD" w:rsidRDefault="0012664A" w:rsidP="007C5729">
      <w:pPr>
        <w:spacing w:line="360" w:lineRule="auto"/>
      </w:pPr>
      <w:r>
        <w:tab/>
        <w:t>The following</w:t>
      </w:r>
      <w:r>
        <w:t xml:space="preserve"> day, another </w:t>
      </w:r>
      <w:r>
        <w:t xml:space="preserve">teaching assistant told </w:t>
      </w:r>
      <w:r>
        <w:t>P</w:t>
      </w:r>
      <w:r>
        <w:t xml:space="preserve">rofessor </w:t>
      </w:r>
      <w:proofErr w:type="spellStart"/>
      <w:r>
        <w:t>Bacher</w:t>
      </w:r>
      <w:proofErr w:type="spellEnd"/>
      <w:r>
        <w:t xml:space="preserve"> that </w:t>
      </w:r>
      <w:r>
        <w:t>Thompson had com</w:t>
      </w:r>
      <w:r>
        <w:t>e</w:t>
      </w:r>
      <w:r>
        <w:t xml:space="preserve"> into his chemistry lab from a different section and accus</w:t>
      </w:r>
      <w:r>
        <w:t>ed</w:t>
      </w:r>
      <w:r>
        <w:t xml:space="preserve"> students of verbal</w:t>
      </w:r>
      <w:r>
        <w:t>ly</w:t>
      </w:r>
      <w:r>
        <w:t xml:space="preserve"> harass</w:t>
      </w:r>
      <w:r>
        <w:t>ing him</w:t>
      </w:r>
      <w:r>
        <w:t xml:space="preserve">.  Although Thompson did not know the students’ names, he did </w:t>
      </w:r>
      <w:r>
        <w:t>identify a specific student, other than</w:t>
      </w:r>
      <w:r>
        <w:t xml:space="preserve"> Rosen</w:t>
      </w:r>
      <w:r>
        <w:t>,</w:t>
      </w:r>
      <w:r>
        <w:t xml:space="preserve"> as one of his tormentors.  The teaching assistant </w:t>
      </w:r>
      <w:r>
        <w:t>saw</w:t>
      </w:r>
      <w:r>
        <w:t xml:space="preserve"> no harassment and was skeptical of Thompson’s claims. </w:t>
      </w:r>
    </w:p>
    <w:p w:rsidR="0075470D" w:rsidRDefault="0012664A" w:rsidP="007C5729">
      <w:pPr>
        <w:spacing w:line="360" w:lineRule="auto"/>
      </w:pPr>
      <w:r>
        <w:tab/>
      </w:r>
      <w:proofErr w:type="spellStart"/>
      <w:r>
        <w:t>Bacher</w:t>
      </w:r>
      <w:proofErr w:type="spellEnd"/>
      <w:r>
        <w:t xml:space="preserve"> forwarded </w:t>
      </w:r>
      <w:r>
        <w:t>Goetz’s</w:t>
      </w:r>
      <w:r>
        <w:t xml:space="preserve"> email to </w:t>
      </w:r>
      <w:r>
        <w:t>Dean</w:t>
      </w:r>
      <w:r>
        <w:t xml:space="preserve"> Porter</w:t>
      </w:r>
      <w:r>
        <w:t xml:space="preserve"> on the morning of October 7th</w:t>
      </w:r>
      <w:r>
        <w:t>, seeking</w:t>
      </w:r>
      <w:r>
        <w:t xml:space="preserve"> advice on how to </w:t>
      </w:r>
      <w:r>
        <w:t>handle the situation</w:t>
      </w:r>
      <w:r>
        <w:t>.  Porter</w:t>
      </w:r>
      <w:r>
        <w:t xml:space="preserve"> </w:t>
      </w:r>
      <w:r>
        <w:t xml:space="preserve">contacted </w:t>
      </w:r>
      <w:r>
        <w:t xml:space="preserve">Karen </w:t>
      </w:r>
      <w:proofErr w:type="spellStart"/>
      <w:r>
        <w:t>Minero</w:t>
      </w:r>
      <w:proofErr w:type="spellEnd"/>
      <w:r>
        <w:t xml:space="preserve"> </w:t>
      </w:r>
      <w:r>
        <w:t xml:space="preserve">of the </w:t>
      </w:r>
      <w:r>
        <w:t>R</w:t>
      </w:r>
      <w:r>
        <w:t xml:space="preserve">esponse </w:t>
      </w:r>
      <w:r>
        <w:t>T</w:t>
      </w:r>
      <w:r>
        <w:t>eam</w:t>
      </w:r>
      <w:r>
        <w:t xml:space="preserve">, </w:t>
      </w:r>
      <w:r>
        <w:t>who</w:t>
      </w:r>
      <w:r>
        <w:t xml:space="preserve"> expressed concern that Thompson had identified a specific student</w:t>
      </w:r>
      <w:r>
        <w:t xml:space="preserve">. </w:t>
      </w:r>
      <w:r>
        <w:t xml:space="preserve"> </w:t>
      </w:r>
      <w:proofErr w:type="spellStart"/>
      <w:r>
        <w:t>Minero</w:t>
      </w:r>
      <w:proofErr w:type="spellEnd"/>
      <w:r>
        <w:t xml:space="preserve"> forwarded Porter’s email to other </w:t>
      </w:r>
      <w:r>
        <w:t>Response Team</w:t>
      </w:r>
      <w:r>
        <w:t xml:space="preserve"> members and </w:t>
      </w:r>
      <w:r>
        <w:t xml:space="preserve">CAPS </w:t>
      </w:r>
      <w:r>
        <w:t xml:space="preserve">personnel. </w:t>
      </w:r>
      <w:r>
        <w:t xml:space="preserve"> The CAPS director </w:t>
      </w:r>
      <w:r>
        <w:t>contacted</w:t>
      </w:r>
      <w:r>
        <w:t xml:space="preserve"> Green, suggesting Thompson “</w:t>
      </w:r>
      <w:r>
        <w:t>may need urgent outreach,</w:t>
      </w:r>
      <w:r>
        <w:t>”</w:t>
      </w:r>
      <w:r>
        <w:t xml:space="preserve"> and members of the Response Team tried to schedule a meeting to discuss Thompson.  </w:t>
      </w:r>
      <w:r>
        <w:t xml:space="preserve">Thompson did not </w:t>
      </w:r>
      <w:r>
        <w:t>appear</w:t>
      </w:r>
      <w:r>
        <w:t xml:space="preserve"> for a scheduled session</w:t>
      </w:r>
      <w:r>
        <w:t xml:space="preserve"> with Green that afternoon. </w:t>
      </w:r>
      <w:r>
        <w:t xml:space="preserve"> </w:t>
      </w:r>
      <w:r>
        <w:t xml:space="preserve">The next </w:t>
      </w:r>
      <w:r>
        <w:t xml:space="preserve">morning, </w:t>
      </w:r>
      <w:r>
        <w:t xml:space="preserve">Porter and </w:t>
      </w:r>
      <w:proofErr w:type="spellStart"/>
      <w:r>
        <w:t>Mi</w:t>
      </w:r>
      <w:r>
        <w:t>nero</w:t>
      </w:r>
      <w:proofErr w:type="spellEnd"/>
      <w:r>
        <w:t xml:space="preserve"> discuss</w:t>
      </w:r>
      <w:r>
        <w:t>ed</w:t>
      </w:r>
      <w:r>
        <w:t xml:space="preserve"> Thompson and</w:t>
      </w:r>
      <w:r>
        <w:t xml:space="preserve"> decided to investigate whether</w:t>
      </w:r>
      <w:r>
        <w:t xml:space="preserve"> </w:t>
      </w:r>
      <w:r>
        <w:t>he</w:t>
      </w:r>
      <w:r>
        <w:t xml:space="preserve"> was </w:t>
      </w:r>
      <w:r>
        <w:t>h</w:t>
      </w:r>
      <w:r>
        <w:t>a</w:t>
      </w:r>
      <w:r>
        <w:t xml:space="preserve">ving similar difficulties in other classes. </w:t>
      </w:r>
    </w:p>
    <w:p w:rsidR="00723DAB" w:rsidRDefault="0012664A" w:rsidP="00723DAB">
      <w:pPr>
        <w:spacing w:line="360" w:lineRule="auto"/>
      </w:pPr>
      <w:r>
        <w:tab/>
        <w:t xml:space="preserve">Around </w:t>
      </w:r>
      <w:r>
        <w:t>noon</w:t>
      </w:r>
      <w:r>
        <w:t xml:space="preserve"> </w:t>
      </w:r>
      <w:r>
        <w:t>on</w:t>
      </w:r>
      <w:r>
        <w:t xml:space="preserve"> October 8th,</w:t>
      </w:r>
      <w:r>
        <w:t xml:space="preserve"> </w:t>
      </w:r>
      <w:r>
        <w:t xml:space="preserve">Thompson was </w:t>
      </w:r>
      <w:r>
        <w:t>doing classwork</w:t>
      </w:r>
      <w:r>
        <w:t xml:space="preserve"> in Professor </w:t>
      </w:r>
      <w:proofErr w:type="spellStart"/>
      <w:r>
        <w:t>Bacher’s</w:t>
      </w:r>
      <w:proofErr w:type="spellEnd"/>
      <w:r>
        <w:t xml:space="preserve"> </w:t>
      </w:r>
      <w:r>
        <w:t>che</w:t>
      </w:r>
      <w:r>
        <w:t>mistry laboratory.  S</w:t>
      </w:r>
      <w:r>
        <w:t>uddenly</w:t>
      </w:r>
      <w:r>
        <w:t>, without warning or provocation, he</w:t>
      </w:r>
      <w:r>
        <w:t xml:space="preserve"> </w:t>
      </w:r>
      <w:r>
        <w:t xml:space="preserve">stabbed </w:t>
      </w:r>
      <w:proofErr w:type="gramStart"/>
      <w:r>
        <w:t>fellow</w:t>
      </w:r>
      <w:r>
        <w:t xml:space="preserve"> student</w:t>
      </w:r>
      <w:proofErr w:type="gramEnd"/>
      <w:r>
        <w:t xml:space="preserve"> Katherine Rosen </w:t>
      </w:r>
      <w:r>
        <w:t xml:space="preserve">in the </w:t>
      </w:r>
      <w:r>
        <w:t xml:space="preserve">chest and </w:t>
      </w:r>
      <w:r>
        <w:t xml:space="preserve">neck </w:t>
      </w:r>
      <w:r>
        <w:t xml:space="preserve">with a kitchen knife. </w:t>
      </w:r>
      <w:r>
        <w:t xml:space="preserve"> </w:t>
      </w:r>
      <w:r>
        <w:t>Rosen</w:t>
      </w:r>
      <w:r>
        <w:t xml:space="preserve"> had been </w:t>
      </w:r>
      <w:proofErr w:type="gramStart"/>
      <w:r>
        <w:t>kneeling down</w:t>
      </w:r>
      <w:proofErr w:type="gramEnd"/>
      <w:r>
        <w:t xml:space="preserve">, placing items in her lab drawer, when Thompson attacked her from behind.  </w:t>
      </w:r>
      <w:r>
        <w:t xml:space="preserve">She </w:t>
      </w:r>
      <w:proofErr w:type="gramStart"/>
      <w:r>
        <w:t>was taken</w:t>
      </w:r>
      <w:proofErr w:type="gramEnd"/>
      <w:r>
        <w:t xml:space="preserve"> to the hospital with life-threatening injuries but ultimately survived. </w:t>
      </w:r>
      <w:r>
        <w:t xml:space="preserve"> When campus police arrived, Thompson admitted he had stabbed someone and explained that the other students had been teasing him. </w:t>
      </w:r>
      <w:r>
        <w:t xml:space="preserve"> Thompson ultimately pleaded not guilty </w:t>
      </w:r>
      <w:proofErr w:type="gramStart"/>
      <w:r>
        <w:t>by reason of</w:t>
      </w:r>
      <w:proofErr w:type="gramEnd"/>
      <w:r>
        <w:t xml:space="preserve"> insanity to a </w:t>
      </w:r>
      <w:r>
        <w:lastRenderedPageBreak/>
        <w:t>charge of attempted murder.  (Pen. Code, §§ 187, subd. (a), 664</w:t>
      </w:r>
      <w:r>
        <w:t>, 1026</w:t>
      </w:r>
      <w:r>
        <w:t>.)</w:t>
      </w:r>
      <w:r>
        <w:t xml:space="preserve">  He </w:t>
      </w:r>
      <w:proofErr w:type="gramStart"/>
      <w:r>
        <w:t>was admitted</w:t>
      </w:r>
      <w:proofErr w:type="gramEnd"/>
      <w:r>
        <w:t xml:space="preserve"> to Patton State Hospital and diagnosed with paranoid schizophrenia. </w:t>
      </w:r>
    </w:p>
    <w:p w:rsidR="00EC5F23" w:rsidRPr="00EC5F23" w:rsidRDefault="0012664A" w:rsidP="00EC5F23">
      <w:pPr>
        <w:keepNext/>
        <w:spacing w:line="360" w:lineRule="auto"/>
        <w:rPr>
          <w:i/>
        </w:rPr>
      </w:pPr>
      <w:r>
        <w:t>C.</w:t>
      </w:r>
      <w:r>
        <w:tab/>
      </w:r>
      <w:r>
        <w:rPr>
          <w:i/>
        </w:rPr>
        <w:t>Procedural History</w:t>
      </w:r>
    </w:p>
    <w:p w:rsidR="006409BB" w:rsidRDefault="0012664A" w:rsidP="007C5729">
      <w:pPr>
        <w:spacing w:line="360" w:lineRule="auto"/>
      </w:pPr>
      <w:r>
        <w:tab/>
      </w:r>
      <w:r>
        <w:t xml:space="preserve">Rosen </w:t>
      </w:r>
      <w:r>
        <w:t>sued</w:t>
      </w:r>
      <w:r>
        <w:t xml:space="preserve"> Thompson, the Regents of the Universi</w:t>
      </w:r>
      <w:r>
        <w:t>ty of California</w:t>
      </w:r>
      <w:r>
        <w:t>,</w:t>
      </w:r>
      <w:r>
        <w:t xml:space="preserve"> and several UCLA employees, including Alfred </w:t>
      </w:r>
      <w:proofErr w:type="spellStart"/>
      <w:r>
        <w:t>Bacher</w:t>
      </w:r>
      <w:proofErr w:type="spellEnd"/>
      <w:r>
        <w:t>, Cary Porter, Robert Naples</w:t>
      </w:r>
      <w:r>
        <w:t>,</w:t>
      </w:r>
      <w:r>
        <w:t xml:space="preserve"> and CAPS psychologist Nicole Green. </w:t>
      </w:r>
      <w:r>
        <w:t xml:space="preserve"> </w:t>
      </w:r>
      <w:r>
        <w:t>The complaint alleged a single cause of action against the UCLA defendants</w:t>
      </w:r>
      <w:r>
        <w:rPr>
          <w:rStyle w:val="FootnoteReference"/>
        </w:rPr>
        <w:footnoteReference w:id="2"/>
      </w:r>
      <w:r>
        <w:t xml:space="preserve"> </w:t>
      </w:r>
      <w:r>
        <w:t xml:space="preserve">for negligence.  </w:t>
      </w:r>
      <w:r>
        <w:t xml:space="preserve">Rosen alleged UCLA had a </w:t>
      </w:r>
      <w:r>
        <w:t>sp</w:t>
      </w:r>
      <w:r>
        <w:t>ecial relationship with</w:t>
      </w:r>
      <w:r>
        <w:t xml:space="preserve"> her as an enrolled student</w:t>
      </w:r>
      <w:r>
        <w:t xml:space="preserve">, </w:t>
      </w:r>
      <w:r>
        <w:t>which entailed a duty</w:t>
      </w:r>
      <w:r>
        <w:t xml:space="preserve"> </w:t>
      </w:r>
      <w:r>
        <w:t>“</w:t>
      </w:r>
      <w:r>
        <w:t>to take reasonable protective measures to ensure her safety against violent attacks and otherwise protect her from reasonable foreseeable criminal conduct, to warn her as to such re</w:t>
      </w:r>
      <w:r>
        <w:t>asonable foreseeable criminal conduct on its campus and in its building</w:t>
      </w:r>
      <w:r>
        <w:t>s,</w:t>
      </w:r>
      <w:r>
        <w:t xml:space="preserve"> </w:t>
      </w:r>
      <w:r>
        <w:t>and/or to control the reasonably</w:t>
      </w:r>
      <w:r>
        <w:t xml:space="preserve"> foreseeable wrongful acts of </w:t>
      </w:r>
      <w:r>
        <w:t xml:space="preserve">third parties/other students.” </w:t>
      </w:r>
      <w:r>
        <w:t xml:space="preserve"> She alleged UCLA </w:t>
      </w:r>
      <w:r>
        <w:t>breached this duty because, although</w:t>
      </w:r>
      <w:r>
        <w:t xml:space="preserve"> aware of Thompson’s </w:t>
      </w:r>
      <w:r>
        <w:t>“</w:t>
      </w:r>
      <w:r>
        <w:t>dangerous pro</w:t>
      </w:r>
      <w:r>
        <w:t>pensities</w:t>
      </w:r>
      <w:r>
        <w:t>,</w:t>
      </w:r>
      <w:r>
        <w:t>”</w:t>
      </w:r>
      <w:r>
        <w:t xml:space="preserve"> it failed to warn or protect her or to control Thompson’s foreseeably violent conduct.</w:t>
      </w:r>
      <w:r>
        <w:t xml:space="preserve"> </w:t>
      </w:r>
    </w:p>
    <w:p w:rsidR="00457C52" w:rsidRDefault="0012664A" w:rsidP="007C5729">
      <w:pPr>
        <w:spacing w:line="360" w:lineRule="auto"/>
      </w:pPr>
      <w:r>
        <w:tab/>
      </w:r>
      <w:r>
        <w:t>UCLA moved for summary judgment on three alternative grounds</w:t>
      </w:r>
      <w:proofErr w:type="gramStart"/>
      <w:r>
        <w:t>:  (</w:t>
      </w:r>
      <w:proofErr w:type="gramEnd"/>
      <w:r>
        <w:t>1)</w:t>
      </w:r>
      <w:r>
        <w:t> </w:t>
      </w:r>
      <w:r>
        <w:t xml:space="preserve">colleges have no duty to protect </w:t>
      </w:r>
      <w:r>
        <w:t xml:space="preserve">their adult students </w:t>
      </w:r>
      <w:r>
        <w:t>from criminal acts</w:t>
      </w:r>
      <w:r>
        <w:t>; (2)</w:t>
      </w:r>
      <w:r>
        <w:t> </w:t>
      </w:r>
      <w:r>
        <w:t xml:space="preserve">if a duty does exist, UCLA did not </w:t>
      </w:r>
      <w:r>
        <w:t>breach it in this case; and (3) </w:t>
      </w:r>
      <w:r>
        <w:t>UCLA and Green were</w:t>
      </w:r>
      <w:r>
        <w:t xml:space="preserve"> immune from liability under </w:t>
      </w:r>
      <w:r>
        <w:t>certain</w:t>
      </w:r>
      <w:r>
        <w:t xml:space="preserve"> Government Code </w:t>
      </w:r>
      <w:r>
        <w:t>provisions</w:t>
      </w:r>
      <w:r>
        <w:t>.</w:t>
      </w:r>
      <w:r>
        <w:t xml:space="preserve"> </w:t>
      </w:r>
      <w:r>
        <w:t xml:space="preserve"> In opposing the motion,</w:t>
      </w:r>
      <w:r>
        <w:t xml:space="preserve"> </w:t>
      </w:r>
      <w:r>
        <w:t xml:space="preserve">Rosen </w:t>
      </w:r>
      <w:r>
        <w:t xml:space="preserve">argued UCLA owed her a duty of care because </w:t>
      </w:r>
      <w:r>
        <w:t>colleges have a special relati</w:t>
      </w:r>
      <w:r>
        <w:t>onship with students in the classroom</w:t>
      </w:r>
      <w:r>
        <w:t>,</w:t>
      </w:r>
      <w:r>
        <w:t xml:space="preserve"> based </w:t>
      </w:r>
      <w:r>
        <w:t xml:space="preserve">on their supervisory duties and the students’ status as business invitees. </w:t>
      </w:r>
      <w:r>
        <w:t xml:space="preserve"> Rosen also claimed UCLA assumed a duty of care by undertaking to provide campus-wide security. </w:t>
      </w:r>
    </w:p>
    <w:p w:rsidR="00F16AF8" w:rsidRDefault="0012664A" w:rsidP="007C5729">
      <w:pPr>
        <w:spacing w:line="360" w:lineRule="auto"/>
      </w:pPr>
      <w:r>
        <w:lastRenderedPageBreak/>
        <w:tab/>
      </w:r>
      <w:r>
        <w:t xml:space="preserve">The trial court </w:t>
      </w:r>
      <w:r>
        <w:t>denied the motion.  Th</w:t>
      </w:r>
      <w:r>
        <w:t xml:space="preserve">e court </w:t>
      </w:r>
      <w:r>
        <w:t>concluded</w:t>
      </w:r>
      <w:r>
        <w:t xml:space="preserve"> a duty could exist under each of the grounds Rosen identified, triable issues of fact remained </w:t>
      </w:r>
      <w:r>
        <w:t xml:space="preserve">as to breach of </w:t>
      </w:r>
      <w:r>
        <w:t>duty</w:t>
      </w:r>
      <w:r>
        <w:t xml:space="preserve">, and </w:t>
      </w:r>
      <w:r>
        <w:t xml:space="preserve">the immunity statutes did not apply. </w:t>
      </w:r>
      <w:r>
        <w:t xml:space="preserve"> </w:t>
      </w:r>
    </w:p>
    <w:p w:rsidR="00A66E59" w:rsidRDefault="0012664A" w:rsidP="007C5729">
      <w:pPr>
        <w:spacing w:line="360" w:lineRule="auto"/>
      </w:pPr>
      <w:r>
        <w:tab/>
      </w:r>
      <w:r>
        <w:t>UCLA challenged this order in a petition for writ of mandate.  A divided pane</w:t>
      </w:r>
      <w:r>
        <w:t>l of the Court of Appeal granted the petition.</w:t>
      </w:r>
      <w:r>
        <w:t xml:space="preserve">  The majority </w:t>
      </w:r>
      <w:r>
        <w:t xml:space="preserve">held that UCLA owed no duty to protect Rosen based on her status as a student or business invitee, or based on the negligent undertaking doctrine. </w:t>
      </w:r>
      <w:r>
        <w:t xml:space="preserve"> </w:t>
      </w:r>
      <w:r>
        <w:t>It also rejected Rosen’s</w:t>
      </w:r>
      <w:r>
        <w:t xml:space="preserve"> new </w:t>
      </w:r>
      <w:r>
        <w:t xml:space="preserve">theories </w:t>
      </w:r>
      <w:r>
        <w:t>of duty b</w:t>
      </w:r>
      <w:r>
        <w:t xml:space="preserve">ased on implied-in-fact contract and labor laws regarding violence in the workplace.  </w:t>
      </w:r>
      <w:r>
        <w:t>The dissenting justice</w:t>
      </w:r>
      <w:r>
        <w:t xml:space="preserve"> </w:t>
      </w:r>
      <w:r>
        <w:t>would have held that colleges have a special relationship with their enrolled students, “at least when</w:t>
      </w:r>
      <w:r>
        <w:t xml:space="preserve"> </w:t>
      </w:r>
      <w:r>
        <w:t xml:space="preserve">the student is in </w:t>
      </w:r>
      <w:r>
        <w:t>a</w:t>
      </w:r>
      <w:r>
        <w:t xml:space="preserve"> classroom under the dire</w:t>
      </w:r>
      <w:r>
        <w:t>ct supervision of an instructor,” and have a corresponding duty to protect against foreseeable threats of violence in the classroom.</w:t>
      </w:r>
      <w:r>
        <w:t xml:space="preserve">  </w:t>
      </w:r>
      <w:r>
        <w:t>We granted review.</w:t>
      </w:r>
    </w:p>
    <w:p w:rsidR="009E55B7" w:rsidRPr="009E55B7" w:rsidRDefault="0012664A" w:rsidP="009E55B7">
      <w:pPr>
        <w:keepNext/>
        <w:tabs>
          <w:tab w:val="left" w:pos="1440"/>
        </w:tabs>
        <w:spacing w:line="360" w:lineRule="auto"/>
        <w:jc w:val="center"/>
        <w:rPr>
          <w:caps/>
        </w:rPr>
      </w:pPr>
      <w:r>
        <w:rPr>
          <w:caps/>
        </w:rPr>
        <w:t xml:space="preserve">II.  </w:t>
      </w:r>
      <w:r w:rsidRPr="002B59AE">
        <w:rPr>
          <w:caps/>
        </w:rPr>
        <w:t>DISCUSSION</w:t>
      </w:r>
    </w:p>
    <w:p w:rsidR="00B8471A" w:rsidRPr="00B8471A" w:rsidRDefault="0012664A" w:rsidP="00B8471A">
      <w:pPr>
        <w:keepNext/>
        <w:spacing w:line="360" w:lineRule="auto"/>
        <w:rPr>
          <w:i/>
        </w:rPr>
      </w:pPr>
      <w:r>
        <w:t>A.</w:t>
      </w:r>
      <w:r>
        <w:tab/>
      </w:r>
      <w:r>
        <w:rPr>
          <w:i/>
        </w:rPr>
        <w:t>Standard of Review</w:t>
      </w:r>
    </w:p>
    <w:p w:rsidR="00655CEC" w:rsidRDefault="0012664A" w:rsidP="00655CEC">
      <w:pPr>
        <w:spacing w:line="360" w:lineRule="auto"/>
      </w:pPr>
      <w:r>
        <w:tab/>
      </w:r>
      <w:r>
        <w:t>“On review of</w:t>
      </w:r>
      <w:r w:rsidRPr="00715CFF">
        <w:t xml:space="preserve"> an order granting or denying summary judgment, we examine the facts presented to the trial court and determine their effect as a matter of law.” </w:t>
      </w:r>
      <w:r>
        <w:t xml:space="preserve"> </w:t>
      </w:r>
      <w:r w:rsidRPr="00715CFF">
        <w:t>(</w:t>
      </w:r>
      <w:r w:rsidRPr="00715CFF">
        <w:rPr>
          <w:i/>
        </w:rPr>
        <w:t>Parsons v. Crown Disposal Co.</w:t>
      </w:r>
      <w:r>
        <w:t xml:space="preserve"> (1997) 15 Cal.4th 456, 464 (</w:t>
      </w:r>
      <w:r>
        <w:rPr>
          <w:i/>
        </w:rPr>
        <w:t>Parsons</w:t>
      </w:r>
      <w:r>
        <w:t xml:space="preserve">).)  </w:t>
      </w:r>
      <w:r>
        <w:t>We review the entire record, “</w:t>
      </w:r>
      <w:r w:rsidRPr="002C1857">
        <w:t>consider</w:t>
      </w:r>
      <w:r w:rsidRPr="002C1857">
        <w:t>ing all the evidence set forth in the moving and opposition papers except that to which objections have been made and sustained.</w:t>
      </w:r>
      <w:r>
        <w:t>”  (</w:t>
      </w:r>
      <w:proofErr w:type="spellStart"/>
      <w:r>
        <w:rPr>
          <w:i/>
        </w:rPr>
        <w:t>Guz</w:t>
      </w:r>
      <w:proofErr w:type="spellEnd"/>
      <w:r>
        <w:rPr>
          <w:i/>
        </w:rPr>
        <w:t xml:space="preserve"> v. Bechtel National</w:t>
      </w:r>
      <w:r>
        <w:rPr>
          <w:i/>
        </w:rPr>
        <w:t>,</w:t>
      </w:r>
      <w:r>
        <w:rPr>
          <w:i/>
        </w:rPr>
        <w:t xml:space="preserve"> Inc.</w:t>
      </w:r>
      <w:r>
        <w:t xml:space="preserve"> (2000) 24 Cal.4th 317, 334.)  Evidence presented in opposition to summary judgment </w:t>
      </w:r>
      <w:r>
        <w:t>is</w:t>
      </w:r>
      <w:r>
        <w:t xml:space="preserve"> </w:t>
      </w:r>
      <w:r>
        <w:t>liberall</w:t>
      </w:r>
      <w:r>
        <w:t>y construe</w:t>
      </w:r>
      <w:r>
        <w:t xml:space="preserve">d, </w:t>
      </w:r>
      <w:r>
        <w:t>with</w:t>
      </w:r>
      <w:r>
        <w:t xml:space="preserve"> any</w:t>
      </w:r>
      <w:r>
        <w:t xml:space="preserve"> doubts </w:t>
      </w:r>
      <w:r>
        <w:t>about</w:t>
      </w:r>
      <w:r>
        <w:t xml:space="preserve"> the evidence </w:t>
      </w:r>
      <w:r>
        <w:t xml:space="preserve">resolved </w:t>
      </w:r>
      <w:r>
        <w:t xml:space="preserve">in favor of </w:t>
      </w:r>
      <w:r>
        <w:t xml:space="preserve">the party opposing </w:t>
      </w:r>
      <w:r>
        <w:t>the motion</w:t>
      </w:r>
      <w:r>
        <w:t>.</w:t>
      </w:r>
      <w:r>
        <w:t xml:space="preserve"> </w:t>
      </w:r>
      <w:r>
        <w:t xml:space="preserve"> </w:t>
      </w:r>
      <w:r>
        <w:t>(</w:t>
      </w:r>
      <w:proofErr w:type="spellStart"/>
      <w:r w:rsidRPr="00715CFF">
        <w:rPr>
          <w:i/>
        </w:rPr>
        <w:t>Yanowitz</w:t>
      </w:r>
      <w:proofErr w:type="spellEnd"/>
      <w:r w:rsidRPr="00715CFF">
        <w:rPr>
          <w:i/>
        </w:rPr>
        <w:t xml:space="preserve"> v. </w:t>
      </w:r>
      <w:proofErr w:type="spellStart"/>
      <w:r w:rsidRPr="00715CFF">
        <w:rPr>
          <w:i/>
        </w:rPr>
        <w:t>L</w:t>
      </w:r>
      <w:r w:rsidRPr="00715CFF">
        <w:rPr>
          <w:i/>
        </w:rPr>
        <w:t>’</w:t>
      </w:r>
      <w:r w:rsidRPr="00715CFF">
        <w:rPr>
          <w:i/>
        </w:rPr>
        <w:t>Oreal</w:t>
      </w:r>
      <w:proofErr w:type="spellEnd"/>
      <w:r w:rsidRPr="00715CFF">
        <w:rPr>
          <w:i/>
        </w:rPr>
        <w:t xml:space="preserve"> USA, Inc.</w:t>
      </w:r>
      <w:r>
        <w:t xml:space="preserve"> (2005) 36 Cal.4th 1028, 1037</w:t>
      </w:r>
      <w:r>
        <w:t>.)</w:t>
      </w:r>
    </w:p>
    <w:p w:rsidR="00F67E44" w:rsidRDefault="0012664A" w:rsidP="00B8471A">
      <w:pPr>
        <w:spacing w:line="360" w:lineRule="auto"/>
      </w:pPr>
      <w:r>
        <w:tab/>
        <w:t>S</w:t>
      </w:r>
      <w:r>
        <w:t xml:space="preserve">ummary judgment </w:t>
      </w:r>
      <w:r>
        <w:t>is appropriate</w:t>
      </w:r>
      <w:r>
        <w:t xml:space="preserve"> only</w:t>
      </w:r>
      <w:r>
        <w:t xml:space="preserve"> “</w:t>
      </w:r>
      <w:r>
        <w:t xml:space="preserve">where </w:t>
      </w:r>
      <w:r w:rsidRPr="00FC1CBC">
        <w:t>no</w:t>
      </w:r>
      <w:r>
        <w:t xml:space="preserve"> triable issue of material fact exists and the</w:t>
      </w:r>
      <w:r>
        <w:t xml:space="preserve"> moving party is entitled to judgment as a matter of law.” (</w:t>
      </w:r>
      <w:r w:rsidRPr="00576874">
        <w:rPr>
          <w:i/>
        </w:rPr>
        <w:t xml:space="preserve">Merrill v. </w:t>
      </w:r>
      <w:proofErr w:type="spellStart"/>
      <w:r w:rsidRPr="00576874">
        <w:rPr>
          <w:i/>
        </w:rPr>
        <w:t>Navegar</w:t>
      </w:r>
      <w:proofErr w:type="spellEnd"/>
      <w:r w:rsidRPr="00576874">
        <w:rPr>
          <w:i/>
        </w:rPr>
        <w:t>, Inc.</w:t>
      </w:r>
      <w:r>
        <w:t xml:space="preserve"> (2001) 26 Cal.4th 465, 476</w:t>
      </w:r>
      <w:r>
        <w:t xml:space="preserve">.) </w:t>
      </w:r>
      <w:r>
        <w:t xml:space="preserve"> </w:t>
      </w:r>
      <w:r>
        <w:t>A defendant seeking summary judgment</w:t>
      </w:r>
      <w:r>
        <w:t xml:space="preserve"> must show that the plaintiff cannot establish at least one element of </w:t>
      </w:r>
      <w:r>
        <w:t>the</w:t>
      </w:r>
      <w:r>
        <w:t xml:space="preserve"> cause of action.  (</w:t>
      </w:r>
      <w:r>
        <w:rPr>
          <w:i/>
        </w:rPr>
        <w:t xml:space="preserve">Aguilar v. </w:t>
      </w:r>
      <w:r>
        <w:rPr>
          <w:i/>
        </w:rPr>
        <w:t>Atlantic Richfield Co.</w:t>
      </w:r>
      <w:r>
        <w:t xml:space="preserve"> (2001) 25 </w:t>
      </w:r>
      <w:r>
        <w:lastRenderedPageBreak/>
        <w:t>Cal.4th 826, 853.)</w:t>
      </w:r>
      <w:r>
        <w:t xml:space="preserve">  </w:t>
      </w:r>
      <w:r>
        <w:t xml:space="preserve">Rosen’s negligence suit </w:t>
      </w:r>
      <w:r>
        <w:t xml:space="preserve">required her to prove </w:t>
      </w:r>
      <w:r>
        <w:t xml:space="preserve">duty, breach, causation, and damages. </w:t>
      </w:r>
      <w:r>
        <w:t xml:space="preserve"> </w:t>
      </w:r>
      <w:r>
        <w:t>(</w:t>
      </w:r>
      <w:r>
        <w:rPr>
          <w:i/>
        </w:rPr>
        <w:t>Conroy v. Regents of University of Cal</w:t>
      </w:r>
      <w:r>
        <w:rPr>
          <w:i/>
        </w:rPr>
        <w:t>ifornia</w:t>
      </w:r>
      <w:r>
        <w:t xml:space="preserve"> (2009) 45 Cal.4th 1244, 1250.)</w:t>
      </w:r>
      <w:r>
        <w:t xml:space="preserve">  </w:t>
      </w:r>
      <w:r>
        <w:t>T</w:t>
      </w:r>
      <w:r>
        <w:t xml:space="preserve">he Court of Appeal </w:t>
      </w:r>
      <w:r>
        <w:t>determined</w:t>
      </w:r>
      <w:r>
        <w:t xml:space="preserve"> </w:t>
      </w:r>
      <w:r>
        <w:t xml:space="preserve">summary judgment should have </w:t>
      </w:r>
      <w:proofErr w:type="gramStart"/>
      <w:r>
        <w:t>been granted</w:t>
      </w:r>
      <w:proofErr w:type="gramEnd"/>
      <w:r>
        <w:t xml:space="preserve"> because </w:t>
      </w:r>
      <w:r>
        <w:t>Rosen</w:t>
      </w:r>
      <w:r>
        <w:t xml:space="preserve"> could not </w:t>
      </w:r>
      <w:r>
        <w:t xml:space="preserve">establish duty. </w:t>
      </w:r>
      <w:r>
        <w:t xml:space="preserve"> </w:t>
      </w:r>
      <w:r>
        <w:t>“</w:t>
      </w:r>
      <w:r w:rsidRPr="00F67E44">
        <w:t>Duty, being a question of law, is particularly amenable to r</w:t>
      </w:r>
      <w:r>
        <w:t>esolution by summary judgment.”  (</w:t>
      </w:r>
      <w:r>
        <w:rPr>
          <w:i/>
        </w:rPr>
        <w:t>Parsons</w:t>
      </w:r>
      <w:r>
        <w:t xml:space="preserve">, </w:t>
      </w:r>
      <w:r>
        <w:rPr>
          <w:i/>
        </w:rPr>
        <w:t>supra</w:t>
      </w:r>
      <w:r>
        <w:t xml:space="preserve">, 15 Cal.4th at p. 465.)  </w:t>
      </w:r>
      <w:r>
        <w:t>Contrary to the Court of Appeal, howev</w:t>
      </w:r>
      <w:r>
        <w:t xml:space="preserve">er, we conclude </w:t>
      </w:r>
      <w:r>
        <w:t xml:space="preserve">universities </w:t>
      </w:r>
      <w:r w:rsidRPr="00830F40">
        <w:rPr>
          <w:i/>
        </w:rPr>
        <w:t>do</w:t>
      </w:r>
      <w:r>
        <w:t xml:space="preserve"> have a legal duty, under certain circumstances, to protect</w:t>
      </w:r>
      <w:r>
        <w:t xml:space="preserve"> or warn</w:t>
      </w:r>
      <w:r>
        <w:rPr>
          <w:rStyle w:val="FootnoteReference"/>
        </w:rPr>
        <w:footnoteReference w:id="3"/>
      </w:r>
      <w:r>
        <w:t xml:space="preserve"> their students from </w:t>
      </w:r>
      <w:r>
        <w:t xml:space="preserve">foreseeable </w:t>
      </w:r>
      <w:r>
        <w:t>violen</w:t>
      </w:r>
      <w:r>
        <w:t>ce</w:t>
      </w:r>
      <w:r>
        <w:t xml:space="preserve"> </w:t>
      </w:r>
      <w:r>
        <w:t xml:space="preserve">in the </w:t>
      </w:r>
      <w:r>
        <w:t>classroom</w:t>
      </w:r>
      <w:r>
        <w:t xml:space="preserve"> or during curricular activities</w:t>
      </w:r>
      <w:r>
        <w:t xml:space="preserve">.  </w:t>
      </w:r>
      <w:r>
        <w:t>The trial court</w:t>
      </w:r>
      <w:r>
        <w:t xml:space="preserve"> properly denied </w:t>
      </w:r>
      <w:r>
        <w:t xml:space="preserve">summary judgment </w:t>
      </w:r>
      <w:r>
        <w:t>on this ground.</w:t>
      </w:r>
    </w:p>
    <w:p w:rsidR="00B43F7C" w:rsidRDefault="0012664A" w:rsidP="000B006E">
      <w:pPr>
        <w:keepNext/>
        <w:spacing w:line="360" w:lineRule="auto"/>
      </w:pPr>
      <w:r>
        <w:t>B.</w:t>
      </w:r>
      <w:r>
        <w:tab/>
      </w:r>
      <w:r>
        <w:rPr>
          <w:i/>
        </w:rPr>
        <w:t xml:space="preserve">A College’s </w:t>
      </w:r>
      <w:r w:rsidRPr="000B006E">
        <w:rPr>
          <w:i/>
        </w:rPr>
        <w:t>Duty</w:t>
      </w:r>
      <w:r>
        <w:rPr>
          <w:i/>
        </w:rPr>
        <w:t xml:space="preserve"> to Protect Students from Foreseeable Harm</w:t>
      </w:r>
    </w:p>
    <w:p w:rsidR="000B006E" w:rsidRDefault="0012664A" w:rsidP="008F4F89">
      <w:pPr>
        <w:spacing w:line="360" w:lineRule="auto"/>
      </w:pPr>
      <w:r>
        <w:tab/>
      </w:r>
      <w:r>
        <w:t xml:space="preserve">Because UCLA is a public entity, its exposure to tort liability </w:t>
      </w:r>
      <w:proofErr w:type="gramStart"/>
      <w:r>
        <w:t>is nominally defined</w:t>
      </w:r>
      <w:proofErr w:type="gramEnd"/>
      <w:r>
        <w:t xml:space="preserve"> by statute.  (Gov. Code</w:t>
      </w:r>
      <w:r>
        <w:t>,</w:t>
      </w:r>
      <w:r>
        <w:t xml:space="preserve"> § 815, subd. (a)</w:t>
      </w:r>
      <w:r>
        <w:t xml:space="preserve">; </w:t>
      </w:r>
      <w:r>
        <w:rPr>
          <w:i/>
        </w:rPr>
        <w:t xml:space="preserve">C.A. v. William S. Hart Union </w:t>
      </w:r>
      <w:r>
        <w:rPr>
          <w:i/>
        </w:rPr>
        <w:t xml:space="preserve">High </w:t>
      </w:r>
      <w:r>
        <w:rPr>
          <w:i/>
        </w:rPr>
        <w:t>Sch</w:t>
      </w:r>
      <w:r>
        <w:rPr>
          <w:i/>
        </w:rPr>
        <w:t>ool</w:t>
      </w:r>
      <w:r>
        <w:rPr>
          <w:i/>
        </w:rPr>
        <w:t xml:space="preserve"> Dist.</w:t>
      </w:r>
      <w:r>
        <w:t xml:space="preserve"> (2012) 53 Cal.4th 861, 868 (</w:t>
      </w:r>
      <w:r>
        <w:rPr>
          <w:i/>
        </w:rPr>
        <w:t>William S. Hart</w:t>
      </w:r>
      <w:r>
        <w:t>)</w:t>
      </w:r>
      <w:r>
        <w:t xml:space="preserve">.)  However, the Tort Claims Act </w:t>
      </w:r>
      <w:r>
        <w:t>provides that public employees are liable for their acts and omissions</w:t>
      </w:r>
      <w:r>
        <w:t xml:space="preserve"> “to the same extent as </w:t>
      </w:r>
      <w:r>
        <w:t xml:space="preserve">a </w:t>
      </w:r>
      <w:r>
        <w:t>private person” (Gov. Code, § 820, subd. (a)), and public entity employers are vic</w:t>
      </w:r>
      <w:r>
        <w:t>ariously liable for employees’ negligent acts within the scope of their employment</w:t>
      </w:r>
      <w:r>
        <w:t xml:space="preserve"> to the same extent as private employers</w:t>
      </w:r>
      <w:r>
        <w:t xml:space="preserve"> (Gov. Code, § 815.2, subd. (a)</w:t>
      </w:r>
      <w:r>
        <w:t xml:space="preserve">; </w:t>
      </w:r>
      <w:r>
        <w:rPr>
          <w:i/>
        </w:rPr>
        <w:t>William S. Hart</w:t>
      </w:r>
      <w:r>
        <w:t>, at p. 868</w:t>
      </w:r>
      <w:r>
        <w:t xml:space="preserve">).  </w:t>
      </w:r>
      <w:r>
        <w:t>B</w:t>
      </w:r>
      <w:r>
        <w:t>ecause it is undisputed</w:t>
      </w:r>
      <w:r>
        <w:t xml:space="preserve"> that</w:t>
      </w:r>
      <w:r>
        <w:t xml:space="preserve"> all university employees </w:t>
      </w:r>
      <w:r>
        <w:t xml:space="preserve">here </w:t>
      </w:r>
      <w:r>
        <w:t>were acting</w:t>
      </w:r>
      <w:r>
        <w:t xml:space="preserve"> within the scope of their employment, UCLA’s potential liability </w:t>
      </w:r>
      <w:r>
        <w:t xml:space="preserve">therefore </w:t>
      </w:r>
      <w:r>
        <w:t>“turns on ordinary and general principles of tort law.”  (</w:t>
      </w:r>
      <w:proofErr w:type="spellStart"/>
      <w:r>
        <w:rPr>
          <w:i/>
        </w:rPr>
        <w:t>Lugtu</w:t>
      </w:r>
      <w:proofErr w:type="spellEnd"/>
      <w:r>
        <w:rPr>
          <w:i/>
        </w:rPr>
        <w:t xml:space="preserve"> v. California Highway Patrol</w:t>
      </w:r>
      <w:r>
        <w:t xml:space="preserve"> (2001) 26 Cal.4th 703, 716.)</w:t>
      </w:r>
    </w:p>
    <w:p w:rsidR="0072353F" w:rsidRDefault="0012664A" w:rsidP="007E02E6">
      <w:pPr>
        <w:spacing w:line="360" w:lineRule="auto"/>
      </w:pPr>
      <w:r>
        <w:lastRenderedPageBreak/>
        <w:tab/>
      </w:r>
      <w:r>
        <w:t>In general, e</w:t>
      </w:r>
      <w:r>
        <w:t>ach person has a duty to act with reasonable</w:t>
      </w:r>
      <w:r>
        <w:t xml:space="preserve"> care under the circumstances.  (</w:t>
      </w:r>
      <w:r w:rsidRPr="00957B63">
        <w:rPr>
          <w:i/>
        </w:rPr>
        <w:t>Cabral v. Ralphs Grocery Co.</w:t>
      </w:r>
      <w:r>
        <w:t xml:space="preserve"> (2011) 51 Cal.4th 764, 771 (</w:t>
      </w:r>
      <w:r>
        <w:rPr>
          <w:i/>
        </w:rPr>
        <w:t>Cabral</w:t>
      </w:r>
      <w:r>
        <w:t xml:space="preserve">); see Civ. Code, § 1714, subd. (a).)  </w:t>
      </w:r>
      <w:r>
        <w:t>H</w:t>
      </w:r>
      <w:r>
        <w:t>owever,</w:t>
      </w:r>
      <w:r>
        <w:t xml:space="preserve"> “one owes no duty to control the conduct of another, nor to warn those endangered by such conduct.</w:t>
      </w:r>
      <w:r>
        <w:t xml:space="preserve">” </w:t>
      </w:r>
      <w:r>
        <w:t xml:space="preserve"> </w:t>
      </w:r>
      <w:r>
        <w:t>(</w:t>
      </w:r>
      <w:r w:rsidRPr="00523656">
        <w:rPr>
          <w:i/>
        </w:rPr>
        <w:t>Davidson v</w:t>
      </w:r>
      <w:r w:rsidRPr="00523656">
        <w:rPr>
          <w:i/>
        </w:rPr>
        <w:t>. City of Westminster</w:t>
      </w:r>
      <w:r>
        <w:t xml:space="preserve"> (1982) 32 Cal.3d 197, 203</w:t>
      </w:r>
      <w:r>
        <w:t xml:space="preserve"> (</w:t>
      </w:r>
      <w:r w:rsidRPr="00AA6162">
        <w:rPr>
          <w:i/>
        </w:rPr>
        <w:t>Davidson</w:t>
      </w:r>
      <w:r>
        <w:t>)</w:t>
      </w:r>
      <w:r>
        <w:t>.)</w:t>
      </w:r>
      <w:r>
        <w:t xml:space="preserve">  </w:t>
      </w:r>
      <w:r>
        <w:t xml:space="preserve">“A person who has not created a peril is not liable in tort merely for failure to take affirmative action to assist or protect another unless there is some relationship between them which gives </w:t>
      </w:r>
      <w:r>
        <w:t>rise to a duty to act.”  (</w:t>
      </w:r>
      <w:r w:rsidRPr="007E02E6">
        <w:rPr>
          <w:i/>
        </w:rPr>
        <w:t>Williams v. State of California</w:t>
      </w:r>
      <w:r>
        <w:t xml:space="preserve"> (1983) 34 Cal.3d 18, 23</w:t>
      </w:r>
      <w:r>
        <w:t xml:space="preserve">; see </w:t>
      </w:r>
      <w:r>
        <w:rPr>
          <w:i/>
        </w:rPr>
        <w:t>Cabral</w:t>
      </w:r>
      <w:r>
        <w:t>, at p. 771</w:t>
      </w:r>
      <w:r>
        <w:t>.)</w:t>
      </w:r>
    </w:p>
    <w:p w:rsidR="00DA30C9" w:rsidRDefault="0012664A" w:rsidP="007E02E6">
      <w:pPr>
        <w:spacing w:line="360" w:lineRule="auto"/>
      </w:pPr>
      <w:r>
        <w:tab/>
      </w:r>
      <w:r>
        <w:t xml:space="preserve">A duty </w:t>
      </w:r>
      <w:r>
        <w:t>to control, warn, or protect</w:t>
      </w:r>
      <w:r>
        <w:t xml:space="preserve"> may be based on</w:t>
      </w:r>
      <w:r>
        <w:t xml:space="preserve"> the defendant</w:t>
      </w:r>
      <w:r>
        <w:t xml:space="preserve">’s </w:t>
      </w:r>
      <w:r>
        <w:t xml:space="preserve">relationship with </w:t>
      </w:r>
      <w:r>
        <w:t>“either the person whose conduct needs to be controlled</w:t>
      </w:r>
      <w:r>
        <w:t xml:space="preserve"> or</w:t>
      </w:r>
      <w:r>
        <w:t xml:space="preserve"> </w:t>
      </w:r>
      <w:r>
        <w:t>[with</w:t>
      </w:r>
      <w:proofErr w:type="gramStart"/>
      <w:r>
        <w:t xml:space="preserve">] </w:t>
      </w:r>
      <w:r>
        <w:t>.</w:t>
      </w:r>
      <w:proofErr w:type="gramEnd"/>
      <w:r>
        <w:t> . . the foreseeable victim of that conduct.”</w:t>
      </w:r>
      <w:r>
        <w:t xml:space="preserve">  (</w:t>
      </w:r>
      <w:proofErr w:type="spellStart"/>
      <w:r>
        <w:rPr>
          <w:i/>
        </w:rPr>
        <w:t>Tarasoff</w:t>
      </w:r>
      <w:proofErr w:type="spellEnd"/>
      <w:r>
        <w:t xml:space="preserve">, </w:t>
      </w:r>
      <w:r>
        <w:rPr>
          <w:i/>
        </w:rPr>
        <w:t>supra</w:t>
      </w:r>
      <w:r>
        <w:t xml:space="preserve">, </w:t>
      </w:r>
      <w:r>
        <w:t xml:space="preserve">17 Cal.3d </w:t>
      </w:r>
      <w:r>
        <w:t>at p. 435</w:t>
      </w:r>
      <w:r>
        <w:t xml:space="preserve">; see </w:t>
      </w:r>
      <w:r>
        <w:rPr>
          <w:i/>
        </w:rPr>
        <w:t>Davidson</w:t>
      </w:r>
      <w:r>
        <w:t>,</w:t>
      </w:r>
      <w:r>
        <w:t xml:space="preserve"> </w:t>
      </w:r>
      <w:r w:rsidRPr="00AA6162">
        <w:rPr>
          <w:i/>
        </w:rPr>
        <w:t>supra</w:t>
      </w:r>
      <w:r>
        <w:t>, 32 Cal.3d</w:t>
      </w:r>
      <w:r>
        <w:t xml:space="preserve"> at p. 203</w:t>
      </w:r>
      <w:r>
        <w:t>.)</w:t>
      </w:r>
      <w:r>
        <w:t xml:space="preserve">  Specifically, a duty to control may arise if the defendant has a special relationship with the</w:t>
      </w:r>
      <w:r>
        <w:t xml:space="preserve"> foreseeably</w:t>
      </w:r>
      <w:r>
        <w:t xml:space="preserve"> dangerous p</w:t>
      </w:r>
      <w:r>
        <w:t xml:space="preserve">erson </w:t>
      </w:r>
      <w:r>
        <w:t>that entails an</w:t>
      </w:r>
      <w:r>
        <w:t xml:space="preserve"> ability to control </w:t>
      </w:r>
      <w:r>
        <w:t>that person’s conduct.  (</w:t>
      </w:r>
      <w:r>
        <w:t xml:space="preserve">Rest.3d Torts, </w:t>
      </w:r>
      <w:r>
        <w:t xml:space="preserve">Liability for Physical and Emotional Harm, </w:t>
      </w:r>
      <w:r>
        <w:t>§ 41.)  The parent-child relationship is a</w:t>
      </w:r>
      <w:r>
        <w:t>n</w:t>
      </w:r>
      <w:r>
        <w:t xml:space="preserve"> </w:t>
      </w:r>
      <w:r>
        <w:t>example of a special relation</w:t>
      </w:r>
      <w:r>
        <w:t>ship</w:t>
      </w:r>
      <w:r>
        <w:t xml:space="preserve"> giv</w:t>
      </w:r>
      <w:r>
        <w:t xml:space="preserve">ing rise to a duty to control.  (See </w:t>
      </w:r>
      <w:r>
        <w:rPr>
          <w:i/>
        </w:rPr>
        <w:t>id</w:t>
      </w:r>
      <w:r>
        <w:t>., § 41, sub</w:t>
      </w:r>
      <w:r>
        <w:t>d. (b)(1);</w:t>
      </w:r>
      <w:r>
        <w:t xml:space="preserve"> </w:t>
      </w:r>
      <w:r>
        <w:rPr>
          <w:i/>
        </w:rPr>
        <w:t>Smith v. Freund</w:t>
      </w:r>
      <w:r>
        <w:t xml:space="preserve"> (2011) 192 Cal.App.4th </w:t>
      </w:r>
      <w:r>
        <w:t>466, 473.</w:t>
      </w:r>
      <w:r>
        <w:t>)</w:t>
      </w:r>
      <w:r>
        <w:t xml:space="preserve">  </w:t>
      </w:r>
      <w:r>
        <w:t xml:space="preserve">Similarly, a duty to warn or protect may </w:t>
      </w:r>
      <w:proofErr w:type="gramStart"/>
      <w:r>
        <w:t>be found</w:t>
      </w:r>
      <w:proofErr w:type="gramEnd"/>
      <w:r>
        <w:t xml:space="preserve"> </w:t>
      </w:r>
      <w:r>
        <w:t>if the defendant has a special relationship with the potential victim that gives the victim a right to expect protection.  (</w:t>
      </w:r>
      <w:r>
        <w:t xml:space="preserve">See </w:t>
      </w:r>
      <w:r>
        <w:rPr>
          <w:i/>
        </w:rPr>
        <w:t xml:space="preserve">Zelig v. County </w:t>
      </w:r>
      <w:r>
        <w:rPr>
          <w:i/>
        </w:rPr>
        <w:t>of Los Angeles</w:t>
      </w:r>
      <w:r>
        <w:t xml:space="preserve"> (2002) 27 Cal.4th 1112, 1129; </w:t>
      </w:r>
      <w:r>
        <w:rPr>
          <w:i/>
        </w:rPr>
        <w:t>Davidson</w:t>
      </w:r>
      <w:r>
        <w:t xml:space="preserve">, at p. 203.)  The relationships between common carriers and their passengers, or innkeepers and their guests, are classic examples of this type of special relationship.  (See Rest.3d Torts, </w:t>
      </w:r>
      <w:r>
        <w:t>Liability fo</w:t>
      </w:r>
      <w:r>
        <w:t>r Physical and Emotional Harm</w:t>
      </w:r>
      <w:r>
        <w:t xml:space="preserve">, </w:t>
      </w:r>
      <w:r>
        <w:t>§ 40, subd. (b)(</w:t>
      </w:r>
      <w:proofErr w:type="gramStart"/>
      <w:r>
        <w:t>1)-(</w:t>
      </w:r>
      <w:proofErr w:type="gramEnd"/>
      <w:r>
        <w:t>2).)</w:t>
      </w:r>
    </w:p>
    <w:p w:rsidR="0072353F" w:rsidRPr="00EE3277" w:rsidRDefault="0012664A" w:rsidP="007E02E6">
      <w:pPr>
        <w:spacing w:line="360" w:lineRule="auto"/>
      </w:pPr>
      <w:r>
        <w:tab/>
        <w:t xml:space="preserve">Rosen’s complaint alleges UCLA had separate duties to protect her </w:t>
      </w:r>
      <w:r w:rsidRPr="00241E9C">
        <w:rPr>
          <w:i/>
        </w:rPr>
        <w:t>and</w:t>
      </w:r>
      <w:r>
        <w:t xml:space="preserve"> to “control the reasonably foreseeable wrongful acts of third parties/other students.”  Here, we have focused on the university’s </w:t>
      </w:r>
      <w:r>
        <w:t xml:space="preserve">duty to protect students from foreseeable violence.  </w:t>
      </w:r>
      <w:r>
        <w:t xml:space="preserve">Having concluded </w:t>
      </w:r>
      <w:r>
        <w:t>UCLA</w:t>
      </w:r>
      <w:r>
        <w:t xml:space="preserve"> had a duty to protect Rosen </w:t>
      </w:r>
      <w:r>
        <w:t xml:space="preserve">under </w:t>
      </w:r>
      <w:r>
        <w:lastRenderedPageBreak/>
        <w:t>the circumstance</w:t>
      </w:r>
      <w:r>
        <w:t>s alleged</w:t>
      </w:r>
      <w:r>
        <w:t xml:space="preserve">, we need not </w:t>
      </w:r>
      <w:r>
        <w:t>decide</w:t>
      </w:r>
      <w:r>
        <w:t xml:space="preserve"> whether </w:t>
      </w:r>
      <w:r>
        <w:t xml:space="preserve">the school had </w:t>
      </w:r>
      <w:r>
        <w:t xml:space="preserve">a separate duty to control </w:t>
      </w:r>
      <w:r>
        <w:t>Thompson’s</w:t>
      </w:r>
      <w:r>
        <w:t xml:space="preserve"> behavior to prevent </w:t>
      </w:r>
      <w:r>
        <w:t xml:space="preserve">the </w:t>
      </w:r>
      <w:r>
        <w:t>harm.</w:t>
      </w:r>
    </w:p>
    <w:p w:rsidR="000B006E" w:rsidRPr="000B006E" w:rsidRDefault="0012664A" w:rsidP="000B006E">
      <w:pPr>
        <w:keepNext/>
        <w:spacing w:line="360" w:lineRule="auto"/>
        <w:rPr>
          <w:i/>
        </w:rPr>
      </w:pPr>
      <w:r>
        <w:tab/>
        <w:t>1.</w:t>
      </w:r>
      <w:r>
        <w:tab/>
      </w:r>
      <w:r>
        <w:rPr>
          <w:i/>
        </w:rPr>
        <w:t xml:space="preserve">College-Student </w:t>
      </w:r>
      <w:r>
        <w:rPr>
          <w:i/>
        </w:rPr>
        <w:t xml:space="preserve">Special Relationship </w:t>
      </w:r>
      <w:r>
        <w:rPr>
          <w:i/>
        </w:rPr>
        <w:t>Supports a Limited Duty</w:t>
      </w:r>
    </w:p>
    <w:p w:rsidR="000B006E" w:rsidRDefault="0012664A" w:rsidP="008F4F89">
      <w:pPr>
        <w:spacing w:line="360" w:lineRule="auto"/>
      </w:pPr>
      <w:r>
        <w:tab/>
      </w:r>
      <w:r>
        <w:t>W</w:t>
      </w:r>
      <w:r>
        <w:t>hether</w:t>
      </w:r>
      <w:r>
        <w:t xml:space="preserve"> UCLA was negligent in failing to </w:t>
      </w:r>
      <w:r>
        <w:t>prevent</w:t>
      </w:r>
      <w:r>
        <w:t xml:space="preserve"> Thompson’s attack de</w:t>
      </w:r>
      <w:r>
        <w:t xml:space="preserve">pends first on </w:t>
      </w:r>
      <w:r>
        <w:t xml:space="preserve">whether a university has a special relationship with its students </w:t>
      </w:r>
      <w:r>
        <w:t>that supports</w:t>
      </w:r>
      <w:r>
        <w:t xml:space="preserve"> a duty to warn or protect them</w:t>
      </w:r>
      <w:r>
        <w:t xml:space="preserve"> from foreseeable harm</w:t>
      </w:r>
      <w:r>
        <w:t>.</w:t>
      </w:r>
      <w:r>
        <w:t xml:space="preserve">  </w:t>
      </w:r>
      <w:r>
        <w:t>The determination w</w:t>
      </w:r>
      <w:r>
        <w:t>hether</w:t>
      </w:r>
      <w:r>
        <w:t xml:space="preserve"> </w:t>
      </w:r>
      <w:r>
        <w:t xml:space="preserve">a </w:t>
      </w:r>
      <w:proofErr w:type="gramStart"/>
      <w:r>
        <w:t>particular relationship</w:t>
      </w:r>
      <w:proofErr w:type="gramEnd"/>
      <w:r>
        <w:t xml:space="preserve"> </w:t>
      </w:r>
      <w:r>
        <w:t xml:space="preserve">supports a duty of care </w:t>
      </w:r>
      <w:r>
        <w:t xml:space="preserve">rests on policy and </w:t>
      </w:r>
      <w:r>
        <w:t>is a quest</w:t>
      </w:r>
      <w:r>
        <w:t>ion of law</w:t>
      </w:r>
      <w:r>
        <w:t xml:space="preserve">.  (Rest.3d Torts, </w:t>
      </w:r>
      <w:r>
        <w:t xml:space="preserve">Liability for Physical and Emotional Harm, </w:t>
      </w:r>
      <w:r>
        <w:t>§ 40, com</w:t>
      </w:r>
      <w:r>
        <w:t>s. e &amp; h</w:t>
      </w:r>
      <w:r>
        <w:t>,</w:t>
      </w:r>
      <w:r>
        <w:t xml:space="preserve"> p</w:t>
      </w:r>
      <w:r>
        <w:t>p</w:t>
      </w:r>
      <w:r>
        <w:t>. 41</w:t>
      </w:r>
      <w:r>
        <w:t>-42</w:t>
      </w:r>
      <w:r>
        <w:t>.)</w:t>
      </w:r>
    </w:p>
    <w:p w:rsidR="0064200E" w:rsidRPr="0064200E" w:rsidRDefault="0012664A" w:rsidP="0064200E">
      <w:pPr>
        <w:keepNext/>
        <w:spacing w:line="360" w:lineRule="auto"/>
        <w:rPr>
          <w:i/>
        </w:rPr>
      </w:pPr>
      <w:r>
        <w:tab/>
      </w:r>
      <w:r>
        <w:tab/>
        <w:t>a.</w:t>
      </w:r>
      <w:r>
        <w:tab/>
      </w:r>
      <w:r>
        <w:rPr>
          <w:i/>
        </w:rPr>
        <w:t>Features of a Special Relationship</w:t>
      </w:r>
    </w:p>
    <w:p w:rsidR="0064200E" w:rsidRDefault="0012664A" w:rsidP="008F4F89">
      <w:pPr>
        <w:spacing w:line="360" w:lineRule="auto"/>
      </w:pPr>
      <w:r>
        <w:tab/>
        <w:t xml:space="preserve">The Restatement Third of Torts </w:t>
      </w:r>
      <w:r>
        <w:t xml:space="preserve">identifies </w:t>
      </w:r>
      <w:r>
        <w:t xml:space="preserve">several special relationships that </w:t>
      </w:r>
      <w:r>
        <w:t>may support</w:t>
      </w:r>
      <w:r>
        <w:t xml:space="preserve"> a duty </w:t>
      </w:r>
      <w:r>
        <w:t>to protect</w:t>
      </w:r>
      <w:r>
        <w:t xml:space="preserve"> against foreseeable risks.  </w:t>
      </w:r>
      <w:r>
        <w:t xml:space="preserve">In addition to the common carrier and innkeeper relationships previously mentioned, the list includes a business or landowner with invited guests, </w:t>
      </w:r>
      <w:proofErr w:type="gramStart"/>
      <w:r>
        <w:t>a landlord</w:t>
      </w:r>
      <w:proofErr w:type="gramEnd"/>
      <w:r>
        <w:t xml:space="preserve"> with tenants, a </w:t>
      </w:r>
      <w:r>
        <w:t>guard</w:t>
      </w:r>
      <w:r>
        <w:t xml:space="preserve"> with those in custody, </w:t>
      </w:r>
      <w:r>
        <w:t>an employer with its emp</w:t>
      </w:r>
      <w:r>
        <w:t xml:space="preserve">loyees, and “a school with its students.”  (Rest.3d Torts, </w:t>
      </w:r>
      <w:r>
        <w:t xml:space="preserve">Liability for Physical and Emotional Harm, </w:t>
      </w:r>
      <w:r>
        <w:t>§ 40, subd. (b).)</w:t>
      </w:r>
      <w:r>
        <w:t xml:space="preserve">  </w:t>
      </w:r>
      <w:r>
        <w:t>T</w:t>
      </w:r>
      <w:r>
        <w:t xml:space="preserve">he Restatement does not </w:t>
      </w:r>
      <w:r>
        <w:t>exclude</w:t>
      </w:r>
      <w:r>
        <w:t xml:space="preserve"> colleges </w:t>
      </w:r>
      <w:r>
        <w:t>from</w:t>
      </w:r>
      <w:r>
        <w:t xml:space="preserve"> the</w:t>
      </w:r>
      <w:r>
        <w:t xml:space="preserve"> schoo</w:t>
      </w:r>
      <w:r>
        <w:t>l-student special relationship.  However, t</w:t>
      </w:r>
      <w:r>
        <w:t>he</w:t>
      </w:r>
      <w:r>
        <w:t xml:space="preserve"> </w:t>
      </w:r>
      <w:r>
        <w:t>drafters</w:t>
      </w:r>
      <w:r>
        <w:t xml:space="preserve"> observe</w:t>
      </w:r>
      <w:r>
        <w:t xml:space="preserve"> that </w:t>
      </w:r>
      <w:r>
        <w:t xml:space="preserve">reasonable </w:t>
      </w:r>
      <w:r>
        <w:t xml:space="preserve">care varies in different school environments, with substantially different </w:t>
      </w:r>
      <w:r>
        <w:t>supervision being</w:t>
      </w:r>
      <w:r>
        <w:t xml:space="preserve"> appropriate </w:t>
      </w:r>
      <w:r>
        <w:t>in</w:t>
      </w:r>
      <w:r>
        <w:t xml:space="preserve"> elementary </w:t>
      </w:r>
      <w:r>
        <w:t>schools as opposed to</w:t>
      </w:r>
      <w:r>
        <w:t xml:space="preserve"> college</w:t>
      </w:r>
      <w:r>
        <w:t>s</w:t>
      </w:r>
      <w:r>
        <w:t>.</w:t>
      </w:r>
      <w:r>
        <w:t xml:space="preserve">  (</w:t>
      </w:r>
      <w:r>
        <w:rPr>
          <w:i/>
        </w:rPr>
        <w:t>Id</w:t>
      </w:r>
      <w:r>
        <w:t>., § 40, com. </w:t>
      </w:r>
      <w:r w:rsidRPr="00621E9C">
        <w:rPr>
          <w:i/>
        </w:rPr>
        <w:t>l</w:t>
      </w:r>
      <w:r>
        <w:t>, p. 45</w:t>
      </w:r>
      <w:r>
        <w:t xml:space="preserve">.) </w:t>
      </w:r>
      <w:r>
        <w:t xml:space="preserve"> S</w:t>
      </w:r>
      <w:r>
        <w:t xml:space="preserve">tate courts have </w:t>
      </w:r>
      <w:r>
        <w:t xml:space="preserve">reached different conclusions about </w:t>
      </w:r>
      <w:r>
        <w:t>whether</w:t>
      </w:r>
      <w:r>
        <w:t xml:space="preserve"> college</w:t>
      </w:r>
      <w:r>
        <w:t>s</w:t>
      </w:r>
      <w:r>
        <w:t xml:space="preserve"> owe </w:t>
      </w:r>
      <w:r>
        <w:t xml:space="preserve">a special relationship-based </w:t>
      </w:r>
      <w:r>
        <w:t>duty</w:t>
      </w:r>
      <w:r>
        <w:t xml:space="preserve"> </w:t>
      </w:r>
      <w:r>
        <w:t xml:space="preserve">to </w:t>
      </w:r>
      <w:r>
        <w:t>their</w:t>
      </w:r>
      <w:r>
        <w:t xml:space="preserve"> students.  </w:t>
      </w:r>
      <w:r>
        <w:t>(</w:t>
      </w:r>
      <w:r>
        <w:rPr>
          <w:i/>
        </w:rPr>
        <w:t>Id</w:t>
      </w:r>
      <w:r>
        <w:t>., § 40, com. </w:t>
      </w:r>
      <w:r w:rsidRPr="00657E3F">
        <w:rPr>
          <w:i/>
        </w:rPr>
        <w:t>l</w:t>
      </w:r>
      <w:r>
        <w:t>, reporter’s notes, p. </w:t>
      </w:r>
      <w:r>
        <w:t>57</w:t>
      </w:r>
      <w:r>
        <w:t xml:space="preserve">.) </w:t>
      </w:r>
      <w:r>
        <w:t xml:space="preserve"> We have not previously addressed the question.</w:t>
      </w:r>
    </w:p>
    <w:p w:rsidR="00B443B4" w:rsidRDefault="0012664A" w:rsidP="00695F94">
      <w:pPr>
        <w:spacing w:line="360" w:lineRule="auto"/>
      </w:pPr>
      <w:r>
        <w:tab/>
        <w:t xml:space="preserve">Relationships that have </w:t>
      </w:r>
      <w:proofErr w:type="gramStart"/>
      <w:r>
        <w:t>been recognized</w:t>
      </w:r>
      <w:proofErr w:type="gramEnd"/>
      <w:r>
        <w:t xml:space="preserve"> as “special” share a few common features.  </w:t>
      </w:r>
      <w:r>
        <w:t xml:space="preserve">Generally, </w:t>
      </w:r>
      <w:r>
        <w:t xml:space="preserve">the </w:t>
      </w:r>
      <w:r>
        <w:t>relationship</w:t>
      </w:r>
      <w:r>
        <w:t xml:space="preserve"> </w:t>
      </w:r>
      <w:r>
        <w:t>ha</w:t>
      </w:r>
      <w:r>
        <w:t xml:space="preserve">s an aspect of dependency </w:t>
      </w:r>
      <w:r>
        <w:t xml:space="preserve">in </w:t>
      </w:r>
      <w:r>
        <w:t>which</w:t>
      </w:r>
      <w:r>
        <w:t xml:space="preserve"> </w:t>
      </w:r>
      <w:r>
        <w:t>one party</w:t>
      </w:r>
      <w:r>
        <w:t xml:space="preserve"> relies </w:t>
      </w:r>
      <w:r>
        <w:t>to some degree on the other for protection.</w:t>
      </w:r>
      <w:r>
        <w:t xml:space="preserve"> </w:t>
      </w:r>
      <w:r>
        <w:t xml:space="preserve"> </w:t>
      </w:r>
      <w:r>
        <w:t xml:space="preserve">(See </w:t>
      </w:r>
      <w:r>
        <w:rPr>
          <w:i/>
        </w:rPr>
        <w:t xml:space="preserve">Baldwin v. </w:t>
      </w:r>
      <w:proofErr w:type="spellStart"/>
      <w:r>
        <w:rPr>
          <w:i/>
        </w:rPr>
        <w:t>Zoradi</w:t>
      </w:r>
      <w:proofErr w:type="spellEnd"/>
      <w:r>
        <w:t xml:space="preserve"> (1981) 123 Cal.App.3d 275, 283</w:t>
      </w:r>
      <w:r>
        <w:t xml:space="preserve"> (</w:t>
      </w:r>
      <w:r>
        <w:rPr>
          <w:i/>
        </w:rPr>
        <w:t>Baldwin</w:t>
      </w:r>
      <w:r>
        <w:t>)</w:t>
      </w:r>
      <w:r>
        <w:t xml:space="preserve">; </w:t>
      </w:r>
      <w:r>
        <w:rPr>
          <w:i/>
        </w:rPr>
        <w:t>Mann v. State of California</w:t>
      </w:r>
      <w:r>
        <w:t xml:space="preserve"> (1977) 70 Cal.App.3d 773, 779-780.)  </w:t>
      </w:r>
      <w:r>
        <w:t>The Restatemen</w:t>
      </w:r>
      <w:r>
        <w:t xml:space="preserve">t </w:t>
      </w:r>
      <w:r>
        <w:t>authors</w:t>
      </w:r>
      <w:r>
        <w:t xml:space="preserve"> observed over 50 years ago that the law has been “working slowly toward a recognition of the duty to aid or </w:t>
      </w:r>
      <w:r>
        <w:lastRenderedPageBreak/>
        <w:t>protect in any relation of dependence or of mutual dependence.”  (Rest</w:t>
      </w:r>
      <w:r>
        <w:t>.2d Torts, § 314A, com. b, p. 119</w:t>
      </w:r>
      <w:r>
        <w:t>.)</w:t>
      </w:r>
      <w:r>
        <w:t xml:space="preserve">  </w:t>
      </w:r>
    </w:p>
    <w:p w:rsidR="00695F94" w:rsidRPr="006D37A0" w:rsidRDefault="0012664A" w:rsidP="00695F94">
      <w:pPr>
        <w:spacing w:line="360" w:lineRule="auto"/>
      </w:pPr>
      <w:r>
        <w:tab/>
      </w:r>
      <w:r>
        <w:t xml:space="preserve">The corollary </w:t>
      </w:r>
      <w:r>
        <w:t>of dependence</w:t>
      </w:r>
      <w:r>
        <w:t xml:space="preserve"> i</w:t>
      </w:r>
      <w:r>
        <w:t>n a special relationship</w:t>
      </w:r>
      <w:r>
        <w:t xml:space="preserve"> is control.  Whereas one party is dependent, the other has superior control over the means of protection.  “[A] typical setting for the recognition of a special relationship is where ‘the plaintiff is particularly vulnerable and de</w:t>
      </w:r>
      <w:r>
        <w:t>pendent upon the defendant who, correspondingly, has some control over the plaintiff’s welfare.’  [Citations.]”  (</w:t>
      </w:r>
      <w:proofErr w:type="spellStart"/>
      <w:r w:rsidRPr="00337134">
        <w:rPr>
          <w:i/>
        </w:rPr>
        <w:t>Giraldo</w:t>
      </w:r>
      <w:proofErr w:type="spellEnd"/>
      <w:r w:rsidRPr="00337134">
        <w:rPr>
          <w:i/>
        </w:rPr>
        <w:t xml:space="preserve"> v. </w:t>
      </w:r>
      <w:r>
        <w:rPr>
          <w:i/>
        </w:rPr>
        <w:t>Department</w:t>
      </w:r>
      <w:r w:rsidRPr="00337134">
        <w:rPr>
          <w:i/>
        </w:rPr>
        <w:t xml:space="preserve"> of Corrections </w:t>
      </w:r>
      <w:r>
        <w:rPr>
          <w:i/>
        </w:rPr>
        <w:t>&amp;</w:t>
      </w:r>
      <w:r w:rsidRPr="00337134">
        <w:rPr>
          <w:i/>
        </w:rPr>
        <w:t xml:space="preserve"> Rehabilitation</w:t>
      </w:r>
      <w:r>
        <w:t xml:space="preserve"> (2008) 168 Cal.App.4th 231, 245-246.)</w:t>
      </w:r>
      <w:r>
        <w:t xml:space="preserve">  One court observed that “the epitome” of such a s</w:t>
      </w:r>
      <w:r>
        <w:t>pecial relationship exists between a jailer and prisoner.  (</w:t>
      </w:r>
      <w:r>
        <w:rPr>
          <w:i/>
        </w:rPr>
        <w:t>Id</w:t>
      </w:r>
      <w:r>
        <w:t>. at pp. 250-251.)  Common car</w:t>
      </w:r>
      <w:r>
        <w:t>riers and their passengers present a</w:t>
      </w:r>
      <w:r>
        <w:t xml:space="preserve">nother quintessential </w:t>
      </w:r>
      <w:r>
        <w:t>example.</w:t>
      </w:r>
      <w:r>
        <w:t xml:space="preserve">  In </w:t>
      </w:r>
      <w:r w:rsidRPr="006D37A0">
        <w:rPr>
          <w:i/>
        </w:rPr>
        <w:t>Lopez v. Southern Cal. Rapid Transit Dist.</w:t>
      </w:r>
      <w:r>
        <w:t xml:space="preserve"> (1985) 40 Cal.3d 780, 789</w:t>
      </w:r>
      <w:r>
        <w:t xml:space="preserve">, we </w:t>
      </w:r>
      <w:r>
        <w:t>held</w:t>
      </w:r>
      <w:r>
        <w:t xml:space="preserve"> this special re</w:t>
      </w:r>
      <w:r>
        <w:t xml:space="preserve">lationship </w:t>
      </w:r>
      <w:r>
        <w:t>gives common carriers a duty to prot</w:t>
      </w:r>
      <w:r>
        <w:t xml:space="preserve">ect passengers from </w:t>
      </w:r>
      <w:r>
        <w:t xml:space="preserve">onboard </w:t>
      </w:r>
      <w:r>
        <w:t>violence</w:t>
      </w:r>
      <w:r>
        <w:t xml:space="preserve">, </w:t>
      </w:r>
      <w:r>
        <w:t>noting that</w:t>
      </w:r>
      <w:r>
        <w:t xml:space="preserve"> </w:t>
      </w:r>
      <w:r>
        <w:t xml:space="preserve">passengers </w:t>
      </w:r>
      <w:proofErr w:type="gramStart"/>
      <w:r>
        <w:t>are sealed</w:t>
      </w:r>
      <w:proofErr w:type="gramEnd"/>
      <w:r>
        <w:t xml:space="preserve"> </w:t>
      </w:r>
      <w:r>
        <w:t xml:space="preserve">together </w:t>
      </w:r>
      <w:r>
        <w:t xml:space="preserve">in a moving vehicle, with the means of entry and exit under the exclusive control of the driver. </w:t>
      </w:r>
      <w:r>
        <w:t xml:space="preserve"> “</w:t>
      </w:r>
      <w:r>
        <w:t xml:space="preserve">Thus, passengers have no </w:t>
      </w:r>
      <w:r>
        <w:t xml:space="preserve">control over who </w:t>
      </w:r>
      <w:proofErr w:type="gramStart"/>
      <w:r>
        <w:t>is admitted</w:t>
      </w:r>
      <w:proofErr w:type="gramEnd"/>
      <w:r>
        <w:t xml:space="preserve"> on the bus and, if trouble arises, are wholly dependent upon the bus driver to summon hel</w:t>
      </w:r>
      <w:r>
        <w:t>p or provide a means of escape.”  (</w:t>
      </w:r>
      <w:r>
        <w:rPr>
          <w:i/>
        </w:rPr>
        <w:t>Ibid</w:t>
      </w:r>
      <w:r>
        <w:t>.)</w:t>
      </w:r>
    </w:p>
    <w:p w:rsidR="00B91CF0" w:rsidRPr="00B91CF0" w:rsidRDefault="0012664A" w:rsidP="00B91CF0">
      <w:pPr>
        <w:spacing w:line="360" w:lineRule="auto"/>
      </w:pPr>
      <w:r>
        <w:tab/>
        <w:t xml:space="preserve">Special relationships also </w:t>
      </w:r>
      <w:r>
        <w:t>have defined boundaries.  They</w:t>
      </w:r>
      <w:r>
        <w:t xml:space="preserve"> </w:t>
      </w:r>
      <w:r>
        <w:t>create a</w:t>
      </w:r>
      <w:r>
        <w:t xml:space="preserve"> duty of care</w:t>
      </w:r>
      <w:r>
        <w:t xml:space="preserve"> owed</w:t>
      </w:r>
      <w:r>
        <w:t xml:space="preserve"> to a </w:t>
      </w:r>
      <w:r>
        <w:t>limit</w:t>
      </w:r>
      <w:r>
        <w:t>ed</w:t>
      </w:r>
      <w:r>
        <w:t xml:space="preserve"> community</w:t>
      </w:r>
      <w:r>
        <w:t>,</w:t>
      </w:r>
      <w:r>
        <w:t xml:space="preserve"> not the</w:t>
      </w:r>
      <w:r>
        <w:t xml:space="preserve"> public at large.  </w:t>
      </w:r>
      <w:r>
        <w:t>W</w:t>
      </w:r>
      <w:r>
        <w:t>e have held that police officers are not in a special relationship with</w:t>
      </w:r>
      <w:r>
        <w:t xml:space="preserve"> the</w:t>
      </w:r>
      <w:r>
        <w:t xml:space="preserve"> citizens </w:t>
      </w:r>
      <w:r>
        <w:t>in their jurisdiction</w:t>
      </w:r>
      <w:r>
        <w:t xml:space="preserve"> (see </w:t>
      </w:r>
      <w:r w:rsidRPr="007E02E6">
        <w:rPr>
          <w:i/>
        </w:rPr>
        <w:t>Williams v. State of California</w:t>
      </w:r>
      <w:r>
        <w:t xml:space="preserve">, </w:t>
      </w:r>
      <w:r>
        <w:rPr>
          <w:i/>
        </w:rPr>
        <w:t>supra</w:t>
      </w:r>
      <w:r>
        <w:t xml:space="preserve">, 34 Cal.3d at pp. 27-28), even when officers are aware </w:t>
      </w:r>
      <w:r>
        <w:t xml:space="preserve">of risks </w:t>
      </w:r>
      <w:r>
        <w:t xml:space="preserve">to a specific potential victim (see </w:t>
      </w:r>
      <w:r>
        <w:rPr>
          <w:i/>
        </w:rPr>
        <w:t>Davidson</w:t>
      </w:r>
      <w:r>
        <w:t xml:space="preserve">, </w:t>
      </w:r>
      <w:r>
        <w:rPr>
          <w:i/>
        </w:rPr>
        <w:t>supra</w:t>
      </w:r>
      <w:r>
        <w:t xml:space="preserve">, </w:t>
      </w:r>
      <w:r>
        <w:t>32 Cal.3d at p</w:t>
      </w:r>
      <w:r>
        <w:t>p</w:t>
      </w:r>
      <w:r>
        <w:t>. </w:t>
      </w:r>
      <w:r>
        <w:t xml:space="preserve">208-209).  </w:t>
      </w:r>
      <w:r>
        <w:t>Nor is a government entity in a special relationship with all citizens who use its facilities.  (</w:t>
      </w:r>
      <w:r>
        <w:rPr>
          <w:i/>
        </w:rPr>
        <w:t>Zelig v. County of Los Angeles</w:t>
      </w:r>
      <w:r>
        <w:t xml:space="preserve">, </w:t>
      </w:r>
      <w:r>
        <w:rPr>
          <w:i/>
        </w:rPr>
        <w:t>supra</w:t>
      </w:r>
      <w:r>
        <w:t>, 27 Cal.4th at p. 1130.)  In declining t</w:t>
      </w:r>
      <w:r>
        <w:t xml:space="preserve">o find a duty of care owed to courthouse visitors, we observed that a </w:t>
      </w:r>
      <w:r>
        <w:t>“</w:t>
      </w:r>
      <w:r>
        <w:t xml:space="preserve">county, ‘as with all public entities,’ has the responsibility to ‘exercise reasonable care to protect </w:t>
      </w:r>
      <w:proofErr w:type="gramStart"/>
      <w:r>
        <w:t>all of</w:t>
      </w:r>
      <w:proofErr w:type="gramEnd"/>
      <w:r>
        <w:t xml:space="preserve"> its citizens’ [citation], but does not thereby become liable to each indiv</w:t>
      </w:r>
      <w:r>
        <w:t>id</w:t>
      </w:r>
      <w:r>
        <w:t>ual for all foreseeable harm.”</w:t>
      </w:r>
      <w:r>
        <w:t xml:space="preserve">  (</w:t>
      </w:r>
      <w:r>
        <w:rPr>
          <w:i/>
        </w:rPr>
        <w:t>Id</w:t>
      </w:r>
      <w:r>
        <w:t xml:space="preserve">. at </w:t>
      </w:r>
      <w:r>
        <w:lastRenderedPageBreak/>
        <w:t>p. 1131.)</w:t>
      </w:r>
      <w:r>
        <w:t xml:space="preserve">  Because a special relationship </w:t>
      </w:r>
      <w:proofErr w:type="gramStart"/>
      <w:r>
        <w:t>is limited</w:t>
      </w:r>
      <w:proofErr w:type="gramEnd"/>
      <w:r>
        <w:t xml:space="preserve"> to</w:t>
      </w:r>
      <w:r>
        <w:t xml:space="preserve"> specific i</w:t>
      </w:r>
      <w:r>
        <w:t>ndividuals</w:t>
      </w:r>
      <w:r>
        <w:t xml:space="preserve">, </w:t>
      </w:r>
      <w:r>
        <w:t>the defendant’s duty is less burdensome and</w:t>
      </w:r>
      <w:r>
        <w:t xml:space="preserve"> </w:t>
      </w:r>
      <w:r>
        <w:t>more justifiable</w:t>
      </w:r>
      <w:r>
        <w:t xml:space="preserve"> than a broad-ranging duty would be</w:t>
      </w:r>
      <w:r>
        <w:t xml:space="preserve">.  (See Rest.3d Torts, </w:t>
      </w:r>
      <w:r>
        <w:t xml:space="preserve">Liability for Physical and Emotional Harm, </w:t>
      </w:r>
      <w:r>
        <w:t>§ 40, com. h, p. </w:t>
      </w:r>
      <w:r>
        <w:t>43</w:t>
      </w:r>
      <w:r>
        <w:t>.)</w:t>
      </w:r>
    </w:p>
    <w:p w:rsidR="00B91CF0" w:rsidRDefault="0012664A" w:rsidP="00B91CF0">
      <w:pPr>
        <w:spacing w:line="360" w:lineRule="auto"/>
      </w:pPr>
      <w:r>
        <w:tab/>
        <w:t xml:space="preserve">Finally, although relationships </w:t>
      </w:r>
      <w:r>
        <w:t>often</w:t>
      </w:r>
      <w:r>
        <w:t xml:space="preserve"> have advantages for both participants, many special relationships </w:t>
      </w:r>
      <w:r>
        <w:t xml:space="preserve">especially </w:t>
      </w:r>
      <w:r>
        <w:t xml:space="preserve">benefit the party charged with a duty of care.  (Rest.3d Torts, </w:t>
      </w:r>
      <w:r>
        <w:t>Liability f</w:t>
      </w:r>
      <w:r>
        <w:t xml:space="preserve">or Physical and Emotional Harm, </w:t>
      </w:r>
      <w:r>
        <w:t>§ 40, com. h, p. </w:t>
      </w:r>
      <w:r>
        <w:t>43</w:t>
      </w:r>
      <w:r>
        <w:t xml:space="preserve">.)  </w:t>
      </w:r>
      <w:r>
        <w:t>Retail stores or hotels</w:t>
      </w:r>
      <w:r>
        <w:t xml:space="preserve"> could not </w:t>
      </w:r>
      <w:r>
        <w:t xml:space="preserve">successfully </w:t>
      </w:r>
      <w:r>
        <w:t>operate, for example, without visits from their customers and guests.</w:t>
      </w:r>
    </w:p>
    <w:p w:rsidR="0064200E" w:rsidRPr="0064200E" w:rsidRDefault="0012664A" w:rsidP="0064200E">
      <w:pPr>
        <w:keepNext/>
        <w:spacing w:line="360" w:lineRule="auto"/>
        <w:rPr>
          <w:i/>
        </w:rPr>
      </w:pPr>
      <w:r>
        <w:tab/>
      </w:r>
      <w:r>
        <w:tab/>
        <w:t>b.</w:t>
      </w:r>
      <w:r>
        <w:tab/>
      </w:r>
      <w:r>
        <w:rPr>
          <w:i/>
        </w:rPr>
        <w:t>The College Environment</w:t>
      </w:r>
    </w:p>
    <w:p w:rsidR="0064200E" w:rsidRDefault="0012664A" w:rsidP="008F4F89">
      <w:pPr>
        <w:spacing w:line="360" w:lineRule="auto"/>
      </w:pPr>
      <w:r>
        <w:tab/>
      </w:r>
      <w:r>
        <w:t>The legal significance of the college-student relation</w:t>
      </w:r>
      <w:r>
        <w:t xml:space="preserve">ship has changed </w:t>
      </w:r>
      <w:r>
        <w:t>with shifting cultural attitudes</w:t>
      </w:r>
      <w:r>
        <w:t xml:space="preserve">.  Before the 1960s, colleges </w:t>
      </w:r>
      <w:r>
        <w:t>stood</w:t>
      </w:r>
      <w:r>
        <w:t xml:space="preserve"> </w:t>
      </w:r>
      <w:r w:rsidRPr="005E3A57">
        <w:t>in loco parentis</w:t>
      </w:r>
      <w:r>
        <w:t xml:space="preserve"> to students, who </w:t>
      </w:r>
      <w:proofErr w:type="gramStart"/>
      <w:r>
        <w:t>were</w:t>
      </w:r>
      <w:r>
        <w:t xml:space="preserve"> viewed</w:t>
      </w:r>
      <w:proofErr w:type="gramEnd"/>
      <w:r>
        <w:t xml:space="preserve"> as being </w:t>
      </w:r>
      <w:r>
        <w:t>under</w:t>
      </w:r>
      <w:r>
        <w:t xml:space="preserve"> their custody and</w:t>
      </w:r>
      <w:r>
        <w:t xml:space="preserve"> </w:t>
      </w:r>
      <w:r>
        <w:t>institutional</w:t>
      </w:r>
      <w:r>
        <w:t xml:space="preserve"> </w:t>
      </w:r>
      <w:r>
        <w:t>control</w:t>
      </w:r>
      <w:r>
        <w:t>.</w:t>
      </w:r>
      <w:r>
        <w:t xml:space="preserve">  (</w:t>
      </w:r>
      <w:proofErr w:type="spellStart"/>
      <w:r>
        <w:t>Sokolow</w:t>
      </w:r>
      <w:proofErr w:type="spellEnd"/>
      <w:r>
        <w:t xml:space="preserve"> et al., </w:t>
      </w:r>
      <w:r>
        <w:rPr>
          <w:i/>
        </w:rPr>
        <w:t>College and University Liability for Violent Campus</w:t>
      </w:r>
      <w:r>
        <w:rPr>
          <w:i/>
        </w:rPr>
        <w:t xml:space="preserve"> Attacks</w:t>
      </w:r>
      <w:r>
        <w:t xml:space="preserve"> (2008) 34 J.C. &amp; U.L.</w:t>
      </w:r>
      <w:r>
        <w:t xml:space="preserve"> 319, 321</w:t>
      </w:r>
      <w:r>
        <w:t xml:space="preserve"> (hereafter </w:t>
      </w:r>
      <w:proofErr w:type="spellStart"/>
      <w:r>
        <w:t>Sokolow</w:t>
      </w:r>
      <w:proofErr w:type="spellEnd"/>
      <w:r>
        <w:t>)</w:t>
      </w:r>
      <w:r>
        <w:t xml:space="preserve">.)  </w:t>
      </w:r>
      <w:r>
        <w:t xml:space="preserve">Although the role of parental stand-in may have given colleges some obligation to protect students (see </w:t>
      </w:r>
      <w:r>
        <w:rPr>
          <w:i/>
        </w:rPr>
        <w:t>Brad</w:t>
      </w:r>
      <w:r>
        <w:rPr>
          <w:i/>
        </w:rPr>
        <w:t>s</w:t>
      </w:r>
      <w:r>
        <w:rPr>
          <w:i/>
        </w:rPr>
        <w:t>h</w:t>
      </w:r>
      <w:r>
        <w:rPr>
          <w:i/>
        </w:rPr>
        <w:t>aw v. Rawlings</w:t>
      </w:r>
      <w:r>
        <w:t xml:space="preserve"> (3d Cir. 1979) 612 F.2d 135, 139</w:t>
      </w:r>
      <w:r>
        <w:t xml:space="preserve"> (</w:t>
      </w:r>
      <w:r>
        <w:rPr>
          <w:i/>
        </w:rPr>
        <w:t>Bradshaw</w:t>
      </w:r>
      <w:r>
        <w:t>)</w:t>
      </w:r>
      <w:r>
        <w:t>)</w:t>
      </w:r>
      <w:r>
        <w:t xml:space="preserve">, </w:t>
      </w:r>
      <w:r>
        <w:t>the era also recognize</w:t>
      </w:r>
      <w:r>
        <w:t>d</w:t>
      </w:r>
      <w:r>
        <w:t xml:space="preserve"> parental immunity.  Parents were largely immune from suit by their children, and colleges often enjoyed the same immunity, at least with respect to disciplin</w:t>
      </w:r>
      <w:r>
        <w:t>ing</w:t>
      </w:r>
      <w:r>
        <w:t xml:space="preserve"> or regulati</w:t>
      </w:r>
      <w:r>
        <w:t>n</w:t>
      </w:r>
      <w:r>
        <w:t>g</w:t>
      </w:r>
      <w:r>
        <w:t xml:space="preserve"> student conduct.</w:t>
      </w:r>
      <w:r>
        <w:t xml:space="preserve">  (Lake, </w:t>
      </w:r>
      <w:r>
        <w:rPr>
          <w:i/>
        </w:rPr>
        <w:t xml:space="preserve">The Rise </w:t>
      </w:r>
      <w:r>
        <w:rPr>
          <w:i/>
        </w:rPr>
        <w:t xml:space="preserve">of Duty </w:t>
      </w:r>
      <w:r>
        <w:rPr>
          <w:i/>
        </w:rPr>
        <w:t xml:space="preserve">and the Fall of In Loco Parentis and </w:t>
      </w:r>
      <w:r>
        <w:rPr>
          <w:i/>
        </w:rPr>
        <w:t>Other Protective Tort Doctrines in Higher Education Law</w:t>
      </w:r>
      <w:r>
        <w:t xml:space="preserve"> (1999) 64 Mo. </w:t>
      </w:r>
      <w:proofErr w:type="spellStart"/>
      <w:r>
        <w:t>L.</w:t>
      </w:r>
      <w:r>
        <w:t>Rev</w:t>
      </w:r>
      <w:proofErr w:type="spellEnd"/>
      <w:r>
        <w:t>.</w:t>
      </w:r>
      <w:r>
        <w:t xml:space="preserve"> 1, 5</w:t>
      </w:r>
      <w:r>
        <w:t xml:space="preserve"> (hereafter Lake)</w:t>
      </w:r>
      <w:r>
        <w:t>.)</w:t>
      </w:r>
    </w:p>
    <w:p w:rsidR="0007230D" w:rsidRPr="00071EBF" w:rsidRDefault="0012664A" w:rsidP="005E4299">
      <w:pPr>
        <w:spacing w:line="360" w:lineRule="auto"/>
      </w:pPr>
      <w:r>
        <w:tab/>
        <w:t xml:space="preserve">When rigid </w:t>
      </w:r>
      <w:r>
        <w:t xml:space="preserve">immunity </w:t>
      </w:r>
      <w:r>
        <w:t xml:space="preserve">defenses gave way to more flexible doctrines during the 1970s and 1980s, </w:t>
      </w:r>
      <w:r>
        <w:t xml:space="preserve">the view </w:t>
      </w:r>
      <w:r>
        <w:t>that</w:t>
      </w:r>
      <w:r>
        <w:t xml:space="preserve"> colleges </w:t>
      </w:r>
      <w:r>
        <w:t>stood</w:t>
      </w:r>
      <w:r>
        <w:t xml:space="preserve"> </w:t>
      </w:r>
      <w:r w:rsidRPr="005E3A57">
        <w:t>in loco parentis</w:t>
      </w:r>
      <w:r>
        <w:t xml:space="preserve"> </w:t>
      </w:r>
      <w:r>
        <w:t>shifted</w:t>
      </w:r>
      <w:r>
        <w:t xml:space="preserve"> to what</w:t>
      </w:r>
      <w:r>
        <w:t xml:space="preserve"> Professor </w:t>
      </w:r>
      <w:r>
        <w:t xml:space="preserve">Peter </w:t>
      </w:r>
      <w:r>
        <w:t>Lake calls the “bystander” era in university liability.  (See Lake,</w:t>
      </w:r>
      <w:r>
        <w:rPr>
          <w:i/>
        </w:rPr>
        <w:t xml:space="preserve"> supra</w:t>
      </w:r>
      <w:r>
        <w:t xml:space="preserve">, 64 Mo. </w:t>
      </w:r>
      <w:proofErr w:type="spellStart"/>
      <w:r>
        <w:t>L.</w:t>
      </w:r>
      <w:r>
        <w:t>Rev</w:t>
      </w:r>
      <w:proofErr w:type="spellEnd"/>
      <w:r>
        <w:t xml:space="preserve">. </w:t>
      </w:r>
      <w:r>
        <w:t>at p</w:t>
      </w:r>
      <w:r>
        <w:t>p</w:t>
      </w:r>
      <w:r>
        <w:t>. 11</w:t>
      </w:r>
      <w:r>
        <w:t>, 16</w:t>
      </w:r>
      <w:r>
        <w:t xml:space="preserve">.)  </w:t>
      </w:r>
      <w:r>
        <w:t>D</w:t>
      </w:r>
      <w:r>
        <w:t xml:space="preserve">ramatic social changes </w:t>
      </w:r>
      <w:r>
        <w:t xml:space="preserve">of that time </w:t>
      </w:r>
      <w:r>
        <w:t>expanded</w:t>
      </w:r>
      <w:r>
        <w:t xml:space="preserve"> the privacy and autonomy</w:t>
      </w:r>
      <w:r>
        <w:t xml:space="preserve"> rights of adult students</w:t>
      </w:r>
      <w:r>
        <w:t xml:space="preserve"> and, correspondingly, reduced </w:t>
      </w:r>
      <w:r>
        <w:t>the aut</w:t>
      </w:r>
      <w:r>
        <w:t xml:space="preserve">hority of </w:t>
      </w:r>
      <w:r>
        <w:t>college administrator</w:t>
      </w:r>
      <w:r>
        <w:t xml:space="preserve">s </w:t>
      </w:r>
      <w:r>
        <w:t>to control</w:t>
      </w:r>
      <w:r>
        <w:t xml:space="preserve"> student behavior.</w:t>
      </w:r>
      <w:r>
        <w:t xml:space="preserve">  (</w:t>
      </w:r>
      <w:r w:rsidRPr="004574C3">
        <w:rPr>
          <w:i/>
        </w:rPr>
        <w:t>Bradshaw</w:t>
      </w:r>
      <w:r>
        <w:t xml:space="preserve">, </w:t>
      </w:r>
      <w:r>
        <w:rPr>
          <w:i/>
        </w:rPr>
        <w:t>supra</w:t>
      </w:r>
      <w:r>
        <w:t>, 612 F.2d at p. 1</w:t>
      </w:r>
      <w:r>
        <w:t>40</w:t>
      </w:r>
      <w:r>
        <w:t>.)  Courts</w:t>
      </w:r>
      <w:r>
        <w:t xml:space="preserve"> </w:t>
      </w:r>
      <w:r>
        <w:t xml:space="preserve">generally </w:t>
      </w:r>
      <w:r>
        <w:t xml:space="preserve">reacted to these changes </w:t>
      </w:r>
      <w:r>
        <w:lastRenderedPageBreak/>
        <w:t>by</w:t>
      </w:r>
      <w:r>
        <w:t xml:space="preserve"> treating colleges like businesses.  </w:t>
      </w:r>
      <w:r>
        <w:t xml:space="preserve">(Lake, at p. 12.)  </w:t>
      </w:r>
      <w:r>
        <w:t>While the</w:t>
      </w:r>
      <w:r>
        <w:t xml:space="preserve"> university</w:t>
      </w:r>
      <w:r>
        <w:t xml:space="preserve"> </w:t>
      </w:r>
      <w:r>
        <w:t xml:space="preserve">might owe a duty </w:t>
      </w:r>
      <w:r>
        <w:t>as</w:t>
      </w:r>
      <w:r>
        <w:t xml:space="preserve"> a</w:t>
      </w:r>
      <w:r>
        <w:t xml:space="preserve"> </w:t>
      </w:r>
      <w:r>
        <w:t xml:space="preserve">landowner </w:t>
      </w:r>
      <w:r>
        <w:t xml:space="preserve">to maintain </w:t>
      </w:r>
      <w:proofErr w:type="gramStart"/>
      <w:r>
        <w:t>a safe premises</w:t>
      </w:r>
      <w:proofErr w:type="gramEnd"/>
      <w:r>
        <w:t>,</w:t>
      </w:r>
      <w:r>
        <w:t xml:space="preserve"> </w:t>
      </w:r>
      <w:r>
        <w:t xml:space="preserve">courts typically resisted finding </w:t>
      </w:r>
      <w:r>
        <w:t>a broader duty</w:t>
      </w:r>
      <w:r>
        <w:t xml:space="preserve"> bas</w:t>
      </w:r>
      <w:r>
        <w:t>ed on a special relationship</w:t>
      </w:r>
      <w:r>
        <w:t xml:space="preserve"> with students</w:t>
      </w:r>
      <w:r>
        <w:t>.</w:t>
      </w:r>
      <w:r>
        <w:t xml:space="preserve">  (</w:t>
      </w:r>
      <w:r>
        <w:t>S</w:t>
      </w:r>
      <w:r>
        <w:t xml:space="preserve">ee, e.g., </w:t>
      </w:r>
      <w:r>
        <w:rPr>
          <w:i/>
        </w:rPr>
        <w:t>Nero v. Kansas State Univ</w:t>
      </w:r>
      <w:r>
        <w:rPr>
          <w:i/>
        </w:rPr>
        <w:t xml:space="preserve">ersity </w:t>
      </w:r>
      <w:r>
        <w:t xml:space="preserve">(1993) 253 Kan. 567, </w:t>
      </w:r>
      <w:r>
        <w:t xml:space="preserve">580, </w:t>
      </w:r>
      <w:r>
        <w:t>583-584 [861 P.2d 768, 77</w:t>
      </w:r>
      <w:r>
        <w:t>8</w:t>
      </w:r>
      <w:r>
        <w:t xml:space="preserve">-780].)  This was particularly so </w:t>
      </w:r>
      <w:r>
        <w:t xml:space="preserve">when injuries resulted from alcohol consumption or </w:t>
      </w:r>
      <w:proofErr w:type="gramStart"/>
      <w:r>
        <w:t>fraternity</w:t>
      </w:r>
      <w:proofErr w:type="gramEnd"/>
      <w:r>
        <w:t xml:space="preserve"> activity.  (See Lake, at p. 12.)</w:t>
      </w:r>
      <w:r>
        <w:rPr>
          <w:rStyle w:val="FootnoteReference"/>
        </w:rPr>
        <w:footnoteReference w:id="4"/>
      </w:r>
    </w:p>
    <w:p w:rsidR="0064200E" w:rsidRDefault="0012664A" w:rsidP="008F4F89">
      <w:pPr>
        <w:spacing w:line="360" w:lineRule="auto"/>
      </w:pPr>
      <w:r>
        <w:tab/>
      </w:r>
      <w:r>
        <w:t>California a</w:t>
      </w:r>
      <w:r>
        <w:t xml:space="preserve">ppellate decisions followed this trend.  </w:t>
      </w:r>
      <w:r>
        <w:t xml:space="preserve">In </w:t>
      </w:r>
      <w:r>
        <w:rPr>
          <w:i/>
        </w:rPr>
        <w:t>Baldwin</w:t>
      </w:r>
      <w:r>
        <w:t xml:space="preserve">, </w:t>
      </w:r>
      <w:r>
        <w:rPr>
          <w:i/>
        </w:rPr>
        <w:t>supra</w:t>
      </w:r>
      <w:r>
        <w:t xml:space="preserve">, 123 Cal.App.3d 275, a student sued the California State University system after she </w:t>
      </w:r>
      <w:proofErr w:type="gramStart"/>
      <w:r>
        <w:t>was</w:t>
      </w:r>
      <w:r>
        <w:t xml:space="preserve"> injured</w:t>
      </w:r>
      <w:proofErr w:type="gramEnd"/>
      <w:r>
        <w:t xml:space="preserve"> in a drunken</w:t>
      </w:r>
      <w:r>
        <w:t>, highway</w:t>
      </w:r>
      <w:r>
        <w:t xml:space="preserve"> drag racing contest.  Citing secondary school cases, the court assumed </w:t>
      </w:r>
      <w:r>
        <w:t xml:space="preserve">colleges “owe a duty to students </w:t>
      </w:r>
      <w:r>
        <w:rPr>
          <w:i/>
        </w:rPr>
        <w:t>who are on school grounds</w:t>
      </w:r>
      <w:r>
        <w:t xml:space="preserve"> to supervise them and to enforce rules and regulations necessary for their protection.”  (</w:t>
      </w:r>
      <w:r>
        <w:rPr>
          <w:i/>
        </w:rPr>
        <w:t>Id</w:t>
      </w:r>
      <w:r>
        <w:t>. a</w:t>
      </w:r>
      <w:r>
        <w:t>t p. 281</w:t>
      </w:r>
      <w:r>
        <w:t>, italics added</w:t>
      </w:r>
      <w:r>
        <w:t xml:space="preserve">.)  However, </w:t>
      </w:r>
      <w:r>
        <w:t xml:space="preserve">the </w:t>
      </w:r>
      <w:r>
        <w:t>more “</w:t>
      </w:r>
      <w:proofErr w:type="gramStart"/>
      <w:r>
        <w:t>difficult question</w:t>
      </w:r>
      <w:proofErr w:type="gramEnd"/>
      <w:r>
        <w:t xml:space="preserve">” </w:t>
      </w:r>
      <w:r>
        <w:t xml:space="preserve">was </w:t>
      </w:r>
      <w:r>
        <w:t xml:space="preserve">whether colleges have a special relationship-based duty to protect students </w:t>
      </w:r>
      <w:r>
        <w:t>in other environments</w:t>
      </w:r>
      <w:r>
        <w:t>.  (</w:t>
      </w:r>
      <w:r>
        <w:rPr>
          <w:i/>
        </w:rPr>
        <w:t>Id</w:t>
      </w:r>
      <w:r>
        <w:t>. at p. 283.)</w:t>
      </w:r>
      <w:r>
        <w:t xml:space="preserve">  The court examined relevant policy factors and concluded the demise </w:t>
      </w:r>
      <w:r>
        <w:t xml:space="preserve">of colleges’ </w:t>
      </w:r>
      <w:r w:rsidRPr="005E3A57">
        <w:t>in loco parentis</w:t>
      </w:r>
      <w:r>
        <w:t xml:space="preserve"> role weighed against finding a duty of care.  (</w:t>
      </w:r>
      <w:r>
        <w:rPr>
          <w:i/>
        </w:rPr>
        <w:t>Id</w:t>
      </w:r>
      <w:r>
        <w:t xml:space="preserve">. at </w:t>
      </w:r>
      <w:r>
        <w:t>p. </w:t>
      </w:r>
      <w:r>
        <w:t xml:space="preserve">287.)  </w:t>
      </w:r>
      <w:r>
        <w:t xml:space="preserve">Distinguishing special relationships recognized in other contexts, the court concluded the university </w:t>
      </w:r>
      <w:r>
        <w:t>lacked sufficient control over student</w:t>
      </w:r>
      <w:r>
        <w:t xml:space="preserve"> </w:t>
      </w:r>
      <w:r>
        <w:t xml:space="preserve">behavior to justify </w:t>
      </w:r>
      <w:r>
        <w:t>imposing a duty to prevent on-campus drinking.  (</w:t>
      </w:r>
      <w:r>
        <w:rPr>
          <w:i/>
        </w:rPr>
        <w:t>Id</w:t>
      </w:r>
      <w:r>
        <w:t>. at pp. 285-287, 290-291.)</w:t>
      </w:r>
    </w:p>
    <w:p w:rsidR="00EA0D2F" w:rsidRDefault="0012664A" w:rsidP="00236FE9">
      <w:pPr>
        <w:spacing w:line="360" w:lineRule="auto"/>
      </w:pPr>
      <w:r>
        <w:tab/>
      </w:r>
      <w:r>
        <w:t>A</w:t>
      </w:r>
      <w:r>
        <w:t>nother</w:t>
      </w:r>
      <w:r w:rsidRPr="00FB6585">
        <w:t xml:space="preserve"> </w:t>
      </w:r>
      <w:r>
        <w:t>California State</w:t>
      </w:r>
      <w:r>
        <w:t xml:space="preserve"> student </w:t>
      </w:r>
      <w:r>
        <w:t xml:space="preserve">sued the </w:t>
      </w:r>
      <w:r>
        <w:t>u</w:t>
      </w:r>
      <w:r>
        <w:t>niversity after</w:t>
      </w:r>
      <w:r>
        <w:t xml:space="preserve"> a </w:t>
      </w:r>
      <w:proofErr w:type="gramStart"/>
      <w:r>
        <w:t>fellow student</w:t>
      </w:r>
      <w:proofErr w:type="gramEnd"/>
      <w:r>
        <w:t xml:space="preserve"> </w:t>
      </w:r>
      <w:r>
        <w:t>assaulted</w:t>
      </w:r>
      <w:r>
        <w:t xml:space="preserve"> him</w:t>
      </w:r>
      <w:r>
        <w:t xml:space="preserve"> at a dormitory “keg party</w:t>
      </w:r>
      <w:r>
        <w:t>.</w:t>
      </w:r>
      <w:r>
        <w:t>”</w:t>
      </w:r>
      <w:r>
        <w:t xml:space="preserve">  </w:t>
      </w:r>
      <w:r>
        <w:t>(</w:t>
      </w:r>
      <w:r>
        <w:rPr>
          <w:i/>
        </w:rPr>
        <w:t>Crow v. State of California</w:t>
      </w:r>
      <w:r>
        <w:t xml:space="preserve"> (1990)</w:t>
      </w:r>
      <w:r>
        <w:t xml:space="preserve"> 222 Cal.App.3d 192, 1</w:t>
      </w:r>
      <w:r>
        <w:t>97.)</w:t>
      </w:r>
      <w:r>
        <w:t xml:space="preserve">  </w:t>
      </w:r>
      <w:r>
        <w:t>Under the facts of the case, th</w:t>
      </w:r>
      <w:r>
        <w:t xml:space="preserve">e Court of Appeal rejected the argument that </w:t>
      </w:r>
      <w:r>
        <w:t xml:space="preserve">plaintiff’s </w:t>
      </w:r>
      <w:r>
        <w:t xml:space="preserve">student </w:t>
      </w:r>
      <w:r>
        <w:t>s</w:t>
      </w:r>
      <w:r>
        <w:t xml:space="preserve">tatus </w:t>
      </w:r>
      <w:r>
        <w:t xml:space="preserve">put him in a special relationship </w:t>
      </w:r>
      <w:r>
        <w:t xml:space="preserve">with the university.  </w:t>
      </w:r>
      <w:r>
        <w:t>(</w:t>
      </w:r>
      <w:r>
        <w:rPr>
          <w:i/>
        </w:rPr>
        <w:t>Id</w:t>
      </w:r>
      <w:r>
        <w:t xml:space="preserve">. at p. 208.) </w:t>
      </w:r>
      <w:r>
        <w:t xml:space="preserve"> T</w:t>
      </w:r>
      <w:r>
        <w:t>he court had previously held that high schools have a duty to protect st</w:t>
      </w:r>
      <w:r>
        <w:t>udents from assault on campus</w:t>
      </w:r>
      <w:r>
        <w:t xml:space="preserve">. </w:t>
      </w:r>
      <w:r>
        <w:t xml:space="preserve"> (</w:t>
      </w:r>
      <w:r>
        <w:t>S</w:t>
      </w:r>
      <w:r>
        <w:t xml:space="preserve">ee </w:t>
      </w:r>
      <w:r>
        <w:rPr>
          <w:i/>
        </w:rPr>
        <w:t xml:space="preserve">Leger v. Stockton </w:t>
      </w:r>
      <w:r>
        <w:rPr>
          <w:i/>
        </w:rPr>
        <w:lastRenderedPageBreak/>
        <w:t>Unified School Dist.</w:t>
      </w:r>
      <w:r>
        <w:t xml:space="preserve"> (1988) 202 Cal.App.3d 1448</w:t>
      </w:r>
      <w:r>
        <w:t>.</w:t>
      </w:r>
      <w:r>
        <w:t>)</w:t>
      </w:r>
      <w:r>
        <w:t xml:space="preserve">  However</w:t>
      </w:r>
      <w:r>
        <w:t xml:space="preserve">, </w:t>
      </w:r>
      <w:r>
        <w:t>it</w:t>
      </w:r>
      <w:r>
        <w:t xml:space="preserve"> distinguished that case because high school attendance is mandatory, high scho</w:t>
      </w:r>
      <w:r>
        <w:t xml:space="preserve">ols “are directly in charge” of students on campus, and the </w:t>
      </w:r>
      <w:r>
        <w:t xml:space="preserve">attack </w:t>
      </w:r>
      <w:r>
        <w:t xml:space="preserve">in the </w:t>
      </w:r>
      <w:r>
        <w:rPr>
          <w:i/>
        </w:rPr>
        <w:t>Leger</w:t>
      </w:r>
      <w:r>
        <w:t xml:space="preserve"> case</w:t>
      </w:r>
      <w:r>
        <w:t xml:space="preserve"> was foreseeable.  (</w:t>
      </w:r>
      <w:r>
        <w:rPr>
          <w:i/>
        </w:rPr>
        <w:t>Crow</w:t>
      </w:r>
      <w:r>
        <w:t>, at p. 208.)  “Here, in contrast, plaintiff was an adult college student voluntarily participating in drinking beer at the dormitory.  No claim was made that the [university] knew or should have known of any</w:t>
      </w:r>
      <w:r>
        <w:t xml:space="preserve"> particular risk of harm at this particular dormitory.”  (</w:t>
      </w:r>
      <w:r>
        <w:rPr>
          <w:i/>
        </w:rPr>
        <w:t>Ibid</w:t>
      </w:r>
      <w:r>
        <w:t xml:space="preserve">.)  </w:t>
      </w:r>
      <w:r>
        <w:t xml:space="preserve">The court drew heavily from </w:t>
      </w:r>
      <w:r w:rsidRPr="005931A1">
        <w:rPr>
          <w:i/>
        </w:rPr>
        <w:t>Baldwin</w:t>
      </w:r>
      <w:r>
        <w:t xml:space="preserve">’s </w:t>
      </w:r>
      <w:r w:rsidRPr="005931A1">
        <w:t>reasoning</w:t>
      </w:r>
      <w:r>
        <w:t xml:space="preserve"> that the </w:t>
      </w:r>
      <w:r w:rsidRPr="005E3A57">
        <w:t>in loco parentis</w:t>
      </w:r>
      <w:r>
        <w:t xml:space="preserve"> obligations of colleges have declined and modern universities cannot reasonably </w:t>
      </w:r>
      <w:proofErr w:type="gramStart"/>
      <w:r>
        <w:t>be expected</w:t>
      </w:r>
      <w:proofErr w:type="gramEnd"/>
      <w:r>
        <w:t xml:space="preserve"> to safeguard students from all the risks associated with alcohol use.</w:t>
      </w:r>
      <w:r>
        <w:t xml:space="preserve">  (</w:t>
      </w:r>
      <w:r>
        <w:rPr>
          <w:i/>
        </w:rPr>
        <w:t>Crow</w:t>
      </w:r>
      <w:r>
        <w:t xml:space="preserve">, at p. 209; see </w:t>
      </w:r>
      <w:r>
        <w:rPr>
          <w:i/>
        </w:rPr>
        <w:t>Baldwin</w:t>
      </w:r>
      <w:r>
        <w:t xml:space="preserve">, </w:t>
      </w:r>
      <w:r>
        <w:rPr>
          <w:i/>
        </w:rPr>
        <w:t>supra</w:t>
      </w:r>
      <w:r>
        <w:t>, 123 Cal.App.3d at p. 287.)</w:t>
      </w:r>
    </w:p>
    <w:p w:rsidR="00F90985" w:rsidRPr="00494279" w:rsidRDefault="0012664A" w:rsidP="00236FE9">
      <w:pPr>
        <w:spacing w:line="360" w:lineRule="auto"/>
      </w:pPr>
      <w:r>
        <w:tab/>
        <w:t xml:space="preserve">In a third case from this </w:t>
      </w:r>
      <w:r>
        <w:t xml:space="preserve">era, a University of California student </w:t>
      </w:r>
      <w:r>
        <w:t xml:space="preserve">was raped by </w:t>
      </w:r>
      <w:proofErr w:type="gramStart"/>
      <w:r>
        <w:t>fellow student</w:t>
      </w:r>
      <w:r>
        <w:t>s</w:t>
      </w:r>
      <w:proofErr w:type="gramEnd"/>
      <w:r>
        <w:t xml:space="preserve"> after a dormitory party</w:t>
      </w:r>
      <w:r>
        <w:t>.</w:t>
      </w:r>
      <w:r>
        <w:t xml:space="preserve">  (</w:t>
      </w:r>
      <w:r>
        <w:rPr>
          <w:i/>
        </w:rPr>
        <w:t>Tanja H. v. Regents of University of California</w:t>
      </w:r>
      <w:r>
        <w:t xml:space="preserve"> (1991) 228 Cal.App.3d 434</w:t>
      </w:r>
      <w:r>
        <w:t>.)</w:t>
      </w:r>
      <w:r>
        <w:t xml:space="preserve">  The court </w:t>
      </w:r>
      <w:r>
        <w:t xml:space="preserve">relied on </w:t>
      </w:r>
      <w:r>
        <w:rPr>
          <w:i/>
        </w:rPr>
        <w:t>Baldwin</w:t>
      </w:r>
      <w:r>
        <w:t xml:space="preserve"> and </w:t>
      </w:r>
      <w:r>
        <w:rPr>
          <w:i/>
        </w:rPr>
        <w:t>Crow</w:t>
      </w:r>
      <w:r>
        <w:t xml:space="preserve"> </w:t>
      </w:r>
      <w:r>
        <w:t>to reject</w:t>
      </w:r>
      <w:r>
        <w:t xml:space="preserve"> her claim </w:t>
      </w:r>
      <w:r>
        <w:t>against the school.  Sensi</w:t>
      </w:r>
      <w:r>
        <w:t>tive to the fact that both the plaintiff and her attacker</w:t>
      </w:r>
      <w:r>
        <w:t>s</w:t>
      </w:r>
      <w:r>
        <w:t xml:space="preserve"> had </w:t>
      </w:r>
      <w:r>
        <w:t>ingested</w:t>
      </w:r>
      <w:r>
        <w:t xml:space="preserve"> significant amounts of alcohol</w:t>
      </w:r>
      <w:r>
        <w:t xml:space="preserve">, </w:t>
      </w:r>
      <w:r>
        <w:t>the court s</w:t>
      </w:r>
      <w:r>
        <w:t xml:space="preserve">tressed that a duty </w:t>
      </w:r>
      <w:r>
        <w:t>to prevent alcohol-related crimes</w:t>
      </w:r>
      <w:r>
        <w:t xml:space="preserve"> would require colleges to “impose onerous</w:t>
      </w:r>
      <w:r>
        <w:t xml:space="preserve"> conditions on the freedom and privacy of resi</w:t>
      </w:r>
      <w:r>
        <w:t>dent students,” contrary to the modern view that adult students are generally responsible for their own welfare.  (</w:t>
      </w:r>
      <w:r>
        <w:rPr>
          <w:i/>
        </w:rPr>
        <w:t>Tanja H</w:t>
      </w:r>
      <w:r>
        <w:rPr>
          <w:i/>
        </w:rPr>
        <w:t>.</w:t>
      </w:r>
      <w:r>
        <w:t>, at p. 438.)</w:t>
      </w:r>
      <w:r>
        <w:t xml:space="preserve">  </w:t>
      </w:r>
      <w:r>
        <w:t>Such</w:t>
      </w:r>
      <w:r>
        <w:t xml:space="preserve"> a duty could not </w:t>
      </w:r>
      <w:proofErr w:type="gramStart"/>
      <w:r>
        <w:t>be recognized</w:t>
      </w:r>
      <w:proofErr w:type="gramEnd"/>
      <w:r>
        <w:t xml:space="preserve"> without resurrecting the university’s former </w:t>
      </w:r>
      <w:r w:rsidRPr="005E3A57">
        <w:t>in loco parentis</w:t>
      </w:r>
      <w:r>
        <w:t xml:space="preserve"> </w:t>
      </w:r>
      <w:r w:rsidRPr="006F313C">
        <w:t>role</w:t>
      </w:r>
      <w:r>
        <w:t>.  (</w:t>
      </w:r>
      <w:r>
        <w:rPr>
          <w:i/>
        </w:rPr>
        <w:t>Id</w:t>
      </w:r>
      <w:r>
        <w:t xml:space="preserve">. at </w:t>
      </w:r>
      <w:r>
        <w:t>pp. 438-439</w:t>
      </w:r>
      <w:r>
        <w:t xml:space="preserve">; </w:t>
      </w:r>
      <w:r>
        <w:t xml:space="preserve">see </w:t>
      </w:r>
      <w:r>
        <w:rPr>
          <w:i/>
        </w:rPr>
        <w:t>id</w:t>
      </w:r>
      <w:r>
        <w:t>.</w:t>
      </w:r>
      <w:r>
        <w:t xml:space="preserve"> </w:t>
      </w:r>
      <w:r>
        <w:t>at p. 446 (conc. opn. of Kline, P.</w:t>
      </w:r>
      <w:r>
        <w:t> </w:t>
      </w:r>
      <w:r>
        <w:t>J.).)</w:t>
      </w:r>
    </w:p>
    <w:p w:rsidR="00B76F32" w:rsidRDefault="0012664A" w:rsidP="00B76F32">
      <w:pPr>
        <w:spacing w:line="360" w:lineRule="auto"/>
      </w:pPr>
      <w:r>
        <w:tab/>
      </w:r>
      <w:r>
        <w:t>When</w:t>
      </w:r>
      <w:r>
        <w:t xml:space="preserve"> the </w:t>
      </w:r>
      <w:proofErr w:type="gramStart"/>
      <w:r>
        <w:t>particular problem</w:t>
      </w:r>
      <w:proofErr w:type="gramEnd"/>
      <w:r>
        <w:t xml:space="preserve"> of alcohol-related injuries</w:t>
      </w:r>
      <w:r>
        <w:t xml:space="preserve"> is not involved</w:t>
      </w:r>
      <w:r>
        <w:t>, our cases have taken</w:t>
      </w:r>
      <w:r>
        <w:t xml:space="preserve"> a somewhat broader view of a university’s duties toward </w:t>
      </w:r>
      <w:r>
        <w:t>its students.</w:t>
      </w:r>
      <w:r>
        <w:t xml:space="preserve">  </w:t>
      </w:r>
      <w:r>
        <w:rPr>
          <w:i/>
        </w:rPr>
        <w:t>Peterson v. San Francisco Co</w:t>
      </w:r>
      <w:r>
        <w:rPr>
          <w:i/>
        </w:rPr>
        <w:t>mmunity College Dist</w:t>
      </w:r>
      <w:r>
        <w:t>. (1984) 36 Cal.3d 799, 804</w:t>
      </w:r>
      <w:r>
        <w:t xml:space="preserve"> (</w:t>
      </w:r>
      <w:r>
        <w:rPr>
          <w:i/>
        </w:rPr>
        <w:t>Peterson</w:t>
      </w:r>
      <w:r>
        <w:t>)</w:t>
      </w:r>
      <w:r>
        <w:t xml:space="preserve">, </w:t>
      </w:r>
      <w:r>
        <w:t>considered</w:t>
      </w:r>
      <w:r>
        <w:t xml:space="preserve"> “</w:t>
      </w:r>
      <w:r>
        <w:t xml:space="preserve">whether a community college district and its agents have a duty to exercise due care to protect students from reasonably foreseeable assaults on the campus.”  </w:t>
      </w:r>
      <w:r>
        <w:t xml:space="preserve">There, a student </w:t>
      </w:r>
      <w:proofErr w:type="gramStart"/>
      <w:r>
        <w:t>was inju</w:t>
      </w:r>
      <w:r>
        <w:t>red</w:t>
      </w:r>
      <w:proofErr w:type="gramEnd"/>
      <w:r>
        <w:t xml:space="preserve"> during an attempted rape in a parking structure’s stairway.  (</w:t>
      </w:r>
      <w:r>
        <w:rPr>
          <w:i/>
        </w:rPr>
        <w:t>Id</w:t>
      </w:r>
      <w:r>
        <w:t xml:space="preserve">. at pp. 804-805.)  The </w:t>
      </w:r>
      <w:r>
        <w:lastRenderedPageBreak/>
        <w:t>defendants were aware of similar assaults in the same area.</w:t>
      </w:r>
      <w:r>
        <w:t xml:space="preserve"> </w:t>
      </w:r>
      <w:r>
        <w:t xml:space="preserve"> </w:t>
      </w:r>
      <w:r>
        <w:t>(</w:t>
      </w:r>
      <w:r>
        <w:rPr>
          <w:i/>
        </w:rPr>
        <w:t>Id</w:t>
      </w:r>
      <w:r>
        <w:t>. at p. 805.)</w:t>
      </w:r>
      <w:r>
        <w:t xml:space="preserve">  </w:t>
      </w:r>
      <w:r>
        <w:t xml:space="preserve">We held that, while the </w:t>
      </w:r>
      <w:r>
        <w:t xml:space="preserve">community </w:t>
      </w:r>
      <w:r>
        <w:t xml:space="preserve">college </w:t>
      </w:r>
      <w:r>
        <w:t xml:space="preserve">district </w:t>
      </w:r>
      <w:r>
        <w:t>was immune from liability for fail</w:t>
      </w:r>
      <w:r>
        <w:t>ing to provide adequate police protection, it did have a duty “to warn its students of known dangers posed by criminals on the campus.”  (</w:t>
      </w:r>
      <w:r>
        <w:rPr>
          <w:i/>
        </w:rPr>
        <w:t>I</w:t>
      </w:r>
      <w:r>
        <w:rPr>
          <w:i/>
        </w:rPr>
        <w:t>d</w:t>
      </w:r>
      <w:r>
        <w:t>.</w:t>
      </w:r>
      <w:r>
        <w:t xml:space="preserve"> at p. 804.</w:t>
      </w:r>
      <w:r>
        <w:t>)</w:t>
      </w:r>
      <w:r>
        <w:t xml:space="preserve">  </w:t>
      </w:r>
      <w:r>
        <w:t>This</w:t>
      </w:r>
      <w:r>
        <w:t xml:space="preserve"> holding was based on the district’s status as a landowner, however.  </w:t>
      </w:r>
      <w:r>
        <w:t>W</w:t>
      </w:r>
      <w:r>
        <w:t>e discussed the general pr</w:t>
      </w:r>
      <w:r>
        <w:t>inciple that a duty to warn or protect does not exist</w:t>
      </w:r>
      <w:r>
        <w:t xml:space="preserve"> absent a special relationship (</w:t>
      </w:r>
      <w:r>
        <w:rPr>
          <w:i/>
        </w:rPr>
        <w:t>id</w:t>
      </w:r>
      <w:r>
        <w:t>. at p. </w:t>
      </w:r>
      <w:r>
        <w:t xml:space="preserve">806) but </w:t>
      </w:r>
      <w:r>
        <w:t xml:space="preserve">ultimately concluded the district owed </w:t>
      </w:r>
      <w:r>
        <w:t xml:space="preserve">plaintiff </w:t>
      </w:r>
      <w:r>
        <w:t xml:space="preserve">a duty because </w:t>
      </w:r>
      <w:r>
        <w:t>she</w:t>
      </w:r>
      <w:r>
        <w:t xml:space="preserve"> was on the premises as a</w:t>
      </w:r>
      <w:r>
        <w:t xml:space="preserve"> business</w:t>
      </w:r>
      <w:r>
        <w:t xml:space="preserve"> invitee</w:t>
      </w:r>
      <w:r>
        <w:t xml:space="preserve"> (</w:t>
      </w:r>
      <w:r>
        <w:rPr>
          <w:i/>
        </w:rPr>
        <w:t>i</w:t>
      </w:r>
      <w:r>
        <w:rPr>
          <w:i/>
        </w:rPr>
        <w:t>d</w:t>
      </w:r>
      <w:r>
        <w:t>. at pp. 808-809</w:t>
      </w:r>
      <w:r>
        <w:t>)</w:t>
      </w:r>
      <w:r>
        <w:t>.</w:t>
      </w:r>
      <w:r>
        <w:t xml:space="preserve">  </w:t>
      </w:r>
      <w:r>
        <w:t xml:space="preserve">Although a public </w:t>
      </w:r>
      <w:r>
        <w:t>entity’s liability</w:t>
      </w:r>
      <w:r>
        <w:t xml:space="preserve"> </w:t>
      </w:r>
      <w:proofErr w:type="gramStart"/>
      <w:r>
        <w:t>is generally limited</w:t>
      </w:r>
      <w:proofErr w:type="gramEnd"/>
      <w:r>
        <w:t xml:space="preserve"> to injuries resulting from a dangerous condition of the property itself, </w:t>
      </w:r>
      <w:r>
        <w:t>suit was not barred because the plaintiff had alleged the university’s poor property maintenance increased the risk of criminal activity.  (</w:t>
      </w:r>
      <w:r>
        <w:rPr>
          <w:i/>
        </w:rPr>
        <w:t>Id</w:t>
      </w:r>
      <w:r>
        <w:t>.</w:t>
      </w:r>
      <w:r>
        <w:t xml:space="preserve"> at p. 812.)</w:t>
      </w:r>
    </w:p>
    <w:p w:rsidR="000B248B" w:rsidRPr="002051F5" w:rsidRDefault="0012664A" w:rsidP="00B76F32">
      <w:pPr>
        <w:spacing w:line="360" w:lineRule="auto"/>
      </w:pPr>
      <w:r>
        <w:tab/>
      </w:r>
      <w:r>
        <w:t xml:space="preserve">In </w:t>
      </w:r>
      <w:r>
        <w:rPr>
          <w:i/>
        </w:rPr>
        <w:t>Avila v. Citrus Community College Dist.</w:t>
      </w:r>
      <w:r>
        <w:t xml:space="preserve"> (2006) 38 Cal.4th 148</w:t>
      </w:r>
      <w:r>
        <w:t xml:space="preserve"> (</w:t>
      </w:r>
      <w:r>
        <w:rPr>
          <w:i/>
        </w:rPr>
        <w:t>Avila</w:t>
      </w:r>
      <w:r>
        <w:t>)</w:t>
      </w:r>
      <w:r>
        <w:t xml:space="preserve">, a college baseball player </w:t>
      </w:r>
      <w:proofErr w:type="gramStart"/>
      <w:r>
        <w:t xml:space="preserve">was </w:t>
      </w:r>
      <w:r>
        <w:t>injured</w:t>
      </w:r>
      <w:proofErr w:type="gramEnd"/>
      <w:r>
        <w:t xml:space="preserve"> by a pitch to the head, and w</w:t>
      </w:r>
      <w:r>
        <w:t>e</w:t>
      </w:r>
      <w:r>
        <w:t xml:space="preserve"> </w:t>
      </w:r>
      <w:r>
        <w:t>examined</w:t>
      </w:r>
      <w:r>
        <w:t xml:space="preserve"> a university’s dut</w:t>
      </w:r>
      <w:r>
        <w:t>y</w:t>
      </w:r>
      <w:r>
        <w:t xml:space="preserve"> to students participating in intercollegiate </w:t>
      </w:r>
      <w:r>
        <w:t>sports</w:t>
      </w:r>
      <w:r>
        <w:t xml:space="preserve">.  </w:t>
      </w:r>
      <w:r>
        <w:t xml:space="preserve">We </w:t>
      </w:r>
      <w:r>
        <w:t>noted</w:t>
      </w:r>
      <w:r>
        <w:t xml:space="preserve"> that at</w:t>
      </w:r>
      <w:r>
        <w:t>hletic competition is</w:t>
      </w:r>
      <w:r>
        <w:t xml:space="preserve"> often an important</w:t>
      </w:r>
      <w:r>
        <w:t xml:space="preserve"> part of the college environment, </w:t>
      </w:r>
      <w:r>
        <w:t>benefiting</w:t>
      </w:r>
      <w:r>
        <w:t xml:space="preserve"> </w:t>
      </w:r>
      <w:r>
        <w:t xml:space="preserve">both the students who participate and the </w:t>
      </w:r>
      <w:r>
        <w:t>schools</w:t>
      </w:r>
      <w:r>
        <w:t xml:space="preserve"> they represent.  (</w:t>
      </w:r>
      <w:r>
        <w:rPr>
          <w:i/>
        </w:rPr>
        <w:t>Id</w:t>
      </w:r>
      <w:r>
        <w:t xml:space="preserve">. at p. 162.)  Given these benefits, we held that </w:t>
      </w:r>
      <w:r>
        <w:t>a</w:t>
      </w:r>
      <w:r>
        <w:t xml:space="preserve"> school hosting an </w:t>
      </w:r>
      <w:r>
        <w:t xml:space="preserve">athletic </w:t>
      </w:r>
      <w:r>
        <w:t xml:space="preserve">event owes a duty to </w:t>
      </w:r>
      <w:r>
        <w:t>s</w:t>
      </w:r>
      <w:r>
        <w:t>tudent-</w:t>
      </w:r>
      <w:r>
        <w:t xml:space="preserve">players </w:t>
      </w:r>
      <w:r>
        <w:t>“to, at a minimum, not increase the risks inherent in the sport.”  (</w:t>
      </w:r>
      <w:r>
        <w:rPr>
          <w:i/>
        </w:rPr>
        <w:t>Ibid</w:t>
      </w:r>
      <w:r>
        <w:t>.)</w:t>
      </w:r>
      <w:r>
        <w:t xml:space="preserve">  While acknowledging and professing “no quarrel with” the Court of Appeal cases holding colleges have no general duty to ensure student welfare</w:t>
      </w:r>
      <w:r>
        <w:t xml:space="preserve"> (</w:t>
      </w:r>
      <w:r>
        <w:rPr>
          <w:i/>
        </w:rPr>
        <w:t>i</w:t>
      </w:r>
      <w:r>
        <w:rPr>
          <w:i/>
        </w:rPr>
        <w:t>bi</w:t>
      </w:r>
      <w:r>
        <w:rPr>
          <w:i/>
        </w:rPr>
        <w:t>d</w:t>
      </w:r>
      <w:r>
        <w:t>.</w:t>
      </w:r>
      <w:r>
        <w:t>)</w:t>
      </w:r>
      <w:r>
        <w:t xml:space="preserve">, we concluded </w:t>
      </w:r>
      <w:r>
        <w:t xml:space="preserve">that </w:t>
      </w:r>
      <w:r>
        <w:t xml:space="preserve">recognizing a duty to students in school-sponsored athletic events was </w:t>
      </w:r>
      <w:r>
        <w:t xml:space="preserve">“plainly warranted by the relationship of the host school to all the student participants in </w:t>
      </w:r>
      <w:r>
        <w:t xml:space="preserve">the </w:t>
      </w:r>
      <w:r>
        <w:t>competitions it sponsors</w:t>
      </w:r>
      <w:r>
        <w:t>”</w:t>
      </w:r>
      <w:r>
        <w:t xml:space="preserve"> (</w:t>
      </w:r>
      <w:r>
        <w:rPr>
          <w:i/>
        </w:rPr>
        <w:t>i</w:t>
      </w:r>
      <w:r>
        <w:rPr>
          <w:i/>
        </w:rPr>
        <w:t>d</w:t>
      </w:r>
      <w:r>
        <w:t>. at p. 163</w:t>
      </w:r>
      <w:r>
        <w:t>)</w:t>
      </w:r>
      <w:r>
        <w:t>.</w:t>
      </w:r>
    </w:p>
    <w:p w:rsidR="00A91238" w:rsidRDefault="0012664A" w:rsidP="00D568DB">
      <w:pPr>
        <w:spacing w:line="360" w:lineRule="auto"/>
      </w:pPr>
      <w:r>
        <w:tab/>
      </w:r>
      <w:r>
        <w:t>T</w:t>
      </w:r>
      <w:r>
        <w:t>his court has not addressed the colleg</w:t>
      </w:r>
      <w:r>
        <w:t xml:space="preserve">e-student relationship since </w:t>
      </w:r>
      <w:r>
        <w:rPr>
          <w:i/>
        </w:rPr>
        <w:t>Avila</w:t>
      </w:r>
      <w:r>
        <w:t>.  However</w:t>
      </w:r>
      <w:r>
        <w:t xml:space="preserve">, we recently discussed the relationship </w:t>
      </w:r>
      <w:r>
        <w:t>between students and</w:t>
      </w:r>
      <w:r>
        <w:t xml:space="preserve"> a high school </w:t>
      </w:r>
      <w:r>
        <w:t xml:space="preserve">in </w:t>
      </w:r>
      <w:r>
        <w:rPr>
          <w:i/>
        </w:rPr>
        <w:t>William S. Hart</w:t>
      </w:r>
      <w:r>
        <w:t xml:space="preserve">, </w:t>
      </w:r>
      <w:r>
        <w:rPr>
          <w:i/>
        </w:rPr>
        <w:t>supra</w:t>
      </w:r>
      <w:r>
        <w:t xml:space="preserve">, </w:t>
      </w:r>
      <w:r>
        <w:t xml:space="preserve">53 Cal.4th 861, </w:t>
      </w:r>
      <w:r>
        <w:t>where the plaintiff alleged</w:t>
      </w:r>
      <w:r>
        <w:t xml:space="preserve"> sexual harassment </w:t>
      </w:r>
      <w:r>
        <w:t xml:space="preserve">by </w:t>
      </w:r>
      <w:r>
        <w:t>a</w:t>
      </w:r>
      <w:r>
        <w:t xml:space="preserve"> </w:t>
      </w:r>
      <w:r>
        <w:t>high school guidance counselor.</w:t>
      </w:r>
      <w:r>
        <w:t xml:space="preserve">  We explai</w:t>
      </w:r>
      <w:r>
        <w:t>ned that a school district has a special relationship with students “</w:t>
      </w:r>
      <w:r>
        <w:t xml:space="preserve">arising from the mandatory </w:t>
      </w:r>
      <w:r>
        <w:lastRenderedPageBreak/>
        <w:t>character of school attendance and the comprehensive control over students exercised by school personnel, ‘analogous in many ways to the relationship between pa</w:t>
      </w:r>
      <w:r>
        <w:t>rents and their children.</w:t>
      </w:r>
      <w:proofErr w:type="gramStart"/>
      <w:r>
        <w:t>’ ”</w:t>
      </w:r>
      <w:proofErr w:type="gramEnd"/>
      <w:r>
        <w:t xml:space="preserve">  (</w:t>
      </w:r>
      <w:r>
        <w:rPr>
          <w:i/>
        </w:rPr>
        <w:t>Id</w:t>
      </w:r>
      <w:r>
        <w:t>. at p. 869.)</w:t>
      </w:r>
      <w:r>
        <w:t xml:space="preserve">  This special relationship </w:t>
      </w:r>
      <w:r>
        <w:t xml:space="preserve">gives secondary school personnel “the duty to use reasonable measures to protect students from foreseeable injury at the hands of third parties acting negligently or intentionally.” </w:t>
      </w:r>
      <w:r>
        <w:t xml:space="preserve"> (</w:t>
      </w:r>
      <w:r>
        <w:rPr>
          <w:i/>
        </w:rPr>
        <w:t>Id</w:t>
      </w:r>
      <w:r>
        <w:t>. at p. 870.)</w:t>
      </w:r>
    </w:p>
    <w:p w:rsidR="000B248B" w:rsidRPr="0052413F" w:rsidRDefault="0012664A" w:rsidP="00D568DB">
      <w:pPr>
        <w:spacing w:line="360" w:lineRule="auto"/>
      </w:pPr>
      <w:r>
        <w:tab/>
      </w:r>
      <w:r>
        <w:t xml:space="preserve">We must now decide whether </w:t>
      </w:r>
      <w:r>
        <w:t xml:space="preserve">a similar special relationship should </w:t>
      </w:r>
      <w:proofErr w:type="gramStart"/>
      <w:r>
        <w:t>be recognized</w:t>
      </w:r>
      <w:proofErr w:type="gramEnd"/>
      <w:r>
        <w:t xml:space="preserve"> in the college setting.  Considering the </w:t>
      </w:r>
      <w:r>
        <w:t xml:space="preserve">unique features of the college environment, we conclude postsecondary schools </w:t>
      </w:r>
      <w:r w:rsidRPr="00330616">
        <w:rPr>
          <w:i/>
        </w:rPr>
        <w:t>do</w:t>
      </w:r>
      <w:r>
        <w:t xml:space="preserve"> have a special relatio</w:t>
      </w:r>
      <w:r>
        <w:t xml:space="preserve">nship with </w:t>
      </w:r>
      <w:r>
        <w:t>students wh</w:t>
      </w:r>
      <w:r>
        <w:t>ile they</w:t>
      </w:r>
      <w:r>
        <w:t xml:space="preserve"> </w:t>
      </w:r>
      <w:proofErr w:type="gramStart"/>
      <w:r>
        <w:t>are engaged</w:t>
      </w:r>
      <w:proofErr w:type="gramEnd"/>
      <w:r>
        <w:t xml:space="preserve"> in activities</w:t>
      </w:r>
      <w:r>
        <w:t xml:space="preserve"> that are part of the school’s curriculum or closely related to its delivery of educational services.</w:t>
      </w:r>
    </w:p>
    <w:p w:rsidR="00C975F0" w:rsidRDefault="0012664A" w:rsidP="00C975F0">
      <w:pPr>
        <w:spacing w:line="360" w:lineRule="auto"/>
      </w:pPr>
      <w:r>
        <w:tab/>
      </w:r>
      <w:r>
        <w:t xml:space="preserve">Although comparisons can </w:t>
      </w:r>
      <w:proofErr w:type="gramStart"/>
      <w:r>
        <w:t>be made</w:t>
      </w:r>
      <w:proofErr w:type="gramEnd"/>
      <w:r>
        <w:t>, the college e</w:t>
      </w:r>
      <w:r>
        <w:t>nvironment is un</w:t>
      </w:r>
      <w:r>
        <w:t xml:space="preserve">like any other.  Colleges provide </w:t>
      </w:r>
      <w:r>
        <w:t>academic co</w:t>
      </w:r>
      <w:r>
        <w:t>urse</w:t>
      </w:r>
      <w:r>
        <w:t>s</w:t>
      </w:r>
      <w:r>
        <w:t xml:space="preserve"> in exchange for a fee, but a college is far more </w:t>
      </w:r>
      <w:r>
        <w:t>to its students</w:t>
      </w:r>
      <w:r>
        <w:t xml:space="preserve"> than a business</w:t>
      </w:r>
      <w:r>
        <w:t xml:space="preserve">.  Residential colleges provide living spaces, but they are more than mere </w:t>
      </w:r>
      <w:proofErr w:type="gramStart"/>
      <w:r>
        <w:t>landlords</w:t>
      </w:r>
      <w:proofErr w:type="gramEnd"/>
      <w:r>
        <w:t>.</w:t>
      </w:r>
      <w:r>
        <w:t xml:space="preserve">  </w:t>
      </w:r>
      <w:r>
        <w:t>Along with educational services, c</w:t>
      </w:r>
      <w:r>
        <w:t>olleges provide students social</w:t>
      </w:r>
      <w:r>
        <w:t>, athletic,</w:t>
      </w:r>
      <w:r>
        <w:t xml:space="preserve"> and cu</w:t>
      </w:r>
      <w:r>
        <w:t>ltural opportunities</w:t>
      </w:r>
      <w:r>
        <w:t xml:space="preserve">.  Regardless of the campus layout, colleges </w:t>
      </w:r>
      <w:r>
        <w:t xml:space="preserve">provide a discrete </w:t>
      </w:r>
      <w:r>
        <w:rPr>
          <w:i/>
        </w:rPr>
        <w:t>community</w:t>
      </w:r>
      <w:r>
        <w:t xml:space="preserve"> for their students</w:t>
      </w:r>
      <w:r>
        <w:t xml:space="preserve">.  For many students, college is the first time they have lived away from home.  </w:t>
      </w:r>
      <w:r>
        <w:t>Although college</w:t>
      </w:r>
      <w:r>
        <w:t xml:space="preserve"> students may </w:t>
      </w:r>
      <w:r>
        <w:t xml:space="preserve">no longer </w:t>
      </w:r>
      <w:r>
        <w:t>be minors</w:t>
      </w:r>
      <w:r>
        <w:t xml:space="preserve"> under the law</w:t>
      </w:r>
      <w:r>
        <w:t xml:space="preserve">, they </w:t>
      </w:r>
      <w:r>
        <w:t>may</w:t>
      </w:r>
      <w:r>
        <w:t xml:space="preserve"> still </w:t>
      </w:r>
      <w:r>
        <w:t xml:space="preserve">be </w:t>
      </w:r>
      <w:r>
        <w:t>learning how to navigate the world as adults.</w:t>
      </w:r>
      <w:r>
        <w:t xml:space="preserve"> </w:t>
      </w:r>
      <w:r>
        <w:t xml:space="preserve"> </w:t>
      </w:r>
      <w:r>
        <w:t>They</w:t>
      </w:r>
      <w:r>
        <w:t xml:space="preserve"> </w:t>
      </w:r>
      <w:r>
        <w:t>are</w:t>
      </w:r>
      <w:r>
        <w:t xml:space="preserve"> </w:t>
      </w:r>
      <w:r>
        <w:t xml:space="preserve">dependent on </w:t>
      </w:r>
      <w:r>
        <w:t>their college communities to p</w:t>
      </w:r>
      <w:r>
        <w:t>rovide structure, guidance, and</w:t>
      </w:r>
      <w:r>
        <w:t xml:space="preserve"> a </w:t>
      </w:r>
      <w:r w:rsidRPr="00764209">
        <w:t>safe</w:t>
      </w:r>
      <w:r>
        <w:t xml:space="preserve"> </w:t>
      </w:r>
      <w:r>
        <w:t>learning environment</w:t>
      </w:r>
      <w:r>
        <w:t>.</w:t>
      </w:r>
      <w:r>
        <w:t xml:space="preserve">  </w:t>
      </w:r>
      <w:r>
        <w:t>“In the closed environment of a school campus where students pay tuition an</w:t>
      </w:r>
      <w:r>
        <w:t>d other fees in exchange for using the facilities, where they spend a significant portion of their time and may in fact live, they can reasonably expect that the premises will be free from physical defects and that school authorities will also exercise rea</w:t>
      </w:r>
      <w:r>
        <w:t>sonable care to keep the campus free from conditions which increase the risk of crime.</w:t>
      </w:r>
      <w:r>
        <w:t>”</w:t>
      </w:r>
      <w:r>
        <w:t xml:space="preserve">  (</w:t>
      </w:r>
      <w:r>
        <w:rPr>
          <w:i/>
        </w:rPr>
        <w:t>Peterson</w:t>
      </w:r>
      <w:r>
        <w:t xml:space="preserve">, </w:t>
      </w:r>
      <w:r>
        <w:rPr>
          <w:i/>
        </w:rPr>
        <w:t>supra</w:t>
      </w:r>
      <w:r>
        <w:t>, 36 Cal.3d at p. 813.)</w:t>
      </w:r>
    </w:p>
    <w:p w:rsidR="001D54B8" w:rsidRDefault="0012664A" w:rsidP="009076BC">
      <w:pPr>
        <w:spacing w:line="360" w:lineRule="auto"/>
      </w:pPr>
      <w:r>
        <w:tab/>
      </w:r>
      <w:r>
        <w:t xml:space="preserve">Colleges, in turn, have superior control over the environment and </w:t>
      </w:r>
      <w:r>
        <w:t>the</w:t>
      </w:r>
      <w:r>
        <w:t xml:space="preserve"> ability to protect students.</w:t>
      </w:r>
      <w:r>
        <w:t xml:space="preserve">  </w:t>
      </w:r>
      <w:r>
        <w:t xml:space="preserve">Colleges impose a variety </w:t>
      </w:r>
      <w:r>
        <w:t>of rules and restrictions,</w:t>
      </w:r>
      <w:r>
        <w:t xml:space="preserve"> both</w:t>
      </w:r>
      <w:r>
        <w:t xml:space="preserve"> in the </w:t>
      </w:r>
      <w:r>
        <w:lastRenderedPageBreak/>
        <w:t xml:space="preserve">classroom and across campus, </w:t>
      </w:r>
      <w:r>
        <w:t>to maintain</w:t>
      </w:r>
      <w:r>
        <w:t xml:space="preserve"> a safe and orderly environment.  </w:t>
      </w:r>
      <w:r>
        <w:t xml:space="preserve">They </w:t>
      </w:r>
      <w:r>
        <w:t xml:space="preserve">often </w:t>
      </w:r>
      <w:r>
        <w:t xml:space="preserve">employ resident advisers, mental health counselors, and campus police.  </w:t>
      </w:r>
      <w:r>
        <w:t xml:space="preserve">They can monitor and discipline </w:t>
      </w:r>
      <w:r>
        <w:t xml:space="preserve">students when necessary.  </w:t>
      </w:r>
      <w:r>
        <w:t>“W</w:t>
      </w:r>
      <w:r>
        <w:t>hile its primary function is to foster intellectual development through an academic curriculum, the institution is involved in all aspects of student life.</w:t>
      </w:r>
      <w:r>
        <w:t xml:space="preserve"> </w:t>
      </w:r>
      <w:r>
        <w:t xml:space="preserve"> Through its providing of food, housing, security, and a range of extracurricular activities the mod</w:t>
      </w:r>
      <w:r>
        <w:t>ern university provides a setting in which every aspect of student life is, to some degree, university guided.</w:t>
      </w:r>
      <w:r>
        <w:t>”  (</w:t>
      </w:r>
      <w:proofErr w:type="spellStart"/>
      <w:r w:rsidRPr="005F3945">
        <w:rPr>
          <w:i/>
        </w:rPr>
        <w:t>Furek</w:t>
      </w:r>
      <w:proofErr w:type="spellEnd"/>
      <w:r w:rsidRPr="005F3945">
        <w:rPr>
          <w:i/>
        </w:rPr>
        <w:t xml:space="preserve"> v. University of Delaware</w:t>
      </w:r>
      <w:r>
        <w:t xml:space="preserve"> (Del. 1991) 594 A.2d 506, 516</w:t>
      </w:r>
      <w:r>
        <w:t>.)  Finally, in a broader sense, college administrators and educators “have the p</w:t>
      </w:r>
      <w:r>
        <w:t>ower to influence [students’] values, their consciousness, their relationships, and their behaviors.”  (de</w:t>
      </w:r>
      <w:r>
        <w:t> </w:t>
      </w:r>
      <w:r>
        <w:t xml:space="preserve">Haven, </w:t>
      </w:r>
      <w:r>
        <w:rPr>
          <w:i/>
        </w:rPr>
        <w:t>The Elephant in the Ivory Tower: Rampages in Higher Education and the Case for Institutional Liability</w:t>
      </w:r>
      <w:r>
        <w:t xml:space="preserve"> (2009) 35 J.</w:t>
      </w:r>
      <w:r>
        <w:t>C.</w:t>
      </w:r>
      <w:r>
        <w:t xml:space="preserve"> </w:t>
      </w:r>
      <w:r>
        <w:t>&amp; U.L.</w:t>
      </w:r>
      <w:r>
        <w:t xml:space="preserve"> 503, 611</w:t>
      </w:r>
      <w:r>
        <w:t xml:space="preserve"> (hereaft</w:t>
      </w:r>
      <w:r>
        <w:t>er de</w:t>
      </w:r>
      <w:r>
        <w:t> </w:t>
      </w:r>
      <w:r>
        <w:t>Haven)</w:t>
      </w:r>
      <w:r>
        <w:t xml:space="preserve">.)  </w:t>
      </w:r>
    </w:p>
    <w:p w:rsidR="007A50EC" w:rsidRDefault="0012664A" w:rsidP="004C31DC">
      <w:pPr>
        <w:spacing w:line="360" w:lineRule="auto"/>
      </w:pPr>
      <w:r>
        <w:tab/>
        <w:t xml:space="preserve">The college-student relationship thus fits within the paradigm of a special relationship.  Students are comparatively vulnerable and dependent on their colleges </w:t>
      </w:r>
      <w:r>
        <w:t>for</w:t>
      </w:r>
      <w:r>
        <w:t xml:space="preserve"> a safe environment.  Colleges have a superior ability to provide that saf</w:t>
      </w:r>
      <w:r>
        <w:t>ety with respect to activities they spon</w:t>
      </w:r>
      <w:r>
        <w:t>sor or facilities they control</w:t>
      </w:r>
      <w:r>
        <w:t>.</w:t>
      </w:r>
      <w:r>
        <w:t xml:space="preserve">  Moreover, </w:t>
      </w:r>
      <w:proofErr w:type="gramStart"/>
      <w:r>
        <w:t>this relationship is bounded by the student’s enrollment status</w:t>
      </w:r>
      <w:proofErr w:type="gramEnd"/>
      <w:r>
        <w:t>.  Colleges do not have a special relationship with the world at large, but only with their enrolled students.</w:t>
      </w:r>
      <w:r>
        <w:t xml:space="preserve">  The population </w:t>
      </w:r>
      <w:proofErr w:type="gramStart"/>
      <w:r>
        <w:t>is limited</w:t>
      </w:r>
      <w:proofErr w:type="gramEnd"/>
      <w:r>
        <w:t>, as is the relationship’s duration.</w:t>
      </w:r>
    </w:p>
    <w:p w:rsidR="00FA461D" w:rsidRPr="008F5E9B" w:rsidRDefault="0012664A" w:rsidP="004C31DC">
      <w:pPr>
        <w:spacing w:line="360" w:lineRule="auto"/>
      </w:pPr>
      <w:r>
        <w:tab/>
        <w:t xml:space="preserve">Of course, many aspects of a modern college student’s life are, quite properly, beyond the institution’s control.  </w:t>
      </w:r>
      <w:r>
        <w:t xml:space="preserve">Colleges generally have little say in how students behave off campus, or in </w:t>
      </w:r>
      <w:r>
        <w:t>their social activities unrelated to school.</w:t>
      </w:r>
      <w:r>
        <w:t xml:space="preserve">  It would be unrealistic for students to rely on their college for protection in these settings, and the college would </w:t>
      </w:r>
      <w:r>
        <w:t xml:space="preserve">often </w:t>
      </w:r>
      <w:r>
        <w:t xml:space="preserve">be unable to provide it. </w:t>
      </w:r>
      <w:r>
        <w:t xml:space="preserve"> </w:t>
      </w:r>
      <w:r>
        <w:t>T</w:t>
      </w:r>
      <w:r>
        <w:t xml:space="preserve">his is another appropriate boundary of the college-student </w:t>
      </w:r>
      <w:r>
        <w:t>relationship:</w:t>
      </w:r>
      <w:r>
        <w:t xml:space="preserve">  </w:t>
      </w:r>
      <w:r>
        <w:t>Colleges are in a special relationship with their enrolled stu</w:t>
      </w:r>
      <w:r>
        <w:t>dents</w:t>
      </w:r>
      <w:r>
        <w:t xml:space="preserve"> only</w:t>
      </w:r>
      <w:r>
        <w:t xml:space="preserve"> in the context of </w:t>
      </w:r>
      <w:r>
        <w:t xml:space="preserve">school-sponsored </w:t>
      </w:r>
      <w:r>
        <w:t xml:space="preserve">activities </w:t>
      </w:r>
      <w:r>
        <w:t>over which the college has some measure of control</w:t>
      </w:r>
      <w:r>
        <w:t>.</w:t>
      </w:r>
      <w:r>
        <w:t xml:space="preserve">  </w:t>
      </w:r>
      <w:r>
        <w:t xml:space="preserve">(Cf. </w:t>
      </w:r>
      <w:r>
        <w:rPr>
          <w:i/>
        </w:rPr>
        <w:t>Avila</w:t>
      </w:r>
      <w:r>
        <w:t xml:space="preserve">, </w:t>
      </w:r>
      <w:r>
        <w:rPr>
          <w:i/>
        </w:rPr>
        <w:t>supra</w:t>
      </w:r>
      <w:r>
        <w:t>, 38 Cal.4th at p. 163 [“school-supervised” athletic</w:t>
      </w:r>
      <w:r>
        <w:t xml:space="preserve"> events]</w:t>
      </w:r>
      <w:r>
        <w:t xml:space="preserve">; </w:t>
      </w:r>
      <w:r>
        <w:rPr>
          <w:i/>
        </w:rPr>
        <w:t xml:space="preserve">Patterson v. </w:t>
      </w:r>
      <w:r>
        <w:rPr>
          <w:i/>
        </w:rPr>
        <w:lastRenderedPageBreak/>
        <w:t>Sacramento City Unified School Dist.</w:t>
      </w:r>
      <w:r>
        <w:t xml:space="preserve"> (2007) 155 Cal.App.4th 821, 830 </w:t>
      </w:r>
      <w:proofErr w:type="gramStart"/>
      <w:r>
        <w:t>[“</w:t>
      </w:r>
      <w:r>
        <w:t> ‘</w:t>
      </w:r>
      <w:proofErr w:type="gramEnd"/>
      <w:r>
        <w:t>school-sponsored</w:t>
      </w:r>
      <w:r>
        <w:t>’ </w:t>
      </w:r>
      <w:r>
        <w:t>” community service project]</w:t>
      </w:r>
      <w:r>
        <w:t>.)</w:t>
      </w:r>
      <w:r>
        <w:t xml:space="preserve"> </w:t>
      </w:r>
      <w:r>
        <w:t xml:space="preserve"> </w:t>
      </w:r>
      <w:r>
        <w:t>As commentators have observed, while there is an “emerging trend” of courts recognizing a special relationship</w:t>
      </w:r>
      <w:r>
        <w:t xml:space="preserve"> between colleges and their students (</w:t>
      </w:r>
      <w:proofErr w:type="spellStart"/>
      <w:r>
        <w:t>Sokolow</w:t>
      </w:r>
      <w:proofErr w:type="spellEnd"/>
      <w:r>
        <w:t xml:space="preserve">, </w:t>
      </w:r>
      <w:r>
        <w:rPr>
          <w:i/>
        </w:rPr>
        <w:t>supra</w:t>
      </w:r>
      <w:r>
        <w:t xml:space="preserve">, 34 J.C. &amp; U.L. at p. 323), this relationship supports a duty of care only with respect to “risks that arise within the scope of the school-student relationship.”  </w:t>
      </w:r>
      <w:r>
        <w:t>(</w:t>
      </w:r>
      <w:r w:rsidRPr="00190F5B">
        <w:rPr>
          <w:i/>
        </w:rPr>
        <w:t>Id</w:t>
      </w:r>
      <w:r>
        <w:t>. at p</w:t>
      </w:r>
      <w:r>
        <w:t>p</w:t>
      </w:r>
      <w:r>
        <w:t>. </w:t>
      </w:r>
      <w:r>
        <w:t>323-</w:t>
      </w:r>
      <w:r w:rsidRPr="00190F5B">
        <w:t>324</w:t>
      </w:r>
      <w:r>
        <w:t xml:space="preserve">; see </w:t>
      </w:r>
      <w:r>
        <w:t>Peters</w:t>
      </w:r>
      <w:r>
        <w:t xml:space="preserve">, </w:t>
      </w:r>
      <w:r w:rsidRPr="008F3CE7">
        <w:rPr>
          <w:i/>
        </w:rPr>
        <w:t>Protec</w:t>
      </w:r>
      <w:r w:rsidRPr="008F3CE7">
        <w:rPr>
          <w:i/>
        </w:rPr>
        <w:t>ting the Mille</w:t>
      </w:r>
      <w:r w:rsidRPr="008F3CE7">
        <w:rPr>
          <w:i/>
        </w:rPr>
        <w:t>n</w:t>
      </w:r>
      <w:r w:rsidRPr="008F3CE7">
        <w:rPr>
          <w:i/>
        </w:rPr>
        <w:t>nial</w:t>
      </w:r>
      <w:r w:rsidRPr="008F3CE7">
        <w:rPr>
          <w:i/>
        </w:rPr>
        <w:t xml:space="preserve"> College Student</w:t>
      </w:r>
      <w:r>
        <w:t xml:space="preserve"> (2007) 16 S. Cal. Rev. L. &amp; Soc. Just. 431, 459-460; </w:t>
      </w:r>
      <w:r>
        <w:t>Dall</w:t>
      </w:r>
      <w:r>
        <w:t xml:space="preserve">, </w:t>
      </w:r>
      <w:r>
        <w:rPr>
          <w:i/>
        </w:rPr>
        <w:t>Determining Duty in Collegiate Tort Litigation: Shifting the Paradigms of the College-Student Relationship</w:t>
      </w:r>
      <w:r>
        <w:t xml:space="preserve"> (2003) 29 J.</w:t>
      </w:r>
      <w:r>
        <w:t>C</w:t>
      </w:r>
      <w:r>
        <w:t>.</w:t>
      </w:r>
      <w:r>
        <w:t xml:space="preserve"> &amp; U.L.</w:t>
      </w:r>
      <w:r>
        <w:t xml:space="preserve"> 485</w:t>
      </w:r>
      <w:r>
        <w:t>, 485-487</w:t>
      </w:r>
      <w:r>
        <w:t>.)</w:t>
      </w:r>
    </w:p>
    <w:p w:rsidR="003B0245" w:rsidRDefault="0012664A" w:rsidP="003B0245">
      <w:pPr>
        <w:spacing w:line="360" w:lineRule="auto"/>
      </w:pPr>
      <w:r>
        <w:tab/>
        <w:t xml:space="preserve">Our </w:t>
      </w:r>
      <w:r>
        <w:t xml:space="preserve">recognition </w:t>
      </w:r>
      <w:r>
        <w:t>of a special relationship</w:t>
      </w:r>
      <w:r>
        <w:t xml:space="preserve"> is consistent with decisions from other states.</w:t>
      </w:r>
      <w:r>
        <w:t xml:space="preserve">  </w:t>
      </w:r>
      <w:r>
        <w:t xml:space="preserve">The Supreme Judicial Court of Massachusetts was one of the first to hold that colleges have a duty to protect their students against criminal attacks.  In </w:t>
      </w:r>
      <w:r>
        <w:rPr>
          <w:i/>
        </w:rPr>
        <w:t>Mullins v. Pine Manor Coll</w:t>
      </w:r>
      <w:r>
        <w:rPr>
          <w:i/>
        </w:rPr>
        <w:t>ege</w:t>
      </w:r>
      <w:r>
        <w:t xml:space="preserve"> (1983) 389 Mass. 47, 49-50 [449 N.E.2d 331, 334], a student </w:t>
      </w:r>
      <w:proofErr w:type="gramStart"/>
      <w:r>
        <w:t>was raped</w:t>
      </w:r>
      <w:proofErr w:type="gramEnd"/>
      <w:r>
        <w:t xml:space="preserve"> by an intruder</w:t>
      </w:r>
      <w:r w:rsidRPr="00927E03">
        <w:t xml:space="preserve"> </w:t>
      </w:r>
      <w:r>
        <w:t>to</w:t>
      </w:r>
      <w:r>
        <w:t xml:space="preserve"> her dorm room.  The court observed that colleges customarily </w:t>
      </w:r>
      <w:r>
        <w:t>take steps</w:t>
      </w:r>
      <w:r>
        <w:t xml:space="preserve"> to protect </w:t>
      </w:r>
      <w:r>
        <w:t xml:space="preserve">their students </w:t>
      </w:r>
      <w:r>
        <w:t>from</w:t>
      </w:r>
      <w:r>
        <w:t xml:space="preserve"> </w:t>
      </w:r>
      <w:r>
        <w:t>crime on campus</w:t>
      </w:r>
      <w:r>
        <w:t>,</w:t>
      </w:r>
      <w:r>
        <w:t xml:space="preserve"> recogniz</w:t>
      </w:r>
      <w:r>
        <w:t>ing</w:t>
      </w:r>
      <w:r>
        <w:t xml:space="preserve"> </w:t>
      </w:r>
      <w:r>
        <w:t xml:space="preserve">they had some obligation </w:t>
      </w:r>
      <w:r>
        <w:t xml:space="preserve">to do </w:t>
      </w:r>
      <w:r>
        <w:t>so</w:t>
      </w:r>
      <w:r>
        <w:t>.  (</w:t>
      </w:r>
      <w:r>
        <w:rPr>
          <w:i/>
        </w:rPr>
        <w:t>Id.</w:t>
      </w:r>
      <w:r>
        <w:t xml:space="preserve"> at p. 335.)  </w:t>
      </w:r>
      <w:r>
        <w:t>In addition</w:t>
      </w:r>
      <w:r>
        <w:t>, colleges are the party best situated to implement safety measures.</w:t>
      </w:r>
      <w:r>
        <w:t xml:space="preserve">  (</w:t>
      </w:r>
      <w:r>
        <w:rPr>
          <w:i/>
        </w:rPr>
        <w:t>Ibid</w:t>
      </w:r>
      <w:r>
        <w:t>.)</w:t>
      </w:r>
      <w:r>
        <w:t xml:space="preserve">  Rejecting the argument that</w:t>
      </w:r>
      <w:r>
        <w:t xml:space="preserve"> a duty to protect would be inconsistent with</w:t>
      </w:r>
      <w:r>
        <w:t xml:space="preserve"> </w:t>
      </w:r>
      <w:r>
        <w:t>colleges’</w:t>
      </w:r>
      <w:r>
        <w:t xml:space="preserve"> retreat from an </w:t>
      </w:r>
      <w:r w:rsidRPr="00881224">
        <w:t>in loco parentis</w:t>
      </w:r>
      <w:r>
        <w:t xml:space="preserve"> role, the court </w:t>
      </w:r>
      <w:r>
        <w:t>reasoned</w:t>
      </w:r>
      <w:proofErr w:type="gramStart"/>
      <w:r>
        <w:t xml:space="preserve">:  </w:t>
      </w:r>
      <w:r>
        <w:t>“</w:t>
      </w:r>
      <w:proofErr w:type="gramEnd"/>
      <w:r>
        <w:t>The fact that a college need not police the m</w:t>
      </w:r>
      <w:r>
        <w:t>orals of its resident students . . .</w:t>
      </w:r>
      <w:r>
        <w:t xml:space="preserve"> does not entitle it to abandon any effort to ensure their physical safety.  Parents, students, and the general community still have a reasonable expectation, fostered in par</w:t>
      </w:r>
      <w:r>
        <w:t>t by colleges themselves, that reasonable care will be exercised to protect resident students from foreseeable harm.”  (</w:t>
      </w:r>
      <w:r>
        <w:rPr>
          <w:i/>
        </w:rPr>
        <w:t>Id.</w:t>
      </w:r>
      <w:r>
        <w:t xml:space="preserve"> at pp. 335-336.)</w:t>
      </w:r>
      <w:r>
        <w:t xml:space="preserve">  </w:t>
      </w:r>
      <w:r>
        <w:t>Similarly</w:t>
      </w:r>
      <w:r>
        <w:t xml:space="preserve">, Florida’s Supreme Court observed that the recognition of a special relationship between schools and </w:t>
      </w:r>
      <w:r w:rsidRPr="00DA4660">
        <w:t>min</w:t>
      </w:r>
      <w:r w:rsidRPr="00DA4660">
        <w:t>or</w:t>
      </w:r>
      <w:r>
        <w:t xml:space="preserve"> students, based on </w:t>
      </w:r>
      <w:r w:rsidRPr="00881224">
        <w:t>in loco parentis</w:t>
      </w:r>
      <w:r>
        <w:t xml:space="preserve"> principles, does not preclude finding </w:t>
      </w:r>
      <w:r>
        <w:t xml:space="preserve">that </w:t>
      </w:r>
      <w:r>
        <w:t xml:space="preserve">a </w:t>
      </w:r>
      <w:r>
        <w:rPr>
          <w:i/>
        </w:rPr>
        <w:t>different</w:t>
      </w:r>
      <w:r>
        <w:t xml:space="preserve"> special relationship</w:t>
      </w:r>
      <w:r>
        <w:t xml:space="preserve"> </w:t>
      </w:r>
      <w:r>
        <w:t xml:space="preserve">also </w:t>
      </w:r>
      <w:r>
        <w:t>exists</w:t>
      </w:r>
      <w:r>
        <w:t xml:space="preserve"> between un</w:t>
      </w:r>
      <w:r>
        <w:t>iversities</w:t>
      </w:r>
      <w:r>
        <w:t xml:space="preserve"> and </w:t>
      </w:r>
      <w:r>
        <w:t>their</w:t>
      </w:r>
      <w:r>
        <w:t xml:space="preserve"> adult students.  (</w:t>
      </w:r>
      <w:r>
        <w:rPr>
          <w:i/>
        </w:rPr>
        <w:t>Nova Southeastern University</w:t>
      </w:r>
      <w:r>
        <w:rPr>
          <w:i/>
        </w:rPr>
        <w:t xml:space="preserve"> v. Gross</w:t>
      </w:r>
      <w:r>
        <w:t xml:space="preserve"> (Fla. 2000) 758 So.2d 86, 89.)  </w:t>
      </w:r>
      <w:r>
        <w:lastRenderedPageBreak/>
        <w:t>The</w:t>
      </w:r>
      <w:r>
        <w:t xml:space="preserve"> </w:t>
      </w:r>
      <w:r>
        <w:t>Florid</w:t>
      </w:r>
      <w:r>
        <w:t>a</w:t>
      </w:r>
      <w:r>
        <w:t xml:space="preserve"> high</w:t>
      </w:r>
      <w:r>
        <w:t xml:space="preserve"> court</w:t>
      </w:r>
      <w:r>
        <w:t xml:space="preserve"> reasoned that</w:t>
      </w:r>
      <w:r>
        <w:t xml:space="preserve"> </w:t>
      </w:r>
      <w:r>
        <w:t>a</w:t>
      </w:r>
      <w:r>
        <w:t xml:space="preserve"> duty</w:t>
      </w:r>
      <w:r>
        <w:t xml:space="preserve"> to protect a</w:t>
      </w:r>
      <w:r>
        <w:t>rises</w:t>
      </w:r>
      <w:r>
        <w:t xml:space="preserve"> from the</w:t>
      </w:r>
      <w:r>
        <w:t xml:space="preserve"> relationship</w:t>
      </w:r>
      <w:r>
        <w:t xml:space="preserve"> </w:t>
      </w:r>
      <w:r>
        <w:t>but is limited by</w:t>
      </w:r>
      <w:r>
        <w:t xml:space="preserve"> the</w:t>
      </w:r>
      <w:r>
        <w:t xml:space="preserve"> univ</w:t>
      </w:r>
      <w:r>
        <w:t xml:space="preserve">ersity’s degree of control over student conduct </w:t>
      </w:r>
      <w:proofErr w:type="gramStart"/>
      <w:r>
        <w:t>in a given</w:t>
      </w:r>
      <w:proofErr w:type="gramEnd"/>
      <w:r>
        <w:t xml:space="preserve"> setting.  (</w:t>
      </w:r>
      <w:r>
        <w:rPr>
          <w:i/>
        </w:rPr>
        <w:t>Ibid</w:t>
      </w:r>
      <w:r>
        <w:t xml:space="preserve">.) </w:t>
      </w:r>
      <w:r>
        <w:t xml:space="preserve"> </w:t>
      </w:r>
      <w:r>
        <w:t xml:space="preserve">In addressing a university’s liability for injuries arising from </w:t>
      </w:r>
      <w:proofErr w:type="gramStart"/>
      <w:r>
        <w:t>a fraternity</w:t>
      </w:r>
      <w:proofErr w:type="gramEnd"/>
      <w:r>
        <w:t xml:space="preserve"> hazing incident, the Supreme Court of Delaware </w:t>
      </w:r>
      <w:r>
        <w:t xml:space="preserve">also rejected the university-as-bystander rationale of cases like </w:t>
      </w:r>
      <w:r>
        <w:rPr>
          <w:i/>
        </w:rPr>
        <w:t>Baldwin</w:t>
      </w:r>
      <w:r>
        <w:t xml:space="preserve"> </w:t>
      </w:r>
      <w:r>
        <w:t>and focused</w:t>
      </w:r>
      <w:r>
        <w:t xml:space="preserve"> instead on “the uniqueness of the student</w:t>
      </w:r>
      <w:r>
        <w:t>-uni</w:t>
      </w:r>
      <w:r>
        <w:t>versity</w:t>
      </w:r>
      <w:r>
        <w:t xml:space="preserve"> relationship.”  (</w:t>
      </w:r>
      <w:proofErr w:type="spellStart"/>
      <w:r>
        <w:rPr>
          <w:i/>
        </w:rPr>
        <w:t>Furek</w:t>
      </w:r>
      <w:proofErr w:type="spellEnd"/>
      <w:r>
        <w:rPr>
          <w:i/>
        </w:rPr>
        <w:t xml:space="preserve"> v. University of Delaware</w:t>
      </w:r>
      <w:r>
        <w:t xml:space="preserve">, </w:t>
      </w:r>
      <w:r>
        <w:rPr>
          <w:i/>
        </w:rPr>
        <w:t>supra</w:t>
      </w:r>
      <w:r>
        <w:t>, 594 A.2d at p. 518.)</w:t>
      </w:r>
      <w:r>
        <w:t xml:space="preserve">  </w:t>
      </w:r>
      <w:r>
        <w:t>Delaware’s</w:t>
      </w:r>
      <w:r>
        <w:t xml:space="preserve"> court ultimately held that, while “[t]he university is not an insurer of the safety of its students nor </w:t>
      </w:r>
      <w:proofErr w:type="gramStart"/>
      <w:r>
        <w:t>a policeman</w:t>
      </w:r>
      <w:proofErr w:type="gramEnd"/>
      <w:r>
        <w:t xml:space="preserve"> of student morality, nonetheless, it has a</w:t>
      </w:r>
      <w:r>
        <w:t xml:space="preserve"> duty to regulate and supervise foreseeable dangerous activities occurring on its property,” including “the negligent or intentional activities of third persons.” </w:t>
      </w:r>
      <w:r>
        <w:t xml:space="preserve"> (</w:t>
      </w:r>
      <w:r>
        <w:rPr>
          <w:i/>
        </w:rPr>
        <w:t>Id</w:t>
      </w:r>
      <w:r>
        <w:t xml:space="preserve">. at p. 522.) </w:t>
      </w:r>
      <w:r>
        <w:t xml:space="preserve"> </w:t>
      </w:r>
      <w:r>
        <w:t xml:space="preserve">This duty </w:t>
      </w:r>
      <w:proofErr w:type="gramStart"/>
      <w:r>
        <w:t>was limited</w:t>
      </w:r>
      <w:proofErr w:type="gramEnd"/>
      <w:r>
        <w:t>, however, to</w:t>
      </w:r>
      <w:r>
        <w:t xml:space="preserve"> instances where </w:t>
      </w:r>
      <w:r>
        <w:t>the university exercise</w:t>
      </w:r>
      <w:r>
        <w:t>d some control over the environment or student behavior.  (</w:t>
      </w:r>
      <w:r>
        <w:rPr>
          <w:i/>
        </w:rPr>
        <w:t>Ibid</w:t>
      </w:r>
      <w:r>
        <w:t>.)</w:t>
      </w:r>
      <w:r>
        <w:rPr>
          <w:rStyle w:val="FootnoteReference"/>
        </w:rPr>
        <w:footnoteReference w:id="5"/>
      </w:r>
    </w:p>
    <w:p w:rsidR="00DF041A" w:rsidRPr="00AD16AF" w:rsidRDefault="0012664A" w:rsidP="003B0245">
      <w:pPr>
        <w:spacing w:line="360" w:lineRule="auto"/>
      </w:pPr>
      <w:r>
        <w:tab/>
        <w:t xml:space="preserve">The special relationship we </w:t>
      </w:r>
      <w:r>
        <w:t xml:space="preserve">now </w:t>
      </w:r>
      <w:r>
        <w:t xml:space="preserve">recognize </w:t>
      </w:r>
      <w:proofErr w:type="gramStart"/>
      <w:r>
        <w:t>is similarly limited</w:t>
      </w:r>
      <w:proofErr w:type="gramEnd"/>
      <w:r>
        <w:t>.  It extends to activities</w:t>
      </w:r>
      <w:r>
        <w:t xml:space="preserve"> that </w:t>
      </w:r>
      <w:proofErr w:type="gramStart"/>
      <w:r>
        <w:t>are tied</w:t>
      </w:r>
      <w:proofErr w:type="gramEnd"/>
      <w:r>
        <w:t xml:space="preserve"> to the school’s curriculum</w:t>
      </w:r>
      <w:r>
        <w:t xml:space="preserve"> but not to student </w:t>
      </w:r>
      <w:r>
        <w:t>behavior</w:t>
      </w:r>
      <w:r>
        <w:t xml:space="preserve"> over which the university has</w:t>
      </w:r>
      <w:r>
        <w:t xml:space="preserve"> </w:t>
      </w:r>
      <w:r>
        <w:t>no</w:t>
      </w:r>
      <w:r>
        <w:t xml:space="preserve"> significant</w:t>
      </w:r>
      <w:r>
        <w:t xml:space="preserve"> degree of control. </w:t>
      </w:r>
      <w:r>
        <w:t xml:space="preserve"> The incident here occurred in a chemistry laboratory while class was in session.  </w:t>
      </w:r>
      <w:r>
        <w:t>Education</w:t>
      </w:r>
      <w:r>
        <w:t xml:space="preserve"> is </w:t>
      </w:r>
      <w:r>
        <w:t>at</w:t>
      </w:r>
      <w:r>
        <w:t xml:space="preserve"> the core of a college’s </w:t>
      </w:r>
      <w:r>
        <w:t xml:space="preserve">mission, and the classroom is </w:t>
      </w:r>
      <w:r>
        <w:t xml:space="preserve">the quintessential </w:t>
      </w:r>
      <w:r>
        <w:t xml:space="preserve">setting </w:t>
      </w:r>
      <w:r>
        <w:t>for</w:t>
      </w:r>
      <w:r>
        <w:t xml:space="preserve"> </w:t>
      </w:r>
      <w:r>
        <w:t>curricular</w:t>
      </w:r>
      <w:r>
        <w:t xml:space="preserve"> activities.</w:t>
      </w:r>
      <w:r>
        <w:t xml:space="preserve"> </w:t>
      </w:r>
      <w:r>
        <w:t xml:space="preserve"> </w:t>
      </w:r>
      <w:r>
        <w:t xml:space="preserve">Perhaps more </w:t>
      </w:r>
      <w:r>
        <w:t>t</w:t>
      </w:r>
      <w:r>
        <w:t>han any other place on campus,</w:t>
      </w:r>
      <w:r>
        <w:t xml:space="preserve"> college</w:t>
      </w:r>
      <w:r>
        <w:t>s</w:t>
      </w:r>
      <w:r>
        <w:t xml:space="preserve"> can </w:t>
      </w:r>
      <w:proofErr w:type="gramStart"/>
      <w:r>
        <w:t>be expected</w:t>
      </w:r>
      <w:proofErr w:type="gramEnd"/>
      <w:r>
        <w:t xml:space="preserve"> to retain a measure of control over the classroom environment.</w:t>
      </w:r>
      <w:r>
        <w:t xml:space="preserve">  </w:t>
      </w:r>
      <w:r>
        <w:t>Although</w:t>
      </w:r>
      <w:r>
        <w:t xml:space="preserve"> collegiate </w:t>
      </w:r>
      <w:r>
        <w:t xml:space="preserve">class attendance may not </w:t>
      </w:r>
      <w:proofErr w:type="gramStart"/>
      <w:r>
        <w:t xml:space="preserve">be </w:t>
      </w:r>
      <w:r>
        <w:t xml:space="preserve">as </w:t>
      </w:r>
      <w:r>
        <w:t xml:space="preserve">strictly </w:t>
      </w:r>
      <w:r>
        <w:t>monitored</w:t>
      </w:r>
      <w:proofErr w:type="gramEnd"/>
      <w:r>
        <w:t xml:space="preserve"> as in secondary school, this distinction </w:t>
      </w:r>
      <w:r>
        <w:t>is not</w:t>
      </w:r>
      <w:r>
        <w:t xml:space="preserve"> especially</w:t>
      </w:r>
      <w:r>
        <w:t xml:space="preserve"> signif</w:t>
      </w:r>
      <w:r>
        <w:t>icant</w:t>
      </w:r>
      <w:r>
        <w:t xml:space="preserve">.  </w:t>
      </w:r>
      <w:r>
        <w:t>All college students who hope to obtain a degree must attend classes and required laboratory sessions.</w:t>
      </w:r>
      <w:r>
        <w:t xml:space="preserve">  </w:t>
      </w:r>
      <w:r>
        <w:lastRenderedPageBreak/>
        <w:t xml:space="preserve">It is reasonable for them to expect </w:t>
      </w:r>
      <w:r>
        <w:t xml:space="preserve">that </w:t>
      </w:r>
      <w:r>
        <w:t xml:space="preserve">their schools </w:t>
      </w:r>
      <w:r>
        <w:t>will</w:t>
      </w:r>
      <w:r>
        <w:t xml:space="preserve"> provide some measu</w:t>
      </w:r>
      <w:r>
        <w:t>re of safety in the classroom.</w:t>
      </w:r>
    </w:p>
    <w:p w:rsidR="000B006E" w:rsidRPr="000B006E" w:rsidRDefault="0012664A" w:rsidP="000B006E">
      <w:pPr>
        <w:keepNext/>
        <w:spacing w:line="360" w:lineRule="auto"/>
        <w:rPr>
          <w:i/>
        </w:rPr>
      </w:pPr>
      <w:r>
        <w:tab/>
        <w:t>2.</w:t>
      </w:r>
      <w:r>
        <w:tab/>
      </w:r>
      <w:r>
        <w:rPr>
          <w:i/>
        </w:rPr>
        <w:t xml:space="preserve">Policy </w:t>
      </w:r>
      <w:r>
        <w:rPr>
          <w:i/>
        </w:rPr>
        <w:t>Considerations</w:t>
      </w:r>
      <w:r>
        <w:rPr>
          <w:i/>
        </w:rPr>
        <w:t xml:space="preserve"> </w:t>
      </w:r>
      <w:r>
        <w:rPr>
          <w:i/>
        </w:rPr>
        <w:t>Support R</w:t>
      </w:r>
      <w:r>
        <w:rPr>
          <w:i/>
        </w:rPr>
        <w:t>ecogniz</w:t>
      </w:r>
      <w:r>
        <w:rPr>
          <w:i/>
        </w:rPr>
        <w:t>ing a Limited</w:t>
      </w:r>
      <w:r>
        <w:rPr>
          <w:i/>
        </w:rPr>
        <w:t xml:space="preserve"> Duty</w:t>
      </w:r>
    </w:p>
    <w:p w:rsidR="00043D44" w:rsidRDefault="0012664A" w:rsidP="00F861E9">
      <w:pPr>
        <w:spacing w:line="360" w:lineRule="auto"/>
      </w:pPr>
      <w:r>
        <w:tab/>
      </w:r>
      <w:r>
        <w:t>A</w:t>
      </w:r>
      <w:r>
        <w:t>s discussed, there is generally no duty to protect others from the conduct of third parties</w:t>
      </w:r>
      <w:r>
        <w:t xml:space="preserve">. </w:t>
      </w:r>
      <w:r>
        <w:t xml:space="preserve"> </w:t>
      </w:r>
      <w:r>
        <w:t>T</w:t>
      </w:r>
      <w:r>
        <w:t xml:space="preserve">he “special relationship” doctrine is an exception to this </w:t>
      </w:r>
      <w:r>
        <w:t xml:space="preserve">general </w:t>
      </w:r>
      <w:r>
        <w:t>rule.</w:t>
      </w:r>
      <w:r>
        <w:t xml:space="preserve"> </w:t>
      </w:r>
      <w:r>
        <w:t xml:space="preserve"> (</w:t>
      </w:r>
      <w:r>
        <w:rPr>
          <w:i/>
        </w:rPr>
        <w:t xml:space="preserve">Delgado v. </w:t>
      </w:r>
      <w:proofErr w:type="spellStart"/>
      <w:r>
        <w:rPr>
          <w:i/>
        </w:rPr>
        <w:t>Trax</w:t>
      </w:r>
      <w:proofErr w:type="spellEnd"/>
      <w:r>
        <w:rPr>
          <w:i/>
        </w:rPr>
        <w:t xml:space="preserve"> Bar &amp; Grill</w:t>
      </w:r>
      <w:r>
        <w:t xml:space="preserve"> (2005) 36 Cal.4th 224, 235; </w:t>
      </w:r>
      <w:proofErr w:type="spellStart"/>
      <w:r>
        <w:rPr>
          <w:i/>
        </w:rPr>
        <w:t>Ta</w:t>
      </w:r>
      <w:r>
        <w:rPr>
          <w:i/>
        </w:rPr>
        <w:t>rasoff</w:t>
      </w:r>
      <w:proofErr w:type="spellEnd"/>
      <w:r>
        <w:t xml:space="preserve">, </w:t>
      </w:r>
      <w:r>
        <w:rPr>
          <w:i/>
        </w:rPr>
        <w:t>supra</w:t>
      </w:r>
      <w:r>
        <w:t xml:space="preserve">, 17 Cal.3d at pp. 435-436; Rest.3d Torts, </w:t>
      </w:r>
      <w:r>
        <w:t>Liability for Physical and</w:t>
      </w:r>
      <w:r>
        <w:t xml:space="preserve"> Emotional Harm, § 40.)  </w:t>
      </w:r>
      <w:r>
        <w:t>A</w:t>
      </w:r>
      <w:r>
        <w:t xml:space="preserve">ccordingly, </w:t>
      </w:r>
      <w:proofErr w:type="gramStart"/>
      <w:r>
        <w:t>a</w:t>
      </w:r>
      <w:r>
        <w:t>s a</w:t>
      </w:r>
      <w:r>
        <w:t xml:space="preserve"> consequence of</w:t>
      </w:r>
      <w:proofErr w:type="gramEnd"/>
      <w:r>
        <w:t xml:space="preserve"> </w:t>
      </w:r>
      <w:r>
        <w:t>th</w:t>
      </w:r>
      <w:r>
        <w:t>e</w:t>
      </w:r>
      <w:r>
        <w:t xml:space="preserve"> special relationship</w:t>
      </w:r>
      <w:r>
        <w:t xml:space="preserve"> recognized</w:t>
      </w:r>
      <w:r>
        <w:t xml:space="preserve"> here</w:t>
      </w:r>
      <w:r>
        <w:t>, colleges</w:t>
      </w:r>
      <w:r>
        <w:t xml:space="preserve"> </w:t>
      </w:r>
      <w:r>
        <w:t>generally owe</w:t>
      </w:r>
      <w:r>
        <w:t xml:space="preserve"> a duty to use reasonable care to protect </w:t>
      </w:r>
      <w:r>
        <w:t xml:space="preserve">their </w:t>
      </w:r>
      <w:r>
        <w:t>students</w:t>
      </w:r>
      <w:r>
        <w:t xml:space="preserve"> from foreseeable</w:t>
      </w:r>
      <w:r>
        <w:t xml:space="preserve"> acts of</w:t>
      </w:r>
      <w:r>
        <w:t xml:space="preserve"> </w:t>
      </w:r>
      <w:r>
        <w:t>violence in the classroom</w:t>
      </w:r>
      <w:r>
        <w:t xml:space="preserve"> or during curricular activities</w:t>
      </w:r>
      <w:r>
        <w:t>.</w:t>
      </w:r>
    </w:p>
    <w:p w:rsidR="00484C08" w:rsidRPr="00F861E9" w:rsidRDefault="0012664A" w:rsidP="00F861E9">
      <w:pPr>
        <w:spacing w:line="360" w:lineRule="auto"/>
      </w:pPr>
      <w:r>
        <w:tab/>
      </w:r>
      <w:r>
        <w:t xml:space="preserve">Whether a </w:t>
      </w:r>
      <w:r>
        <w:t xml:space="preserve">new </w:t>
      </w:r>
      <w:r>
        <w:t>duty should be imposed</w:t>
      </w:r>
      <w:r>
        <w:t xml:space="preserve"> in any </w:t>
      </w:r>
      <w:proofErr w:type="gramStart"/>
      <w:r>
        <w:t xml:space="preserve">particular </w:t>
      </w:r>
      <w:r>
        <w:t>context</w:t>
      </w:r>
      <w:proofErr w:type="gramEnd"/>
      <w:r>
        <w:t xml:space="preserve"> is essentially</w:t>
      </w:r>
      <w:r>
        <w:t xml:space="preserve"> a question of public policy. </w:t>
      </w:r>
      <w:r>
        <w:t xml:space="preserve"> “The existence of </w:t>
      </w:r>
      <w:proofErr w:type="gramStart"/>
      <w:r>
        <w:t>‘ “</w:t>
      </w:r>
      <w:proofErr w:type="gramEnd"/>
      <w:r>
        <w:t> ‘[d]</w:t>
      </w:r>
      <w:proofErr w:type="spellStart"/>
      <w:r>
        <w:t>uty</w:t>
      </w:r>
      <w:proofErr w:type="spellEnd"/>
      <w:r>
        <w:t>’ is not an immutable fac</w:t>
      </w:r>
      <w:r>
        <w:t xml:space="preserve">t of nature ‘ “but only an expression of the sum total of those </w:t>
      </w:r>
      <w:r w:rsidRPr="004D384B">
        <w:rPr>
          <w:i/>
        </w:rPr>
        <w:t>considerations of policy</w:t>
      </w:r>
      <w:r>
        <w:t xml:space="preserve"> which lead the law to say that the particular plaintiff is entitled to protection.” ’ ” ’  (</w:t>
      </w:r>
      <w:proofErr w:type="gramStart"/>
      <w:r w:rsidRPr="004D384B">
        <w:rPr>
          <w:i/>
        </w:rPr>
        <w:t>Parsons</w:t>
      </w:r>
      <w:r>
        <w:t>[</w:t>
      </w:r>
      <w:proofErr w:type="gramEnd"/>
      <w:r>
        <w:t xml:space="preserve">, </w:t>
      </w:r>
      <w:r>
        <w:rPr>
          <w:i/>
        </w:rPr>
        <w:t>supra</w:t>
      </w:r>
      <w:r>
        <w:t>,] 15 Cal.4th [at p.] 472.)”  (</w:t>
      </w:r>
      <w:r>
        <w:rPr>
          <w:i/>
        </w:rPr>
        <w:t>Avila</w:t>
      </w:r>
      <w:r>
        <w:t xml:space="preserve">, </w:t>
      </w:r>
      <w:r>
        <w:rPr>
          <w:i/>
        </w:rPr>
        <w:t>supra</w:t>
      </w:r>
      <w:r>
        <w:t>, 38 Cal.4th</w:t>
      </w:r>
      <w:r>
        <w:t xml:space="preserve"> </w:t>
      </w:r>
      <w:r>
        <w:t>at p</w:t>
      </w:r>
      <w:r>
        <w:t>p. 160-161.)</w:t>
      </w:r>
      <w:r>
        <w:t xml:space="preserve"> </w:t>
      </w:r>
      <w:r>
        <w:t xml:space="preserve"> As relevant here, the California Constitution “declare[s] that the right to public safety extends to public and private primary, elementary, junior high, and senior high school, and community college, California State University, University o</w:t>
      </w:r>
      <w:r>
        <w:t>f California, and private college and university campuses, where students and staff have the right to be safe and secure in their persons.”  (Cal. Const., art. I, § 28, subd. (a)(7)</w:t>
      </w:r>
      <w:r>
        <w:t xml:space="preserve">.)  College students </w:t>
      </w:r>
      <w:r>
        <w:t>“have the inalienable right to attend campuses which</w:t>
      </w:r>
      <w:r>
        <w:t xml:space="preserve"> a</w:t>
      </w:r>
      <w:r>
        <w:t>re safe, secure and peaceful.”  (</w:t>
      </w:r>
      <w:r>
        <w:rPr>
          <w:i/>
        </w:rPr>
        <w:t>Id</w:t>
      </w:r>
      <w:r>
        <w:t>., § 28, subd. (f)(1)</w:t>
      </w:r>
      <w:r>
        <w:t>.)</w:t>
      </w:r>
      <w:r>
        <w:t xml:space="preserve">  </w:t>
      </w:r>
      <w:r>
        <w:t>Even assuming</w:t>
      </w:r>
      <w:r>
        <w:t xml:space="preserve"> the constitutional</w:t>
      </w:r>
      <w:r>
        <w:t xml:space="preserve"> provision </w:t>
      </w:r>
      <w:r>
        <w:t>is</w:t>
      </w:r>
      <w:r>
        <w:t xml:space="preserve"> not </w:t>
      </w:r>
      <w:r>
        <w:t>self-executing</w:t>
      </w:r>
      <w:r>
        <w:t xml:space="preserve"> (see </w:t>
      </w:r>
      <w:proofErr w:type="spellStart"/>
      <w:r>
        <w:rPr>
          <w:i/>
        </w:rPr>
        <w:t>Clausing</w:t>
      </w:r>
      <w:proofErr w:type="spellEnd"/>
      <w:r>
        <w:rPr>
          <w:i/>
        </w:rPr>
        <w:t xml:space="preserve"> v. San Francisco Unified School Dist.</w:t>
      </w:r>
      <w:r>
        <w:t xml:space="preserve"> (1990) 221 Cal.App.3d 1224, 1236-1237), it clearly expresses a “fundamental pub</w:t>
      </w:r>
      <w:r>
        <w:t xml:space="preserve">lic policy </w:t>
      </w:r>
      <w:r>
        <w:lastRenderedPageBreak/>
        <w:t xml:space="preserve">favoring measures to ensure the safety of California’s </w:t>
      </w:r>
      <w:proofErr w:type="gramStart"/>
      <w:r>
        <w:t>public school</w:t>
      </w:r>
      <w:proofErr w:type="gramEnd"/>
      <w:r>
        <w:t xml:space="preserve"> students.”  (</w:t>
      </w:r>
      <w:r w:rsidRPr="00F861E9">
        <w:rPr>
          <w:i/>
        </w:rPr>
        <w:t>William S. Hart</w:t>
      </w:r>
      <w:r>
        <w:t xml:space="preserve">, </w:t>
      </w:r>
      <w:r>
        <w:rPr>
          <w:i/>
        </w:rPr>
        <w:t>supra</w:t>
      </w:r>
      <w:r>
        <w:t>, 53 Cal.4th at p. 870, fn. 3.)</w:t>
      </w:r>
      <w:r w:rsidRPr="009700F2">
        <w:rPr>
          <w:rStyle w:val="FootnoteReference"/>
        </w:rPr>
        <w:t xml:space="preserve"> </w:t>
      </w:r>
      <w:r>
        <w:rPr>
          <w:rStyle w:val="FootnoteReference"/>
        </w:rPr>
        <w:footnoteReference w:id="6"/>
      </w:r>
    </w:p>
    <w:p w:rsidR="00034153" w:rsidRDefault="0012664A" w:rsidP="00034153">
      <w:pPr>
        <w:spacing w:line="360" w:lineRule="auto"/>
      </w:pPr>
      <w:r>
        <w:tab/>
      </w:r>
      <w:r>
        <w:t>The court</w:t>
      </w:r>
      <w:r>
        <w:t xml:space="preserve"> may depart from th</w:t>
      </w:r>
      <w:r>
        <w:t>e</w:t>
      </w:r>
      <w:r>
        <w:t xml:space="preserve"> general rule of duty, however, if </w:t>
      </w:r>
      <w:r>
        <w:t>other</w:t>
      </w:r>
      <w:r>
        <w:t xml:space="preserve"> policy considerations </w:t>
      </w:r>
      <w:r>
        <w:t xml:space="preserve">clearly </w:t>
      </w:r>
      <w:r>
        <w:t>require an exception.  (</w:t>
      </w:r>
      <w:proofErr w:type="spellStart"/>
      <w:r>
        <w:rPr>
          <w:i/>
        </w:rPr>
        <w:t>Kesner</w:t>
      </w:r>
      <w:proofErr w:type="spellEnd"/>
      <w:r>
        <w:rPr>
          <w:i/>
        </w:rPr>
        <w:t xml:space="preserve"> v. Superior Court</w:t>
      </w:r>
      <w:r>
        <w:t xml:space="preserve"> (2016) 1 Cal.5th 1132, 1143</w:t>
      </w:r>
      <w:r>
        <w:t xml:space="preserve"> (</w:t>
      </w:r>
      <w:proofErr w:type="spellStart"/>
      <w:r>
        <w:rPr>
          <w:i/>
        </w:rPr>
        <w:t>Kesner</w:t>
      </w:r>
      <w:proofErr w:type="spellEnd"/>
      <w:r>
        <w:t>)</w:t>
      </w:r>
      <w:r>
        <w:t>;</w:t>
      </w:r>
      <w:r>
        <w:t xml:space="preserve"> </w:t>
      </w:r>
      <w:r w:rsidRPr="00957B63">
        <w:rPr>
          <w:i/>
        </w:rPr>
        <w:t>Cabral</w:t>
      </w:r>
      <w:r>
        <w:t xml:space="preserve">, </w:t>
      </w:r>
      <w:r>
        <w:rPr>
          <w:i/>
        </w:rPr>
        <w:t>supra</w:t>
      </w:r>
      <w:r>
        <w:t>, 51 Cal.4th at p. </w:t>
      </w:r>
      <w:r>
        <w:t>771</w:t>
      </w:r>
      <w:r>
        <w:t xml:space="preserve">; see also </w:t>
      </w:r>
      <w:r>
        <w:rPr>
          <w:i/>
        </w:rPr>
        <w:t>Verdugo</w:t>
      </w:r>
      <w:r>
        <w:rPr>
          <w:i/>
        </w:rPr>
        <w:t xml:space="preserve"> v. Target Corp.</w:t>
      </w:r>
      <w:r>
        <w:t xml:space="preserve"> (2014) 59 Cal.4th 312, 344 (conc. opn. of Werdegar, J.).)</w:t>
      </w:r>
      <w:r>
        <w:t xml:space="preserve">  </w:t>
      </w:r>
      <w:r>
        <w:t xml:space="preserve">We have identified several factors that </w:t>
      </w:r>
      <w:r>
        <w:t>may, on balance, justify excusing or limiting a defendant’</w:t>
      </w:r>
      <w:r>
        <w:t>s duty of care</w:t>
      </w:r>
      <w:r>
        <w:t>.  These include</w:t>
      </w:r>
      <w:r>
        <w:t>:  “the foreseeability of harm to the plaintiff, the degree of certainty that the plaintiff suffered injury, the closeness of the c</w:t>
      </w:r>
      <w:r>
        <w:t>onnection between the defendant’</w:t>
      </w:r>
      <w:r>
        <w:t>s con</w:t>
      </w:r>
      <w:r>
        <w:t>duct and the injury suffered, the moral blame attached to the defendant’s conduct, the policy of preventing future harm, the extent of the burden to the defendant and consequences to the community of imposing a duty to exercise care with resulting liabilit</w:t>
      </w:r>
      <w:r>
        <w:t>y for breach, and the availability, cost, and prevalence of insurance for the risk involved.”  (</w:t>
      </w:r>
      <w:r>
        <w:rPr>
          <w:i/>
        </w:rPr>
        <w:t>Rowland</w:t>
      </w:r>
      <w:r>
        <w:rPr>
          <w:i/>
        </w:rPr>
        <w:t xml:space="preserve"> v. Christian</w:t>
      </w:r>
      <w:r>
        <w:t xml:space="preserve"> </w:t>
      </w:r>
      <w:r>
        <w:t xml:space="preserve">(1968) </w:t>
      </w:r>
      <w:r>
        <w:t xml:space="preserve">69 Cal.2d </w:t>
      </w:r>
      <w:r>
        <w:t xml:space="preserve">108, </w:t>
      </w:r>
      <w:r>
        <w:t>113</w:t>
      </w:r>
      <w:r>
        <w:t xml:space="preserve"> (</w:t>
      </w:r>
      <w:r>
        <w:rPr>
          <w:i/>
        </w:rPr>
        <w:t>Rowland</w:t>
      </w:r>
      <w:r>
        <w:t>)</w:t>
      </w:r>
      <w:r>
        <w:t>.)</w:t>
      </w:r>
      <w:r>
        <w:t xml:space="preserve">  These factors must be “evaluated at a relatively broad level of factual generality.”  (</w:t>
      </w:r>
      <w:r>
        <w:rPr>
          <w:i/>
        </w:rPr>
        <w:t>Cabral</w:t>
      </w:r>
      <w:r>
        <w:t>, at p.</w:t>
      </w:r>
      <w:r>
        <w:t xml:space="preserve"> 772.)  In considering them, we determine “not whether they support an exception to the </w:t>
      </w:r>
      <w:r>
        <w:lastRenderedPageBreak/>
        <w:t xml:space="preserve">general duty of reasonable care on the facts of the </w:t>
      </w:r>
      <w:proofErr w:type="gramStart"/>
      <w:r>
        <w:t>particular case</w:t>
      </w:r>
      <w:proofErr w:type="gramEnd"/>
      <w:r>
        <w:t xml:space="preserve"> before us, but whether carving out an entire category of cases from that general duty rule is justif</w:t>
      </w:r>
      <w:r>
        <w:t>ied by clear considerations of policy.”  (</w:t>
      </w:r>
      <w:r>
        <w:rPr>
          <w:i/>
        </w:rPr>
        <w:t>Ibid</w:t>
      </w:r>
      <w:r>
        <w:t>.)</w:t>
      </w:r>
      <w:r>
        <w:t xml:space="preserve"> </w:t>
      </w:r>
      <w:r>
        <w:t xml:space="preserve"> In other words, </w:t>
      </w:r>
      <w:r>
        <w:t>the</w:t>
      </w:r>
      <w:r>
        <w:t xml:space="preserve"> duty analysis is categorical, not case-specific.</w:t>
      </w:r>
      <w:r>
        <w:t xml:space="preserve">  (See </w:t>
      </w:r>
      <w:proofErr w:type="spellStart"/>
      <w:r>
        <w:rPr>
          <w:i/>
        </w:rPr>
        <w:t>Kesner</w:t>
      </w:r>
      <w:proofErr w:type="spellEnd"/>
      <w:r>
        <w:t>, at p. 1144.)</w:t>
      </w:r>
    </w:p>
    <w:p w:rsidR="004B6E6F" w:rsidRPr="000330E9" w:rsidRDefault="0012664A" w:rsidP="004B6E6F">
      <w:pPr>
        <w:spacing w:line="360" w:lineRule="auto"/>
      </w:pPr>
      <w:r>
        <w:tab/>
        <w:t xml:space="preserve">The </w:t>
      </w:r>
      <w:r w:rsidRPr="004B6E6F">
        <w:rPr>
          <w:i/>
        </w:rPr>
        <w:t>Rowland</w:t>
      </w:r>
      <w:r>
        <w:t xml:space="preserve"> factors fall into two categories.  The first</w:t>
      </w:r>
      <w:r>
        <w:t xml:space="preserve"> group</w:t>
      </w:r>
      <w:r>
        <w:t xml:space="preserve"> involves foreseeability and the related concepts of certainty and the connection between plaintiff and defendant.  The second embraces the public policy concerns of moral blame, preventing future harm, burden,</w:t>
      </w:r>
      <w:r>
        <w:t xml:space="preserve"> and insurance availability</w:t>
      </w:r>
      <w:r>
        <w:t>.  The policy analy</w:t>
      </w:r>
      <w:r>
        <w:t xml:space="preserve">sis evaluates whether </w:t>
      </w:r>
      <w:r>
        <w:t xml:space="preserve">certain </w:t>
      </w:r>
      <w:r>
        <w:t xml:space="preserve">kinds of plaintiffs or injuries should </w:t>
      </w:r>
      <w:proofErr w:type="gramStart"/>
      <w:r>
        <w:t>be excluded</w:t>
      </w:r>
      <w:proofErr w:type="gramEnd"/>
      <w:r>
        <w:t xml:space="preserve"> from relief.</w:t>
      </w:r>
      <w:r>
        <w:t xml:space="preserve">  (</w:t>
      </w:r>
      <w:proofErr w:type="spellStart"/>
      <w:r>
        <w:rPr>
          <w:i/>
        </w:rPr>
        <w:t>Kesner</w:t>
      </w:r>
      <w:proofErr w:type="spellEnd"/>
      <w:r>
        <w:t xml:space="preserve">, </w:t>
      </w:r>
      <w:r>
        <w:rPr>
          <w:i/>
        </w:rPr>
        <w:t>supra</w:t>
      </w:r>
      <w:r>
        <w:t>, 1 Cal.5th at p. 1145.)  We conclude that violence against students in the classroom</w:t>
      </w:r>
      <w:r>
        <w:t xml:space="preserve"> or during curricular activities</w:t>
      </w:r>
      <w:r>
        <w:t xml:space="preserve">, while rare, is </w:t>
      </w:r>
      <w:r>
        <w:t>a</w:t>
      </w:r>
      <w:r>
        <w:t xml:space="preserve"> foreseeable</w:t>
      </w:r>
      <w:r>
        <w:t xml:space="preserve"> occurrence</w:t>
      </w:r>
      <w:r>
        <w:t>, and considerations of public policy do not justify categorically barring</w:t>
      </w:r>
      <w:r>
        <w:t xml:space="preserve"> an injured</w:t>
      </w:r>
      <w:r>
        <w:t xml:space="preserve"> student</w:t>
      </w:r>
      <w:r>
        <w:t>’</w:t>
      </w:r>
      <w:r>
        <w:t>s claims against the university.</w:t>
      </w:r>
    </w:p>
    <w:p w:rsidR="004B6E6F" w:rsidRPr="00776D9A" w:rsidRDefault="0012664A" w:rsidP="00D70340">
      <w:pPr>
        <w:keepNext/>
        <w:spacing w:line="360" w:lineRule="auto"/>
        <w:rPr>
          <w:i/>
        </w:rPr>
      </w:pPr>
      <w:r>
        <w:tab/>
      </w:r>
      <w:r>
        <w:tab/>
        <w:t>a.</w:t>
      </w:r>
      <w:r>
        <w:tab/>
      </w:r>
      <w:r>
        <w:rPr>
          <w:i/>
        </w:rPr>
        <w:t xml:space="preserve">Foreseeability </w:t>
      </w:r>
      <w:r>
        <w:rPr>
          <w:i/>
        </w:rPr>
        <w:t>Factors</w:t>
      </w:r>
    </w:p>
    <w:p w:rsidR="00034153" w:rsidRPr="00FD0B82" w:rsidRDefault="0012664A" w:rsidP="00D4459B">
      <w:pPr>
        <w:spacing w:line="360" w:lineRule="auto"/>
      </w:pPr>
      <w:r>
        <w:tab/>
      </w:r>
      <w:r>
        <w:t>(</w:t>
      </w:r>
      <w:r>
        <w:t>1</w:t>
      </w:r>
      <w:r>
        <w:t>)</w:t>
      </w:r>
      <w:r>
        <w:tab/>
      </w:r>
      <w:r>
        <w:t xml:space="preserve">“The most important factor to consider in determining whether to create an exception </w:t>
      </w:r>
      <w:r>
        <w:t xml:space="preserve">to the general duty to exercise ordinary </w:t>
      </w:r>
      <w:proofErr w:type="gramStart"/>
      <w:r>
        <w:t>care .</w:t>
      </w:r>
      <w:proofErr w:type="gramEnd"/>
      <w:r>
        <w:t xml:space="preserve"> . . is whether the injury in question was </w:t>
      </w:r>
      <w:proofErr w:type="gramStart"/>
      <w:r w:rsidRPr="000E19D6">
        <w:rPr>
          <w:i/>
        </w:rPr>
        <w:t>foreseeable</w:t>
      </w:r>
      <w:r>
        <w:t>.</w:t>
      </w:r>
      <w:proofErr w:type="gramEnd"/>
      <w:r>
        <w:t>”  (</w:t>
      </w:r>
      <w:proofErr w:type="spellStart"/>
      <w:r>
        <w:rPr>
          <w:i/>
        </w:rPr>
        <w:t>Kesner</w:t>
      </w:r>
      <w:proofErr w:type="spellEnd"/>
      <w:r>
        <w:t xml:space="preserve">, </w:t>
      </w:r>
      <w:r>
        <w:rPr>
          <w:i/>
        </w:rPr>
        <w:t>supra</w:t>
      </w:r>
      <w:r>
        <w:t>, 1 Cal.5th at p. 1145</w:t>
      </w:r>
      <w:r>
        <w:t>, italics added</w:t>
      </w:r>
      <w:r>
        <w:t xml:space="preserve">; </w:t>
      </w:r>
      <w:r>
        <w:t>see</w:t>
      </w:r>
      <w:r>
        <w:t xml:space="preserve"> </w:t>
      </w:r>
      <w:proofErr w:type="spellStart"/>
      <w:r>
        <w:rPr>
          <w:i/>
        </w:rPr>
        <w:t>Tarasoff</w:t>
      </w:r>
      <w:proofErr w:type="spellEnd"/>
      <w:r>
        <w:t xml:space="preserve">, </w:t>
      </w:r>
      <w:r>
        <w:rPr>
          <w:i/>
        </w:rPr>
        <w:t>supra</w:t>
      </w:r>
      <w:r>
        <w:t xml:space="preserve">, 17 Cal.3d at p. 434.)  In examining foreseeability, “the court’s </w:t>
      </w:r>
      <w:proofErr w:type="gramStart"/>
      <w:r>
        <w:t>task .</w:t>
      </w:r>
      <w:proofErr w:type="gramEnd"/>
      <w:r>
        <w:t> . . ‘</w:t>
      </w:r>
      <w:r>
        <w:t xml:space="preserve">is not to decide whether a </w:t>
      </w:r>
      <w:r w:rsidRPr="00D4459B">
        <w:rPr>
          <w:i/>
        </w:rPr>
        <w:t>particular</w:t>
      </w:r>
      <w:r>
        <w:t xml:space="preserve"> plaintiff</w:t>
      </w:r>
      <w:r>
        <w:t>’</w:t>
      </w:r>
      <w:r>
        <w:t xml:space="preserve">s injury was reasonably foreseeable in light of a </w:t>
      </w:r>
      <w:r w:rsidRPr="00D4459B">
        <w:rPr>
          <w:i/>
        </w:rPr>
        <w:t>particular</w:t>
      </w:r>
      <w:r>
        <w:t xml:space="preserve"> defendant</w:t>
      </w:r>
      <w:r>
        <w:t>’</w:t>
      </w:r>
      <w:r>
        <w:t xml:space="preserve">s conduct, but rather to evaluate more generally whether the category of negligent conduct at issue is sufficiently likely to result in </w:t>
      </w:r>
      <w:r>
        <w:t>the kind of harm experienced that liabilit</w:t>
      </w:r>
      <w:r>
        <w:t xml:space="preserve">y may appropriately be </w:t>
      </w:r>
      <w:proofErr w:type="gramStart"/>
      <w:r>
        <w:t>imposed .</w:t>
      </w:r>
      <w:proofErr w:type="gramEnd"/>
      <w:r>
        <w:t> . . .’ </w:t>
      </w:r>
      <w:r>
        <w:t>”</w:t>
      </w:r>
      <w:r>
        <w:t xml:space="preserve">  (</w:t>
      </w:r>
      <w:r w:rsidRPr="00FD0B82">
        <w:rPr>
          <w:i/>
        </w:rPr>
        <w:t>Cabral</w:t>
      </w:r>
      <w:r>
        <w:t xml:space="preserve">, </w:t>
      </w:r>
      <w:r>
        <w:rPr>
          <w:i/>
        </w:rPr>
        <w:t>supra</w:t>
      </w:r>
      <w:r>
        <w:t xml:space="preserve">, </w:t>
      </w:r>
      <w:r>
        <w:t xml:space="preserve">51 Cal.4th </w:t>
      </w:r>
      <w:r>
        <w:t xml:space="preserve">at p. 772; accord </w:t>
      </w:r>
      <w:r>
        <w:rPr>
          <w:i/>
        </w:rPr>
        <w:t>Parsons</w:t>
      </w:r>
      <w:r>
        <w:t xml:space="preserve">, </w:t>
      </w:r>
      <w:r>
        <w:rPr>
          <w:i/>
        </w:rPr>
        <w:t>supra</w:t>
      </w:r>
      <w:r>
        <w:t xml:space="preserve">, 15 Cal.4th </w:t>
      </w:r>
      <w:r>
        <w:t>at p. 476.)</w:t>
      </w:r>
    </w:p>
    <w:p w:rsidR="00661E71" w:rsidRDefault="0012664A" w:rsidP="00661E71">
      <w:pPr>
        <w:spacing w:line="360" w:lineRule="auto"/>
      </w:pPr>
      <w:r>
        <w:tab/>
        <w:t>Phrased at the appropriate level of generality, then, the question here is not whether</w:t>
      </w:r>
      <w:r>
        <w:t xml:space="preserve"> </w:t>
      </w:r>
      <w:r>
        <w:t xml:space="preserve">UCLA could predict that Damon Thompson would stab </w:t>
      </w:r>
      <w:r>
        <w:t xml:space="preserve">Katherine </w:t>
      </w:r>
      <w:r>
        <w:t xml:space="preserve">Rosen </w:t>
      </w:r>
      <w:r>
        <w:t>in the chemistry lab</w:t>
      </w:r>
      <w:r>
        <w:t xml:space="preserve">.  </w:t>
      </w:r>
      <w:r>
        <w:t>I</w:t>
      </w:r>
      <w:r>
        <w:t xml:space="preserve">t is whether a reasonable university could foresee that </w:t>
      </w:r>
      <w:r>
        <w:t>its</w:t>
      </w:r>
      <w:r>
        <w:t xml:space="preserve"> negligent failure to control a </w:t>
      </w:r>
      <w:r>
        <w:t>potentially violent</w:t>
      </w:r>
      <w:r>
        <w:t xml:space="preserve"> student, or to warn</w:t>
      </w:r>
      <w:r>
        <w:t xml:space="preserve"> students who were foreseeable targ</w:t>
      </w:r>
      <w:r>
        <w:t xml:space="preserve">ets of </w:t>
      </w:r>
      <w:r>
        <w:t>his</w:t>
      </w:r>
      <w:r>
        <w:t xml:space="preserve"> ire, could result in harm to </w:t>
      </w:r>
      <w:r>
        <w:t>one of those students.</w:t>
      </w:r>
      <w:r>
        <w:t xml:space="preserve"> </w:t>
      </w:r>
      <w:r>
        <w:t xml:space="preserve"> </w:t>
      </w:r>
      <w:r>
        <w:lastRenderedPageBreak/>
        <w:t>V</w:t>
      </w:r>
      <w:r>
        <w:t>iolent unprovoked attacks by</w:t>
      </w:r>
      <w:r>
        <w:t xml:space="preserve"> and against</w:t>
      </w:r>
      <w:r>
        <w:t xml:space="preserve"> college</w:t>
      </w:r>
      <w:r>
        <w:t xml:space="preserve"> students</w:t>
      </w:r>
      <w:r>
        <w:t xml:space="preserve">, while still relatively uncommon, are happening </w:t>
      </w:r>
      <w:r>
        <w:t>more frequent</w:t>
      </w:r>
      <w:r>
        <w:t>ly</w:t>
      </w:r>
      <w:r>
        <w:t>.</w:t>
      </w:r>
      <w:r>
        <w:t xml:space="preserve">  (See de Haven, </w:t>
      </w:r>
      <w:r>
        <w:rPr>
          <w:i/>
        </w:rPr>
        <w:t>supra</w:t>
      </w:r>
      <w:r>
        <w:t>, 35 J.C. &amp; U.L. at p. 510.)</w:t>
      </w:r>
      <w:r>
        <w:t xml:space="preserve">  </w:t>
      </w:r>
      <w:r>
        <w:t xml:space="preserve">One example </w:t>
      </w:r>
      <w:r>
        <w:t>occur</w:t>
      </w:r>
      <w:r>
        <w:t xml:space="preserve">red </w:t>
      </w:r>
      <w:r>
        <w:t>on April 16,</w:t>
      </w:r>
      <w:r>
        <w:t xml:space="preserve"> 2007 at Virginia Polytechnic Institute</w:t>
      </w:r>
      <w:r>
        <w:t xml:space="preserve"> </w:t>
      </w:r>
      <w:r>
        <w:t xml:space="preserve">and State University </w:t>
      </w:r>
      <w:r>
        <w:t>(Virginia Tech)</w:t>
      </w:r>
      <w:r>
        <w:t>, when an emot</w:t>
      </w:r>
      <w:r>
        <w:t xml:space="preserve">ionally disturbed </w:t>
      </w:r>
      <w:proofErr w:type="gramStart"/>
      <w:r>
        <w:t>underclassman</w:t>
      </w:r>
      <w:proofErr w:type="gramEnd"/>
      <w:r>
        <w:t xml:space="preserve"> barred the doors to a classroom building</w:t>
      </w:r>
      <w:r>
        <w:t>,</w:t>
      </w:r>
      <w:r>
        <w:t xml:space="preserve"> </w:t>
      </w:r>
      <w:r>
        <w:t>then walked</w:t>
      </w:r>
      <w:r>
        <w:t xml:space="preserve"> the halls shooting people</w:t>
      </w:r>
      <w:r>
        <w:t xml:space="preserve">, killing five professors and 24 </w:t>
      </w:r>
      <w:r>
        <w:t>students</w:t>
      </w:r>
      <w:r>
        <w:t>.  (</w:t>
      </w:r>
      <w:r>
        <w:t xml:space="preserve">See </w:t>
      </w:r>
      <w:r>
        <w:rPr>
          <w:i/>
        </w:rPr>
        <w:t>id</w:t>
      </w:r>
      <w:r>
        <w:t>.</w:t>
      </w:r>
      <w:r>
        <w:t xml:space="preserve"> at pp. 554-566.)</w:t>
      </w:r>
      <w:r>
        <w:t xml:space="preserve">  </w:t>
      </w:r>
      <w:r>
        <w:t xml:space="preserve">He left over a dozen more </w:t>
      </w:r>
      <w:r>
        <w:t>wounded before taking his own life.  (</w:t>
      </w:r>
      <w:r>
        <w:rPr>
          <w:i/>
        </w:rPr>
        <w:t>Id</w:t>
      </w:r>
      <w:r>
        <w:t>. at p. 566.)</w:t>
      </w:r>
      <w:r>
        <w:t xml:space="preserve">  Although mass shootings on college campuses had occurred before, the record demonstrates that the </w:t>
      </w:r>
      <w:r>
        <w:t xml:space="preserve">Virginia Tech </w:t>
      </w:r>
      <w:r>
        <w:t xml:space="preserve">tragedy </w:t>
      </w:r>
      <w:r>
        <w:t xml:space="preserve">prompted </w:t>
      </w:r>
      <w:r>
        <w:t>schools</w:t>
      </w:r>
      <w:r>
        <w:t xml:space="preserve"> </w:t>
      </w:r>
      <w:r>
        <w:t xml:space="preserve">to reexamine their </w:t>
      </w:r>
      <w:r>
        <w:t xml:space="preserve">campus security policies. </w:t>
      </w:r>
      <w:r>
        <w:t xml:space="preserve"> </w:t>
      </w:r>
      <w:r>
        <w:t>A</w:t>
      </w:r>
      <w:r>
        <w:t xml:space="preserve"> January 2008 report of the University of California Campus Security Task Force</w:t>
      </w:r>
      <w:r>
        <w:t xml:space="preserve"> </w:t>
      </w:r>
      <w:r>
        <w:t>recommended several improvements in student mental health services, emergency communications, preparedness, and hazard mitigation</w:t>
      </w:r>
      <w:r>
        <w:t xml:space="preserve"> across all campuses</w:t>
      </w:r>
      <w:r>
        <w:t>.</w:t>
      </w:r>
      <w:r>
        <w:t xml:space="preserve">  </w:t>
      </w:r>
      <w:r>
        <w:t xml:space="preserve">In April 2008, almost exactly one year after the Virginia Tech shootings, a special review task force of the International Association of Campus Law Enforcement Administrators published a </w:t>
      </w:r>
      <w:r>
        <w:t>“</w:t>
      </w:r>
      <w:r>
        <w:t>Blueprint for Safer Campuses,</w:t>
      </w:r>
      <w:r>
        <w:t>”</w:t>
      </w:r>
      <w:r>
        <w:t xml:space="preserve"> with severa</w:t>
      </w:r>
      <w:r>
        <w:t xml:space="preserve">l </w:t>
      </w:r>
      <w:r>
        <w:t>recommendations for assessing and responding to</w:t>
      </w:r>
      <w:r>
        <w:t xml:space="preserve"> </w:t>
      </w:r>
      <w:r>
        <w:t xml:space="preserve">potential </w:t>
      </w:r>
      <w:r>
        <w:t>threats</w:t>
      </w:r>
      <w:r>
        <w:t>.</w:t>
      </w:r>
      <w:r>
        <w:t xml:space="preserve"> </w:t>
      </w:r>
      <w:r>
        <w:t xml:space="preserve"> </w:t>
      </w:r>
      <w:r>
        <w:t>C</w:t>
      </w:r>
      <w:r>
        <w:t xml:space="preserve">olleges across the country, including the public universities of California, </w:t>
      </w:r>
      <w:r>
        <w:t xml:space="preserve">created threat assessment protocols and multidisciplinary teams to identify and prevent campus violence. </w:t>
      </w:r>
      <w:r>
        <w:t xml:space="preserve"> </w:t>
      </w:r>
      <w:r>
        <w:t>Thus</w:t>
      </w:r>
      <w:r>
        <w:t xml:space="preserve">, particularly after the Virginia Tech </w:t>
      </w:r>
      <w:r>
        <w:t>shootings</w:t>
      </w:r>
      <w:r>
        <w:t xml:space="preserve"> focused national attention on the issue, colleges have been alert to the possibility that </w:t>
      </w:r>
      <w:r>
        <w:t xml:space="preserve">students, particularly those with mental health </w:t>
      </w:r>
      <w:r>
        <w:t>issues</w:t>
      </w:r>
      <w:r>
        <w:t>, may lash out violen</w:t>
      </w:r>
      <w:r>
        <w:t>tly</w:t>
      </w:r>
      <w:r>
        <w:t xml:space="preserve"> against those around them.</w:t>
      </w:r>
      <w:r>
        <w:t xml:space="preserve">  </w:t>
      </w:r>
      <w:r>
        <w:t>Even a com</w:t>
      </w:r>
      <w:r>
        <w:t>paratively rare classroom</w:t>
      </w:r>
      <w:r>
        <w:t xml:space="preserve"> attack is a foreseeable</w:t>
      </w:r>
      <w:r>
        <w:t xml:space="preserve"> occurrence that colleges have been equipping themselves to address for at least the past decade.</w:t>
      </w:r>
    </w:p>
    <w:p w:rsidR="00FA3FF6" w:rsidRDefault="0012664A" w:rsidP="00661E71">
      <w:pPr>
        <w:spacing w:line="360" w:lineRule="auto"/>
      </w:pPr>
      <w:r>
        <w:tab/>
        <w:t>Whether a</w:t>
      </w:r>
      <w:r>
        <w:t xml:space="preserve"> </w:t>
      </w:r>
      <w:r>
        <w:t>university</w:t>
      </w:r>
      <w:r>
        <w:t xml:space="preserve"> was, or should have been,</w:t>
      </w:r>
      <w:r>
        <w:t xml:space="preserve"> on notice that a </w:t>
      </w:r>
      <w:proofErr w:type="gramStart"/>
      <w:r>
        <w:rPr>
          <w:i/>
        </w:rPr>
        <w:t>particular</w:t>
      </w:r>
      <w:r>
        <w:t xml:space="preserve"> student</w:t>
      </w:r>
      <w:proofErr w:type="gramEnd"/>
      <w:r>
        <w:t xml:space="preserve"> posed a foreseeable risk of violence</w:t>
      </w:r>
      <w:r>
        <w:t xml:space="preserve"> is a case-specific question, </w:t>
      </w:r>
      <w:r>
        <w:t xml:space="preserve">to be </w:t>
      </w:r>
      <w:r>
        <w:t>examine</w:t>
      </w:r>
      <w:r>
        <w:t xml:space="preserve">d </w:t>
      </w:r>
      <w:r>
        <w:t>in light of</w:t>
      </w:r>
      <w:r>
        <w:t xml:space="preserve"> </w:t>
      </w:r>
      <w:r>
        <w:t>all</w:t>
      </w:r>
      <w:r>
        <w:t xml:space="preserve"> the surrounding circumstances.</w:t>
      </w:r>
      <w:r>
        <w:t xml:space="preserve">  </w:t>
      </w:r>
      <w:r>
        <w:t>A</w:t>
      </w:r>
      <w:r>
        <w:t>ny prior threats or acts of violence by the student</w:t>
      </w:r>
      <w:r>
        <w:t xml:space="preserve"> would be relevant</w:t>
      </w:r>
      <w:r>
        <w:t xml:space="preserve">, </w:t>
      </w:r>
      <w:r>
        <w:t xml:space="preserve">particularly </w:t>
      </w:r>
      <w:r>
        <w:t xml:space="preserve">if </w:t>
      </w:r>
      <w:r>
        <w:t>targeted at a</w:t>
      </w:r>
      <w:r>
        <w:t>n</w:t>
      </w:r>
      <w:r>
        <w:t xml:space="preserve"> identifiable vi</w:t>
      </w:r>
      <w:r>
        <w:t>ctim</w:t>
      </w:r>
      <w:r>
        <w:t xml:space="preserve">.  (See </w:t>
      </w:r>
      <w:r>
        <w:rPr>
          <w:i/>
        </w:rPr>
        <w:t>Mullins v. Pine Manor College</w:t>
      </w:r>
      <w:r>
        <w:t xml:space="preserve">, </w:t>
      </w:r>
      <w:r>
        <w:rPr>
          <w:i/>
        </w:rPr>
        <w:t>supra</w:t>
      </w:r>
      <w:r>
        <w:t>, 449 N.E.</w:t>
      </w:r>
      <w:r>
        <w:t xml:space="preserve">2d at </w:t>
      </w:r>
      <w:r>
        <w:lastRenderedPageBreak/>
        <w:t>p. 337</w:t>
      </w:r>
      <w:r>
        <w:t xml:space="preserve">.) </w:t>
      </w:r>
      <w:r>
        <w:t xml:space="preserve"> Other relevant facts</w:t>
      </w:r>
      <w:r>
        <w:t xml:space="preserve"> </w:t>
      </w:r>
      <w:r>
        <w:t>c</w:t>
      </w:r>
      <w:r>
        <w:t xml:space="preserve">ould include </w:t>
      </w:r>
      <w:r>
        <w:t xml:space="preserve">the opinions of </w:t>
      </w:r>
      <w:r>
        <w:t xml:space="preserve">examining </w:t>
      </w:r>
      <w:r>
        <w:t>mental health professionals</w:t>
      </w:r>
      <w:r>
        <w:t>,</w:t>
      </w:r>
      <w:r>
        <w:t xml:space="preserve"> or </w:t>
      </w:r>
      <w:r>
        <w:t>observations of students, faculty,</w:t>
      </w:r>
      <w:r>
        <w:t xml:space="preserve"> </w:t>
      </w:r>
      <w:r>
        <w:t xml:space="preserve">family members, </w:t>
      </w:r>
      <w:r>
        <w:t>and others in the university community</w:t>
      </w:r>
      <w:r>
        <w:t>.</w:t>
      </w:r>
      <w:r>
        <w:t xml:space="preserve">  Such </w:t>
      </w:r>
      <w:r>
        <w:t xml:space="preserve">case-specific </w:t>
      </w:r>
      <w:r>
        <w:t>foreseea</w:t>
      </w:r>
      <w:r>
        <w:t>bility questions are relevant in</w:t>
      </w:r>
      <w:r>
        <w:t xml:space="preserve"> determining </w:t>
      </w:r>
      <w:r>
        <w:t>the applicable standard of care or breach</w:t>
      </w:r>
      <w:r>
        <w:t xml:space="preserve"> in a </w:t>
      </w:r>
      <w:proofErr w:type="gramStart"/>
      <w:r>
        <w:t>particular case</w:t>
      </w:r>
      <w:proofErr w:type="gramEnd"/>
      <w:r>
        <w:t xml:space="preserve">.  They </w:t>
      </w:r>
      <w:r>
        <w:t>do not</w:t>
      </w:r>
      <w:r>
        <w:t xml:space="preserve">, however, </w:t>
      </w:r>
      <w:r>
        <w:t>inform</w:t>
      </w:r>
      <w:r>
        <w:t xml:space="preserve"> our threshold determination that a duty exists.</w:t>
      </w:r>
    </w:p>
    <w:p w:rsidR="00037F7F" w:rsidRDefault="0012664A" w:rsidP="00661E71">
      <w:pPr>
        <w:spacing w:line="360" w:lineRule="auto"/>
      </w:pPr>
      <w:r>
        <w:tab/>
      </w:r>
      <w:r>
        <w:t>(</w:t>
      </w:r>
      <w:r>
        <w:t>2</w:t>
      </w:r>
      <w:r>
        <w:t>)</w:t>
      </w:r>
      <w:r>
        <w:tab/>
      </w:r>
      <w:r>
        <w:t xml:space="preserve">The second factor, “the degree of </w:t>
      </w:r>
      <w:r w:rsidRPr="00D3150E">
        <w:rPr>
          <w:i/>
        </w:rPr>
        <w:t>certainty</w:t>
      </w:r>
      <w:r>
        <w:t xml:space="preserve"> that the plaintiff suffered injury”</w:t>
      </w:r>
      <w:r>
        <w:t xml:space="preserve"> </w:t>
      </w:r>
      <w:r>
        <w:t>(</w:t>
      </w:r>
      <w:r>
        <w:rPr>
          <w:i/>
        </w:rPr>
        <w:t>Rowland</w:t>
      </w:r>
      <w:r>
        <w:t xml:space="preserve">, </w:t>
      </w:r>
      <w:r>
        <w:rPr>
          <w:i/>
        </w:rPr>
        <w:t>supra</w:t>
      </w:r>
      <w:r>
        <w:t xml:space="preserve">, 69 </w:t>
      </w:r>
      <w:r>
        <w:t>Cal.2d at p. 113</w:t>
      </w:r>
      <w:r>
        <w:t>, italics added</w:t>
      </w:r>
      <w:r>
        <w:t xml:space="preserve">), </w:t>
      </w:r>
      <w:r>
        <w:t>may come</w:t>
      </w:r>
      <w:r>
        <w:t xml:space="preserve"> into play when the </w:t>
      </w:r>
      <w:r>
        <w:t xml:space="preserve">plaintiff’s </w:t>
      </w:r>
      <w:r>
        <w:t>claim involves intangible harm, such as emotional distress.  (</w:t>
      </w:r>
      <w:proofErr w:type="spellStart"/>
      <w:r>
        <w:rPr>
          <w:i/>
        </w:rPr>
        <w:t>Kesner</w:t>
      </w:r>
      <w:proofErr w:type="spellEnd"/>
      <w:r>
        <w:t xml:space="preserve">, </w:t>
      </w:r>
      <w:r>
        <w:rPr>
          <w:i/>
        </w:rPr>
        <w:t>supra</w:t>
      </w:r>
      <w:r>
        <w:t xml:space="preserve">, 1 Cal.5th at p. 1148.)  </w:t>
      </w:r>
      <w:r>
        <w:t xml:space="preserve">Here, however, </w:t>
      </w:r>
      <w:r>
        <w:t>we are addressing claims for</w:t>
      </w:r>
      <w:r>
        <w:t xml:space="preserve"> physical injuries that are </w:t>
      </w:r>
      <w:r>
        <w:t>capable of identification</w:t>
      </w:r>
      <w:r>
        <w:t xml:space="preserve">.  (See </w:t>
      </w:r>
      <w:r>
        <w:rPr>
          <w:i/>
        </w:rPr>
        <w:t>ibid</w:t>
      </w:r>
      <w:r>
        <w:t>.)</w:t>
      </w:r>
    </w:p>
    <w:p w:rsidR="003E28CB" w:rsidRDefault="0012664A" w:rsidP="003E28CB">
      <w:pPr>
        <w:spacing w:line="360" w:lineRule="auto"/>
      </w:pPr>
      <w:r>
        <w:tab/>
      </w:r>
      <w:r>
        <w:t>(3)</w:t>
      </w:r>
      <w:r>
        <w:tab/>
      </w:r>
      <w:r>
        <w:t xml:space="preserve">The </w:t>
      </w:r>
      <w:r>
        <w:t>third factor is</w:t>
      </w:r>
      <w:r>
        <w:t xml:space="preserve"> “the </w:t>
      </w:r>
      <w:r w:rsidRPr="000C08F1">
        <w:rPr>
          <w:i/>
        </w:rPr>
        <w:t>closeness of the connection</w:t>
      </w:r>
      <w:r>
        <w:t xml:space="preserve"> between the defendant’s conduct and the injury suffered</w:t>
      </w:r>
      <w:r>
        <w:t>.</w:t>
      </w:r>
      <w:r>
        <w:t>”</w:t>
      </w:r>
      <w:r>
        <w:t xml:space="preserve"> </w:t>
      </w:r>
      <w:r>
        <w:t xml:space="preserve"> (</w:t>
      </w:r>
      <w:r w:rsidRPr="00706F76">
        <w:rPr>
          <w:i/>
        </w:rPr>
        <w:t>Rowland</w:t>
      </w:r>
      <w:r>
        <w:t xml:space="preserve">, </w:t>
      </w:r>
      <w:r w:rsidRPr="00706F76">
        <w:rPr>
          <w:i/>
        </w:rPr>
        <w:t>supra</w:t>
      </w:r>
      <w:r>
        <w:t>, 69 Cal.2d at p. 113</w:t>
      </w:r>
      <w:r>
        <w:t>, itali</w:t>
      </w:r>
      <w:r>
        <w:t>cs added.</w:t>
      </w:r>
      <w:r>
        <w:t xml:space="preserve">) </w:t>
      </w:r>
      <w:r>
        <w:t xml:space="preserve"> </w:t>
      </w:r>
      <w:r>
        <w:t>“</w:t>
      </w:r>
      <w:proofErr w:type="gramStart"/>
      <w:r>
        <w:t>Generally speaking, where</w:t>
      </w:r>
      <w:proofErr w:type="gramEnd"/>
      <w:r>
        <w:t xml:space="preserve"> the injury suffered is connected only distantly and indirectly to the defendant’s negligent act, the risk of that type of injury from the category of negligent conduct at issue is likely to be deemed unforeseeable.  C</w:t>
      </w:r>
      <w:r>
        <w:t>onversely, a closely connected type of injury is likely to be deemed foreseeable.”  (</w:t>
      </w:r>
      <w:r>
        <w:rPr>
          <w:i/>
        </w:rPr>
        <w:t>Cabral</w:t>
      </w:r>
      <w:r>
        <w:t xml:space="preserve">, </w:t>
      </w:r>
      <w:r>
        <w:rPr>
          <w:i/>
        </w:rPr>
        <w:t>supra</w:t>
      </w:r>
      <w:r>
        <w:t xml:space="preserve">, 51 Cal.4th at p. 779.)  </w:t>
      </w:r>
      <w:r>
        <w:t>The</w:t>
      </w:r>
      <w:r>
        <w:t xml:space="preserve"> negligen</w:t>
      </w:r>
      <w:r>
        <w:t>ce</w:t>
      </w:r>
      <w:r>
        <w:t xml:space="preserve"> </w:t>
      </w:r>
      <w:r>
        <w:t>alleged</w:t>
      </w:r>
      <w:r>
        <w:t xml:space="preserve"> here is the</w:t>
      </w:r>
      <w:r>
        <w:t xml:space="preserve"> fail</w:t>
      </w:r>
      <w:r>
        <w:t>ure</w:t>
      </w:r>
      <w:r>
        <w:t xml:space="preserve"> to prevent</w:t>
      </w:r>
      <w:r>
        <w:t xml:space="preserve"> </w:t>
      </w:r>
      <w:r>
        <w:t>a</w:t>
      </w:r>
      <w:r>
        <w:t xml:space="preserve"> classroom </w:t>
      </w:r>
      <w:r>
        <w:t>assault</w:t>
      </w:r>
      <w:r>
        <w:t xml:space="preserve">, </w:t>
      </w:r>
      <w:r>
        <w:t xml:space="preserve">either </w:t>
      </w:r>
      <w:r>
        <w:t xml:space="preserve">by </w:t>
      </w:r>
      <w:r>
        <w:t xml:space="preserve">controlling </w:t>
      </w:r>
      <w:r>
        <w:t>the perpetrator</w:t>
      </w:r>
      <w:r>
        <w:t xml:space="preserve"> or </w:t>
      </w:r>
      <w:r>
        <w:t>warn</w:t>
      </w:r>
      <w:r>
        <w:t>ing</w:t>
      </w:r>
      <w:r>
        <w:t xml:space="preserve"> </w:t>
      </w:r>
      <w:r>
        <w:t xml:space="preserve">the </w:t>
      </w:r>
      <w:r>
        <w:t>potential victim</w:t>
      </w:r>
      <w:r>
        <w:t xml:space="preserve">.  Although the immediate cause of injury </w:t>
      </w:r>
      <w:r>
        <w:t>in such cases will be the perpetrator’s</w:t>
      </w:r>
      <w:r>
        <w:t xml:space="preserve"> violent outburst, we have explained that the existence of an intervening act does not necessarily </w:t>
      </w:r>
      <w:r>
        <w:t>attenuate</w:t>
      </w:r>
      <w:r>
        <w:t xml:space="preserve"> a defendant’s negligence.</w:t>
      </w:r>
      <w:r>
        <w:t xml:space="preserve"> </w:t>
      </w:r>
      <w:r>
        <w:t xml:space="preserve"> Rather,</w:t>
      </w:r>
      <w:r>
        <w:t xml:space="preserve"> </w:t>
      </w:r>
      <w:r>
        <w:t>“the touchstone</w:t>
      </w:r>
      <w:r>
        <w:t xml:space="preserve"> of the analysis is the foreseeability of that intervening conduct.”  (</w:t>
      </w:r>
      <w:proofErr w:type="spellStart"/>
      <w:r w:rsidRPr="00752043">
        <w:rPr>
          <w:i/>
        </w:rPr>
        <w:t>Kesner</w:t>
      </w:r>
      <w:proofErr w:type="spellEnd"/>
      <w:r>
        <w:t xml:space="preserve">, </w:t>
      </w:r>
      <w:r>
        <w:rPr>
          <w:i/>
        </w:rPr>
        <w:t>supra</w:t>
      </w:r>
      <w:r>
        <w:t xml:space="preserve">, 1 Cal.5th at p. 1148.)  </w:t>
      </w:r>
      <w:r>
        <w:t>When</w:t>
      </w:r>
      <w:r>
        <w:t xml:space="preserve"> circumstances put</w:t>
      </w:r>
      <w:r>
        <w:t xml:space="preserve"> </w:t>
      </w:r>
      <w:r>
        <w:t xml:space="preserve">a school on notice that a student is at risk </w:t>
      </w:r>
      <w:r>
        <w:t>to</w:t>
      </w:r>
      <w:r>
        <w:t xml:space="preserve"> c</w:t>
      </w:r>
      <w:r>
        <w:t>ommit</w:t>
      </w:r>
      <w:r>
        <w:t xml:space="preserve"> violence</w:t>
      </w:r>
      <w:r>
        <w:t xml:space="preserve"> against other students</w:t>
      </w:r>
      <w:r>
        <w:t>, the school’s failure to take approp</w:t>
      </w:r>
      <w:r>
        <w:t xml:space="preserve">riate steps to warn or protect foreseeable victims </w:t>
      </w:r>
      <w:r>
        <w:t>can be</w:t>
      </w:r>
      <w:r>
        <w:t xml:space="preserve"> causally connected to injuries the victims suffer </w:t>
      </w:r>
      <w:proofErr w:type="gramStart"/>
      <w:r>
        <w:t>as a result of</w:t>
      </w:r>
      <w:proofErr w:type="gramEnd"/>
      <w:r>
        <w:t xml:space="preserve"> that violence.</w:t>
      </w:r>
      <w:r>
        <w:t xml:space="preserve">  Although a criminal act is always shocking to some degree, it is not completely unpredictable if a defendant is aware</w:t>
      </w:r>
      <w:r>
        <w:t xml:space="preserve"> of the risk.  (See, e.g., </w:t>
      </w:r>
      <w:r>
        <w:rPr>
          <w:i/>
        </w:rPr>
        <w:t>Randi W. v. Murdoc Joint Uni</w:t>
      </w:r>
      <w:r>
        <w:rPr>
          <w:i/>
        </w:rPr>
        <w:t>fied</w:t>
      </w:r>
      <w:r>
        <w:rPr>
          <w:i/>
        </w:rPr>
        <w:t xml:space="preserve"> School Dist.</w:t>
      </w:r>
      <w:r>
        <w:t xml:space="preserve"> (19</w:t>
      </w:r>
      <w:r>
        <w:t>97) 14 Cal.4th 1066, 1077-</w:t>
      </w:r>
      <w:r>
        <w:lastRenderedPageBreak/>
        <w:t>1078</w:t>
      </w:r>
      <w:r>
        <w:t xml:space="preserve">; </w:t>
      </w:r>
      <w:r>
        <w:t xml:space="preserve">cf. </w:t>
      </w:r>
      <w:r>
        <w:rPr>
          <w:i/>
        </w:rPr>
        <w:t>Thompson v. County of Alameda</w:t>
      </w:r>
      <w:r>
        <w:t xml:space="preserve"> (1980) 27 Cal.3d 741, 758 [</w:t>
      </w:r>
      <w:r>
        <w:t>crime committed after release of a</w:t>
      </w:r>
      <w:r>
        <w:t xml:space="preserve"> po</w:t>
      </w:r>
      <w:r>
        <w:t>tentially dangerous offender “</w:t>
      </w:r>
      <w:r>
        <w:t>is statistically for</w:t>
      </w:r>
      <w:r>
        <w:t>eseeable</w:t>
      </w:r>
      <w:r>
        <w:t>”].)</w:t>
      </w:r>
    </w:p>
    <w:p w:rsidR="00D70340" w:rsidRPr="00D70340" w:rsidRDefault="0012664A" w:rsidP="00D70340">
      <w:pPr>
        <w:keepNext/>
        <w:spacing w:line="360" w:lineRule="auto"/>
        <w:rPr>
          <w:i/>
        </w:rPr>
      </w:pPr>
      <w:r>
        <w:tab/>
      </w:r>
      <w:r>
        <w:tab/>
        <w:t>b.</w:t>
      </w:r>
      <w:r>
        <w:tab/>
      </w:r>
      <w:r>
        <w:rPr>
          <w:i/>
        </w:rPr>
        <w:t>Policy Factors</w:t>
      </w:r>
    </w:p>
    <w:p w:rsidR="00F567D6" w:rsidRPr="00F567D6" w:rsidRDefault="0012664A" w:rsidP="00F567D6">
      <w:pPr>
        <w:spacing w:line="360" w:lineRule="auto"/>
      </w:pPr>
      <w:r>
        <w:tab/>
        <w:t xml:space="preserve">Although </w:t>
      </w:r>
      <w:r>
        <w:rPr>
          <w:i/>
        </w:rPr>
        <w:t>Rowland</w:t>
      </w:r>
      <w:r>
        <w:t xml:space="preserve">’s foreseeability factors weigh in favor of recognizing a duty of care, we must </w:t>
      </w:r>
      <w:r>
        <w:t>also</w:t>
      </w:r>
      <w:r>
        <w:t xml:space="preserve"> consider </w:t>
      </w:r>
      <w:r>
        <w:t xml:space="preserve">whether public policy requires a different result.  (See </w:t>
      </w:r>
      <w:proofErr w:type="spellStart"/>
      <w:r>
        <w:rPr>
          <w:i/>
        </w:rPr>
        <w:t>Kesner</w:t>
      </w:r>
      <w:proofErr w:type="spellEnd"/>
      <w:r>
        <w:t xml:space="preserve">, </w:t>
      </w:r>
      <w:r>
        <w:rPr>
          <w:i/>
        </w:rPr>
        <w:t>supra</w:t>
      </w:r>
      <w:r>
        <w:t xml:space="preserve">, 1 Cal.5th at pp. 1149-1150; </w:t>
      </w:r>
      <w:r>
        <w:rPr>
          <w:i/>
        </w:rPr>
        <w:t>Cabral</w:t>
      </w:r>
      <w:r>
        <w:t xml:space="preserve">, </w:t>
      </w:r>
      <w:r>
        <w:rPr>
          <w:i/>
        </w:rPr>
        <w:t>supra</w:t>
      </w:r>
      <w:r>
        <w:t>, 51 Cal.4th at p. 781.)</w:t>
      </w:r>
      <w:r>
        <w:t xml:space="preserve">  “A duty of care will not be held to exist even as to foreseeable </w:t>
      </w:r>
      <w:proofErr w:type="gramStart"/>
      <w:r>
        <w:t>injuries .</w:t>
      </w:r>
      <w:proofErr w:type="gramEnd"/>
      <w:r>
        <w:t> . . where the social utility of the activity concerned is so great, and avoidance of the injuries so burdensome to society, as to outweigh the compen</w:t>
      </w:r>
      <w:r>
        <w:t>satory and cost-internalization values of negligence liability.”  (</w:t>
      </w:r>
      <w:r w:rsidRPr="00487EF8">
        <w:rPr>
          <w:i/>
        </w:rPr>
        <w:t xml:space="preserve">Merrill v. </w:t>
      </w:r>
      <w:proofErr w:type="spellStart"/>
      <w:r w:rsidRPr="00487EF8">
        <w:rPr>
          <w:i/>
        </w:rPr>
        <w:t>Navegar</w:t>
      </w:r>
      <w:proofErr w:type="spellEnd"/>
      <w:r w:rsidRPr="00487EF8">
        <w:rPr>
          <w:i/>
        </w:rPr>
        <w:t>, Inc.</w:t>
      </w:r>
      <w:r>
        <w:t xml:space="preserve">, </w:t>
      </w:r>
      <w:r>
        <w:rPr>
          <w:i/>
        </w:rPr>
        <w:t>supra</w:t>
      </w:r>
      <w:r>
        <w:t xml:space="preserve">, </w:t>
      </w:r>
      <w:r>
        <w:t xml:space="preserve">26 Cal.4th </w:t>
      </w:r>
      <w:r>
        <w:t>at p. </w:t>
      </w:r>
      <w:r>
        <w:t>502; see</w:t>
      </w:r>
      <w:r>
        <w:t xml:space="preserve"> </w:t>
      </w:r>
      <w:r>
        <w:rPr>
          <w:i/>
        </w:rPr>
        <w:t>Parsons</w:t>
      </w:r>
      <w:r>
        <w:t xml:space="preserve">, </w:t>
      </w:r>
      <w:r>
        <w:rPr>
          <w:i/>
        </w:rPr>
        <w:t>supra</w:t>
      </w:r>
      <w:r>
        <w:t>, 15 Cal.4th</w:t>
      </w:r>
      <w:r>
        <w:t xml:space="preserve"> at p. 476</w:t>
      </w:r>
      <w:r>
        <w:t>.)</w:t>
      </w:r>
    </w:p>
    <w:p w:rsidR="00F567D6" w:rsidRDefault="0012664A" w:rsidP="003E48AC">
      <w:pPr>
        <w:spacing w:line="360" w:lineRule="auto"/>
      </w:pPr>
      <w:r>
        <w:tab/>
      </w:r>
      <w:r>
        <w:t>(</w:t>
      </w:r>
      <w:r>
        <w:t>1</w:t>
      </w:r>
      <w:r>
        <w:t>)</w:t>
      </w:r>
      <w:r>
        <w:tab/>
      </w:r>
      <w:r>
        <w:t>Some measure of</w:t>
      </w:r>
      <w:r>
        <w:t xml:space="preserve"> </w:t>
      </w:r>
      <w:r w:rsidRPr="001647AD">
        <w:rPr>
          <w:i/>
        </w:rPr>
        <w:t>moral blame</w:t>
      </w:r>
      <w:r>
        <w:t xml:space="preserve"> </w:t>
      </w:r>
      <w:r>
        <w:t>does attach to</w:t>
      </w:r>
      <w:r>
        <w:t xml:space="preserve"> a university’s</w:t>
      </w:r>
      <w:r>
        <w:t xml:space="preserve"> negligent</w:t>
      </w:r>
      <w:r>
        <w:t xml:space="preserve"> failure to prevent</w:t>
      </w:r>
      <w:r>
        <w:t xml:space="preserve"> violence</w:t>
      </w:r>
      <w:r>
        <w:t xml:space="preserve"> against its students</w:t>
      </w:r>
      <w:r>
        <w:t>.  “We have previously assigned moral blame, and we have relied in part on that blame in finding a duty, in instances where the plaintiffs are particularly powerless or unsophisticated compared to the defendants or where the d</w:t>
      </w:r>
      <w:r>
        <w:t>efendants exercised greater control over the risks at issue.”  (</w:t>
      </w:r>
      <w:proofErr w:type="spellStart"/>
      <w:r w:rsidRPr="003E48AC">
        <w:rPr>
          <w:i/>
        </w:rPr>
        <w:t>Kesner</w:t>
      </w:r>
      <w:proofErr w:type="spellEnd"/>
      <w:r>
        <w:t xml:space="preserve">, </w:t>
      </w:r>
      <w:r>
        <w:rPr>
          <w:i/>
        </w:rPr>
        <w:t>supra</w:t>
      </w:r>
      <w:r>
        <w:t xml:space="preserve">, 1 Cal.5th at p. 1151.)  </w:t>
      </w:r>
      <w:r>
        <w:t xml:space="preserve">With the decline of colleges’ </w:t>
      </w:r>
      <w:r w:rsidRPr="007130EF">
        <w:t>in loco parentis</w:t>
      </w:r>
      <w:r>
        <w:t xml:space="preserve"> role, </w:t>
      </w:r>
      <w:r>
        <w:t xml:space="preserve">adult </w:t>
      </w:r>
      <w:r>
        <w:t xml:space="preserve">students can no longer </w:t>
      </w:r>
      <w:proofErr w:type="gramStart"/>
      <w:r>
        <w:t>be considered</w:t>
      </w:r>
      <w:proofErr w:type="gramEnd"/>
      <w:r>
        <w:t xml:space="preserve"> </w:t>
      </w:r>
      <w:r>
        <w:t>particularly</w:t>
      </w:r>
      <w:r>
        <w:t xml:space="preserve"> powerless or unsophisticated.</w:t>
      </w:r>
      <w:r>
        <w:t xml:space="preserve">  “While the co</w:t>
      </w:r>
      <w:r>
        <w:t xml:space="preserve">llege will take a lead role in campus security and safety issues, ‘babysitting’ would defeat the proper role of most colleges in most instances.  Most often the proper student/college relationship is one of </w:t>
      </w:r>
      <w:r w:rsidRPr="00494CF8">
        <w:rPr>
          <w:i/>
        </w:rPr>
        <w:t>shared</w:t>
      </w:r>
      <w:r>
        <w:t xml:space="preserve"> responsibility.”  (Lake,</w:t>
      </w:r>
      <w:r>
        <w:rPr>
          <w:i/>
        </w:rPr>
        <w:t xml:space="preserve"> supra</w:t>
      </w:r>
      <w:r>
        <w:t xml:space="preserve">, 64 Mo. </w:t>
      </w:r>
      <w:proofErr w:type="spellStart"/>
      <w:r>
        <w:t>L.</w:t>
      </w:r>
      <w:r>
        <w:t>R</w:t>
      </w:r>
      <w:r>
        <w:t>ev</w:t>
      </w:r>
      <w:proofErr w:type="spellEnd"/>
      <w:r>
        <w:t>. at p. 26.)</w:t>
      </w:r>
      <w:r>
        <w:t xml:space="preserve">  Nevertheless, compared to students, colleges will typically have access to more information about potential threats and a superior ability to control the environment and prevent harm.  This disparity in knowledge and control tips the balanc</w:t>
      </w:r>
      <w:r>
        <w:t>e slightly in favor of duty.</w:t>
      </w:r>
    </w:p>
    <w:p w:rsidR="00CA1A2F" w:rsidRDefault="0012664A" w:rsidP="00017A77">
      <w:pPr>
        <w:spacing w:line="360" w:lineRule="auto"/>
      </w:pPr>
      <w:r>
        <w:tab/>
      </w:r>
      <w:r>
        <w:t>(</w:t>
      </w:r>
      <w:r>
        <w:t>2</w:t>
      </w:r>
      <w:r>
        <w:t>)</w:t>
      </w:r>
      <w:r>
        <w:tab/>
      </w:r>
      <w:r>
        <w:t xml:space="preserve">“The overall </w:t>
      </w:r>
      <w:r w:rsidRPr="000A41B5">
        <w:rPr>
          <w:i/>
        </w:rPr>
        <w:t>policy of preventing future harm</w:t>
      </w:r>
      <w:r>
        <w:t xml:space="preserve"> is ordinarily served, in tort law, by imposing the costs of negligent conduct upon those responsible.  The </w:t>
      </w:r>
      <w:r>
        <w:lastRenderedPageBreak/>
        <w:t>policy question is whether that consideration is outweighed, for a category of negligent conduct, by laws or mores indicating approval of the conduc</w:t>
      </w:r>
      <w:r>
        <w:t>t or by the undesirable consequences of allowing potential liability.”  (</w:t>
      </w:r>
      <w:r>
        <w:rPr>
          <w:i/>
        </w:rPr>
        <w:t>Cabral</w:t>
      </w:r>
      <w:r>
        <w:t xml:space="preserve">, </w:t>
      </w:r>
      <w:r>
        <w:rPr>
          <w:i/>
        </w:rPr>
        <w:t>supra</w:t>
      </w:r>
      <w:r>
        <w:t>, 51 Cal.4th at pp. 781-782</w:t>
      </w:r>
      <w:r>
        <w:t>, italics added</w:t>
      </w:r>
      <w:r>
        <w:t xml:space="preserve">.)  UCLA </w:t>
      </w:r>
      <w:r>
        <w:t>argues</w:t>
      </w:r>
      <w:r>
        <w:t xml:space="preserve"> imposing a duty of care would </w:t>
      </w:r>
      <w:r w:rsidRPr="005E241E">
        <w:t>discourag</w:t>
      </w:r>
      <w:r>
        <w:t>e</w:t>
      </w:r>
      <w:r>
        <w:t xml:space="preserve"> colleges from </w:t>
      </w:r>
      <w:r>
        <w:t>offering comprehensive</w:t>
      </w:r>
      <w:r>
        <w:t xml:space="preserve"> mental health </w:t>
      </w:r>
      <w:r>
        <w:t>and crisis managemen</w:t>
      </w:r>
      <w:r>
        <w:t xml:space="preserve">t </w:t>
      </w:r>
      <w:r>
        <w:t>services.</w:t>
      </w:r>
      <w:r>
        <w:t xml:space="preserve">  Rather than become</w:t>
      </w:r>
      <w:r>
        <w:t xml:space="preserve"> engaged in the treatment of </w:t>
      </w:r>
      <w:r>
        <w:t>their</w:t>
      </w:r>
      <w:r>
        <w:t xml:space="preserve"> mentally ill students</w:t>
      </w:r>
      <w:r>
        <w:t xml:space="preserve">, colleges would have an incentive to expel anyone who might </w:t>
      </w:r>
      <w:r>
        <w:t>pose a remote</w:t>
      </w:r>
      <w:r>
        <w:t xml:space="preserve"> </w:t>
      </w:r>
      <w:r>
        <w:t>threat</w:t>
      </w:r>
      <w:r>
        <w:t xml:space="preserve"> </w:t>
      </w:r>
      <w:r>
        <w:t>to others.</w:t>
      </w:r>
      <w:r>
        <w:t xml:space="preserve">  </w:t>
      </w:r>
      <w:r>
        <w:t>We understand that the</w:t>
      </w:r>
      <w:r>
        <w:t xml:space="preserve"> recognition of a duty of care will </w:t>
      </w:r>
      <w:r>
        <w:t xml:space="preserve">force schools to </w:t>
      </w:r>
      <w:r>
        <w:t xml:space="preserve">balance competing goals and make sometimes </w:t>
      </w:r>
      <w:proofErr w:type="gramStart"/>
      <w:r>
        <w:t>difficult decisions</w:t>
      </w:r>
      <w:proofErr w:type="gramEnd"/>
      <w:r>
        <w:t>.</w:t>
      </w:r>
      <w:r>
        <w:t xml:space="preserve">  </w:t>
      </w:r>
      <w:r>
        <w:t xml:space="preserve">The existence of </w:t>
      </w:r>
      <w:r>
        <w:t xml:space="preserve">a duty </w:t>
      </w:r>
      <w:r>
        <w:t>may</w:t>
      </w:r>
      <w:r>
        <w:t xml:space="preserve"> give </w:t>
      </w:r>
      <w:r>
        <w:t xml:space="preserve">some </w:t>
      </w:r>
      <w:r>
        <w:t>schools a marginal incentive to suspend or expel students who display a potential for violence.</w:t>
      </w:r>
      <w:r>
        <w:t xml:space="preserve">  It might make </w:t>
      </w:r>
      <w:r>
        <w:t>schools</w:t>
      </w:r>
      <w:r>
        <w:t xml:space="preserve"> reluctant to admit certain student</w:t>
      </w:r>
      <w:r>
        <w:t xml:space="preserve">s, or to offer mental health treatment.  </w:t>
      </w:r>
      <w:r>
        <w:t>But colleges’</w:t>
      </w:r>
      <w:r>
        <w:t xml:space="preserve"> decisions </w:t>
      </w:r>
      <w:r>
        <w:t xml:space="preserve">in this area </w:t>
      </w:r>
      <w:proofErr w:type="gramStart"/>
      <w:r>
        <w:t>are</w:t>
      </w:r>
      <w:r>
        <w:t xml:space="preserve"> restricted</w:t>
      </w:r>
      <w:proofErr w:type="gramEnd"/>
      <w:r>
        <w:t xml:space="preserve"> to some extent</w:t>
      </w:r>
      <w:r>
        <w:t xml:space="preserve"> by laws such as t</w:t>
      </w:r>
      <w:r>
        <w:t>he Americans with Disabilities Act (42 U.S.C. § </w:t>
      </w:r>
      <w:r>
        <w:t>12101 et seq.).</w:t>
      </w:r>
      <w:r>
        <w:t xml:space="preserve"> </w:t>
      </w:r>
      <w:r>
        <w:t xml:space="preserve"> </w:t>
      </w:r>
      <w:r>
        <w:t>In addition, t</w:t>
      </w:r>
      <w:r>
        <w:t>he market forces that drove colleges across the coun</w:t>
      </w:r>
      <w:r>
        <w:t>try to adopt sophisticated</w:t>
      </w:r>
      <w:r>
        <w:t xml:space="preserve"> violence prevention protocols</w:t>
      </w:r>
      <w:r>
        <w:t xml:space="preserve"> </w:t>
      </w:r>
      <w:r>
        <w:t xml:space="preserve">in the wake of the Virginia Tech incident </w:t>
      </w:r>
      <w:r>
        <w:t>would</w:t>
      </w:r>
      <w:r>
        <w:t xml:space="preserve"> likely</w:t>
      </w:r>
      <w:r>
        <w:t xml:space="preserve"> </w:t>
      </w:r>
      <w:r>
        <w:t>weigh against the</w:t>
      </w:r>
      <w:r>
        <w:t xml:space="preserve"> dismantling </w:t>
      </w:r>
      <w:r>
        <w:t>of</w:t>
      </w:r>
      <w:r>
        <w:t xml:space="preserve"> </w:t>
      </w:r>
      <w:r>
        <w:t xml:space="preserve">these </w:t>
      </w:r>
      <w:r>
        <w:t>protections.</w:t>
      </w:r>
      <w:r>
        <w:t xml:space="preserve">  Colleges and universities also may have options short of expelling or </w:t>
      </w:r>
      <w:r>
        <w:t xml:space="preserve">denying admission to </w:t>
      </w:r>
      <w:r>
        <w:t>deal with potentially violent students.  What constitutes reasonable care will vary with the circumstances of each case.</w:t>
      </w:r>
      <w:r>
        <w:t xml:space="preserve">  </w:t>
      </w:r>
      <w:proofErr w:type="gramStart"/>
      <w:r>
        <w:t>On the whole</w:t>
      </w:r>
      <w:proofErr w:type="gramEnd"/>
      <w:r>
        <w:t>,</w:t>
      </w:r>
      <w:r>
        <w:t xml:space="preserve"> however,</w:t>
      </w:r>
      <w:r>
        <w:t xml:space="preserve"> if </w:t>
      </w:r>
      <w:r>
        <w:t>such steps</w:t>
      </w:r>
      <w:r>
        <w:t xml:space="preserve"> </w:t>
      </w:r>
      <w:r>
        <w:t xml:space="preserve">can </w:t>
      </w:r>
      <w:r>
        <w:t xml:space="preserve">avert violent episodes like the one that occurred here, </w:t>
      </w:r>
      <w:r>
        <w:t>recognizing a duty</w:t>
      </w:r>
      <w:r>
        <w:t xml:space="preserve"> serve</w:t>
      </w:r>
      <w:r>
        <w:t>s</w:t>
      </w:r>
      <w:r>
        <w:t xml:space="preserve"> the policy </w:t>
      </w:r>
      <w:r>
        <w:t>of preventing future harm.</w:t>
      </w:r>
    </w:p>
    <w:p w:rsidR="00234C4A" w:rsidRDefault="0012664A" w:rsidP="00017A77">
      <w:pPr>
        <w:spacing w:line="360" w:lineRule="auto"/>
      </w:pPr>
      <w:r>
        <w:tab/>
      </w:r>
      <w:r>
        <w:t xml:space="preserve">UCLA also predicts that legal recognition of a </w:t>
      </w:r>
      <w:r>
        <w:t>duty might deter students from seeking mental health treatment, or being candid with treatment providers, for fear that their confiden</w:t>
      </w:r>
      <w:r>
        <w:t>ces</w:t>
      </w:r>
      <w:r>
        <w:t xml:space="preserve"> would </w:t>
      </w:r>
      <w:proofErr w:type="gramStart"/>
      <w:r>
        <w:t>be disclosed</w:t>
      </w:r>
      <w:proofErr w:type="gramEnd"/>
      <w:r>
        <w:t>.</w:t>
      </w:r>
      <w:r>
        <w:t xml:space="preserve"> </w:t>
      </w:r>
      <w:r>
        <w:t xml:space="preserve"> To </w:t>
      </w:r>
      <w:proofErr w:type="gramStart"/>
      <w:r>
        <w:t>a large extent</w:t>
      </w:r>
      <w:proofErr w:type="gramEnd"/>
      <w:r>
        <w:t>, how</w:t>
      </w:r>
      <w:r>
        <w:t>ever, the conditio</w:t>
      </w:r>
      <w:r>
        <w:t>ns that might influence student</w:t>
      </w:r>
      <w:r>
        <w:t xml:space="preserve"> perceptions about confidentiality already exist.  </w:t>
      </w:r>
      <w:r>
        <w:t xml:space="preserve">Psychotherapists’ duty to warn about </w:t>
      </w:r>
      <w:r>
        <w:t>patient</w:t>
      </w:r>
      <w:r>
        <w:t xml:space="preserve"> </w:t>
      </w:r>
      <w:r>
        <w:t xml:space="preserve">threats </w:t>
      </w:r>
      <w:proofErr w:type="gramStart"/>
      <w:r>
        <w:t>is well established</w:t>
      </w:r>
      <w:proofErr w:type="gramEnd"/>
      <w:r>
        <w:t xml:space="preserve"> in California</w:t>
      </w:r>
      <w:r>
        <w:t>.  Indeed, despite fears that this duty would deter people from seekin</w:t>
      </w:r>
      <w:r>
        <w:t>g treatment and</w:t>
      </w:r>
      <w:r>
        <w:t xml:space="preserve"> irreparably</w:t>
      </w:r>
      <w:r>
        <w:t xml:space="preserve"> damage the psychotherapist-patient relationship (see, </w:t>
      </w:r>
      <w:r>
        <w:lastRenderedPageBreak/>
        <w:t>e.g.</w:t>
      </w:r>
      <w:r>
        <w:t>,</w:t>
      </w:r>
      <w:r>
        <w:t xml:space="preserve"> </w:t>
      </w:r>
      <w:proofErr w:type="spellStart"/>
      <w:r>
        <w:rPr>
          <w:i/>
        </w:rPr>
        <w:t>Tarasoff</w:t>
      </w:r>
      <w:proofErr w:type="spellEnd"/>
      <w:r>
        <w:t xml:space="preserve">, </w:t>
      </w:r>
      <w:r>
        <w:rPr>
          <w:i/>
        </w:rPr>
        <w:t>supra</w:t>
      </w:r>
      <w:r>
        <w:t>, 17 Cal.3d at p</w:t>
      </w:r>
      <w:r>
        <w:t>p</w:t>
      </w:r>
      <w:r>
        <w:t>. </w:t>
      </w:r>
      <w:r>
        <w:t>458-460 (dis. opn. of Clark, J.)</w:t>
      </w:r>
      <w:r>
        <w:t>)</w:t>
      </w:r>
      <w:r>
        <w:t>, empirical studies have produced “</w:t>
      </w:r>
      <w:r w:rsidRPr="00FF3AAF">
        <w:t xml:space="preserve">no evidence thus far that patients have </w:t>
      </w:r>
      <w:proofErr w:type="gramStart"/>
      <w:r w:rsidRPr="00FF3AAF">
        <w:t>been discouraged</w:t>
      </w:r>
      <w:proofErr w:type="gramEnd"/>
      <w:r w:rsidRPr="00FF3AAF">
        <w:t xml:space="preserve"> from comi</w:t>
      </w:r>
      <w:r w:rsidRPr="00FF3AAF">
        <w:t>ng to therapy, or discouraged from speaking freely once there, for fear that their confidentiality will be breached</w:t>
      </w:r>
      <w:r>
        <w:t xml:space="preserve">” (Buckner &amp; Firestone, </w:t>
      </w:r>
      <w:r>
        <w:rPr>
          <w:i/>
        </w:rPr>
        <w:t>“</w:t>
      </w:r>
      <w:r>
        <w:rPr>
          <w:i/>
        </w:rPr>
        <w:t>Where the Public Peril Begi</w:t>
      </w:r>
      <w:r>
        <w:rPr>
          <w:i/>
        </w:rPr>
        <w:t>ns” 25 Years After</w:t>
      </w:r>
      <w:r>
        <w:rPr>
          <w:i/>
        </w:rPr>
        <w:t xml:space="preserve"> </w:t>
      </w:r>
      <w:proofErr w:type="spellStart"/>
      <w:r w:rsidRPr="00903036">
        <w:rPr>
          <w:i/>
        </w:rPr>
        <w:t>Tarasoff</w:t>
      </w:r>
      <w:proofErr w:type="spellEnd"/>
      <w:r>
        <w:t>, 21 J. Legal</w:t>
      </w:r>
      <w:r>
        <w:t xml:space="preserve"> Med. 187, 221)</w:t>
      </w:r>
      <w:r>
        <w:t>.</w:t>
      </w:r>
      <w:r>
        <w:t xml:space="preserve">  Moreover, as the record in this case demonstrates, threat assessment and violence prevention protocols are </w:t>
      </w:r>
      <w:r>
        <w:t>already</w:t>
      </w:r>
      <w:r>
        <w:t xml:space="preserve"> prevalent on university campuses.  Recognizing that the university owes its students a duty of care und</w:t>
      </w:r>
      <w:r>
        <w:t>er certain circumstances is un</w:t>
      </w:r>
      <w:r>
        <w:t>likely</w:t>
      </w:r>
      <w:r>
        <w:t xml:space="preserve"> to</w:t>
      </w:r>
      <w:r>
        <w:t xml:space="preserve"> appreciably</w:t>
      </w:r>
      <w:r>
        <w:t xml:space="preserve"> change this landscape.</w:t>
      </w:r>
    </w:p>
    <w:p w:rsidR="00E64052" w:rsidRDefault="0012664A" w:rsidP="00017A77">
      <w:pPr>
        <w:spacing w:line="360" w:lineRule="auto"/>
      </w:pPr>
      <w:r>
        <w:tab/>
      </w:r>
      <w:r>
        <w:t>(</w:t>
      </w:r>
      <w:r>
        <w:t>3</w:t>
      </w:r>
      <w:r>
        <w:t>)</w:t>
      </w:r>
      <w:r>
        <w:tab/>
      </w:r>
      <w:r>
        <w:t>Which leads to the next policy factor</w:t>
      </w:r>
      <w:r>
        <w:t>:</w:t>
      </w:r>
      <w:r>
        <w:t xml:space="preserve"> </w:t>
      </w:r>
      <w:r>
        <w:t xml:space="preserve">the </w:t>
      </w:r>
      <w:r w:rsidRPr="000A41B5">
        <w:rPr>
          <w:i/>
        </w:rPr>
        <w:t>burden</w:t>
      </w:r>
      <w:r>
        <w:t xml:space="preserve"> </w:t>
      </w:r>
      <w:r>
        <w:t xml:space="preserve">that </w:t>
      </w:r>
      <w:r>
        <w:t xml:space="preserve">recognizing a tort duty would impose on the defendant and the community.  (See </w:t>
      </w:r>
      <w:r>
        <w:rPr>
          <w:i/>
        </w:rPr>
        <w:t>Rowland</w:t>
      </w:r>
      <w:r>
        <w:t xml:space="preserve">, </w:t>
      </w:r>
      <w:r>
        <w:rPr>
          <w:i/>
        </w:rPr>
        <w:t>supra</w:t>
      </w:r>
      <w:r>
        <w:t>, 69 Cal.2d at p. 113.)  UCLA and some amici curiae place consid</w:t>
      </w:r>
      <w:r>
        <w:t xml:space="preserve">erable weight on this factor, </w:t>
      </w:r>
      <w:r>
        <w:t xml:space="preserve">arguing it would be prohibitively expensive and impractical to make university professors and administrators the “insurers” of student safety.  </w:t>
      </w:r>
      <w:r>
        <w:t xml:space="preserve">But the record shows that UCLA, like other colleges across the country, has </w:t>
      </w:r>
      <w:r>
        <w:rPr>
          <w:i/>
        </w:rPr>
        <w:t>alread</w:t>
      </w:r>
      <w:r>
        <w:rPr>
          <w:i/>
        </w:rPr>
        <w:t>y</w:t>
      </w:r>
      <w:r>
        <w:t xml:space="preserve"> developed sophisticated strategies for identifying and defusing potential threats to student safety</w:t>
      </w:r>
      <w:r>
        <w:t xml:space="preserve">. </w:t>
      </w:r>
      <w:r>
        <w:t xml:space="preserve"> </w:t>
      </w:r>
      <w:r>
        <w:t>T</w:t>
      </w:r>
      <w:r>
        <w:t xml:space="preserve">he </w:t>
      </w:r>
      <w:r>
        <w:t>s</w:t>
      </w:r>
      <w:r>
        <w:t xml:space="preserve">chool created </w:t>
      </w:r>
      <w:r>
        <w:t>multidisciplinary team</w:t>
      </w:r>
      <w:r>
        <w:t>s</w:t>
      </w:r>
      <w:r>
        <w:t xml:space="preserve"> of trained staff members and professionals for this </w:t>
      </w:r>
      <w:r>
        <w:t>very purpose.</w:t>
      </w:r>
      <w:r w:rsidRPr="00A52B20">
        <w:t xml:space="preserve"> </w:t>
      </w:r>
      <w:r>
        <w:t xml:space="preserve"> </w:t>
      </w:r>
      <w:r>
        <w:t>I</w:t>
      </w:r>
      <w:r>
        <w:t>ndeed</w:t>
      </w:r>
      <w:r>
        <w:t>,</w:t>
      </w:r>
      <w:r>
        <w:t xml:space="preserve"> </w:t>
      </w:r>
      <w:r>
        <w:t>one of these</w:t>
      </w:r>
      <w:r>
        <w:t xml:space="preserve"> </w:t>
      </w:r>
      <w:r>
        <w:t>t</w:t>
      </w:r>
      <w:r>
        <w:t>eam</w:t>
      </w:r>
      <w:r>
        <w:t>s</w:t>
      </w:r>
      <w:r>
        <w:t xml:space="preserve"> was closely mon</w:t>
      </w:r>
      <w:r>
        <w:t xml:space="preserve">itoring Thompson’s behavior. </w:t>
      </w:r>
      <w:r>
        <w:t xml:space="preserve"> UCLA </w:t>
      </w:r>
      <w:r>
        <w:t xml:space="preserve">also </w:t>
      </w:r>
      <w:r>
        <w:t xml:space="preserve">expressly marketed itself to prospective students, and their parents, as “one of the safest campuses in the country.”  </w:t>
      </w:r>
      <w:r>
        <w:t>T</w:t>
      </w:r>
      <w:r>
        <w:t>hese enhanced</w:t>
      </w:r>
      <w:r>
        <w:t xml:space="preserve"> safety </w:t>
      </w:r>
      <w:r>
        <w:t>measures came</w:t>
      </w:r>
      <w:r>
        <w:t xml:space="preserve"> at a price, </w:t>
      </w:r>
      <w:r>
        <w:t xml:space="preserve">but </w:t>
      </w:r>
      <w:r>
        <w:t xml:space="preserve">students paid the bill. </w:t>
      </w:r>
      <w:r>
        <w:t xml:space="preserve"> </w:t>
      </w:r>
      <w:r>
        <w:t xml:space="preserve">In 2007, schools in the University of California system </w:t>
      </w:r>
      <w:r>
        <w:t xml:space="preserve">raised </w:t>
      </w:r>
      <w:r>
        <w:t>mandatory registration</w:t>
      </w:r>
      <w:r>
        <w:t xml:space="preserve"> fees 3 percent </w:t>
      </w:r>
      <w:r>
        <w:t>to improve student mental health services</w:t>
      </w:r>
      <w:r>
        <w:t>,</w:t>
      </w:r>
      <w:r>
        <w:t xml:space="preserve"> and </w:t>
      </w:r>
      <w:r>
        <w:t xml:space="preserve">they </w:t>
      </w:r>
      <w:r>
        <w:t>planned</w:t>
      </w:r>
      <w:r>
        <w:t xml:space="preserve"> further increases to implement </w:t>
      </w:r>
      <w:proofErr w:type="gramStart"/>
      <w:r>
        <w:t>all</w:t>
      </w:r>
      <w:r>
        <w:t xml:space="preserve"> of</w:t>
      </w:r>
      <w:proofErr w:type="gramEnd"/>
      <w:r>
        <w:t xml:space="preserve"> the</w:t>
      </w:r>
      <w:r>
        <w:t xml:space="preserve"> </w:t>
      </w:r>
      <w:r>
        <w:t>violence prevention measures recommended by</w:t>
      </w:r>
      <w:r>
        <w:t xml:space="preserve"> the Campu</w:t>
      </w:r>
      <w:r>
        <w:t xml:space="preserve">s Security Task Force. </w:t>
      </w:r>
      <w:r>
        <w:t xml:space="preserve"> </w:t>
      </w:r>
      <w:r>
        <w:t xml:space="preserve">Because </w:t>
      </w:r>
      <w:r>
        <w:t xml:space="preserve">the record reflects that </w:t>
      </w:r>
      <w:r>
        <w:t>colleges</w:t>
      </w:r>
      <w:r>
        <w:t xml:space="preserve"> </w:t>
      </w:r>
      <w:r>
        <w:t xml:space="preserve">have already focused considerable </w:t>
      </w:r>
      <w:r>
        <w:t>attention</w:t>
      </w:r>
      <w:r>
        <w:t xml:space="preserve"> </w:t>
      </w:r>
      <w:r>
        <w:t xml:space="preserve">on identifying and responding to </w:t>
      </w:r>
      <w:r>
        <w:t xml:space="preserve">potential </w:t>
      </w:r>
      <w:r>
        <w:t>threats</w:t>
      </w:r>
      <w:r>
        <w:t xml:space="preserve">, and </w:t>
      </w:r>
      <w:r>
        <w:t>have</w:t>
      </w:r>
      <w:r>
        <w:t xml:space="preserve"> funding</w:t>
      </w:r>
      <w:r>
        <w:t xml:space="preserve"> sources available</w:t>
      </w:r>
      <w:r>
        <w:t xml:space="preserve"> for these efforts,</w:t>
      </w:r>
      <w:r>
        <w:t xml:space="preserve"> </w:t>
      </w:r>
      <w:r>
        <w:t>it does not appear that recognizing a le</w:t>
      </w:r>
      <w:r>
        <w:t>gal duty to protect students from foreseeable threats would pose an unmanageable burden.</w:t>
      </w:r>
    </w:p>
    <w:p w:rsidR="00960F17" w:rsidRPr="00F729D0" w:rsidRDefault="0012664A" w:rsidP="00017A77">
      <w:pPr>
        <w:spacing w:line="360" w:lineRule="auto"/>
      </w:pPr>
      <w:r>
        <w:lastRenderedPageBreak/>
        <w:tab/>
      </w:r>
      <w:r>
        <w:t xml:space="preserve">The duty we recognize here </w:t>
      </w:r>
      <w:proofErr w:type="gramStart"/>
      <w:r>
        <w:t>is owed</w:t>
      </w:r>
      <w:proofErr w:type="gramEnd"/>
      <w:r>
        <w:t xml:space="preserve"> not to the public at large but</w:t>
      </w:r>
      <w:r>
        <w:t xml:space="preserve"> is limited</w:t>
      </w:r>
      <w:r>
        <w:t xml:space="preserve"> to enrolled students who are at foreseeable risk of being harmed </w:t>
      </w:r>
      <w:r>
        <w:t xml:space="preserve">in a violent attack </w:t>
      </w:r>
      <w:r>
        <w:t>whil</w:t>
      </w:r>
      <w:r>
        <w:t>e participating in curricular activities at the school</w:t>
      </w:r>
      <w:r>
        <w:t>.</w:t>
      </w:r>
      <w:r>
        <w:t xml:space="preserve">  Moreover, </w:t>
      </w:r>
      <w:r>
        <w:t xml:space="preserve">universities </w:t>
      </w:r>
      <w:proofErr w:type="gramStart"/>
      <w:r>
        <w:t>are</w:t>
      </w:r>
      <w:r>
        <w:t xml:space="preserve"> not charged</w:t>
      </w:r>
      <w:proofErr w:type="gramEnd"/>
      <w:r>
        <w:t xml:space="preserve"> with a broad duty to prevent violence against </w:t>
      </w:r>
      <w:r>
        <w:t>their</w:t>
      </w:r>
      <w:r>
        <w:t xml:space="preserve"> students.  Such a duty could be impossible to discharge in </w:t>
      </w:r>
      <w:r>
        <w:t>many</w:t>
      </w:r>
      <w:r>
        <w:t xml:space="preserve"> circumstances.  Rather, the school’s duty is</w:t>
      </w:r>
      <w:r>
        <w:t xml:space="preserve"> to take </w:t>
      </w:r>
      <w:r>
        <w:rPr>
          <w:i/>
        </w:rPr>
        <w:t>reasonable</w:t>
      </w:r>
      <w:r>
        <w:t xml:space="preserve"> steps to protect students when it </w:t>
      </w:r>
      <w:r>
        <w:t xml:space="preserve">becomes aware of a </w:t>
      </w:r>
      <w:r w:rsidRPr="00065D4E">
        <w:rPr>
          <w:i/>
        </w:rPr>
        <w:t>foreseeable</w:t>
      </w:r>
      <w:r>
        <w:t xml:space="preserve"> threat to their safety.  The reasonableness of a school’s actions in response to a potential threat is a question of breach</w:t>
      </w:r>
      <w:r>
        <w:t>.</w:t>
      </w:r>
    </w:p>
    <w:p w:rsidR="003603D0" w:rsidRDefault="0012664A" w:rsidP="008F4F89">
      <w:pPr>
        <w:spacing w:line="360" w:lineRule="auto"/>
      </w:pPr>
      <w:r>
        <w:tab/>
      </w:r>
      <w:r>
        <w:t>(4)</w:t>
      </w:r>
      <w:r>
        <w:tab/>
      </w:r>
      <w:r>
        <w:t xml:space="preserve">The final policy factor </w:t>
      </w:r>
      <w:r>
        <w:t xml:space="preserve">in a duty </w:t>
      </w:r>
      <w:r>
        <w:t>analysis</w:t>
      </w:r>
      <w:r>
        <w:t xml:space="preserve"> is the </w:t>
      </w:r>
      <w:r w:rsidRPr="00846000">
        <w:rPr>
          <w:i/>
        </w:rPr>
        <w:t>availability of insurance</w:t>
      </w:r>
      <w:r>
        <w:t xml:space="preserve"> </w:t>
      </w:r>
      <w:r>
        <w:t>for</w:t>
      </w:r>
      <w:r>
        <w:t xml:space="preserve"> the risk involved.  (</w:t>
      </w:r>
      <w:r>
        <w:rPr>
          <w:i/>
        </w:rPr>
        <w:t>Rowland</w:t>
      </w:r>
      <w:r>
        <w:t xml:space="preserve">, </w:t>
      </w:r>
      <w:r>
        <w:rPr>
          <w:i/>
        </w:rPr>
        <w:t>supra</w:t>
      </w:r>
      <w:r>
        <w:t xml:space="preserve">, 69 Cal.2d at p. 113.)  While not addressing this issue specifically, UCLA has offered no reason to doubt </w:t>
      </w:r>
      <w:r>
        <w:t>colleges’</w:t>
      </w:r>
      <w:r>
        <w:t xml:space="preserve"> ability to obtain coverage </w:t>
      </w:r>
      <w:r>
        <w:t xml:space="preserve">for </w:t>
      </w:r>
      <w:r>
        <w:t xml:space="preserve">the </w:t>
      </w:r>
      <w:r>
        <w:t xml:space="preserve">negligence </w:t>
      </w:r>
      <w:r>
        <w:t xml:space="preserve">liability </w:t>
      </w:r>
      <w:r>
        <w:t>un</w:t>
      </w:r>
      <w:r>
        <w:t xml:space="preserve">der </w:t>
      </w:r>
      <w:r>
        <w:t>consideration</w:t>
      </w:r>
      <w:r>
        <w:t>.</w:t>
      </w:r>
    </w:p>
    <w:p w:rsidR="00FF77EE" w:rsidRDefault="0012664A" w:rsidP="008F4F89">
      <w:pPr>
        <w:spacing w:line="360" w:lineRule="auto"/>
      </w:pPr>
      <w:r>
        <w:tab/>
        <w:t xml:space="preserve">Accordingly, an </w:t>
      </w:r>
      <w:r>
        <w:t>examination</w:t>
      </w:r>
      <w:r>
        <w:t xml:space="preserve"> of the </w:t>
      </w:r>
      <w:r>
        <w:rPr>
          <w:i/>
        </w:rPr>
        <w:t>Rowland</w:t>
      </w:r>
      <w:r>
        <w:t xml:space="preserve"> factors does not persuade us to depart from our </w:t>
      </w:r>
      <w:r>
        <w:t xml:space="preserve">decision to recognize a </w:t>
      </w:r>
      <w:r>
        <w:t xml:space="preserve">tort </w:t>
      </w:r>
      <w:r>
        <w:t xml:space="preserve">duty </w:t>
      </w:r>
      <w:r>
        <w:t>arising from the special relationship between colleges and their enrolled students</w:t>
      </w:r>
      <w:r>
        <w:t>.  Specifically, we hold that</w:t>
      </w:r>
      <w:r>
        <w:t xml:space="preserve"> </w:t>
      </w:r>
      <w:r>
        <w:t xml:space="preserve">colleges have a duty to use reasonable care to protect their students from foreseeable </w:t>
      </w:r>
      <w:r>
        <w:t>violence</w:t>
      </w:r>
      <w:r>
        <w:t xml:space="preserve"> </w:t>
      </w:r>
      <w:r>
        <w:t>dur</w:t>
      </w:r>
      <w:r>
        <w:t>ing curricular activities</w:t>
      </w:r>
      <w:r>
        <w:t>.</w:t>
      </w:r>
      <w:r>
        <w:rPr>
          <w:rStyle w:val="FootnoteReference"/>
        </w:rPr>
        <w:footnoteReference w:id="7"/>
      </w:r>
    </w:p>
    <w:p w:rsidR="00893A99" w:rsidRDefault="0012664A" w:rsidP="00B22AA3">
      <w:pPr>
        <w:spacing w:line="360" w:lineRule="auto"/>
      </w:pPr>
      <w:r>
        <w:tab/>
      </w:r>
      <w:r>
        <w:t>We emphasize</w:t>
      </w:r>
      <w:r>
        <w:t xml:space="preserve"> that </w:t>
      </w:r>
      <w:r>
        <w:t xml:space="preserve">a duty of care </w:t>
      </w:r>
      <w:r>
        <w:t xml:space="preserve">is not the equivalent of liability.  Nor should our holding </w:t>
      </w:r>
      <w:proofErr w:type="gramStart"/>
      <w:r>
        <w:t>be read</w:t>
      </w:r>
      <w:proofErr w:type="gramEnd"/>
      <w:r>
        <w:t xml:space="preserve"> to create a</w:t>
      </w:r>
      <w:r>
        <w:t>n impossible</w:t>
      </w:r>
      <w:r>
        <w:t xml:space="preserve"> re</w:t>
      </w:r>
      <w:r>
        <w:t xml:space="preserve">quirement that colleges prevent </w:t>
      </w:r>
      <w:r>
        <w:t xml:space="preserve">violence on their campuses.  Colleges </w:t>
      </w:r>
      <w:r>
        <w:t>are not the</w:t>
      </w:r>
      <w:r>
        <w:t xml:space="preserve"> ultimate</w:t>
      </w:r>
      <w:r>
        <w:t xml:space="preserve"> insurers of </w:t>
      </w:r>
      <w:r>
        <w:t xml:space="preserve">all </w:t>
      </w:r>
      <w:r>
        <w:t xml:space="preserve">student safety.  We </w:t>
      </w:r>
      <w:r>
        <w:t xml:space="preserve">simply </w:t>
      </w:r>
      <w:r>
        <w:t xml:space="preserve">hold that they </w:t>
      </w:r>
      <w:r>
        <w:t xml:space="preserve">have a duty to act with reasonable care when </w:t>
      </w:r>
      <w:r>
        <w:t>aware of</w:t>
      </w:r>
      <w:r>
        <w:t xml:space="preserve"> a</w:t>
      </w:r>
      <w:r>
        <w:t xml:space="preserve"> foreseeable threat</w:t>
      </w:r>
      <w:r>
        <w:t xml:space="preserve"> of violence</w:t>
      </w:r>
      <w:r>
        <w:t xml:space="preserve"> in a curricular sett</w:t>
      </w:r>
      <w:r>
        <w:t>ing</w:t>
      </w:r>
      <w:r>
        <w:t>.</w:t>
      </w:r>
      <w:r>
        <w:t xml:space="preserve">  </w:t>
      </w:r>
      <w:r>
        <w:t>R</w:t>
      </w:r>
      <w:r>
        <w:t xml:space="preserve">easonable </w:t>
      </w:r>
      <w:r>
        <w:t xml:space="preserve">care </w:t>
      </w:r>
      <w:r>
        <w:t xml:space="preserve">will vary </w:t>
      </w:r>
      <w:r>
        <w:t>under the circumstances of each case.</w:t>
      </w:r>
      <w:r>
        <w:t xml:space="preserve">  </w:t>
      </w:r>
      <w:r>
        <w:t>Moreover, s</w:t>
      </w:r>
      <w:r>
        <w:t xml:space="preserve">ome assaults may </w:t>
      </w:r>
      <w:r>
        <w:lastRenderedPageBreak/>
        <w:t xml:space="preserve">be </w:t>
      </w:r>
      <w:r>
        <w:t>unavoidable</w:t>
      </w:r>
      <w:r>
        <w:t xml:space="preserve"> </w:t>
      </w:r>
      <w:r>
        <w:t>despite a</w:t>
      </w:r>
      <w:r>
        <w:t xml:space="preserve"> </w:t>
      </w:r>
      <w:r>
        <w:t>college</w:t>
      </w:r>
      <w:r>
        <w:t xml:space="preserve">’s </w:t>
      </w:r>
      <w:r>
        <w:t>best</w:t>
      </w:r>
      <w:r>
        <w:t xml:space="preserve"> efforts</w:t>
      </w:r>
      <w:r>
        <w:t xml:space="preserve"> to </w:t>
      </w:r>
      <w:r>
        <w:t>prevent the</w:t>
      </w:r>
      <w:r>
        <w:t>m</w:t>
      </w:r>
      <w:r>
        <w:t>.</w:t>
      </w:r>
      <w:r>
        <w:t xml:space="preserve">  Courts and juries should </w:t>
      </w:r>
      <w:proofErr w:type="gramStart"/>
      <w:r>
        <w:t>be cautioned</w:t>
      </w:r>
      <w:proofErr w:type="gramEnd"/>
      <w:r>
        <w:t xml:space="preserve"> to avoid judging liability based on hindsight.</w:t>
      </w:r>
    </w:p>
    <w:p w:rsidR="0005433F" w:rsidRPr="00F80F30" w:rsidRDefault="0012664A" w:rsidP="00B22AA3">
      <w:pPr>
        <w:spacing w:line="360" w:lineRule="auto"/>
      </w:pPr>
      <w:r>
        <w:tab/>
      </w:r>
      <w:r>
        <w:t xml:space="preserve">Our </w:t>
      </w:r>
      <w:r>
        <w:t>conclusion</w:t>
      </w:r>
      <w:r>
        <w:t xml:space="preserve"> that universities</w:t>
      </w:r>
      <w:r>
        <w:t xml:space="preserve"> owe a duty to protect students from foreseeable violence during curricular activities</w:t>
      </w:r>
      <w:r>
        <w:t xml:space="preserve"> does not end the </w:t>
      </w:r>
      <w:r>
        <w:t>matter</w:t>
      </w:r>
      <w:r>
        <w:t>, however.</w:t>
      </w:r>
      <w:r>
        <w:rPr>
          <w:rStyle w:val="FootnoteReference"/>
        </w:rPr>
        <w:footnoteReference w:id="8"/>
      </w:r>
      <w:r>
        <w:t xml:space="preserve">  </w:t>
      </w:r>
      <w:r>
        <w:t xml:space="preserve">UCLA’s petition for writ of mandate argued summary judgment should have </w:t>
      </w:r>
      <w:proofErr w:type="gramStart"/>
      <w:r>
        <w:t>been granted</w:t>
      </w:r>
      <w:proofErr w:type="gramEnd"/>
      <w:r>
        <w:t xml:space="preserve"> for three reasons.  </w:t>
      </w:r>
      <w:r>
        <w:t>First, UCLA claimed it owed Rosen no duty of care</w:t>
      </w:r>
      <w:r>
        <w:t>; s</w:t>
      </w:r>
      <w:r>
        <w:t xml:space="preserve">econd, </w:t>
      </w:r>
      <w:r>
        <w:t xml:space="preserve">it did not </w:t>
      </w:r>
      <w:r>
        <w:t>negligent</w:t>
      </w:r>
      <w:r>
        <w:t>l</w:t>
      </w:r>
      <w:r>
        <w:t xml:space="preserve">y </w:t>
      </w:r>
      <w:r>
        <w:t xml:space="preserve">breach </w:t>
      </w:r>
      <w:r>
        <w:t>any duty to Rosen</w:t>
      </w:r>
      <w:r>
        <w:t>; and t</w:t>
      </w:r>
      <w:r>
        <w:t xml:space="preserve">hird, </w:t>
      </w:r>
      <w:r>
        <w:t>various</w:t>
      </w:r>
      <w:r>
        <w:t xml:space="preserve"> immunity statutes shielded </w:t>
      </w:r>
      <w:r>
        <w:t>the school</w:t>
      </w:r>
      <w:r>
        <w:t xml:space="preserve"> </w:t>
      </w:r>
      <w:r>
        <w:t xml:space="preserve">and individual defendants </w:t>
      </w:r>
      <w:r>
        <w:t>from liability.</w:t>
      </w:r>
      <w:r>
        <w:rPr>
          <w:rStyle w:val="FootnoteReference"/>
        </w:rPr>
        <w:footnoteReference w:id="9"/>
      </w:r>
      <w:r>
        <w:t xml:space="preserve">  </w:t>
      </w:r>
      <w:r>
        <w:t xml:space="preserve">The Court of Appeal majority agreed </w:t>
      </w:r>
      <w:r>
        <w:t>that</w:t>
      </w:r>
      <w:r>
        <w:t xml:space="preserve"> </w:t>
      </w:r>
      <w:r>
        <w:t>UCLA</w:t>
      </w:r>
      <w:r>
        <w:t xml:space="preserve"> o</w:t>
      </w:r>
      <w:r>
        <w:t>wed no duty of care and</w:t>
      </w:r>
      <w:r>
        <w:t xml:space="preserve"> did not</w:t>
      </w:r>
      <w:r>
        <w:t xml:space="preserve"> reach </w:t>
      </w:r>
      <w:r>
        <w:t>the</w:t>
      </w:r>
      <w:r>
        <w:t xml:space="preserve"> other arguments.  </w:t>
      </w:r>
      <w:r w:rsidRPr="00830F7D">
        <w:t xml:space="preserve">Thus, while we conclude UCLA did owe a duty to protect Rosen, we </w:t>
      </w:r>
      <w:r w:rsidRPr="00830F7D">
        <w:t xml:space="preserve">will </w:t>
      </w:r>
      <w:r w:rsidRPr="00830F7D">
        <w:t>remand for the Court of Appeal to</w:t>
      </w:r>
      <w:r w:rsidRPr="00830F7D">
        <w:t xml:space="preserve"> </w:t>
      </w:r>
      <w:r w:rsidRPr="00830F7D">
        <w:t>decide</w:t>
      </w:r>
      <w:r w:rsidRPr="00830F7D">
        <w:t xml:space="preserve"> </w:t>
      </w:r>
      <w:r w:rsidRPr="00830F7D">
        <w:t xml:space="preserve">whether triable issues of material fact remain </w:t>
      </w:r>
      <w:r w:rsidRPr="00830F7D">
        <w:t>on the questions of breach</w:t>
      </w:r>
      <w:r w:rsidRPr="00830F7D">
        <w:t xml:space="preserve"> </w:t>
      </w:r>
      <w:r w:rsidRPr="00830F7D">
        <w:t>and</w:t>
      </w:r>
      <w:r w:rsidRPr="00830F7D">
        <w:t xml:space="preserve"> </w:t>
      </w:r>
      <w:r w:rsidRPr="00830F7D">
        <w:t>immunity</w:t>
      </w:r>
      <w:r>
        <w:t xml:space="preserve">. </w:t>
      </w:r>
      <w:r>
        <w:t xml:space="preserve"> </w:t>
      </w:r>
      <w:proofErr w:type="gramStart"/>
      <w:r>
        <w:t>In regard to</w:t>
      </w:r>
      <w:proofErr w:type="gramEnd"/>
      <w:r>
        <w:t xml:space="preserve"> breach, </w:t>
      </w:r>
      <w:r>
        <w:t xml:space="preserve">we note that the appropriate </w:t>
      </w:r>
      <w:r w:rsidRPr="00D002EB">
        <w:rPr>
          <w:i/>
        </w:rPr>
        <w:t>standard of care</w:t>
      </w:r>
      <w:r>
        <w:t xml:space="preserve"> for judging the reasonableness of the university’s actions remains an open question, which the parties are free to litigate on remand.</w:t>
      </w:r>
      <w:r>
        <w:t xml:space="preserve">  UCLA’s argument that there was little more</w:t>
      </w:r>
      <w:r>
        <w:t xml:space="preserve"> it </w:t>
      </w:r>
      <w:r>
        <w:t xml:space="preserve">reasonably </w:t>
      </w:r>
      <w:r>
        <w:t xml:space="preserve">could have done to prevent the assault may be relevant to this determination.  </w:t>
      </w:r>
    </w:p>
    <w:p w:rsidR="000120A4" w:rsidRDefault="0012664A" w:rsidP="00B22AA3">
      <w:pPr>
        <w:spacing w:line="360" w:lineRule="auto"/>
      </w:pPr>
      <w:r>
        <w:tab/>
      </w:r>
      <w:r>
        <w:t>Finally, a</w:t>
      </w:r>
      <w:r>
        <w:t>part from their diverging views on duty, the majority and dissenting justices below agree</w:t>
      </w:r>
      <w:r>
        <w:t>d</w:t>
      </w:r>
      <w:r>
        <w:t xml:space="preserve"> that Rosen had failed to plead or support a claim against U</w:t>
      </w:r>
      <w:r>
        <w:t>CLA psychologist Nicole Green under Civil Code section 43.92</w:t>
      </w:r>
      <w:r>
        <w:t>.</w:t>
      </w:r>
      <w:r>
        <w:t xml:space="preserve"> </w:t>
      </w:r>
      <w:r>
        <w:t xml:space="preserve"> </w:t>
      </w:r>
      <w:r>
        <w:t xml:space="preserve">That statute provides that </w:t>
      </w:r>
      <w:r>
        <w:t xml:space="preserve">a </w:t>
      </w:r>
      <w:r>
        <w:t xml:space="preserve">psychotherapist </w:t>
      </w:r>
      <w:r>
        <w:t>is not liable</w:t>
      </w:r>
      <w:r>
        <w:t xml:space="preserve"> for failing to protect against a patient’s violent behavior unless the patient </w:t>
      </w:r>
      <w:r>
        <w:t xml:space="preserve">has </w:t>
      </w:r>
      <w:r>
        <w:t>told the therapist about a serious threat of physic</w:t>
      </w:r>
      <w:r>
        <w:t xml:space="preserve">al violence against a reasonably identifiable victim. </w:t>
      </w:r>
      <w:r>
        <w:t xml:space="preserve"> (Civ. Code, </w:t>
      </w:r>
      <w:r>
        <w:lastRenderedPageBreak/>
        <w:t>§ 43.92, subd. (a).)</w:t>
      </w:r>
      <w:r>
        <w:t xml:space="preserve">  Because Rosen’s petition for review </w:t>
      </w:r>
      <w:proofErr w:type="gramStart"/>
      <w:r>
        <w:t>was limited</w:t>
      </w:r>
      <w:proofErr w:type="gramEnd"/>
      <w:r>
        <w:t xml:space="preserve"> to the issue of duty </w:t>
      </w:r>
      <w:r>
        <w:t xml:space="preserve">and did not challenge the Court of Appeal’s conclusion regarding section 43.92, </w:t>
      </w:r>
      <w:r>
        <w:t>we decline her inv</w:t>
      </w:r>
      <w:r>
        <w:t>itation to revisit</w:t>
      </w:r>
      <w:r>
        <w:t xml:space="preserve"> the ruling now</w:t>
      </w:r>
      <w:r>
        <w:t>.</w:t>
      </w:r>
      <w:r>
        <w:t xml:space="preserve"> </w:t>
      </w:r>
    </w:p>
    <w:p w:rsidR="000120A4" w:rsidRPr="002B59AE" w:rsidRDefault="0012664A" w:rsidP="000120A4">
      <w:pPr>
        <w:keepNext/>
        <w:tabs>
          <w:tab w:val="left" w:pos="1440"/>
        </w:tabs>
        <w:spacing w:line="360" w:lineRule="auto"/>
        <w:jc w:val="center"/>
        <w:rPr>
          <w:caps/>
        </w:rPr>
      </w:pPr>
      <w:r>
        <w:rPr>
          <w:caps/>
        </w:rPr>
        <w:t xml:space="preserve">III.  </w:t>
      </w:r>
      <w:r w:rsidRPr="002B59AE">
        <w:rPr>
          <w:caps/>
        </w:rPr>
        <w:t>DISPOSITION</w:t>
      </w:r>
    </w:p>
    <w:p w:rsidR="000120A4" w:rsidRDefault="0012664A" w:rsidP="000120A4">
      <w:pPr>
        <w:spacing w:line="360" w:lineRule="auto"/>
      </w:pPr>
      <w:r>
        <w:tab/>
        <w:t xml:space="preserve">The decision of the Court of Appeal </w:t>
      </w:r>
      <w:proofErr w:type="gramStart"/>
      <w:r>
        <w:t>is reversed</w:t>
      </w:r>
      <w:proofErr w:type="gramEnd"/>
      <w:r>
        <w:t xml:space="preserve">.  The case </w:t>
      </w:r>
      <w:proofErr w:type="gramStart"/>
      <w:r>
        <w:t>is remanded</w:t>
      </w:r>
      <w:proofErr w:type="gramEnd"/>
      <w:r>
        <w:t xml:space="preserve"> for further proceedings consistent with this opinion.</w:t>
      </w:r>
    </w:p>
    <w:p w:rsidR="000120A4" w:rsidRDefault="0012664A" w:rsidP="000120A4">
      <w:pPr>
        <w:spacing w:line="360" w:lineRule="auto"/>
      </w:pPr>
    </w:p>
    <w:p w:rsidR="000120A4" w:rsidRDefault="0012664A" w:rsidP="000120A4">
      <w:pPr>
        <w:spacing w:line="360" w:lineRule="auto"/>
      </w:pPr>
    </w:p>
    <w:p w:rsidR="000120A4" w:rsidRPr="007130EF" w:rsidRDefault="0012664A" w:rsidP="000120A4">
      <w:pPr>
        <w:spacing w:line="360" w:lineRule="auto"/>
        <w:rPr>
          <w:b/>
          <w:szCs w:val="26"/>
        </w:rPr>
      </w:pPr>
      <w:r w:rsidRPr="008A71BF">
        <w:rPr>
          <w:szCs w:val="26"/>
        </w:rPr>
        <w:tab/>
      </w:r>
      <w:r w:rsidRPr="008A71BF">
        <w:rPr>
          <w:szCs w:val="26"/>
        </w:rPr>
        <w:tab/>
      </w:r>
      <w:r w:rsidRPr="008A71BF">
        <w:rPr>
          <w:szCs w:val="26"/>
        </w:rPr>
        <w:tab/>
      </w:r>
      <w:r w:rsidRPr="008A71BF">
        <w:rPr>
          <w:szCs w:val="26"/>
        </w:rPr>
        <w:tab/>
      </w:r>
      <w:r w:rsidRPr="008A71BF">
        <w:rPr>
          <w:szCs w:val="26"/>
        </w:rPr>
        <w:tab/>
      </w:r>
      <w:r w:rsidRPr="008A71BF">
        <w:rPr>
          <w:szCs w:val="26"/>
        </w:rPr>
        <w:tab/>
      </w:r>
      <w:r w:rsidRPr="008A71BF">
        <w:rPr>
          <w:szCs w:val="26"/>
        </w:rPr>
        <w:tab/>
      </w:r>
      <w:r w:rsidRPr="008A71BF">
        <w:rPr>
          <w:szCs w:val="26"/>
        </w:rPr>
        <w:tab/>
      </w:r>
      <w:r w:rsidRPr="007130EF">
        <w:rPr>
          <w:b/>
          <w:szCs w:val="26"/>
        </w:rPr>
        <w:t>CORRIGAN, J.</w:t>
      </w:r>
    </w:p>
    <w:p w:rsidR="000120A4" w:rsidRDefault="0012664A" w:rsidP="000120A4">
      <w:pPr>
        <w:spacing w:line="360" w:lineRule="auto"/>
        <w:rPr>
          <w:szCs w:val="26"/>
        </w:rPr>
      </w:pPr>
    </w:p>
    <w:p w:rsidR="000120A4" w:rsidRPr="007130EF" w:rsidRDefault="0012664A" w:rsidP="000120A4">
      <w:pPr>
        <w:tabs>
          <w:tab w:val="left" w:pos="1440"/>
        </w:tabs>
        <w:spacing w:line="360" w:lineRule="auto"/>
        <w:rPr>
          <w:b/>
        </w:rPr>
      </w:pPr>
      <w:r w:rsidRPr="007130EF">
        <w:rPr>
          <w:b/>
        </w:rPr>
        <w:t>WE CONCUR:</w:t>
      </w:r>
    </w:p>
    <w:p w:rsidR="007D488F" w:rsidRDefault="0012664A" w:rsidP="007D488F">
      <w:pPr>
        <w:rPr>
          <w:b/>
          <w:szCs w:val="26"/>
        </w:rPr>
      </w:pPr>
      <w:r>
        <w:rPr>
          <w:b/>
          <w:szCs w:val="26"/>
        </w:rPr>
        <w:t>CANTIL-SAKAUYE, C. J.</w:t>
      </w:r>
    </w:p>
    <w:p w:rsidR="007D488F" w:rsidRDefault="0012664A" w:rsidP="007D488F">
      <w:pPr>
        <w:rPr>
          <w:b/>
          <w:szCs w:val="26"/>
        </w:rPr>
      </w:pPr>
      <w:r>
        <w:rPr>
          <w:b/>
          <w:szCs w:val="26"/>
        </w:rPr>
        <w:t xml:space="preserve">LIU, J.  </w:t>
      </w:r>
    </w:p>
    <w:p w:rsidR="007D488F" w:rsidRDefault="0012664A" w:rsidP="007D488F">
      <w:pPr>
        <w:rPr>
          <w:b/>
          <w:szCs w:val="26"/>
        </w:rPr>
      </w:pPr>
      <w:r>
        <w:rPr>
          <w:b/>
          <w:szCs w:val="26"/>
        </w:rPr>
        <w:t xml:space="preserve">CUÉLLAR, </w:t>
      </w:r>
      <w:r>
        <w:rPr>
          <w:b/>
          <w:szCs w:val="26"/>
        </w:rPr>
        <w:t>J.</w:t>
      </w:r>
    </w:p>
    <w:p w:rsidR="000120A4" w:rsidRDefault="0012664A" w:rsidP="007D488F">
      <w:pPr>
        <w:rPr>
          <w:b/>
        </w:rPr>
      </w:pPr>
      <w:r>
        <w:rPr>
          <w:b/>
        </w:rPr>
        <w:t xml:space="preserve">KRUGER, J.  </w:t>
      </w:r>
    </w:p>
    <w:p w:rsidR="007D488F" w:rsidRPr="007D488F" w:rsidRDefault="0012664A" w:rsidP="007D488F">
      <w:pPr>
        <w:rPr>
          <w:b/>
        </w:rPr>
      </w:pPr>
      <w:r>
        <w:rPr>
          <w:b/>
        </w:rPr>
        <w:t>RICHMAN, J.*</w:t>
      </w:r>
    </w:p>
    <w:p w:rsidR="000120A4" w:rsidRDefault="0012664A" w:rsidP="000120A4">
      <w:pPr>
        <w:spacing w:line="360" w:lineRule="auto"/>
      </w:pPr>
    </w:p>
    <w:p w:rsidR="000120A4" w:rsidRDefault="0012664A" w:rsidP="000120A4">
      <w:pPr>
        <w:spacing w:line="360" w:lineRule="auto"/>
      </w:pPr>
    </w:p>
    <w:p w:rsidR="000120A4" w:rsidRPr="005266E1" w:rsidRDefault="0012664A" w:rsidP="000120A4">
      <w:pPr>
        <w:tabs>
          <w:tab w:val="left" w:pos="1440"/>
        </w:tabs>
        <w:spacing w:line="360" w:lineRule="auto"/>
      </w:pPr>
    </w:p>
    <w:p w:rsidR="00A8546F" w:rsidRDefault="0012664A" w:rsidP="000120A4">
      <w:pPr>
        <w:spacing w:line="360" w:lineRule="auto"/>
      </w:pPr>
    </w:p>
    <w:p w:rsidR="007D488F" w:rsidRDefault="0012664A" w:rsidP="000120A4">
      <w:pPr>
        <w:spacing w:line="360" w:lineRule="auto"/>
      </w:pPr>
    </w:p>
    <w:p w:rsidR="007D488F" w:rsidRDefault="0012664A" w:rsidP="000120A4">
      <w:pPr>
        <w:spacing w:line="360" w:lineRule="auto"/>
      </w:pPr>
    </w:p>
    <w:p w:rsidR="007D488F" w:rsidRDefault="0012664A" w:rsidP="000120A4">
      <w:pPr>
        <w:spacing w:line="360" w:lineRule="auto"/>
      </w:pPr>
    </w:p>
    <w:p w:rsidR="00536314" w:rsidRDefault="0012664A" w:rsidP="000120A4">
      <w:pPr>
        <w:spacing w:line="360" w:lineRule="auto"/>
      </w:pPr>
    </w:p>
    <w:p w:rsidR="00536314" w:rsidRDefault="0012664A" w:rsidP="000120A4">
      <w:pPr>
        <w:spacing w:line="360" w:lineRule="auto"/>
      </w:pPr>
    </w:p>
    <w:p w:rsidR="00536314" w:rsidRDefault="0012664A" w:rsidP="000120A4">
      <w:pPr>
        <w:spacing w:line="360" w:lineRule="auto"/>
      </w:pPr>
    </w:p>
    <w:p w:rsidR="00536314" w:rsidRDefault="0012664A" w:rsidP="000120A4">
      <w:pPr>
        <w:spacing w:line="360" w:lineRule="auto"/>
      </w:pPr>
    </w:p>
    <w:p w:rsidR="007D488F" w:rsidRDefault="0012664A" w:rsidP="000120A4">
      <w:pPr>
        <w:spacing w:line="360" w:lineRule="auto"/>
      </w:pPr>
    </w:p>
    <w:p w:rsidR="0012664A" w:rsidRDefault="0012664A" w:rsidP="00536314">
      <w:pPr>
        <w:rPr>
          <w:szCs w:val="26"/>
        </w:rPr>
        <w:sectPr w:rsidR="0012664A" w:rsidSect="007D488F">
          <w:headerReference w:type="even" r:id="rId6"/>
          <w:footerReference w:type="default" r:id="rId7"/>
          <w:footerReference w:type="first" r:id="rId8"/>
          <w:footnotePr>
            <w:numRestart w:val="eachSect"/>
          </w:footnotePr>
          <w:pgSz w:w="12240" w:h="15840"/>
          <w:pgMar w:top="1440" w:right="1800" w:bottom="1440" w:left="1800" w:header="720" w:footer="720" w:gutter="0"/>
          <w:cols w:space="720"/>
          <w:titlePg/>
          <w:docGrid w:linePitch="354"/>
        </w:sectPr>
      </w:pPr>
      <w:r>
        <w:rPr>
          <w:szCs w:val="26"/>
        </w:rPr>
        <w:t>*        Associate Justice of the Court of Appeal, First Appellate District, Division Two, assigned by the Chief Justice pursuant to article VI, section 6 of the California Constitution.</w:t>
      </w:r>
    </w:p>
    <w:p w:rsidR="0012664A" w:rsidRDefault="0012664A" w:rsidP="0012664A"/>
    <w:p w:rsidR="0012664A" w:rsidRDefault="0012664A" w:rsidP="0012664A"/>
    <w:p w:rsidR="0012664A" w:rsidRDefault="0012664A" w:rsidP="0012664A"/>
    <w:p w:rsidR="0012664A" w:rsidRDefault="0012664A" w:rsidP="0012664A">
      <w:pPr>
        <w:rPr>
          <w:b/>
          <w:caps/>
        </w:rPr>
      </w:pPr>
    </w:p>
    <w:p w:rsidR="0012664A" w:rsidRDefault="0012664A" w:rsidP="0012664A">
      <w:pPr>
        <w:rPr>
          <w:b/>
          <w:caps/>
        </w:rPr>
      </w:pPr>
    </w:p>
    <w:p w:rsidR="0012664A" w:rsidRDefault="0012664A" w:rsidP="0012664A">
      <w:pPr>
        <w:rPr>
          <w:caps/>
        </w:rPr>
      </w:pPr>
    </w:p>
    <w:p w:rsidR="0012664A" w:rsidRDefault="0012664A" w:rsidP="0012664A">
      <w:bookmarkStart w:id="9" w:name="_GoBack"/>
      <w:bookmarkEnd w:id="9"/>
    </w:p>
    <w:p w:rsidR="0012664A" w:rsidRDefault="0012664A" w:rsidP="0012664A">
      <w:pPr>
        <w:rPr>
          <w:b/>
        </w:rPr>
      </w:pPr>
    </w:p>
    <w:p w:rsidR="0012664A" w:rsidRDefault="0012664A" w:rsidP="0012664A">
      <w:pPr>
        <w:spacing w:after="260"/>
        <w:jc w:val="center"/>
        <w:rPr>
          <w:b/>
          <w:caps/>
        </w:rPr>
      </w:pPr>
      <w:bookmarkStart w:id="10" w:name="opinion"/>
      <w:bookmarkEnd w:id="10"/>
      <w:r>
        <w:rPr>
          <w:b/>
          <w:caps/>
        </w:rPr>
        <w:t>CONCURRING OPINION BY CHIN, J.</w:t>
      </w:r>
    </w:p>
    <w:p w:rsidR="0012664A" w:rsidRDefault="0012664A" w:rsidP="0012664A">
      <w:pPr>
        <w:spacing w:line="480" w:lineRule="atLeast"/>
        <w:ind w:firstLine="720"/>
      </w:pPr>
      <w:r>
        <w:t xml:space="preserve">I agree with the majority that universities have a duty to warn or protect their students from foreseeable acts of violence “in the classroom.”  (Maj. opn., </w:t>
      </w:r>
      <w:r>
        <w:rPr>
          <w:i/>
        </w:rPr>
        <w:t>ante</w:t>
      </w:r>
      <w:r>
        <w:t xml:space="preserve">, at p. 9.)  However, for several reasons, </w:t>
      </w:r>
      <w:bookmarkStart w:id="11" w:name="_Hlk507587910"/>
      <w:r>
        <w:t xml:space="preserve">I do not join the majority opinion </w:t>
      </w:r>
      <w:proofErr w:type="gramStart"/>
      <w:r>
        <w:t>insofar as</w:t>
      </w:r>
      <w:proofErr w:type="gramEnd"/>
      <w:r>
        <w:t xml:space="preserve"> it would extend this duty beyond the classroom, to encompass more broadly “curricular activities” </w:t>
      </w:r>
      <w:bookmarkStart w:id="12" w:name="_Hlk507585638"/>
      <w:r>
        <w:t>(</w:t>
      </w:r>
      <w:r>
        <w:rPr>
          <w:i/>
        </w:rPr>
        <w:t>ibid</w:t>
      </w:r>
      <w:r>
        <w:t>.) and activities “closely related to [the] delivery of educational services” (</w:t>
      </w:r>
      <w:r>
        <w:rPr>
          <w:i/>
        </w:rPr>
        <w:t xml:space="preserve">id. </w:t>
      </w:r>
      <w:r>
        <w:t>at p. 17)</w:t>
      </w:r>
      <w:bookmarkEnd w:id="11"/>
      <w:bookmarkEnd w:id="12"/>
      <w:r>
        <w:t xml:space="preserve">.  </w:t>
      </w:r>
    </w:p>
    <w:p w:rsidR="0012664A" w:rsidRDefault="0012664A" w:rsidP="0012664A">
      <w:pPr>
        <w:spacing w:line="480" w:lineRule="atLeast"/>
        <w:ind w:firstLine="720"/>
      </w:pPr>
      <w:r>
        <w:t xml:space="preserve">First, we need not decide whether the duty extends beyond the classroom, because the attack in this case occurred in a classroom and, as the majority states, “[t]he negligence alleged here is the failure to prevent a </w:t>
      </w:r>
      <w:r>
        <w:rPr>
          <w:i/>
        </w:rPr>
        <w:t>classroom</w:t>
      </w:r>
      <w:r>
        <w:t xml:space="preserve"> assault.”  (Maj. opn.,</w:t>
      </w:r>
      <w:r>
        <w:rPr>
          <w:i/>
        </w:rPr>
        <w:t xml:space="preserve"> ante</w:t>
      </w:r>
      <w:r>
        <w:t>.,</w:t>
      </w:r>
      <w:r>
        <w:rPr>
          <w:i/>
        </w:rPr>
        <w:t xml:space="preserve"> </w:t>
      </w:r>
      <w:r>
        <w:t xml:space="preserve">at p. 25, italics added.)  Notably, the majority rightly declines to decide several other issues that we need not resolve </w:t>
      </w:r>
      <w:proofErr w:type="gramStart"/>
      <w:r>
        <w:t>in order to</w:t>
      </w:r>
      <w:proofErr w:type="gramEnd"/>
      <w:r>
        <w:t xml:space="preserve"> dispose of this case, i.e., whether universities have a duty to control the behavior of students (</w:t>
      </w:r>
      <w:r>
        <w:rPr>
          <w:i/>
        </w:rPr>
        <w:t xml:space="preserve">id. </w:t>
      </w:r>
      <w:r>
        <w:t>at p. 11) and alternate theories of duty based on an implied-in-fact contract or the negligent undertaking doctrine (</w:t>
      </w:r>
      <w:r>
        <w:rPr>
          <w:i/>
        </w:rPr>
        <w:t xml:space="preserve">id. </w:t>
      </w:r>
      <w:r>
        <w:t>at p. 30, fn. 8).  In my view, we should exercise similar restraint in addressing a university’s duty to protect or warn, and should confine our consideration of the issue to what is necessary to decide this case.</w:t>
      </w:r>
    </w:p>
    <w:p w:rsidR="0012664A" w:rsidRDefault="0012664A" w:rsidP="0012664A">
      <w:pPr>
        <w:spacing w:line="480" w:lineRule="atLeast"/>
        <w:ind w:firstLine="720"/>
      </w:pPr>
      <w:r>
        <w:t xml:space="preserve">Second, in terms of the </w:t>
      </w:r>
      <w:proofErr w:type="gramStart"/>
      <w:r>
        <w:t>various factors</w:t>
      </w:r>
      <w:proofErr w:type="gramEnd"/>
      <w:r>
        <w:t xml:space="preserve"> courts apply to determine whether to impose a duty as a matter of public policy, activities outside the classroom differ in potentially significant ways from activities inside the classroom.  As the majority explains, among the relevant factors is the extent of the defendant’s control in the particular setting over the environment and </w:t>
      </w:r>
      <w:proofErr w:type="gramStart"/>
      <w:r>
        <w:t>third party</w:t>
      </w:r>
      <w:proofErr w:type="gramEnd"/>
      <w:r>
        <w:t xml:space="preserve"> behavior.  (Maj. opn., </w:t>
      </w:r>
      <w:r>
        <w:rPr>
          <w:i/>
        </w:rPr>
        <w:t>ante</w:t>
      </w:r>
      <w:r>
        <w:t>, at pp. 18-20, 26.)  As the majority also explains, “[p]</w:t>
      </w:r>
      <w:proofErr w:type="spellStart"/>
      <w:r>
        <w:t>erhaps</w:t>
      </w:r>
      <w:proofErr w:type="spellEnd"/>
      <w:r>
        <w:t xml:space="preserve"> more than any other place on campus, colleges can be expected to retain a measure of control over the classroom environment.”  (</w:t>
      </w:r>
      <w:r>
        <w:rPr>
          <w:i/>
        </w:rPr>
        <w:t>Id.</w:t>
      </w:r>
      <w:r>
        <w:t xml:space="preserve"> at p. 20.)  Implicit in this statement is recognition that the extent of a university’s control over the environment and student behavior is likely to be considerably less outside of the classroom.  Indeed, the extent of a university’s control in a </w:t>
      </w:r>
      <w:proofErr w:type="spellStart"/>
      <w:r>
        <w:t>nonclassroom</w:t>
      </w:r>
      <w:proofErr w:type="spellEnd"/>
      <w:r>
        <w:t xml:space="preserve"> setting varies considerably depending on the </w:t>
      </w:r>
      <w:proofErr w:type="gramStart"/>
      <w:r>
        <w:t>particular activity</w:t>
      </w:r>
      <w:proofErr w:type="gramEnd"/>
      <w:r>
        <w:t xml:space="preserve"> and the particular setting.  It may be that, as to any given </w:t>
      </w:r>
      <w:proofErr w:type="spellStart"/>
      <w:r>
        <w:t>nonclassroom</w:t>
      </w:r>
      <w:proofErr w:type="spellEnd"/>
      <w:r>
        <w:t xml:space="preserve"> activity, a university’s control is sufficient, from a public policy perspective, to impose a duty to protect or warn.  But I would leave that question for a case that presents the issue on concrete facts, rather than broadly conclude, in a case involving </w:t>
      </w:r>
      <w:r>
        <w:rPr>
          <w:i/>
        </w:rPr>
        <w:t>classroom</w:t>
      </w:r>
      <w:r>
        <w:t xml:space="preserve"> activity, that a university’s control in </w:t>
      </w:r>
      <w:proofErr w:type="spellStart"/>
      <w:r>
        <w:t>nonclassroom</w:t>
      </w:r>
      <w:proofErr w:type="spellEnd"/>
      <w:r>
        <w:t xml:space="preserve"> settings is sufficient to impose a duty to protect or to warn.  </w:t>
      </w:r>
    </w:p>
    <w:p w:rsidR="0012664A" w:rsidRDefault="0012664A" w:rsidP="0012664A">
      <w:pPr>
        <w:spacing w:line="480" w:lineRule="atLeast"/>
        <w:ind w:firstLine="720"/>
      </w:pPr>
      <w:r>
        <w:t xml:space="preserve">Finally, the majority’s conclusion seems likely to create confusion, because the majority offers no guidance as to which </w:t>
      </w:r>
      <w:proofErr w:type="spellStart"/>
      <w:r>
        <w:t>nonclassroom</w:t>
      </w:r>
      <w:proofErr w:type="spellEnd"/>
      <w:r>
        <w:t xml:space="preserve"> activities qualify as either “curricular” (maj. opn., </w:t>
      </w:r>
      <w:r>
        <w:rPr>
          <w:i/>
        </w:rPr>
        <w:t>ante</w:t>
      </w:r>
      <w:r>
        <w:t>, at p. 9) or “closely related to [the] delivery of educational services” (</w:t>
      </w:r>
      <w:r>
        <w:rPr>
          <w:i/>
        </w:rPr>
        <w:t xml:space="preserve">id. </w:t>
      </w:r>
      <w:r>
        <w:t xml:space="preserve">at p. 17), or what factors are relevant to this determination.  This omission no doubt results from the circumstance, as already noted, that this case involves classroom activity, and that the majority is thus deciding the duty question as to </w:t>
      </w:r>
      <w:proofErr w:type="spellStart"/>
      <w:r>
        <w:t>nonclassroom</w:t>
      </w:r>
      <w:proofErr w:type="spellEnd"/>
      <w:r>
        <w:t xml:space="preserve"> activities in the abstract, without any concrete facts to guide its analysis.  For this reason, and the others mentioned above, although I concur in the judgment, I do not join the majority’s conclusion that a university’s duty to warn or protect extends beyond the classroom, to encompass more broadly “curricular activities” (</w:t>
      </w:r>
      <w:r>
        <w:rPr>
          <w:i/>
        </w:rPr>
        <w:t>id</w:t>
      </w:r>
      <w:r>
        <w:t>. at p. 9) and activities “closely related to [the] delivery of educational services” (</w:t>
      </w:r>
      <w:r>
        <w:rPr>
          <w:i/>
        </w:rPr>
        <w:t>id</w:t>
      </w:r>
      <w:r>
        <w:t>. at p. 17).</w:t>
      </w:r>
    </w:p>
    <w:p w:rsidR="0012664A" w:rsidRDefault="0012664A" w:rsidP="0012664A">
      <w:pPr>
        <w:spacing w:before="240" w:after="240" w:line="480" w:lineRule="atLeast"/>
        <w:ind w:firstLine="720"/>
        <w:rPr>
          <w:b/>
        </w:rPr>
        <w:sectPr w:rsidR="0012664A" w:rsidSect="0012664A">
          <w:footerReference w:type="first" r:id="rId9"/>
          <w:footnotePr>
            <w:numRestart w:val="eachSect"/>
          </w:footnotePr>
          <w:pgSz w:w="12240" w:h="15840"/>
          <w:pgMar w:top="1440" w:right="1800" w:bottom="1440" w:left="1800" w:header="720" w:footer="720" w:gutter="0"/>
          <w:pgNumType w:start="1"/>
          <w:cols w:space="720"/>
          <w:titlePg/>
          <w:docGrid w:linePitch="354"/>
        </w:sectPr>
      </w:pPr>
      <w:r>
        <w:tab/>
      </w:r>
      <w:r>
        <w:tab/>
      </w:r>
      <w:r>
        <w:tab/>
      </w:r>
      <w:r>
        <w:tab/>
      </w:r>
      <w:r>
        <w:tab/>
      </w:r>
      <w:r>
        <w:tab/>
      </w:r>
      <w:r>
        <w:tab/>
      </w:r>
      <w:r>
        <w:rPr>
          <w:b/>
        </w:rPr>
        <w:t>CHIN, J.</w:t>
      </w:r>
    </w:p>
    <w:p w:rsidR="0012664A" w:rsidRDefault="0012664A" w:rsidP="0012664A">
      <w:pPr>
        <w:rPr>
          <w:i/>
          <w:sz w:val="20"/>
        </w:rPr>
      </w:pPr>
      <w:r>
        <w:rPr>
          <w:i/>
          <w:sz w:val="20"/>
        </w:rPr>
        <w:t>See next page for addresses and telephone numbers for counsel who argued in Supreme Court.</w:t>
      </w:r>
    </w:p>
    <w:p w:rsidR="0012664A" w:rsidRDefault="0012664A" w:rsidP="0012664A">
      <w:pPr>
        <w:rPr>
          <w:i/>
          <w:sz w:val="20"/>
        </w:rPr>
      </w:pPr>
    </w:p>
    <w:p w:rsidR="0012664A" w:rsidRDefault="0012664A" w:rsidP="0012664A">
      <w:pPr>
        <w:rPr>
          <w:bCs/>
          <w:i/>
          <w:sz w:val="20"/>
        </w:rPr>
      </w:pPr>
      <w:r>
        <w:rPr>
          <w:b/>
          <w:sz w:val="20"/>
        </w:rPr>
        <w:t xml:space="preserve">Name of Opinion </w:t>
      </w:r>
      <w:r>
        <w:rPr>
          <w:sz w:val="20"/>
        </w:rPr>
        <w:t>Regents of University of California v. Superior Court</w:t>
      </w:r>
    </w:p>
    <w:p w:rsidR="0012664A" w:rsidRDefault="0012664A" w:rsidP="0012664A">
      <w:pPr>
        <w:rPr>
          <w:b/>
          <w:sz w:val="20"/>
        </w:rPr>
      </w:pPr>
      <w:r>
        <w:rPr>
          <w:b/>
          <w:sz w:val="20"/>
        </w:rPr>
        <w:t>__________________________________________________________________________________</w:t>
      </w:r>
    </w:p>
    <w:p w:rsidR="0012664A" w:rsidRDefault="0012664A" w:rsidP="0012664A">
      <w:pPr>
        <w:rPr>
          <w:b/>
          <w:sz w:val="20"/>
        </w:rPr>
      </w:pPr>
    </w:p>
    <w:p w:rsidR="0012664A" w:rsidRDefault="0012664A" w:rsidP="0012664A">
      <w:pPr>
        <w:rPr>
          <w:bCs/>
          <w:sz w:val="20"/>
        </w:rPr>
      </w:pPr>
      <w:r>
        <w:rPr>
          <w:b/>
          <w:sz w:val="20"/>
        </w:rPr>
        <w:t>Unpublished Opinion</w:t>
      </w:r>
    </w:p>
    <w:p w:rsidR="0012664A" w:rsidRDefault="0012664A" w:rsidP="0012664A">
      <w:pPr>
        <w:rPr>
          <w:sz w:val="20"/>
        </w:rPr>
      </w:pPr>
      <w:r>
        <w:rPr>
          <w:b/>
          <w:sz w:val="20"/>
        </w:rPr>
        <w:t>Original Appeal</w:t>
      </w:r>
    </w:p>
    <w:p w:rsidR="0012664A" w:rsidRDefault="0012664A" w:rsidP="0012664A">
      <w:pPr>
        <w:rPr>
          <w:b/>
          <w:sz w:val="20"/>
        </w:rPr>
      </w:pPr>
      <w:r>
        <w:rPr>
          <w:b/>
          <w:sz w:val="20"/>
        </w:rPr>
        <w:t>Original Proceeding</w:t>
      </w:r>
    </w:p>
    <w:p w:rsidR="0012664A" w:rsidRDefault="0012664A" w:rsidP="0012664A">
      <w:pPr>
        <w:rPr>
          <w:sz w:val="20"/>
        </w:rPr>
      </w:pPr>
      <w:r>
        <w:rPr>
          <w:b/>
          <w:sz w:val="20"/>
        </w:rPr>
        <w:t>Review Granted</w:t>
      </w:r>
      <w:r>
        <w:rPr>
          <w:sz w:val="20"/>
        </w:rPr>
        <w:t xml:space="preserve"> XXX 240 Cal.App.4th 1296</w:t>
      </w:r>
    </w:p>
    <w:p w:rsidR="0012664A" w:rsidRDefault="0012664A" w:rsidP="0012664A">
      <w:pPr>
        <w:rPr>
          <w:b/>
          <w:sz w:val="20"/>
        </w:rPr>
      </w:pPr>
      <w:r>
        <w:rPr>
          <w:b/>
          <w:sz w:val="20"/>
        </w:rPr>
        <w:t>Rehearing Granted</w:t>
      </w:r>
    </w:p>
    <w:p w:rsidR="0012664A" w:rsidRDefault="0012664A" w:rsidP="0012664A">
      <w:pPr>
        <w:rPr>
          <w:b/>
          <w:sz w:val="20"/>
        </w:rPr>
      </w:pPr>
    </w:p>
    <w:p w:rsidR="0012664A" w:rsidRDefault="0012664A" w:rsidP="0012664A">
      <w:pPr>
        <w:rPr>
          <w:b/>
          <w:sz w:val="20"/>
        </w:rPr>
      </w:pPr>
      <w:r>
        <w:rPr>
          <w:b/>
          <w:sz w:val="20"/>
        </w:rPr>
        <w:t>__________________________________________________________________________________</w:t>
      </w:r>
    </w:p>
    <w:p w:rsidR="0012664A" w:rsidRDefault="0012664A" w:rsidP="0012664A">
      <w:pPr>
        <w:rPr>
          <w:b/>
          <w:sz w:val="20"/>
        </w:rPr>
      </w:pPr>
    </w:p>
    <w:p w:rsidR="0012664A" w:rsidRDefault="0012664A" w:rsidP="0012664A">
      <w:pPr>
        <w:rPr>
          <w:bCs/>
          <w:sz w:val="20"/>
        </w:rPr>
      </w:pPr>
      <w:r>
        <w:rPr>
          <w:b/>
          <w:sz w:val="20"/>
        </w:rPr>
        <w:t>Opinion No.</w:t>
      </w:r>
      <w:r>
        <w:rPr>
          <w:sz w:val="20"/>
        </w:rPr>
        <w:t xml:space="preserve"> S230568</w:t>
      </w:r>
    </w:p>
    <w:p w:rsidR="0012664A" w:rsidRDefault="0012664A" w:rsidP="0012664A">
      <w:pPr>
        <w:rPr>
          <w:bCs/>
          <w:sz w:val="20"/>
        </w:rPr>
      </w:pPr>
      <w:r>
        <w:rPr>
          <w:b/>
          <w:sz w:val="20"/>
        </w:rPr>
        <w:t>Date Filed:</w:t>
      </w:r>
      <w:r>
        <w:rPr>
          <w:sz w:val="20"/>
        </w:rPr>
        <w:t xml:space="preserve"> March 22, 2018</w:t>
      </w:r>
    </w:p>
    <w:p w:rsidR="0012664A" w:rsidRDefault="0012664A" w:rsidP="0012664A">
      <w:pPr>
        <w:rPr>
          <w:b/>
          <w:sz w:val="20"/>
        </w:rPr>
      </w:pPr>
      <w:r>
        <w:rPr>
          <w:b/>
          <w:sz w:val="20"/>
        </w:rPr>
        <w:t>__________________________________________________________________________________</w:t>
      </w:r>
    </w:p>
    <w:p w:rsidR="0012664A" w:rsidRDefault="0012664A" w:rsidP="0012664A">
      <w:pPr>
        <w:rPr>
          <w:b/>
          <w:sz w:val="20"/>
        </w:rPr>
      </w:pPr>
    </w:p>
    <w:p w:rsidR="0012664A" w:rsidRDefault="0012664A" w:rsidP="0012664A">
      <w:pPr>
        <w:rPr>
          <w:bCs/>
          <w:sz w:val="20"/>
        </w:rPr>
      </w:pPr>
      <w:r>
        <w:rPr>
          <w:b/>
          <w:sz w:val="20"/>
        </w:rPr>
        <w:t>Court:</w:t>
      </w:r>
      <w:r>
        <w:rPr>
          <w:sz w:val="20"/>
        </w:rPr>
        <w:t xml:space="preserve"> Superior</w:t>
      </w:r>
    </w:p>
    <w:p w:rsidR="0012664A" w:rsidRDefault="0012664A" w:rsidP="0012664A">
      <w:pPr>
        <w:rPr>
          <w:bCs/>
          <w:sz w:val="20"/>
        </w:rPr>
      </w:pPr>
      <w:r>
        <w:rPr>
          <w:b/>
          <w:sz w:val="20"/>
        </w:rPr>
        <w:t>County:</w:t>
      </w:r>
      <w:r>
        <w:rPr>
          <w:sz w:val="20"/>
        </w:rPr>
        <w:t xml:space="preserve"> Los Angeles</w:t>
      </w:r>
    </w:p>
    <w:p w:rsidR="0012664A" w:rsidRDefault="0012664A" w:rsidP="0012664A">
      <w:pPr>
        <w:ind w:left="720" w:hanging="720"/>
        <w:rPr>
          <w:bCs/>
          <w:sz w:val="20"/>
        </w:rPr>
      </w:pPr>
      <w:r>
        <w:rPr>
          <w:b/>
          <w:sz w:val="20"/>
        </w:rPr>
        <w:t>Judge:</w:t>
      </w:r>
      <w:r>
        <w:rPr>
          <w:sz w:val="20"/>
        </w:rPr>
        <w:t xml:space="preserve"> Gerald Rosenberg</w:t>
      </w:r>
    </w:p>
    <w:p w:rsidR="0012664A" w:rsidRDefault="0012664A" w:rsidP="0012664A">
      <w:pPr>
        <w:rPr>
          <w:sz w:val="20"/>
        </w:rPr>
      </w:pPr>
    </w:p>
    <w:p w:rsidR="0012664A" w:rsidRDefault="0012664A" w:rsidP="0012664A">
      <w:pPr>
        <w:rPr>
          <w:b/>
          <w:sz w:val="20"/>
        </w:rPr>
      </w:pPr>
      <w:r>
        <w:rPr>
          <w:b/>
          <w:sz w:val="20"/>
        </w:rPr>
        <w:t>__________________________________________________________________________________</w:t>
      </w:r>
    </w:p>
    <w:p w:rsidR="0012664A" w:rsidRDefault="0012664A" w:rsidP="0012664A">
      <w:pPr>
        <w:rPr>
          <w:b/>
          <w:sz w:val="20"/>
        </w:rPr>
      </w:pPr>
    </w:p>
    <w:p w:rsidR="0012664A" w:rsidRDefault="0012664A" w:rsidP="0012664A">
      <w:pPr>
        <w:rPr>
          <w:b/>
          <w:sz w:val="20"/>
        </w:rPr>
      </w:pPr>
      <w:r>
        <w:rPr>
          <w:b/>
          <w:sz w:val="20"/>
        </w:rPr>
        <w:t>Counsel:</w:t>
      </w:r>
    </w:p>
    <w:p w:rsidR="0012664A" w:rsidRDefault="0012664A" w:rsidP="0012664A">
      <w:pPr>
        <w:rPr>
          <w:b/>
          <w:sz w:val="20"/>
        </w:rPr>
      </w:pPr>
    </w:p>
    <w:p w:rsidR="0012664A" w:rsidRDefault="0012664A" w:rsidP="0012664A">
      <w:pPr>
        <w:rPr>
          <w:sz w:val="20"/>
        </w:rPr>
      </w:pPr>
      <w:proofErr w:type="spellStart"/>
      <w:r>
        <w:rPr>
          <w:sz w:val="20"/>
        </w:rPr>
        <w:t>Maranga</w:t>
      </w:r>
      <w:proofErr w:type="spellEnd"/>
      <w:r>
        <w:rPr>
          <w:sz w:val="20"/>
        </w:rPr>
        <w:t xml:space="preserve"> Morgenstern, Kenneth A. </w:t>
      </w:r>
      <w:proofErr w:type="spellStart"/>
      <w:r>
        <w:rPr>
          <w:sz w:val="20"/>
        </w:rPr>
        <w:t>Maranga</w:t>
      </w:r>
      <w:proofErr w:type="spellEnd"/>
      <w:r>
        <w:rPr>
          <w:sz w:val="20"/>
        </w:rPr>
        <w:t xml:space="preserve">, Paul A. </w:t>
      </w:r>
      <w:proofErr w:type="spellStart"/>
      <w:r>
        <w:rPr>
          <w:sz w:val="20"/>
        </w:rPr>
        <w:t>Elkhort</w:t>
      </w:r>
      <w:proofErr w:type="spellEnd"/>
      <w:r>
        <w:rPr>
          <w:sz w:val="20"/>
        </w:rPr>
        <w:t xml:space="preserve">, Morgan A. Metzger, Dennis Newitt; </w:t>
      </w:r>
      <w:proofErr w:type="spellStart"/>
      <w:r>
        <w:rPr>
          <w:sz w:val="20"/>
        </w:rPr>
        <w:t>Greines</w:t>
      </w:r>
      <w:proofErr w:type="spellEnd"/>
      <w:r>
        <w:rPr>
          <w:sz w:val="20"/>
        </w:rPr>
        <w:t xml:space="preserve">, Martin, Stein &amp; Richland, Timothy T. Coates, </w:t>
      </w:r>
      <w:proofErr w:type="spellStart"/>
      <w:r>
        <w:rPr>
          <w:sz w:val="20"/>
        </w:rPr>
        <w:t>Feris</w:t>
      </w:r>
      <w:proofErr w:type="spellEnd"/>
      <w:r>
        <w:rPr>
          <w:sz w:val="20"/>
        </w:rPr>
        <w:t xml:space="preserve"> M. Greenberger; Charles F. Robinson, Karen J. </w:t>
      </w:r>
      <w:proofErr w:type="spellStart"/>
      <w:r>
        <w:rPr>
          <w:sz w:val="20"/>
        </w:rPr>
        <w:t>Petrulakis</w:t>
      </w:r>
      <w:proofErr w:type="spellEnd"/>
      <w:r>
        <w:rPr>
          <w:sz w:val="20"/>
        </w:rPr>
        <w:t>, Normal J. Hamill, L. Amy Blum and Kevin S. Reed for Petitioners.</w:t>
      </w:r>
    </w:p>
    <w:p w:rsidR="0012664A" w:rsidRDefault="0012664A" w:rsidP="0012664A">
      <w:pPr>
        <w:rPr>
          <w:b/>
          <w:sz w:val="20"/>
        </w:rPr>
      </w:pPr>
    </w:p>
    <w:p w:rsidR="0012664A" w:rsidRDefault="0012664A" w:rsidP="0012664A">
      <w:pPr>
        <w:rPr>
          <w:sz w:val="20"/>
        </w:rPr>
      </w:pPr>
      <w:r>
        <w:rPr>
          <w:sz w:val="20"/>
        </w:rPr>
        <w:t xml:space="preserve">Law Offices of Daniel H. </w:t>
      </w:r>
      <w:proofErr w:type="spellStart"/>
      <w:r>
        <w:rPr>
          <w:sz w:val="20"/>
        </w:rPr>
        <w:t>Willick</w:t>
      </w:r>
      <w:proofErr w:type="spellEnd"/>
      <w:r>
        <w:rPr>
          <w:sz w:val="20"/>
        </w:rPr>
        <w:t xml:space="preserve"> and Daniel H. </w:t>
      </w:r>
      <w:proofErr w:type="spellStart"/>
      <w:r>
        <w:rPr>
          <w:sz w:val="20"/>
        </w:rPr>
        <w:t>Willick</w:t>
      </w:r>
      <w:proofErr w:type="spellEnd"/>
      <w:r>
        <w:rPr>
          <w:sz w:val="20"/>
        </w:rPr>
        <w:t xml:space="preserve"> for California Psychiatric Association, American Psychiatric Association and California Association of Marriage and Family Therapists as Amici Curiae on behalf of Petitioners.</w:t>
      </w:r>
    </w:p>
    <w:p w:rsidR="0012664A" w:rsidRDefault="0012664A" w:rsidP="0012664A">
      <w:pPr>
        <w:rPr>
          <w:b/>
          <w:sz w:val="20"/>
        </w:rPr>
      </w:pPr>
    </w:p>
    <w:p w:rsidR="0012664A" w:rsidRDefault="0012664A" w:rsidP="0012664A">
      <w:pPr>
        <w:rPr>
          <w:sz w:val="20"/>
        </w:rPr>
      </w:pPr>
      <w:r>
        <w:rPr>
          <w:sz w:val="20"/>
        </w:rPr>
        <w:t>William C. Hsu for Board of Trustees of the California State Universit</w:t>
      </w:r>
      <w:r>
        <w:rPr>
          <w:b/>
          <w:sz w:val="20"/>
        </w:rPr>
        <w:t xml:space="preserve">y </w:t>
      </w:r>
      <w:r>
        <w:rPr>
          <w:sz w:val="20"/>
        </w:rPr>
        <w:t>as Amici Curiae on behalf of Petitioners.</w:t>
      </w:r>
    </w:p>
    <w:p w:rsidR="0012664A" w:rsidRDefault="0012664A" w:rsidP="0012664A">
      <w:pPr>
        <w:rPr>
          <w:b/>
          <w:sz w:val="20"/>
        </w:rPr>
      </w:pPr>
    </w:p>
    <w:p w:rsidR="0012664A" w:rsidRDefault="0012664A" w:rsidP="0012664A">
      <w:pPr>
        <w:rPr>
          <w:sz w:val="20"/>
        </w:rPr>
      </w:pPr>
      <w:r>
        <w:rPr>
          <w:sz w:val="20"/>
        </w:rPr>
        <w:t xml:space="preserve">Cole </w:t>
      </w:r>
      <w:proofErr w:type="spellStart"/>
      <w:r>
        <w:rPr>
          <w:sz w:val="20"/>
        </w:rPr>
        <w:t>Pedroza</w:t>
      </w:r>
      <w:proofErr w:type="spellEnd"/>
      <w:r>
        <w:rPr>
          <w:sz w:val="20"/>
        </w:rPr>
        <w:t>, Curtis A. Cole and Cassidy C. Davenport for California Medical Association, California Dental Association and California Hospital Association as Amici Curiae on behalf of Petitioners.</w:t>
      </w:r>
    </w:p>
    <w:p w:rsidR="0012664A" w:rsidRDefault="0012664A" w:rsidP="0012664A">
      <w:pPr>
        <w:rPr>
          <w:sz w:val="20"/>
        </w:rPr>
      </w:pPr>
    </w:p>
    <w:p w:rsidR="0012664A" w:rsidRDefault="0012664A" w:rsidP="0012664A">
      <w:pPr>
        <w:rPr>
          <w:sz w:val="20"/>
        </w:rPr>
      </w:pPr>
      <w:r>
        <w:rPr>
          <w:sz w:val="20"/>
        </w:rPr>
        <w:t xml:space="preserve">Reed Smith, Paul D. Fogel and Dennis Peter </w:t>
      </w:r>
      <w:proofErr w:type="spellStart"/>
      <w:r>
        <w:rPr>
          <w:sz w:val="20"/>
        </w:rPr>
        <w:t>Maio</w:t>
      </w:r>
      <w:proofErr w:type="spellEnd"/>
      <w:r>
        <w:rPr>
          <w:sz w:val="20"/>
        </w:rPr>
        <w:t xml:space="preserve"> for The California Community Colleges, California Institute of Technology, California State University, Chapman University, Claremont McKenna College, Pepperdine University, Pitzer College, Pomona College, Stanford University and The University of Southern California as Amici Curiae on behalf of Petitioners.</w:t>
      </w:r>
    </w:p>
    <w:p w:rsidR="0012664A" w:rsidRDefault="0012664A" w:rsidP="0012664A">
      <w:pPr>
        <w:rPr>
          <w:sz w:val="20"/>
        </w:rPr>
      </w:pPr>
    </w:p>
    <w:p w:rsidR="0012664A" w:rsidRDefault="0012664A" w:rsidP="0012664A">
      <w:pPr>
        <w:rPr>
          <w:sz w:val="20"/>
        </w:rPr>
      </w:pPr>
      <w:r>
        <w:rPr>
          <w:sz w:val="20"/>
        </w:rPr>
        <w:t xml:space="preserve">Munger, </w:t>
      </w:r>
      <w:proofErr w:type="spellStart"/>
      <w:r>
        <w:rPr>
          <w:sz w:val="20"/>
        </w:rPr>
        <w:t>Tolles</w:t>
      </w:r>
      <w:proofErr w:type="spellEnd"/>
      <w:r>
        <w:rPr>
          <w:sz w:val="20"/>
        </w:rPr>
        <w:t xml:space="preserve"> &amp; Olson, Brad S. Phillips and Grant Davis-Denny for JED Foundation, American College Counseling Association and NASPA: Student Affairs Administrators in Higher Education as Amici Curiae on behalf of Petitioners.</w:t>
      </w:r>
    </w:p>
    <w:p w:rsidR="0012664A" w:rsidRDefault="0012664A" w:rsidP="0012664A">
      <w:pPr>
        <w:rPr>
          <w:sz w:val="20"/>
        </w:rPr>
      </w:pPr>
    </w:p>
    <w:p w:rsidR="0012664A" w:rsidRDefault="0012664A" w:rsidP="0012664A">
      <w:pPr>
        <w:rPr>
          <w:sz w:val="20"/>
        </w:rPr>
      </w:pPr>
      <w:r>
        <w:rPr>
          <w:sz w:val="20"/>
        </w:rPr>
        <w:t>No appearance for Respondent.</w:t>
      </w:r>
    </w:p>
    <w:p w:rsidR="0012664A" w:rsidRDefault="0012664A" w:rsidP="0012664A">
      <w:pPr>
        <w:rPr>
          <w:sz w:val="20"/>
        </w:rPr>
      </w:pPr>
    </w:p>
    <w:p w:rsidR="0012664A" w:rsidRDefault="0012664A" w:rsidP="0012664A">
      <w:pPr>
        <w:rPr>
          <w:sz w:val="20"/>
        </w:rPr>
      </w:pPr>
      <w:r>
        <w:rPr>
          <w:sz w:val="20"/>
        </w:rPr>
        <w:t xml:space="preserve">Alan Charles </w:t>
      </w:r>
      <w:proofErr w:type="spellStart"/>
      <w:r>
        <w:rPr>
          <w:sz w:val="20"/>
        </w:rPr>
        <w:t>Dell’Ario</w:t>
      </w:r>
      <w:proofErr w:type="spellEnd"/>
      <w:r>
        <w:rPr>
          <w:sz w:val="20"/>
        </w:rPr>
        <w:t xml:space="preserve">; </w:t>
      </w:r>
      <w:proofErr w:type="spellStart"/>
      <w:r>
        <w:rPr>
          <w:sz w:val="20"/>
        </w:rPr>
        <w:t>Panish</w:t>
      </w:r>
      <w:proofErr w:type="spellEnd"/>
      <w:r>
        <w:rPr>
          <w:sz w:val="20"/>
        </w:rPr>
        <w:t xml:space="preserve">, </w:t>
      </w:r>
      <w:proofErr w:type="spellStart"/>
      <w:r>
        <w:rPr>
          <w:sz w:val="20"/>
        </w:rPr>
        <w:t>Shea</w:t>
      </w:r>
      <w:proofErr w:type="spellEnd"/>
      <w:r>
        <w:rPr>
          <w:sz w:val="20"/>
        </w:rPr>
        <w:t xml:space="preserve"> &amp; Boyle, Brian </w:t>
      </w:r>
      <w:proofErr w:type="spellStart"/>
      <w:r>
        <w:rPr>
          <w:sz w:val="20"/>
        </w:rPr>
        <w:t>Panish</w:t>
      </w:r>
      <w:proofErr w:type="spellEnd"/>
      <w:r>
        <w:rPr>
          <w:sz w:val="20"/>
        </w:rPr>
        <w:t xml:space="preserve"> and Deborah S. Chang for Real Party in Interest.</w:t>
      </w:r>
    </w:p>
    <w:p w:rsidR="0012664A" w:rsidRDefault="0012664A" w:rsidP="0012664A">
      <w:pPr>
        <w:rPr>
          <w:sz w:val="20"/>
        </w:rPr>
      </w:pPr>
    </w:p>
    <w:p w:rsidR="0012664A" w:rsidRDefault="0012664A" w:rsidP="0012664A">
      <w:pPr>
        <w:rPr>
          <w:sz w:val="20"/>
        </w:rPr>
      </w:pPr>
      <w:r>
        <w:rPr>
          <w:sz w:val="20"/>
        </w:rPr>
        <w:t>The Arkin Law Firm and Sharon J. Arkin for Consumer Attorneys of California as Amicus Curiae on behalf of Real Party in Interest.</w:t>
      </w:r>
    </w:p>
    <w:p w:rsidR="0012664A" w:rsidRDefault="0012664A" w:rsidP="0012664A">
      <w:pPr>
        <w:rPr>
          <w:b/>
          <w:sz w:val="20"/>
        </w:rPr>
      </w:pPr>
      <w:r>
        <w:rPr>
          <w:b/>
          <w:sz w:val="20"/>
        </w:rPr>
        <w:br w:type="page"/>
      </w:r>
    </w:p>
    <w:p w:rsidR="0012664A" w:rsidRDefault="0012664A" w:rsidP="0012664A">
      <w:pPr>
        <w:rPr>
          <w:b/>
          <w:sz w:val="20"/>
        </w:rPr>
      </w:pPr>
    </w:p>
    <w:p w:rsidR="0012664A" w:rsidRDefault="0012664A" w:rsidP="0012664A">
      <w:pPr>
        <w:rPr>
          <w:b/>
          <w:sz w:val="20"/>
        </w:rPr>
      </w:pPr>
    </w:p>
    <w:p w:rsidR="0012664A" w:rsidRDefault="0012664A" w:rsidP="0012664A">
      <w:pPr>
        <w:rPr>
          <w:b/>
          <w:sz w:val="20"/>
        </w:rPr>
      </w:pPr>
    </w:p>
    <w:p w:rsidR="0012664A" w:rsidRDefault="0012664A" w:rsidP="0012664A">
      <w:pPr>
        <w:rPr>
          <w:b/>
          <w:sz w:val="20"/>
        </w:rPr>
      </w:pPr>
      <w:r>
        <w:rPr>
          <w:b/>
          <w:sz w:val="20"/>
        </w:rPr>
        <w:t>Counsel who argued in Supreme Court (not intended for publication with opinion):</w:t>
      </w:r>
    </w:p>
    <w:p w:rsidR="0012664A" w:rsidRDefault="0012664A" w:rsidP="0012664A">
      <w:pPr>
        <w:rPr>
          <w:b/>
          <w:sz w:val="20"/>
        </w:rPr>
      </w:pPr>
    </w:p>
    <w:p w:rsidR="0012664A" w:rsidRDefault="0012664A" w:rsidP="0012664A">
      <w:pPr>
        <w:rPr>
          <w:sz w:val="20"/>
        </w:rPr>
      </w:pPr>
      <w:r>
        <w:rPr>
          <w:sz w:val="20"/>
        </w:rPr>
        <w:t>Timothy T. Coates</w:t>
      </w:r>
    </w:p>
    <w:p w:rsidR="0012664A" w:rsidRDefault="0012664A" w:rsidP="0012664A">
      <w:pPr>
        <w:rPr>
          <w:sz w:val="20"/>
        </w:rPr>
      </w:pPr>
      <w:proofErr w:type="spellStart"/>
      <w:r>
        <w:rPr>
          <w:sz w:val="20"/>
        </w:rPr>
        <w:t>Greines</w:t>
      </w:r>
      <w:proofErr w:type="spellEnd"/>
      <w:r>
        <w:rPr>
          <w:sz w:val="20"/>
        </w:rPr>
        <w:t>, Martin, Stein &amp; Richland</w:t>
      </w:r>
    </w:p>
    <w:p w:rsidR="0012664A" w:rsidRDefault="0012664A" w:rsidP="0012664A">
      <w:pPr>
        <w:rPr>
          <w:sz w:val="20"/>
        </w:rPr>
      </w:pPr>
      <w:r>
        <w:rPr>
          <w:sz w:val="20"/>
        </w:rPr>
        <w:t>5900 Wilshire Boulevard, 12th Floor</w:t>
      </w:r>
    </w:p>
    <w:p w:rsidR="0012664A" w:rsidRDefault="0012664A" w:rsidP="0012664A">
      <w:pPr>
        <w:rPr>
          <w:sz w:val="20"/>
        </w:rPr>
      </w:pPr>
      <w:r>
        <w:rPr>
          <w:sz w:val="20"/>
        </w:rPr>
        <w:t>Los Angeles, CA  90036</w:t>
      </w:r>
    </w:p>
    <w:p w:rsidR="0012664A" w:rsidRDefault="0012664A" w:rsidP="0012664A">
      <w:pPr>
        <w:rPr>
          <w:sz w:val="20"/>
        </w:rPr>
      </w:pPr>
      <w:r>
        <w:rPr>
          <w:sz w:val="20"/>
        </w:rPr>
        <w:t>(310) 859-7811</w:t>
      </w:r>
    </w:p>
    <w:p w:rsidR="0012664A" w:rsidRDefault="0012664A" w:rsidP="0012664A">
      <w:pPr>
        <w:rPr>
          <w:sz w:val="20"/>
        </w:rPr>
      </w:pPr>
    </w:p>
    <w:p w:rsidR="0012664A" w:rsidRDefault="0012664A" w:rsidP="0012664A">
      <w:pPr>
        <w:rPr>
          <w:sz w:val="20"/>
        </w:rPr>
      </w:pPr>
      <w:r>
        <w:rPr>
          <w:sz w:val="20"/>
        </w:rPr>
        <w:t xml:space="preserve">Alan Charles </w:t>
      </w:r>
      <w:proofErr w:type="spellStart"/>
      <w:r>
        <w:rPr>
          <w:sz w:val="20"/>
        </w:rPr>
        <w:t>Dell’Ario</w:t>
      </w:r>
      <w:proofErr w:type="spellEnd"/>
    </w:p>
    <w:p w:rsidR="0012664A" w:rsidRDefault="0012664A" w:rsidP="0012664A">
      <w:pPr>
        <w:rPr>
          <w:sz w:val="20"/>
        </w:rPr>
      </w:pPr>
      <w:r>
        <w:rPr>
          <w:sz w:val="20"/>
        </w:rPr>
        <w:t>1561 Third Street, Suite B</w:t>
      </w:r>
    </w:p>
    <w:p w:rsidR="0012664A" w:rsidRDefault="0012664A" w:rsidP="0012664A">
      <w:pPr>
        <w:rPr>
          <w:sz w:val="20"/>
        </w:rPr>
      </w:pPr>
      <w:r>
        <w:rPr>
          <w:sz w:val="20"/>
        </w:rPr>
        <w:t>Napa, CA  94559</w:t>
      </w:r>
    </w:p>
    <w:p w:rsidR="0012664A" w:rsidRDefault="0012664A" w:rsidP="0012664A">
      <w:pPr>
        <w:rPr>
          <w:b/>
          <w:sz w:val="20"/>
        </w:rPr>
      </w:pPr>
      <w:r>
        <w:rPr>
          <w:sz w:val="20"/>
        </w:rPr>
        <w:t>(707) 666-5351</w:t>
      </w:r>
    </w:p>
    <w:p w:rsidR="0012664A" w:rsidRDefault="0012664A" w:rsidP="0012664A">
      <w:pPr>
        <w:spacing w:before="240" w:after="240" w:line="480" w:lineRule="atLeast"/>
        <w:ind w:firstLine="720"/>
        <w:rPr>
          <w:b/>
        </w:rPr>
      </w:pPr>
    </w:p>
    <w:sectPr w:rsidR="0012664A" w:rsidSect="0012664A">
      <w:footerReference w:type="default" r:id="rId10"/>
      <w:footnotePr>
        <w:numRestart w:val="eachSect"/>
      </w:footnotePr>
      <w:pgSz w:w="12240" w:h="15840"/>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664A">
      <w:r>
        <w:separator/>
      </w:r>
    </w:p>
  </w:endnote>
  <w:endnote w:type="continuationSeparator" w:id="0">
    <w:p w:rsidR="00000000" w:rsidRDefault="0012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FB" w:rsidRDefault="0012664A">
    <w:pPr>
      <w:pStyle w:val="Footer"/>
      <w:jc w:val="center"/>
    </w:pPr>
    <w:r>
      <w:fldChar w:fldCharType="begin"/>
    </w:r>
    <w:r>
      <w:instrText>PAGE</w:instrText>
    </w:r>
    <w:r>
      <w:fldChar w:fldCharType="separate"/>
    </w:r>
    <w:r>
      <w:rPr>
        <w:noProof/>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8F" w:rsidRDefault="0012664A" w:rsidP="007D488F">
    <w:pPr>
      <w:pStyle w:val="Footer"/>
      <w:jc w:val="center"/>
    </w:pPr>
    <w:r>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4A" w:rsidRPr="0012664A" w:rsidRDefault="0012664A" w:rsidP="00126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4A" w:rsidRPr="0012664A" w:rsidRDefault="0012664A" w:rsidP="0012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ED" w:rsidRDefault="0012664A" w:rsidP="004826D3">
      <w:r>
        <w:separator/>
      </w:r>
    </w:p>
  </w:footnote>
  <w:footnote w:type="continuationSeparator" w:id="0">
    <w:p w:rsidR="000D35ED" w:rsidRDefault="0012664A">
      <w:r>
        <w:continuationSeparator/>
      </w:r>
    </w:p>
  </w:footnote>
  <w:footnote w:id="1">
    <w:p w:rsidR="006E6DFB" w:rsidRDefault="0012664A">
      <w:pPr>
        <w:pStyle w:val="FootnoteText"/>
      </w:pPr>
      <w:r>
        <w:rPr>
          <w:rStyle w:val="FootnoteReference"/>
        </w:rPr>
        <w:footnoteRef/>
      </w:r>
      <w:r>
        <w:t xml:space="preserve"> </w:t>
      </w:r>
      <w:r>
        <w:tab/>
        <w:t xml:space="preserve">We use the terms “college” and “university” interchangeably to refer to all schools that provide postsecondary education to enrolled </w:t>
      </w:r>
      <w:r>
        <w:t>students.</w:t>
      </w:r>
    </w:p>
  </w:footnote>
  <w:footnote w:id="2">
    <w:p w:rsidR="006E6DFB" w:rsidRDefault="0012664A">
      <w:pPr>
        <w:pStyle w:val="FootnoteText"/>
      </w:pPr>
      <w:r>
        <w:rPr>
          <w:rStyle w:val="FootnoteReference"/>
        </w:rPr>
        <w:footnoteRef/>
      </w:r>
      <w:r>
        <w:t xml:space="preserve"> </w:t>
      </w:r>
      <w:r>
        <w:tab/>
        <w:t>We refer to these defendants collectively, and the school itself, by the acronym UCLA.</w:t>
      </w:r>
    </w:p>
  </w:footnote>
  <w:footnote w:id="3">
    <w:p w:rsidR="00252984" w:rsidRPr="00FF40A1" w:rsidRDefault="0012664A">
      <w:pPr>
        <w:pStyle w:val="FootnoteText"/>
      </w:pPr>
      <w:r>
        <w:rPr>
          <w:rStyle w:val="FootnoteReference"/>
        </w:rPr>
        <w:footnoteRef/>
      </w:r>
      <w:r>
        <w:t xml:space="preserve"> </w:t>
      </w:r>
      <w:r>
        <w:tab/>
      </w:r>
      <w:r>
        <w:t xml:space="preserve">We speak here of a university’s duty “to protect” its students from foreseeable harm.  However, in an appropriate case, this duty may </w:t>
      </w:r>
      <w:proofErr w:type="gramStart"/>
      <w:r>
        <w:t>be fully discharged</w:t>
      </w:r>
      <w:proofErr w:type="gramEnd"/>
      <w:r>
        <w:t xml:space="preserve"> if adequate </w:t>
      </w:r>
      <w:r>
        <w:rPr>
          <w:i/>
        </w:rPr>
        <w:t>warnings</w:t>
      </w:r>
      <w:r>
        <w:t xml:space="preserve"> are conveyed to the students at risk.  (Cf. </w:t>
      </w:r>
      <w:proofErr w:type="spellStart"/>
      <w:r>
        <w:rPr>
          <w:i/>
        </w:rPr>
        <w:t>Tarasoff</w:t>
      </w:r>
      <w:proofErr w:type="spellEnd"/>
      <w:r>
        <w:rPr>
          <w:i/>
        </w:rPr>
        <w:t xml:space="preserve"> v. Regents of University of </w:t>
      </w:r>
      <w:r>
        <w:rPr>
          <w:i/>
        </w:rPr>
        <w:t>California</w:t>
      </w:r>
      <w:r>
        <w:t xml:space="preserve"> (1976) 17 Cal.3d 425, 439-440 (</w:t>
      </w:r>
      <w:proofErr w:type="spellStart"/>
      <w:r>
        <w:rPr>
          <w:i/>
        </w:rPr>
        <w:t>Tarasoff</w:t>
      </w:r>
      <w:proofErr w:type="spellEnd"/>
      <w:r>
        <w:t>) [discussing therapist’s duty to protect discharged through warnings].)</w:t>
      </w:r>
    </w:p>
  </w:footnote>
  <w:footnote w:id="4">
    <w:p w:rsidR="006E6DFB" w:rsidRDefault="0012664A" w:rsidP="002F6C34">
      <w:pPr>
        <w:pStyle w:val="FootnoteText"/>
      </w:pPr>
      <w:r>
        <w:rPr>
          <w:rStyle w:val="FootnoteReference"/>
        </w:rPr>
        <w:footnoteRef/>
      </w:r>
      <w:r>
        <w:t xml:space="preserve"> </w:t>
      </w:r>
      <w:r>
        <w:tab/>
        <w:t>“These cases have become known as the ‘bystander’ cases because in each of them the university was cast in the role of a legal bys</w:t>
      </w:r>
      <w:r>
        <w:t>tander to ‘uncontrollable’ student actions and drinking.”  (Lake,</w:t>
      </w:r>
      <w:r>
        <w:rPr>
          <w:i/>
        </w:rPr>
        <w:t xml:space="preserve"> supra</w:t>
      </w:r>
      <w:r>
        <w:t xml:space="preserve">, 64 </w:t>
      </w:r>
      <w:r>
        <w:t xml:space="preserve">Mo. </w:t>
      </w:r>
      <w:proofErr w:type="spellStart"/>
      <w:r>
        <w:t>L.</w:t>
      </w:r>
      <w:r>
        <w:t>Rev</w:t>
      </w:r>
      <w:proofErr w:type="spellEnd"/>
      <w:r>
        <w:t>. at p. 16.)</w:t>
      </w:r>
    </w:p>
  </w:footnote>
  <w:footnote w:id="5">
    <w:p w:rsidR="006E6DFB" w:rsidRPr="00520583" w:rsidRDefault="0012664A" w:rsidP="00146A22">
      <w:pPr>
        <w:pStyle w:val="FootnoteText"/>
      </w:pPr>
      <w:r>
        <w:rPr>
          <w:rStyle w:val="FootnoteReference"/>
        </w:rPr>
        <w:footnoteRef/>
      </w:r>
      <w:r>
        <w:t xml:space="preserve"> </w:t>
      </w:r>
      <w:r>
        <w:tab/>
        <w:t>Some state courts, unwilling to recognize a special relationship between colleges and their adult students, have nevertheless imposed a duty to protect und</w:t>
      </w:r>
      <w:r>
        <w:t xml:space="preserve">er landlord-invitee principles.  (See, e.g., </w:t>
      </w:r>
      <w:r>
        <w:rPr>
          <w:i/>
        </w:rPr>
        <w:t>Nero v. Kansas State University</w:t>
      </w:r>
      <w:r>
        <w:t xml:space="preserve">, </w:t>
      </w:r>
      <w:r>
        <w:rPr>
          <w:i/>
        </w:rPr>
        <w:t>supra</w:t>
      </w:r>
      <w:r>
        <w:t xml:space="preserve">, </w:t>
      </w:r>
      <w:r>
        <w:t xml:space="preserve">861 P.2d </w:t>
      </w:r>
      <w:r>
        <w:t>at p. </w:t>
      </w:r>
      <w:r>
        <w:t xml:space="preserve">780; </w:t>
      </w:r>
      <w:r>
        <w:rPr>
          <w:i/>
        </w:rPr>
        <w:t>Johnson v. State</w:t>
      </w:r>
      <w:r>
        <w:t xml:space="preserve"> (1995) 77 </w:t>
      </w:r>
      <w:proofErr w:type="spellStart"/>
      <w:r>
        <w:t>Wn</w:t>
      </w:r>
      <w:r>
        <w:t>.App</w:t>
      </w:r>
      <w:proofErr w:type="spellEnd"/>
      <w:r>
        <w:t>. 934, 941 [894 P.2d 1366, 1370].)</w:t>
      </w:r>
    </w:p>
  </w:footnote>
  <w:footnote w:id="6">
    <w:p w:rsidR="006E6DFB" w:rsidRPr="006D03DD" w:rsidRDefault="0012664A" w:rsidP="009700F2">
      <w:pPr>
        <w:pStyle w:val="FootnoteText"/>
      </w:pPr>
      <w:r>
        <w:rPr>
          <w:rStyle w:val="FootnoteReference"/>
        </w:rPr>
        <w:footnoteRef/>
      </w:r>
      <w:r>
        <w:t xml:space="preserve"> </w:t>
      </w:r>
      <w:r>
        <w:tab/>
        <w:t>The Court of Appeal majority suggested recognizing a duty of care based on the s</w:t>
      </w:r>
      <w:r>
        <w:t xml:space="preserve">pecial relationship doctrine would undermine the liability limits of Government Code section 835. </w:t>
      </w:r>
      <w:r>
        <w:t xml:space="preserve"> Under that</w:t>
      </w:r>
      <w:r>
        <w:t xml:space="preserve"> statute, a public landowner’s liability to business invitees </w:t>
      </w:r>
      <w:proofErr w:type="gramStart"/>
      <w:r>
        <w:t>is limited</w:t>
      </w:r>
      <w:proofErr w:type="gramEnd"/>
      <w:r>
        <w:t xml:space="preserve"> to injuries caused by a physical defect in the property.  (See </w:t>
      </w:r>
      <w:r>
        <w:rPr>
          <w:i/>
        </w:rPr>
        <w:t>Peterson</w:t>
      </w:r>
      <w:r>
        <w:t xml:space="preserve">, </w:t>
      </w:r>
      <w:r>
        <w:rPr>
          <w:i/>
        </w:rPr>
        <w:t>s</w:t>
      </w:r>
      <w:r>
        <w:rPr>
          <w:i/>
        </w:rPr>
        <w:t>upra</w:t>
      </w:r>
      <w:r>
        <w:t>, 36 Cal.3d at p. 810.)  Generally, third party criminal conduct unrelated to the property’s physical condition does not constitute a “dangerous condition” for which a public entity may be liable under section 835.  (</w:t>
      </w:r>
      <w:r>
        <w:rPr>
          <w:i/>
        </w:rPr>
        <w:t>Zelig v. County of Los Angeles</w:t>
      </w:r>
      <w:r>
        <w:t xml:space="preserve">, </w:t>
      </w:r>
      <w:r>
        <w:rPr>
          <w:i/>
        </w:rPr>
        <w:t>sup</w:t>
      </w:r>
      <w:r>
        <w:rPr>
          <w:i/>
        </w:rPr>
        <w:t>ra</w:t>
      </w:r>
      <w:r>
        <w:t xml:space="preserve">, 27 Cal.4th at pp. 1134-1135; </w:t>
      </w:r>
      <w:r>
        <w:rPr>
          <w:i/>
        </w:rPr>
        <w:t>Peterson</w:t>
      </w:r>
      <w:r>
        <w:t xml:space="preserve">, at pp. 810-811.)  However, UCLA offers no persuasive </w:t>
      </w:r>
      <w:proofErr w:type="gramStart"/>
      <w:r>
        <w:t>reason why</w:t>
      </w:r>
      <w:proofErr w:type="gramEnd"/>
      <w:r>
        <w:t xml:space="preserve"> statutory limits on the scope of an entity’s duties under one type of special relationship, such as the landowner-invitee relationship, must restrict</w:t>
      </w:r>
      <w:r>
        <w:t xml:space="preserve"> the entity’s duties in</w:t>
      </w:r>
      <w:r>
        <w:t xml:space="preserve"> the context of</w:t>
      </w:r>
      <w:r>
        <w:t xml:space="preserve"> other relationships.  On the contrary, despite limits on premises liability, we have explained that “another body of law establishes that public schools and universities owe certain non</w:t>
      </w:r>
      <w:r>
        <w:t>-</w:t>
      </w:r>
      <w:r>
        <w:t xml:space="preserve">property-based duties to their </w:t>
      </w:r>
      <w:r>
        <w:t>students.”  (</w:t>
      </w:r>
      <w:r>
        <w:rPr>
          <w:i/>
        </w:rPr>
        <w:t>Avila</w:t>
      </w:r>
      <w:r>
        <w:t xml:space="preserve">, </w:t>
      </w:r>
      <w:r>
        <w:rPr>
          <w:i/>
        </w:rPr>
        <w:t>supra</w:t>
      </w:r>
      <w:r>
        <w:t>, 38 Cal.4th at p. 158.)</w:t>
      </w:r>
    </w:p>
  </w:footnote>
  <w:footnote w:id="7">
    <w:p w:rsidR="006E6DFB" w:rsidRPr="00DE77B8" w:rsidRDefault="0012664A">
      <w:pPr>
        <w:pStyle w:val="FootnoteText"/>
      </w:pPr>
      <w:r>
        <w:rPr>
          <w:rStyle w:val="FootnoteReference"/>
        </w:rPr>
        <w:footnoteRef/>
      </w:r>
      <w:r>
        <w:t xml:space="preserve"> </w:t>
      </w:r>
      <w:r>
        <w:tab/>
        <w:t>To the extent they are inconsistent with our holdings regarding the special relationship between colleges and students, or coll</w:t>
      </w:r>
      <w:r>
        <w:t xml:space="preserve">eges’ duty of care, </w:t>
      </w:r>
      <w:r>
        <w:t xml:space="preserve">we disapprove </w:t>
      </w:r>
      <w:r>
        <w:rPr>
          <w:i/>
        </w:rPr>
        <w:t xml:space="preserve">Baldwin v. </w:t>
      </w:r>
      <w:proofErr w:type="spellStart"/>
      <w:r>
        <w:rPr>
          <w:i/>
        </w:rPr>
        <w:t>Zoradi</w:t>
      </w:r>
      <w:proofErr w:type="spellEnd"/>
      <w:r>
        <w:t xml:space="preserve">, </w:t>
      </w:r>
      <w:r>
        <w:rPr>
          <w:i/>
        </w:rPr>
        <w:t>supra</w:t>
      </w:r>
      <w:r>
        <w:t xml:space="preserve">, </w:t>
      </w:r>
      <w:r>
        <w:t>123 Cal.App.3d 2</w:t>
      </w:r>
      <w:r>
        <w:t xml:space="preserve">75, </w:t>
      </w:r>
      <w:r>
        <w:rPr>
          <w:i/>
        </w:rPr>
        <w:t>Crow v. State of California</w:t>
      </w:r>
      <w:r>
        <w:t xml:space="preserve">, </w:t>
      </w:r>
      <w:r>
        <w:rPr>
          <w:i/>
        </w:rPr>
        <w:t>supra</w:t>
      </w:r>
      <w:r>
        <w:t xml:space="preserve">, </w:t>
      </w:r>
      <w:r>
        <w:t xml:space="preserve">222 Cal.App.3d 192, </w:t>
      </w:r>
      <w:r>
        <w:rPr>
          <w:i/>
        </w:rPr>
        <w:t>Tanja H. v. Regents of University of California</w:t>
      </w:r>
      <w:r>
        <w:t xml:space="preserve">, </w:t>
      </w:r>
      <w:r>
        <w:rPr>
          <w:i/>
        </w:rPr>
        <w:t>supra</w:t>
      </w:r>
      <w:r>
        <w:t xml:space="preserve">, </w:t>
      </w:r>
      <w:r>
        <w:t xml:space="preserve">228 Cal.App.3d 434, </w:t>
      </w:r>
      <w:r>
        <w:rPr>
          <w:i/>
        </w:rPr>
        <w:t>Ochoa v. California State University</w:t>
      </w:r>
      <w:r>
        <w:t xml:space="preserve"> (1999) 72 Cal.App.4th 1300, and </w:t>
      </w:r>
      <w:proofErr w:type="spellStart"/>
      <w:r>
        <w:rPr>
          <w:i/>
        </w:rPr>
        <w:t>Stockinger</w:t>
      </w:r>
      <w:proofErr w:type="spellEnd"/>
      <w:r>
        <w:rPr>
          <w:i/>
        </w:rPr>
        <w:t xml:space="preserve"> v. Feather River Community College</w:t>
      </w:r>
      <w:r>
        <w:t xml:space="preserve"> (2003) 111 Cal.App.4th 1014. </w:t>
      </w:r>
    </w:p>
  </w:footnote>
  <w:footnote w:id="8">
    <w:p w:rsidR="001F2B20" w:rsidRDefault="0012664A" w:rsidP="001F2B20">
      <w:pPr>
        <w:pStyle w:val="FootnoteText"/>
      </w:pPr>
      <w:r>
        <w:rPr>
          <w:rStyle w:val="FootnoteReference"/>
        </w:rPr>
        <w:footnoteRef/>
      </w:r>
      <w:r>
        <w:t xml:space="preserve"> </w:t>
      </w:r>
      <w:r>
        <w:tab/>
        <w:t>Because we decide the university had a duty arising out of its special relationship with Rosen, we do not address Rosen’s alternate theories of duty based on an implied-in-fact contract or the negligent undertaking doctrin</w:t>
      </w:r>
      <w:r>
        <w:t>e.</w:t>
      </w:r>
    </w:p>
  </w:footnote>
  <w:footnote w:id="9">
    <w:p w:rsidR="006E6DFB" w:rsidRDefault="0012664A">
      <w:pPr>
        <w:pStyle w:val="FootnoteText"/>
      </w:pPr>
      <w:r>
        <w:rPr>
          <w:rStyle w:val="FootnoteReference"/>
        </w:rPr>
        <w:footnoteRef/>
      </w:r>
      <w:r>
        <w:t xml:space="preserve"> </w:t>
      </w:r>
      <w:r>
        <w:tab/>
        <w:t>Specifically, the school relied on Government Code section 856, which immunizes public entities’ decisions about involuntary confinement, and section 820.2, which immunizes public employees’ discretionary 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FB" w:rsidRDefault="0012664A"/>
  <w:p w:rsidR="006E6DFB" w:rsidRDefault="0012664A"/>
  <w:p w:rsidR="006E6DFB" w:rsidRDefault="0012664A" w:rsidP="004826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4A"/>
    <w:rsid w:val="0012664A"/>
    <w:rsid w:val="00BD6DD2"/>
    <w:rsid w:val="00CC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7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D17"/>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0FA4"/>
    <w:pPr>
      <w:tabs>
        <w:tab w:val="center" w:pos="4320"/>
        <w:tab w:val="right" w:pos="8640"/>
      </w:tabs>
    </w:pPr>
  </w:style>
  <w:style w:type="character" w:styleId="FootnoteReference">
    <w:name w:val="footnote reference"/>
    <w:basedOn w:val="DefaultParagraphFont"/>
    <w:semiHidden/>
    <w:rsid w:val="00CF0FA4"/>
    <w:rPr>
      <w:b/>
      <w:position w:val="6"/>
      <w:sz w:val="20"/>
    </w:rPr>
  </w:style>
  <w:style w:type="paragraph" w:styleId="FootnoteText">
    <w:name w:val="footnote text"/>
    <w:basedOn w:val="Normal"/>
    <w:semiHidden/>
    <w:rsid w:val="00AF2E82"/>
    <w:pPr>
      <w:spacing w:after="120"/>
    </w:pPr>
  </w:style>
  <w:style w:type="paragraph" w:styleId="Header">
    <w:name w:val="header"/>
    <w:basedOn w:val="Normal"/>
    <w:rsid w:val="009B6D17"/>
    <w:pPr>
      <w:tabs>
        <w:tab w:val="center" w:pos="4320"/>
        <w:tab w:val="right" w:pos="8640"/>
      </w:tabs>
    </w:pPr>
  </w:style>
  <w:style w:type="paragraph" w:styleId="BalloonText">
    <w:name w:val="Balloon Text"/>
    <w:basedOn w:val="Normal"/>
    <w:link w:val="BalloonTextChar"/>
    <w:rsid w:val="00AC4398"/>
    <w:rPr>
      <w:rFonts w:ascii="Tahoma" w:hAnsi="Tahoma" w:cs="Tahoma"/>
      <w:sz w:val="16"/>
      <w:szCs w:val="16"/>
    </w:rPr>
  </w:style>
  <w:style w:type="character" w:customStyle="1" w:styleId="BalloonTextChar">
    <w:name w:val="Balloon Text Char"/>
    <w:basedOn w:val="DefaultParagraphFont"/>
    <w:link w:val="BalloonText"/>
    <w:rsid w:val="00AC4398"/>
    <w:rPr>
      <w:rFonts w:ascii="Tahoma" w:hAnsi="Tahoma" w:cs="Tahoma"/>
      <w:sz w:val="16"/>
      <w:szCs w:val="16"/>
    </w:rPr>
  </w:style>
  <w:style w:type="paragraph" w:styleId="Revision">
    <w:name w:val="Revision"/>
    <w:hidden/>
    <w:uiPriority w:val="99"/>
    <w:semiHidden/>
    <w:rsid w:val="00452C1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8702">
      <w:bodyDiv w:val="1"/>
      <w:marLeft w:val="0"/>
      <w:marRight w:val="0"/>
      <w:marTop w:val="0"/>
      <w:marBottom w:val="0"/>
      <w:divBdr>
        <w:top w:val="none" w:sz="0" w:space="0" w:color="auto"/>
        <w:left w:val="none" w:sz="0" w:space="0" w:color="auto"/>
        <w:bottom w:val="none" w:sz="0" w:space="0" w:color="auto"/>
        <w:right w:val="none" w:sz="0" w:space="0" w:color="auto"/>
      </w:divBdr>
    </w:div>
    <w:div w:id="20620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10444</Words>
  <Characters>57475</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COPY</vt:lpstr>
    </vt:vector>
  </TitlesOfParts>
  <Company/>
  <LinksUpToDate>false</LinksUpToDate>
  <CharactersWithSpaces>67784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2018-03-20T19:30:00Z</dcterms:created>
  <dcterms:modified xsi:type="dcterms:W3CDTF">2018-03-20T19:33:00Z</dcterms:modified>
</cp:coreProperties>
</file>