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A2" w:rsidRPr="00EF75F8" w:rsidRDefault="00EF75F8" w:rsidP="009D78A2">
      <w:pPr>
        <w:rPr>
          <w:rFonts w:ascii="Times New Roman" w:hAnsi="Times New Roman" w:cs="Times New Roman"/>
          <w:sz w:val="20"/>
          <w:szCs w:val="20"/>
        </w:rPr>
      </w:pPr>
      <w:r>
        <w:rPr>
          <w:rFonts w:ascii="Times New Roman" w:hAnsi="Times New Roman" w:cs="Times New Roman"/>
          <w:sz w:val="20"/>
          <w:szCs w:val="20"/>
        </w:rPr>
        <w:t>Filed 1/29/18</w:t>
      </w:r>
    </w:p>
    <w:p w:rsidR="009D78A2" w:rsidRPr="003571C4" w:rsidRDefault="003075F8" w:rsidP="009D78A2">
      <w:pPr>
        <w:jc w:val="center"/>
        <w:rPr>
          <w:rFonts w:ascii="Times New Roman" w:hAnsi="Times New Roman" w:cs="Times New Roman"/>
        </w:rPr>
      </w:pPr>
    </w:p>
    <w:p w:rsidR="009D78A2" w:rsidRPr="003571C4" w:rsidRDefault="003075F8" w:rsidP="009D78A2">
      <w:pPr>
        <w:jc w:val="center"/>
        <w:rPr>
          <w:rFonts w:ascii="Times New Roman" w:hAnsi="Times New Roman" w:cs="Times New Roman"/>
        </w:rPr>
      </w:pPr>
    </w:p>
    <w:p w:rsidR="009D78A2" w:rsidRDefault="003075F8" w:rsidP="009D78A2">
      <w:pPr>
        <w:jc w:val="center"/>
        <w:rPr>
          <w:rFonts w:ascii="Times New Roman" w:hAnsi="Times New Roman"/>
        </w:rPr>
      </w:pPr>
    </w:p>
    <w:p w:rsidR="009D78A2" w:rsidRDefault="002E370B" w:rsidP="009D78A2">
      <w:pPr>
        <w:jc w:val="center"/>
        <w:rPr>
          <w:rFonts w:ascii="Times New Roman" w:hAnsi="Times New Roman"/>
          <w:sz w:val="36"/>
          <w:szCs w:val="36"/>
        </w:rPr>
      </w:pPr>
      <w:r>
        <w:rPr>
          <w:rFonts w:ascii="Times New Roman" w:hAnsi="Times New Roman"/>
          <w:b/>
          <w:sz w:val="36"/>
          <w:szCs w:val="36"/>
        </w:rPr>
        <w:t>IN THE SUPREME COURT OF CALIFORNIA</w:t>
      </w:r>
    </w:p>
    <w:p w:rsidR="009D78A2" w:rsidRDefault="003075F8" w:rsidP="009D78A2">
      <w:pPr>
        <w:jc w:val="center"/>
        <w:rPr>
          <w:rFonts w:ascii="Times New Roman" w:hAnsi="Times New Roman"/>
          <w:sz w:val="26"/>
          <w:szCs w:val="26"/>
        </w:rPr>
      </w:pPr>
    </w:p>
    <w:p w:rsidR="009D78A2" w:rsidRDefault="003075F8" w:rsidP="009D78A2">
      <w:pPr>
        <w:jc w:val="center"/>
        <w:rPr>
          <w:rFonts w:ascii="Times New Roman" w:hAnsi="Times New Roman"/>
        </w:rPr>
      </w:pPr>
    </w:p>
    <w:p w:rsidR="009D78A2" w:rsidRDefault="003075F8" w:rsidP="009D78A2">
      <w:pPr>
        <w:jc w:val="center"/>
        <w:rPr>
          <w:rFonts w:ascii="Times New Roman" w:hAnsi="Times New Roman"/>
        </w:rPr>
      </w:pPr>
    </w:p>
    <w:p w:rsidR="009D78A2" w:rsidRDefault="002E370B" w:rsidP="009D78A2">
      <w:pPr>
        <w:tabs>
          <w:tab w:val="left" w:pos="4680"/>
          <w:tab w:val="center" w:pos="7200"/>
        </w:tabs>
        <w:spacing w:line="240" w:lineRule="atLeast"/>
        <w:rPr>
          <w:rFonts w:ascii="Times New Roman" w:hAnsi="Times New Roman"/>
        </w:rPr>
      </w:pPr>
      <w:bookmarkStart w:id="0" w:name="plaintiff"/>
      <w:bookmarkEnd w:id="0"/>
      <w:r>
        <w:rPr>
          <w:rFonts w:ascii="Times New Roman" w:hAnsi="Times New Roman"/>
        </w:rPr>
        <w:t>MIKE HERNANDEZ et al.,</w:t>
      </w:r>
      <w:r>
        <w:rPr>
          <w:rFonts w:ascii="Times New Roman" w:hAnsi="Times New Roman"/>
        </w:rPr>
        <w:tab/>
        <w:t>)</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ab/>
      </w:r>
      <w:r>
        <w:rPr>
          <w:rFonts w:ascii="Times New Roman" w:hAnsi="Times New Roman"/>
        </w:rPr>
        <w:tab/>
        <w:t>)</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ab/>
      </w:r>
      <w:bookmarkStart w:id="1" w:name="LD"/>
      <w:bookmarkEnd w:id="1"/>
      <w:r>
        <w:rPr>
          <w:rFonts w:ascii="Times New Roman" w:hAnsi="Times New Roman"/>
        </w:rPr>
        <w:t>Plaintiffs and Respondents;</w:t>
      </w:r>
      <w:r>
        <w:rPr>
          <w:rFonts w:ascii="Times New Roman" w:hAnsi="Times New Roman"/>
        </w:rPr>
        <w:tab/>
        <w:t>)</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FRANCESCA MULLER,</w:t>
      </w:r>
      <w:r>
        <w:rPr>
          <w:rFonts w:ascii="Times New Roman" w:hAnsi="Times New Roman"/>
        </w:rPr>
        <w:tab/>
        <w:t>)</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ab/>
      </w:r>
      <w:r>
        <w:rPr>
          <w:rFonts w:ascii="Times New Roman" w:hAnsi="Times New Roman"/>
        </w:rPr>
        <w:tab/>
        <w:t>)</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ab/>
        <w:t>Plaintiff and Appellant,</w:t>
      </w:r>
      <w:r>
        <w:rPr>
          <w:rFonts w:ascii="Times New Roman" w:hAnsi="Times New Roman"/>
        </w:rPr>
        <w:tab/>
        <w:t>)</w:t>
      </w:r>
      <w:r>
        <w:rPr>
          <w:rFonts w:ascii="Times New Roman" w:hAnsi="Times New Roman"/>
        </w:rPr>
        <w:tab/>
        <w:t>S</w:t>
      </w:r>
      <w:bookmarkStart w:id="2" w:name="casenum"/>
      <w:bookmarkEnd w:id="2"/>
      <w:r>
        <w:rPr>
          <w:rFonts w:ascii="Times New Roman" w:hAnsi="Times New Roman"/>
        </w:rPr>
        <w:t>233983</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 xml:space="preserve">             v.</w:t>
      </w:r>
      <w:r>
        <w:rPr>
          <w:rFonts w:ascii="Times New Roman" w:hAnsi="Times New Roman"/>
        </w:rPr>
        <w:tab/>
      </w:r>
      <w:r>
        <w:rPr>
          <w:rFonts w:ascii="Times New Roman" w:hAnsi="Times New Roman"/>
        </w:rPr>
        <w:tab/>
        <w:t>)</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r>
      <w:bookmarkStart w:id="3" w:name="appealnum"/>
      <w:bookmarkEnd w:id="3"/>
      <w:proofErr w:type="spellStart"/>
      <w:r>
        <w:rPr>
          <w:rFonts w:ascii="Times New Roman" w:hAnsi="Times New Roman"/>
        </w:rPr>
        <w:t>Ct.App</w:t>
      </w:r>
      <w:proofErr w:type="spellEnd"/>
      <w:r>
        <w:rPr>
          <w:rFonts w:ascii="Times New Roman" w:hAnsi="Times New Roman"/>
        </w:rPr>
        <w:t>. 4/1 D067091</w:t>
      </w:r>
    </w:p>
    <w:p w:rsidR="009D78A2" w:rsidRDefault="002E370B" w:rsidP="009D78A2">
      <w:pPr>
        <w:tabs>
          <w:tab w:val="left" w:pos="4680"/>
          <w:tab w:val="center" w:pos="7200"/>
        </w:tabs>
        <w:spacing w:line="240" w:lineRule="atLeast"/>
        <w:rPr>
          <w:rFonts w:ascii="Times New Roman" w:hAnsi="Times New Roman"/>
        </w:rPr>
      </w:pPr>
      <w:bookmarkStart w:id="4" w:name="defendant"/>
      <w:bookmarkEnd w:id="4"/>
      <w:r>
        <w:rPr>
          <w:rFonts w:ascii="Times New Roman" w:hAnsi="Times New Roman"/>
        </w:rPr>
        <w:t>RESTORATION HARDWARE, INC.,</w:t>
      </w:r>
      <w:r>
        <w:rPr>
          <w:rFonts w:ascii="Times New Roman" w:hAnsi="Times New Roman"/>
        </w:rPr>
        <w:tab/>
        <w:t>)</w:t>
      </w:r>
    </w:p>
    <w:p w:rsidR="009D78A2" w:rsidRDefault="002E370B" w:rsidP="009D78A2">
      <w:pPr>
        <w:tabs>
          <w:tab w:val="left" w:pos="4680"/>
          <w:tab w:val="center" w:pos="7200"/>
        </w:tabs>
        <w:spacing w:line="240" w:lineRule="atLeast"/>
        <w:rPr>
          <w:rFonts w:ascii="Times New Roman" w:hAnsi="Times New Roman"/>
        </w:rPr>
      </w:pPr>
      <w:r>
        <w:rPr>
          <w:rFonts w:ascii="Times New Roman" w:hAnsi="Times New Roman"/>
        </w:rPr>
        <w:tab/>
        <w:t>)</w:t>
      </w:r>
      <w:r>
        <w:rPr>
          <w:rFonts w:ascii="Times New Roman" w:hAnsi="Times New Roman"/>
        </w:rPr>
        <w:tab/>
      </w:r>
      <w:bookmarkStart w:id="5" w:name="county"/>
      <w:bookmarkEnd w:id="5"/>
      <w:r>
        <w:rPr>
          <w:rFonts w:ascii="Times New Roman" w:hAnsi="Times New Roman"/>
        </w:rPr>
        <w:t>San Diego County</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ab/>
      </w:r>
      <w:bookmarkStart w:id="6" w:name="VD"/>
      <w:bookmarkEnd w:id="6"/>
      <w:r>
        <w:rPr>
          <w:rFonts w:ascii="Times New Roman" w:hAnsi="Times New Roman"/>
        </w:rPr>
        <w:t>Defendant and Respondent.</w:t>
      </w:r>
      <w:r>
        <w:rPr>
          <w:rFonts w:ascii="Times New Roman" w:hAnsi="Times New Roman"/>
        </w:rPr>
        <w:tab/>
        <w:t>)</w:t>
      </w:r>
      <w:r>
        <w:rPr>
          <w:rFonts w:ascii="Times New Roman" w:hAnsi="Times New Roman"/>
        </w:rPr>
        <w:tab/>
      </w:r>
      <w:bookmarkStart w:id="7" w:name="supernum"/>
      <w:bookmarkEnd w:id="7"/>
      <w:r>
        <w:rPr>
          <w:rFonts w:ascii="Times New Roman" w:hAnsi="Times New Roman"/>
        </w:rPr>
        <w:t>Super</w:t>
      </w:r>
      <w:proofErr w:type="gramStart"/>
      <w:r>
        <w:rPr>
          <w:rFonts w:ascii="Times New Roman" w:hAnsi="Times New Roman"/>
        </w:rPr>
        <w:t xml:space="preserve">. </w:t>
      </w:r>
      <w:proofErr w:type="gramEnd"/>
      <w:r>
        <w:rPr>
          <w:rFonts w:ascii="Times New Roman" w:hAnsi="Times New Roman"/>
        </w:rPr>
        <w:t>Ct. No.</w:t>
      </w:r>
    </w:p>
    <w:p w:rsidR="009D78A2" w:rsidRDefault="002E370B" w:rsidP="009D78A2">
      <w:pPr>
        <w:tabs>
          <w:tab w:val="left" w:pos="1440"/>
          <w:tab w:val="left" w:pos="4680"/>
          <w:tab w:val="center" w:pos="7200"/>
        </w:tabs>
        <w:spacing w:line="240" w:lineRule="atLeast"/>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 xml:space="preserve"> 37-2008-00094395-</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CU-BT-CTL</w:t>
      </w:r>
    </w:p>
    <w:p w:rsidR="009D78A2" w:rsidRDefault="002E370B" w:rsidP="009D78A2">
      <w:pPr>
        <w:tabs>
          <w:tab w:val="left" w:leader="underscore" w:pos="4680"/>
        </w:tabs>
        <w:spacing w:line="240" w:lineRule="atLeast"/>
        <w:rPr>
          <w:rFonts w:ascii="Times New Roman" w:hAnsi="Times New Roman"/>
        </w:rPr>
      </w:pPr>
      <w:r>
        <w:rPr>
          <w:rFonts w:ascii="Times New Roman" w:hAnsi="Times New Roman"/>
        </w:rPr>
        <w:tab/>
        <w:t>)</w:t>
      </w:r>
    </w:p>
    <w:p w:rsidR="009D78A2" w:rsidRDefault="003075F8" w:rsidP="009D78A2">
      <w:pPr>
        <w:tabs>
          <w:tab w:val="left" w:pos="1440"/>
        </w:tabs>
        <w:spacing w:line="480" w:lineRule="atLeast"/>
        <w:jc w:val="center"/>
        <w:rPr>
          <w:rFonts w:ascii="Times New Roman" w:hAnsi="Times New Roman"/>
          <w:b/>
          <w:caps/>
        </w:rPr>
      </w:pPr>
      <w:bookmarkStart w:id="8" w:name="justice"/>
      <w:bookmarkEnd w:id="8"/>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Under Code of Civil Procedure</w:t>
      </w:r>
      <w:r>
        <w:rPr>
          <w:rStyle w:val="FootnoteReference"/>
          <w:rFonts w:ascii="Times New Roman" w:hAnsi="Times New Roman" w:cs="Times New Roman"/>
          <w:sz w:val="26"/>
          <w:szCs w:val="26"/>
        </w:rPr>
        <w:footnoteReference w:id="1"/>
      </w:r>
      <w:r w:rsidRPr="0038793A">
        <w:rPr>
          <w:rFonts w:ascii="Times New Roman" w:hAnsi="Times New Roman" w:cs="Times New Roman"/>
          <w:b/>
          <w:sz w:val="26"/>
          <w:szCs w:val="26"/>
        </w:rPr>
        <w:t xml:space="preserve"> </w:t>
      </w:r>
      <w:r w:rsidRPr="0038793A">
        <w:rPr>
          <w:rFonts w:ascii="Times New Roman" w:hAnsi="Times New Roman" w:cs="Times New Roman"/>
          <w:sz w:val="26"/>
          <w:szCs w:val="26"/>
        </w:rPr>
        <w:t>section 902, “[a]</w:t>
      </w:r>
      <w:proofErr w:type="spellStart"/>
      <w:r w:rsidRPr="0038793A">
        <w:rPr>
          <w:rFonts w:ascii="Times New Roman" w:hAnsi="Times New Roman" w:cs="Times New Roman"/>
          <w:sz w:val="26"/>
          <w:szCs w:val="26"/>
        </w:rPr>
        <w:t>ny</w:t>
      </w:r>
      <w:proofErr w:type="spellEnd"/>
      <w:r w:rsidRPr="0038793A">
        <w:rPr>
          <w:rFonts w:ascii="Times New Roman" w:hAnsi="Times New Roman" w:cs="Times New Roman"/>
          <w:sz w:val="26"/>
          <w:szCs w:val="26"/>
        </w:rPr>
        <w:t xml:space="preserve"> party aggrieved” may appeal a judgment.  “It is generally held, however, that only parties of record may appeal; </w:t>
      </w:r>
      <w:proofErr w:type="gramStart"/>
      <w:r w:rsidRPr="0038793A">
        <w:rPr>
          <w:rFonts w:ascii="Times New Roman" w:hAnsi="Times New Roman" w:cs="Times New Roman"/>
          <w:sz w:val="26"/>
          <w:szCs w:val="26"/>
        </w:rPr>
        <w:t>consequently</w:t>
      </w:r>
      <w:proofErr w:type="gramEnd"/>
      <w:r w:rsidRPr="0038793A">
        <w:rPr>
          <w:rFonts w:ascii="Times New Roman" w:hAnsi="Times New Roman" w:cs="Times New Roman"/>
          <w:sz w:val="26"/>
          <w:szCs w:val="26"/>
        </w:rPr>
        <w:t xml:space="preserve"> one who is denied the right to intervene in an action ordinarily may not appeal from a judgment subsequently entered in the case.  [Citations.]  Instead, he may appeal from the order denying intervention.”  (</w:t>
      </w:r>
      <w:r w:rsidRPr="0038793A">
        <w:rPr>
          <w:rFonts w:ascii="Times New Roman" w:hAnsi="Times New Roman" w:cs="Times New Roman"/>
          <w:i/>
          <w:sz w:val="26"/>
          <w:szCs w:val="26"/>
        </w:rPr>
        <w:t>County of Alameda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proofErr w:type="spellStart"/>
      <w:r w:rsidRPr="0038793A">
        <w:rPr>
          <w:rFonts w:ascii="Times New Roman" w:hAnsi="Times New Roman" w:cs="Times New Roman"/>
          <w:i/>
          <w:sz w:val="26"/>
          <w:szCs w:val="26"/>
        </w:rPr>
        <w:t>Carleson</w:t>
      </w:r>
      <w:proofErr w:type="spellEnd"/>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(1971) 5 Cal.3d 730, 736 (</w:t>
      </w:r>
      <w:proofErr w:type="spellStart"/>
      <w:r w:rsidRPr="0038793A">
        <w:rPr>
          <w:rFonts w:ascii="Times New Roman" w:hAnsi="Times New Roman" w:cs="Times New Roman"/>
          <w:i/>
          <w:sz w:val="26"/>
          <w:szCs w:val="26"/>
        </w:rPr>
        <w:t>Carleson</w:t>
      </w:r>
      <w:proofErr w:type="spellEnd"/>
      <w:r w:rsidRPr="0038793A">
        <w:rPr>
          <w:rFonts w:ascii="Times New Roman" w:hAnsi="Times New Roman" w:cs="Times New Roman"/>
          <w:sz w:val="26"/>
          <w:szCs w:val="26"/>
        </w:rPr>
        <w:t xml:space="preserve">).)  The issue we address is when does an unnamed class action member become a party of record with the right to appeal a class action settlement or judgment under section 902?  We address this issue in the context of Justice </w:t>
      </w:r>
      <w:proofErr w:type="spellStart"/>
      <w:r w:rsidRPr="0038793A">
        <w:rPr>
          <w:rFonts w:ascii="Times New Roman" w:hAnsi="Times New Roman" w:cs="Times New Roman"/>
          <w:sz w:val="26"/>
          <w:szCs w:val="26"/>
        </w:rPr>
        <w:t>Traynor’s</w:t>
      </w:r>
      <w:proofErr w:type="spellEnd"/>
      <w:r w:rsidRPr="0038793A">
        <w:rPr>
          <w:rFonts w:ascii="Times New Roman" w:hAnsi="Times New Roman" w:cs="Times New Roman"/>
          <w:sz w:val="26"/>
          <w:szCs w:val="26"/>
        </w:rPr>
        <w:t xml:space="preserve"> 75-year-old decision, which held that unnamed class members do not become parties of record under </w:t>
      </w:r>
      <w:r w:rsidRPr="0038793A">
        <w:rPr>
          <w:rFonts w:ascii="Times New Roman" w:hAnsi="Times New Roman" w:cs="Times New Roman"/>
          <w:sz w:val="26"/>
          <w:szCs w:val="26"/>
        </w:rPr>
        <w:lastRenderedPageBreak/>
        <w:t>section 902 with the right to appeal the class settlement, judgment, or attorney fees award unless they formally intervene in the class litigation before the action is final.  (</w:t>
      </w:r>
      <w:r w:rsidRPr="0038793A">
        <w:rPr>
          <w:rFonts w:ascii="Times New Roman" w:hAnsi="Times New Roman" w:cs="Times New Roman"/>
          <w:i/>
          <w:sz w:val="26"/>
          <w:szCs w:val="26"/>
        </w:rPr>
        <w:t>Eggert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Pac</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proofErr w:type="spellStart"/>
      <w:r w:rsidRPr="0038793A">
        <w:rPr>
          <w:rFonts w:ascii="Times New Roman" w:hAnsi="Times New Roman" w:cs="Times New Roman"/>
          <w:i/>
          <w:sz w:val="26"/>
          <w:szCs w:val="26"/>
        </w:rPr>
        <w:t>States</w:t>
      </w:r>
      <w:proofErr w:type="spellEnd"/>
      <w:r w:rsidRPr="0038793A">
        <w:rPr>
          <w:rFonts w:ascii="Times New Roman" w:hAnsi="Times New Roman" w:cs="Times New Roman"/>
          <w:i/>
          <w:sz w:val="26"/>
          <w:szCs w:val="26"/>
        </w:rPr>
        <w:t xml:space="preserve"> S</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&amp; L</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Co.</w:t>
      </w:r>
      <w:r w:rsidRPr="0038793A">
        <w:rPr>
          <w:rFonts w:ascii="Times New Roman" w:hAnsi="Times New Roman" w:cs="Times New Roman"/>
          <w:sz w:val="26"/>
          <w:szCs w:val="26"/>
        </w:rPr>
        <w:t xml:space="preserve"> (1942) 20 Cal.2d 199, 201 (</w:t>
      </w: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  We conclude the Court of Appeal correctly relied on </w:t>
      </w: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 to hold that unnamed class members may not appeal a class judgment, settlement, or attorney fees award unless they intervene in the action.  (</w:t>
      </w:r>
      <w:r w:rsidRPr="0038793A">
        <w:rPr>
          <w:rFonts w:ascii="Times New Roman" w:hAnsi="Times New Roman" w:cs="Times New Roman"/>
          <w:i/>
          <w:sz w:val="26"/>
          <w:szCs w:val="26"/>
        </w:rPr>
        <w:t>Ibid</w:t>
      </w:r>
      <w:r w:rsidRPr="0038793A">
        <w:rPr>
          <w:rFonts w:ascii="Times New Roman" w:hAnsi="Times New Roman" w:cs="Times New Roman"/>
          <w:sz w:val="26"/>
          <w:szCs w:val="26"/>
        </w:rPr>
        <w:t>.)</w:t>
      </w:r>
    </w:p>
    <w:p w:rsidR="000601B1" w:rsidRPr="0038793A" w:rsidRDefault="002E370B" w:rsidP="000601B1">
      <w:pPr>
        <w:keepNext/>
        <w:spacing w:line="480" w:lineRule="atLeast"/>
        <w:ind w:firstLine="720"/>
        <w:jc w:val="center"/>
        <w:rPr>
          <w:rFonts w:ascii="Times New Roman" w:hAnsi="Times New Roman" w:cs="Times New Roman"/>
          <w:b/>
          <w:caps/>
          <w:sz w:val="26"/>
          <w:szCs w:val="26"/>
        </w:rPr>
      </w:pPr>
      <w:r w:rsidRPr="0038793A">
        <w:rPr>
          <w:rFonts w:ascii="Times New Roman" w:hAnsi="Times New Roman" w:cs="Times New Roman"/>
          <w:b/>
          <w:caps/>
          <w:sz w:val="26"/>
          <w:szCs w:val="26"/>
        </w:rPr>
        <w:t>Factual and Procedural Background</w:t>
      </w:r>
    </w:p>
    <w:p w:rsidR="000601B1" w:rsidRPr="0038793A" w:rsidRDefault="002E370B" w:rsidP="000601B1">
      <w:pPr>
        <w:pStyle w:val="Text"/>
        <w:ind w:firstLine="720"/>
        <w:rPr>
          <w:rFonts w:cs="Times New Roman"/>
        </w:rPr>
      </w:pPr>
      <w:r w:rsidRPr="0038793A">
        <w:rPr>
          <w:rFonts w:cs="Times New Roman"/>
        </w:rPr>
        <w:t xml:space="preserve">In 2008, plaintiff Michael Hernandez filed a class action law suit against defendant Restoration Hardware, Inc. (RHI), alleging the company committed numerous violations of the Song-Beverly Credit Card Act (the Act) when it asked for and recorded ZIP codes from customers who used credit cards in making RHI purchases.  (Civ. Code, § 1747.08.)  After several years of litigation, the court certified the case as a class action and appointed plaintiffs Mike Hernandez and Amanda </w:t>
      </w:r>
      <w:proofErr w:type="spellStart"/>
      <w:r w:rsidRPr="0038793A">
        <w:rPr>
          <w:rFonts w:cs="Times New Roman"/>
        </w:rPr>
        <w:t>Georgino</w:t>
      </w:r>
      <w:proofErr w:type="spellEnd"/>
      <w:r w:rsidRPr="0038793A">
        <w:rPr>
          <w:rFonts w:cs="Times New Roman"/>
        </w:rPr>
        <w:t xml:space="preserve"> as class representatives (collectively Representatives).  The court also appointed the Patterson Law Group and </w:t>
      </w:r>
      <w:proofErr w:type="spellStart"/>
      <w:r w:rsidRPr="0038793A">
        <w:rPr>
          <w:rFonts w:cs="Times New Roman"/>
        </w:rPr>
        <w:t>Stonebarger</w:t>
      </w:r>
      <w:proofErr w:type="spellEnd"/>
      <w:r w:rsidRPr="0038793A">
        <w:rPr>
          <w:rFonts w:cs="Times New Roman"/>
        </w:rPr>
        <w:t xml:space="preserve"> Law as class counsel. </w:t>
      </w:r>
    </w:p>
    <w:p w:rsidR="009D78A2" w:rsidRDefault="002E370B" w:rsidP="000601B1">
      <w:pPr>
        <w:pStyle w:val="Text"/>
        <w:ind w:firstLine="720"/>
        <w:rPr>
          <w:rFonts w:cs="Times New Roman"/>
        </w:rPr>
      </w:pPr>
      <w:r w:rsidRPr="0038793A">
        <w:rPr>
          <w:rFonts w:cs="Times New Roman"/>
        </w:rPr>
        <w:t xml:space="preserve">In June 2013, a notice to potential class members advised them of the pending class action and presented them with the following options: (1) they could remain as part of the class and </w:t>
      </w:r>
      <w:proofErr w:type="gramStart"/>
      <w:r w:rsidRPr="0038793A">
        <w:rPr>
          <w:rFonts w:cs="Times New Roman"/>
        </w:rPr>
        <w:t>be bound</w:t>
      </w:r>
      <w:proofErr w:type="gramEnd"/>
      <w:r w:rsidRPr="0038793A">
        <w:rPr>
          <w:rFonts w:cs="Times New Roman"/>
        </w:rPr>
        <w:t xml:space="preserve"> by the judgment, or (2) they could exclude themselves from the class (opt out) and not be bound by the judgment.  (Cal. Rules of Court, rule 3.766.)  The notice also advised the potential class members that if they elected to remain in the class, they could appear in court through class counsel.  Francesca Muller (Muller), an unnamed class member and the appellant here, received the June 2013 class action notice, but did not join the class as a party or opt out at that time.  Instead, Muller’s attorney filed a notice of an appearance on her behalf. </w:t>
      </w:r>
    </w:p>
    <w:p w:rsidR="000601B1" w:rsidRPr="0038793A" w:rsidRDefault="002E370B" w:rsidP="000601B1">
      <w:pPr>
        <w:pStyle w:val="Text"/>
        <w:ind w:firstLine="720"/>
        <w:rPr>
          <w:rFonts w:cs="Times New Roman"/>
        </w:rPr>
      </w:pPr>
      <w:r w:rsidRPr="0038793A">
        <w:rPr>
          <w:rFonts w:cs="Times New Roman"/>
        </w:rPr>
        <w:lastRenderedPageBreak/>
        <w:t xml:space="preserve">Following a bench trial, the court found RHI liable for “as many as” 1,213,745 violations of the Act, set a penalty of $30 per violation, and rendered a judgment against RHI in the amount of $36,412,350.  The court ordered the parties to meet and confer on the claims process and procedures for distributing the award, “including a means for RHI to challenge the accuracy of any recorded ZIP codes.”    </w:t>
      </w:r>
    </w:p>
    <w:p w:rsidR="000601B1" w:rsidRPr="0038793A" w:rsidRDefault="002E370B" w:rsidP="000601B1">
      <w:pPr>
        <w:pStyle w:val="Text"/>
        <w:ind w:firstLine="720"/>
        <w:rPr>
          <w:rFonts w:cs="Times New Roman"/>
        </w:rPr>
      </w:pPr>
      <w:r w:rsidRPr="0038793A">
        <w:rPr>
          <w:rFonts w:cs="Times New Roman"/>
        </w:rPr>
        <w:t xml:space="preserve">The parties met and agreed that the judgment of $36,412,350 was based on the maximum number of violations at $30 per violation, and that sum would </w:t>
      </w:r>
      <w:proofErr w:type="gramStart"/>
      <w:r w:rsidRPr="0038793A">
        <w:rPr>
          <w:rFonts w:cs="Times New Roman"/>
        </w:rPr>
        <w:t>be treated</w:t>
      </w:r>
      <w:proofErr w:type="gramEnd"/>
      <w:r w:rsidRPr="0038793A">
        <w:rPr>
          <w:rFonts w:cs="Times New Roman"/>
        </w:rPr>
        <w:t xml:space="preserve"> as a common fund inclusive of any attorney fees, costs, and class representative enhancements.  RHI waived its right to appeal the judgment.  Muller never moved to intervene during the bench trial on the merits by filing a formal complaint in intervention under section 387. </w:t>
      </w:r>
    </w:p>
    <w:p w:rsidR="000601B1" w:rsidRPr="0038793A" w:rsidRDefault="002E370B" w:rsidP="000601B1">
      <w:pPr>
        <w:pStyle w:val="Text"/>
        <w:ind w:firstLine="720"/>
        <w:rPr>
          <w:rFonts w:cs="Times New Roman"/>
        </w:rPr>
      </w:pPr>
      <w:r w:rsidRPr="0038793A">
        <w:rPr>
          <w:rFonts w:cs="Times New Roman"/>
        </w:rPr>
        <w:t xml:space="preserve">After conducting negotiations with RHI, Representatives then moved for attorney fees “equivalent to 25 percent of the total judgment recovered for the class.”  The trial court requested that Representatives submit a supplemental motion for attorney fees with a “lodestar calculation” as a cross-check on the fee request.  Representatives calculated the fee amount using a lodestar calculation and multiplier that showed class counsel spent over 3,500 hours on the litigation and incurred advanced costs and fees of nearly $2.7 million.  Representatives also submitted reasons for supporting “application of a ‘multiplier’ to the lodestar calculation.”  RHI agreed not to oppose the requested fee award if class counsel sought no more than 25 percent of the total recovery.  (See </w:t>
      </w:r>
      <w:r w:rsidRPr="0038793A">
        <w:rPr>
          <w:rFonts w:cs="Times New Roman"/>
          <w:i/>
        </w:rPr>
        <w:t>Ruiz v</w:t>
      </w:r>
      <w:r w:rsidRPr="0038793A">
        <w:rPr>
          <w:rFonts w:cs="Times New Roman"/>
        </w:rPr>
        <w:t>.</w:t>
      </w:r>
      <w:r w:rsidRPr="0038793A">
        <w:rPr>
          <w:rFonts w:cs="Times New Roman"/>
          <w:i/>
        </w:rPr>
        <w:t xml:space="preserve"> California State Automobile Assn</w:t>
      </w:r>
      <w:r w:rsidRPr="0038793A">
        <w:rPr>
          <w:rFonts w:cs="Times New Roman"/>
        </w:rPr>
        <w:t>.</w:t>
      </w:r>
      <w:r w:rsidRPr="0038793A">
        <w:rPr>
          <w:rFonts w:cs="Times New Roman"/>
          <w:i/>
        </w:rPr>
        <w:t xml:space="preserve"> Inter-Insurance Bureau </w:t>
      </w:r>
      <w:r w:rsidRPr="0038793A">
        <w:rPr>
          <w:rFonts w:cs="Times New Roman"/>
        </w:rPr>
        <w:t>(2013) 222 Cal.App.4th 596, 598 [allowing counsel for plaintiff class to seek attorney fees award with defendant’s assurance not to oppose fee application if amount is less than or equal to specified dollar amount].)</w:t>
      </w:r>
    </w:p>
    <w:p w:rsidR="000601B1" w:rsidRPr="0038793A" w:rsidRDefault="002E370B" w:rsidP="000601B1">
      <w:pPr>
        <w:pStyle w:val="Text"/>
        <w:ind w:firstLine="720"/>
        <w:rPr>
          <w:rFonts w:cs="Times New Roman"/>
        </w:rPr>
      </w:pPr>
      <w:r w:rsidRPr="0038793A">
        <w:rPr>
          <w:rFonts w:cs="Times New Roman"/>
        </w:rPr>
        <w:lastRenderedPageBreak/>
        <w:t xml:space="preserve">Muller </w:t>
      </w:r>
      <w:proofErr w:type="gramStart"/>
      <w:r w:rsidRPr="0038793A">
        <w:rPr>
          <w:rFonts w:cs="Times New Roman"/>
        </w:rPr>
        <w:t>was served</w:t>
      </w:r>
      <w:proofErr w:type="gramEnd"/>
      <w:r w:rsidRPr="0038793A">
        <w:rPr>
          <w:rFonts w:cs="Times New Roman"/>
        </w:rPr>
        <w:t xml:space="preserve"> with the attorney fees motion and a copy of class counsel’s percentage of the common fund calculation, but did not object to the proposed total fee award.  Instead, on August 29, 2014, she filed a “Request for Clarification” and asked to appear telephonically at the settlement fairness hearing on the fee proposal.  The request stated that “[t]he parties’ pleadings do not indicate that class members were notified of the settlement of the attorney fees issue and of the hearing on September 5, 2014, to approve [c]</w:t>
      </w:r>
      <w:proofErr w:type="gramStart"/>
      <w:r w:rsidRPr="0038793A">
        <w:rPr>
          <w:rFonts w:cs="Times New Roman"/>
        </w:rPr>
        <w:t>lass</w:t>
      </w:r>
      <w:proofErr w:type="gramEnd"/>
      <w:r w:rsidRPr="0038793A">
        <w:rPr>
          <w:rFonts w:cs="Times New Roman"/>
        </w:rPr>
        <w:t xml:space="preserve"> [c]</w:t>
      </w:r>
      <w:proofErr w:type="spellStart"/>
      <w:r w:rsidRPr="0038793A">
        <w:rPr>
          <w:rFonts w:cs="Times New Roman"/>
        </w:rPr>
        <w:t>ounsel’s</w:t>
      </w:r>
      <w:proofErr w:type="spellEnd"/>
      <w:r w:rsidRPr="0038793A">
        <w:rPr>
          <w:rFonts w:cs="Times New Roman"/>
        </w:rPr>
        <w:t xml:space="preserve"> fee request.”  The trial court permitted Muller to file her request.  </w:t>
      </w:r>
    </w:p>
    <w:p w:rsidR="000601B1" w:rsidRPr="0038793A" w:rsidRDefault="002E370B" w:rsidP="000601B1">
      <w:pPr>
        <w:pStyle w:val="Text"/>
        <w:ind w:firstLine="720"/>
        <w:rPr>
          <w:rFonts w:cs="Times New Roman"/>
        </w:rPr>
      </w:pPr>
      <w:r w:rsidRPr="0038793A">
        <w:rPr>
          <w:rFonts w:cs="Times New Roman"/>
        </w:rPr>
        <w:t xml:space="preserve">Before its scheduled fairness hearing on the proposed class attorney fees settlement, the court issued its tentative ruling on the fee request, determining that (1) California law permits a percentage award in common fund cases, (2) courts use a 25 percent fee figure as a “starting benchmark,” and (3) a fee at or above the benchmark was appropriate because of the risks counsel incurred when they brought the action and the result they obtained in the litigation.  All parties and Muller’s attorney received a copy of the tentative ruling by e-mail.  </w:t>
      </w:r>
    </w:p>
    <w:p w:rsidR="000601B1" w:rsidRPr="0038793A" w:rsidRDefault="002E370B" w:rsidP="000601B1">
      <w:pPr>
        <w:pStyle w:val="Text"/>
        <w:ind w:firstLine="720"/>
        <w:rPr>
          <w:rFonts w:cs="Times New Roman"/>
        </w:rPr>
      </w:pPr>
      <w:r w:rsidRPr="0038793A">
        <w:rPr>
          <w:rFonts w:cs="Times New Roman"/>
        </w:rPr>
        <w:t>On September 5, 2014, the court held a fairness hearing on Representatives’</w:t>
      </w:r>
      <w:r w:rsidRPr="0038793A">
        <w:rPr>
          <w:rFonts w:cs="Times New Roman"/>
          <w:i/>
        </w:rPr>
        <w:t xml:space="preserve"> </w:t>
      </w:r>
      <w:r w:rsidRPr="0038793A">
        <w:rPr>
          <w:rFonts w:cs="Times New Roman"/>
        </w:rPr>
        <w:t xml:space="preserve">attorney fees application.  Muller, who appeared telephonically through her counsel, objected to the court’s consideration of the proposed fee award.  (See Cal. Rules of Court, rule 3.769(f) [allows unnamed class members to appear and object to settlement but is silent regarding any right to appeal denial of objections].)  Her principal claim was that the fee award violated class action procedure because class members </w:t>
      </w:r>
      <w:proofErr w:type="gramStart"/>
      <w:r w:rsidRPr="0038793A">
        <w:rPr>
          <w:rFonts w:cs="Times New Roman"/>
        </w:rPr>
        <w:t>were not given</w:t>
      </w:r>
      <w:proofErr w:type="gramEnd"/>
      <w:r w:rsidRPr="0038793A">
        <w:rPr>
          <w:rFonts w:cs="Times New Roman"/>
        </w:rPr>
        <w:t xml:space="preserve"> notice of their right to appear and comment on the proposed attorney fees settlement following the bench trial on the merits.  The court noted, and counsel acknowledged, that there was no authority to support the claim that the court should have given the class additional notice (besides the initial class certification notice) of the subsequent settlement fairness hearing on the proposed attorney fees award.  Muller also claimed that the </w:t>
      </w:r>
      <w:r w:rsidRPr="0038793A">
        <w:rPr>
          <w:rFonts w:cs="Times New Roman"/>
        </w:rPr>
        <w:lastRenderedPageBreak/>
        <w:t xml:space="preserve">court </w:t>
      </w:r>
      <w:proofErr w:type="gramStart"/>
      <w:r w:rsidRPr="0038793A">
        <w:rPr>
          <w:rFonts w:cs="Times New Roman"/>
        </w:rPr>
        <w:t>was required</w:t>
      </w:r>
      <w:proofErr w:type="gramEnd"/>
      <w:r w:rsidRPr="0038793A">
        <w:rPr>
          <w:rFonts w:cs="Times New Roman"/>
        </w:rPr>
        <w:t xml:space="preserve"> to calculate the fee award using the “lodestar multiplier approach,” rather than a “percentage of the fund approach,”</w:t>
      </w:r>
      <w:r w:rsidRPr="0038793A">
        <w:rPr>
          <w:rStyle w:val="FootnoteReference"/>
          <w:rFonts w:cs="Times New Roman"/>
          <w:sz w:val="26"/>
        </w:rPr>
        <w:t xml:space="preserve"> </w:t>
      </w:r>
      <w:r w:rsidRPr="0038793A">
        <w:rPr>
          <w:rFonts w:cs="Times New Roman"/>
        </w:rPr>
        <w:t xml:space="preserve">but did not argue the court’s tentative ruling rendered the fee award excessive.  </w:t>
      </w:r>
    </w:p>
    <w:p w:rsidR="000601B1" w:rsidRPr="0038793A" w:rsidRDefault="002E370B" w:rsidP="000601B1">
      <w:pPr>
        <w:pStyle w:val="Text"/>
        <w:ind w:firstLine="720"/>
        <w:rPr>
          <w:rFonts w:cs="Times New Roman"/>
        </w:rPr>
      </w:pPr>
      <w:r w:rsidRPr="0038793A">
        <w:rPr>
          <w:rFonts w:cs="Times New Roman"/>
        </w:rPr>
        <w:t xml:space="preserve">After the hearing on the settlement of the proposed fee award, the court issued a “Second Amended Minute Order” denying Muller’s request for clarification and approving the fee and costs requests.  On September 29, the court filed its final judgment that tracked the parties’ claims process and granted class counsel’s requested attorney fees award.  Class counsel then distributed a notice of the judgment to class members, including instructions for the claims process. </w:t>
      </w:r>
    </w:p>
    <w:p w:rsidR="000139B9" w:rsidRPr="0038793A" w:rsidRDefault="002E370B" w:rsidP="000139B9">
      <w:pPr>
        <w:pStyle w:val="FootnoteText"/>
        <w:spacing w:line="480" w:lineRule="atLeast"/>
        <w:ind w:firstLine="720"/>
        <w:rPr>
          <w:rFonts w:cs="Times New Roman"/>
        </w:rPr>
      </w:pPr>
      <w:r w:rsidRPr="0038793A">
        <w:rPr>
          <w:rFonts w:cs="Times New Roman"/>
        </w:rPr>
        <w:t xml:space="preserve">Muller did not file a section 663 motion to vacate the judgment; instead she filed a notice of appeal.  She limited her appeal to the attorney fees award, renewing her claim that in failing to provide class members with notice of the fee negotiations and proposed settlement with RHI, Representatives and class counsel breached their fiduciary duties to the class.  Muller also reiterated her claim that the court should have used the lodestar multiplier approach to calculate the fee award.  </w:t>
      </w:r>
    </w:p>
    <w:p w:rsidR="000601B1" w:rsidRPr="0038793A" w:rsidRDefault="002E370B" w:rsidP="000601B1">
      <w:pPr>
        <w:pStyle w:val="Text"/>
        <w:ind w:firstLine="720"/>
        <w:rPr>
          <w:rFonts w:cs="Times New Roman"/>
        </w:rPr>
      </w:pPr>
      <w:r w:rsidRPr="0038793A">
        <w:rPr>
          <w:rFonts w:cs="Times New Roman"/>
        </w:rPr>
        <w:t xml:space="preserve">Representatives challenged Muller’s claims on their merits.  They also challenged Muller’s right to file her appeal because she was neither a “party” nor “aggrieved” by the trial court’s alleged erroneous judgment as required under section 902 and our decision in </w:t>
      </w:r>
      <w:r w:rsidRPr="0038793A">
        <w:rPr>
          <w:rFonts w:cs="Times New Roman"/>
          <w:i/>
        </w:rPr>
        <w:t>Eggert</w:t>
      </w:r>
      <w:r w:rsidRPr="0038793A">
        <w:rPr>
          <w:rFonts w:cs="Times New Roman"/>
        </w:rPr>
        <w:t>,</w:t>
      </w:r>
      <w:r w:rsidRPr="0038793A">
        <w:rPr>
          <w:rFonts w:cs="Times New Roman"/>
          <w:i/>
        </w:rPr>
        <w:t xml:space="preserve"> supra</w:t>
      </w:r>
      <w:r w:rsidRPr="0038793A">
        <w:rPr>
          <w:rFonts w:cs="Times New Roman"/>
        </w:rPr>
        <w:t>,</w:t>
      </w:r>
      <w:r w:rsidRPr="0038793A">
        <w:rPr>
          <w:rFonts w:cs="Times New Roman"/>
          <w:i/>
        </w:rPr>
        <w:t xml:space="preserve"> </w:t>
      </w:r>
      <w:r w:rsidRPr="0038793A">
        <w:rPr>
          <w:rFonts w:cs="Times New Roman"/>
        </w:rPr>
        <w:t xml:space="preserve">20 Cal.2d at page 201.  The court dismissed Muller’s appeal for lack of standing, concluding it </w:t>
      </w:r>
      <w:proofErr w:type="gramStart"/>
      <w:r w:rsidRPr="0038793A">
        <w:rPr>
          <w:rFonts w:cs="Times New Roman"/>
        </w:rPr>
        <w:t>was bound</w:t>
      </w:r>
      <w:proofErr w:type="gramEnd"/>
      <w:r w:rsidRPr="0038793A">
        <w:rPr>
          <w:rFonts w:cs="Times New Roman"/>
        </w:rPr>
        <w:t xml:space="preserve"> to follow </w:t>
      </w:r>
      <w:r w:rsidRPr="0038793A">
        <w:rPr>
          <w:rFonts w:cs="Times New Roman"/>
          <w:i/>
        </w:rPr>
        <w:t>Eggert</w:t>
      </w:r>
      <w:r w:rsidRPr="0038793A">
        <w:rPr>
          <w:rFonts w:cs="Times New Roman"/>
        </w:rPr>
        <w:t xml:space="preserve"> under </w:t>
      </w:r>
      <w:r w:rsidRPr="0038793A">
        <w:rPr>
          <w:rFonts w:cs="Times New Roman"/>
          <w:i/>
        </w:rPr>
        <w:t>Auto Equity Sales</w:t>
      </w:r>
      <w:r w:rsidRPr="0038793A">
        <w:rPr>
          <w:rFonts w:cs="Times New Roman"/>
        </w:rPr>
        <w:t>,</w:t>
      </w:r>
      <w:r w:rsidRPr="0038793A">
        <w:rPr>
          <w:rFonts w:cs="Times New Roman"/>
          <w:i/>
        </w:rPr>
        <w:t xml:space="preserve"> Inc</w:t>
      </w:r>
      <w:r w:rsidRPr="0038793A">
        <w:rPr>
          <w:rFonts w:cs="Times New Roman"/>
        </w:rPr>
        <w:t>.</w:t>
      </w:r>
      <w:r w:rsidRPr="0038793A">
        <w:rPr>
          <w:rFonts w:cs="Times New Roman"/>
          <w:i/>
        </w:rPr>
        <w:t xml:space="preserve"> v</w:t>
      </w:r>
      <w:r w:rsidRPr="0038793A">
        <w:rPr>
          <w:rFonts w:cs="Times New Roman"/>
        </w:rPr>
        <w:t>.</w:t>
      </w:r>
      <w:r w:rsidRPr="0038793A">
        <w:rPr>
          <w:rFonts w:cs="Times New Roman"/>
          <w:i/>
        </w:rPr>
        <w:t xml:space="preserve"> Superior Court</w:t>
      </w:r>
      <w:r w:rsidRPr="0038793A">
        <w:rPr>
          <w:rFonts w:cs="Times New Roman"/>
        </w:rPr>
        <w:t xml:space="preserve"> (1962) 57 Cal.2d 450, 455 (decisions of state supreme court are binding on all other state courts; courts of inferior jurisdiction may not overrule higher court decisions).  The Court of Appeal also concluded that Muller cited no persuasive authority to support her argument that changes to </w:t>
      </w:r>
      <w:r w:rsidRPr="0038793A">
        <w:rPr>
          <w:rFonts w:cs="Times New Roman"/>
          <w:i/>
        </w:rPr>
        <w:t>federal</w:t>
      </w:r>
      <w:r w:rsidRPr="0038793A">
        <w:rPr>
          <w:rFonts w:cs="Times New Roman"/>
        </w:rPr>
        <w:t xml:space="preserve"> procedural rules for managing class actions in </w:t>
      </w:r>
      <w:r w:rsidRPr="0038793A">
        <w:rPr>
          <w:rFonts w:cs="Times New Roman"/>
        </w:rPr>
        <w:lastRenderedPageBreak/>
        <w:t xml:space="preserve">federal trials undermine the analysis of </w:t>
      </w:r>
      <w:r w:rsidRPr="0038793A">
        <w:rPr>
          <w:rFonts w:cs="Times New Roman"/>
          <w:i/>
        </w:rPr>
        <w:t>state</w:t>
      </w:r>
      <w:r w:rsidRPr="0038793A">
        <w:rPr>
          <w:rFonts w:cs="Times New Roman"/>
        </w:rPr>
        <w:t xml:space="preserve"> statutes limiting who may appeal.   We granted Muller’s petition for review on the right to appeal issue only. </w:t>
      </w:r>
    </w:p>
    <w:p w:rsidR="000601B1" w:rsidRPr="0038793A" w:rsidRDefault="002E370B" w:rsidP="008B6F3B">
      <w:pPr>
        <w:pStyle w:val="Text"/>
        <w:ind w:firstLine="720"/>
        <w:rPr>
          <w:rFonts w:cs="Times New Roman"/>
          <w:b/>
          <w:caps/>
        </w:rPr>
      </w:pPr>
      <w:r w:rsidRPr="0038793A">
        <w:rPr>
          <w:rFonts w:cs="Times New Roman"/>
        </w:rPr>
        <w:tab/>
      </w:r>
      <w:r w:rsidRPr="0038793A">
        <w:rPr>
          <w:rFonts w:cs="Times New Roman"/>
        </w:rPr>
        <w:tab/>
      </w:r>
      <w:r w:rsidRPr="0038793A">
        <w:rPr>
          <w:rFonts w:cs="Times New Roman"/>
        </w:rPr>
        <w:tab/>
      </w:r>
      <w:r w:rsidRPr="0038793A">
        <w:rPr>
          <w:rFonts w:cs="Times New Roman"/>
          <w:b/>
          <w:caps/>
        </w:rPr>
        <w:t>Discussion</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The class action </w:t>
      </w:r>
      <w:proofErr w:type="gramStart"/>
      <w:r w:rsidRPr="0038793A">
        <w:rPr>
          <w:rFonts w:ascii="Times New Roman" w:hAnsi="Times New Roman" w:cs="Times New Roman"/>
          <w:sz w:val="26"/>
          <w:szCs w:val="26"/>
        </w:rPr>
        <w:t>is codified</w:t>
      </w:r>
      <w:proofErr w:type="gramEnd"/>
      <w:r w:rsidRPr="0038793A">
        <w:rPr>
          <w:rFonts w:ascii="Times New Roman" w:hAnsi="Times New Roman" w:cs="Times New Roman"/>
          <w:sz w:val="26"/>
          <w:szCs w:val="26"/>
        </w:rPr>
        <w:t xml:space="preserve"> in section 382, and its procedural rules for class certification, notice, settlement, and judgment appear in our California Rules of Court, rules 3.760-3.771.  The action is a product of the court’s equitable jurisdiction that rests on considerations of necessity, convenience, and the belief that in large cases, the class action will prevent a failure of justice.  (</w:t>
      </w:r>
      <w:r w:rsidRPr="0038793A">
        <w:rPr>
          <w:rFonts w:ascii="Times New Roman" w:hAnsi="Times New Roman" w:cs="Times New Roman"/>
          <w:i/>
          <w:sz w:val="26"/>
          <w:szCs w:val="26"/>
        </w:rPr>
        <w:t>City of San Jose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Superior Court </w:t>
      </w:r>
      <w:r w:rsidRPr="0038793A">
        <w:rPr>
          <w:rFonts w:ascii="Times New Roman" w:hAnsi="Times New Roman" w:cs="Times New Roman"/>
          <w:sz w:val="26"/>
          <w:szCs w:val="26"/>
        </w:rPr>
        <w:t>(1974) 12 Cal.3d 447, 458.)  Case law imposes fiduciary duties on the trial courts, class counsel, and class representatives, who must ensure the action proceeds in the class members’ best interest.  The class action structure relieves the unnamed class members of the burden of participating in the action.  (</w:t>
      </w:r>
      <w:proofErr w:type="spellStart"/>
      <w:r w:rsidRPr="0038793A">
        <w:rPr>
          <w:rFonts w:ascii="Times New Roman" w:hAnsi="Times New Roman" w:cs="Times New Roman"/>
          <w:i/>
          <w:sz w:val="26"/>
          <w:szCs w:val="26"/>
        </w:rPr>
        <w:t>Earley</w:t>
      </w:r>
      <w:proofErr w:type="spellEnd"/>
      <w:r w:rsidRPr="0038793A">
        <w:rPr>
          <w:rFonts w:ascii="Times New Roman" w:hAnsi="Times New Roman" w:cs="Times New Roman"/>
          <w:i/>
          <w:sz w:val="26"/>
          <w:szCs w:val="26"/>
        </w:rPr>
        <w:t xml:space="preserve">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Superior Court </w:t>
      </w:r>
      <w:r w:rsidRPr="0038793A">
        <w:rPr>
          <w:rFonts w:ascii="Times New Roman" w:hAnsi="Times New Roman" w:cs="Times New Roman"/>
          <w:sz w:val="26"/>
          <w:szCs w:val="26"/>
        </w:rPr>
        <w:t>(2000) 79 Cal.App.4th 1420, 1434.)</w:t>
      </w:r>
      <w:r w:rsidRPr="0038793A">
        <w:rPr>
          <w:rFonts w:ascii="Times New Roman" w:hAnsi="Times New Roman" w:cs="Times New Roman"/>
          <w:color w:val="FF0000"/>
          <w:sz w:val="26"/>
          <w:szCs w:val="26"/>
        </w:rPr>
        <w:t xml:space="preserve">  </w:t>
      </w:r>
      <w:r w:rsidRPr="0038793A">
        <w:rPr>
          <w:rFonts w:ascii="Times New Roman" w:hAnsi="Times New Roman" w:cs="Times New Roman"/>
          <w:sz w:val="26"/>
          <w:szCs w:val="26"/>
        </w:rPr>
        <w:t xml:space="preserve">Unnamed parties may </w:t>
      </w:r>
      <w:proofErr w:type="gramStart"/>
      <w:r w:rsidRPr="0038793A">
        <w:rPr>
          <w:rFonts w:ascii="Times New Roman" w:hAnsi="Times New Roman" w:cs="Times New Roman"/>
          <w:sz w:val="26"/>
          <w:szCs w:val="26"/>
        </w:rPr>
        <w:t>be considered</w:t>
      </w:r>
      <w:proofErr w:type="gramEnd"/>
      <w:r w:rsidRPr="0038793A">
        <w:rPr>
          <w:rFonts w:ascii="Times New Roman" w:hAnsi="Times New Roman" w:cs="Times New Roman"/>
          <w:sz w:val="26"/>
          <w:szCs w:val="26"/>
        </w:rPr>
        <w:t xml:space="preserve"> “parties” for the limited purpose of discovery, but those same unnamed parties are not considered “parties” to the litigation.  (</w:t>
      </w:r>
      <w:r w:rsidRPr="0038793A">
        <w:rPr>
          <w:rFonts w:ascii="Times New Roman" w:hAnsi="Times New Roman" w:cs="Times New Roman"/>
          <w:i/>
          <w:sz w:val="26"/>
          <w:szCs w:val="26"/>
        </w:rPr>
        <w:t>National Solar Equipment Owners’ Assn</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Grumman Corp</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(1991) 235 Cal.App.3d 1273, 1282 [unnamed class members are not the same as named parties].)</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California Rules of Court, rule 3.769 requires class representatives to notify class members of a pending settlement on the merits and provide them with the opportunity to object at the final settlement fairness hearing.  Rule 3.771(b) requires that notice of a pending judgment be provided to class members, and rule 3.769(f) provides that “notice of the final approval hearing must be given to the class members in the manner specified by the court.  The notice must contain an explanation of the proposed settlement and procedures for class members to follow in filing written objections to it and in arranging to appear at the settlement hearing and state any objections to the proposed settlement.”  The rules also state </w:t>
      </w:r>
      <w:r w:rsidRPr="0038793A">
        <w:rPr>
          <w:rFonts w:ascii="Times New Roman" w:hAnsi="Times New Roman" w:cs="Times New Roman"/>
          <w:sz w:val="26"/>
          <w:szCs w:val="26"/>
        </w:rPr>
        <w:lastRenderedPageBreak/>
        <w:t>that “[b]</w:t>
      </w:r>
      <w:proofErr w:type="spellStart"/>
      <w:r w:rsidRPr="0038793A">
        <w:rPr>
          <w:rFonts w:ascii="Times New Roman" w:hAnsi="Times New Roman" w:cs="Times New Roman"/>
          <w:sz w:val="26"/>
          <w:szCs w:val="26"/>
        </w:rPr>
        <w:t>efore</w:t>
      </w:r>
      <w:proofErr w:type="spellEnd"/>
      <w:r w:rsidRPr="0038793A">
        <w:rPr>
          <w:rFonts w:ascii="Times New Roman" w:hAnsi="Times New Roman" w:cs="Times New Roman"/>
          <w:sz w:val="26"/>
          <w:szCs w:val="26"/>
        </w:rPr>
        <w:t xml:space="preserve"> final approval, the court must conduct an inquiry into the fairness of the proposed settlement.”  (Cal. Rules of Court, rule 3.769(g).)  </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The right to appeal judgments in state civil actions, including class actions, is entirely statutory, so long as the Legislature does not </w:t>
      </w:r>
      <w:proofErr w:type="gramStart"/>
      <w:r w:rsidRPr="0038793A">
        <w:rPr>
          <w:rFonts w:ascii="Times New Roman" w:hAnsi="Times New Roman" w:cs="Times New Roman"/>
          <w:sz w:val="26"/>
          <w:szCs w:val="26"/>
        </w:rPr>
        <w:t>“ ‘</w:t>
      </w:r>
      <w:proofErr w:type="gramEnd"/>
      <w:r w:rsidRPr="0038793A">
        <w:rPr>
          <w:rFonts w:ascii="Times New Roman" w:hAnsi="Times New Roman" w:cs="Times New Roman"/>
          <w:sz w:val="26"/>
          <w:szCs w:val="26"/>
        </w:rPr>
        <w:t> “substantially impair the constitutional powers of the courts, or practically defeat their exercise.” ’ ”  (</w:t>
      </w:r>
      <w:r w:rsidRPr="0038793A">
        <w:rPr>
          <w:rFonts w:ascii="Times New Roman" w:hAnsi="Times New Roman" w:cs="Times New Roman"/>
          <w:i/>
          <w:sz w:val="26"/>
          <w:szCs w:val="26"/>
        </w:rPr>
        <w:t>Powers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City of Richmond</w:t>
      </w:r>
      <w:r w:rsidRPr="0038793A">
        <w:rPr>
          <w:rFonts w:ascii="Times New Roman" w:hAnsi="Times New Roman" w:cs="Times New Roman"/>
          <w:sz w:val="26"/>
          <w:szCs w:val="26"/>
        </w:rPr>
        <w:t xml:space="preserve"> (1995) 10 Cal.4th 85, 110.)  Unnamed class members may become parties of record to class actions in one of two generally acceptable ways.  First, they may file a timely complaint in intervention before final judgment that sets forth the grounds upon which the intervention rests.  (§ 387.)  If parties seek permissive intervention under section 387, subdivision (a), they must show they have an interest in the litigation.  For intervention as a matter of right under section 387, subdivision (b), intervenors must show they are class members whose interests </w:t>
      </w:r>
      <w:proofErr w:type="gramStart"/>
      <w:r w:rsidRPr="0038793A">
        <w:rPr>
          <w:rFonts w:ascii="Times New Roman" w:hAnsi="Times New Roman" w:cs="Times New Roman"/>
          <w:sz w:val="26"/>
          <w:szCs w:val="26"/>
        </w:rPr>
        <w:t>are not adequately represented</w:t>
      </w:r>
      <w:proofErr w:type="gramEnd"/>
      <w:r w:rsidRPr="0038793A">
        <w:rPr>
          <w:rFonts w:ascii="Times New Roman" w:hAnsi="Times New Roman" w:cs="Times New Roman"/>
          <w:sz w:val="26"/>
          <w:szCs w:val="26"/>
        </w:rPr>
        <w:t xml:space="preserve"> by the existing parties.  The complaint in intervention is “filed by leave of the court and served upon the parties to the action or proceeding who have not appeared in the same manner as upon the commencement of an original action, and upon the attorneys of the parties who have appeared, or upon the party if he has appeared without an </w:t>
      </w:r>
      <w:proofErr w:type="gramStart"/>
      <w:r w:rsidRPr="0038793A">
        <w:rPr>
          <w:rFonts w:ascii="Times New Roman" w:hAnsi="Times New Roman" w:cs="Times New Roman"/>
          <w:sz w:val="26"/>
          <w:szCs w:val="26"/>
        </w:rPr>
        <w:t>attorney .</w:t>
      </w:r>
      <w:proofErr w:type="gramEnd"/>
      <w:r w:rsidRPr="0038793A">
        <w:rPr>
          <w:rFonts w:ascii="Times New Roman" w:hAnsi="Times New Roman" w:cs="Times New Roman"/>
          <w:sz w:val="26"/>
          <w:szCs w:val="26"/>
        </w:rPr>
        <w:t> . . .”  (§ 387, subd</w:t>
      </w:r>
      <w:proofErr w:type="gramStart"/>
      <w:r w:rsidRPr="0038793A">
        <w:rPr>
          <w:rFonts w:ascii="Times New Roman" w:hAnsi="Times New Roman" w:cs="Times New Roman"/>
          <w:sz w:val="26"/>
          <w:szCs w:val="26"/>
        </w:rPr>
        <w:t xml:space="preserve">. </w:t>
      </w:r>
      <w:proofErr w:type="gramEnd"/>
      <w:r w:rsidRPr="0038793A">
        <w:rPr>
          <w:rFonts w:ascii="Times New Roman" w:hAnsi="Times New Roman" w:cs="Times New Roman"/>
          <w:sz w:val="26"/>
          <w:szCs w:val="26"/>
        </w:rPr>
        <w:t xml:space="preserve">(a); see </w:t>
      </w:r>
      <w:r w:rsidRPr="0038793A">
        <w:rPr>
          <w:rFonts w:ascii="Times New Roman" w:hAnsi="Times New Roman" w:cs="Times New Roman"/>
          <w:i/>
          <w:sz w:val="26"/>
          <w:szCs w:val="26"/>
        </w:rPr>
        <w:t>Klinghoffer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proofErr w:type="spellStart"/>
      <w:r w:rsidRPr="0038793A">
        <w:rPr>
          <w:rFonts w:ascii="Times New Roman" w:hAnsi="Times New Roman" w:cs="Times New Roman"/>
          <w:i/>
          <w:sz w:val="26"/>
          <w:szCs w:val="26"/>
        </w:rPr>
        <w:t>Barasch</w:t>
      </w:r>
      <w:proofErr w:type="spellEnd"/>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(1970) 4 Cal.App.3d 258, 261.)  The fact that section 387 allows for a “timely” application means that intervention after a judgment is possible.  (</w:t>
      </w:r>
      <w:proofErr w:type="spellStart"/>
      <w:r w:rsidRPr="0038793A">
        <w:rPr>
          <w:rFonts w:ascii="Times New Roman" w:hAnsi="Times New Roman" w:cs="Times New Roman"/>
          <w:i/>
          <w:sz w:val="26"/>
          <w:szCs w:val="26"/>
        </w:rPr>
        <w:t>Mallick</w:t>
      </w:r>
      <w:proofErr w:type="spellEnd"/>
      <w:r w:rsidRPr="0038793A">
        <w:rPr>
          <w:rFonts w:ascii="Times New Roman" w:hAnsi="Times New Roman" w:cs="Times New Roman"/>
          <w:i/>
          <w:sz w:val="26"/>
          <w:szCs w:val="26"/>
        </w:rPr>
        <w:t xml:space="preserve">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Superior Court </w:t>
      </w:r>
      <w:r w:rsidRPr="0038793A">
        <w:rPr>
          <w:rFonts w:ascii="Times New Roman" w:hAnsi="Times New Roman" w:cs="Times New Roman"/>
          <w:sz w:val="26"/>
          <w:szCs w:val="26"/>
        </w:rPr>
        <w:t xml:space="preserve">(1979) 89 Cal.App.3d 434, 437 [intervention not barred by fact that judgment </w:t>
      </w:r>
      <w:proofErr w:type="gramStart"/>
      <w:r w:rsidRPr="0038793A">
        <w:rPr>
          <w:rFonts w:ascii="Times New Roman" w:hAnsi="Times New Roman" w:cs="Times New Roman"/>
          <w:sz w:val="26"/>
          <w:szCs w:val="26"/>
        </w:rPr>
        <w:t>was rendered</w:t>
      </w:r>
      <w:proofErr w:type="gramEnd"/>
      <w:r w:rsidRPr="0038793A">
        <w:rPr>
          <w:rFonts w:ascii="Times New Roman" w:hAnsi="Times New Roman" w:cs="Times New Roman"/>
          <w:sz w:val="26"/>
          <w:szCs w:val="26"/>
        </w:rPr>
        <w:t xml:space="preserve">]; see 4 </w:t>
      </w:r>
      <w:proofErr w:type="spellStart"/>
      <w:r w:rsidRPr="0038793A">
        <w:rPr>
          <w:rFonts w:ascii="Times New Roman" w:hAnsi="Times New Roman" w:cs="Times New Roman"/>
          <w:sz w:val="26"/>
          <w:szCs w:val="26"/>
        </w:rPr>
        <w:t>Witkin</w:t>
      </w:r>
      <w:proofErr w:type="spellEnd"/>
      <w:r w:rsidRPr="0038793A">
        <w:rPr>
          <w:rFonts w:ascii="Times New Roman" w:hAnsi="Times New Roman" w:cs="Times New Roman"/>
          <w:sz w:val="26"/>
          <w:szCs w:val="26"/>
        </w:rPr>
        <w:t>, Cal. Procedure</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(5th ed. 2008) Pleading, § 224, pp. 298-299.)    </w:t>
      </w:r>
      <w:r w:rsidRPr="0038793A">
        <w:rPr>
          <w:rFonts w:ascii="Times New Roman" w:hAnsi="Times New Roman" w:cs="Times New Roman"/>
          <w:i/>
          <w:sz w:val="26"/>
          <w:szCs w:val="26"/>
        </w:rPr>
        <w:t xml:space="preserve"> </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Second, although not a method of intervention, an unnamed party to the action may also become a named party by filing an appealable motion to set aside and vacate the class judgment under section 663.  (</w:t>
      </w:r>
      <w:r w:rsidRPr="0038793A">
        <w:rPr>
          <w:rFonts w:ascii="Times New Roman" w:hAnsi="Times New Roman" w:cs="Times New Roman"/>
          <w:i/>
          <w:sz w:val="26"/>
          <w:szCs w:val="26"/>
        </w:rPr>
        <w:t>Eggert</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20 Cal.2d at p. 201; </w:t>
      </w:r>
      <w:proofErr w:type="spellStart"/>
      <w:r w:rsidRPr="0038793A">
        <w:rPr>
          <w:rFonts w:ascii="Times New Roman" w:hAnsi="Times New Roman" w:cs="Times New Roman"/>
          <w:i/>
          <w:sz w:val="26"/>
          <w:szCs w:val="26"/>
        </w:rPr>
        <w:t>Carleson</w:t>
      </w:r>
      <w:proofErr w:type="spellEnd"/>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5 Cal.3d at pp. 736, 738 [one who is legally “aggrieved” by judgment may become “party of record” with the right to appeal by moving to </w:t>
      </w:r>
      <w:r w:rsidRPr="0038793A">
        <w:rPr>
          <w:rFonts w:ascii="Times New Roman" w:hAnsi="Times New Roman" w:cs="Times New Roman"/>
          <w:sz w:val="26"/>
          <w:szCs w:val="26"/>
        </w:rPr>
        <w:lastRenderedPageBreak/>
        <w:t>vacate judgment for “incorrect legal conclusion” or “erroneous judgment upon the facts” under § 663 before entry of judgment]; see § 663a, subd</w:t>
      </w:r>
      <w:proofErr w:type="gramStart"/>
      <w:r w:rsidRPr="0038793A">
        <w:rPr>
          <w:rFonts w:ascii="Times New Roman" w:hAnsi="Times New Roman" w:cs="Times New Roman"/>
          <w:sz w:val="26"/>
          <w:szCs w:val="26"/>
        </w:rPr>
        <w:t xml:space="preserve">. </w:t>
      </w:r>
      <w:proofErr w:type="gramEnd"/>
      <w:r w:rsidRPr="0038793A">
        <w:rPr>
          <w:rFonts w:ascii="Times New Roman" w:hAnsi="Times New Roman" w:cs="Times New Roman"/>
          <w:sz w:val="26"/>
          <w:szCs w:val="26"/>
        </w:rPr>
        <w:t xml:space="preserve">(a)(1); </w:t>
      </w:r>
      <w:r w:rsidRPr="0038793A">
        <w:rPr>
          <w:rFonts w:ascii="Times New Roman" w:hAnsi="Times New Roman" w:cs="Times New Roman"/>
          <w:i/>
          <w:sz w:val="26"/>
          <w:szCs w:val="26"/>
        </w:rPr>
        <w:t>In re Marriage of Burwell</w:t>
      </w:r>
      <w:r w:rsidRPr="0038793A">
        <w:rPr>
          <w:rFonts w:ascii="Times New Roman" w:hAnsi="Times New Roman" w:cs="Times New Roman"/>
          <w:sz w:val="26"/>
          <w:szCs w:val="26"/>
        </w:rPr>
        <w:t xml:space="preserve"> (2013) 221 Cal.App.4th 1, 13-14 [interpreting </w:t>
      </w:r>
      <w:proofErr w:type="spellStart"/>
      <w:r w:rsidRPr="0038793A">
        <w:rPr>
          <w:rFonts w:ascii="Times New Roman" w:hAnsi="Times New Roman" w:cs="Times New Roman"/>
          <w:i/>
          <w:sz w:val="26"/>
          <w:szCs w:val="26"/>
        </w:rPr>
        <w:t>Carleson</w:t>
      </w:r>
      <w:proofErr w:type="spellEnd"/>
      <w:r w:rsidRPr="0038793A">
        <w:rPr>
          <w:rFonts w:ascii="Times New Roman" w:hAnsi="Times New Roman" w:cs="Times New Roman"/>
          <w:sz w:val="26"/>
          <w:szCs w:val="26"/>
        </w:rPr>
        <w:t xml:space="preserve"> rule to apply to any motion to vacate or set aside judgment].)     </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Representatives assert that because Muller was an unnamed class member who never exercised her right to intervene during the class action by filing a complaint in intervention under section 387, she never became a party of record and the court should dismiss her appeal under </w:t>
      </w: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 </w:t>
      </w:r>
      <w:r w:rsidRPr="0038793A">
        <w:rPr>
          <w:rFonts w:ascii="Times New Roman" w:hAnsi="Times New Roman" w:cs="Times New Roman"/>
          <w:i/>
          <w:sz w:val="26"/>
          <w:szCs w:val="26"/>
        </w:rPr>
        <w:t>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20 Cal.2d 199, a case that the Court of Appeal believed stood “on ‘all fours</w:t>
      </w:r>
      <w:proofErr w:type="gramStart"/>
      <w:r w:rsidRPr="0038793A">
        <w:rPr>
          <w:rFonts w:ascii="Times New Roman" w:hAnsi="Times New Roman" w:cs="Times New Roman"/>
          <w:sz w:val="26"/>
          <w:szCs w:val="26"/>
        </w:rPr>
        <w:t>’ ”</w:t>
      </w:r>
      <w:proofErr w:type="gramEnd"/>
      <w:r w:rsidRPr="0038793A">
        <w:rPr>
          <w:rFonts w:ascii="Times New Roman" w:hAnsi="Times New Roman" w:cs="Times New Roman"/>
          <w:sz w:val="26"/>
          <w:szCs w:val="26"/>
        </w:rPr>
        <w:t xml:space="preserve"> with the present matter.    </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Muller, on the other hand, urges us to overrule </w:t>
      </w:r>
      <w:r w:rsidRPr="0038793A">
        <w:rPr>
          <w:rFonts w:ascii="Times New Roman" w:hAnsi="Times New Roman" w:cs="Times New Roman"/>
          <w:i/>
          <w:sz w:val="26"/>
          <w:szCs w:val="26"/>
        </w:rPr>
        <w:t xml:space="preserve">Eggert </w:t>
      </w:r>
      <w:r w:rsidRPr="0038793A">
        <w:rPr>
          <w:rFonts w:ascii="Times New Roman" w:hAnsi="Times New Roman" w:cs="Times New Roman"/>
          <w:sz w:val="26"/>
          <w:szCs w:val="26"/>
        </w:rPr>
        <w:t xml:space="preserve">as a “remnant of a bygone era,” that is out of step with current class action practice.  She repeats her Court of Appeal argument that </w:t>
      </w: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’s bright-line rule has </w:t>
      </w:r>
      <w:proofErr w:type="gramStart"/>
      <w:r w:rsidRPr="0038793A">
        <w:rPr>
          <w:rFonts w:ascii="Times New Roman" w:hAnsi="Times New Roman" w:cs="Times New Roman"/>
          <w:sz w:val="26"/>
          <w:szCs w:val="26"/>
        </w:rPr>
        <w:t>been superseded</w:t>
      </w:r>
      <w:proofErr w:type="gramEnd"/>
      <w:r w:rsidRPr="0038793A">
        <w:rPr>
          <w:rFonts w:ascii="Times New Roman" w:hAnsi="Times New Roman" w:cs="Times New Roman"/>
          <w:sz w:val="26"/>
          <w:szCs w:val="26"/>
        </w:rPr>
        <w:t xml:space="preserve"> by several more recent Court of Appeal decisions that were influenced by 1966 amendments to rule 23 of the Federal Rules of Civil Procedure (28 U.S.C.) (Rule 23), which created the federal opt-out damages class action and “led to greatly expanded use of the device.”  (Bone &amp; Evans, </w:t>
      </w:r>
      <w:r w:rsidRPr="0038793A">
        <w:rPr>
          <w:rFonts w:ascii="Times New Roman" w:hAnsi="Times New Roman" w:cs="Times New Roman"/>
          <w:i/>
          <w:sz w:val="26"/>
          <w:szCs w:val="26"/>
        </w:rPr>
        <w:t xml:space="preserve">Class Certification and the Substantive Merits </w:t>
      </w:r>
      <w:r w:rsidRPr="0038793A">
        <w:rPr>
          <w:rFonts w:ascii="Times New Roman" w:hAnsi="Times New Roman" w:cs="Times New Roman"/>
          <w:sz w:val="26"/>
          <w:szCs w:val="26"/>
        </w:rPr>
        <w:t xml:space="preserve">(2002) 51 Duke L.J. 1251, 1260.)  These same amendments encouraged a rise in settlement class actions.  (See Franklin, </w:t>
      </w:r>
      <w:r w:rsidRPr="0038793A">
        <w:rPr>
          <w:rFonts w:ascii="Times New Roman" w:hAnsi="Times New Roman" w:cs="Times New Roman"/>
          <w:i/>
          <w:sz w:val="26"/>
          <w:szCs w:val="26"/>
        </w:rPr>
        <w:t>The Mass Tort Defendants Strike Back:</w:t>
      </w:r>
      <w:r w:rsidRPr="0038793A">
        <w:rPr>
          <w:rFonts w:ascii="Times New Roman" w:hAnsi="Times New Roman" w:cs="Times New Roman"/>
          <w:sz w:val="26"/>
          <w:szCs w:val="26"/>
        </w:rPr>
        <w:t xml:space="preserve">  </w:t>
      </w:r>
      <w:r w:rsidRPr="0038793A">
        <w:rPr>
          <w:rFonts w:ascii="Times New Roman" w:hAnsi="Times New Roman" w:cs="Times New Roman"/>
          <w:i/>
          <w:sz w:val="26"/>
          <w:szCs w:val="26"/>
        </w:rPr>
        <w:t>Are Settlement Class Actions a Collusive Threat or Just a Phantom Menace?</w:t>
      </w:r>
      <w:r w:rsidRPr="0038793A">
        <w:rPr>
          <w:rFonts w:ascii="Times New Roman" w:hAnsi="Times New Roman" w:cs="Times New Roman"/>
          <w:sz w:val="26"/>
          <w:szCs w:val="26"/>
        </w:rPr>
        <w:t xml:space="preserve">  (2000) 53 Stan</w:t>
      </w:r>
      <w:proofErr w:type="gramStart"/>
      <w:r w:rsidRPr="0038793A">
        <w:rPr>
          <w:rFonts w:ascii="Times New Roman" w:hAnsi="Times New Roman" w:cs="Times New Roman"/>
          <w:sz w:val="26"/>
          <w:szCs w:val="26"/>
        </w:rPr>
        <w:t xml:space="preserve">. </w:t>
      </w:r>
      <w:proofErr w:type="spellStart"/>
      <w:proofErr w:type="gramEnd"/>
      <w:r w:rsidRPr="0038793A">
        <w:rPr>
          <w:rFonts w:ascii="Times New Roman" w:hAnsi="Times New Roman" w:cs="Times New Roman"/>
          <w:sz w:val="26"/>
          <w:szCs w:val="26"/>
        </w:rPr>
        <w:t>L.Rev</w:t>
      </w:r>
      <w:proofErr w:type="spellEnd"/>
      <w:r w:rsidRPr="0038793A">
        <w:rPr>
          <w:rFonts w:ascii="Times New Roman" w:hAnsi="Times New Roman" w:cs="Times New Roman"/>
          <w:sz w:val="26"/>
          <w:szCs w:val="26"/>
        </w:rPr>
        <w:t xml:space="preserve">. 163, 167-172 [discussing rise of settlement class actions].)  Muller asserts that Rule 23 is persuasive authority that courts should not require unnamed class members to formally intervene in the underlying action to gain the right to appeal a trial court’s order concerning the unnamed class members’ objections to the proposed settlement.  We disagree and find that </w:t>
      </w:r>
      <w:r w:rsidRPr="0038793A">
        <w:rPr>
          <w:rFonts w:ascii="Times New Roman" w:hAnsi="Times New Roman" w:cs="Times New Roman"/>
          <w:i/>
          <w:sz w:val="26"/>
          <w:szCs w:val="26"/>
        </w:rPr>
        <w:t xml:space="preserve">Eggert </w:t>
      </w:r>
      <w:r w:rsidRPr="0038793A">
        <w:rPr>
          <w:rFonts w:ascii="Times New Roman" w:hAnsi="Times New Roman" w:cs="Times New Roman"/>
          <w:sz w:val="26"/>
          <w:szCs w:val="26"/>
        </w:rPr>
        <w:t xml:space="preserve">remains good law.   </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In </w:t>
      </w:r>
      <w:r w:rsidRPr="0038793A">
        <w:rPr>
          <w:rFonts w:ascii="Times New Roman" w:hAnsi="Times New Roman" w:cs="Times New Roman"/>
          <w:i/>
          <w:sz w:val="26"/>
          <w:szCs w:val="26"/>
        </w:rPr>
        <w:t>Eggert</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the plaintiff, as holder of a “Fidelity Definite Term Certificate” initiated a class action on behalf of himself and approximately 1,500 certificate </w:t>
      </w:r>
      <w:r w:rsidRPr="0038793A">
        <w:rPr>
          <w:rFonts w:ascii="Times New Roman" w:hAnsi="Times New Roman" w:cs="Times New Roman"/>
          <w:sz w:val="26"/>
          <w:szCs w:val="26"/>
        </w:rPr>
        <w:lastRenderedPageBreak/>
        <w:t>holders against defendant in the amount of over $1.8 million.  (</w:t>
      </w:r>
      <w:r w:rsidRPr="0038793A">
        <w:rPr>
          <w:rFonts w:ascii="Times New Roman" w:hAnsi="Times New Roman" w:cs="Times New Roman"/>
          <w:i/>
          <w:sz w:val="26"/>
          <w:szCs w:val="26"/>
        </w:rPr>
        <w:t>Eggert</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20 Cal.2d at pp. 199-200.)  The complaint included a request for attorney fees.  (</w:t>
      </w:r>
      <w:r w:rsidRPr="0038793A">
        <w:rPr>
          <w:rFonts w:ascii="Times New Roman" w:hAnsi="Times New Roman" w:cs="Times New Roman"/>
          <w:i/>
          <w:sz w:val="26"/>
          <w:szCs w:val="26"/>
        </w:rPr>
        <w:t>Id</w:t>
      </w:r>
      <w:r w:rsidRPr="0038793A">
        <w:rPr>
          <w:rFonts w:ascii="Times New Roman" w:hAnsi="Times New Roman" w:cs="Times New Roman"/>
          <w:sz w:val="26"/>
          <w:szCs w:val="26"/>
        </w:rPr>
        <w:t xml:space="preserve">. at p. 200.)  The court awarded judgment to the plaintiffs, but reserved jurisdiction to determine the </w:t>
      </w:r>
      <w:proofErr w:type="gramStart"/>
      <w:r w:rsidRPr="0038793A">
        <w:rPr>
          <w:rFonts w:ascii="Times New Roman" w:hAnsi="Times New Roman" w:cs="Times New Roman"/>
          <w:sz w:val="26"/>
          <w:szCs w:val="26"/>
        </w:rPr>
        <w:t>amount</w:t>
      </w:r>
      <w:proofErr w:type="gramEnd"/>
      <w:r w:rsidRPr="0038793A">
        <w:rPr>
          <w:rFonts w:ascii="Times New Roman" w:hAnsi="Times New Roman" w:cs="Times New Roman"/>
          <w:sz w:val="26"/>
          <w:szCs w:val="26"/>
        </w:rPr>
        <w:t xml:space="preserve"> of fees owed.  (</w:t>
      </w:r>
      <w:r w:rsidRPr="0038793A">
        <w:rPr>
          <w:rFonts w:ascii="Times New Roman" w:hAnsi="Times New Roman" w:cs="Times New Roman"/>
          <w:i/>
          <w:sz w:val="26"/>
          <w:szCs w:val="26"/>
        </w:rPr>
        <w:t>Ibid</w:t>
      </w:r>
      <w:r w:rsidRPr="0038793A">
        <w:rPr>
          <w:rFonts w:ascii="Times New Roman" w:hAnsi="Times New Roman" w:cs="Times New Roman"/>
          <w:sz w:val="26"/>
          <w:szCs w:val="26"/>
        </w:rPr>
        <w:t xml:space="preserve">.)  The complaint incorporated by reference an exhibit containing the names of the outstanding certificate holders as well as each certificate’s number and face value.  The names of certificate holders Jessie C. Kelley and Dorothy </w:t>
      </w:r>
      <w:proofErr w:type="gramStart"/>
      <w:r w:rsidRPr="0038793A">
        <w:rPr>
          <w:rFonts w:ascii="Times New Roman" w:hAnsi="Times New Roman" w:cs="Times New Roman"/>
          <w:sz w:val="26"/>
          <w:szCs w:val="26"/>
        </w:rPr>
        <w:t xml:space="preserve">C. </w:t>
      </w:r>
      <w:proofErr w:type="gramEnd"/>
      <w:r w:rsidRPr="0038793A">
        <w:rPr>
          <w:rFonts w:ascii="Times New Roman" w:hAnsi="Times New Roman" w:cs="Times New Roman"/>
          <w:sz w:val="26"/>
          <w:szCs w:val="26"/>
        </w:rPr>
        <w:t>Given (the objectors) appeared in the exhibit.  (</w:t>
      </w:r>
      <w:r w:rsidRPr="0038793A">
        <w:rPr>
          <w:rFonts w:ascii="Times New Roman" w:hAnsi="Times New Roman" w:cs="Times New Roman"/>
          <w:i/>
          <w:sz w:val="26"/>
          <w:szCs w:val="26"/>
        </w:rPr>
        <w:t>Ibid</w:t>
      </w:r>
      <w:r w:rsidRPr="0038793A">
        <w:rPr>
          <w:rFonts w:ascii="Times New Roman" w:hAnsi="Times New Roman" w:cs="Times New Roman"/>
          <w:sz w:val="26"/>
          <w:szCs w:val="26"/>
        </w:rPr>
        <w:t>.)</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The court appointed a receiver to facilitate payment of the judgment and directed both the plaintiff and interested persons to show cause why it should not order fixed attorney fees.  (</w:t>
      </w:r>
      <w:r w:rsidRPr="0038793A">
        <w:rPr>
          <w:rFonts w:ascii="Times New Roman" w:hAnsi="Times New Roman" w:cs="Times New Roman"/>
          <w:i/>
          <w:sz w:val="26"/>
          <w:szCs w:val="26"/>
        </w:rPr>
        <w:t>Eggert</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20 Cal.2d at p. 200.)  Notice of the order </w:t>
      </w:r>
      <w:proofErr w:type="gramStart"/>
      <w:r w:rsidRPr="0038793A">
        <w:rPr>
          <w:rFonts w:ascii="Times New Roman" w:hAnsi="Times New Roman" w:cs="Times New Roman"/>
          <w:sz w:val="26"/>
          <w:szCs w:val="26"/>
        </w:rPr>
        <w:t>was published</w:t>
      </w:r>
      <w:proofErr w:type="gramEnd"/>
      <w:r w:rsidRPr="0038793A">
        <w:rPr>
          <w:rFonts w:ascii="Times New Roman" w:hAnsi="Times New Roman" w:cs="Times New Roman"/>
          <w:sz w:val="26"/>
          <w:szCs w:val="26"/>
        </w:rPr>
        <w:t xml:space="preserve"> daily until the return date.  (</w:t>
      </w:r>
      <w:r w:rsidRPr="0038793A">
        <w:rPr>
          <w:rFonts w:ascii="Times New Roman" w:hAnsi="Times New Roman" w:cs="Times New Roman"/>
          <w:i/>
          <w:sz w:val="26"/>
          <w:szCs w:val="26"/>
        </w:rPr>
        <w:t>Ibid</w:t>
      </w:r>
      <w:r w:rsidRPr="0038793A">
        <w:rPr>
          <w:rFonts w:ascii="Times New Roman" w:hAnsi="Times New Roman" w:cs="Times New Roman"/>
          <w:sz w:val="26"/>
          <w:szCs w:val="26"/>
        </w:rPr>
        <w:t>.)  At the hearing on the plaintiff’s motion for the receiver to pay the judgment after deducting the attorney fees, an attorney representing the objectors appeared and contested the petition’s attorney fees provision.  (</w:t>
      </w:r>
      <w:r w:rsidRPr="0038793A">
        <w:rPr>
          <w:rFonts w:ascii="Times New Roman" w:hAnsi="Times New Roman" w:cs="Times New Roman"/>
          <w:i/>
          <w:sz w:val="26"/>
          <w:szCs w:val="26"/>
        </w:rPr>
        <w:t>Ibid</w:t>
      </w:r>
      <w:r w:rsidRPr="0038793A">
        <w:rPr>
          <w:rFonts w:ascii="Times New Roman" w:hAnsi="Times New Roman" w:cs="Times New Roman"/>
          <w:sz w:val="26"/>
          <w:szCs w:val="26"/>
        </w:rPr>
        <w:t>.)  After the court granted the petition in the plaintiff’s favor, both objectors filed an appeal on behalf of themselves and all other certificate holders who were without legal representation.  (</w:t>
      </w:r>
      <w:r w:rsidRPr="0038793A">
        <w:rPr>
          <w:rFonts w:ascii="Times New Roman" w:hAnsi="Times New Roman" w:cs="Times New Roman"/>
          <w:i/>
          <w:sz w:val="26"/>
          <w:szCs w:val="26"/>
        </w:rPr>
        <w:t>Ibid</w:t>
      </w:r>
      <w:r w:rsidRPr="0038793A">
        <w:rPr>
          <w:rFonts w:ascii="Times New Roman" w:hAnsi="Times New Roman" w:cs="Times New Roman"/>
          <w:sz w:val="26"/>
          <w:szCs w:val="26"/>
        </w:rPr>
        <w:t xml:space="preserve">.)  They also petitioned this court for a writ of </w:t>
      </w:r>
      <w:proofErr w:type="spellStart"/>
      <w:r w:rsidRPr="0038793A">
        <w:rPr>
          <w:rFonts w:ascii="Times New Roman" w:hAnsi="Times New Roman" w:cs="Times New Roman"/>
          <w:sz w:val="26"/>
          <w:szCs w:val="26"/>
        </w:rPr>
        <w:t>supersedeas</w:t>
      </w:r>
      <w:proofErr w:type="spellEnd"/>
      <w:r w:rsidRPr="0038793A">
        <w:rPr>
          <w:rFonts w:ascii="Times New Roman" w:hAnsi="Times New Roman" w:cs="Times New Roman"/>
          <w:sz w:val="26"/>
          <w:szCs w:val="26"/>
        </w:rPr>
        <w:t>, hoping to stay the trial court’s order to pay the attorney fees.  (</w:t>
      </w:r>
      <w:r w:rsidRPr="0038793A">
        <w:rPr>
          <w:rFonts w:ascii="Times New Roman" w:hAnsi="Times New Roman" w:cs="Times New Roman"/>
          <w:i/>
          <w:sz w:val="26"/>
          <w:szCs w:val="26"/>
        </w:rPr>
        <w:t>Ibid</w:t>
      </w:r>
      <w:r w:rsidRPr="0038793A">
        <w:rPr>
          <w:rFonts w:ascii="Times New Roman" w:hAnsi="Times New Roman" w:cs="Times New Roman"/>
          <w:sz w:val="26"/>
          <w:szCs w:val="26"/>
        </w:rPr>
        <w:t>.)</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 dismissed the objectors’ appeal and denied their application for a writ of </w:t>
      </w:r>
      <w:proofErr w:type="spellStart"/>
      <w:r w:rsidRPr="0038793A">
        <w:rPr>
          <w:rFonts w:ascii="Times New Roman" w:hAnsi="Times New Roman" w:cs="Times New Roman"/>
          <w:sz w:val="26"/>
          <w:szCs w:val="26"/>
        </w:rPr>
        <w:t>supersedeas</w:t>
      </w:r>
      <w:proofErr w:type="spellEnd"/>
      <w:r w:rsidRPr="0038793A">
        <w:rPr>
          <w:rFonts w:ascii="Times New Roman" w:hAnsi="Times New Roman" w:cs="Times New Roman"/>
          <w:sz w:val="26"/>
          <w:szCs w:val="26"/>
        </w:rPr>
        <w:t xml:space="preserve"> to stay the execution of the trial court’s fee order.  (</w:t>
      </w:r>
      <w:r w:rsidRPr="0038793A">
        <w:rPr>
          <w:rFonts w:ascii="Times New Roman" w:hAnsi="Times New Roman" w:cs="Times New Roman"/>
          <w:i/>
          <w:sz w:val="26"/>
          <w:szCs w:val="26"/>
        </w:rPr>
        <w:t>Eggert</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20 Cal.2d at p. 200.)  Noting that “it is a settled rule of practice in this state that only a party to the record can appeal,” </w:t>
      </w: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 refused to grant party status to the objectors (who </w:t>
      </w:r>
      <w:proofErr w:type="gramStart"/>
      <w:r w:rsidRPr="0038793A">
        <w:rPr>
          <w:rFonts w:ascii="Times New Roman" w:hAnsi="Times New Roman" w:cs="Times New Roman"/>
          <w:sz w:val="26"/>
          <w:szCs w:val="26"/>
        </w:rPr>
        <w:t>were never named</w:t>
      </w:r>
      <w:proofErr w:type="gramEnd"/>
      <w:r w:rsidRPr="0038793A">
        <w:rPr>
          <w:rFonts w:ascii="Times New Roman" w:hAnsi="Times New Roman" w:cs="Times New Roman"/>
          <w:sz w:val="26"/>
          <w:szCs w:val="26"/>
        </w:rPr>
        <w:t xml:space="preserve"> as parties of record to the class action) even though their names and interest in the action were included in the exhibit to the complaint, and their attorney had appeared at the hearing on petition for payment of attorney fees to object to the fee payment.  (</w:t>
      </w:r>
      <w:r w:rsidRPr="0038793A">
        <w:rPr>
          <w:rFonts w:ascii="Times New Roman" w:hAnsi="Times New Roman" w:cs="Times New Roman"/>
          <w:i/>
          <w:sz w:val="26"/>
          <w:szCs w:val="26"/>
        </w:rPr>
        <w:t>Id</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at p. 201.)  As </w:t>
      </w:r>
      <w:r w:rsidRPr="0038793A">
        <w:rPr>
          <w:rFonts w:ascii="Times New Roman" w:hAnsi="Times New Roman" w:cs="Times New Roman"/>
          <w:i/>
          <w:sz w:val="26"/>
          <w:szCs w:val="26"/>
        </w:rPr>
        <w:t xml:space="preserve">Eggert </w:t>
      </w:r>
      <w:r w:rsidRPr="0038793A">
        <w:rPr>
          <w:rFonts w:ascii="Times New Roman" w:hAnsi="Times New Roman" w:cs="Times New Roman"/>
          <w:sz w:val="26"/>
          <w:szCs w:val="26"/>
        </w:rPr>
        <w:t xml:space="preserve">observed, </w:t>
      </w:r>
      <w:r w:rsidRPr="0038793A">
        <w:rPr>
          <w:rFonts w:ascii="Times New Roman" w:hAnsi="Times New Roman" w:cs="Times New Roman"/>
          <w:sz w:val="26"/>
          <w:szCs w:val="26"/>
        </w:rPr>
        <w:lastRenderedPageBreak/>
        <w:t>the “[a]</w:t>
      </w:r>
      <w:proofErr w:type="spellStart"/>
      <w:r w:rsidRPr="0038793A">
        <w:rPr>
          <w:rFonts w:ascii="Times New Roman" w:hAnsi="Times New Roman" w:cs="Times New Roman"/>
          <w:sz w:val="26"/>
          <w:szCs w:val="26"/>
        </w:rPr>
        <w:t>ppellants</w:t>
      </w:r>
      <w:proofErr w:type="spellEnd"/>
      <w:r w:rsidRPr="0038793A">
        <w:rPr>
          <w:rFonts w:ascii="Times New Roman" w:hAnsi="Times New Roman" w:cs="Times New Roman"/>
          <w:sz w:val="26"/>
          <w:szCs w:val="26"/>
        </w:rPr>
        <w:t xml:space="preserve"> had ample opportunity even after the court had made its orders to become parties of record by moving to vacate the orders to which they objected.  They could then have appealed from the order denying the motion.”  (</w:t>
      </w:r>
      <w:r w:rsidRPr="0038793A">
        <w:rPr>
          <w:rFonts w:ascii="Times New Roman" w:hAnsi="Times New Roman" w:cs="Times New Roman"/>
          <w:i/>
          <w:sz w:val="26"/>
          <w:szCs w:val="26"/>
        </w:rPr>
        <w:t>Ibid</w:t>
      </w:r>
      <w:r w:rsidRPr="0038793A">
        <w:rPr>
          <w:rFonts w:ascii="Times New Roman" w:hAnsi="Times New Roman" w:cs="Times New Roman"/>
          <w:sz w:val="26"/>
          <w:szCs w:val="26"/>
        </w:rPr>
        <w:t>.)</w:t>
      </w:r>
    </w:p>
    <w:p w:rsidR="000601B1" w:rsidRPr="0038793A" w:rsidRDefault="002E370B" w:rsidP="000601B1">
      <w:pPr>
        <w:spacing w:line="480" w:lineRule="atLeast"/>
        <w:ind w:firstLine="720"/>
        <w:rPr>
          <w:rStyle w:val="CommentReference"/>
          <w:rFonts w:ascii="Times New Roman" w:hAnsi="Times New Roman" w:cs="Times New Roman"/>
          <w:sz w:val="26"/>
          <w:szCs w:val="26"/>
        </w:rPr>
      </w:pPr>
      <w:r w:rsidRPr="0038793A">
        <w:rPr>
          <w:rFonts w:ascii="Times New Roman" w:hAnsi="Times New Roman" w:cs="Times New Roman"/>
          <w:sz w:val="26"/>
          <w:szCs w:val="26"/>
        </w:rPr>
        <w:t xml:space="preserve">Although </w:t>
      </w: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’s analysis provides the court with sound guidance for interpreting current section 902 and the right to appeal a final judgment, Muller asks us to overrule </w:t>
      </w:r>
      <w:r w:rsidRPr="0038793A">
        <w:rPr>
          <w:rFonts w:ascii="Times New Roman" w:hAnsi="Times New Roman" w:cs="Times New Roman"/>
          <w:i/>
          <w:sz w:val="26"/>
          <w:szCs w:val="26"/>
        </w:rPr>
        <w:t xml:space="preserve">Eggert </w:t>
      </w:r>
      <w:r w:rsidRPr="0038793A">
        <w:rPr>
          <w:rFonts w:ascii="Times New Roman" w:hAnsi="Times New Roman" w:cs="Times New Roman"/>
          <w:sz w:val="26"/>
          <w:szCs w:val="26"/>
        </w:rPr>
        <w:t xml:space="preserve">and adopt the view of more recent Court of Appeal decisions that incorporate amended Rule 23, to give unnamed class member objectors who informally object to settlement during fairness hearings the right to appeal their overruled objections. </w:t>
      </w:r>
      <w:r w:rsidRPr="0038793A">
        <w:rPr>
          <w:rStyle w:val="CommentReference"/>
          <w:rFonts w:ascii="Times New Roman" w:hAnsi="Times New Roman" w:cs="Times New Roman"/>
          <w:sz w:val="26"/>
          <w:szCs w:val="26"/>
        </w:rPr>
        <w:t xml:space="preserve"> (See, e.g., </w:t>
      </w:r>
      <w:r w:rsidRPr="0038793A">
        <w:rPr>
          <w:rStyle w:val="CommentReference"/>
          <w:rFonts w:ascii="Times New Roman" w:hAnsi="Times New Roman" w:cs="Times New Roman"/>
          <w:i/>
          <w:sz w:val="26"/>
          <w:szCs w:val="26"/>
        </w:rPr>
        <w:t>Consumer Cause</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Inc</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v</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t>
      </w:r>
      <w:proofErr w:type="gramStart"/>
      <w:r w:rsidRPr="0038793A">
        <w:rPr>
          <w:rStyle w:val="CommentReference"/>
          <w:rFonts w:ascii="Times New Roman" w:hAnsi="Times New Roman" w:cs="Times New Roman"/>
          <w:i/>
          <w:sz w:val="26"/>
          <w:szCs w:val="26"/>
        </w:rPr>
        <w:t>Mrs</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Gooch</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s</w:t>
      </w:r>
      <w:proofErr w:type="gramEnd"/>
      <w:r w:rsidRPr="0038793A">
        <w:rPr>
          <w:rStyle w:val="CommentReference"/>
          <w:rFonts w:ascii="Times New Roman" w:hAnsi="Times New Roman" w:cs="Times New Roman"/>
          <w:sz w:val="26"/>
          <w:szCs w:val="26"/>
        </w:rPr>
        <w:t xml:space="preserve"> </w:t>
      </w:r>
      <w:r w:rsidRPr="0038793A">
        <w:rPr>
          <w:rStyle w:val="CommentReference"/>
          <w:rFonts w:ascii="Times New Roman" w:hAnsi="Times New Roman" w:cs="Times New Roman"/>
          <w:i/>
          <w:sz w:val="26"/>
          <w:szCs w:val="26"/>
        </w:rPr>
        <w:t>Natural Food Markets</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Inc</w:t>
      </w:r>
      <w:r w:rsidRPr="0038793A">
        <w:rPr>
          <w:rStyle w:val="CommentReference"/>
          <w:rFonts w:ascii="Times New Roman" w:hAnsi="Times New Roman" w:cs="Times New Roman"/>
          <w:sz w:val="26"/>
          <w:szCs w:val="26"/>
        </w:rPr>
        <w:t xml:space="preserve">. (2005) 127 Cal.App.4th 387, 395-396 [acknowledging </w:t>
      </w:r>
      <w:r w:rsidRPr="0038793A">
        <w:rPr>
          <w:rStyle w:val="CommentReference"/>
          <w:rFonts w:ascii="Times New Roman" w:hAnsi="Times New Roman" w:cs="Times New Roman"/>
          <w:i/>
          <w:sz w:val="26"/>
          <w:szCs w:val="26"/>
        </w:rPr>
        <w:t>Eggert</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t>
      </w:r>
      <w:r w:rsidRPr="0038793A">
        <w:rPr>
          <w:rStyle w:val="CommentReference"/>
          <w:rFonts w:ascii="Times New Roman" w:hAnsi="Times New Roman" w:cs="Times New Roman"/>
          <w:sz w:val="26"/>
          <w:szCs w:val="26"/>
        </w:rPr>
        <w:t xml:space="preserve">but holding that class member who appears at fairness hearing and objects to settlement has a right to appeal, even though that member did not intervene in the action]; see also </w:t>
      </w:r>
      <w:r w:rsidRPr="0038793A">
        <w:rPr>
          <w:rStyle w:val="CommentReference"/>
          <w:rFonts w:ascii="Times New Roman" w:hAnsi="Times New Roman" w:cs="Times New Roman"/>
          <w:i/>
          <w:sz w:val="26"/>
          <w:szCs w:val="26"/>
        </w:rPr>
        <w:t>Trotsky v</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Los Angeles Fed</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Sav</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&amp; Loan Assn</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t>
      </w:r>
      <w:r w:rsidRPr="0038793A">
        <w:rPr>
          <w:rStyle w:val="CommentReference"/>
          <w:rFonts w:ascii="Times New Roman" w:hAnsi="Times New Roman" w:cs="Times New Roman"/>
          <w:sz w:val="26"/>
          <w:szCs w:val="26"/>
        </w:rPr>
        <w:t>(1975) 48 Cal.App.3d 134, 139 (</w:t>
      </w:r>
      <w:r w:rsidRPr="0038793A">
        <w:rPr>
          <w:rStyle w:val="CommentReference"/>
          <w:rFonts w:ascii="Times New Roman" w:hAnsi="Times New Roman" w:cs="Times New Roman"/>
          <w:i/>
          <w:sz w:val="26"/>
          <w:szCs w:val="26"/>
        </w:rPr>
        <w:t>Trotsky</w:t>
      </w:r>
      <w:r w:rsidRPr="0038793A">
        <w:rPr>
          <w:rStyle w:val="CommentReference"/>
          <w:rFonts w:ascii="Times New Roman" w:hAnsi="Times New Roman" w:cs="Times New Roman"/>
          <w:sz w:val="26"/>
          <w:szCs w:val="26"/>
        </w:rPr>
        <w:t xml:space="preserve">) [member of affected class whose objections to settlement were overruled is aggrieved party with right to appeal]; </w:t>
      </w:r>
      <w:r w:rsidRPr="0038793A">
        <w:rPr>
          <w:rStyle w:val="CommentReference"/>
          <w:rFonts w:ascii="Times New Roman" w:hAnsi="Times New Roman" w:cs="Times New Roman"/>
          <w:i/>
          <w:sz w:val="26"/>
          <w:szCs w:val="26"/>
        </w:rPr>
        <w:t>Rebney v</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Wells Fargo Bank </w:t>
      </w:r>
      <w:r w:rsidRPr="0038793A">
        <w:rPr>
          <w:rStyle w:val="CommentReference"/>
          <w:rFonts w:ascii="Times New Roman" w:hAnsi="Times New Roman" w:cs="Times New Roman"/>
          <w:sz w:val="26"/>
          <w:szCs w:val="26"/>
        </w:rPr>
        <w:t xml:space="preserve">(1990) 220 Cal.App.3d 1117, 1128-1132  [relying on </w:t>
      </w:r>
      <w:r w:rsidRPr="0038793A">
        <w:rPr>
          <w:rStyle w:val="CommentReference"/>
          <w:rFonts w:ascii="Times New Roman" w:hAnsi="Times New Roman" w:cs="Times New Roman"/>
          <w:i/>
          <w:sz w:val="26"/>
          <w:szCs w:val="26"/>
        </w:rPr>
        <w:t>Trotsky</w:t>
      </w:r>
      <w:r w:rsidRPr="0038793A">
        <w:rPr>
          <w:rStyle w:val="CommentReference"/>
          <w:rFonts w:ascii="Times New Roman" w:hAnsi="Times New Roman" w:cs="Times New Roman"/>
          <w:sz w:val="26"/>
          <w:szCs w:val="26"/>
        </w:rPr>
        <w:t xml:space="preserve">]; </w:t>
      </w:r>
      <w:proofErr w:type="spellStart"/>
      <w:r w:rsidRPr="0038793A">
        <w:rPr>
          <w:rStyle w:val="CommentReference"/>
          <w:rFonts w:ascii="Times New Roman" w:hAnsi="Times New Roman" w:cs="Times New Roman"/>
          <w:i/>
          <w:sz w:val="26"/>
          <w:szCs w:val="26"/>
        </w:rPr>
        <w:t>Wershba</w:t>
      </w:r>
      <w:proofErr w:type="spellEnd"/>
      <w:r w:rsidRPr="0038793A">
        <w:rPr>
          <w:rStyle w:val="CommentReference"/>
          <w:rFonts w:ascii="Times New Roman" w:hAnsi="Times New Roman" w:cs="Times New Roman"/>
          <w:i/>
          <w:sz w:val="26"/>
          <w:szCs w:val="26"/>
        </w:rPr>
        <w:t xml:space="preserve"> v</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Apple Computer</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Inc</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t>
      </w:r>
      <w:r w:rsidRPr="0038793A">
        <w:rPr>
          <w:rStyle w:val="CommentReference"/>
          <w:rFonts w:ascii="Times New Roman" w:hAnsi="Times New Roman" w:cs="Times New Roman"/>
          <w:sz w:val="26"/>
          <w:szCs w:val="26"/>
        </w:rPr>
        <w:t xml:space="preserve">(2001) 91 Cal.App.4th 224, 253 [following </w:t>
      </w:r>
      <w:r w:rsidRPr="0038793A">
        <w:rPr>
          <w:rStyle w:val="CommentReference"/>
          <w:rFonts w:ascii="Times New Roman" w:hAnsi="Times New Roman" w:cs="Times New Roman"/>
          <w:i/>
          <w:sz w:val="26"/>
          <w:szCs w:val="26"/>
        </w:rPr>
        <w:t>Trotsky</w:t>
      </w:r>
      <w:r w:rsidRPr="0038793A">
        <w:rPr>
          <w:rStyle w:val="CommentReference"/>
          <w:rFonts w:ascii="Times New Roman" w:hAnsi="Times New Roman" w:cs="Times New Roman"/>
          <w:sz w:val="26"/>
          <w:szCs w:val="26"/>
        </w:rPr>
        <w:t xml:space="preserve">, holding that unnamed class members who appeared at final fairness hearing and objected to proposed settlement have standing to appeal]; </w:t>
      </w:r>
      <w:r w:rsidRPr="0038793A">
        <w:rPr>
          <w:rStyle w:val="CommentReference"/>
          <w:rFonts w:ascii="Times New Roman" w:hAnsi="Times New Roman" w:cs="Times New Roman"/>
          <w:i/>
          <w:sz w:val="26"/>
          <w:szCs w:val="26"/>
        </w:rPr>
        <w:t>Roos v</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Honeywell </w:t>
      </w:r>
      <w:proofErr w:type="spellStart"/>
      <w:r w:rsidRPr="0038793A">
        <w:rPr>
          <w:rStyle w:val="CommentReference"/>
          <w:rFonts w:ascii="Times New Roman" w:hAnsi="Times New Roman" w:cs="Times New Roman"/>
          <w:i/>
          <w:sz w:val="26"/>
          <w:szCs w:val="26"/>
        </w:rPr>
        <w:t>Internat</w:t>
      </w:r>
      <w:r w:rsidRPr="0038793A">
        <w:rPr>
          <w:rStyle w:val="CommentReference"/>
          <w:rFonts w:ascii="Times New Roman" w:hAnsi="Times New Roman" w:cs="Times New Roman"/>
          <w:sz w:val="26"/>
          <w:szCs w:val="26"/>
        </w:rPr>
        <w:t>.</w:t>
      </w:r>
      <w:proofErr w:type="spellEnd"/>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Inc</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t>
      </w:r>
      <w:r w:rsidRPr="0038793A">
        <w:rPr>
          <w:rStyle w:val="CommentReference"/>
          <w:rFonts w:ascii="Times New Roman" w:hAnsi="Times New Roman" w:cs="Times New Roman"/>
          <w:sz w:val="26"/>
          <w:szCs w:val="26"/>
        </w:rPr>
        <w:t xml:space="preserve">(2015) 241 Cal.App.4th 1472, 1486 [relying on </w:t>
      </w:r>
      <w:proofErr w:type="spellStart"/>
      <w:r w:rsidRPr="0038793A">
        <w:rPr>
          <w:rStyle w:val="CommentReference"/>
          <w:rFonts w:ascii="Times New Roman" w:hAnsi="Times New Roman" w:cs="Times New Roman"/>
          <w:i/>
          <w:sz w:val="26"/>
          <w:szCs w:val="26"/>
        </w:rPr>
        <w:t>Wershba</w:t>
      </w:r>
      <w:proofErr w:type="spellEnd"/>
      <w:r w:rsidRPr="0038793A">
        <w:rPr>
          <w:rStyle w:val="CommentReference"/>
          <w:rFonts w:ascii="Times New Roman" w:hAnsi="Times New Roman" w:cs="Times New Roman"/>
          <w:sz w:val="26"/>
          <w:szCs w:val="26"/>
        </w:rPr>
        <w:t xml:space="preserve"> for objector standing to appeal, but denying appeal to objectors who could not establish class membership].)</w:t>
      </w:r>
      <w:r>
        <w:rPr>
          <w:rStyle w:val="FootnoteReference"/>
          <w:rFonts w:ascii="Times New Roman" w:hAnsi="Times New Roman" w:cs="Times New Roman"/>
          <w:sz w:val="26"/>
          <w:szCs w:val="26"/>
        </w:rPr>
        <w:footnoteReference w:id="2"/>
      </w:r>
      <w:r w:rsidRPr="0038793A">
        <w:rPr>
          <w:rStyle w:val="CommentReference"/>
          <w:rFonts w:ascii="Times New Roman" w:hAnsi="Times New Roman" w:cs="Times New Roman"/>
          <w:sz w:val="26"/>
          <w:szCs w:val="26"/>
        </w:rPr>
        <w:t xml:space="preserve">  </w:t>
      </w:r>
    </w:p>
    <w:p w:rsidR="000601B1" w:rsidRPr="0038793A" w:rsidRDefault="002E370B" w:rsidP="000601B1">
      <w:pPr>
        <w:spacing w:line="480" w:lineRule="atLeast"/>
        <w:ind w:firstLine="720"/>
        <w:rPr>
          <w:rStyle w:val="CommentReference"/>
          <w:rFonts w:ascii="Times New Roman" w:hAnsi="Times New Roman" w:cs="Times New Roman"/>
          <w:sz w:val="26"/>
          <w:szCs w:val="26"/>
        </w:rPr>
      </w:pPr>
      <w:r w:rsidRPr="0038793A">
        <w:rPr>
          <w:rStyle w:val="CommentReference"/>
          <w:rFonts w:ascii="Times New Roman" w:hAnsi="Times New Roman" w:cs="Times New Roman"/>
          <w:sz w:val="26"/>
          <w:szCs w:val="26"/>
        </w:rPr>
        <w:lastRenderedPageBreak/>
        <w:t xml:space="preserve">As the Court of Appeal observed, none of the cases on which Muller relies “made any effort to reconcile their conclusions with </w:t>
      </w:r>
      <w:r w:rsidRPr="0038793A">
        <w:rPr>
          <w:rStyle w:val="CommentReference"/>
          <w:rFonts w:ascii="Times New Roman" w:hAnsi="Times New Roman" w:cs="Times New Roman"/>
          <w:i/>
          <w:sz w:val="26"/>
          <w:szCs w:val="26"/>
        </w:rPr>
        <w:t>Eggert</w:t>
      </w:r>
      <w:r w:rsidRPr="0038793A">
        <w:rPr>
          <w:rStyle w:val="CommentReference"/>
          <w:rFonts w:ascii="Times New Roman" w:hAnsi="Times New Roman" w:cs="Times New Roman"/>
          <w:sz w:val="26"/>
          <w:szCs w:val="26"/>
        </w:rPr>
        <w:t xml:space="preserve">.”  But instead, their logic </w:t>
      </w:r>
      <w:proofErr w:type="gramStart"/>
      <w:r w:rsidRPr="0038793A">
        <w:rPr>
          <w:rStyle w:val="CommentReference"/>
          <w:rFonts w:ascii="Times New Roman" w:hAnsi="Times New Roman" w:cs="Times New Roman"/>
          <w:sz w:val="26"/>
          <w:szCs w:val="26"/>
        </w:rPr>
        <w:t>is derived</w:t>
      </w:r>
      <w:proofErr w:type="gramEnd"/>
      <w:r w:rsidRPr="0038793A">
        <w:rPr>
          <w:rStyle w:val="CommentReference"/>
          <w:rFonts w:ascii="Times New Roman" w:hAnsi="Times New Roman" w:cs="Times New Roman"/>
          <w:sz w:val="26"/>
          <w:szCs w:val="26"/>
        </w:rPr>
        <w:t xml:space="preserve"> from </w:t>
      </w:r>
      <w:r w:rsidRPr="0038793A">
        <w:rPr>
          <w:rStyle w:val="CommentReference"/>
          <w:rFonts w:ascii="Times New Roman" w:hAnsi="Times New Roman" w:cs="Times New Roman"/>
          <w:i/>
          <w:sz w:val="26"/>
          <w:szCs w:val="26"/>
        </w:rPr>
        <w:t>Trotsky</w:t>
      </w:r>
      <w:r w:rsidRPr="0038793A">
        <w:rPr>
          <w:rStyle w:val="CommentReference"/>
          <w:rFonts w:ascii="Times New Roman" w:hAnsi="Times New Roman" w:cs="Times New Roman"/>
          <w:sz w:val="26"/>
          <w:szCs w:val="26"/>
        </w:rPr>
        <w:t xml:space="preserve">, </w:t>
      </w:r>
      <w:r w:rsidRPr="0038793A">
        <w:rPr>
          <w:rStyle w:val="CommentReference"/>
          <w:rFonts w:ascii="Times New Roman" w:hAnsi="Times New Roman" w:cs="Times New Roman"/>
          <w:i/>
          <w:sz w:val="26"/>
          <w:szCs w:val="26"/>
        </w:rPr>
        <w:t>supra</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t>
      </w:r>
      <w:r w:rsidRPr="0038793A">
        <w:rPr>
          <w:rStyle w:val="CommentReference"/>
          <w:rFonts w:ascii="Times New Roman" w:hAnsi="Times New Roman" w:cs="Times New Roman"/>
          <w:sz w:val="26"/>
          <w:szCs w:val="26"/>
        </w:rPr>
        <w:t xml:space="preserve">48 Cal.App.3d at page 139, which was decided after the 1966 amendments to Rule 23 and addressed the right of an unnamed class member to object to a settlement and prosecute an appeal.  </w:t>
      </w:r>
      <w:r w:rsidRPr="0038793A">
        <w:rPr>
          <w:rStyle w:val="CommentReference"/>
          <w:rFonts w:ascii="Times New Roman" w:hAnsi="Times New Roman" w:cs="Times New Roman"/>
          <w:i/>
          <w:sz w:val="26"/>
          <w:szCs w:val="26"/>
        </w:rPr>
        <w:t>Trotsky</w:t>
      </w:r>
      <w:r w:rsidRPr="0038793A">
        <w:rPr>
          <w:rStyle w:val="CommentReference"/>
          <w:rFonts w:ascii="Times New Roman" w:hAnsi="Times New Roman" w:cs="Times New Roman"/>
          <w:sz w:val="26"/>
          <w:szCs w:val="26"/>
        </w:rPr>
        <w:t xml:space="preserve"> held that an unnamed class member whose objections to settlement </w:t>
      </w:r>
      <w:proofErr w:type="gramStart"/>
      <w:r w:rsidRPr="0038793A">
        <w:rPr>
          <w:rStyle w:val="CommentReference"/>
          <w:rFonts w:ascii="Times New Roman" w:hAnsi="Times New Roman" w:cs="Times New Roman"/>
          <w:sz w:val="26"/>
          <w:szCs w:val="26"/>
        </w:rPr>
        <w:t>were overruled</w:t>
      </w:r>
      <w:proofErr w:type="gramEnd"/>
      <w:r w:rsidRPr="0038793A">
        <w:rPr>
          <w:rStyle w:val="CommentReference"/>
          <w:rFonts w:ascii="Times New Roman" w:hAnsi="Times New Roman" w:cs="Times New Roman"/>
          <w:sz w:val="26"/>
          <w:szCs w:val="26"/>
        </w:rPr>
        <w:t xml:space="preserve"> became a “party aggrieved” and could appeal the trial court’s ruling as soon as she filed her objections to the settlement.  (</w:t>
      </w:r>
      <w:r w:rsidRPr="0038793A">
        <w:rPr>
          <w:rStyle w:val="CommentReference"/>
          <w:rFonts w:ascii="Times New Roman" w:hAnsi="Times New Roman" w:cs="Times New Roman"/>
          <w:i/>
          <w:sz w:val="26"/>
          <w:szCs w:val="26"/>
        </w:rPr>
        <w:t>Ibid</w:t>
      </w:r>
      <w:r w:rsidRPr="0038793A">
        <w:rPr>
          <w:rStyle w:val="CommentReference"/>
          <w:rFonts w:ascii="Times New Roman" w:hAnsi="Times New Roman" w:cs="Times New Roman"/>
          <w:sz w:val="26"/>
          <w:szCs w:val="26"/>
        </w:rPr>
        <w:t xml:space="preserve">.)  The court reasoned that </w:t>
      </w:r>
      <w:proofErr w:type="gramStart"/>
      <w:r w:rsidRPr="0038793A">
        <w:rPr>
          <w:rStyle w:val="CommentReference"/>
          <w:rFonts w:ascii="Times New Roman" w:hAnsi="Times New Roman" w:cs="Times New Roman"/>
          <w:sz w:val="26"/>
          <w:szCs w:val="26"/>
        </w:rPr>
        <w:t>“ ‘</w:t>
      </w:r>
      <w:proofErr w:type="gramEnd"/>
      <w:r w:rsidRPr="0038793A">
        <w:rPr>
          <w:rStyle w:val="CommentReference"/>
          <w:rFonts w:ascii="Times New Roman" w:hAnsi="Times New Roman" w:cs="Times New Roman"/>
          <w:sz w:val="26"/>
          <w:szCs w:val="26"/>
        </w:rPr>
        <w:t>[</w:t>
      </w:r>
      <w:proofErr w:type="spellStart"/>
      <w:r w:rsidRPr="0038793A">
        <w:rPr>
          <w:rStyle w:val="CommentReference"/>
          <w:rFonts w:ascii="Times New Roman" w:hAnsi="Times New Roman" w:cs="Times New Roman"/>
          <w:sz w:val="26"/>
          <w:szCs w:val="26"/>
        </w:rPr>
        <w:t>i</w:t>
      </w:r>
      <w:proofErr w:type="spellEnd"/>
      <w:r w:rsidRPr="0038793A">
        <w:rPr>
          <w:rStyle w:val="CommentReference"/>
          <w:rFonts w:ascii="Times New Roman" w:hAnsi="Times New Roman" w:cs="Times New Roman"/>
          <w:sz w:val="26"/>
          <w:szCs w:val="26"/>
        </w:rPr>
        <w:t>]t is possible that, within a class, a group of small claimants might be unfavorably treated by the terms of a proposed settlement.  For them, the option to join is in reality no option at all</w:t>
      </w:r>
      <w:proofErr w:type="gramStart"/>
      <w:r w:rsidRPr="0038793A">
        <w:rPr>
          <w:rStyle w:val="CommentReference"/>
          <w:rFonts w:ascii="Times New Roman" w:hAnsi="Times New Roman" w:cs="Times New Roman"/>
          <w:sz w:val="26"/>
          <w:szCs w:val="26"/>
        </w:rPr>
        <w:t>’ ”</w:t>
      </w:r>
      <w:proofErr w:type="gramEnd"/>
      <w:r w:rsidRPr="0038793A">
        <w:rPr>
          <w:rStyle w:val="CommentReference"/>
          <w:rFonts w:ascii="Times New Roman" w:hAnsi="Times New Roman" w:cs="Times New Roman"/>
          <w:sz w:val="26"/>
          <w:szCs w:val="26"/>
        </w:rPr>
        <w:t xml:space="preserve"> because they could be forced to accept either nothing or an unfair settlement.  (</w:t>
      </w:r>
      <w:r w:rsidRPr="0038793A">
        <w:rPr>
          <w:rStyle w:val="CommentReference"/>
          <w:rFonts w:ascii="Times New Roman" w:hAnsi="Times New Roman" w:cs="Times New Roman"/>
          <w:i/>
          <w:sz w:val="26"/>
          <w:szCs w:val="26"/>
        </w:rPr>
        <w:t>Id</w:t>
      </w:r>
      <w:r w:rsidRPr="0038793A">
        <w:rPr>
          <w:rStyle w:val="CommentReference"/>
          <w:rFonts w:ascii="Times New Roman" w:hAnsi="Times New Roman" w:cs="Times New Roman"/>
          <w:sz w:val="26"/>
          <w:szCs w:val="26"/>
        </w:rPr>
        <w:t xml:space="preserve">. at p. 139; </w:t>
      </w:r>
      <w:r w:rsidRPr="0038793A">
        <w:rPr>
          <w:rStyle w:val="CommentReference"/>
          <w:rFonts w:ascii="Times New Roman" w:hAnsi="Times New Roman" w:cs="Times New Roman"/>
          <w:i/>
          <w:sz w:val="26"/>
          <w:szCs w:val="26"/>
        </w:rPr>
        <w:t>id</w:t>
      </w:r>
      <w:proofErr w:type="gramStart"/>
      <w:r w:rsidRPr="0038793A">
        <w:rPr>
          <w:rStyle w:val="CommentReference"/>
          <w:rFonts w:ascii="Times New Roman" w:hAnsi="Times New Roman" w:cs="Times New Roman"/>
          <w:sz w:val="26"/>
          <w:szCs w:val="26"/>
        </w:rPr>
        <w:t xml:space="preserve">. </w:t>
      </w:r>
      <w:proofErr w:type="gramEnd"/>
      <w:r w:rsidRPr="0038793A">
        <w:rPr>
          <w:rStyle w:val="CommentReference"/>
          <w:rFonts w:ascii="Times New Roman" w:hAnsi="Times New Roman" w:cs="Times New Roman"/>
          <w:sz w:val="26"/>
          <w:szCs w:val="26"/>
        </w:rPr>
        <w:t>at p. 140.)</w:t>
      </w:r>
    </w:p>
    <w:p w:rsidR="000601B1" w:rsidRPr="0038793A" w:rsidRDefault="002E370B" w:rsidP="000601B1">
      <w:pPr>
        <w:spacing w:line="480" w:lineRule="atLeast"/>
        <w:ind w:firstLine="720"/>
        <w:rPr>
          <w:rStyle w:val="CommentReference"/>
          <w:rFonts w:ascii="Times New Roman" w:hAnsi="Times New Roman" w:cs="Times New Roman"/>
          <w:sz w:val="26"/>
          <w:szCs w:val="26"/>
        </w:rPr>
      </w:pPr>
      <w:r w:rsidRPr="0038793A">
        <w:rPr>
          <w:rStyle w:val="CommentReference"/>
          <w:rFonts w:ascii="Times New Roman" w:hAnsi="Times New Roman" w:cs="Times New Roman"/>
          <w:sz w:val="26"/>
          <w:szCs w:val="26"/>
        </w:rPr>
        <w:t xml:space="preserve">As the Court of Appeal noted, in focusing primarily on the “aggrieved” element of section 902, </w:t>
      </w:r>
      <w:r w:rsidRPr="0038793A">
        <w:rPr>
          <w:rStyle w:val="CommentReference"/>
          <w:rFonts w:ascii="Times New Roman" w:hAnsi="Times New Roman" w:cs="Times New Roman"/>
          <w:i/>
          <w:sz w:val="26"/>
          <w:szCs w:val="26"/>
        </w:rPr>
        <w:t>Trotsky</w:t>
      </w:r>
      <w:r w:rsidRPr="0038793A">
        <w:rPr>
          <w:rStyle w:val="CommentReference"/>
          <w:rFonts w:ascii="Times New Roman" w:hAnsi="Times New Roman" w:cs="Times New Roman"/>
          <w:sz w:val="26"/>
          <w:szCs w:val="26"/>
        </w:rPr>
        <w:t xml:space="preserve"> failed to examine the statute’s additional requirement that the objector must also be a “party” of record to the class action to gain the right to appeal the trial court’s judgment.  The Court of Appeal also faulted </w:t>
      </w:r>
      <w:r w:rsidRPr="0038793A">
        <w:rPr>
          <w:rStyle w:val="CommentReference"/>
          <w:rFonts w:ascii="Times New Roman" w:hAnsi="Times New Roman" w:cs="Times New Roman"/>
          <w:i/>
          <w:sz w:val="26"/>
          <w:szCs w:val="26"/>
        </w:rPr>
        <w:t xml:space="preserve">Trotsky </w:t>
      </w:r>
      <w:r w:rsidRPr="0038793A">
        <w:rPr>
          <w:rStyle w:val="CommentReference"/>
          <w:rFonts w:ascii="Times New Roman" w:hAnsi="Times New Roman" w:cs="Times New Roman"/>
          <w:sz w:val="26"/>
          <w:szCs w:val="26"/>
        </w:rPr>
        <w:t xml:space="preserve">for never attempting to reconcile its conclusion with </w:t>
      </w:r>
      <w:r w:rsidRPr="0038793A">
        <w:rPr>
          <w:rStyle w:val="CommentReference"/>
          <w:rFonts w:ascii="Times New Roman" w:hAnsi="Times New Roman" w:cs="Times New Roman"/>
          <w:i/>
          <w:sz w:val="26"/>
          <w:szCs w:val="26"/>
        </w:rPr>
        <w:t>Eggert</w:t>
      </w:r>
      <w:r w:rsidRPr="0038793A">
        <w:rPr>
          <w:rStyle w:val="CommentReference"/>
          <w:rFonts w:ascii="Times New Roman" w:hAnsi="Times New Roman" w:cs="Times New Roman"/>
          <w:sz w:val="26"/>
          <w:szCs w:val="26"/>
        </w:rPr>
        <w:t>’s rule that an objector must be an aggrieved party to gain the right to appeal an order or judgment in a class action.  (</w:t>
      </w:r>
      <w:r w:rsidRPr="0038793A">
        <w:rPr>
          <w:rStyle w:val="CommentReference"/>
          <w:rFonts w:ascii="Times New Roman" w:hAnsi="Times New Roman" w:cs="Times New Roman"/>
          <w:i/>
          <w:sz w:val="26"/>
          <w:szCs w:val="26"/>
        </w:rPr>
        <w:t>Trotsky</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supra</w:t>
      </w:r>
      <w:r w:rsidRPr="0038793A">
        <w:rPr>
          <w:rStyle w:val="CommentReference"/>
          <w:rFonts w:ascii="Times New Roman" w:hAnsi="Times New Roman" w:cs="Times New Roman"/>
          <w:sz w:val="26"/>
          <w:szCs w:val="26"/>
        </w:rPr>
        <w:t xml:space="preserve">, 48 Cal.App.3d at p. 139.)  We agree with the Court of Appeal, and find that </w:t>
      </w:r>
      <w:r w:rsidRPr="0038793A">
        <w:rPr>
          <w:rFonts w:ascii="Times New Roman" w:hAnsi="Times New Roman" w:cs="Times New Roman"/>
          <w:i/>
          <w:sz w:val="26"/>
          <w:szCs w:val="26"/>
        </w:rPr>
        <w:t>Trotsky</w:t>
      </w:r>
      <w:r w:rsidRPr="0038793A">
        <w:rPr>
          <w:rFonts w:ascii="Times New Roman" w:hAnsi="Times New Roman" w:cs="Times New Roman"/>
          <w:sz w:val="26"/>
          <w:szCs w:val="26"/>
        </w:rPr>
        <w:t xml:space="preserve">’s failure to address section 902’s requirements for the right to appeal a settlement, or to distinguish or otherwise reconcile its holding with </w:t>
      </w:r>
      <w:r w:rsidRPr="0038793A">
        <w:rPr>
          <w:rFonts w:ascii="Times New Roman" w:hAnsi="Times New Roman" w:cs="Times New Roman"/>
          <w:i/>
          <w:sz w:val="26"/>
          <w:szCs w:val="26"/>
        </w:rPr>
        <w:t>Eggert</w:t>
      </w:r>
      <w:r w:rsidRPr="0038793A">
        <w:rPr>
          <w:rFonts w:ascii="Times New Roman" w:hAnsi="Times New Roman" w:cs="Times New Roman"/>
          <w:sz w:val="26"/>
          <w:szCs w:val="26"/>
        </w:rPr>
        <w:t>, renders the opinion unpersuasive and we disapprove it and its progeny.</w:t>
      </w:r>
    </w:p>
    <w:p w:rsidR="00234097" w:rsidRPr="0038793A" w:rsidRDefault="002E370B" w:rsidP="00070507">
      <w:pPr>
        <w:spacing w:line="480" w:lineRule="atLeast"/>
        <w:ind w:firstLine="720"/>
        <w:rPr>
          <w:rFonts w:ascii="Times New Roman" w:hAnsi="Times New Roman" w:cs="Times New Roman"/>
          <w:sz w:val="26"/>
          <w:szCs w:val="26"/>
        </w:rPr>
      </w:pPr>
      <w:r w:rsidRPr="0038793A">
        <w:rPr>
          <w:rStyle w:val="CommentReference"/>
          <w:rFonts w:ascii="Times New Roman" w:hAnsi="Times New Roman" w:cs="Times New Roman"/>
          <w:sz w:val="26"/>
          <w:szCs w:val="26"/>
        </w:rPr>
        <w:t xml:space="preserve">Muller contends that even if </w:t>
      </w:r>
      <w:r w:rsidRPr="0038793A">
        <w:rPr>
          <w:rStyle w:val="CommentReference"/>
          <w:rFonts w:ascii="Times New Roman" w:hAnsi="Times New Roman" w:cs="Times New Roman"/>
          <w:i/>
          <w:sz w:val="26"/>
          <w:szCs w:val="26"/>
        </w:rPr>
        <w:t xml:space="preserve">Trotsky </w:t>
      </w:r>
      <w:r w:rsidRPr="0038793A">
        <w:rPr>
          <w:rStyle w:val="CommentReference"/>
          <w:rFonts w:ascii="Times New Roman" w:hAnsi="Times New Roman" w:cs="Times New Roman"/>
          <w:sz w:val="26"/>
          <w:szCs w:val="26"/>
        </w:rPr>
        <w:t xml:space="preserve">misinterpreted section 902’s rules to establish the right to appeal a trial court’s dismissal of informal objections to a settlement, the United States Supreme Court rejected the requirement of intervention in a class action filed in the United States District Court of Maryland </w:t>
      </w:r>
      <w:r w:rsidRPr="0038793A">
        <w:rPr>
          <w:rStyle w:val="CommentReference"/>
          <w:rFonts w:ascii="Times New Roman" w:hAnsi="Times New Roman" w:cs="Times New Roman"/>
          <w:sz w:val="26"/>
          <w:szCs w:val="26"/>
        </w:rPr>
        <w:lastRenderedPageBreak/>
        <w:t>to determine liability under the federal Employee Retirement Income Security Act for a retirement plan’s proposal to amend a cost of living adjustment for active and retired workers.  (</w:t>
      </w:r>
      <w:r w:rsidRPr="0038793A">
        <w:rPr>
          <w:rStyle w:val="CommentReference"/>
          <w:rFonts w:ascii="Times New Roman" w:hAnsi="Times New Roman" w:cs="Times New Roman"/>
          <w:i/>
          <w:sz w:val="26"/>
          <w:szCs w:val="26"/>
        </w:rPr>
        <w:t>Devlin v</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t>
      </w:r>
      <w:proofErr w:type="spellStart"/>
      <w:r w:rsidRPr="0038793A">
        <w:rPr>
          <w:rStyle w:val="CommentReference"/>
          <w:rFonts w:ascii="Times New Roman" w:hAnsi="Times New Roman" w:cs="Times New Roman"/>
          <w:i/>
          <w:sz w:val="26"/>
          <w:szCs w:val="26"/>
        </w:rPr>
        <w:t>Scardelletti</w:t>
      </w:r>
      <w:proofErr w:type="spellEnd"/>
      <w:r w:rsidRPr="0038793A">
        <w:rPr>
          <w:rStyle w:val="CommentReference"/>
          <w:rFonts w:ascii="Times New Roman" w:hAnsi="Times New Roman" w:cs="Times New Roman"/>
          <w:i/>
          <w:sz w:val="26"/>
          <w:szCs w:val="26"/>
        </w:rPr>
        <w:t xml:space="preserve"> </w:t>
      </w:r>
      <w:r w:rsidRPr="0038793A">
        <w:rPr>
          <w:rStyle w:val="CommentReference"/>
          <w:rFonts w:ascii="Times New Roman" w:hAnsi="Times New Roman" w:cs="Times New Roman"/>
          <w:sz w:val="26"/>
          <w:szCs w:val="26"/>
        </w:rPr>
        <w:t>(2002) 536 U.S. 1, 14 (</w:t>
      </w:r>
      <w:r w:rsidRPr="0038793A">
        <w:rPr>
          <w:rStyle w:val="CommentReference"/>
          <w:rFonts w:ascii="Times New Roman" w:hAnsi="Times New Roman" w:cs="Times New Roman"/>
          <w:i/>
          <w:sz w:val="26"/>
          <w:szCs w:val="26"/>
        </w:rPr>
        <w:t>Devlin</w:t>
      </w:r>
      <w:r w:rsidRPr="0038793A">
        <w:rPr>
          <w:rStyle w:val="CommentReference"/>
          <w:rFonts w:ascii="Times New Roman" w:hAnsi="Times New Roman" w:cs="Times New Roman"/>
          <w:sz w:val="26"/>
          <w:szCs w:val="26"/>
        </w:rPr>
        <w:t xml:space="preserve">).)  </w:t>
      </w:r>
      <w:r w:rsidRPr="0038793A">
        <w:rPr>
          <w:rStyle w:val="CommentReference"/>
          <w:rFonts w:ascii="Times New Roman" w:hAnsi="Times New Roman" w:cs="Times New Roman"/>
          <w:i/>
          <w:sz w:val="26"/>
          <w:szCs w:val="26"/>
        </w:rPr>
        <w:t xml:space="preserve">Devlin </w:t>
      </w:r>
      <w:r w:rsidRPr="0038793A">
        <w:rPr>
          <w:rStyle w:val="CommentReference"/>
          <w:rFonts w:ascii="Times New Roman" w:hAnsi="Times New Roman" w:cs="Times New Roman"/>
          <w:sz w:val="26"/>
          <w:szCs w:val="26"/>
        </w:rPr>
        <w:t xml:space="preserve">held that unnamed class members of a mandatory class action (with no option to opt out), who make timely objections to the class settlement at the fairness hearing have a right to appeal without first intervening in the action because </w:t>
      </w:r>
      <w:proofErr w:type="gramStart"/>
      <w:r w:rsidRPr="0038793A">
        <w:rPr>
          <w:rStyle w:val="CommentReference"/>
          <w:rFonts w:ascii="Times New Roman" w:hAnsi="Times New Roman" w:cs="Times New Roman"/>
          <w:sz w:val="26"/>
          <w:szCs w:val="26"/>
        </w:rPr>
        <w:t>they are bound by the settlement</w:t>
      </w:r>
      <w:proofErr w:type="gramEnd"/>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 xml:space="preserve">  </w:t>
      </w:r>
      <w:r w:rsidRPr="0038793A">
        <w:rPr>
          <w:rStyle w:val="CommentReference"/>
          <w:rFonts w:ascii="Times New Roman" w:hAnsi="Times New Roman" w:cs="Times New Roman"/>
          <w:sz w:val="26"/>
          <w:szCs w:val="26"/>
        </w:rPr>
        <w:t>(</w:t>
      </w:r>
      <w:r w:rsidRPr="0038793A">
        <w:rPr>
          <w:rStyle w:val="CommentReference"/>
          <w:rFonts w:ascii="Times New Roman" w:hAnsi="Times New Roman" w:cs="Times New Roman"/>
          <w:i/>
          <w:sz w:val="26"/>
          <w:szCs w:val="26"/>
        </w:rPr>
        <w:t>Ibid</w:t>
      </w:r>
      <w:r w:rsidRPr="0038793A">
        <w:rPr>
          <w:rStyle w:val="CommentReference"/>
          <w:rFonts w:ascii="Times New Roman" w:hAnsi="Times New Roman" w:cs="Times New Roman"/>
          <w:sz w:val="26"/>
          <w:szCs w:val="26"/>
        </w:rPr>
        <w:t>.)</w:t>
      </w:r>
      <w:r w:rsidRPr="0038793A">
        <w:rPr>
          <w:rStyle w:val="FootnoteReference"/>
          <w:rFonts w:ascii="Times New Roman" w:hAnsi="Times New Roman" w:cs="Times New Roman"/>
          <w:sz w:val="26"/>
          <w:szCs w:val="26"/>
        </w:rPr>
        <w:t xml:space="preserve">  </w:t>
      </w:r>
      <w:r w:rsidRPr="0038793A">
        <w:rPr>
          <w:rFonts w:ascii="Times New Roman" w:hAnsi="Times New Roman" w:cs="Times New Roman"/>
          <w:sz w:val="26"/>
          <w:szCs w:val="26"/>
        </w:rPr>
        <w:t>A motion to intervene under rule 24(a) of the Federal Rules of Civil Procedure (28 U.S.C.) (Rule 24(a)) would serve the same purpose as an objection in district court.  (</w:t>
      </w:r>
      <w:r w:rsidRPr="0038793A">
        <w:rPr>
          <w:rStyle w:val="CommentReference"/>
          <w:rFonts w:ascii="Times New Roman" w:hAnsi="Times New Roman" w:cs="Times New Roman"/>
          <w:i/>
          <w:sz w:val="26"/>
          <w:szCs w:val="26"/>
        </w:rPr>
        <w:t>Devlin</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at p. 11.)  The majority found “most important” the fact that “petitioner had no ability to opt out of the settlement, see Fed. Rule Civ. Proc. 23(b)(1), [and] appealing the approval of the settlement [was] petitioner’s only means of protecting himself from being bound by a disposition of his rights he finds unacceptable and that a reviewing court might find inadequate.”  (</w:t>
      </w:r>
      <w:r w:rsidRPr="0038793A">
        <w:rPr>
          <w:rFonts w:ascii="Times New Roman" w:hAnsi="Times New Roman" w:cs="Times New Roman"/>
          <w:i/>
          <w:sz w:val="26"/>
          <w:szCs w:val="26"/>
        </w:rPr>
        <w:t>Devlin</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536 U.S. at pp. 10-11.)  </w:t>
      </w:r>
    </w:p>
    <w:p w:rsidR="00517E8A" w:rsidRPr="0038793A" w:rsidRDefault="002E370B" w:rsidP="00517E8A">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Federal and state courts are far from uniform on whether </w:t>
      </w:r>
      <w:r w:rsidRPr="0038793A">
        <w:rPr>
          <w:rFonts w:ascii="Times New Roman" w:hAnsi="Times New Roman" w:cs="Times New Roman"/>
          <w:i/>
          <w:sz w:val="26"/>
          <w:szCs w:val="26"/>
        </w:rPr>
        <w:t>Devlin</w:t>
      </w:r>
      <w:r w:rsidRPr="0038793A">
        <w:rPr>
          <w:rFonts w:ascii="Times New Roman" w:hAnsi="Times New Roman" w:cs="Times New Roman"/>
          <w:sz w:val="26"/>
          <w:szCs w:val="26"/>
        </w:rPr>
        <w:t xml:space="preserve">’s rule even applies to all class proceedings, including opt-out class actions.  Some courts limit </w:t>
      </w:r>
      <w:r w:rsidRPr="0038793A">
        <w:rPr>
          <w:rFonts w:ascii="Times New Roman" w:hAnsi="Times New Roman" w:cs="Times New Roman"/>
          <w:i/>
          <w:sz w:val="26"/>
          <w:szCs w:val="26"/>
        </w:rPr>
        <w:t>Devlin</w:t>
      </w:r>
      <w:r w:rsidRPr="0038793A">
        <w:rPr>
          <w:rFonts w:ascii="Times New Roman" w:hAnsi="Times New Roman" w:cs="Times New Roman"/>
          <w:sz w:val="26"/>
          <w:szCs w:val="26"/>
        </w:rPr>
        <w:t xml:space="preserve"> to cases in which the unnamed class members had no ability to opt out of the class and either objected or intervened during the settlement proceedings.   (See, e.g., </w:t>
      </w:r>
      <w:r w:rsidRPr="0038793A">
        <w:rPr>
          <w:rFonts w:ascii="Times New Roman" w:hAnsi="Times New Roman" w:cs="Times New Roman"/>
          <w:i/>
          <w:sz w:val="26"/>
          <w:szCs w:val="26"/>
        </w:rPr>
        <w:t>Day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proofErr w:type="spellStart"/>
      <w:r w:rsidRPr="0038793A">
        <w:rPr>
          <w:rFonts w:ascii="Times New Roman" w:hAnsi="Times New Roman" w:cs="Times New Roman"/>
          <w:i/>
          <w:sz w:val="26"/>
          <w:szCs w:val="26"/>
        </w:rPr>
        <w:t>Persels</w:t>
      </w:r>
      <w:proofErr w:type="spellEnd"/>
      <w:r w:rsidRPr="0038793A">
        <w:rPr>
          <w:rFonts w:ascii="Times New Roman" w:hAnsi="Times New Roman" w:cs="Times New Roman"/>
          <w:i/>
          <w:sz w:val="26"/>
          <w:szCs w:val="26"/>
        </w:rPr>
        <w:t xml:space="preserve"> &amp; Associates</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LLC </w:t>
      </w:r>
      <w:r w:rsidRPr="0038793A">
        <w:rPr>
          <w:rFonts w:ascii="Times New Roman" w:hAnsi="Times New Roman" w:cs="Times New Roman"/>
          <w:sz w:val="26"/>
          <w:szCs w:val="26"/>
        </w:rPr>
        <w:t xml:space="preserve">(11th Cir. 2013) 729 F.3d 1309, 1318-1319, 1321 [distinguishing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to hold that unnamed absent class members who do not opt out are not “parties” to the litigation under 28 U.S.C. § 636(b), (c), and noting three ways to obtain party status, including intervention under Rule 24(a)]; </w:t>
      </w:r>
      <w:r w:rsidRPr="0038793A">
        <w:rPr>
          <w:rFonts w:ascii="Times New Roman" w:hAnsi="Times New Roman" w:cs="Times New Roman"/>
          <w:i/>
          <w:sz w:val="26"/>
          <w:szCs w:val="26"/>
        </w:rPr>
        <w:t>Barnhill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Florida Microsoft Anti-Trust Litigation </w:t>
      </w:r>
      <w:r w:rsidRPr="0038793A">
        <w:rPr>
          <w:rFonts w:ascii="Times New Roman" w:hAnsi="Times New Roman" w:cs="Times New Roman"/>
          <w:sz w:val="26"/>
          <w:szCs w:val="26"/>
        </w:rPr>
        <w:t>(</w:t>
      </w:r>
      <w:proofErr w:type="spellStart"/>
      <w:r w:rsidRPr="0038793A">
        <w:rPr>
          <w:rFonts w:ascii="Times New Roman" w:hAnsi="Times New Roman" w:cs="Times New Roman"/>
          <w:sz w:val="26"/>
          <w:szCs w:val="26"/>
        </w:rPr>
        <w:t>Fla.Ct.App</w:t>
      </w:r>
      <w:proofErr w:type="spellEnd"/>
      <w:r w:rsidRPr="0038793A">
        <w:rPr>
          <w:rFonts w:ascii="Times New Roman" w:hAnsi="Times New Roman" w:cs="Times New Roman"/>
          <w:sz w:val="26"/>
          <w:szCs w:val="26"/>
        </w:rPr>
        <w:t xml:space="preserve">. 2005) 905 So.2d 195, 199 [finding “no consensus” on the scope of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and agreeing with cases limiting </w:t>
      </w:r>
      <w:r w:rsidRPr="0038793A">
        <w:rPr>
          <w:rFonts w:ascii="Times New Roman" w:hAnsi="Times New Roman" w:cs="Times New Roman"/>
          <w:i/>
          <w:sz w:val="26"/>
          <w:szCs w:val="26"/>
        </w:rPr>
        <w:t>Devlin</w:t>
      </w:r>
      <w:r w:rsidRPr="0038793A">
        <w:rPr>
          <w:rFonts w:ascii="Times New Roman" w:hAnsi="Times New Roman" w:cs="Times New Roman"/>
          <w:sz w:val="26"/>
          <w:szCs w:val="26"/>
        </w:rPr>
        <w:t xml:space="preserve">’s applicability to mandatory class actions]; </w:t>
      </w:r>
      <w:r w:rsidRPr="0038793A">
        <w:rPr>
          <w:rFonts w:ascii="Times New Roman" w:hAnsi="Times New Roman" w:cs="Times New Roman"/>
          <w:i/>
          <w:sz w:val="26"/>
          <w:szCs w:val="26"/>
        </w:rPr>
        <w:t>Ballard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Advance America </w:t>
      </w:r>
      <w:r w:rsidRPr="0038793A">
        <w:rPr>
          <w:rFonts w:ascii="Times New Roman" w:hAnsi="Times New Roman" w:cs="Times New Roman"/>
          <w:sz w:val="26"/>
          <w:szCs w:val="26"/>
        </w:rPr>
        <w:t xml:space="preserve">(Ark. 2002) 79 S.W.3d 835, 837 [distinguishing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as federal law, not Arkansas law, and holding nonparty objectors could not </w:t>
      </w:r>
      <w:r w:rsidRPr="0038793A">
        <w:rPr>
          <w:rFonts w:ascii="Times New Roman" w:hAnsi="Times New Roman" w:cs="Times New Roman"/>
          <w:sz w:val="26"/>
          <w:szCs w:val="26"/>
        </w:rPr>
        <w:lastRenderedPageBreak/>
        <w:t xml:space="preserve">appeal settlement without first seeking to intervene]; </w:t>
      </w:r>
      <w:r w:rsidRPr="0038793A">
        <w:rPr>
          <w:rFonts w:ascii="Times New Roman" w:hAnsi="Times New Roman" w:cs="Times New Roman"/>
          <w:i/>
          <w:sz w:val="26"/>
          <w:szCs w:val="26"/>
        </w:rPr>
        <w:t>Snell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Allianz Life Ins</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Co</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of North America </w:t>
      </w:r>
      <w:r w:rsidRPr="0038793A">
        <w:rPr>
          <w:rFonts w:ascii="Times New Roman" w:hAnsi="Times New Roman" w:cs="Times New Roman"/>
          <w:sz w:val="26"/>
          <w:szCs w:val="26"/>
        </w:rPr>
        <w:t>(8th Cir. 2003) 327 F.3d 665, 670, fn. 2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does not apply to opt-out class action in which unnamed class member did not object to settlement in district court]; </w:t>
      </w:r>
      <w:r w:rsidRPr="0038793A">
        <w:rPr>
          <w:rFonts w:ascii="Times New Roman" w:hAnsi="Times New Roman" w:cs="Times New Roman"/>
          <w:i/>
          <w:sz w:val="26"/>
          <w:szCs w:val="26"/>
        </w:rPr>
        <w:t>In re General American Life Ins</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Co</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Sales Practices Litigation </w:t>
      </w:r>
      <w:r w:rsidRPr="0038793A">
        <w:rPr>
          <w:rFonts w:ascii="Times New Roman" w:hAnsi="Times New Roman" w:cs="Times New Roman"/>
          <w:sz w:val="26"/>
          <w:szCs w:val="26"/>
        </w:rPr>
        <w:t xml:space="preserve">(8th Cir. 2002) 302 F.3d 799, 800 [dictum noting a limited reading of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“has considerable merit”].)</w:t>
      </w:r>
    </w:p>
    <w:p w:rsidR="00DA7834" w:rsidRPr="0038793A" w:rsidRDefault="002E370B" w:rsidP="00547B2D">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Other federal and state courts hold that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applies to all class actions, including opt-out actions filed under Rule 23(b)(3) (See, e.g., </w:t>
      </w:r>
      <w:r w:rsidRPr="0038793A">
        <w:rPr>
          <w:rFonts w:ascii="Times New Roman" w:hAnsi="Times New Roman" w:cs="Times New Roman"/>
          <w:i/>
          <w:sz w:val="26"/>
          <w:szCs w:val="26"/>
        </w:rPr>
        <w:t>Bachman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A</w:t>
      </w:r>
      <w:r w:rsidRPr="0038793A">
        <w:rPr>
          <w:rFonts w:ascii="Times New Roman" w:hAnsi="Times New Roman" w:cs="Times New Roman"/>
          <w:sz w:val="26"/>
          <w:szCs w:val="26"/>
        </w:rPr>
        <w:t>.</w:t>
      </w:r>
      <w:r w:rsidRPr="0038793A">
        <w:rPr>
          <w:rFonts w:ascii="Times New Roman" w:hAnsi="Times New Roman" w:cs="Times New Roman"/>
          <w:i/>
          <w:sz w:val="26"/>
          <w:szCs w:val="26"/>
        </w:rPr>
        <w:t>G</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Edwards</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Inc</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w:t>
      </w:r>
      <w:proofErr w:type="spellStart"/>
      <w:r w:rsidRPr="0038793A">
        <w:rPr>
          <w:rFonts w:ascii="Times New Roman" w:hAnsi="Times New Roman" w:cs="Times New Roman"/>
          <w:sz w:val="26"/>
          <w:szCs w:val="26"/>
        </w:rPr>
        <w:t>Mo.Ct.App</w:t>
      </w:r>
      <w:proofErr w:type="spellEnd"/>
      <w:r w:rsidRPr="0038793A">
        <w:rPr>
          <w:rFonts w:ascii="Times New Roman" w:hAnsi="Times New Roman" w:cs="Times New Roman"/>
          <w:sz w:val="26"/>
          <w:szCs w:val="26"/>
        </w:rPr>
        <w:t xml:space="preserve">. 2011) 344 S.W.3d 260, 265, fn. 3 [included dictum stating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applies to all class actions, though not applying federal standard because objector timely intervened under state law]; </w:t>
      </w:r>
      <w:r w:rsidRPr="0038793A">
        <w:rPr>
          <w:rFonts w:ascii="Times New Roman" w:hAnsi="Times New Roman" w:cs="Times New Roman"/>
          <w:i/>
          <w:sz w:val="26"/>
          <w:szCs w:val="26"/>
        </w:rPr>
        <w:t xml:space="preserve">Nat’l </w:t>
      </w:r>
      <w:proofErr w:type="spellStart"/>
      <w:r w:rsidRPr="0038793A">
        <w:rPr>
          <w:rFonts w:ascii="Times New Roman" w:hAnsi="Times New Roman" w:cs="Times New Roman"/>
          <w:i/>
          <w:sz w:val="26"/>
          <w:szCs w:val="26"/>
        </w:rPr>
        <w:t>Ass’n</w:t>
      </w:r>
      <w:proofErr w:type="spellEnd"/>
      <w:r w:rsidRPr="0038793A">
        <w:rPr>
          <w:rFonts w:ascii="Times New Roman" w:hAnsi="Times New Roman" w:cs="Times New Roman"/>
          <w:i/>
          <w:sz w:val="26"/>
          <w:szCs w:val="26"/>
        </w:rPr>
        <w:t xml:space="preserve"> of Chain Drug Stores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New England Carpenters Health Benefits Fund </w:t>
      </w:r>
      <w:r w:rsidRPr="0038793A">
        <w:rPr>
          <w:rFonts w:ascii="Times New Roman" w:hAnsi="Times New Roman" w:cs="Times New Roman"/>
          <w:sz w:val="26"/>
          <w:szCs w:val="26"/>
        </w:rPr>
        <w:t xml:space="preserve">(1st Cir. 2009) 582 F.3d 30, 39-40 [claiming, without discussing contrary authority, that “weight of authority” finds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applies to all class actions]; </w:t>
      </w:r>
      <w:r w:rsidRPr="0038793A">
        <w:rPr>
          <w:rFonts w:ascii="Times New Roman" w:hAnsi="Times New Roman" w:cs="Times New Roman"/>
          <w:i/>
          <w:sz w:val="26"/>
          <w:szCs w:val="26"/>
        </w:rPr>
        <w:t>Fidel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Farley </w:t>
      </w:r>
      <w:r w:rsidRPr="0038793A">
        <w:rPr>
          <w:rFonts w:ascii="Times New Roman" w:hAnsi="Times New Roman" w:cs="Times New Roman"/>
          <w:sz w:val="26"/>
          <w:szCs w:val="26"/>
        </w:rPr>
        <w:t xml:space="preserve">(6th Cir. 2008) 534 F.3d 508, 512-513 [applying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to Rule 23(b)(3) class actions]; </w:t>
      </w:r>
      <w:r w:rsidRPr="0038793A">
        <w:rPr>
          <w:rFonts w:ascii="Times New Roman" w:hAnsi="Times New Roman" w:cs="Times New Roman"/>
          <w:i/>
          <w:sz w:val="26"/>
          <w:szCs w:val="26"/>
        </w:rPr>
        <w:t>In re Integra Realty Resources</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Inc</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(10th Cir. 2004) 354 F.3d 1246 [unnamed class members who do not opt out but seek to challenge settlement on appeal must first object in district court or file motion to intervene under Rule 24(a)]; </w:t>
      </w:r>
      <w:r w:rsidRPr="0038793A">
        <w:rPr>
          <w:rFonts w:ascii="Times New Roman" w:hAnsi="Times New Roman" w:cs="Times New Roman"/>
          <w:i/>
          <w:sz w:val="26"/>
          <w:szCs w:val="26"/>
        </w:rPr>
        <w:t>Churchill Village</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LLC</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Gen</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Elec</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(9th Cir. 2004) 361 F.3d 566, 572-573 [finding no practical difference between mandatory and opt-out class actions which bind objectors for purposes of deciding federal question]; </w:t>
      </w:r>
      <w:r w:rsidRPr="0038793A">
        <w:rPr>
          <w:rFonts w:ascii="Times New Roman" w:hAnsi="Times New Roman" w:cs="Times New Roman"/>
          <w:i/>
          <w:sz w:val="26"/>
          <w:szCs w:val="26"/>
        </w:rPr>
        <w:t xml:space="preserve">Rivera-Platte </w:t>
      </w:r>
      <w:proofErr w:type="gramStart"/>
      <w:r w:rsidRPr="0038793A">
        <w:rPr>
          <w:rFonts w:ascii="Times New Roman" w:hAnsi="Times New Roman" w:cs="Times New Roman"/>
          <w:i/>
          <w:sz w:val="26"/>
          <w:szCs w:val="26"/>
        </w:rPr>
        <w:t>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proofErr w:type="gramEnd"/>
      <w:r w:rsidRPr="0038793A">
        <w:rPr>
          <w:rFonts w:ascii="Times New Roman" w:hAnsi="Times New Roman" w:cs="Times New Roman"/>
          <w:i/>
          <w:sz w:val="26"/>
          <w:szCs w:val="26"/>
        </w:rPr>
        <w:t>First Colony Life Ins</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Co</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w:t>
      </w:r>
      <w:proofErr w:type="spellStart"/>
      <w:r w:rsidRPr="0038793A">
        <w:rPr>
          <w:rFonts w:ascii="Times New Roman" w:hAnsi="Times New Roman" w:cs="Times New Roman"/>
          <w:sz w:val="26"/>
          <w:szCs w:val="26"/>
        </w:rPr>
        <w:t>N.M.Ct.App</w:t>
      </w:r>
      <w:proofErr w:type="spellEnd"/>
      <w:r w:rsidRPr="0038793A">
        <w:rPr>
          <w:rFonts w:ascii="Times New Roman" w:hAnsi="Times New Roman" w:cs="Times New Roman"/>
          <w:sz w:val="26"/>
          <w:szCs w:val="26"/>
        </w:rPr>
        <w:t xml:space="preserve">. 2007) 173 P.3d 765, 773 [agreeing with </w:t>
      </w:r>
      <w:r w:rsidRPr="0038793A">
        <w:rPr>
          <w:rFonts w:ascii="Times New Roman" w:hAnsi="Times New Roman" w:cs="Times New Roman"/>
          <w:i/>
          <w:sz w:val="26"/>
          <w:szCs w:val="26"/>
        </w:rPr>
        <w:t>Churchill</w:t>
      </w:r>
      <w:r w:rsidRPr="0038793A">
        <w:rPr>
          <w:rFonts w:ascii="Times New Roman" w:hAnsi="Times New Roman" w:cs="Times New Roman"/>
          <w:sz w:val="26"/>
          <w:szCs w:val="26"/>
        </w:rPr>
        <w:t xml:space="preserve"> that </w:t>
      </w:r>
      <w:r w:rsidRPr="0038793A">
        <w:rPr>
          <w:rFonts w:ascii="Times New Roman" w:hAnsi="Times New Roman" w:cs="Times New Roman"/>
          <w:i/>
          <w:sz w:val="26"/>
          <w:szCs w:val="26"/>
        </w:rPr>
        <w:t xml:space="preserve">Devlin </w:t>
      </w:r>
      <w:r w:rsidRPr="0038793A">
        <w:rPr>
          <w:rFonts w:ascii="Times New Roman" w:hAnsi="Times New Roman" w:cs="Times New Roman"/>
          <w:sz w:val="26"/>
          <w:szCs w:val="26"/>
        </w:rPr>
        <w:t xml:space="preserve">extends to opt-out class actions].)  The split of authority illustrates the unsettled nature of the law in federal (and state) courts.   </w:t>
      </w:r>
    </w:p>
    <w:p w:rsidR="008E1653" w:rsidRPr="0038793A" w:rsidRDefault="002E370B" w:rsidP="00105502">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We </w:t>
      </w:r>
      <w:proofErr w:type="gramStart"/>
      <w:r w:rsidRPr="0038793A">
        <w:rPr>
          <w:rFonts w:ascii="Times New Roman" w:hAnsi="Times New Roman" w:cs="Times New Roman"/>
          <w:sz w:val="26"/>
          <w:szCs w:val="26"/>
        </w:rPr>
        <w:t>are not persuaded</w:t>
      </w:r>
      <w:proofErr w:type="gramEnd"/>
      <w:r w:rsidRPr="0038793A">
        <w:rPr>
          <w:rFonts w:ascii="Times New Roman" w:hAnsi="Times New Roman" w:cs="Times New Roman"/>
          <w:sz w:val="26"/>
          <w:szCs w:val="26"/>
        </w:rPr>
        <w:t xml:space="preserve"> by the courts that have adopted </w:t>
      </w:r>
      <w:r w:rsidRPr="0038793A">
        <w:rPr>
          <w:rFonts w:ascii="Times New Roman" w:hAnsi="Times New Roman" w:cs="Times New Roman"/>
          <w:i/>
          <w:sz w:val="26"/>
          <w:szCs w:val="26"/>
        </w:rPr>
        <w:t>Devlin</w:t>
      </w:r>
      <w:r w:rsidRPr="0038793A">
        <w:rPr>
          <w:rFonts w:ascii="Times New Roman" w:hAnsi="Times New Roman" w:cs="Times New Roman"/>
          <w:sz w:val="26"/>
          <w:szCs w:val="26"/>
        </w:rPr>
        <w:t xml:space="preserve"> as their rule.  Our state common law, legislation, and procedural rules of court differ significantly from the federal common law and procedural rules.  (Compare Rules </w:t>
      </w:r>
      <w:r w:rsidRPr="0038793A">
        <w:rPr>
          <w:rFonts w:ascii="Times New Roman" w:hAnsi="Times New Roman" w:cs="Times New Roman"/>
          <w:sz w:val="26"/>
          <w:szCs w:val="26"/>
        </w:rPr>
        <w:lastRenderedPageBreak/>
        <w:t xml:space="preserve">23, 24(a) [class members may appeal settlement </w:t>
      </w:r>
      <w:proofErr w:type="gramStart"/>
      <w:r w:rsidRPr="0038793A">
        <w:rPr>
          <w:rFonts w:ascii="Times New Roman" w:hAnsi="Times New Roman" w:cs="Times New Roman"/>
          <w:sz w:val="26"/>
          <w:szCs w:val="26"/>
        </w:rPr>
        <w:t>as long as</w:t>
      </w:r>
      <w:proofErr w:type="gramEnd"/>
      <w:r w:rsidRPr="0038793A">
        <w:rPr>
          <w:rFonts w:ascii="Times New Roman" w:hAnsi="Times New Roman" w:cs="Times New Roman"/>
          <w:sz w:val="26"/>
          <w:szCs w:val="26"/>
        </w:rPr>
        <w:t xml:space="preserve"> they provide notice to the court that they object to settlement (Rule 23(h)) or intervene under Rule 24(a)] with </w:t>
      </w:r>
      <w:r w:rsidRPr="0038793A">
        <w:rPr>
          <w:rFonts w:ascii="Times New Roman" w:hAnsi="Times New Roman" w:cs="Times New Roman"/>
          <w:i/>
          <w:sz w:val="26"/>
          <w:szCs w:val="26"/>
        </w:rPr>
        <w:t>Eggert</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 xml:space="preserve">20 Cal.2d at p. 201, and Cal. Rules of Court, rule 3.769(f) [silent on class member right to appeal].)  Potential class members in our state can opt out of the class action litigation and pursue their own litigation against the same class defendant, timely intervene in the action or proceeding, or move to set aside the judgment.  (Cal. Rules of Court, rule 3.766; see §§ 387, 663.) As the Court of Appeal emphasized here, our Legislature has chosen to continue </w:t>
      </w: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’s rule despite changes in federal class action rules.  </w:t>
      </w:r>
    </w:p>
    <w:p w:rsidR="000601B1" w:rsidRPr="0038793A" w:rsidRDefault="002E370B" w:rsidP="00105502">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Muller alternatively claims that because a class settlement is generally binding on all class members (assuming class representatives have complied with due process regarding notice and adequate representation), we should create an exception to </w:t>
      </w:r>
      <w:r w:rsidRPr="0038793A">
        <w:rPr>
          <w:rFonts w:ascii="Times New Roman" w:hAnsi="Times New Roman" w:cs="Times New Roman"/>
          <w:i/>
          <w:sz w:val="26"/>
          <w:szCs w:val="26"/>
        </w:rPr>
        <w:t>Eggert</w:t>
      </w:r>
      <w:r w:rsidRPr="0038793A">
        <w:rPr>
          <w:rFonts w:ascii="Times New Roman" w:hAnsi="Times New Roman" w:cs="Times New Roman"/>
          <w:sz w:val="26"/>
          <w:szCs w:val="26"/>
        </w:rPr>
        <w:t xml:space="preserve"> that allows members to appeal their denied objections to settlement without formal intervention.  (See </w:t>
      </w:r>
      <w:r w:rsidRPr="0038793A">
        <w:rPr>
          <w:rFonts w:ascii="Times New Roman" w:hAnsi="Times New Roman" w:cs="Times New Roman"/>
          <w:i/>
          <w:sz w:val="26"/>
          <w:szCs w:val="26"/>
        </w:rPr>
        <w:t>DeLeon v</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Verizon Wireless</w:t>
      </w:r>
      <w:r w:rsidRPr="0038793A">
        <w:rPr>
          <w:rFonts w:ascii="Times New Roman" w:hAnsi="Times New Roman" w:cs="Times New Roman"/>
          <w:sz w:val="26"/>
          <w:szCs w:val="26"/>
        </w:rPr>
        <w:t xml:space="preserve">, </w:t>
      </w:r>
      <w:r w:rsidRPr="0038793A">
        <w:rPr>
          <w:rFonts w:ascii="Times New Roman" w:hAnsi="Times New Roman" w:cs="Times New Roman"/>
          <w:i/>
          <w:sz w:val="26"/>
          <w:szCs w:val="26"/>
        </w:rPr>
        <w:t>LLC</w:t>
      </w:r>
      <w:r w:rsidRPr="0038793A">
        <w:rPr>
          <w:rFonts w:ascii="Times New Roman" w:hAnsi="Times New Roman" w:cs="Times New Roman"/>
          <w:sz w:val="26"/>
          <w:szCs w:val="26"/>
        </w:rPr>
        <w:t xml:space="preserve"> (2012) 207 Cal.App.4th 800, 807, fn. 3 [res judicata bars settling class members from thereafter seeking relief].)  We decline to do so.  Following </w:t>
      </w:r>
      <w:r w:rsidRPr="0038793A">
        <w:rPr>
          <w:rFonts w:ascii="Times New Roman" w:hAnsi="Times New Roman" w:cs="Times New Roman"/>
          <w:i/>
          <w:sz w:val="26"/>
          <w:szCs w:val="26"/>
        </w:rPr>
        <w:t xml:space="preserve">Eggert </w:t>
      </w:r>
      <w:r w:rsidRPr="0038793A">
        <w:rPr>
          <w:rFonts w:ascii="Times New Roman" w:hAnsi="Times New Roman" w:cs="Times New Roman"/>
          <w:sz w:val="26"/>
          <w:szCs w:val="26"/>
        </w:rPr>
        <w:t>and requiring intervention does not discourage unnamed class members from filing a meritorious appeal.  Rather, it continues a manageable process under a bright-line rule that promotes judicial economy by providing clear notice of a timely intent to challenge the class representative’s settlement action.  Formal intervention also enables the trial court to review the motion to intervene in a timely manner.  Muller had the opportunity to intervene in the trial court proceedings but chose not to do so.  Instead, she made a strategic choice to wait and see if she agreed with the settlement amount and attorney fees agreement.</w:t>
      </w:r>
      <w:r w:rsidRPr="0038793A">
        <w:rPr>
          <w:rStyle w:val="FootnoteReference"/>
          <w:rFonts w:ascii="Times New Roman" w:hAnsi="Times New Roman" w:cs="Times New Roman"/>
          <w:sz w:val="26"/>
          <w:szCs w:val="26"/>
        </w:rPr>
        <w:t xml:space="preserve"> </w:t>
      </w:r>
      <w:r w:rsidRPr="0038793A">
        <w:rPr>
          <w:rFonts w:ascii="Times New Roman" w:hAnsi="Times New Roman" w:cs="Times New Roman"/>
          <w:sz w:val="26"/>
          <w:szCs w:val="26"/>
        </w:rPr>
        <w:t xml:space="preserve"> By filing an appeal without first intervening in the action however, Muller never became an “aggrieved party” </w:t>
      </w:r>
      <w:r w:rsidRPr="0038793A">
        <w:rPr>
          <w:rFonts w:ascii="Times New Roman" w:hAnsi="Times New Roman" w:cs="Times New Roman"/>
          <w:sz w:val="26"/>
          <w:szCs w:val="26"/>
        </w:rPr>
        <w:lastRenderedPageBreak/>
        <w:t xml:space="preserve">of record to the action as our law requires.  (§ 902; </w:t>
      </w:r>
      <w:r w:rsidRPr="0038793A">
        <w:rPr>
          <w:rFonts w:ascii="Times New Roman" w:hAnsi="Times New Roman" w:cs="Times New Roman"/>
          <w:i/>
          <w:sz w:val="26"/>
          <w:szCs w:val="26"/>
        </w:rPr>
        <w:t>Eggert</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supra</w:t>
      </w:r>
      <w:r w:rsidRPr="0038793A">
        <w:rPr>
          <w:rFonts w:ascii="Times New Roman" w:hAnsi="Times New Roman" w:cs="Times New Roman"/>
          <w:sz w:val="26"/>
          <w:szCs w:val="26"/>
        </w:rPr>
        <w:t>,</w:t>
      </w:r>
      <w:r w:rsidRPr="0038793A">
        <w:rPr>
          <w:rFonts w:ascii="Times New Roman" w:hAnsi="Times New Roman" w:cs="Times New Roman"/>
          <w:i/>
          <w:sz w:val="26"/>
          <w:szCs w:val="26"/>
        </w:rPr>
        <w:t xml:space="preserve"> </w:t>
      </w:r>
      <w:r w:rsidRPr="0038793A">
        <w:rPr>
          <w:rFonts w:ascii="Times New Roman" w:hAnsi="Times New Roman" w:cs="Times New Roman"/>
          <w:sz w:val="26"/>
          <w:szCs w:val="26"/>
        </w:rPr>
        <w:t>20 Cal.2d 450.)</w:t>
      </w:r>
      <w:r>
        <w:rPr>
          <w:rStyle w:val="FootnoteReference"/>
          <w:rFonts w:ascii="Times New Roman" w:hAnsi="Times New Roman" w:cs="Times New Roman"/>
          <w:sz w:val="26"/>
          <w:szCs w:val="26"/>
        </w:rPr>
        <w:footnoteReference w:id="3"/>
      </w:r>
      <w:r w:rsidRPr="0038793A">
        <w:rPr>
          <w:rFonts w:ascii="Times New Roman" w:hAnsi="Times New Roman" w:cs="Times New Roman"/>
          <w:sz w:val="26"/>
          <w:szCs w:val="26"/>
        </w:rPr>
        <w:t xml:space="preserve">   </w:t>
      </w:r>
    </w:p>
    <w:p w:rsidR="008A0D4C" w:rsidRPr="0038793A" w:rsidRDefault="002E370B" w:rsidP="000F19CE">
      <w:pPr>
        <w:pStyle w:val="FootnoteText"/>
        <w:spacing w:line="480" w:lineRule="atLeast"/>
        <w:ind w:firstLine="720"/>
        <w:rPr>
          <w:rFonts w:cs="Times New Roman"/>
        </w:rPr>
      </w:pPr>
      <w:r w:rsidRPr="0038793A">
        <w:rPr>
          <w:rFonts w:cs="Times New Roman"/>
        </w:rPr>
        <w:t xml:space="preserve">Several policy considerations provide additional support for </w:t>
      </w:r>
      <w:r w:rsidRPr="0038793A">
        <w:rPr>
          <w:rFonts w:cs="Times New Roman"/>
          <w:i/>
        </w:rPr>
        <w:t>Eggert</w:t>
      </w:r>
      <w:r w:rsidRPr="0038793A">
        <w:rPr>
          <w:rFonts w:cs="Times New Roman"/>
        </w:rPr>
        <w:t xml:space="preserve">’s continued viability.  Meritless objections “can disrupt settlements by requiring class counsel to expend resources fighting appeals, and, more importantly, delaying the point at which settlements become final.”  (Fitzpatrick, </w:t>
      </w:r>
      <w:r w:rsidRPr="0038793A">
        <w:rPr>
          <w:rFonts w:cs="Times New Roman"/>
          <w:i/>
        </w:rPr>
        <w:t>The End of Objector Blackmail</w:t>
      </w:r>
      <w:proofErr w:type="gramStart"/>
      <w:r w:rsidRPr="0038793A">
        <w:rPr>
          <w:rFonts w:cs="Times New Roman"/>
          <w:i/>
        </w:rPr>
        <w:t>?</w:t>
      </w:r>
      <w:r w:rsidRPr="0038793A">
        <w:rPr>
          <w:rFonts w:cs="Times New Roman"/>
        </w:rPr>
        <w:t xml:space="preserve"> </w:t>
      </w:r>
      <w:proofErr w:type="gramEnd"/>
      <w:r w:rsidRPr="0038793A">
        <w:rPr>
          <w:rFonts w:cs="Times New Roman"/>
        </w:rPr>
        <w:t xml:space="preserve">(2009) 62 </w:t>
      </w:r>
      <w:proofErr w:type="spellStart"/>
      <w:r w:rsidRPr="0038793A">
        <w:rPr>
          <w:rFonts w:cs="Times New Roman"/>
        </w:rPr>
        <w:t>Vand</w:t>
      </w:r>
      <w:proofErr w:type="spellEnd"/>
      <w:proofErr w:type="gramStart"/>
      <w:r w:rsidRPr="0038793A">
        <w:rPr>
          <w:rFonts w:cs="Times New Roman"/>
        </w:rPr>
        <w:t xml:space="preserve">. </w:t>
      </w:r>
      <w:proofErr w:type="spellStart"/>
      <w:proofErr w:type="gramEnd"/>
      <w:r w:rsidRPr="0038793A">
        <w:rPr>
          <w:rFonts w:cs="Times New Roman"/>
        </w:rPr>
        <w:t>L.Rev</w:t>
      </w:r>
      <w:proofErr w:type="spellEnd"/>
      <w:r w:rsidRPr="0038793A">
        <w:rPr>
          <w:rFonts w:cs="Times New Roman"/>
        </w:rPr>
        <w:t xml:space="preserve">. 1623, 1634.)  These same objectors who appear and object to proceedings in different class actions—also known as “professional objectors,” </w:t>
      </w:r>
      <w:proofErr w:type="gramStart"/>
      <w:r w:rsidRPr="0038793A">
        <w:rPr>
          <w:rFonts w:cs="Times New Roman"/>
        </w:rPr>
        <w:t>are thought</w:t>
      </w:r>
      <w:proofErr w:type="gramEnd"/>
      <w:r w:rsidRPr="0038793A">
        <w:rPr>
          <w:rFonts w:cs="Times New Roman"/>
        </w:rPr>
        <w:t xml:space="preserve"> to harm the class members whose interests they claim to protect.  “First, professional objectors’ almost invariably groundless objections delay the provision of relief to class members who, in most instances, have already waited years for resolution.  Second, by feeding off the fees earned by class counsel who took the risk of suing defendants on a purely contingent basis, as is the normal practice in class actions, professional objectors create a disincentive for class counsel to take on such risky matters.  That disincentive clashes with the public interest, repeatedly recognized by courts, to incentivize class counsel to handle such cases.”  (Greenberg, </w:t>
      </w:r>
      <w:r w:rsidRPr="0038793A">
        <w:rPr>
          <w:rFonts w:cs="Times New Roman"/>
          <w:i/>
        </w:rPr>
        <w:t>Keeping the Flies out of the Ointment:</w:t>
      </w:r>
      <w:r w:rsidRPr="0038793A">
        <w:rPr>
          <w:rFonts w:cs="Times New Roman"/>
        </w:rPr>
        <w:t xml:space="preserve">  </w:t>
      </w:r>
      <w:r w:rsidRPr="0038793A">
        <w:rPr>
          <w:rFonts w:cs="Times New Roman"/>
          <w:i/>
        </w:rPr>
        <w:t xml:space="preserve">Restricting Objectors to Class Action Settlements </w:t>
      </w:r>
      <w:r w:rsidRPr="0038793A">
        <w:rPr>
          <w:rFonts w:cs="Times New Roman"/>
        </w:rPr>
        <w:t xml:space="preserve">(2010) 84 St. John’s </w:t>
      </w:r>
      <w:proofErr w:type="spellStart"/>
      <w:r w:rsidRPr="0038793A">
        <w:rPr>
          <w:rFonts w:cs="Times New Roman"/>
        </w:rPr>
        <w:t>L.Rev</w:t>
      </w:r>
      <w:proofErr w:type="spellEnd"/>
      <w:r w:rsidRPr="0038793A">
        <w:rPr>
          <w:rFonts w:cs="Times New Roman"/>
        </w:rPr>
        <w:t xml:space="preserve">. 949, 951.)  </w:t>
      </w:r>
    </w:p>
    <w:p w:rsidR="0043245B" w:rsidRPr="0038793A" w:rsidRDefault="002E370B" w:rsidP="00105502">
      <w:pPr>
        <w:pStyle w:val="FootnoteText"/>
        <w:spacing w:line="480" w:lineRule="atLeast"/>
        <w:ind w:firstLine="720"/>
        <w:rPr>
          <w:rFonts w:cs="Times New Roman"/>
        </w:rPr>
      </w:pPr>
      <w:r w:rsidRPr="0038793A">
        <w:rPr>
          <w:rFonts w:cs="Times New Roman"/>
        </w:rPr>
        <w:t xml:space="preserve">Additionally, class representatives do not proceed in a vacuum that protects their interests only.  Our case law imposes strict fiduciary responsibilities on class representatives and class counsel to ensure the litigation proceeds in the best interests of all unnamed class members.  (See, e.g., </w:t>
      </w:r>
      <w:proofErr w:type="spellStart"/>
      <w:r w:rsidRPr="0038793A">
        <w:rPr>
          <w:rFonts w:cs="Times New Roman"/>
          <w:i/>
        </w:rPr>
        <w:t>Laffitte</w:t>
      </w:r>
      <w:proofErr w:type="spellEnd"/>
      <w:r w:rsidRPr="0038793A">
        <w:rPr>
          <w:rFonts w:cs="Times New Roman"/>
          <w:i/>
        </w:rPr>
        <w:t xml:space="preserve"> v</w:t>
      </w:r>
      <w:r w:rsidRPr="0038793A">
        <w:rPr>
          <w:rFonts w:cs="Times New Roman"/>
        </w:rPr>
        <w:t>.</w:t>
      </w:r>
      <w:r w:rsidRPr="0038793A">
        <w:rPr>
          <w:rFonts w:cs="Times New Roman"/>
          <w:i/>
        </w:rPr>
        <w:t xml:space="preserve"> Robert Half </w:t>
      </w:r>
      <w:proofErr w:type="spellStart"/>
      <w:r w:rsidRPr="0038793A">
        <w:rPr>
          <w:rFonts w:cs="Times New Roman"/>
          <w:i/>
        </w:rPr>
        <w:t>Internat</w:t>
      </w:r>
      <w:r w:rsidRPr="0038793A">
        <w:rPr>
          <w:rFonts w:cs="Times New Roman"/>
        </w:rPr>
        <w:t>.</w:t>
      </w:r>
      <w:proofErr w:type="spellEnd"/>
      <w:r w:rsidRPr="0038793A">
        <w:rPr>
          <w:rFonts w:cs="Times New Roman"/>
        </w:rPr>
        <w:t>,</w:t>
      </w:r>
      <w:r w:rsidRPr="0038793A">
        <w:rPr>
          <w:rFonts w:cs="Times New Roman"/>
          <w:i/>
        </w:rPr>
        <w:t xml:space="preserve"> Inc</w:t>
      </w:r>
      <w:r w:rsidRPr="0038793A">
        <w:rPr>
          <w:rFonts w:cs="Times New Roman"/>
        </w:rPr>
        <w:t>.</w:t>
      </w:r>
      <w:r w:rsidRPr="0038793A">
        <w:rPr>
          <w:rFonts w:cs="Times New Roman"/>
          <w:i/>
        </w:rPr>
        <w:t xml:space="preserve"> </w:t>
      </w:r>
      <w:r w:rsidRPr="0038793A">
        <w:rPr>
          <w:rFonts w:cs="Times New Roman"/>
        </w:rPr>
        <w:t xml:space="preserve">(2016) 1 Cal.5th 480, 510 [trial court acts as fiduciary </w:t>
      </w:r>
      <w:proofErr w:type="gramStart"/>
      <w:r w:rsidRPr="0038793A">
        <w:rPr>
          <w:rFonts w:cs="Times New Roman"/>
        </w:rPr>
        <w:t>“ ‘</w:t>
      </w:r>
      <w:proofErr w:type="gramEnd"/>
      <w:r w:rsidRPr="0038793A">
        <w:rPr>
          <w:rFonts w:cs="Times New Roman"/>
        </w:rPr>
        <w:t xml:space="preserve">guarding </w:t>
      </w:r>
      <w:r w:rsidRPr="0038793A">
        <w:rPr>
          <w:rFonts w:cs="Times New Roman"/>
        </w:rPr>
        <w:lastRenderedPageBreak/>
        <w:t xml:space="preserve">the rights of absent class members’ ”]; </w:t>
      </w:r>
      <w:proofErr w:type="spellStart"/>
      <w:r w:rsidRPr="0038793A">
        <w:rPr>
          <w:rFonts w:cs="Times New Roman"/>
          <w:i/>
        </w:rPr>
        <w:t>Kullar</w:t>
      </w:r>
      <w:proofErr w:type="spellEnd"/>
      <w:r w:rsidRPr="0038793A">
        <w:rPr>
          <w:rFonts w:cs="Times New Roman"/>
          <w:i/>
        </w:rPr>
        <w:t xml:space="preserve"> v</w:t>
      </w:r>
      <w:r w:rsidRPr="0038793A">
        <w:rPr>
          <w:rFonts w:cs="Times New Roman"/>
        </w:rPr>
        <w:t>.</w:t>
      </w:r>
      <w:r w:rsidRPr="0038793A">
        <w:rPr>
          <w:rFonts w:cs="Times New Roman"/>
          <w:i/>
        </w:rPr>
        <w:t xml:space="preserve"> Foot Locker Retail</w:t>
      </w:r>
      <w:r w:rsidRPr="0038793A">
        <w:rPr>
          <w:rFonts w:cs="Times New Roman"/>
        </w:rPr>
        <w:t>,</w:t>
      </w:r>
      <w:r w:rsidRPr="0038793A">
        <w:rPr>
          <w:rFonts w:cs="Times New Roman"/>
          <w:i/>
        </w:rPr>
        <w:t xml:space="preserve"> Inc</w:t>
      </w:r>
      <w:r w:rsidRPr="0038793A">
        <w:rPr>
          <w:rFonts w:cs="Times New Roman"/>
        </w:rPr>
        <w:t>.</w:t>
      </w:r>
      <w:r w:rsidRPr="0038793A">
        <w:rPr>
          <w:rFonts w:cs="Times New Roman"/>
          <w:i/>
        </w:rPr>
        <w:t xml:space="preserve"> </w:t>
      </w:r>
      <w:r w:rsidRPr="0038793A">
        <w:rPr>
          <w:rFonts w:cs="Times New Roman"/>
        </w:rPr>
        <w:t xml:space="preserve">(2008) 168 Cal.App.4th 116, 130 [trial court must conduct independent and objective analysis “to protect the interests of absent class members”; </w:t>
      </w:r>
      <w:r w:rsidRPr="0038793A">
        <w:rPr>
          <w:rFonts w:cs="Times New Roman"/>
          <w:i/>
        </w:rPr>
        <w:t>La Sala v</w:t>
      </w:r>
      <w:r w:rsidRPr="0038793A">
        <w:rPr>
          <w:rFonts w:cs="Times New Roman"/>
        </w:rPr>
        <w:t>.</w:t>
      </w:r>
      <w:r w:rsidRPr="0038793A">
        <w:rPr>
          <w:rFonts w:cs="Times New Roman"/>
          <w:i/>
        </w:rPr>
        <w:t xml:space="preserve"> American Sav. &amp; Loan Assn</w:t>
      </w:r>
      <w:r w:rsidRPr="0038793A">
        <w:rPr>
          <w:rFonts w:cs="Times New Roman"/>
        </w:rPr>
        <w:t>.</w:t>
      </w:r>
      <w:r w:rsidRPr="0038793A">
        <w:rPr>
          <w:rFonts w:cs="Times New Roman"/>
          <w:i/>
        </w:rPr>
        <w:t xml:space="preserve"> </w:t>
      </w:r>
      <w:r w:rsidRPr="0038793A">
        <w:rPr>
          <w:rFonts w:cs="Times New Roman"/>
        </w:rPr>
        <w:t>(1971) 5 Cal.3d 864, 871 [class representatives act as fiduciaries for absent class members].)  Objectors who do not formally intervene have no such duty to the class.</w:t>
      </w:r>
    </w:p>
    <w:p w:rsidR="000601B1" w:rsidRPr="0038793A" w:rsidRDefault="002E370B" w:rsidP="00105502">
      <w:pPr>
        <w:pStyle w:val="FootnoteText"/>
        <w:spacing w:line="480" w:lineRule="atLeast"/>
        <w:ind w:firstLine="720"/>
        <w:rPr>
          <w:rFonts w:cs="Times New Roman"/>
        </w:rPr>
      </w:pPr>
      <w:r w:rsidRPr="0038793A">
        <w:rPr>
          <w:rFonts w:cs="Times New Roman"/>
        </w:rPr>
        <w:t xml:space="preserve">Muller also fails to justify her request that we overrule </w:t>
      </w:r>
      <w:r w:rsidRPr="0038793A">
        <w:rPr>
          <w:rFonts w:cs="Times New Roman"/>
          <w:i/>
        </w:rPr>
        <w:t>Eggert</w:t>
      </w:r>
      <w:r w:rsidRPr="0038793A">
        <w:rPr>
          <w:rFonts w:cs="Times New Roman"/>
        </w:rPr>
        <w:t xml:space="preserve"> under the well-established jurisprudential rule of stare decisis that we follow prior applicable precedent even though the case, if considered anew, might </w:t>
      </w:r>
      <w:proofErr w:type="gramStart"/>
      <w:r w:rsidRPr="0038793A">
        <w:rPr>
          <w:rFonts w:cs="Times New Roman"/>
        </w:rPr>
        <w:t>be decided</w:t>
      </w:r>
      <w:proofErr w:type="gramEnd"/>
      <w:r w:rsidRPr="0038793A">
        <w:rPr>
          <w:rFonts w:cs="Times New Roman"/>
        </w:rPr>
        <w:t xml:space="preserve"> differently.  This is so parties can “regulate their conduct and enter into relationships with reasonable assurance of the governing rules of law.”  (9 </w:t>
      </w:r>
      <w:proofErr w:type="spellStart"/>
      <w:r w:rsidRPr="0038793A">
        <w:rPr>
          <w:rFonts w:cs="Times New Roman"/>
        </w:rPr>
        <w:t>Witkin</w:t>
      </w:r>
      <w:proofErr w:type="spellEnd"/>
      <w:r w:rsidRPr="0038793A">
        <w:rPr>
          <w:rFonts w:cs="Times New Roman"/>
        </w:rPr>
        <w:t xml:space="preserve">, Cal. Procedure (5th ed. 2008) Appeal, § 481, at p. 541, and cases cited; </w:t>
      </w:r>
      <w:r w:rsidRPr="0038793A">
        <w:rPr>
          <w:rFonts w:cs="Times New Roman"/>
          <w:i/>
        </w:rPr>
        <w:t>id</w:t>
      </w:r>
      <w:proofErr w:type="gramStart"/>
      <w:r w:rsidRPr="0038793A">
        <w:rPr>
          <w:rFonts w:cs="Times New Roman"/>
        </w:rPr>
        <w:t xml:space="preserve">. </w:t>
      </w:r>
      <w:proofErr w:type="gramEnd"/>
      <w:r w:rsidRPr="0038793A">
        <w:rPr>
          <w:rFonts w:cs="Times New Roman"/>
        </w:rPr>
        <w:t xml:space="preserve">at p. 540.)  Although the doctrine is flexible because it permits this court to reconsider, and ultimately depart from, our own precedent when changes or developments in the law recommend it (see </w:t>
      </w:r>
      <w:r w:rsidRPr="0038793A">
        <w:rPr>
          <w:rFonts w:cs="Times New Roman"/>
          <w:i/>
        </w:rPr>
        <w:t>id</w:t>
      </w:r>
      <w:r w:rsidRPr="0038793A">
        <w:rPr>
          <w:rFonts w:cs="Times New Roman"/>
        </w:rPr>
        <w:t xml:space="preserve">., § 482, pp. 541-543), we conclude that Muller presents no persuasive reason for us to reconsider </w:t>
      </w:r>
      <w:r w:rsidRPr="0038793A">
        <w:rPr>
          <w:rFonts w:cs="Times New Roman"/>
          <w:i/>
        </w:rPr>
        <w:t>Eggert</w:t>
      </w:r>
      <w:r w:rsidRPr="0038793A">
        <w:rPr>
          <w:rFonts w:cs="Times New Roman"/>
        </w:rPr>
        <w:t xml:space="preserve">’s rule, much less depart from it.  The contours of section 902 are clear, and </w:t>
      </w:r>
      <w:r w:rsidRPr="0038793A">
        <w:rPr>
          <w:rFonts w:cs="Times New Roman"/>
          <w:i/>
        </w:rPr>
        <w:t>Eggert</w:t>
      </w:r>
      <w:r w:rsidRPr="0038793A">
        <w:rPr>
          <w:rFonts w:cs="Times New Roman"/>
        </w:rPr>
        <w:t xml:space="preserve">’s bright-line rule is consistent with the statute.  </w:t>
      </w:r>
      <w:proofErr w:type="gramStart"/>
      <w:r w:rsidRPr="0038793A">
        <w:rPr>
          <w:rFonts w:cs="Times New Roman"/>
        </w:rPr>
        <w:t xml:space="preserve">Muller will be bound by the </w:t>
      </w:r>
      <w:r w:rsidRPr="0038793A">
        <w:rPr>
          <w:rFonts w:cs="Times New Roman"/>
          <w:i/>
        </w:rPr>
        <w:t>Hernandez</w:t>
      </w:r>
      <w:r w:rsidRPr="0038793A">
        <w:rPr>
          <w:rFonts w:cs="Times New Roman"/>
        </w:rPr>
        <w:t xml:space="preserve"> class judgment</w:t>
      </w:r>
      <w:proofErr w:type="gramEnd"/>
      <w:r w:rsidRPr="0038793A">
        <w:rPr>
          <w:rFonts w:cs="Times New Roman"/>
        </w:rPr>
        <w:t xml:space="preserve"> as an unnamed class member who never became a party to the action (§ 902).  </w:t>
      </w:r>
    </w:p>
    <w:p w:rsidR="000601B1" w:rsidRPr="0038793A" w:rsidRDefault="002E370B" w:rsidP="0058345A">
      <w:pPr>
        <w:jc w:val="center"/>
        <w:rPr>
          <w:rFonts w:ascii="Times New Roman" w:hAnsi="Times New Roman" w:cs="Times New Roman"/>
          <w:b/>
          <w:smallCaps/>
          <w:sz w:val="26"/>
          <w:szCs w:val="26"/>
        </w:rPr>
      </w:pPr>
      <w:r w:rsidRPr="0038793A">
        <w:rPr>
          <w:rFonts w:ascii="Times New Roman" w:hAnsi="Times New Roman" w:cs="Times New Roman"/>
          <w:sz w:val="26"/>
          <w:szCs w:val="26"/>
        </w:rPr>
        <w:br w:type="page"/>
      </w:r>
      <w:r w:rsidRPr="0038793A">
        <w:rPr>
          <w:rFonts w:ascii="Times New Roman" w:hAnsi="Times New Roman" w:cs="Times New Roman"/>
          <w:b/>
          <w:caps/>
          <w:sz w:val="26"/>
          <w:szCs w:val="26"/>
        </w:rPr>
        <w:lastRenderedPageBreak/>
        <w:t>Conclusion</w:t>
      </w:r>
    </w:p>
    <w:p w:rsidR="000601B1" w:rsidRPr="0038793A" w:rsidRDefault="002E370B" w:rsidP="000601B1">
      <w:pPr>
        <w:spacing w:line="480" w:lineRule="atLeast"/>
        <w:ind w:firstLine="720"/>
        <w:rPr>
          <w:rFonts w:ascii="Times New Roman" w:hAnsi="Times New Roman" w:cs="Times New Roman"/>
          <w:sz w:val="26"/>
          <w:szCs w:val="26"/>
        </w:rPr>
      </w:pPr>
      <w:r w:rsidRPr="0038793A">
        <w:rPr>
          <w:rFonts w:ascii="Times New Roman" w:hAnsi="Times New Roman" w:cs="Times New Roman"/>
          <w:sz w:val="26"/>
          <w:szCs w:val="26"/>
        </w:rPr>
        <w:t xml:space="preserve">The Legislature has limited the right of unnamed class members to appeal by expressly requiring that class action objectors who wish to appeal be parties of record who have </w:t>
      </w:r>
      <w:proofErr w:type="gramStart"/>
      <w:r w:rsidRPr="0038793A">
        <w:rPr>
          <w:rFonts w:ascii="Times New Roman" w:hAnsi="Times New Roman" w:cs="Times New Roman"/>
          <w:sz w:val="26"/>
          <w:szCs w:val="26"/>
        </w:rPr>
        <w:t>been aggrieved</w:t>
      </w:r>
      <w:proofErr w:type="gramEnd"/>
      <w:r w:rsidRPr="0038793A">
        <w:rPr>
          <w:rFonts w:ascii="Times New Roman" w:hAnsi="Times New Roman" w:cs="Times New Roman"/>
          <w:sz w:val="26"/>
          <w:szCs w:val="26"/>
        </w:rPr>
        <w:t xml:space="preserve"> by the court’s decision.  (§ 902.)  Had Muller properly intervened in the class action or filed a section 663 motion to vacate the judgment, and </w:t>
      </w:r>
      <w:proofErr w:type="gramStart"/>
      <w:r w:rsidRPr="0038793A">
        <w:rPr>
          <w:rFonts w:ascii="Times New Roman" w:hAnsi="Times New Roman" w:cs="Times New Roman"/>
          <w:sz w:val="26"/>
          <w:szCs w:val="26"/>
        </w:rPr>
        <w:t>been denied</w:t>
      </w:r>
      <w:proofErr w:type="gramEnd"/>
      <w:r w:rsidRPr="0038793A">
        <w:rPr>
          <w:rFonts w:ascii="Times New Roman" w:hAnsi="Times New Roman" w:cs="Times New Roman"/>
          <w:sz w:val="26"/>
          <w:szCs w:val="26"/>
        </w:rPr>
        <w:t xml:space="preserve"> relief, she would have had a clear path to challenge the attorney fees award (or settlement or judgment) on appeal.  Muller offers no persuasive </w:t>
      </w:r>
      <w:proofErr w:type="gramStart"/>
      <w:r w:rsidRPr="0038793A">
        <w:rPr>
          <w:rFonts w:ascii="Times New Roman" w:hAnsi="Times New Roman" w:cs="Times New Roman"/>
          <w:sz w:val="26"/>
          <w:szCs w:val="26"/>
        </w:rPr>
        <w:t>reason why</w:t>
      </w:r>
      <w:proofErr w:type="gramEnd"/>
      <w:r w:rsidRPr="0038793A">
        <w:rPr>
          <w:rFonts w:ascii="Times New Roman" w:hAnsi="Times New Roman" w:cs="Times New Roman"/>
          <w:sz w:val="26"/>
          <w:szCs w:val="26"/>
        </w:rPr>
        <w:t xml:space="preserve"> we should create an exception to our long-standing rule, or overrule or distinguish </w:t>
      </w:r>
      <w:r w:rsidRPr="0038793A">
        <w:rPr>
          <w:rFonts w:ascii="Times New Roman" w:hAnsi="Times New Roman" w:cs="Times New Roman"/>
          <w:i/>
          <w:sz w:val="26"/>
          <w:szCs w:val="26"/>
        </w:rPr>
        <w:t>Eggert</w:t>
      </w:r>
      <w:r w:rsidRPr="0038793A">
        <w:rPr>
          <w:rFonts w:ascii="Times New Roman" w:hAnsi="Times New Roman" w:cs="Times New Roman"/>
          <w:sz w:val="26"/>
          <w:szCs w:val="26"/>
        </w:rPr>
        <w:t>.  For these reasons, we affirm the Court of Appeal judgment.</w:t>
      </w:r>
      <w:r>
        <w:rPr>
          <w:rStyle w:val="FootnoteReference"/>
          <w:rFonts w:ascii="Times New Roman" w:hAnsi="Times New Roman" w:cs="Times New Roman"/>
          <w:sz w:val="26"/>
          <w:szCs w:val="26"/>
        </w:rPr>
        <w:footnoteReference w:id="4"/>
      </w:r>
    </w:p>
    <w:p w:rsidR="0038793A" w:rsidRPr="0038793A" w:rsidRDefault="002E370B" w:rsidP="0038793A">
      <w:pPr>
        <w:keepNext/>
        <w:keepLines/>
        <w:tabs>
          <w:tab w:val="left" w:pos="5580"/>
          <w:tab w:val="left" w:pos="5760"/>
        </w:tabs>
        <w:spacing w:before="120" w:line="480" w:lineRule="atLeast"/>
        <w:ind w:firstLine="720"/>
        <w:rPr>
          <w:rFonts w:ascii="Times New Roman" w:hAnsi="Times New Roman" w:cs="Times New Roman"/>
          <w:b/>
          <w:smallCaps/>
          <w:sz w:val="26"/>
          <w:szCs w:val="26"/>
        </w:rPr>
      </w:pPr>
      <w:r w:rsidRPr="0038793A">
        <w:rPr>
          <w:rFonts w:ascii="Times New Roman" w:hAnsi="Times New Roman" w:cs="Times New Roman"/>
          <w:sz w:val="26"/>
          <w:szCs w:val="26"/>
        </w:rPr>
        <w:tab/>
      </w:r>
      <w:r w:rsidRPr="0038793A">
        <w:rPr>
          <w:rFonts w:ascii="Times New Roman" w:hAnsi="Times New Roman" w:cs="Times New Roman"/>
          <w:caps/>
          <w:sz w:val="26"/>
          <w:szCs w:val="26"/>
        </w:rPr>
        <w:tab/>
      </w:r>
      <w:r>
        <w:rPr>
          <w:rFonts w:ascii="Times New Roman" w:hAnsi="Times New Roman" w:cs="Times New Roman"/>
          <w:b/>
          <w:smallCaps/>
          <w:sz w:val="26"/>
          <w:szCs w:val="26"/>
        </w:rPr>
        <w:t>C</w:t>
      </w:r>
      <w:r w:rsidR="000A00CD">
        <w:rPr>
          <w:rFonts w:ascii="Times New Roman" w:hAnsi="Times New Roman" w:cs="Times New Roman"/>
          <w:b/>
          <w:smallCaps/>
          <w:sz w:val="26"/>
          <w:szCs w:val="26"/>
        </w:rPr>
        <w:t>HIN</w:t>
      </w:r>
      <w:r w:rsidRPr="0038793A">
        <w:rPr>
          <w:rFonts w:ascii="Times New Roman" w:hAnsi="Times New Roman" w:cs="Times New Roman"/>
          <w:b/>
          <w:smallCaps/>
          <w:sz w:val="26"/>
          <w:szCs w:val="26"/>
        </w:rPr>
        <w:t>, J.</w:t>
      </w:r>
    </w:p>
    <w:p w:rsidR="0038793A" w:rsidRPr="0038793A" w:rsidRDefault="002E370B" w:rsidP="0038793A">
      <w:pPr>
        <w:keepNext/>
        <w:keepLines/>
        <w:tabs>
          <w:tab w:val="left" w:pos="1440"/>
        </w:tabs>
        <w:spacing w:line="480" w:lineRule="atLeast"/>
        <w:rPr>
          <w:rFonts w:ascii="Times New Roman" w:hAnsi="Times New Roman" w:cs="Times New Roman"/>
          <w:b/>
          <w:smallCaps/>
          <w:sz w:val="26"/>
          <w:szCs w:val="26"/>
        </w:rPr>
      </w:pPr>
      <w:r w:rsidRPr="0038793A">
        <w:rPr>
          <w:rFonts w:ascii="Times New Roman" w:hAnsi="Times New Roman" w:cs="Times New Roman"/>
          <w:b/>
          <w:smallCaps/>
          <w:sz w:val="26"/>
          <w:szCs w:val="26"/>
        </w:rPr>
        <w:t>W</w:t>
      </w:r>
      <w:r w:rsidR="000A00CD">
        <w:rPr>
          <w:rFonts w:ascii="Times New Roman" w:hAnsi="Times New Roman" w:cs="Times New Roman"/>
          <w:b/>
          <w:smallCaps/>
          <w:sz w:val="26"/>
          <w:szCs w:val="26"/>
        </w:rPr>
        <w:t>E</w:t>
      </w:r>
      <w:r w:rsidRPr="0038793A">
        <w:rPr>
          <w:rFonts w:ascii="Times New Roman" w:hAnsi="Times New Roman" w:cs="Times New Roman"/>
          <w:b/>
          <w:smallCaps/>
          <w:sz w:val="26"/>
          <w:szCs w:val="26"/>
        </w:rPr>
        <w:t xml:space="preserve"> C</w:t>
      </w:r>
      <w:r w:rsidR="000A00CD">
        <w:rPr>
          <w:rFonts w:ascii="Times New Roman" w:hAnsi="Times New Roman" w:cs="Times New Roman"/>
          <w:b/>
          <w:smallCaps/>
          <w:sz w:val="26"/>
          <w:szCs w:val="26"/>
        </w:rPr>
        <w:t>ONCUR</w:t>
      </w:r>
      <w:r w:rsidRPr="0038793A">
        <w:rPr>
          <w:rFonts w:ascii="Times New Roman" w:hAnsi="Times New Roman" w:cs="Times New Roman"/>
          <w:b/>
          <w:smallCaps/>
          <w:sz w:val="26"/>
          <w:szCs w:val="26"/>
        </w:rPr>
        <w:t>:</w:t>
      </w:r>
    </w:p>
    <w:p w:rsidR="0038793A" w:rsidRPr="0038793A" w:rsidRDefault="003075F8" w:rsidP="0038793A">
      <w:pPr>
        <w:keepNext/>
        <w:keepLines/>
        <w:tabs>
          <w:tab w:val="left" w:pos="1440"/>
        </w:tabs>
        <w:rPr>
          <w:rFonts w:ascii="Times New Roman" w:hAnsi="Times New Roman" w:cs="Times New Roman"/>
          <w:b/>
          <w:smallCaps/>
          <w:sz w:val="26"/>
          <w:szCs w:val="26"/>
        </w:rPr>
      </w:pPr>
    </w:p>
    <w:p w:rsidR="0038793A" w:rsidRPr="0038793A" w:rsidRDefault="002E370B" w:rsidP="0038793A">
      <w:pPr>
        <w:keepNext/>
        <w:keepLines/>
        <w:tabs>
          <w:tab w:val="left" w:pos="1440"/>
        </w:tabs>
        <w:rPr>
          <w:rFonts w:ascii="Times New Roman" w:hAnsi="Times New Roman" w:cs="Times New Roman"/>
          <w:b/>
          <w:smallCaps/>
          <w:sz w:val="26"/>
          <w:szCs w:val="26"/>
        </w:rPr>
      </w:pPr>
      <w:r w:rsidRPr="0038793A">
        <w:rPr>
          <w:rFonts w:ascii="Times New Roman" w:hAnsi="Times New Roman" w:cs="Times New Roman"/>
          <w:b/>
          <w:smallCaps/>
          <w:sz w:val="26"/>
          <w:szCs w:val="26"/>
        </w:rPr>
        <w:t>CANTIL-SAKAUYE, C. J.</w:t>
      </w:r>
    </w:p>
    <w:p w:rsidR="0038793A" w:rsidRPr="0038793A" w:rsidRDefault="002E370B" w:rsidP="0038793A">
      <w:pPr>
        <w:keepNext/>
        <w:keepLines/>
        <w:tabs>
          <w:tab w:val="left" w:pos="1440"/>
        </w:tabs>
        <w:rPr>
          <w:rFonts w:ascii="Times New Roman" w:hAnsi="Times New Roman" w:cs="Times New Roman"/>
          <w:b/>
          <w:smallCaps/>
          <w:sz w:val="26"/>
          <w:szCs w:val="26"/>
        </w:rPr>
      </w:pPr>
      <w:r w:rsidRPr="0038793A">
        <w:rPr>
          <w:rFonts w:ascii="Times New Roman" w:hAnsi="Times New Roman" w:cs="Times New Roman"/>
          <w:b/>
          <w:smallCaps/>
          <w:sz w:val="26"/>
          <w:szCs w:val="26"/>
        </w:rPr>
        <w:t>CORRIGAN, J.</w:t>
      </w:r>
    </w:p>
    <w:p w:rsidR="0038793A" w:rsidRPr="0038793A" w:rsidRDefault="002E370B" w:rsidP="0038793A">
      <w:pPr>
        <w:keepNext/>
        <w:keepLines/>
        <w:tabs>
          <w:tab w:val="left" w:pos="1440"/>
        </w:tabs>
        <w:rPr>
          <w:rFonts w:ascii="Times New Roman" w:hAnsi="Times New Roman" w:cs="Times New Roman"/>
          <w:b/>
          <w:smallCaps/>
          <w:sz w:val="26"/>
          <w:szCs w:val="26"/>
        </w:rPr>
      </w:pPr>
      <w:r w:rsidRPr="0038793A">
        <w:rPr>
          <w:rFonts w:ascii="Times New Roman" w:hAnsi="Times New Roman" w:cs="Times New Roman"/>
          <w:b/>
          <w:smallCaps/>
          <w:sz w:val="26"/>
          <w:szCs w:val="26"/>
        </w:rPr>
        <w:t>CUÉLLAR, J.</w:t>
      </w:r>
    </w:p>
    <w:p w:rsidR="0038793A" w:rsidRPr="0038793A" w:rsidRDefault="002E370B" w:rsidP="0038793A">
      <w:pPr>
        <w:keepNext/>
        <w:keepLines/>
        <w:tabs>
          <w:tab w:val="left" w:pos="1440"/>
        </w:tabs>
        <w:rPr>
          <w:rFonts w:ascii="Times New Roman" w:hAnsi="Times New Roman" w:cs="Times New Roman"/>
          <w:b/>
          <w:smallCaps/>
          <w:sz w:val="26"/>
          <w:szCs w:val="26"/>
        </w:rPr>
      </w:pPr>
      <w:r w:rsidRPr="0038793A">
        <w:rPr>
          <w:rFonts w:ascii="Times New Roman" w:hAnsi="Times New Roman" w:cs="Times New Roman"/>
          <w:b/>
          <w:smallCaps/>
          <w:sz w:val="26"/>
          <w:szCs w:val="26"/>
        </w:rPr>
        <w:t>KRUGER, J.</w:t>
      </w:r>
    </w:p>
    <w:p w:rsidR="0038793A" w:rsidRPr="0038793A" w:rsidRDefault="002E370B" w:rsidP="0038793A">
      <w:pPr>
        <w:keepNext/>
        <w:keepLines/>
        <w:tabs>
          <w:tab w:val="left" w:pos="1440"/>
        </w:tabs>
        <w:rPr>
          <w:rFonts w:ascii="Times New Roman Bold" w:hAnsi="Times New Roman Bold" w:cs="Times New Roman"/>
          <w:b/>
          <w:smallCaps/>
          <w:sz w:val="26"/>
          <w:szCs w:val="26"/>
        </w:rPr>
      </w:pPr>
      <w:r>
        <w:rPr>
          <w:rFonts w:ascii="Times New Roman Bold" w:hAnsi="Times New Roman Bold" w:cs="Times New Roman"/>
          <w:b/>
          <w:smallCaps/>
          <w:sz w:val="26"/>
          <w:szCs w:val="26"/>
        </w:rPr>
        <w:t>N</w:t>
      </w:r>
      <w:r w:rsidRPr="0038793A">
        <w:rPr>
          <w:rFonts w:ascii="Times New Roman Bold" w:hAnsi="Times New Roman Bold" w:cs="Times New Roman"/>
          <w:b/>
          <w:smallCaps/>
          <w:sz w:val="26"/>
          <w:szCs w:val="26"/>
        </w:rPr>
        <w:t>ICHOLSON, j.*</w:t>
      </w:r>
    </w:p>
    <w:p w:rsidR="0038793A" w:rsidRPr="0038793A" w:rsidRDefault="003075F8" w:rsidP="0038793A">
      <w:pPr>
        <w:tabs>
          <w:tab w:val="left" w:pos="1440"/>
        </w:tabs>
        <w:rPr>
          <w:rFonts w:ascii="Times New Roman" w:hAnsi="Times New Roman" w:cs="Times New Roman"/>
          <w:b/>
          <w:sz w:val="26"/>
          <w:szCs w:val="26"/>
        </w:rPr>
      </w:pPr>
    </w:p>
    <w:p w:rsidR="0038793A" w:rsidRPr="0038793A" w:rsidRDefault="003075F8" w:rsidP="0038793A">
      <w:pPr>
        <w:tabs>
          <w:tab w:val="left" w:pos="1440"/>
        </w:tabs>
        <w:rPr>
          <w:rFonts w:ascii="Times New Roman" w:hAnsi="Times New Roman" w:cs="Times New Roman"/>
          <w:b/>
          <w:sz w:val="26"/>
          <w:szCs w:val="26"/>
        </w:rPr>
      </w:pPr>
    </w:p>
    <w:p w:rsidR="0038793A" w:rsidRPr="0038793A" w:rsidRDefault="003075F8" w:rsidP="0038793A">
      <w:pPr>
        <w:tabs>
          <w:tab w:val="left" w:pos="1440"/>
        </w:tabs>
        <w:rPr>
          <w:rFonts w:ascii="Times New Roman" w:hAnsi="Times New Roman" w:cs="Times New Roman"/>
          <w:b/>
          <w:sz w:val="26"/>
          <w:szCs w:val="26"/>
        </w:rPr>
      </w:pPr>
    </w:p>
    <w:p w:rsidR="0038793A" w:rsidRPr="0038793A" w:rsidRDefault="003075F8" w:rsidP="0038793A">
      <w:pPr>
        <w:tabs>
          <w:tab w:val="left" w:pos="1440"/>
        </w:tabs>
        <w:rPr>
          <w:rFonts w:ascii="Times New Roman" w:hAnsi="Times New Roman" w:cs="Times New Roman"/>
          <w:b/>
          <w:sz w:val="26"/>
          <w:szCs w:val="26"/>
        </w:rPr>
      </w:pPr>
    </w:p>
    <w:p w:rsidR="0038793A" w:rsidRPr="0038793A" w:rsidRDefault="003075F8" w:rsidP="0038793A">
      <w:pPr>
        <w:tabs>
          <w:tab w:val="left" w:pos="1440"/>
        </w:tabs>
        <w:rPr>
          <w:rFonts w:ascii="Times New Roman" w:hAnsi="Times New Roman" w:cs="Times New Roman"/>
          <w:b/>
          <w:sz w:val="26"/>
          <w:szCs w:val="26"/>
        </w:rPr>
      </w:pPr>
    </w:p>
    <w:p w:rsidR="0038793A" w:rsidRPr="0038793A" w:rsidRDefault="003075F8" w:rsidP="0038793A">
      <w:pPr>
        <w:tabs>
          <w:tab w:val="left" w:pos="1440"/>
        </w:tabs>
        <w:rPr>
          <w:rFonts w:ascii="Times New Roman" w:hAnsi="Times New Roman" w:cs="Times New Roman"/>
          <w:b/>
          <w:sz w:val="26"/>
          <w:szCs w:val="26"/>
        </w:rPr>
      </w:pPr>
    </w:p>
    <w:p w:rsidR="0038793A" w:rsidRPr="0038793A" w:rsidRDefault="003075F8" w:rsidP="0038793A">
      <w:pPr>
        <w:tabs>
          <w:tab w:val="left" w:pos="1440"/>
        </w:tabs>
        <w:rPr>
          <w:rFonts w:ascii="Times New Roman" w:hAnsi="Times New Roman" w:cs="Times New Roman"/>
          <w:b/>
          <w:sz w:val="26"/>
          <w:szCs w:val="26"/>
        </w:rPr>
      </w:pPr>
    </w:p>
    <w:p w:rsidR="0038793A" w:rsidRPr="0038793A" w:rsidRDefault="003075F8" w:rsidP="0038793A">
      <w:pPr>
        <w:tabs>
          <w:tab w:val="left" w:pos="1440"/>
        </w:tabs>
        <w:rPr>
          <w:rFonts w:ascii="Times New Roman" w:hAnsi="Times New Roman" w:cs="Times New Roman"/>
          <w:b/>
          <w:sz w:val="26"/>
          <w:szCs w:val="26"/>
        </w:rPr>
      </w:pPr>
    </w:p>
    <w:p w:rsidR="0038793A" w:rsidRPr="0038793A" w:rsidRDefault="002E370B" w:rsidP="0038793A">
      <w:pPr>
        <w:tabs>
          <w:tab w:val="left" w:pos="1440"/>
        </w:tabs>
        <w:rPr>
          <w:rFonts w:ascii="Times New Roman" w:hAnsi="Times New Roman" w:cs="Times New Roman"/>
          <w:b/>
          <w:sz w:val="26"/>
          <w:szCs w:val="26"/>
        </w:rPr>
      </w:pPr>
      <w:r w:rsidRPr="0038793A">
        <w:rPr>
          <w:rFonts w:ascii="Times New Roman" w:hAnsi="Times New Roman" w:cs="Times New Roman"/>
          <w:b/>
          <w:sz w:val="26"/>
          <w:szCs w:val="26"/>
        </w:rPr>
        <w:t>_____________________________</w:t>
      </w:r>
    </w:p>
    <w:p w:rsidR="0038793A" w:rsidRDefault="002E370B" w:rsidP="0038793A">
      <w:pPr>
        <w:tabs>
          <w:tab w:val="left" w:pos="1440"/>
        </w:tabs>
        <w:rPr>
          <w:rFonts w:ascii="Times New Roman" w:hAnsi="Times New Roman" w:cs="Times New Roman"/>
          <w:sz w:val="26"/>
          <w:szCs w:val="26"/>
        </w:rPr>
      </w:pPr>
      <w:r w:rsidRPr="0038793A">
        <w:rPr>
          <w:rFonts w:ascii="Times New Roman" w:hAnsi="Times New Roman" w:cs="Times New Roman"/>
          <w:sz w:val="26"/>
          <w:szCs w:val="26"/>
        </w:rPr>
        <w:t>* Associate Justice of the Court of Appeal, Third Appellate District, assigned by the Chief Justice pursuant to article VI, section 6 of the California Constitution.</w:t>
      </w:r>
    </w:p>
    <w:p w:rsidR="0038793A" w:rsidRPr="0038793A" w:rsidRDefault="003075F8" w:rsidP="0038793A">
      <w:pPr>
        <w:tabs>
          <w:tab w:val="left" w:pos="1440"/>
        </w:tabs>
        <w:rPr>
          <w:rFonts w:ascii="Times New Roman" w:hAnsi="Times New Roman" w:cs="Times New Roman"/>
          <w:sz w:val="26"/>
          <w:szCs w:val="26"/>
        </w:rPr>
      </w:pPr>
    </w:p>
    <w:p w:rsidR="00462A24" w:rsidRDefault="00462A24" w:rsidP="00462A24">
      <w:pPr>
        <w:tabs>
          <w:tab w:val="left" w:pos="5760"/>
        </w:tabs>
        <w:spacing w:before="120" w:line="480" w:lineRule="atLeast"/>
        <w:rPr>
          <w:rFonts w:ascii="Times New Roman" w:hAnsi="Times New Roman" w:cs="Times New Roman"/>
          <w:sz w:val="26"/>
          <w:szCs w:val="26"/>
        </w:rPr>
        <w:sectPr w:rsidR="00462A24" w:rsidSect="000D79A9">
          <w:footerReference w:type="even" r:id="rId7"/>
          <w:footerReference w:type="default" r:id="rId8"/>
          <w:footerReference w:type="first" r:id="rId9"/>
          <w:pgSz w:w="12240" w:h="15840" w:code="1"/>
          <w:pgMar w:top="1440" w:right="1800" w:bottom="1440" w:left="1800" w:header="720" w:footer="720" w:gutter="0"/>
          <w:cols w:space="720"/>
          <w:titlePg/>
        </w:sectPr>
      </w:pPr>
    </w:p>
    <w:p w:rsidR="00462A24" w:rsidRDefault="00462A24" w:rsidP="00462A24"/>
    <w:p w:rsidR="00462A24" w:rsidRDefault="00462A24" w:rsidP="00462A24"/>
    <w:p w:rsidR="00462A24" w:rsidRDefault="00462A24" w:rsidP="00462A24"/>
    <w:p w:rsidR="00462A24" w:rsidRDefault="00462A24" w:rsidP="00462A24">
      <w:pPr>
        <w:rPr>
          <w:b/>
          <w:caps/>
        </w:rPr>
      </w:pPr>
      <w:bookmarkStart w:id="9" w:name="_GoBack"/>
      <w:bookmarkEnd w:id="9"/>
    </w:p>
    <w:p w:rsidR="00462A24" w:rsidRDefault="00462A24" w:rsidP="00462A24">
      <w:pPr>
        <w:rPr>
          <w:caps/>
        </w:rPr>
      </w:pPr>
    </w:p>
    <w:p w:rsidR="00462A24" w:rsidRDefault="00462A24" w:rsidP="00462A24">
      <w:pPr>
        <w:rPr>
          <w:i/>
        </w:rPr>
      </w:pPr>
    </w:p>
    <w:p w:rsidR="00462A24" w:rsidRDefault="00462A24" w:rsidP="00462A24"/>
    <w:p w:rsidR="00462A24" w:rsidRDefault="00462A24" w:rsidP="00462A24">
      <w:pPr>
        <w:rPr>
          <w:b/>
        </w:rPr>
      </w:pPr>
    </w:p>
    <w:p w:rsidR="00462A24" w:rsidRDefault="00462A24" w:rsidP="00462A24">
      <w:pPr>
        <w:jc w:val="center"/>
        <w:rPr>
          <w:b/>
          <w:caps/>
        </w:rPr>
      </w:pPr>
      <w:bookmarkStart w:id="10" w:name="opinion"/>
      <w:bookmarkEnd w:id="10"/>
      <w:r>
        <w:rPr>
          <w:b/>
          <w:caps/>
        </w:rPr>
        <w:t>CONCURRING OPINION BY LIU, J.</w:t>
      </w:r>
    </w:p>
    <w:p w:rsidR="00462A24" w:rsidRDefault="00462A24" w:rsidP="00462A24"/>
    <w:p w:rsidR="00462A24" w:rsidRDefault="00462A24" w:rsidP="00462A24"/>
    <w:p w:rsidR="00462A24" w:rsidRPr="006E094C" w:rsidRDefault="00462A24" w:rsidP="00462A24">
      <w:pPr>
        <w:spacing w:line="480" w:lineRule="atLeast"/>
        <w:rPr>
          <w:rFonts w:ascii="Times New Roman" w:hAnsi="Times New Roman" w:cs="Times New Roman"/>
          <w:sz w:val="26"/>
          <w:szCs w:val="26"/>
        </w:rPr>
      </w:pPr>
      <w:bookmarkStart w:id="11" w:name="mainstory"/>
      <w:bookmarkEnd w:id="11"/>
      <w:r>
        <w:tab/>
      </w:r>
      <w:r w:rsidRPr="006E094C">
        <w:rPr>
          <w:rFonts w:ascii="Times New Roman" w:hAnsi="Times New Roman" w:cs="Times New Roman"/>
          <w:sz w:val="26"/>
          <w:szCs w:val="26"/>
        </w:rPr>
        <w:t xml:space="preserve">Under </w:t>
      </w:r>
      <w:r w:rsidRPr="006E094C">
        <w:rPr>
          <w:rFonts w:ascii="Times New Roman" w:hAnsi="Times New Roman" w:cs="Times New Roman"/>
          <w:i/>
          <w:sz w:val="26"/>
          <w:szCs w:val="26"/>
        </w:rPr>
        <w:t xml:space="preserve">Eggert v. Pac. </w:t>
      </w:r>
      <w:proofErr w:type="spellStart"/>
      <w:r w:rsidRPr="006E094C">
        <w:rPr>
          <w:rFonts w:ascii="Times New Roman" w:hAnsi="Times New Roman" w:cs="Times New Roman"/>
          <w:i/>
          <w:sz w:val="26"/>
          <w:szCs w:val="26"/>
        </w:rPr>
        <w:t>States</w:t>
      </w:r>
      <w:proofErr w:type="spellEnd"/>
      <w:r w:rsidRPr="006E094C">
        <w:rPr>
          <w:rFonts w:ascii="Times New Roman" w:hAnsi="Times New Roman" w:cs="Times New Roman"/>
          <w:i/>
          <w:sz w:val="26"/>
          <w:szCs w:val="26"/>
        </w:rPr>
        <w:t xml:space="preserve"> S. &amp; L. Co.</w:t>
      </w:r>
      <w:r w:rsidRPr="006E094C">
        <w:rPr>
          <w:rFonts w:ascii="Times New Roman" w:hAnsi="Times New Roman" w:cs="Times New Roman"/>
          <w:sz w:val="26"/>
          <w:szCs w:val="26"/>
        </w:rPr>
        <w:t xml:space="preserve"> (1942) 20 Cal.2d 199 (</w:t>
      </w:r>
      <w:r w:rsidRPr="006E094C">
        <w:rPr>
          <w:rFonts w:ascii="Times New Roman" w:hAnsi="Times New Roman" w:cs="Times New Roman"/>
          <w:i/>
          <w:sz w:val="26"/>
          <w:szCs w:val="26"/>
        </w:rPr>
        <w:t>Eggert</w:t>
      </w:r>
      <w:r w:rsidRPr="006E094C">
        <w:rPr>
          <w:rFonts w:ascii="Times New Roman" w:hAnsi="Times New Roman" w:cs="Times New Roman"/>
          <w:sz w:val="26"/>
          <w:szCs w:val="26"/>
        </w:rPr>
        <w:t xml:space="preserve">), absent class members must formally intervene or file a motion to vacate the judgment </w:t>
      </w:r>
      <w:proofErr w:type="gramStart"/>
      <w:r w:rsidRPr="006E094C">
        <w:rPr>
          <w:rFonts w:ascii="Times New Roman" w:hAnsi="Times New Roman" w:cs="Times New Roman"/>
          <w:sz w:val="26"/>
          <w:szCs w:val="26"/>
        </w:rPr>
        <w:t>in order to</w:t>
      </w:r>
      <w:proofErr w:type="gramEnd"/>
      <w:r w:rsidRPr="006E094C">
        <w:rPr>
          <w:rFonts w:ascii="Times New Roman" w:hAnsi="Times New Roman" w:cs="Times New Roman"/>
          <w:sz w:val="26"/>
          <w:szCs w:val="26"/>
        </w:rPr>
        <w:t xml:space="preserve"> have the right to appeal as a party.  (</w:t>
      </w:r>
      <w:r w:rsidRPr="006E094C">
        <w:rPr>
          <w:rFonts w:ascii="Times New Roman" w:hAnsi="Times New Roman" w:cs="Times New Roman"/>
          <w:i/>
          <w:sz w:val="26"/>
          <w:szCs w:val="26"/>
        </w:rPr>
        <w:t>Id.</w:t>
      </w:r>
      <w:r w:rsidRPr="006E094C">
        <w:rPr>
          <w:rFonts w:ascii="Times New Roman" w:hAnsi="Times New Roman" w:cs="Times New Roman"/>
          <w:sz w:val="26"/>
          <w:szCs w:val="26"/>
        </w:rPr>
        <w:t xml:space="preserve"> at pp. 200–201; see Code Civ. Proc., § 902.)  I agree we should continue to follow </w:t>
      </w:r>
      <w:r w:rsidRPr="006E094C">
        <w:rPr>
          <w:rFonts w:ascii="Times New Roman" w:hAnsi="Times New Roman" w:cs="Times New Roman"/>
          <w:i/>
          <w:sz w:val="26"/>
          <w:szCs w:val="26"/>
        </w:rPr>
        <w:t>Eggert</w:t>
      </w:r>
      <w:r w:rsidRPr="006E094C">
        <w:rPr>
          <w:rFonts w:ascii="Times New Roman" w:hAnsi="Times New Roman" w:cs="Times New Roman"/>
          <w:sz w:val="26"/>
          <w:szCs w:val="26"/>
        </w:rPr>
        <w:t xml:space="preserve"> </w:t>
      </w:r>
      <w:proofErr w:type="gramStart"/>
      <w:r w:rsidRPr="006E094C">
        <w:rPr>
          <w:rFonts w:ascii="Times New Roman" w:hAnsi="Times New Roman" w:cs="Times New Roman"/>
          <w:sz w:val="26"/>
          <w:szCs w:val="26"/>
        </w:rPr>
        <w:t>in light of</w:t>
      </w:r>
      <w:proofErr w:type="gramEnd"/>
      <w:r w:rsidRPr="006E094C">
        <w:rPr>
          <w:rFonts w:ascii="Times New Roman" w:hAnsi="Times New Roman" w:cs="Times New Roman"/>
          <w:sz w:val="26"/>
          <w:szCs w:val="26"/>
        </w:rPr>
        <w:t xml:space="preserve"> the principle that adherence to precedent is a particularly strong consideration on matters of statutory interpretation.  (</w:t>
      </w:r>
      <w:r w:rsidRPr="006E094C">
        <w:rPr>
          <w:rFonts w:ascii="Times New Roman" w:hAnsi="Times New Roman" w:cs="Times New Roman"/>
          <w:i/>
          <w:sz w:val="26"/>
          <w:szCs w:val="26"/>
        </w:rPr>
        <w:t>People v. Latimer</w:t>
      </w:r>
      <w:r w:rsidRPr="006E094C">
        <w:rPr>
          <w:rFonts w:ascii="Times New Roman" w:hAnsi="Times New Roman" w:cs="Times New Roman"/>
          <w:sz w:val="26"/>
          <w:szCs w:val="26"/>
        </w:rPr>
        <w:t xml:space="preserve"> (1993) 5 Cal.4th 1203, 1213.)  But I write separately to highlight significant changes in class action litigation practice since </w:t>
      </w:r>
      <w:r w:rsidRPr="006E094C">
        <w:rPr>
          <w:rFonts w:ascii="Times New Roman" w:hAnsi="Times New Roman" w:cs="Times New Roman"/>
          <w:i/>
          <w:sz w:val="26"/>
          <w:szCs w:val="26"/>
        </w:rPr>
        <w:t>Eggert</w:t>
      </w:r>
      <w:r w:rsidRPr="006E094C">
        <w:rPr>
          <w:rFonts w:ascii="Times New Roman" w:hAnsi="Times New Roman" w:cs="Times New Roman"/>
          <w:sz w:val="26"/>
          <w:szCs w:val="26"/>
        </w:rPr>
        <w:t xml:space="preserve"> </w:t>
      </w:r>
      <w:proofErr w:type="gramStart"/>
      <w:r w:rsidRPr="006E094C">
        <w:rPr>
          <w:rFonts w:ascii="Times New Roman" w:hAnsi="Times New Roman" w:cs="Times New Roman"/>
          <w:sz w:val="26"/>
          <w:szCs w:val="26"/>
        </w:rPr>
        <w:t>was decided</w:t>
      </w:r>
      <w:proofErr w:type="gramEnd"/>
      <w:r w:rsidRPr="006E094C">
        <w:rPr>
          <w:rFonts w:ascii="Times New Roman" w:hAnsi="Times New Roman" w:cs="Times New Roman"/>
          <w:sz w:val="26"/>
          <w:szCs w:val="26"/>
        </w:rPr>
        <w:t xml:space="preserve">.  The Legislature, not bound as we are by stare decisis, may wish to revisit the controlling statute </w:t>
      </w:r>
      <w:proofErr w:type="gramStart"/>
      <w:r w:rsidRPr="006E094C">
        <w:rPr>
          <w:rFonts w:ascii="Times New Roman" w:hAnsi="Times New Roman" w:cs="Times New Roman"/>
          <w:sz w:val="26"/>
          <w:szCs w:val="26"/>
        </w:rPr>
        <w:t>in light of</w:t>
      </w:r>
      <w:proofErr w:type="gramEnd"/>
      <w:r w:rsidRPr="006E094C">
        <w:rPr>
          <w:rFonts w:ascii="Times New Roman" w:hAnsi="Times New Roman" w:cs="Times New Roman"/>
          <w:sz w:val="26"/>
          <w:szCs w:val="26"/>
        </w:rPr>
        <w:t xml:space="preserve"> those changes.</w:t>
      </w:r>
    </w:p>
    <w:p w:rsidR="00462A24" w:rsidRPr="006E094C" w:rsidRDefault="00462A24" w:rsidP="00462A24">
      <w:pPr>
        <w:pStyle w:val="PRComments"/>
        <w:spacing w:line="480" w:lineRule="atLeast"/>
        <w:ind w:right="0" w:firstLine="720"/>
        <w:rPr>
          <w:szCs w:val="26"/>
        </w:rPr>
      </w:pPr>
      <w:r w:rsidRPr="006E094C">
        <w:rPr>
          <w:i/>
          <w:szCs w:val="26"/>
        </w:rPr>
        <w:t>Eggert</w:t>
      </w:r>
      <w:r w:rsidRPr="006E094C">
        <w:rPr>
          <w:szCs w:val="26"/>
        </w:rPr>
        <w:t xml:space="preserve"> long predates the development of the modern class action and the emergence of the settlement practices that now resolve </w:t>
      </w:r>
      <w:proofErr w:type="gramStart"/>
      <w:r w:rsidRPr="006E094C">
        <w:rPr>
          <w:szCs w:val="26"/>
        </w:rPr>
        <w:t>the majority of</w:t>
      </w:r>
      <w:proofErr w:type="gramEnd"/>
      <w:r w:rsidRPr="006E094C">
        <w:rPr>
          <w:szCs w:val="26"/>
        </w:rPr>
        <w:t xml:space="preserve"> class actions.  In the seven decades since </w:t>
      </w:r>
      <w:r w:rsidRPr="006E094C">
        <w:rPr>
          <w:i/>
          <w:szCs w:val="26"/>
        </w:rPr>
        <w:t>Eggert</w:t>
      </w:r>
      <w:r w:rsidRPr="006E094C">
        <w:rPr>
          <w:szCs w:val="26"/>
        </w:rPr>
        <w:t xml:space="preserve"> </w:t>
      </w:r>
      <w:proofErr w:type="gramStart"/>
      <w:r w:rsidRPr="006E094C">
        <w:rPr>
          <w:szCs w:val="26"/>
        </w:rPr>
        <w:t>was decided</w:t>
      </w:r>
      <w:proofErr w:type="gramEnd"/>
      <w:r w:rsidRPr="006E094C">
        <w:rPr>
          <w:szCs w:val="26"/>
        </w:rPr>
        <w:t xml:space="preserve">, we have gained a better understanding of the agency problems posed by class action settlements, including the difficulties of monitoring class counsel who are often incentivized to settle and possibly collude with defendants.  (See </w:t>
      </w:r>
      <w:proofErr w:type="spellStart"/>
      <w:r w:rsidRPr="006E094C">
        <w:rPr>
          <w:szCs w:val="26"/>
        </w:rPr>
        <w:t>Erichson</w:t>
      </w:r>
      <w:proofErr w:type="spellEnd"/>
      <w:r w:rsidRPr="006E094C">
        <w:rPr>
          <w:szCs w:val="26"/>
        </w:rPr>
        <w:t xml:space="preserve">, </w:t>
      </w:r>
      <w:r w:rsidRPr="006E094C">
        <w:rPr>
          <w:i/>
          <w:szCs w:val="26"/>
        </w:rPr>
        <w:t>The Problem of Settlement Class Actions</w:t>
      </w:r>
      <w:r w:rsidRPr="006E094C">
        <w:rPr>
          <w:szCs w:val="26"/>
        </w:rPr>
        <w:t xml:space="preserve"> (2014) 82 Geo. Wash. </w:t>
      </w:r>
      <w:proofErr w:type="spellStart"/>
      <w:r w:rsidRPr="006E094C">
        <w:rPr>
          <w:szCs w:val="26"/>
        </w:rPr>
        <w:t>L.Rev</w:t>
      </w:r>
      <w:proofErr w:type="spellEnd"/>
      <w:r w:rsidRPr="006E094C">
        <w:rPr>
          <w:szCs w:val="26"/>
        </w:rPr>
        <w:t>. 951, 957–965;</w:t>
      </w:r>
      <w:r w:rsidRPr="006E094C">
        <w:rPr>
          <w:i/>
          <w:szCs w:val="26"/>
        </w:rPr>
        <w:t xml:space="preserve"> </w:t>
      </w:r>
      <w:r w:rsidRPr="006E094C">
        <w:rPr>
          <w:szCs w:val="26"/>
        </w:rPr>
        <w:t xml:space="preserve">Coffee, </w:t>
      </w:r>
      <w:r w:rsidRPr="006E094C">
        <w:rPr>
          <w:i/>
          <w:szCs w:val="26"/>
        </w:rPr>
        <w:t>The Regulation of Entrepreneurial Litigation: Balancing Fairness and Efficiency in the Large Class Action</w:t>
      </w:r>
      <w:r w:rsidRPr="006E094C">
        <w:rPr>
          <w:szCs w:val="26"/>
        </w:rPr>
        <w:t xml:space="preserve"> (1987) 54 U. Chi. </w:t>
      </w:r>
      <w:proofErr w:type="spellStart"/>
      <w:r w:rsidRPr="006E094C">
        <w:rPr>
          <w:szCs w:val="26"/>
        </w:rPr>
        <w:t>L.Rev</w:t>
      </w:r>
      <w:proofErr w:type="spellEnd"/>
      <w:r w:rsidRPr="006E094C">
        <w:rPr>
          <w:szCs w:val="26"/>
        </w:rPr>
        <w:t xml:space="preserve">. 877, 883–889; see generally </w:t>
      </w:r>
      <w:proofErr w:type="spellStart"/>
      <w:r w:rsidRPr="006E094C">
        <w:rPr>
          <w:szCs w:val="26"/>
        </w:rPr>
        <w:t>Issacharoff</w:t>
      </w:r>
      <w:proofErr w:type="spellEnd"/>
      <w:r w:rsidRPr="006E094C">
        <w:rPr>
          <w:szCs w:val="26"/>
        </w:rPr>
        <w:t xml:space="preserve">, </w:t>
      </w:r>
      <w:r w:rsidRPr="006E094C">
        <w:rPr>
          <w:i/>
          <w:szCs w:val="26"/>
        </w:rPr>
        <w:t>Class Action Conflicts</w:t>
      </w:r>
      <w:r w:rsidRPr="006E094C">
        <w:rPr>
          <w:szCs w:val="26"/>
        </w:rPr>
        <w:t xml:space="preserve"> (1997) 30 U.C. Davis </w:t>
      </w:r>
      <w:proofErr w:type="spellStart"/>
      <w:r w:rsidRPr="006E094C">
        <w:rPr>
          <w:szCs w:val="26"/>
        </w:rPr>
        <w:t>L.Rev</w:t>
      </w:r>
      <w:proofErr w:type="spellEnd"/>
      <w:r w:rsidRPr="006E094C">
        <w:rPr>
          <w:szCs w:val="26"/>
        </w:rPr>
        <w:t>. 805.)</w:t>
      </w:r>
    </w:p>
    <w:p w:rsidR="00462A24" w:rsidRPr="006E094C" w:rsidRDefault="00462A24" w:rsidP="00462A24">
      <w:pPr>
        <w:pStyle w:val="PRComments"/>
        <w:spacing w:line="480" w:lineRule="atLeast"/>
        <w:ind w:right="0" w:firstLine="720"/>
        <w:rPr>
          <w:szCs w:val="26"/>
        </w:rPr>
      </w:pPr>
      <w:proofErr w:type="gramStart"/>
      <w:r w:rsidRPr="006E094C">
        <w:rPr>
          <w:szCs w:val="26"/>
        </w:rPr>
        <w:lastRenderedPageBreak/>
        <w:t>In light of</w:t>
      </w:r>
      <w:proofErr w:type="gramEnd"/>
      <w:r w:rsidRPr="006E094C">
        <w:rPr>
          <w:szCs w:val="26"/>
        </w:rPr>
        <w:t xml:space="preserve"> these understandings, the high court has concluded that nonnamed class members who object at a settlement fairness hearing are entitled to appeal.  (See </w:t>
      </w:r>
      <w:r w:rsidRPr="006E094C">
        <w:rPr>
          <w:i/>
          <w:szCs w:val="26"/>
        </w:rPr>
        <w:t xml:space="preserve">Devlin v. </w:t>
      </w:r>
      <w:proofErr w:type="spellStart"/>
      <w:r w:rsidRPr="006E094C">
        <w:rPr>
          <w:i/>
          <w:szCs w:val="26"/>
        </w:rPr>
        <w:t>Scardelletti</w:t>
      </w:r>
      <w:proofErr w:type="spellEnd"/>
      <w:r w:rsidRPr="006E094C">
        <w:rPr>
          <w:szCs w:val="26"/>
        </w:rPr>
        <w:t xml:space="preserve"> (2002) 536 U.S. 1, 11 (</w:t>
      </w:r>
      <w:r w:rsidRPr="006E094C">
        <w:rPr>
          <w:i/>
          <w:szCs w:val="26"/>
        </w:rPr>
        <w:t>Devlin</w:t>
      </w:r>
      <w:r w:rsidRPr="006E094C">
        <w:rPr>
          <w:szCs w:val="26"/>
        </w:rPr>
        <w:t xml:space="preserve">).)  </w:t>
      </w:r>
      <w:r w:rsidRPr="006E094C">
        <w:rPr>
          <w:i/>
          <w:szCs w:val="26"/>
        </w:rPr>
        <w:t>Devlin</w:t>
      </w:r>
      <w:r w:rsidRPr="006E094C">
        <w:rPr>
          <w:szCs w:val="26"/>
        </w:rPr>
        <w:t xml:space="preserve"> emphasized that the ability to appeal overruled objections “cannot be effectively accomplished through the named class representative — once the named parties reach a settlement that is approved over petitioner’s objections, petitioner’s interests by definition diverge from those of the class representative.”  (</w:t>
      </w:r>
      <w:r w:rsidRPr="006E094C">
        <w:rPr>
          <w:i/>
          <w:szCs w:val="26"/>
        </w:rPr>
        <w:t>Id.</w:t>
      </w:r>
      <w:r w:rsidRPr="006E094C">
        <w:rPr>
          <w:szCs w:val="26"/>
        </w:rPr>
        <w:t xml:space="preserve"> at p. 9.)  Other appellate courts have also recognized this aspect of class action settlements:  After a proposed settlement has </w:t>
      </w:r>
      <w:proofErr w:type="gramStart"/>
      <w:r w:rsidRPr="006E094C">
        <w:rPr>
          <w:szCs w:val="26"/>
        </w:rPr>
        <w:t>been reached</w:t>
      </w:r>
      <w:proofErr w:type="gramEnd"/>
      <w:r w:rsidRPr="006E094C">
        <w:rPr>
          <w:szCs w:val="26"/>
        </w:rPr>
        <w:t>, the plaintiffs and defendants are no longer adversaries.  “In such circumstances, objectors play an important role by giving courts access to information on the settlement’s merits.”  (</w:t>
      </w:r>
      <w:r w:rsidRPr="006E094C">
        <w:rPr>
          <w:i/>
          <w:szCs w:val="26"/>
        </w:rPr>
        <w:t>Bell Atlantic Corp. v. Bolger</w:t>
      </w:r>
      <w:r w:rsidRPr="006E094C">
        <w:rPr>
          <w:szCs w:val="26"/>
        </w:rPr>
        <w:t xml:space="preserve"> (3d Cir. 1993) 2 F.3d 1304, 1310; see </w:t>
      </w:r>
      <w:r w:rsidRPr="006E094C">
        <w:rPr>
          <w:i/>
          <w:szCs w:val="26"/>
        </w:rPr>
        <w:t>Redman v. RadioShack Corp.</w:t>
      </w:r>
      <w:r w:rsidRPr="006E094C">
        <w:rPr>
          <w:szCs w:val="26"/>
        </w:rPr>
        <w:t xml:space="preserve"> (7th Cir. 2014) 768 F.3d 622, 629 [“When there are objecting class members, the judge’s task is eased because he or she has the benefit of an adversary process: objectors versus settlors.”]; Fitzpatrick, </w:t>
      </w:r>
      <w:r w:rsidRPr="006E094C">
        <w:rPr>
          <w:i/>
          <w:szCs w:val="26"/>
        </w:rPr>
        <w:t>The End of Objector Blackmail</w:t>
      </w:r>
      <w:proofErr w:type="gramStart"/>
      <w:r w:rsidRPr="006E094C">
        <w:rPr>
          <w:i/>
          <w:szCs w:val="26"/>
        </w:rPr>
        <w:t>?</w:t>
      </w:r>
      <w:r w:rsidRPr="006E094C">
        <w:rPr>
          <w:szCs w:val="26"/>
        </w:rPr>
        <w:t xml:space="preserve"> </w:t>
      </w:r>
      <w:proofErr w:type="gramEnd"/>
      <w:r w:rsidRPr="006E094C">
        <w:rPr>
          <w:szCs w:val="26"/>
        </w:rPr>
        <w:t xml:space="preserve">(2009) 62 </w:t>
      </w:r>
      <w:proofErr w:type="spellStart"/>
      <w:r w:rsidRPr="006E094C">
        <w:rPr>
          <w:szCs w:val="26"/>
        </w:rPr>
        <w:t>Vand</w:t>
      </w:r>
      <w:proofErr w:type="spellEnd"/>
      <w:proofErr w:type="gramStart"/>
      <w:r w:rsidRPr="006E094C">
        <w:rPr>
          <w:szCs w:val="26"/>
        </w:rPr>
        <w:t xml:space="preserve">. </w:t>
      </w:r>
      <w:proofErr w:type="spellStart"/>
      <w:proofErr w:type="gramEnd"/>
      <w:r w:rsidRPr="006E094C">
        <w:rPr>
          <w:szCs w:val="26"/>
        </w:rPr>
        <w:t>L.Rev</w:t>
      </w:r>
      <w:proofErr w:type="spellEnd"/>
      <w:r w:rsidRPr="006E094C">
        <w:rPr>
          <w:szCs w:val="26"/>
        </w:rPr>
        <w:t>. 1623, 1630 (hereafter Fitzpatrick) [“[W]</w:t>
      </w:r>
      <w:proofErr w:type="spellStart"/>
      <w:r w:rsidRPr="006E094C">
        <w:rPr>
          <w:szCs w:val="26"/>
        </w:rPr>
        <w:t>ithout</w:t>
      </w:r>
      <w:proofErr w:type="spellEnd"/>
      <w:r w:rsidRPr="006E094C">
        <w:rPr>
          <w:szCs w:val="26"/>
        </w:rPr>
        <w:t xml:space="preserve"> objectors there would be no adversarial testing of class action settlements at all.”].)</w:t>
      </w:r>
    </w:p>
    <w:p w:rsidR="00462A24" w:rsidRPr="006E094C" w:rsidRDefault="00462A24" w:rsidP="00462A24">
      <w:pPr>
        <w:pStyle w:val="PRComments"/>
        <w:spacing w:line="480" w:lineRule="atLeast"/>
        <w:ind w:right="0" w:firstLine="720"/>
        <w:rPr>
          <w:szCs w:val="26"/>
        </w:rPr>
      </w:pPr>
      <w:r w:rsidRPr="006E094C">
        <w:rPr>
          <w:szCs w:val="26"/>
        </w:rPr>
        <w:t xml:space="preserve">There is also reason to question the practical and policy advantages of the </w:t>
      </w:r>
      <w:r w:rsidRPr="006E094C">
        <w:rPr>
          <w:i/>
          <w:szCs w:val="26"/>
        </w:rPr>
        <w:t>Eggert</w:t>
      </w:r>
      <w:r w:rsidRPr="006E094C">
        <w:rPr>
          <w:szCs w:val="26"/>
        </w:rPr>
        <w:t xml:space="preserve"> rule.  It is true that if absent class members do not want to </w:t>
      </w:r>
      <w:proofErr w:type="gramStart"/>
      <w:r w:rsidRPr="006E094C">
        <w:rPr>
          <w:szCs w:val="26"/>
        </w:rPr>
        <w:t>be bound</w:t>
      </w:r>
      <w:proofErr w:type="gramEnd"/>
      <w:r w:rsidRPr="006E094C">
        <w:rPr>
          <w:szCs w:val="26"/>
        </w:rPr>
        <w:t xml:space="preserve"> by a settlement or judgment, they can opt out.  But class members must decide whether to opt out before they </w:t>
      </w:r>
      <w:proofErr w:type="gramStart"/>
      <w:r w:rsidRPr="006E094C">
        <w:rPr>
          <w:szCs w:val="26"/>
        </w:rPr>
        <w:t>have the opportunity to</w:t>
      </w:r>
      <w:proofErr w:type="gramEnd"/>
      <w:r w:rsidRPr="006E094C">
        <w:rPr>
          <w:szCs w:val="26"/>
        </w:rPr>
        <w:t xml:space="preserve"> object to the resolution of the class claims.  That was the case here:  Class members had to opt out of the litigation by August 2013, but the trial court did not issue its proposed judgment until March 2014.  The fact that absent class members who do not opt out of the litigation are bound by the judgment is precisely the </w:t>
      </w:r>
      <w:proofErr w:type="gramStart"/>
      <w:r w:rsidRPr="006E094C">
        <w:rPr>
          <w:szCs w:val="26"/>
        </w:rPr>
        <w:t>reason why</w:t>
      </w:r>
      <w:proofErr w:type="gramEnd"/>
      <w:r w:rsidRPr="006E094C">
        <w:rPr>
          <w:szCs w:val="26"/>
        </w:rPr>
        <w:t xml:space="preserve"> the high court granted them the right to appeal in </w:t>
      </w:r>
      <w:r w:rsidRPr="006E094C">
        <w:rPr>
          <w:i/>
          <w:szCs w:val="26"/>
        </w:rPr>
        <w:t>Devlin</w:t>
      </w:r>
      <w:r w:rsidRPr="006E094C">
        <w:rPr>
          <w:szCs w:val="26"/>
        </w:rPr>
        <w:t>.  (</w:t>
      </w:r>
      <w:r w:rsidRPr="006E094C">
        <w:rPr>
          <w:i/>
          <w:szCs w:val="26"/>
        </w:rPr>
        <w:t>Devlin</w:t>
      </w:r>
      <w:r w:rsidRPr="006E094C">
        <w:rPr>
          <w:szCs w:val="26"/>
        </w:rPr>
        <w:t xml:space="preserve">, </w:t>
      </w:r>
      <w:r w:rsidRPr="006E094C">
        <w:rPr>
          <w:i/>
          <w:szCs w:val="26"/>
        </w:rPr>
        <w:t>supra</w:t>
      </w:r>
      <w:r w:rsidRPr="006E094C">
        <w:rPr>
          <w:szCs w:val="26"/>
        </w:rPr>
        <w:t>, 536 U.S. at p. 10.)</w:t>
      </w:r>
    </w:p>
    <w:p w:rsidR="00462A24" w:rsidRPr="006E094C" w:rsidRDefault="00462A24" w:rsidP="00462A24">
      <w:pPr>
        <w:spacing w:line="480" w:lineRule="atLeast"/>
        <w:ind w:firstLine="720"/>
        <w:rPr>
          <w:rFonts w:ascii="Times New Roman" w:hAnsi="Times New Roman" w:cs="Times New Roman"/>
          <w:sz w:val="26"/>
          <w:szCs w:val="26"/>
        </w:rPr>
      </w:pPr>
      <w:r w:rsidRPr="006E094C">
        <w:rPr>
          <w:rFonts w:ascii="Times New Roman" w:hAnsi="Times New Roman" w:cs="Times New Roman"/>
          <w:sz w:val="26"/>
          <w:szCs w:val="26"/>
        </w:rPr>
        <w:lastRenderedPageBreak/>
        <w:t>Further, although a requirement that absent class members formally intervene for purposes of appeal offers “a bright-line rule” (maj</w:t>
      </w:r>
      <w:proofErr w:type="gramStart"/>
      <w:r w:rsidRPr="006E094C">
        <w:rPr>
          <w:rFonts w:ascii="Times New Roman" w:hAnsi="Times New Roman" w:cs="Times New Roman"/>
          <w:sz w:val="26"/>
          <w:szCs w:val="26"/>
        </w:rPr>
        <w:t xml:space="preserve">. </w:t>
      </w:r>
      <w:proofErr w:type="gramEnd"/>
      <w:r w:rsidRPr="006E094C">
        <w:rPr>
          <w:rFonts w:ascii="Times New Roman" w:hAnsi="Times New Roman" w:cs="Times New Roman"/>
          <w:sz w:val="26"/>
          <w:szCs w:val="26"/>
        </w:rPr>
        <w:t xml:space="preserve">opn., </w:t>
      </w:r>
      <w:r w:rsidRPr="006E094C">
        <w:rPr>
          <w:rFonts w:ascii="Times New Roman" w:hAnsi="Times New Roman" w:cs="Times New Roman"/>
          <w:i/>
          <w:sz w:val="26"/>
          <w:szCs w:val="26"/>
        </w:rPr>
        <w:t>ante</w:t>
      </w:r>
      <w:r w:rsidRPr="006E094C">
        <w:rPr>
          <w:rFonts w:ascii="Times New Roman" w:hAnsi="Times New Roman" w:cs="Times New Roman"/>
          <w:sz w:val="26"/>
          <w:szCs w:val="26"/>
        </w:rPr>
        <w:t>, at p. 14), a rule that absent class members who appear and object at a settlement fairness hearing have the right to appeal is similarly clear and orderly.  Moreover, objecting at the fairness hearing, just like intervention, puts the parties on sufficient notice regarding the nature of the objections and creates a record for appeal.</w:t>
      </w:r>
    </w:p>
    <w:p w:rsidR="00FB11E8" w:rsidRPr="006E094C" w:rsidRDefault="00462A24" w:rsidP="00FB11E8">
      <w:pPr>
        <w:pStyle w:val="PRComments"/>
        <w:spacing w:line="480" w:lineRule="atLeast"/>
        <w:ind w:right="0" w:firstLine="720"/>
        <w:rPr>
          <w:szCs w:val="26"/>
        </w:rPr>
      </w:pPr>
      <w:r w:rsidRPr="006E094C">
        <w:rPr>
          <w:szCs w:val="26"/>
        </w:rPr>
        <w:t>There is a legitimate concern that the efficiencies of a class action would be defeated by “[m]</w:t>
      </w:r>
      <w:proofErr w:type="spellStart"/>
      <w:r w:rsidRPr="006E094C">
        <w:rPr>
          <w:szCs w:val="26"/>
        </w:rPr>
        <w:t>eritless</w:t>
      </w:r>
      <w:proofErr w:type="spellEnd"/>
      <w:r w:rsidRPr="006E094C">
        <w:rPr>
          <w:szCs w:val="26"/>
        </w:rPr>
        <w:t xml:space="preserve"> objections” raised by </w:t>
      </w:r>
      <w:proofErr w:type="gramStart"/>
      <w:r w:rsidRPr="006E094C">
        <w:rPr>
          <w:szCs w:val="26"/>
        </w:rPr>
        <w:t>“ ‘</w:t>
      </w:r>
      <w:proofErr w:type="gramEnd"/>
      <w:r w:rsidRPr="006E094C">
        <w:rPr>
          <w:szCs w:val="26"/>
        </w:rPr>
        <w:t xml:space="preserve">professional objectors.’ ”  (Maj. opn., </w:t>
      </w:r>
      <w:r w:rsidRPr="006E094C">
        <w:rPr>
          <w:i/>
          <w:szCs w:val="26"/>
        </w:rPr>
        <w:t>ante</w:t>
      </w:r>
      <w:r w:rsidRPr="006E094C">
        <w:rPr>
          <w:szCs w:val="26"/>
        </w:rPr>
        <w:t xml:space="preserve">, at p. 15.)  But, as </w:t>
      </w:r>
      <w:r w:rsidRPr="006E094C">
        <w:rPr>
          <w:i/>
          <w:szCs w:val="26"/>
        </w:rPr>
        <w:t>Devlin</w:t>
      </w:r>
      <w:r w:rsidRPr="006E094C">
        <w:rPr>
          <w:szCs w:val="26"/>
        </w:rPr>
        <w:t xml:space="preserve"> explained, “the power to appeal </w:t>
      </w:r>
      <w:proofErr w:type="gramStart"/>
      <w:r w:rsidRPr="006E094C">
        <w:rPr>
          <w:szCs w:val="26"/>
        </w:rPr>
        <w:t>is limited</w:t>
      </w:r>
      <w:proofErr w:type="gramEnd"/>
      <w:r w:rsidRPr="006E094C">
        <w:rPr>
          <w:szCs w:val="26"/>
        </w:rPr>
        <w:t xml:space="preserve"> to those nonnamed class members who have objected during the fairness hearing,” and such appeals must be limited to the overruled objections.  (</w:t>
      </w:r>
      <w:r w:rsidRPr="006E094C">
        <w:rPr>
          <w:i/>
          <w:szCs w:val="26"/>
        </w:rPr>
        <w:t>Devlin</w:t>
      </w:r>
      <w:r w:rsidRPr="006E094C">
        <w:rPr>
          <w:szCs w:val="26"/>
        </w:rPr>
        <w:t xml:space="preserve">, </w:t>
      </w:r>
      <w:r w:rsidRPr="006E094C">
        <w:rPr>
          <w:i/>
          <w:szCs w:val="26"/>
        </w:rPr>
        <w:t>supra</w:t>
      </w:r>
      <w:r w:rsidRPr="006E094C">
        <w:rPr>
          <w:szCs w:val="26"/>
        </w:rPr>
        <w:t xml:space="preserve">, 536 U.S. at p. 11.)  Indeed, studies show that few class members in fact object to settlements.  (Fitzpatrick, </w:t>
      </w:r>
      <w:r w:rsidRPr="006E094C">
        <w:rPr>
          <w:i/>
          <w:szCs w:val="26"/>
        </w:rPr>
        <w:t>supra</w:t>
      </w:r>
      <w:r w:rsidRPr="006E094C">
        <w:rPr>
          <w:szCs w:val="26"/>
        </w:rPr>
        <w:t xml:space="preserve">, 62 </w:t>
      </w:r>
      <w:proofErr w:type="spellStart"/>
      <w:r w:rsidRPr="006E094C">
        <w:rPr>
          <w:szCs w:val="26"/>
        </w:rPr>
        <w:t>Vand</w:t>
      </w:r>
      <w:proofErr w:type="spellEnd"/>
      <w:proofErr w:type="gramStart"/>
      <w:r w:rsidRPr="006E094C">
        <w:rPr>
          <w:szCs w:val="26"/>
        </w:rPr>
        <w:t xml:space="preserve">. </w:t>
      </w:r>
      <w:proofErr w:type="spellStart"/>
      <w:proofErr w:type="gramEnd"/>
      <w:r w:rsidRPr="006E094C">
        <w:rPr>
          <w:szCs w:val="26"/>
        </w:rPr>
        <w:t>L.Rev</w:t>
      </w:r>
      <w:proofErr w:type="spellEnd"/>
      <w:r w:rsidRPr="006E094C">
        <w:rPr>
          <w:szCs w:val="26"/>
        </w:rPr>
        <w:t>. at pp. 1630–1631 [noting that “the median number of objections to a settlement was three — well less than one-tenth of one percent of class members”].)  Although the possibility of lawyer-driven objector “blackmail” is real (</w:t>
      </w:r>
      <w:r w:rsidRPr="006E094C">
        <w:rPr>
          <w:i/>
          <w:szCs w:val="26"/>
        </w:rPr>
        <w:t>id</w:t>
      </w:r>
      <w:proofErr w:type="gramStart"/>
      <w:r w:rsidRPr="006E094C">
        <w:rPr>
          <w:i/>
          <w:szCs w:val="26"/>
        </w:rPr>
        <w:t>.</w:t>
      </w:r>
      <w:r w:rsidRPr="006E094C">
        <w:rPr>
          <w:szCs w:val="26"/>
        </w:rPr>
        <w:t xml:space="preserve"> </w:t>
      </w:r>
      <w:proofErr w:type="gramEnd"/>
      <w:r w:rsidRPr="006E094C">
        <w:rPr>
          <w:szCs w:val="26"/>
        </w:rPr>
        <w:t xml:space="preserve">at pp. 1633–1638), categorically denying objectors the right to appeal may not offer the best solution.  (See </w:t>
      </w:r>
      <w:r w:rsidRPr="006E094C">
        <w:rPr>
          <w:i/>
          <w:szCs w:val="26"/>
        </w:rPr>
        <w:t>Vaughn v. Am. Honda Motor Co.</w:t>
      </w:r>
      <w:r w:rsidRPr="006E094C">
        <w:rPr>
          <w:szCs w:val="26"/>
        </w:rPr>
        <w:t xml:space="preserve"> (5th Cir. 2007) 507 F.3d 295, 300 [“[I]</w:t>
      </w:r>
      <w:proofErr w:type="spellStart"/>
      <w:r w:rsidRPr="006E094C">
        <w:rPr>
          <w:szCs w:val="26"/>
        </w:rPr>
        <w:t>mposing</w:t>
      </w:r>
      <w:proofErr w:type="spellEnd"/>
      <w:r w:rsidRPr="006E094C">
        <w:rPr>
          <w:szCs w:val="26"/>
        </w:rPr>
        <w:t xml:space="preserve"> too great a burden on an objector’s right to appeal may discourage meritorious appeals or tend to insulate a district court’s judgment in approving a class settlement from appellate review.”]; Fitzpatrick, at p. 1638 [“To believe that class action objectors have the power to blackmail class counsel is not, of course, to say that all objections are an attempt to do so.  Courts and commentators note that objectors can serve a very positive role in class action settlements by bringing attention to flaws in those settlements.”].)</w:t>
      </w:r>
      <w:r w:rsidR="00FB11E8" w:rsidRPr="006E094C">
        <w:rPr>
          <w:szCs w:val="26"/>
        </w:rPr>
        <w:br w:type="page"/>
      </w:r>
    </w:p>
    <w:p w:rsidR="00462A24" w:rsidRPr="006E094C" w:rsidRDefault="00462A24" w:rsidP="00462A24">
      <w:pPr>
        <w:pStyle w:val="PRComments"/>
        <w:spacing w:line="480" w:lineRule="atLeast"/>
        <w:ind w:right="0" w:firstLine="720"/>
        <w:rPr>
          <w:szCs w:val="26"/>
        </w:rPr>
      </w:pPr>
      <w:r w:rsidRPr="006E094C">
        <w:rPr>
          <w:szCs w:val="26"/>
        </w:rPr>
        <w:lastRenderedPageBreak/>
        <w:t xml:space="preserve">Instead of restricting the right to appeal, courts and class counsel can invoke other mechanisms to limit the ability of professional objectors to delay class action settlements, such as imposing sanctions for frivolous appeals, expediting appeals, or requiring objectors to post a bond before taking an appeal.  These approaches, among others, have </w:t>
      </w:r>
      <w:proofErr w:type="gramStart"/>
      <w:r w:rsidRPr="006E094C">
        <w:rPr>
          <w:szCs w:val="26"/>
        </w:rPr>
        <w:t>been employed</w:t>
      </w:r>
      <w:proofErr w:type="gramEnd"/>
      <w:r w:rsidRPr="006E094C">
        <w:rPr>
          <w:szCs w:val="26"/>
        </w:rPr>
        <w:t xml:space="preserve"> to varying degrees in federal class action practice.  (See </w:t>
      </w:r>
      <w:proofErr w:type="spellStart"/>
      <w:r w:rsidRPr="006E094C">
        <w:rPr>
          <w:szCs w:val="26"/>
        </w:rPr>
        <w:t>Lopatka</w:t>
      </w:r>
      <w:proofErr w:type="spellEnd"/>
      <w:r w:rsidRPr="006E094C">
        <w:rPr>
          <w:szCs w:val="26"/>
        </w:rPr>
        <w:t xml:space="preserve"> &amp; Smith, </w:t>
      </w:r>
      <w:r w:rsidRPr="006E094C">
        <w:rPr>
          <w:i/>
          <w:szCs w:val="26"/>
        </w:rPr>
        <w:t>Class Action Professional Objectors: What to Do About Them</w:t>
      </w:r>
      <w:proofErr w:type="gramStart"/>
      <w:r w:rsidRPr="006E094C">
        <w:rPr>
          <w:i/>
          <w:szCs w:val="26"/>
        </w:rPr>
        <w:t>?</w:t>
      </w:r>
      <w:r w:rsidRPr="006E094C">
        <w:rPr>
          <w:szCs w:val="26"/>
        </w:rPr>
        <w:t xml:space="preserve"> </w:t>
      </w:r>
      <w:proofErr w:type="gramEnd"/>
      <w:r w:rsidRPr="006E094C">
        <w:rPr>
          <w:szCs w:val="26"/>
        </w:rPr>
        <w:t xml:space="preserve">(2012) 39 Fla. St. U. </w:t>
      </w:r>
      <w:proofErr w:type="spellStart"/>
      <w:r w:rsidRPr="006E094C">
        <w:rPr>
          <w:szCs w:val="26"/>
        </w:rPr>
        <w:t>L.Rev</w:t>
      </w:r>
      <w:proofErr w:type="spellEnd"/>
      <w:r w:rsidRPr="006E094C">
        <w:rPr>
          <w:szCs w:val="26"/>
        </w:rPr>
        <w:t xml:space="preserve">. 865, 896–918.)  Other solutions can </w:t>
      </w:r>
      <w:proofErr w:type="gramStart"/>
      <w:r w:rsidRPr="006E094C">
        <w:rPr>
          <w:szCs w:val="26"/>
        </w:rPr>
        <w:t>be implemented</w:t>
      </w:r>
      <w:proofErr w:type="gramEnd"/>
      <w:r w:rsidRPr="006E094C">
        <w:rPr>
          <w:szCs w:val="26"/>
        </w:rPr>
        <w:t xml:space="preserve"> through legislation or amendments to court rules.  For example, as amicus curiae Consumer Attorneys of California notes, the Advisory Committee on Federal Rule of Civil Procedure 23 recently proposed changes requiring objectors to state whether their objection “applies only to the objector, to a specific subset of the class, or to the entire class, </w:t>
      </w:r>
      <w:proofErr w:type="gramStart"/>
      <w:r w:rsidRPr="006E094C">
        <w:rPr>
          <w:szCs w:val="26"/>
        </w:rPr>
        <w:t>and also</w:t>
      </w:r>
      <w:proofErr w:type="gramEnd"/>
      <w:r w:rsidRPr="006E094C">
        <w:rPr>
          <w:szCs w:val="26"/>
        </w:rPr>
        <w:t xml:space="preserve"> state with specificity the grounds for the objection.”  (Advisory Committee on Civil Rules, Report of the Advisory Committee on Civil Rules (May 12, 2016), at p. 3.)</w:t>
      </w:r>
    </w:p>
    <w:p w:rsidR="00462A24" w:rsidRPr="006E094C" w:rsidRDefault="00462A24" w:rsidP="00462A24">
      <w:pPr>
        <w:pStyle w:val="PRComments"/>
        <w:spacing w:line="480" w:lineRule="atLeast"/>
        <w:ind w:right="0" w:firstLine="720"/>
        <w:rPr>
          <w:szCs w:val="26"/>
        </w:rPr>
      </w:pPr>
      <w:r w:rsidRPr="006E094C">
        <w:rPr>
          <w:szCs w:val="26"/>
        </w:rPr>
        <w:t xml:space="preserve">I express no definitive view on the merits of these alternatives.  I simply note that the rule announced more than 75 years </w:t>
      </w:r>
      <w:proofErr w:type="gramStart"/>
      <w:r w:rsidRPr="006E094C">
        <w:rPr>
          <w:szCs w:val="26"/>
        </w:rPr>
        <w:t>ago</w:t>
      </w:r>
      <w:proofErr w:type="gramEnd"/>
      <w:r w:rsidRPr="006E094C">
        <w:rPr>
          <w:szCs w:val="26"/>
        </w:rPr>
        <w:t xml:space="preserve"> in </w:t>
      </w:r>
      <w:r w:rsidRPr="006E094C">
        <w:rPr>
          <w:i/>
          <w:szCs w:val="26"/>
        </w:rPr>
        <w:t>Eggert</w:t>
      </w:r>
      <w:r w:rsidRPr="006E094C">
        <w:rPr>
          <w:szCs w:val="26"/>
        </w:rPr>
        <w:t xml:space="preserve"> may no longer strike an appropriate balance among the competing policy concerns raised by this case.  Many courts in California and other jurisdictions have declined to follow </w:t>
      </w:r>
      <w:r w:rsidRPr="006E094C">
        <w:rPr>
          <w:i/>
          <w:szCs w:val="26"/>
        </w:rPr>
        <w:t>Eggert</w:t>
      </w:r>
      <w:r w:rsidRPr="006E094C">
        <w:rPr>
          <w:szCs w:val="26"/>
        </w:rPr>
        <w:t xml:space="preserve">’s rule.  (Maj. opn., </w:t>
      </w:r>
      <w:r w:rsidRPr="006E094C">
        <w:rPr>
          <w:i/>
          <w:szCs w:val="26"/>
        </w:rPr>
        <w:t>ante</w:t>
      </w:r>
      <w:r w:rsidRPr="006E094C">
        <w:rPr>
          <w:szCs w:val="26"/>
        </w:rPr>
        <w:t xml:space="preserve">, at pp. 10, 13.)  The Legislature may wish to revisit this issue </w:t>
      </w:r>
      <w:proofErr w:type="gramStart"/>
      <w:r w:rsidRPr="006E094C">
        <w:rPr>
          <w:szCs w:val="26"/>
        </w:rPr>
        <w:t>in light of</w:t>
      </w:r>
      <w:proofErr w:type="gramEnd"/>
      <w:r w:rsidRPr="006E094C">
        <w:rPr>
          <w:szCs w:val="26"/>
        </w:rPr>
        <w:t xml:space="preserve"> the current landscape of class action practice.</w:t>
      </w:r>
    </w:p>
    <w:p w:rsidR="00462A24" w:rsidRDefault="00462A24" w:rsidP="00462A24">
      <w:pPr>
        <w:pStyle w:val="PRComments"/>
        <w:spacing w:line="480" w:lineRule="atLeast"/>
        <w:ind w:right="0" w:firstLine="720"/>
        <w:rPr>
          <w:szCs w:val="26"/>
        </w:rPr>
      </w:pPr>
    </w:p>
    <w:p w:rsidR="00462A24" w:rsidRPr="00A5523A" w:rsidRDefault="00462A24" w:rsidP="00462A24">
      <w:pPr>
        <w:pStyle w:val="PRComments"/>
        <w:spacing w:line="480" w:lineRule="atLeast"/>
        <w:ind w:left="4320" w:right="0" w:firstLine="720"/>
        <w:rPr>
          <w:b/>
          <w:szCs w:val="26"/>
        </w:rPr>
      </w:pPr>
      <w:r w:rsidRPr="00A5523A">
        <w:rPr>
          <w:b/>
          <w:szCs w:val="26"/>
        </w:rPr>
        <w:t>L</w:t>
      </w:r>
      <w:r w:rsidRPr="002824E5">
        <w:rPr>
          <w:b/>
          <w:smallCaps/>
          <w:szCs w:val="26"/>
        </w:rPr>
        <w:t>iu</w:t>
      </w:r>
      <w:r w:rsidRPr="00A5523A">
        <w:rPr>
          <w:b/>
          <w:szCs w:val="26"/>
        </w:rPr>
        <w:t>, J.</w:t>
      </w:r>
    </w:p>
    <w:p w:rsidR="001316F1" w:rsidRDefault="001316F1" w:rsidP="00462A24">
      <w:pPr>
        <w:tabs>
          <w:tab w:val="left" w:pos="5760"/>
        </w:tabs>
        <w:spacing w:before="120" w:line="480" w:lineRule="atLeast"/>
        <w:rPr>
          <w:rFonts w:ascii="Times New Roman" w:hAnsi="Times New Roman" w:cs="Times New Roman"/>
          <w:sz w:val="26"/>
          <w:szCs w:val="26"/>
        </w:rPr>
        <w:sectPr w:rsidR="001316F1" w:rsidSect="00462A2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440" w:right="1800" w:bottom="1440" w:left="1800" w:header="720" w:footer="720" w:gutter="0"/>
          <w:pgNumType w:start="1"/>
          <w:cols w:space="720"/>
        </w:sectPr>
      </w:pPr>
    </w:p>
    <w:p w:rsidR="001316F1" w:rsidRDefault="001316F1" w:rsidP="001316F1">
      <w:pPr>
        <w:rPr>
          <w:i/>
          <w:sz w:val="20"/>
        </w:rPr>
      </w:pPr>
      <w:r>
        <w:rPr>
          <w:i/>
          <w:sz w:val="20"/>
        </w:rPr>
        <w:lastRenderedPageBreak/>
        <w:t>See next page for addresses and telephone numbers for counsel who argued in Supreme Court.</w:t>
      </w:r>
    </w:p>
    <w:p w:rsidR="001316F1" w:rsidRDefault="001316F1" w:rsidP="001316F1">
      <w:pPr>
        <w:rPr>
          <w:i/>
          <w:sz w:val="20"/>
        </w:rPr>
      </w:pPr>
    </w:p>
    <w:p w:rsidR="001316F1" w:rsidRDefault="001316F1" w:rsidP="001316F1">
      <w:pPr>
        <w:rPr>
          <w:bCs/>
          <w:i/>
          <w:sz w:val="20"/>
        </w:rPr>
      </w:pPr>
      <w:r>
        <w:rPr>
          <w:b/>
          <w:sz w:val="20"/>
        </w:rPr>
        <w:t>Name of Opinion</w:t>
      </w:r>
      <w:r>
        <w:rPr>
          <w:sz w:val="20"/>
        </w:rPr>
        <w:t xml:space="preserve"> Hernandez v. Restoration Hardware, Inc.</w:t>
      </w:r>
    </w:p>
    <w:p w:rsidR="001316F1" w:rsidRDefault="001316F1" w:rsidP="001316F1">
      <w:pPr>
        <w:rPr>
          <w:b/>
          <w:sz w:val="20"/>
        </w:rPr>
      </w:pPr>
      <w:r>
        <w:rPr>
          <w:b/>
          <w:sz w:val="20"/>
        </w:rPr>
        <w:t>__________________________________________________________________________________</w:t>
      </w:r>
    </w:p>
    <w:p w:rsidR="001316F1" w:rsidRDefault="001316F1" w:rsidP="001316F1">
      <w:pPr>
        <w:rPr>
          <w:b/>
          <w:sz w:val="20"/>
        </w:rPr>
      </w:pPr>
    </w:p>
    <w:p w:rsidR="001316F1" w:rsidRDefault="001316F1" w:rsidP="001316F1">
      <w:pPr>
        <w:rPr>
          <w:bCs/>
          <w:sz w:val="20"/>
        </w:rPr>
      </w:pPr>
      <w:r>
        <w:rPr>
          <w:b/>
          <w:sz w:val="20"/>
        </w:rPr>
        <w:t>Unpublished Opinion</w:t>
      </w:r>
    </w:p>
    <w:p w:rsidR="001316F1" w:rsidRDefault="001316F1" w:rsidP="001316F1">
      <w:pPr>
        <w:rPr>
          <w:sz w:val="20"/>
        </w:rPr>
      </w:pPr>
      <w:r>
        <w:rPr>
          <w:b/>
          <w:sz w:val="20"/>
        </w:rPr>
        <w:t>Original Appeal</w:t>
      </w:r>
    </w:p>
    <w:p w:rsidR="001316F1" w:rsidRDefault="001316F1" w:rsidP="001316F1">
      <w:pPr>
        <w:rPr>
          <w:b/>
          <w:sz w:val="20"/>
        </w:rPr>
      </w:pPr>
      <w:r>
        <w:rPr>
          <w:b/>
          <w:sz w:val="20"/>
        </w:rPr>
        <w:t>Original Proceeding</w:t>
      </w:r>
    </w:p>
    <w:p w:rsidR="001316F1" w:rsidRDefault="001316F1" w:rsidP="001316F1">
      <w:pPr>
        <w:rPr>
          <w:sz w:val="20"/>
        </w:rPr>
      </w:pPr>
      <w:r>
        <w:rPr>
          <w:b/>
          <w:sz w:val="20"/>
        </w:rPr>
        <w:t>Review Granted</w:t>
      </w:r>
      <w:r>
        <w:rPr>
          <w:sz w:val="20"/>
        </w:rPr>
        <w:t xml:space="preserve"> XXX 245 Cal.App.4th 651</w:t>
      </w:r>
    </w:p>
    <w:p w:rsidR="001316F1" w:rsidRDefault="001316F1" w:rsidP="001316F1">
      <w:pPr>
        <w:rPr>
          <w:b/>
          <w:sz w:val="20"/>
        </w:rPr>
      </w:pPr>
      <w:r>
        <w:rPr>
          <w:b/>
          <w:sz w:val="20"/>
        </w:rPr>
        <w:t>Rehearing Granted</w:t>
      </w:r>
    </w:p>
    <w:p w:rsidR="001316F1" w:rsidRDefault="001316F1" w:rsidP="001316F1">
      <w:pPr>
        <w:rPr>
          <w:b/>
          <w:sz w:val="20"/>
        </w:rPr>
      </w:pPr>
    </w:p>
    <w:p w:rsidR="001316F1" w:rsidRDefault="001316F1" w:rsidP="001316F1">
      <w:pPr>
        <w:rPr>
          <w:b/>
          <w:sz w:val="20"/>
        </w:rPr>
      </w:pPr>
      <w:r>
        <w:rPr>
          <w:b/>
          <w:sz w:val="20"/>
        </w:rPr>
        <w:t>__________________________________________________________________________________</w:t>
      </w:r>
    </w:p>
    <w:p w:rsidR="001316F1" w:rsidRDefault="001316F1" w:rsidP="001316F1">
      <w:pPr>
        <w:rPr>
          <w:b/>
          <w:sz w:val="20"/>
        </w:rPr>
      </w:pPr>
    </w:p>
    <w:p w:rsidR="001316F1" w:rsidRDefault="001316F1" w:rsidP="001316F1">
      <w:pPr>
        <w:rPr>
          <w:bCs/>
          <w:sz w:val="20"/>
        </w:rPr>
      </w:pPr>
      <w:r>
        <w:rPr>
          <w:b/>
          <w:sz w:val="20"/>
        </w:rPr>
        <w:t>Opinion No.</w:t>
      </w:r>
      <w:r>
        <w:rPr>
          <w:sz w:val="20"/>
        </w:rPr>
        <w:t xml:space="preserve"> S233983</w:t>
      </w:r>
    </w:p>
    <w:p w:rsidR="001316F1" w:rsidRDefault="001316F1" w:rsidP="001316F1">
      <w:pPr>
        <w:rPr>
          <w:bCs/>
          <w:sz w:val="20"/>
        </w:rPr>
      </w:pPr>
      <w:r>
        <w:rPr>
          <w:b/>
          <w:sz w:val="20"/>
        </w:rPr>
        <w:t>Date Filed:</w:t>
      </w:r>
      <w:r>
        <w:rPr>
          <w:sz w:val="20"/>
        </w:rPr>
        <w:t xml:space="preserve"> January 29, 2018</w:t>
      </w:r>
    </w:p>
    <w:p w:rsidR="001316F1" w:rsidRDefault="001316F1" w:rsidP="001316F1">
      <w:pPr>
        <w:rPr>
          <w:b/>
          <w:sz w:val="20"/>
        </w:rPr>
      </w:pPr>
      <w:r>
        <w:rPr>
          <w:b/>
          <w:sz w:val="20"/>
        </w:rPr>
        <w:t>__________________________________________________________________________________</w:t>
      </w:r>
    </w:p>
    <w:p w:rsidR="001316F1" w:rsidRDefault="001316F1" w:rsidP="001316F1">
      <w:pPr>
        <w:rPr>
          <w:b/>
          <w:sz w:val="20"/>
        </w:rPr>
      </w:pPr>
    </w:p>
    <w:p w:rsidR="001316F1" w:rsidRDefault="001316F1" w:rsidP="001316F1">
      <w:pPr>
        <w:rPr>
          <w:bCs/>
          <w:sz w:val="20"/>
        </w:rPr>
      </w:pPr>
      <w:r>
        <w:rPr>
          <w:b/>
          <w:sz w:val="20"/>
        </w:rPr>
        <w:t>Court:</w:t>
      </w:r>
      <w:r>
        <w:rPr>
          <w:sz w:val="20"/>
        </w:rPr>
        <w:t xml:space="preserve"> Superior</w:t>
      </w:r>
    </w:p>
    <w:p w:rsidR="001316F1" w:rsidRDefault="001316F1" w:rsidP="001316F1">
      <w:pPr>
        <w:rPr>
          <w:bCs/>
          <w:sz w:val="20"/>
        </w:rPr>
      </w:pPr>
      <w:r>
        <w:rPr>
          <w:b/>
          <w:sz w:val="20"/>
        </w:rPr>
        <w:t>County:</w:t>
      </w:r>
      <w:r>
        <w:rPr>
          <w:sz w:val="20"/>
        </w:rPr>
        <w:t xml:space="preserve"> San Diego</w:t>
      </w:r>
    </w:p>
    <w:p w:rsidR="001316F1" w:rsidRDefault="001316F1" w:rsidP="001316F1">
      <w:pPr>
        <w:ind w:left="720" w:hanging="720"/>
        <w:rPr>
          <w:bCs/>
          <w:sz w:val="20"/>
        </w:rPr>
      </w:pPr>
      <w:r>
        <w:rPr>
          <w:b/>
          <w:sz w:val="20"/>
        </w:rPr>
        <w:t>Judge:</w:t>
      </w:r>
      <w:r>
        <w:rPr>
          <w:sz w:val="20"/>
        </w:rPr>
        <w:t xml:space="preserve"> William S. Dato</w:t>
      </w:r>
    </w:p>
    <w:p w:rsidR="001316F1" w:rsidRDefault="001316F1" w:rsidP="001316F1">
      <w:pPr>
        <w:rPr>
          <w:b/>
          <w:sz w:val="20"/>
        </w:rPr>
      </w:pPr>
    </w:p>
    <w:p w:rsidR="001316F1" w:rsidRDefault="001316F1" w:rsidP="001316F1">
      <w:pPr>
        <w:rPr>
          <w:b/>
          <w:sz w:val="20"/>
        </w:rPr>
      </w:pPr>
      <w:r>
        <w:rPr>
          <w:b/>
          <w:sz w:val="20"/>
        </w:rPr>
        <w:t>__________________________________________________________________________________</w:t>
      </w:r>
    </w:p>
    <w:p w:rsidR="001316F1" w:rsidRDefault="001316F1" w:rsidP="001316F1">
      <w:pPr>
        <w:rPr>
          <w:b/>
          <w:sz w:val="20"/>
        </w:rPr>
      </w:pPr>
    </w:p>
    <w:p w:rsidR="001316F1" w:rsidRDefault="001316F1" w:rsidP="001316F1">
      <w:pPr>
        <w:rPr>
          <w:b/>
          <w:sz w:val="20"/>
        </w:rPr>
      </w:pPr>
      <w:r>
        <w:rPr>
          <w:b/>
          <w:sz w:val="20"/>
        </w:rPr>
        <w:t>Counsel:</w:t>
      </w:r>
    </w:p>
    <w:p w:rsidR="001316F1" w:rsidRDefault="001316F1" w:rsidP="001316F1">
      <w:pPr>
        <w:rPr>
          <w:b/>
          <w:sz w:val="20"/>
        </w:rPr>
      </w:pPr>
    </w:p>
    <w:p w:rsidR="001316F1" w:rsidRDefault="001316F1" w:rsidP="001316F1">
      <w:pPr>
        <w:rPr>
          <w:sz w:val="20"/>
        </w:rPr>
      </w:pPr>
      <w:r>
        <w:rPr>
          <w:sz w:val="20"/>
        </w:rPr>
        <w:t xml:space="preserve">Law Office of Lawrence W. </w:t>
      </w:r>
      <w:proofErr w:type="spellStart"/>
      <w:r>
        <w:rPr>
          <w:sz w:val="20"/>
        </w:rPr>
        <w:t>Schonbrun</w:t>
      </w:r>
      <w:proofErr w:type="spellEnd"/>
      <w:r>
        <w:rPr>
          <w:sz w:val="20"/>
        </w:rPr>
        <w:t xml:space="preserve"> and Lawrence W </w:t>
      </w:r>
      <w:proofErr w:type="spellStart"/>
      <w:r>
        <w:rPr>
          <w:sz w:val="20"/>
        </w:rPr>
        <w:t>Schonbrun</w:t>
      </w:r>
      <w:proofErr w:type="spellEnd"/>
      <w:r>
        <w:rPr>
          <w:sz w:val="20"/>
        </w:rPr>
        <w:t xml:space="preserve"> for Plaintiff and Appellant.</w:t>
      </w:r>
    </w:p>
    <w:p w:rsidR="001316F1" w:rsidRDefault="001316F1" w:rsidP="001316F1">
      <w:pPr>
        <w:rPr>
          <w:sz w:val="20"/>
        </w:rPr>
      </w:pPr>
    </w:p>
    <w:p w:rsidR="001316F1" w:rsidRDefault="001316F1" w:rsidP="001316F1">
      <w:pPr>
        <w:rPr>
          <w:sz w:val="20"/>
        </w:rPr>
      </w:pPr>
      <w:r>
        <w:rPr>
          <w:sz w:val="20"/>
        </w:rPr>
        <w:t xml:space="preserve">Patterson Law Group, James R. Patterson, Allison H. Goddard; </w:t>
      </w:r>
      <w:proofErr w:type="spellStart"/>
      <w:r>
        <w:rPr>
          <w:sz w:val="20"/>
        </w:rPr>
        <w:t>Stonebarger</w:t>
      </w:r>
      <w:proofErr w:type="spellEnd"/>
      <w:r>
        <w:rPr>
          <w:sz w:val="20"/>
        </w:rPr>
        <w:t xml:space="preserve"> Law, Gene J. </w:t>
      </w:r>
      <w:proofErr w:type="spellStart"/>
      <w:r>
        <w:rPr>
          <w:sz w:val="20"/>
        </w:rPr>
        <w:t>Stonebarger</w:t>
      </w:r>
      <w:proofErr w:type="spellEnd"/>
      <w:r>
        <w:rPr>
          <w:sz w:val="20"/>
        </w:rPr>
        <w:t xml:space="preserve"> and Richard D. Lambert for Plaintiffs and Respondents.</w:t>
      </w:r>
    </w:p>
    <w:p w:rsidR="001316F1" w:rsidRDefault="001316F1" w:rsidP="001316F1">
      <w:pPr>
        <w:rPr>
          <w:sz w:val="20"/>
        </w:rPr>
      </w:pPr>
    </w:p>
    <w:p w:rsidR="001316F1" w:rsidRDefault="001316F1" w:rsidP="001316F1">
      <w:pPr>
        <w:rPr>
          <w:sz w:val="20"/>
        </w:rPr>
      </w:pPr>
      <w:r>
        <w:rPr>
          <w:sz w:val="20"/>
        </w:rPr>
        <w:t xml:space="preserve">Nelson &amp; </w:t>
      </w:r>
      <w:proofErr w:type="spellStart"/>
      <w:r>
        <w:rPr>
          <w:sz w:val="20"/>
        </w:rPr>
        <w:t>Fraenkel</w:t>
      </w:r>
      <w:proofErr w:type="spellEnd"/>
      <w:r>
        <w:rPr>
          <w:sz w:val="20"/>
        </w:rPr>
        <w:t xml:space="preserve">, Gretchen M. Nelson; </w:t>
      </w:r>
      <w:proofErr w:type="spellStart"/>
      <w:r>
        <w:rPr>
          <w:sz w:val="20"/>
        </w:rPr>
        <w:t>Hagens</w:t>
      </w:r>
      <w:proofErr w:type="spellEnd"/>
      <w:r>
        <w:rPr>
          <w:sz w:val="20"/>
        </w:rPr>
        <w:t xml:space="preserve"> Berman </w:t>
      </w:r>
      <w:proofErr w:type="spellStart"/>
      <w:r>
        <w:rPr>
          <w:sz w:val="20"/>
        </w:rPr>
        <w:t>Sobol</w:t>
      </w:r>
      <w:proofErr w:type="spellEnd"/>
      <w:r>
        <w:rPr>
          <w:sz w:val="20"/>
        </w:rPr>
        <w:t xml:space="preserve"> Shapiro and Kevin K. Green for Consumer Attorneys of California as Amicus Curiae on behalf of Plaintiffs and Respondents.</w:t>
      </w:r>
    </w:p>
    <w:p w:rsidR="001316F1" w:rsidRDefault="001316F1" w:rsidP="001316F1">
      <w:pPr>
        <w:rPr>
          <w:sz w:val="20"/>
        </w:rPr>
      </w:pPr>
    </w:p>
    <w:p w:rsidR="001316F1" w:rsidRDefault="001316F1" w:rsidP="001316F1">
      <w:pPr>
        <w:rPr>
          <w:sz w:val="20"/>
        </w:rPr>
      </w:pPr>
      <w:r>
        <w:rPr>
          <w:sz w:val="20"/>
        </w:rPr>
        <w:t>No appearance for Defendant and Respondent.</w:t>
      </w:r>
    </w:p>
    <w:p w:rsidR="001316F1" w:rsidRDefault="001316F1" w:rsidP="001316F1">
      <w:pPr>
        <w:rPr>
          <w:b/>
          <w:sz w:val="20"/>
        </w:rPr>
      </w:pPr>
    </w:p>
    <w:p w:rsidR="001316F1" w:rsidRDefault="001316F1" w:rsidP="001316F1">
      <w:pPr>
        <w:rPr>
          <w:b/>
          <w:sz w:val="20"/>
        </w:rPr>
      </w:pPr>
    </w:p>
    <w:p w:rsidR="001316F1" w:rsidRDefault="001316F1" w:rsidP="001316F1">
      <w:pPr>
        <w:rPr>
          <w:b/>
          <w:sz w:val="20"/>
        </w:rPr>
      </w:pPr>
    </w:p>
    <w:p w:rsidR="001316F1" w:rsidRDefault="001316F1" w:rsidP="001316F1">
      <w:pPr>
        <w:rPr>
          <w:b/>
          <w:sz w:val="20"/>
        </w:rPr>
      </w:pPr>
    </w:p>
    <w:p w:rsidR="001316F1" w:rsidRDefault="001316F1" w:rsidP="001316F1">
      <w:pPr>
        <w:rPr>
          <w:b/>
          <w:sz w:val="20"/>
        </w:rPr>
      </w:pPr>
    </w:p>
    <w:p w:rsidR="001316F1" w:rsidRDefault="001316F1" w:rsidP="001316F1">
      <w:pPr>
        <w:rPr>
          <w:b/>
          <w:sz w:val="20"/>
        </w:rPr>
      </w:pPr>
      <w:r>
        <w:rPr>
          <w:b/>
          <w:sz w:val="20"/>
        </w:rPr>
        <w:br w:type="page"/>
      </w:r>
    </w:p>
    <w:p w:rsidR="001316F1" w:rsidRDefault="001316F1" w:rsidP="001316F1">
      <w:pPr>
        <w:rPr>
          <w:b/>
          <w:sz w:val="20"/>
        </w:rPr>
      </w:pPr>
    </w:p>
    <w:p w:rsidR="001316F1" w:rsidRDefault="001316F1" w:rsidP="001316F1">
      <w:pPr>
        <w:rPr>
          <w:b/>
          <w:sz w:val="20"/>
        </w:rPr>
      </w:pPr>
    </w:p>
    <w:p w:rsidR="001316F1" w:rsidRDefault="001316F1" w:rsidP="001316F1">
      <w:pPr>
        <w:rPr>
          <w:b/>
          <w:sz w:val="20"/>
        </w:rPr>
      </w:pPr>
    </w:p>
    <w:p w:rsidR="001316F1" w:rsidRDefault="001316F1" w:rsidP="001316F1">
      <w:pPr>
        <w:rPr>
          <w:b/>
          <w:sz w:val="20"/>
        </w:rPr>
      </w:pPr>
      <w:r>
        <w:rPr>
          <w:b/>
          <w:sz w:val="20"/>
        </w:rPr>
        <w:t>Counsel who argued in Supreme Court (not intended for publication with opinion):</w:t>
      </w:r>
    </w:p>
    <w:p w:rsidR="001316F1" w:rsidRDefault="001316F1" w:rsidP="001316F1">
      <w:pPr>
        <w:rPr>
          <w:b/>
          <w:sz w:val="20"/>
        </w:rPr>
      </w:pPr>
    </w:p>
    <w:p w:rsidR="001316F1" w:rsidRDefault="001316F1" w:rsidP="001316F1">
      <w:pPr>
        <w:rPr>
          <w:sz w:val="20"/>
        </w:rPr>
      </w:pPr>
      <w:r>
        <w:rPr>
          <w:sz w:val="20"/>
        </w:rPr>
        <w:t xml:space="preserve">Lawrence W </w:t>
      </w:r>
      <w:proofErr w:type="spellStart"/>
      <w:r>
        <w:rPr>
          <w:sz w:val="20"/>
        </w:rPr>
        <w:t>Schonbrun</w:t>
      </w:r>
      <w:proofErr w:type="spellEnd"/>
    </w:p>
    <w:p w:rsidR="001316F1" w:rsidRDefault="001316F1" w:rsidP="001316F1">
      <w:pPr>
        <w:rPr>
          <w:sz w:val="20"/>
        </w:rPr>
      </w:pPr>
      <w:r>
        <w:rPr>
          <w:sz w:val="20"/>
        </w:rPr>
        <w:t xml:space="preserve">Law Office of Lawrence W. </w:t>
      </w:r>
      <w:proofErr w:type="spellStart"/>
      <w:r>
        <w:rPr>
          <w:sz w:val="20"/>
        </w:rPr>
        <w:t>Schonbrun</w:t>
      </w:r>
      <w:proofErr w:type="spellEnd"/>
    </w:p>
    <w:p w:rsidR="001316F1" w:rsidRDefault="001316F1" w:rsidP="001316F1">
      <w:pPr>
        <w:rPr>
          <w:sz w:val="20"/>
        </w:rPr>
      </w:pPr>
      <w:r>
        <w:rPr>
          <w:sz w:val="20"/>
        </w:rPr>
        <w:t>86 Eucalyptus Road</w:t>
      </w:r>
    </w:p>
    <w:p w:rsidR="001316F1" w:rsidRDefault="001316F1" w:rsidP="001316F1">
      <w:pPr>
        <w:rPr>
          <w:sz w:val="20"/>
        </w:rPr>
      </w:pPr>
      <w:r>
        <w:rPr>
          <w:sz w:val="20"/>
        </w:rPr>
        <w:t>Berkeley, CA  94705</w:t>
      </w:r>
    </w:p>
    <w:p w:rsidR="001316F1" w:rsidRDefault="001316F1" w:rsidP="001316F1">
      <w:pPr>
        <w:rPr>
          <w:b/>
          <w:sz w:val="20"/>
        </w:rPr>
      </w:pPr>
      <w:r>
        <w:rPr>
          <w:sz w:val="20"/>
        </w:rPr>
        <w:t>(510) 547-8070</w:t>
      </w:r>
    </w:p>
    <w:p w:rsidR="001316F1" w:rsidRDefault="001316F1" w:rsidP="001316F1">
      <w:pPr>
        <w:rPr>
          <w:b/>
          <w:sz w:val="20"/>
        </w:rPr>
      </w:pPr>
    </w:p>
    <w:p w:rsidR="001316F1" w:rsidRDefault="001316F1" w:rsidP="001316F1">
      <w:pPr>
        <w:rPr>
          <w:sz w:val="20"/>
        </w:rPr>
      </w:pPr>
      <w:r>
        <w:rPr>
          <w:sz w:val="20"/>
        </w:rPr>
        <w:t>Allison H. Goddard</w:t>
      </w:r>
    </w:p>
    <w:p w:rsidR="001316F1" w:rsidRDefault="001316F1" w:rsidP="001316F1">
      <w:pPr>
        <w:rPr>
          <w:sz w:val="20"/>
        </w:rPr>
      </w:pPr>
      <w:r>
        <w:rPr>
          <w:sz w:val="20"/>
        </w:rPr>
        <w:t>Patterson Law Group</w:t>
      </w:r>
    </w:p>
    <w:p w:rsidR="001316F1" w:rsidRDefault="001316F1" w:rsidP="001316F1">
      <w:pPr>
        <w:rPr>
          <w:sz w:val="20"/>
        </w:rPr>
      </w:pPr>
      <w:r>
        <w:rPr>
          <w:sz w:val="20"/>
        </w:rPr>
        <w:t>402 West Broadway, 29th Floor</w:t>
      </w:r>
    </w:p>
    <w:p w:rsidR="001316F1" w:rsidRDefault="001316F1" w:rsidP="001316F1">
      <w:pPr>
        <w:rPr>
          <w:sz w:val="20"/>
        </w:rPr>
      </w:pPr>
      <w:r>
        <w:rPr>
          <w:sz w:val="20"/>
        </w:rPr>
        <w:t>San Diego, CA  92101</w:t>
      </w:r>
    </w:p>
    <w:p w:rsidR="001316F1" w:rsidRDefault="001316F1" w:rsidP="001316F1">
      <w:pPr>
        <w:rPr>
          <w:sz w:val="20"/>
        </w:rPr>
      </w:pPr>
      <w:r>
        <w:rPr>
          <w:sz w:val="20"/>
        </w:rPr>
        <w:t>(619) 756-6990</w:t>
      </w:r>
    </w:p>
    <w:p w:rsidR="001316F1" w:rsidRDefault="001316F1" w:rsidP="001316F1">
      <w:pPr>
        <w:rPr>
          <w:sz w:val="20"/>
        </w:rPr>
      </w:pPr>
    </w:p>
    <w:p w:rsidR="001316F1" w:rsidRDefault="001316F1" w:rsidP="001316F1">
      <w:pPr>
        <w:rPr>
          <w:sz w:val="20"/>
        </w:rPr>
      </w:pPr>
      <w:r>
        <w:rPr>
          <w:sz w:val="20"/>
        </w:rPr>
        <w:t>Kevin K. Green</w:t>
      </w:r>
    </w:p>
    <w:p w:rsidR="001316F1" w:rsidRDefault="001316F1" w:rsidP="001316F1">
      <w:pPr>
        <w:rPr>
          <w:sz w:val="20"/>
        </w:rPr>
      </w:pPr>
      <w:proofErr w:type="spellStart"/>
      <w:r>
        <w:rPr>
          <w:sz w:val="20"/>
        </w:rPr>
        <w:t>Hagens</w:t>
      </w:r>
      <w:proofErr w:type="spellEnd"/>
      <w:r>
        <w:rPr>
          <w:sz w:val="20"/>
        </w:rPr>
        <w:t xml:space="preserve"> Berman </w:t>
      </w:r>
      <w:proofErr w:type="spellStart"/>
      <w:r>
        <w:rPr>
          <w:sz w:val="20"/>
        </w:rPr>
        <w:t>Sobol</w:t>
      </w:r>
      <w:proofErr w:type="spellEnd"/>
      <w:r>
        <w:rPr>
          <w:sz w:val="20"/>
        </w:rPr>
        <w:t xml:space="preserve"> Shapiro</w:t>
      </w:r>
    </w:p>
    <w:p w:rsidR="001316F1" w:rsidRDefault="001316F1" w:rsidP="001316F1">
      <w:pPr>
        <w:rPr>
          <w:sz w:val="20"/>
        </w:rPr>
      </w:pPr>
      <w:r>
        <w:rPr>
          <w:sz w:val="20"/>
        </w:rPr>
        <w:t>525 B Street, Suite 1500</w:t>
      </w:r>
    </w:p>
    <w:p w:rsidR="001316F1" w:rsidRDefault="001316F1" w:rsidP="001316F1">
      <w:pPr>
        <w:rPr>
          <w:sz w:val="20"/>
        </w:rPr>
      </w:pPr>
      <w:r>
        <w:rPr>
          <w:sz w:val="20"/>
        </w:rPr>
        <w:t>San Diego, CA  92101</w:t>
      </w:r>
    </w:p>
    <w:p w:rsidR="001316F1" w:rsidRDefault="001316F1" w:rsidP="001316F1">
      <w:pPr>
        <w:rPr>
          <w:sz w:val="20"/>
        </w:rPr>
      </w:pPr>
      <w:r>
        <w:rPr>
          <w:sz w:val="20"/>
        </w:rPr>
        <w:t>(619) 929-3340</w:t>
      </w:r>
    </w:p>
    <w:p w:rsidR="00B1522F" w:rsidRPr="0038793A" w:rsidRDefault="003075F8" w:rsidP="00462A24">
      <w:pPr>
        <w:tabs>
          <w:tab w:val="left" w:pos="5760"/>
        </w:tabs>
        <w:spacing w:before="120" w:line="480" w:lineRule="atLeast"/>
        <w:rPr>
          <w:rFonts w:ascii="Times New Roman" w:hAnsi="Times New Roman" w:cs="Times New Roman"/>
          <w:sz w:val="26"/>
          <w:szCs w:val="26"/>
        </w:rPr>
      </w:pPr>
    </w:p>
    <w:sectPr w:rsidR="00B1522F" w:rsidRPr="0038793A" w:rsidSect="00462A24">
      <w:footerReference w:type="default" r:id="rId16"/>
      <w:footnotePr>
        <w:numRestart w:val="eachSect"/>
      </w:foot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DA" w:rsidRDefault="002E370B">
      <w:r>
        <w:separator/>
      </w:r>
    </w:p>
  </w:endnote>
  <w:endnote w:type="continuationSeparator" w:id="0">
    <w:p w:rsidR="005D3DDA" w:rsidRDefault="002E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Times New Roman Bold">
    <w:panose1 w:val="02020803070505020304"/>
    <w:charset w:val="00"/>
    <w:family w:val="roman"/>
    <w:notTrueType/>
    <w:pitch w:val="default"/>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73" w:rsidRDefault="002E370B" w:rsidP="001C0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E73" w:rsidRDefault="00307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73" w:rsidRDefault="002E370B" w:rsidP="001C0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5F8">
      <w:rPr>
        <w:rStyle w:val="PageNumber"/>
        <w:noProof/>
      </w:rPr>
      <w:t>16</w:t>
    </w:r>
    <w:r>
      <w:rPr>
        <w:rStyle w:val="PageNumber"/>
      </w:rPr>
      <w:fldChar w:fldCharType="end"/>
    </w:r>
  </w:p>
  <w:p w:rsidR="00445E73" w:rsidRDefault="003075F8" w:rsidP="00387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A9" w:rsidRDefault="002E370B" w:rsidP="000D79A9">
    <w:pPr>
      <w:pStyle w:val="Footer"/>
      <w:jc w:val="center"/>
    </w:pPr>
    <w:r>
      <w:t>SEE CONCURRING OPINION.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2C" w:rsidRDefault="003075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F2" w:rsidRDefault="002E370B">
    <w:pPr>
      <w:pStyle w:val="Footer"/>
      <w:jc w:val="center"/>
    </w:pPr>
    <w:r>
      <w:fldChar w:fldCharType="begin"/>
    </w:r>
    <w:r>
      <w:instrText>PAGE</w:instrText>
    </w:r>
    <w:r>
      <w:fldChar w:fldCharType="separate"/>
    </w:r>
    <w:r w:rsidR="003075F8">
      <w:rPr>
        <w:noProof/>
      </w:rPr>
      <w:t>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2C" w:rsidRDefault="003075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F1" w:rsidRPr="001316F1" w:rsidRDefault="001316F1" w:rsidP="0013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73" w:rsidRDefault="002E370B">
      <w:r>
        <w:separator/>
      </w:r>
    </w:p>
  </w:footnote>
  <w:footnote w:type="continuationSeparator" w:id="0">
    <w:p w:rsidR="00445E73" w:rsidRDefault="002E370B">
      <w:r>
        <w:continuationSeparator/>
      </w:r>
    </w:p>
  </w:footnote>
  <w:footnote w:id="1">
    <w:p w:rsidR="00445E73" w:rsidRDefault="002E370B" w:rsidP="000601B1">
      <w:pPr>
        <w:pStyle w:val="FootnoteText"/>
      </w:pPr>
      <w:r>
        <w:rPr>
          <w:rStyle w:val="FootnoteReference"/>
        </w:rPr>
        <w:footnoteRef/>
      </w:r>
      <w:r>
        <w:t xml:space="preserve"> </w:t>
      </w:r>
      <w:r>
        <w:tab/>
        <w:t>All statutory references are to the Code of Civil Procedure unless otherwise stated.</w:t>
      </w:r>
    </w:p>
  </w:footnote>
  <w:footnote w:id="2">
    <w:p w:rsidR="00445E73" w:rsidRDefault="002E370B" w:rsidP="000601B1">
      <w:pPr>
        <w:pStyle w:val="FootnoteText"/>
      </w:pPr>
      <w:r>
        <w:rPr>
          <w:rStyle w:val="FootnoteReference"/>
        </w:rPr>
        <w:footnoteRef/>
      </w:r>
      <w:r>
        <w:tab/>
      </w:r>
      <w:r w:rsidRPr="0080165A">
        <w:t xml:space="preserve">Muller asked us to </w:t>
      </w:r>
      <w:r w:rsidRPr="0080165A">
        <w:rPr>
          <w:rStyle w:val="CommentReference"/>
          <w:sz w:val="26"/>
        </w:rPr>
        <w:t>judicially notice several unpublished Court of Appeal opinions that adopted the same rule.  With certain exceptions</w:t>
      </w:r>
      <w:r>
        <w:rPr>
          <w:rStyle w:val="CommentReference"/>
          <w:sz w:val="26"/>
        </w:rPr>
        <w:t>,</w:t>
      </w:r>
      <w:r w:rsidRPr="0080165A">
        <w:rPr>
          <w:rStyle w:val="CommentReference"/>
          <w:sz w:val="26"/>
        </w:rPr>
        <w:t xml:space="preserve"> not applicable here, the Rules of Court generally prohibit us from noticing unpublished opinions.  (Cal. Rules of Court, rule 8.1115(a).) </w:t>
      </w:r>
      <w:r w:rsidRPr="0080165A">
        <w:t xml:space="preserve"> </w:t>
      </w:r>
      <w:r>
        <w:t xml:space="preserve">We therefore declined to grant her request. </w:t>
      </w:r>
    </w:p>
  </w:footnote>
  <w:footnote w:id="3">
    <w:p w:rsidR="003C5C5A" w:rsidRDefault="002E370B" w:rsidP="003C5C5A">
      <w:pPr>
        <w:pStyle w:val="FootnoteText"/>
      </w:pPr>
      <w:r>
        <w:rPr>
          <w:rStyle w:val="FootnoteReference"/>
        </w:rPr>
        <w:footnoteRef/>
      </w:r>
      <w:r>
        <w:t xml:space="preserve"> </w:t>
      </w:r>
      <w:r>
        <w:tab/>
        <w:t xml:space="preserve">The fact that Federal Rules of Civil Procedure, rule 23(h), added in 2003, grants federal class members notice and a right to object to class counsel fee requests does not undermine </w:t>
      </w:r>
      <w:r>
        <w:rPr>
          <w:i/>
        </w:rPr>
        <w:t>Eggert</w:t>
      </w:r>
      <w:r>
        <w:t xml:space="preserve">’s persuasive authority.  </w:t>
      </w:r>
    </w:p>
  </w:footnote>
  <w:footnote w:id="4">
    <w:p w:rsidR="00A2576E" w:rsidRDefault="002E370B" w:rsidP="00A2576E">
      <w:pPr>
        <w:pStyle w:val="FootnoteText"/>
      </w:pPr>
      <w:r>
        <w:rPr>
          <w:rStyle w:val="FootnoteReference"/>
        </w:rPr>
        <w:footnoteRef/>
      </w:r>
      <w:r>
        <w:t xml:space="preserve"> </w:t>
      </w:r>
      <w:r>
        <w:tab/>
        <w:t xml:space="preserve">We disapprove </w:t>
      </w:r>
      <w:r>
        <w:rPr>
          <w:rStyle w:val="CommentReference"/>
          <w:i/>
          <w:sz w:val="26"/>
        </w:rPr>
        <w:t>Trotsky v</w:t>
      </w:r>
      <w:r w:rsidRPr="00737A3B">
        <w:rPr>
          <w:rStyle w:val="CommentReference"/>
          <w:sz w:val="26"/>
        </w:rPr>
        <w:t>.</w:t>
      </w:r>
      <w:r>
        <w:rPr>
          <w:rStyle w:val="CommentReference"/>
          <w:i/>
          <w:sz w:val="26"/>
        </w:rPr>
        <w:t xml:space="preserve"> Los Angeles Fed. Sav</w:t>
      </w:r>
      <w:proofErr w:type="gramStart"/>
      <w:r>
        <w:rPr>
          <w:rStyle w:val="CommentReference"/>
          <w:i/>
          <w:sz w:val="26"/>
        </w:rPr>
        <w:t xml:space="preserve">. </w:t>
      </w:r>
      <w:proofErr w:type="gramEnd"/>
      <w:r>
        <w:rPr>
          <w:rStyle w:val="CommentReference"/>
          <w:i/>
          <w:sz w:val="26"/>
        </w:rPr>
        <w:t>&amp; Loan Assn</w:t>
      </w:r>
      <w:r w:rsidRPr="00737A3B">
        <w:rPr>
          <w:rStyle w:val="CommentReference"/>
          <w:sz w:val="26"/>
        </w:rPr>
        <w:t>.</w:t>
      </w:r>
      <w:r w:rsidRPr="00A2576E">
        <w:rPr>
          <w:rStyle w:val="CommentReference"/>
          <w:sz w:val="26"/>
        </w:rPr>
        <w:t>,</w:t>
      </w:r>
      <w:r>
        <w:rPr>
          <w:rStyle w:val="CommentReference"/>
          <w:i/>
          <w:sz w:val="26"/>
        </w:rPr>
        <w:t xml:space="preserve"> supra</w:t>
      </w:r>
      <w:r w:rsidRPr="00A2576E">
        <w:rPr>
          <w:rStyle w:val="CommentReference"/>
          <w:sz w:val="26"/>
        </w:rPr>
        <w:t xml:space="preserve">, </w:t>
      </w:r>
      <w:r>
        <w:rPr>
          <w:rStyle w:val="CommentReference"/>
          <w:sz w:val="26"/>
        </w:rPr>
        <w:t xml:space="preserve">48 Cal.App.3d 134, and its progeny (see p. 10, </w:t>
      </w:r>
      <w:r>
        <w:rPr>
          <w:rStyle w:val="CommentReference"/>
          <w:i/>
          <w:sz w:val="26"/>
        </w:rPr>
        <w:t>ante</w:t>
      </w:r>
      <w:r>
        <w:rPr>
          <w:rStyle w:val="CommentReference"/>
          <w:sz w:val="26"/>
        </w:rPr>
        <w:t>, for a partial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2C" w:rsidRDefault="00307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2C" w:rsidRDefault="00307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2C" w:rsidRDefault="00307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F8"/>
    <w:rsid w:val="000A00CD"/>
    <w:rsid w:val="001316F1"/>
    <w:rsid w:val="002E370B"/>
    <w:rsid w:val="003075F8"/>
    <w:rsid w:val="00462A24"/>
    <w:rsid w:val="005D3DDA"/>
    <w:rsid w:val="006E094C"/>
    <w:rsid w:val="00A77D88"/>
    <w:rsid w:val="00AA404C"/>
    <w:rsid w:val="00B80CE4"/>
    <w:rsid w:val="00EF75F8"/>
    <w:rsid w:val="00FB11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0A328A"/>
    <w:rPr>
      <w:rFonts w:ascii="Times New Roman" w:eastAsia="Times New Roman" w:hAnsi="Times New Roman"/>
      <w:sz w:val="26"/>
      <w:szCs w:val="26"/>
    </w:rPr>
  </w:style>
  <w:style w:type="paragraph" w:styleId="FootnoteText">
    <w:name w:val="footnote text"/>
    <w:basedOn w:val="Normal"/>
    <w:link w:val="FootnoteTextChar"/>
    <w:uiPriority w:val="99"/>
    <w:rsid w:val="000A328A"/>
    <w:rPr>
      <w:rFonts w:ascii="Times New Roman" w:eastAsia="Times New Roman" w:hAnsi="Times New Roman"/>
      <w:sz w:val="26"/>
      <w:szCs w:val="26"/>
    </w:rPr>
  </w:style>
  <w:style w:type="character" w:customStyle="1" w:styleId="FooterChar">
    <w:name w:val="Footer Char"/>
    <w:basedOn w:val="DefaultParagraphFont"/>
    <w:link w:val="Footer"/>
    <w:rsid w:val="000A328A"/>
    <w:rPr>
      <w:rFonts w:ascii="Times New Roman" w:eastAsia="Times New Roman" w:hAnsi="Times New Roman"/>
      <w:sz w:val="26"/>
      <w:szCs w:val="26"/>
    </w:rPr>
  </w:style>
  <w:style w:type="paragraph" w:styleId="Footer">
    <w:name w:val="footer"/>
    <w:basedOn w:val="Normal"/>
    <w:link w:val="FooterChar"/>
    <w:rsid w:val="000A328A"/>
    <w:pPr>
      <w:tabs>
        <w:tab w:val="center" w:pos="4320"/>
        <w:tab w:val="right" w:pos="8640"/>
      </w:tabs>
    </w:pPr>
    <w:rPr>
      <w:rFonts w:ascii="Times New Roman" w:eastAsia="Times New Roman" w:hAnsi="Times New Roman"/>
      <w:sz w:val="26"/>
      <w:szCs w:val="26"/>
    </w:rPr>
  </w:style>
  <w:style w:type="paragraph" w:styleId="BalloonText">
    <w:name w:val="Balloon Text"/>
    <w:basedOn w:val="Normal"/>
    <w:link w:val="BalloonTextChar"/>
    <w:uiPriority w:val="99"/>
    <w:semiHidden/>
    <w:unhideWhenUsed/>
    <w:rsid w:val="006E0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C10"/>
    <w:rPr>
      <w:rFonts w:ascii="Lucida Grande" w:hAnsi="Lucida Grande" w:cs="Lucida Grande"/>
      <w:sz w:val="18"/>
      <w:szCs w:val="18"/>
    </w:rPr>
  </w:style>
  <w:style w:type="character" w:styleId="PageNumber">
    <w:name w:val="page number"/>
    <w:basedOn w:val="DefaultParagraphFont"/>
    <w:uiPriority w:val="99"/>
    <w:semiHidden/>
    <w:unhideWhenUsed/>
    <w:rsid w:val="001C0553"/>
  </w:style>
  <w:style w:type="character" w:styleId="FootnoteReference">
    <w:name w:val="footnote reference"/>
    <w:basedOn w:val="DefaultParagraphFont"/>
    <w:uiPriority w:val="99"/>
    <w:rsid w:val="000A328A"/>
    <w:rPr>
      <w:b/>
      <w:bCs/>
      <w:position w:val="6"/>
      <w:sz w:val="20"/>
    </w:rPr>
  </w:style>
  <w:style w:type="paragraph" w:customStyle="1" w:styleId="Text">
    <w:name w:val="Text"/>
    <w:basedOn w:val="Normal"/>
    <w:rsid w:val="000A328A"/>
    <w:pPr>
      <w:tabs>
        <w:tab w:val="left" w:pos="720"/>
        <w:tab w:val="left" w:pos="1440"/>
        <w:tab w:val="left" w:pos="2160"/>
        <w:tab w:val="center" w:pos="4320"/>
      </w:tabs>
      <w:spacing w:line="480" w:lineRule="atLeast"/>
      <w:ind w:firstLine="540"/>
    </w:pPr>
    <w:rPr>
      <w:rFonts w:ascii="Times New Roman" w:eastAsia="Times New Roman" w:hAnsi="Times New Roman"/>
      <w:sz w:val="26"/>
      <w:szCs w:val="26"/>
    </w:rPr>
  </w:style>
  <w:style w:type="paragraph" w:styleId="ListParagraph">
    <w:name w:val="List Paragraph"/>
    <w:basedOn w:val="Normal"/>
    <w:uiPriority w:val="34"/>
    <w:rsid w:val="000A328A"/>
    <w:pPr>
      <w:ind w:left="720"/>
      <w:contextualSpacing/>
    </w:pPr>
    <w:rPr>
      <w:rFonts w:eastAsiaTheme="minorHAnsi" w:cs="Times New Roman"/>
      <w:sz w:val="26"/>
      <w:szCs w:val="26"/>
    </w:rPr>
  </w:style>
  <w:style w:type="character" w:styleId="CommentReference">
    <w:name w:val="annotation reference"/>
    <w:basedOn w:val="DefaultParagraphFont"/>
    <w:uiPriority w:val="99"/>
    <w:rsid w:val="000A328A"/>
    <w:rPr>
      <w:sz w:val="16"/>
    </w:rPr>
  </w:style>
  <w:style w:type="paragraph" w:styleId="Header">
    <w:name w:val="header"/>
    <w:basedOn w:val="Normal"/>
    <w:link w:val="HeaderChar"/>
    <w:unhideWhenUsed/>
    <w:rsid w:val="00AE770A"/>
    <w:pPr>
      <w:tabs>
        <w:tab w:val="center" w:pos="4680"/>
        <w:tab w:val="right" w:pos="9360"/>
      </w:tabs>
    </w:pPr>
  </w:style>
  <w:style w:type="character" w:customStyle="1" w:styleId="HeaderChar">
    <w:name w:val="Header Char"/>
    <w:basedOn w:val="DefaultParagraphFont"/>
    <w:link w:val="Header"/>
    <w:rsid w:val="00AE770A"/>
  </w:style>
  <w:style w:type="paragraph" w:customStyle="1" w:styleId="PRComments">
    <w:name w:val="PR Comments"/>
    <w:basedOn w:val="Normal"/>
    <w:rsid w:val="00462A24"/>
    <w:pPr>
      <w:spacing w:line="360" w:lineRule="atLeast"/>
      <w:ind w:right="-360"/>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62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A634-7655-4274-82B9-D36E49CC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2018-01-25T23:06:00Z</dcterms:created>
  <dcterms:modified xsi:type="dcterms:W3CDTF">2018-01-29T17:41:00Z</dcterms:modified>
</cp:coreProperties>
</file>