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01" w:rsidRDefault="00291E01" w:rsidP="00291E01">
      <w:pPr>
        <w:rPr>
          <w:sz w:val="20"/>
          <w:szCs w:val="20"/>
        </w:rPr>
      </w:pPr>
      <w:r>
        <w:rPr>
          <w:sz w:val="20"/>
          <w:szCs w:val="20"/>
        </w:rPr>
        <w:t>Filed 1/31/18</w:t>
      </w:r>
    </w:p>
    <w:p w:rsidR="00291E01" w:rsidRPr="00291E01" w:rsidRDefault="00291E01" w:rsidP="00291E01">
      <w:pPr>
        <w:rPr>
          <w:sz w:val="20"/>
          <w:szCs w:val="20"/>
        </w:rPr>
      </w:pPr>
      <w:bookmarkStart w:id="0" w:name="_GoBack"/>
      <w:bookmarkEnd w:id="0"/>
    </w:p>
    <w:p w:rsidR="00972D00" w:rsidRDefault="00291E01" w:rsidP="00972D00">
      <w:pPr>
        <w:jc w:val="center"/>
        <w:rPr>
          <w:sz w:val="36"/>
        </w:rPr>
      </w:pPr>
      <w:r>
        <w:rPr>
          <w:b/>
          <w:sz w:val="36"/>
        </w:rPr>
        <w:t>IN THE SUPREME COURT OF CALIFORNIA</w:t>
      </w:r>
    </w:p>
    <w:p w:rsidR="00972D00" w:rsidRDefault="00291E01" w:rsidP="00972D00">
      <w:pPr>
        <w:jc w:val="center"/>
      </w:pPr>
    </w:p>
    <w:p w:rsidR="00972D00" w:rsidRDefault="00291E01" w:rsidP="00972D00">
      <w:pPr>
        <w:tabs>
          <w:tab w:val="left" w:pos="4680"/>
          <w:tab w:val="center" w:pos="7200"/>
        </w:tabs>
        <w:spacing w:line="240" w:lineRule="atLeast"/>
      </w:pPr>
      <w:bookmarkStart w:id="1" w:name="plaintiff"/>
      <w:bookmarkEnd w:id="1"/>
      <w:r>
        <w:tab/>
        <w:t>)</w:t>
      </w:r>
    </w:p>
    <w:p w:rsidR="00972D00" w:rsidRDefault="00291E01" w:rsidP="00972D00">
      <w:pPr>
        <w:tabs>
          <w:tab w:val="left" w:pos="4680"/>
          <w:tab w:val="center" w:pos="7200"/>
        </w:tabs>
        <w:spacing w:line="240" w:lineRule="atLeast"/>
      </w:pPr>
      <w:r>
        <w:t>BADRUDIN KURWA,</w:t>
      </w:r>
      <w:r>
        <w:tab/>
        <w:t>)</w:t>
      </w:r>
    </w:p>
    <w:p w:rsidR="00972D00" w:rsidRDefault="00291E01" w:rsidP="00972D00">
      <w:pPr>
        <w:tabs>
          <w:tab w:val="left" w:pos="1440"/>
          <w:tab w:val="left" w:pos="4680"/>
          <w:tab w:val="center" w:pos="7200"/>
        </w:tabs>
        <w:spacing w:line="240" w:lineRule="atLeast"/>
      </w:pPr>
      <w:r>
        <w:tab/>
      </w:r>
      <w:r>
        <w:tab/>
        <w:t>)</w:t>
      </w:r>
    </w:p>
    <w:p w:rsidR="00972D00" w:rsidRDefault="00291E01" w:rsidP="00972D00">
      <w:pPr>
        <w:tabs>
          <w:tab w:val="left" w:pos="1440"/>
          <w:tab w:val="left" w:pos="4680"/>
          <w:tab w:val="center" w:pos="7200"/>
        </w:tabs>
        <w:spacing w:line="240" w:lineRule="atLeast"/>
      </w:pPr>
      <w:r>
        <w:tab/>
      </w:r>
      <w:bookmarkStart w:id="2" w:name="LD"/>
      <w:bookmarkEnd w:id="2"/>
      <w:r>
        <w:t>Plaintiff and Appellant,</w:t>
      </w:r>
      <w:r>
        <w:tab/>
        <w:t>)</w:t>
      </w:r>
    </w:p>
    <w:p w:rsidR="00972D00" w:rsidRDefault="00291E01" w:rsidP="00972D00">
      <w:pPr>
        <w:tabs>
          <w:tab w:val="left" w:pos="1440"/>
          <w:tab w:val="left" w:pos="4680"/>
          <w:tab w:val="center" w:pos="7200"/>
        </w:tabs>
        <w:spacing w:line="240" w:lineRule="atLeast"/>
      </w:pPr>
      <w:r>
        <w:tab/>
      </w:r>
      <w:r>
        <w:tab/>
        <w:t>)</w:t>
      </w:r>
      <w:bookmarkStart w:id="3" w:name="appealnum"/>
      <w:bookmarkEnd w:id="3"/>
      <w:r w:rsidRPr="004140F3">
        <w:t xml:space="preserve"> </w:t>
      </w:r>
      <w:r>
        <w:tab/>
        <w:t>S234617</w:t>
      </w:r>
    </w:p>
    <w:p w:rsidR="00972D00" w:rsidRDefault="00291E01" w:rsidP="00972D00">
      <w:pPr>
        <w:tabs>
          <w:tab w:val="left" w:pos="1440"/>
          <w:tab w:val="left" w:pos="4680"/>
          <w:tab w:val="center" w:pos="7200"/>
        </w:tabs>
        <w:spacing w:line="240" w:lineRule="atLeast"/>
      </w:pPr>
      <w:r>
        <w:tab/>
        <w:t>v.</w:t>
      </w:r>
      <w:r>
        <w:tab/>
        <w:t>)</w:t>
      </w:r>
    </w:p>
    <w:p w:rsidR="00972D00" w:rsidRDefault="00291E01" w:rsidP="00972D00">
      <w:pPr>
        <w:tabs>
          <w:tab w:val="left" w:pos="1440"/>
          <w:tab w:val="left" w:pos="4680"/>
          <w:tab w:val="center" w:pos="7200"/>
        </w:tabs>
        <w:spacing w:line="240" w:lineRule="atLeast"/>
      </w:pPr>
      <w:r>
        <w:tab/>
      </w:r>
      <w:r>
        <w:tab/>
        <w:t>)</w:t>
      </w:r>
      <w:r>
        <w:tab/>
      </w:r>
      <w:proofErr w:type="spellStart"/>
      <w:r>
        <w:t>Ct.App</w:t>
      </w:r>
      <w:proofErr w:type="spellEnd"/>
      <w:r>
        <w:t>. 2/5 B264641</w:t>
      </w:r>
    </w:p>
    <w:p w:rsidR="00972D00" w:rsidRDefault="00291E01" w:rsidP="00972D00">
      <w:pPr>
        <w:tabs>
          <w:tab w:val="left" w:pos="4680"/>
          <w:tab w:val="center" w:pos="7200"/>
        </w:tabs>
        <w:spacing w:line="240" w:lineRule="atLeast"/>
      </w:pPr>
      <w:bookmarkStart w:id="4" w:name="defendent"/>
      <w:bookmarkEnd w:id="4"/>
      <w:r>
        <w:t>MARK B. KISLINGER et al.,</w:t>
      </w:r>
      <w:r>
        <w:tab/>
        <w:t>)</w:t>
      </w:r>
    </w:p>
    <w:p w:rsidR="00972D00" w:rsidRDefault="00291E01" w:rsidP="00972D00">
      <w:pPr>
        <w:tabs>
          <w:tab w:val="left" w:pos="1440"/>
          <w:tab w:val="left" w:pos="4680"/>
          <w:tab w:val="center" w:pos="7200"/>
        </w:tabs>
        <w:spacing w:line="240" w:lineRule="atLeast"/>
      </w:pPr>
      <w:r>
        <w:tab/>
      </w:r>
      <w:r>
        <w:tab/>
        <w:t>)</w:t>
      </w:r>
      <w:bookmarkStart w:id="5" w:name="county"/>
      <w:bookmarkEnd w:id="5"/>
      <w:r>
        <w:tab/>
        <w:t>Los Angeles County</w:t>
      </w:r>
    </w:p>
    <w:p w:rsidR="00972D00" w:rsidRDefault="00291E01" w:rsidP="00972D00">
      <w:pPr>
        <w:tabs>
          <w:tab w:val="left" w:pos="1440"/>
          <w:tab w:val="left" w:pos="4680"/>
          <w:tab w:val="center" w:pos="7200"/>
        </w:tabs>
        <w:spacing w:line="240" w:lineRule="atLeast"/>
      </w:pPr>
      <w:r>
        <w:tab/>
      </w:r>
      <w:bookmarkStart w:id="6" w:name="VD"/>
      <w:bookmarkEnd w:id="6"/>
      <w:r>
        <w:t>Defendants and Respondents.</w:t>
      </w:r>
      <w:r>
        <w:tab/>
        <w:t>)</w:t>
      </w:r>
      <w:r>
        <w:tab/>
        <w:t>Super</w:t>
      </w:r>
      <w:proofErr w:type="gramStart"/>
      <w:r>
        <w:t xml:space="preserve">. </w:t>
      </w:r>
      <w:proofErr w:type="gramEnd"/>
      <w:r>
        <w:t>Ct. No. KC045216</w:t>
      </w:r>
    </w:p>
    <w:p w:rsidR="00972D00" w:rsidRPr="004140F3" w:rsidRDefault="00291E01" w:rsidP="00972D00">
      <w:pPr>
        <w:tabs>
          <w:tab w:val="left" w:leader="underscore" w:pos="4680"/>
        </w:tabs>
      </w:pPr>
      <w:r w:rsidRPr="00CF6B02">
        <w:rPr>
          <w:b/>
        </w:rPr>
        <w:tab/>
      </w:r>
      <w:r w:rsidRPr="004140F3">
        <w:t>)</w:t>
      </w:r>
    </w:p>
    <w:p w:rsidR="00972D00" w:rsidRPr="00CF6B02" w:rsidRDefault="00291E01" w:rsidP="00972D00">
      <w:pPr>
        <w:tabs>
          <w:tab w:val="left" w:leader="underscore" w:pos="4680"/>
        </w:tabs>
        <w:spacing w:line="480" w:lineRule="atLeast"/>
        <w:rPr>
          <w:b/>
          <w:u w:val="single"/>
        </w:rPr>
      </w:pPr>
    </w:p>
    <w:p w:rsidR="00972D00" w:rsidRPr="005A5DB3" w:rsidRDefault="00291E01" w:rsidP="00972D00">
      <w:pPr>
        <w:pStyle w:val="Text"/>
        <w:ind w:firstLine="0"/>
        <w:jc w:val="center"/>
        <w:rPr>
          <w:b/>
          <w:color w:val="000000" w:themeColor="text1"/>
        </w:rPr>
      </w:pPr>
      <w:r w:rsidRPr="005A5DB3">
        <w:rPr>
          <w:b/>
          <w:color w:val="000000" w:themeColor="text1"/>
        </w:rPr>
        <w:t xml:space="preserve">ORDER MODIFYING OPINION </w:t>
      </w:r>
    </w:p>
    <w:p w:rsidR="00972D00" w:rsidRDefault="00291E01" w:rsidP="00972D00">
      <w:pPr>
        <w:pStyle w:val="Text"/>
        <w:ind w:firstLine="0"/>
        <w:jc w:val="center"/>
        <w:rPr>
          <w:b/>
          <w:color w:val="000000" w:themeColor="text1"/>
        </w:rPr>
      </w:pPr>
      <w:r>
        <w:rPr>
          <w:b/>
          <w:color w:val="000000" w:themeColor="text1"/>
        </w:rPr>
        <w:t>ON THE COURT’S OWN MOTION</w:t>
      </w:r>
    </w:p>
    <w:p w:rsidR="00972D00" w:rsidRPr="005A5DB3" w:rsidRDefault="00291E01" w:rsidP="00972D00">
      <w:pPr>
        <w:pStyle w:val="Text"/>
        <w:ind w:firstLine="0"/>
        <w:jc w:val="center"/>
        <w:rPr>
          <w:b/>
          <w:color w:val="000000" w:themeColor="text1"/>
        </w:rPr>
      </w:pPr>
    </w:p>
    <w:p w:rsidR="00972D00" w:rsidRPr="005A5DB3" w:rsidRDefault="00291E01" w:rsidP="00972D00">
      <w:pPr>
        <w:rPr>
          <w:color w:val="000000" w:themeColor="text1"/>
        </w:rPr>
      </w:pPr>
      <w:r w:rsidRPr="005A5DB3">
        <w:rPr>
          <w:color w:val="000000" w:themeColor="text1"/>
        </w:rPr>
        <w:t>THE COURT:</w:t>
      </w:r>
    </w:p>
    <w:p w:rsidR="00972D00" w:rsidRDefault="00291E01" w:rsidP="00972D00">
      <w:pPr>
        <w:pStyle w:val="FootnoteText"/>
        <w:spacing w:after="0" w:line="480" w:lineRule="atLeast"/>
        <w:rPr>
          <w:color w:val="000000" w:themeColor="text1"/>
        </w:rPr>
      </w:pPr>
      <w:r w:rsidRPr="005C549F">
        <w:rPr>
          <w:color w:val="000000" w:themeColor="text1"/>
        </w:rPr>
        <w:tab/>
        <w:t>The opinion in this matter</w:t>
      </w:r>
      <w:r>
        <w:rPr>
          <w:color w:val="000000" w:themeColor="text1"/>
        </w:rPr>
        <w:t xml:space="preserve">, which </w:t>
      </w:r>
      <w:proofErr w:type="gramStart"/>
      <w:r>
        <w:rPr>
          <w:color w:val="000000" w:themeColor="text1"/>
        </w:rPr>
        <w:t>was</w:t>
      </w:r>
      <w:r w:rsidRPr="005C549F">
        <w:rPr>
          <w:color w:val="000000" w:themeColor="text1"/>
        </w:rPr>
        <w:t xml:space="preserve"> filed</w:t>
      </w:r>
      <w:proofErr w:type="gramEnd"/>
      <w:r w:rsidRPr="005C549F">
        <w:rPr>
          <w:color w:val="000000" w:themeColor="text1"/>
        </w:rPr>
        <w:t xml:space="preserve"> </w:t>
      </w:r>
      <w:r>
        <w:rPr>
          <w:color w:val="000000" w:themeColor="text1"/>
        </w:rPr>
        <w:t>December 18, 2017, and appears at 4</w:t>
      </w:r>
      <w:r w:rsidRPr="005C549F">
        <w:rPr>
          <w:color w:val="000000" w:themeColor="text1"/>
        </w:rPr>
        <w:t xml:space="preserve"> Cal.5th </w:t>
      </w:r>
      <w:r>
        <w:rPr>
          <w:color w:val="000000" w:themeColor="text1"/>
        </w:rPr>
        <w:t>109, is modified as follows:</w:t>
      </w:r>
    </w:p>
    <w:p w:rsidR="00972D00" w:rsidRPr="005C549F" w:rsidRDefault="00291E01" w:rsidP="00972D00">
      <w:pPr>
        <w:pStyle w:val="FootnoteText"/>
        <w:spacing w:after="0" w:line="480" w:lineRule="atLeast"/>
        <w:rPr>
          <w:color w:val="000000" w:themeColor="text1"/>
        </w:rPr>
      </w:pPr>
    </w:p>
    <w:p w:rsidR="00972D00" w:rsidRDefault="00291E01" w:rsidP="00972D00">
      <w:pPr>
        <w:pStyle w:val="Text"/>
      </w:pPr>
      <w:r>
        <w:rPr>
          <w:color w:val="000000" w:themeColor="text1"/>
        </w:rPr>
        <w:t xml:space="preserve">The second full paragraph on page 115, beginning “Ultimately, we have no occasion,” is deleted and the following paragraph is inserted in its place:  </w:t>
      </w:r>
      <w:r>
        <w:t xml:space="preserve">Ultimately, we have no occasion to resolve the tension between the approaches taken in </w:t>
      </w:r>
      <w:r>
        <w:rPr>
          <w:i/>
        </w:rPr>
        <w:t>Hill</w:t>
      </w:r>
      <w:r>
        <w:t xml:space="preserve"> and </w:t>
      </w:r>
      <w:r>
        <w:rPr>
          <w:i/>
        </w:rPr>
        <w:t>Vedanta So</w:t>
      </w:r>
      <w:r>
        <w:rPr>
          <w:i/>
        </w:rPr>
        <w:t>ciety</w:t>
      </w:r>
      <w:r>
        <w:t xml:space="preserve"> because </w:t>
      </w:r>
      <w:proofErr w:type="spellStart"/>
      <w:r>
        <w:t>Kurwa’s</w:t>
      </w:r>
      <w:proofErr w:type="spellEnd"/>
      <w:r>
        <w:t xml:space="preserve"> appeal from the 2010 interlocutory judgment </w:t>
      </w:r>
      <w:r w:rsidRPr="009D52CD">
        <w:t xml:space="preserve">fails for a more basic reason:  </w:t>
      </w:r>
      <w:proofErr w:type="spellStart"/>
      <w:r>
        <w:t>Kurwa’s</w:t>
      </w:r>
      <w:proofErr w:type="spellEnd"/>
      <w:r>
        <w:t xml:space="preserve"> dismissal of his defamation cause of action did not transform the 2010 interlocutory judgment into an appealable final </w:t>
      </w:r>
      <w:r w:rsidRPr="009D52CD">
        <w:t xml:space="preserve">judgment </w:t>
      </w:r>
      <w:r>
        <w:t>and</w:t>
      </w:r>
      <w:r w:rsidRPr="009D52CD">
        <w:t xml:space="preserve"> </w:t>
      </w:r>
      <w:proofErr w:type="spellStart"/>
      <w:r w:rsidRPr="009D52CD">
        <w:t>Kurwa</w:t>
      </w:r>
      <w:proofErr w:type="spellEnd"/>
      <w:r w:rsidRPr="009D52CD">
        <w:t xml:space="preserve"> </w:t>
      </w:r>
      <w:r>
        <w:t xml:space="preserve">has not </w:t>
      </w:r>
      <w:r>
        <w:t>argued or attempted to explain why the appellate court should have treated the voluntary dismissal as though it were itself an appealable final order</w:t>
      </w:r>
      <w:r w:rsidRPr="009D52CD">
        <w:t>.  The 2010</w:t>
      </w:r>
      <w:r>
        <w:t xml:space="preserve"> interlocutory judgment</w:t>
      </w:r>
      <w:r w:rsidRPr="009D52CD">
        <w:t xml:space="preserve"> was not a final judgment because it disposed of less than </w:t>
      </w:r>
      <w:proofErr w:type="gramStart"/>
      <w:r w:rsidRPr="009D52CD">
        <w:lastRenderedPageBreak/>
        <w:t>all of</w:t>
      </w:r>
      <w:proofErr w:type="gramEnd"/>
      <w:r w:rsidRPr="009D52CD">
        <w:t xml:space="preserve"> the cau</w:t>
      </w:r>
      <w:r w:rsidRPr="009D52CD">
        <w:t>ses of action.  (</w:t>
      </w:r>
      <w:r w:rsidRPr="009D52CD">
        <w:rPr>
          <w:i/>
        </w:rPr>
        <w:t>Sullivan v. Delta Air Lines, Inc.</w:t>
      </w:r>
      <w:r w:rsidRPr="009D52CD">
        <w:t xml:space="preserve"> (1997) 15 Cal.4th 288, 304 </w:t>
      </w:r>
      <w:proofErr w:type="gramStart"/>
      <w:r w:rsidRPr="009D52CD">
        <w:t>[“ ‘</w:t>
      </w:r>
      <w:proofErr w:type="gramEnd"/>
      <w:r w:rsidRPr="009D52CD">
        <w:t>A judgment is final “when it terminates the litigation between the parties on the merits of the case and leaves nothing to be done but to enforce by execution what has been d</w:t>
      </w:r>
      <w:r w:rsidRPr="009D52CD">
        <w:t>etermined.” ’  [Citations.]  [</w:t>
      </w:r>
      <w:proofErr w:type="gramStart"/>
      <w:r w:rsidRPr="009D52CD">
        <w:t>¶]  Finality</w:t>
      </w:r>
      <w:proofErr w:type="gramEnd"/>
      <w:r w:rsidRPr="009D52CD">
        <w:t xml:space="preserve"> in this sense not only makes a judicial determination a judgment, it also makes that judgment appealable.”]; </w:t>
      </w:r>
      <w:r w:rsidRPr="009D52CD">
        <w:rPr>
          <w:i/>
        </w:rPr>
        <w:t>U.S. Financial v. Sullivan</w:t>
      </w:r>
      <w:r w:rsidRPr="009D52CD">
        <w:t xml:space="preserve"> (1974) 37 Cal.App.3d 5, 11 [it is improper for the trial court to enter a jud</w:t>
      </w:r>
      <w:r w:rsidRPr="009D52CD">
        <w:t>gment of dismissal if some causes of action remain pending].)</w:t>
      </w:r>
    </w:p>
    <w:p w:rsidR="00972D00" w:rsidRDefault="00291E01" w:rsidP="00972D00">
      <w:pPr>
        <w:pStyle w:val="Text"/>
        <w:ind w:firstLine="720"/>
        <w:rPr>
          <w:color w:val="000000" w:themeColor="text1"/>
        </w:rPr>
      </w:pPr>
    </w:p>
    <w:p w:rsidR="00972D00" w:rsidRPr="00A6762A" w:rsidRDefault="00291E01" w:rsidP="00972D00">
      <w:pPr>
        <w:pStyle w:val="Text"/>
        <w:rPr>
          <w:b/>
        </w:rPr>
      </w:pPr>
      <w:r>
        <w:rPr>
          <w:color w:val="000000" w:themeColor="text1"/>
        </w:rPr>
        <w:t>The third full paragraph on page 115, beginning “</w:t>
      </w:r>
      <w:proofErr w:type="spellStart"/>
      <w:r>
        <w:rPr>
          <w:color w:val="000000" w:themeColor="text1"/>
        </w:rPr>
        <w:t>Kurwa’s</w:t>
      </w:r>
      <w:proofErr w:type="spellEnd"/>
      <w:r>
        <w:rPr>
          <w:color w:val="000000" w:themeColor="text1"/>
        </w:rPr>
        <w:t xml:space="preserve"> dismissal with prejudice,” </w:t>
      </w:r>
      <w:proofErr w:type="gramStart"/>
      <w:r>
        <w:rPr>
          <w:color w:val="000000" w:themeColor="text1"/>
        </w:rPr>
        <w:t>is deleted</w:t>
      </w:r>
      <w:proofErr w:type="gramEnd"/>
      <w:r>
        <w:rPr>
          <w:color w:val="000000" w:themeColor="text1"/>
        </w:rPr>
        <w:t xml:space="preserve"> and the following paragraph is inserted in its place:  </w:t>
      </w:r>
      <w:r>
        <w:t xml:space="preserve">In appealing from that order, </w:t>
      </w:r>
      <w:proofErr w:type="spellStart"/>
      <w:r>
        <w:t>Kurwa</w:t>
      </w:r>
      <w:proofErr w:type="spellEnd"/>
      <w:r>
        <w:t xml:space="preserve"> does no</w:t>
      </w:r>
      <w:r>
        <w:t>t explain how the</w:t>
      </w:r>
      <w:r w:rsidRPr="009D52CD">
        <w:t xml:space="preserve"> dismissal </w:t>
      </w:r>
      <w:r>
        <w:t xml:space="preserve">of his defamation claim could </w:t>
      </w:r>
      <w:r w:rsidRPr="009D52CD">
        <w:t xml:space="preserve">have retroactively </w:t>
      </w:r>
      <w:r>
        <w:t>transformed</w:t>
      </w:r>
      <w:r w:rsidRPr="009D52CD">
        <w:t xml:space="preserve"> the</w:t>
      </w:r>
      <w:r>
        <w:t xml:space="preserve"> 2010 interlocutory judgment concerning the fiduciary duty claims into one that finally disposed of all issues between the parties</w:t>
      </w:r>
      <w:r w:rsidRPr="009D52CD">
        <w:t>.</w:t>
      </w:r>
      <w:r>
        <w:t xml:space="preserve">  And e</w:t>
      </w:r>
      <w:r w:rsidRPr="009D52CD">
        <w:t xml:space="preserve">ven if </w:t>
      </w:r>
      <w:proofErr w:type="spellStart"/>
      <w:r w:rsidRPr="009D52CD">
        <w:t>Kurwa’s</w:t>
      </w:r>
      <w:proofErr w:type="spellEnd"/>
      <w:r w:rsidRPr="009D52CD">
        <w:t xml:space="preserve"> dismissal w</w:t>
      </w:r>
      <w:r w:rsidRPr="009D52CD">
        <w:t xml:space="preserve">ith prejudice could have retroactively altered the character of the trial </w:t>
      </w:r>
      <w:proofErr w:type="gramStart"/>
      <w:r w:rsidRPr="009D52CD">
        <w:t>court’s</w:t>
      </w:r>
      <w:proofErr w:type="gramEnd"/>
      <w:r w:rsidRPr="009D52CD">
        <w:t xml:space="preserve"> 2010</w:t>
      </w:r>
      <w:r>
        <w:t xml:space="preserve"> interlocutory</w:t>
      </w:r>
      <w:r w:rsidRPr="009D52CD">
        <w:t xml:space="preserve"> judgment, </w:t>
      </w:r>
      <w:r>
        <w:t xml:space="preserve">the Court of Appeal is correct that </w:t>
      </w:r>
      <w:r w:rsidRPr="009D52CD">
        <w:t>the time</w:t>
      </w:r>
      <w:r>
        <w:t xml:space="preserve"> for appealing that judgment has</w:t>
      </w:r>
      <w:r w:rsidRPr="009D52CD">
        <w:t xml:space="preserve"> long since expired.  (Cal. Rules of Court, rule 8.104(a)(1) [a notic</w:t>
      </w:r>
      <w:r w:rsidRPr="009D52CD">
        <w:t xml:space="preserve">e of appeal from a superior court judgment must </w:t>
      </w:r>
      <w:proofErr w:type="gramStart"/>
      <w:r w:rsidRPr="009D52CD">
        <w:t>be filed</w:t>
      </w:r>
      <w:proofErr w:type="gramEnd"/>
      <w:r w:rsidRPr="009D52CD">
        <w:t xml:space="preserve"> within 60 days of the notice of entry of judgment or 180 days after judgment, whichever is earlier].)  To accept </w:t>
      </w:r>
      <w:proofErr w:type="spellStart"/>
      <w:r w:rsidRPr="009D52CD">
        <w:t>Kurwa’s</w:t>
      </w:r>
      <w:proofErr w:type="spellEnd"/>
      <w:r w:rsidRPr="009D52CD">
        <w:t xml:space="preserve"> argument would therefore require us to hold that his dismissal</w:t>
      </w:r>
      <w:r>
        <w:t xml:space="preserve"> of the defamati</w:t>
      </w:r>
      <w:r>
        <w:t>on claim</w:t>
      </w:r>
      <w:r w:rsidRPr="009D52CD">
        <w:t xml:space="preserve"> with prejudice not only changed the character of the trial </w:t>
      </w:r>
      <w:proofErr w:type="gramStart"/>
      <w:r w:rsidRPr="009D52CD">
        <w:t>court’s</w:t>
      </w:r>
      <w:proofErr w:type="gramEnd"/>
      <w:r w:rsidRPr="009D52CD">
        <w:t xml:space="preserve"> 2010</w:t>
      </w:r>
      <w:r>
        <w:t xml:space="preserve"> interlocutory</w:t>
      </w:r>
      <w:r w:rsidRPr="009D52CD">
        <w:t xml:space="preserve"> judgment, but also delayed the rendering of </w:t>
      </w:r>
      <w:r>
        <w:t>that</w:t>
      </w:r>
      <w:r w:rsidRPr="009D52CD">
        <w:t xml:space="preserve"> judgment until 2015.</w:t>
      </w:r>
    </w:p>
    <w:p w:rsidR="00972D00" w:rsidRDefault="00291E01" w:rsidP="00972D00">
      <w:pPr>
        <w:pStyle w:val="Text"/>
        <w:ind w:firstLine="720"/>
      </w:pPr>
    </w:p>
    <w:p w:rsidR="00972D00" w:rsidRPr="00D64699" w:rsidRDefault="00291E01" w:rsidP="00972D00">
      <w:pPr>
        <w:ind w:firstLine="540"/>
        <w:rPr>
          <w:color w:val="000000"/>
        </w:rPr>
      </w:pPr>
      <w:r w:rsidRPr="005C549F">
        <w:rPr>
          <w:color w:val="000000" w:themeColor="text1"/>
        </w:rPr>
        <w:t>These modifications do not affect the judgment.</w:t>
      </w:r>
    </w:p>
    <w:p w:rsidR="00005027" w:rsidRDefault="00291E01"/>
    <w:sectPr w:rsidR="00005027" w:rsidSect="008A44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800" w:left="1800" w:header="72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1E01">
      <w:r>
        <w:separator/>
      </w:r>
    </w:p>
  </w:endnote>
  <w:endnote w:type="continuationSeparator" w:id="0">
    <w:p w:rsidR="00000000" w:rsidRDefault="0029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E2" w:rsidRDefault="00291E01">
    <w:pPr>
      <w:spacing w:before="480" w:line="1" w:lineRule="exact"/>
      <w:rPr>
        <w:rFonts w:ascii="Univers (W1)" w:hAnsi="Univers (W1)"/>
      </w:rPr>
    </w:pPr>
  </w:p>
  <w:p w:rsidR="00F939E2" w:rsidRDefault="00291E01">
    <w:pPr>
      <w:tabs>
        <w:tab w:val="center" w:pos="4680"/>
        <w:tab w:val="right" w:pos="9360"/>
      </w:tabs>
    </w:pPr>
    <w:r>
      <w:rPr>
        <w:rFonts w:ascii="Univers (W1)" w:hAnsi="Univers (W1)"/>
      </w:rPr>
      <w:tab/>
    </w:r>
    <w:r>
      <w:fldChar w:fldCharType="begin"/>
    </w:r>
    <w:r>
      <w:instrText>page \* arabic</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E2" w:rsidRDefault="00291E01">
    <w:pPr>
      <w:spacing w:before="480" w:line="1" w:lineRule="exact"/>
    </w:pPr>
  </w:p>
  <w:p w:rsidR="00F939E2" w:rsidRDefault="00291E01">
    <w:pPr>
      <w:tabs>
        <w:tab w:val="center" w:pos="4680"/>
        <w:tab w:val="right" w:pos="9360"/>
      </w:tabs>
    </w:pPr>
    <w:r>
      <w:tab/>
    </w:r>
    <w:r>
      <w:fldChar w:fldCharType="begin"/>
    </w:r>
    <w:r>
      <w:instrText>page \* arabic</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4B" w:rsidRDefault="00291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1E01">
      <w:r>
        <w:separator/>
      </w:r>
    </w:p>
  </w:footnote>
  <w:footnote w:type="continuationSeparator" w:id="0">
    <w:p w:rsidR="00000000" w:rsidRDefault="00291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4B" w:rsidRDefault="00291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4B" w:rsidRDefault="00291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4B" w:rsidRDefault="00291E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01"/>
    <w:rsid w:val="0029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6"/>
        <w:szCs w:val="26"/>
        <w:lang w:val="en-US" w:eastAsia="en-US" w:bidi="en-U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72D00"/>
    <w:rPr>
      <w:rFonts w:ascii="Times New Roman" w:eastAsia="Times New Roman" w:hAnsi="Times New Roman"/>
      <w:szCs w:val="24"/>
      <w:lang w:bidi="ar-SA"/>
    </w:rPr>
  </w:style>
  <w:style w:type="paragraph" w:styleId="Heading1">
    <w:name w:val="heading 1"/>
    <w:basedOn w:val="Normal"/>
    <w:next w:val="Normal"/>
    <w:link w:val="Heading1Char"/>
    <w:uiPriority w:val="9"/>
    <w:qFormat/>
    <w:rsid w:val="00466E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466E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466E93"/>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466E9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466E93"/>
    <w:pPr>
      <w:spacing w:before="240" w:after="60"/>
      <w:outlineLvl w:val="6"/>
    </w:pPr>
    <w:rPr>
      <w:sz w:val="24"/>
    </w:rPr>
  </w:style>
  <w:style w:type="paragraph" w:styleId="Heading8">
    <w:name w:val="heading 8"/>
    <w:basedOn w:val="Normal"/>
    <w:next w:val="Normal"/>
    <w:link w:val="Heading8Char"/>
    <w:uiPriority w:val="9"/>
    <w:semiHidden/>
    <w:unhideWhenUsed/>
    <w:qFormat/>
    <w:rsid w:val="00466E9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466E9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E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66E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66E93"/>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466E93"/>
    <w:rPr>
      <w:b/>
      <w:bCs/>
    </w:rPr>
  </w:style>
  <w:style w:type="character" w:customStyle="1" w:styleId="Heading7Char">
    <w:name w:val="Heading 7 Char"/>
    <w:basedOn w:val="DefaultParagraphFont"/>
    <w:link w:val="Heading7"/>
    <w:uiPriority w:val="9"/>
    <w:semiHidden/>
    <w:rsid w:val="00466E93"/>
    <w:rPr>
      <w:sz w:val="24"/>
      <w:szCs w:val="24"/>
    </w:rPr>
  </w:style>
  <w:style w:type="character" w:customStyle="1" w:styleId="Heading8Char">
    <w:name w:val="Heading 8 Char"/>
    <w:basedOn w:val="DefaultParagraphFont"/>
    <w:link w:val="Heading8"/>
    <w:uiPriority w:val="9"/>
    <w:semiHidden/>
    <w:rsid w:val="00466E93"/>
    <w:rPr>
      <w:i/>
      <w:iCs/>
      <w:sz w:val="24"/>
      <w:szCs w:val="24"/>
    </w:rPr>
  </w:style>
  <w:style w:type="character" w:customStyle="1" w:styleId="Heading9Char">
    <w:name w:val="Heading 9 Char"/>
    <w:basedOn w:val="DefaultParagraphFont"/>
    <w:link w:val="Heading9"/>
    <w:uiPriority w:val="9"/>
    <w:semiHidden/>
    <w:rsid w:val="00466E93"/>
    <w:rPr>
      <w:rFonts w:asciiTheme="majorHAnsi" w:eastAsiaTheme="majorEastAsia" w:hAnsiTheme="majorHAnsi"/>
    </w:rPr>
  </w:style>
  <w:style w:type="paragraph" w:styleId="Title">
    <w:name w:val="Title"/>
    <w:basedOn w:val="Normal"/>
    <w:next w:val="Normal"/>
    <w:link w:val="TitleChar"/>
    <w:uiPriority w:val="10"/>
    <w:qFormat/>
    <w:rsid w:val="00466E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6E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6E9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466E93"/>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66E93"/>
    <w:pPr>
      <w:outlineLvl w:val="9"/>
    </w:pPr>
  </w:style>
  <w:style w:type="paragraph" w:styleId="FootnoteText">
    <w:name w:val="footnote text"/>
    <w:basedOn w:val="Normal"/>
    <w:link w:val="FootnoteTextChar"/>
    <w:semiHidden/>
    <w:rsid w:val="00972D00"/>
    <w:pPr>
      <w:spacing w:after="120"/>
    </w:pPr>
  </w:style>
  <w:style w:type="character" w:customStyle="1" w:styleId="FootnoteTextChar">
    <w:name w:val="Footnote Text Char"/>
    <w:basedOn w:val="DefaultParagraphFont"/>
    <w:link w:val="FootnoteText"/>
    <w:semiHidden/>
    <w:rsid w:val="00972D00"/>
    <w:rPr>
      <w:rFonts w:ascii="Times New Roman" w:eastAsia="Times New Roman" w:hAnsi="Times New Roman"/>
      <w:szCs w:val="24"/>
      <w:lang w:bidi="ar-SA"/>
    </w:rPr>
  </w:style>
  <w:style w:type="paragraph" w:customStyle="1" w:styleId="Text">
    <w:name w:val="Text"/>
    <w:basedOn w:val="Normal"/>
    <w:uiPriority w:val="99"/>
    <w:rsid w:val="00972D00"/>
    <w:pPr>
      <w:tabs>
        <w:tab w:val="left" w:pos="720"/>
        <w:tab w:val="left" w:pos="1440"/>
        <w:tab w:val="left" w:pos="2160"/>
        <w:tab w:val="center" w:pos="4320"/>
      </w:tabs>
      <w:spacing w:line="480" w:lineRule="atLeast"/>
      <w:ind w:firstLine="540"/>
    </w:pPr>
  </w:style>
  <w:style w:type="paragraph" w:styleId="Header">
    <w:name w:val="header"/>
    <w:basedOn w:val="Normal"/>
    <w:link w:val="HeaderChar"/>
    <w:uiPriority w:val="99"/>
    <w:unhideWhenUsed/>
    <w:rsid w:val="00695B4B"/>
    <w:pPr>
      <w:tabs>
        <w:tab w:val="center" w:pos="4680"/>
        <w:tab w:val="right" w:pos="9360"/>
      </w:tabs>
    </w:pPr>
  </w:style>
  <w:style w:type="character" w:customStyle="1" w:styleId="HeaderChar">
    <w:name w:val="Header Char"/>
    <w:basedOn w:val="DefaultParagraphFont"/>
    <w:link w:val="Header"/>
    <w:uiPriority w:val="99"/>
    <w:rsid w:val="00695B4B"/>
    <w:rPr>
      <w:rFonts w:ascii="Times New Roman" w:eastAsia="Times New Roman" w:hAnsi="Times New Roman"/>
      <w:szCs w:val="24"/>
      <w:lang w:bidi="ar-SA"/>
    </w:rPr>
  </w:style>
  <w:style w:type="paragraph" w:styleId="Footer">
    <w:name w:val="footer"/>
    <w:basedOn w:val="Normal"/>
    <w:link w:val="FooterChar"/>
    <w:uiPriority w:val="99"/>
    <w:unhideWhenUsed/>
    <w:rsid w:val="00695B4B"/>
    <w:pPr>
      <w:tabs>
        <w:tab w:val="center" w:pos="4680"/>
        <w:tab w:val="right" w:pos="9360"/>
      </w:tabs>
    </w:pPr>
  </w:style>
  <w:style w:type="character" w:customStyle="1" w:styleId="FooterChar">
    <w:name w:val="Footer Char"/>
    <w:basedOn w:val="DefaultParagraphFont"/>
    <w:link w:val="Footer"/>
    <w:uiPriority w:val="99"/>
    <w:rsid w:val="00695B4B"/>
    <w:rPr>
      <w:rFonts w:ascii="Times New Roman" w:eastAsia="Times New Roman"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2018-02-01T19:35:00Z</dcterms:created>
  <dcterms:modified xsi:type="dcterms:W3CDTF">2018-02-01T19:35:00Z</dcterms:modified>
</cp:coreProperties>
</file>