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95" w:rsidRPr="00380088" w:rsidRDefault="00380088">
      <w:pPr>
        <w:rPr>
          <w:sz w:val="20"/>
        </w:rPr>
      </w:pPr>
      <w:r>
        <w:rPr>
          <w:sz w:val="20"/>
        </w:rPr>
        <w:t>Filed 12/11/17</w:t>
      </w:r>
    </w:p>
    <w:p w:rsidR="00CD7E95" w:rsidRDefault="001D190D">
      <w:pPr>
        <w:jc w:val="center"/>
      </w:pPr>
    </w:p>
    <w:p w:rsidR="00CD7E95" w:rsidRDefault="001D190D">
      <w:pPr>
        <w:jc w:val="center"/>
      </w:pPr>
    </w:p>
    <w:p w:rsidR="00CD7E95" w:rsidRDefault="001D190D">
      <w:pPr>
        <w:jc w:val="center"/>
      </w:pPr>
    </w:p>
    <w:p w:rsidR="00CD7E95" w:rsidRDefault="001D190D">
      <w:pPr>
        <w:jc w:val="center"/>
        <w:rPr>
          <w:sz w:val="36"/>
        </w:rPr>
      </w:pPr>
      <w:r>
        <w:rPr>
          <w:b/>
          <w:sz w:val="36"/>
        </w:rPr>
        <w:t>IN THE SUPREME COURT OF CALIFORNIA</w:t>
      </w:r>
    </w:p>
    <w:p w:rsidR="00CD7E95" w:rsidRDefault="001D190D">
      <w:pPr>
        <w:jc w:val="center"/>
      </w:pPr>
    </w:p>
    <w:p w:rsidR="00CD7E95" w:rsidRDefault="001D190D">
      <w:pPr>
        <w:jc w:val="center"/>
      </w:pPr>
    </w:p>
    <w:p w:rsidR="00CD7E95" w:rsidRDefault="001D190D">
      <w:pPr>
        <w:jc w:val="center"/>
      </w:pPr>
    </w:p>
    <w:p w:rsidR="00CD7E95" w:rsidRDefault="001D190D">
      <w:pPr>
        <w:tabs>
          <w:tab w:val="left" w:pos="4680"/>
          <w:tab w:val="center" w:pos="7200"/>
        </w:tabs>
        <w:spacing w:line="240" w:lineRule="atLeast"/>
      </w:pPr>
      <w:bookmarkStart w:id="0" w:name="plaintiff"/>
      <w:bookmarkEnd w:id="0"/>
      <w:r>
        <w:t>PATRICK LOWELL JACKSON</w:t>
      </w:r>
      <w:r>
        <w:t>,</w:t>
      </w:r>
      <w:r>
        <w:tab/>
        <w:t>)</w:t>
      </w:r>
    </w:p>
    <w:p w:rsidR="00CD7E95" w:rsidRDefault="001D190D">
      <w:pPr>
        <w:tabs>
          <w:tab w:val="left" w:pos="1440"/>
          <w:tab w:val="left" w:pos="4680"/>
          <w:tab w:val="center" w:pos="7200"/>
        </w:tabs>
        <w:spacing w:line="240" w:lineRule="atLeast"/>
      </w:pPr>
      <w:r>
        <w:tab/>
      </w:r>
      <w:r>
        <w:tab/>
        <w:t>)</w:t>
      </w:r>
    </w:p>
    <w:p w:rsidR="00CD7E95" w:rsidRDefault="001D190D">
      <w:pPr>
        <w:tabs>
          <w:tab w:val="left" w:pos="1440"/>
          <w:tab w:val="left" w:pos="4680"/>
          <w:tab w:val="center" w:pos="7200"/>
        </w:tabs>
        <w:spacing w:line="240" w:lineRule="atLeast"/>
      </w:pPr>
      <w:r>
        <w:tab/>
      </w:r>
      <w:bookmarkStart w:id="1" w:name="LD"/>
      <w:bookmarkEnd w:id="1"/>
      <w:r>
        <w:t>Petitioner,</w:t>
      </w:r>
      <w:r>
        <w:tab/>
        <w:t>)</w:t>
      </w:r>
    </w:p>
    <w:p w:rsidR="00CD7E95" w:rsidRDefault="001D190D">
      <w:pPr>
        <w:tabs>
          <w:tab w:val="left" w:pos="1440"/>
          <w:tab w:val="left" w:pos="4680"/>
          <w:tab w:val="center" w:pos="7200"/>
        </w:tabs>
        <w:spacing w:line="240" w:lineRule="atLeast"/>
      </w:pPr>
      <w:r>
        <w:tab/>
      </w:r>
      <w:r>
        <w:tab/>
        <w:t>)</w:t>
      </w:r>
      <w:r>
        <w:tab/>
        <w:t>S</w:t>
      </w:r>
      <w:bookmarkStart w:id="2" w:name="casenum"/>
      <w:bookmarkEnd w:id="2"/>
      <w:r>
        <w:t>235549</w:t>
      </w:r>
    </w:p>
    <w:p w:rsidR="00CD7E95" w:rsidRDefault="001D190D">
      <w:pPr>
        <w:tabs>
          <w:tab w:val="left" w:pos="1440"/>
          <w:tab w:val="left" w:pos="4680"/>
          <w:tab w:val="center" w:pos="7200"/>
        </w:tabs>
        <w:spacing w:line="240" w:lineRule="atLeast"/>
      </w:pPr>
      <w:r>
        <w:tab/>
        <w:t>v.</w:t>
      </w:r>
      <w:r>
        <w:tab/>
        <w:t>)</w:t>
      </w:r>
    </w:p>
    <w:p w:rsidR="00CD7E95" w:rsidRDefault="001D190D">
      <w:pPr>
        <w:tabs>
          <w:tab w:val="left" w:pos="1440"/>
          <w:tab w:val="left" w:pos="4680"/>
          <w:tab w:val="center" w:pos="7200"/>
        </w:tabs>
        <w:spacing w:line="240" w:lineRule="atLeast"/>
      </w:pPr>
      <w:r>
        <w:tab/>
      </w:r>
      <w:r>
        <w:tab/>
        <w:t>)</w:t>
      </w:r>
      <w:r>
        <w:tab/>
      </w:r>
      <w:bookmarkStart w:id="3" w:name="appealnum"/>
      <w:bookmarkEnd w:id="3"/>
      <w:proofErr w:type="spellStart"/>
      <w:r>
        <w:t>Ct.App</w:t>
      </w:r>
      <w:proofErr w:type="spellEnd"/>
      <w:r>
        <w:t>. 4/2 E064010</w:t>
      </w:r>
    </w:p>
    <w:p w:rsidR="00CD7E95" w:rsidRDefault="001D190D">
      <w:pPr>
        <w:tabs>
          <w:tab w:val="left" w:pos="4680"/>
          <w:tab w:val="center" w:pos="7200"/>
        </w:tabs>
        <w:spacing w:line="240" w:lineRule="atLeast"/>
      </w:pPr>
      <w:bookmarkStart w:id="4" w:name="defendant"/>
      <w:bookmarkEnd w:id="4"/>
      <w:r>
        <w:t>THE SUPERIOR COURT OF</w:t>
      </w:r>
      <w:r>
        <w:tab/>
        <w:t>)</w:t>
      </w:r>
    </w:p>
    <w:p w:rsidR="00795361" w:rsidRDefault="001D190D">
      <w:pPr>
        <w:tabs>
          <w:tab w:val="left" w:pos="4680"/>
          <w:tab w:val="center" w:pos="7200"/>
        </w:tabs>
        <w:spacing w:line="240" w:lineRule="atLeast"/>
      </w:pPr>
      <w:r>
        <w:t>RIVERSIDE COUNTY,</w:t>
      </w:r>
      <w:r>
        <w:tab/>
        <w:t>)</w:t>
      </w:r>
    </w:p>
    <w:p w:rsidR="00CD7E95" w:rsidRDefault="001D190D">
      <w:pPr>
        <w:tabs>
          <w:tab w:val="left" w:pos="4680"/>
          <w:tab w:val="center" w:pos="7200"/>
        </w:tabs>
        <w:spacing w:line="240" w:lineRule="atLeast"/>
      </w:pPr>
      <w:r>
        <w:tab/>
        <w:t>)</w:t>
      </w:r>
      <w:r>
        <w:tab/>
      </w:r>
      <w:bookmarkStart w:id="5" w:name="county"/>
      <w:bookmarkEnd w:id="5"/>
      <w:r>
        <w:t>Riverside</w:t>
      </w:r>
      <w:r>
        <w:t xml:space="preserve"> County</w:t>
      </w:r>
    </w:p>
    <w:p w:rsidR="00CD7E95" w:rsidRDefault="001D190D">
      <w:pPr>
        <w:tabs>
          <w:tab w:val="left" w:pos="1440"/>
          <w:tab w:val="left" w:pos="4680"/>
          <w:tab w:val="center" w:pos="7200"/>
        </w:tabs>
        <w:spacing w:line="240" w:lineRule="atLeast"/>
      </w:pPr>
      <w:r>
        <w:tab/>
      </w:r>
      <w:bookmarkStart w:id="6" w:name="VD"/>
      <w:bookmarkEnd w:id="6"/>
      <w:r>
        <w:t>Respondent;</w:t>
      </w:r>
      <w:r>
        <w:tab/>
        <w:t>)</w:t>
      </w:r>
      <w:r>
        <w:tab/>
      </w:r>
      <w:bookmarkStart w:id="7" w:name="supernum"/>
      <w:bookmarkEnd w:id="7"/>
      <w:r>
        <w:t>Super. Ct. No. INF1</w:t>
      </w:r>
      <w:r>
        <w:t>500950</w:t>
      </w:r>
    </w:p>
    <w:p w:rsidR="00795361" w:rsidRDefault="001D190D">
      <w:pPr>
        <w:tabs>
          <w:tab w:val="left" w:pos="1440"/>
          <w:tab w:val="left" w:pos="4680"/>
          <w:tab w:val="center" w:pos="7200"/>
        </w:tabs>
        <w:spacing w:line="240" w:lineRule="atLeast"/>
      </w:pPr>
      <w:r>
        <w:tab/>
      </w:r>
      <w:r>
        <w:tab/>
        <w:t>)</w:t>
      </w:r>
    </w:p>
    <w:p w:rsidR="00795361" w:rsidRDefault="001D190D">
      <w:pPr>
        <w:tabs>
          <w:tab w:val="left" w:pos="1440"/>
          <w:tab w:val="left" w:pos="4680"/>
          <w:tab w:val="center" w:pos="7200"/>
        </w:tabs>
        <w:spacing w:line="240" w:lineRule="atLeast"/>
      </w:pPr>
      <w:r>
        <w:t>THE PEOPLE,</w:t>
      </w:r>
      <w:r>
        <w:tab/>
        <w:t>)</w:t>
      </w:r>
    </w:p>
    <w:p w:rsidR="00795361" w:rsidRDefault="001D190D">
      <w:pPr>
        <w:tabs>
          <w:tab w:val="left" w:pos="1440"/>
          <w:tab w:val="left" w:pos="4680"/>
          <w:tab w:val="center" w:pos="7200"/>
        </w:tabs>
        <w:spacing w:line="240" w:lineRule="atLeast"/>
      </w:pPr>
      <w:r>
        <w:tab/>
      </w:r>
      <w:r>
        <w:tab/>
        <w:t>)</w:t>
      </w:r>
    </w:p>
    <w:p w:rsidR="00795361" w:rsidRDefault="001D190D">
      <w:pPr>
        <w:tabs>
          <w:tab w:val="left" w:pos="1440"/>
          <w:tab w:val="left" w:pos="4680"/>
          <w:tab w:val="center" w:pos="7200"/>
        </w:tabs>
        <w:spacing w:line="240" w:lineRule="atLeast"/>
      </w:pPr>
      <w:r>
        <w:tab/>
        <w:t>Real Party in Interest.</w:t>
      </w:r>
      <w:r>
        <w:tab/>
        <w:t>)</w:t>
      </w:r>
    </w:p>
    <w:p w:rsidR="00CD7E95" w:rsidRDefault="001D190D">
      <w:pPr>
        <w:tabs>
          <w:tab w:val="left" w:leader="underscore" w:pos="4680"/>
        </w:tabs>
        <w:spacing w:line="240" w:lineRule="atLeast"/>
        <w:rPr>
          <w:u w:val="single"/>
        </w:rPr>
      </w:pPr>
      <w:r>
        <w:tab/>
        <w:t>)</w:t>
      </w:r>
    </w:p>
    <w:p w:rsidR="00CD7E95" w:rsidRDefault="001D190D" w:rsidP="00CA6AC0">
      <w:pPr>
        <w:tabs>
          <w:tab w:val="left" w:pos="1440"/>
        </w:tabs>
        <w:spacing w:line="480" w:lineRule="atLeast"/>
        <w:rPr>
          <w:b/>
          <w:caps/>
        </w:rPr>
      </w:pPr>
      <w:bookmarkStart w:id="8" w:name="justice"/>
      <w:bookmarkEnd w:id="8"/>
    </w:p>
    <w:p w:rsidR="00600E98" w:rsidRDefault="001D190D">
      <w:pPr>
        <w:tabs>
          <w:tab w:val="left" w:pos="1440"/>
        </w:tabs>
        <w:spacing w:line="480" w:lineRule="atLeast"/>
        <w:ind w:firstLine="720"/>
        <w:rPr>
          <w:rStyle w:val="MainTextChar"/>
        </w:rPr>
      </w:pPr>
      <w:bookmarkStart w:id="9" w:name="mainstory"/>
      <w:bookmarkEnd w:id="9"/>
      <w:r>
        <w:rPr>
          <w:rStyle w:val="MainTextChar"/>
        </w:rPr>
        <w:t>A criminal defendant who is found incompetent to stand trial may be involuntarily committed for the purpose of determining</w:t>
      </w:r>
      <w:r>
        <w:rPr>
          <w:rStyle w:val="MainTextChar"/>
        </w:rPr>
        <w:t xml:space="preserve"> if </w:t>
      </w:r>
      <w:r>
        <w:rPr>
          <w:rStyle w:val="MainTextChar"/>
        </w:rPr>
        <w:t xml:space="preserve">he or she is </w:t>
      </w:r>
      <w:r>
        <w:rPr>
          <w:rStyle w:val="MainTextChar"/>
        </w:rPr>
        <w:t>likely to regain competence</w:t>
      </w:r>
      <w:r>
        <w:rPr>
          <w:rStyle w:val="MainTextChar"/>
        </w:rPr>
        <w:t xml:space="preserve">.  (Pen. Code, § 1370, subd. (a)(1)(B); all undesignated statutory references are to this code.) </w:t>
      </w:r>
      <w:r>
        <w:rPr>
          <w:rStyle w:val="MainTextChar"/>
        </w:rPr>
        <w:t xml:space="preserve"> </w:t>
      </w:r>
      <w:r>
        <w:rPr>
          <w:rStyle w:val="MainTextChar"/>
        </w:rPr>
        <w:t xml:space="preserve">But the </w:t>
      </w:r>
      <w:r>
        <w:rPr>
          <w:rStyle w:val="MainTextChar"/>
        </w:rPr>
        <w:t xml:space="preserve">duration </w:t>
      </w:r>
      <w:r>
        <w:rPr>
          <w:rStyle w:val="MainTextChar"/>
        </w:rPr>
        <w:t xml:space="preserve">of commitment may </w:t>
      </w:r>
      <w:r>
        <w:rPr>
          <w:rStyle w:val="MainTextChar"/>
        </w:rPr>
        <w:t xml:space="preserve">not exceed </w:t>
      </w:r>
      <w:r>
        <w:rPr>
          <w:rStyle w:val="MainTextChar"/>
        </w:rPr>
        <w:t>“</w:t>
      </w:r>
      <w:r>
        <w:rPr>
          <w:rStyle w:val="MainTextChar"/>
        </w:rPr>
        <w:t> </w:t>
      </w:r>
      <w:r>
        <w:rPr>
          <w:rStyle w:val="MainTextChar"/>
        </w:rPr>
        <w:t>‘</w:t>
      </w:r>
      <w:r>
        <w:rPr>
          <w:rStyle w:val="MainTextChar"/>
        </w:rPr>
        <w:t>the reasonable period of time necessary to determine whether there is a substantial probability that [the def</w:t>
      </w:r>
      <w:r>
        <w:rPr>
          <w:rStyle w:val="MainTextChar"/>
        </w:rPr>
        <w:t xml:space="preserve">endant] will attain </w:t>
      </w:r>
      <w:r>
        <w:rPr>
          <w:rStyle w:val="MainTextChar"/>
        </w:rPr>
        <w:t xml:space="preserve">that </w:t>
      </w:r>
      <w:r>
        <w:rPr>
          <w:rStyle w:val="MainTextChar"/>
        </w:rPr>
        <w:t>capacity in the foreseeable future.</w:t>
      </w:r>
      <w:r>
        <w:rPr>
          <w:rStyle w:val="MainTextChar"/>
        </w:rPr>
        <w:t>’ </w:t>
      </w:r>
      <w:r>
        <w:rPr>
          <w:rStyle w:val="MainTextChar"/>
        </w:rPr>
        <w:t>”  (</w:t>
      </w:r>
      <w:r>
        <w:rPr>
          <w:rStyle w:val="MainTextChar"/>
          <w:i/>
        </w:rPr>
        <w:t xml:space="preserve">In re Davis </w:t>
      </w:r>
      <w:r>
        <w:rPr>
          <w:rStyle w:val="MainTextChar"/>
        </w:rPr>
        <w:t>(1973) 8 Cal.3d 798, 804</w:t>
      </w:r>
      <w:r>
        <w:rPr>
          <w:rStyle w:val="MainTextChar"/>
        </w:rPr>
        <w:t xml:space="preserve"> (</w:t>
      </w:r>
      <w:r>
        <w:rPr>
          <w:rStyle w:val="MainTextChar"/>
          <w:i/>
        </w:rPr>
        <w:t>Davis</w:t>
      </w:r>
      <w:r>
        <w:rPr>
          <w:rStyle w:val="MainTextChar"/>
        </w:rPr>
        <w:t xml:space="preserve">), quoting </w:t>
      </w:r>
      <w:r>
        <w:rPr>
          <w:rStyle w:val="MainTextChar"/>
          <w:i/>
        </w:rPr>
        <w:t xml:space="preserve">Jackson v. Indiana </w:t>
      </w:r>
      <w:r>
        <w:rPr>
          <w:rStyle w:val="MainTextChar"/>
        </w:rPr>
        <w:t>(1972) 406 U.S. 715, 73</w:t>
      </w:r>
      <w:r>
        <w:rPr>
          <w:rStyle w:val="MainTextChar"/>
        </w:rPr>
        <w:t>8</w:t>
      </w:r>
      <w:r>
        <w:rPr>
          <w:rStyle w:val="MainTextChar"/>
        </w:rPr>
        <w:t xml:space="preserve"> (</w:t>
      </w:r>
      <w:r>
        <w:rPr>
          <w:rStyle w:val="MainTextChar"/>
          <w:i/>
        </w:rPr>
        <w:t>Jackson</w:t>
      </w:r>
      <w:r>
        <w:rPr>
          <w:rStyle w:val="MainTextChar"/>
        </w:rPr>
        <w:t>)</w:t>
      </w:r>
      <w:r>
        <w:rPr>
          <w:rStyle w:val="MainTextChar"/>
        </w:rPr>
        <w:t>.)</w:t>
      </w:r>
    </w:p>
    <w:p w:rsidR="006036A4" w:rsidRPr="009F6AF9" w:rsidRDefault="001D190D">
      <w:pPr>
        <w:tabs>
          <w:tab w:val="left" w:pos="1440"/>
        </w:tabs>
        <w:spacing w:line="480" w:lineRule="atLeast"/>
        <w:ind w:firstLine="720"/>
        <w:rPr>
          <w:rStyle w:val="MainTextChar"/>
        </w:rPr>
      </w:pPr>
      <w:r>
        <w:rPr>
          <w:rStyle w:val="MainTextChar"/>
        </w:rPr>
        <w:t>G</w:t>
      </w:r>
      <w:r>
        <w:rPr>
          <w:rStyle w:val="MainTextChar"/>
        </w:rPr>
        <w:t xml:space="preserve">uided by </w:t>
      </w:r>
      <w:r>
        <w:rPr>
          <w:rStyle w:val="MainTextChar"/>
          <w:i/>
        </w:rPr>
        <w:t xml:space="preserve">Davis </w:t>
      </w:r>
      <w:r>
        <w:rPr>
          <w:rStyle w:val="MainTextChar"/>
        </w:rPr>
        <w:t xml:space="preserve">and </w:t>
      </w:r>
      <w:r>
        <w:rPr>
          <w:rStyle w:val="MainTextChar"/>
          <w:i/>
        </w:rPr>
        <w:t>Jackson</w:t>
      </w:r>
      <w:r>
        <w:rPr>
          <w:rStyle w:val="MainTextChar"/>
        </w:rPr>
        <w:t xml:space="preserve">, the Legislature </w:t>
      </w:r>
      <w:r>
        <w:rPr>
          <w:rStyle w:val="MainTextChar"/>
        </w:rPr>
        <w:t xml:space="preserve">has set the maximum period of </w:t>
      </w:r>
      <w:r>
        <w:rPr>
          <w:rStyle w:val="MainTextChar"/>
        </w:rPr>
        <w:t xml:space="preserve">such </w:t>
      </w:r>
      <w:r>
        <w:rPr>
          <w:rStyle w:val="MainTextChar"/>
        </w:rPr>
        <w:t>commitment at three years</w:t>
      </w:r>
      <w:r>
        <w:rPr>
          <w:rStyle w:val="MainTextChar"/>
        </w:rPr>
        <w:t xml:space="preserve">.  </w:t>
      </w:r>
      <w:r>
        <w:rPr>
          <w:rStyle w:val="MainTextChar"/>
        </w:rPr>
        <w:t>(</w:t>
      </w:r>
      <w:r>
        <w:rPr>
          <w:rStyle w:val="MainTextChar"/>
        </w:rPr>
        <w:t>§ 1370, subd. (c) (§ 1370(c)).</w:t>
      </w:r>
      <w:r>
        <w:rPr>
          <w:rStyle w:val="MainTextChar"/>
        </w:rPr>
        <w:t xml:space="preserve">)  </w:t>
      </w:r>
      <w:r>
        <w:rPr>
          <w:rStyle w:val="MainTextChar"/>
        </w:rPr>
        <w:t xml:space="preserve">If </w:t>
      </w:r>
      <w:r>
        <w:rPr>
          <w:rStyle w:val="MainTextChar"/>
        </w:rPr>
        <w:t xml:space="preserve">at that point </w:t>
      </w:r>
      <w:r>
        <w:rPr>
          <w:rStyle w:val="MainTextChar"/>
        </w:rPr>
        <w:t xml:space="preserve">the defendant </w:t>
      </w:r>
      <w:r>
        <w:rPr>
          <w:rStyle w:val="MainTextChar"/>
        </w:rPr>
        <w:t>does not regain</w:t>
      </w:r>
      <w:r>
        <w:rPr>
          <w:rStyle w:val="MainTextChar"/>
        </w:rPr>
        <w:t xml:space="preserve"> </w:t>
      </w:r>
      <w:r>
        <w:rPr>
          <w:rStyle w:val="MainTextChar"/>
        </w:rPr>
        <w:t>competence</w:t>
      </w:r>
      <w:r>
        <w:rPr>
          <w:rStyle w:val="MainTextChar"/>
        </w:rPr>
        <w:t xml:space="preserve"> and is shown to be “gravely disabled” </w:t>
      </w:r>
      <w:r>
        <w:rPr>
          <w:rStyle w:val="MainTextChar"/>
        </w:rPr>
        <w:lastRenderedPageBreak/>
        <w:t xml:space="preserve">within the meaning of the </w:t>
      </w:r>
      <w:proofErr w:type="spellStart"/>
      <w:r>
        <w:rPr>
          <w:rStyle w:val="MainTextChar"/>
        </w:rPr>
        <w:t>Lanterman</w:t>
      </w:r>
      <w:proofErr w:type="spellEnd"/>
      <w:r>
        <w:rPr>
          <w:rStyle w:val="MainTextChar"/>
        </w:rPr>
        <w:t>-</w:t>
      </w:r>
      <w:proofErr w:type="spellStart"/>
      <w:r>
        <w:rPr>
          <w:rStyle w:val="MainTextChar"/>
        </w:rPr>
        <w:t>Petris</w:t>
      </w:r>
      <w:proofErr w:type="spellEnd"/>
      <w:r>
        <w:rPr>
          <w:rStyle w:val="MainTextChar"/>
        </w:rPr>
        <w:t xml:space="preserve">-Short </w:t>
      </w:r>
      <w:r>
        <w:rPr>
          <w:rStyle w:val="MainTextChar"/>
        </w:rPr>
        <w:t>A</w:t>
      </w:r>
      <w:r>
        <w:rPr>
          <w:rStyle w:val="MainTextChar"/>
        </w:rPr>
        <w:t xml:space="preserve">ct </w:t>
      </w:r>
      <w:r>
        <w:rPr>
          <w:rStyle w:val="MainTextChar"/>
        </w:rPr>
        <w:t>(</w:t>
      </w:r>
      <w:proofErr w:type="spellStart"/>
      <w:r>
        <w:rPr>
          <w:rStyle w:val="MainTextChar"/>
        </w:rPr>
        <w:t>Welf</w:t>
      </w:r>
      <w:proofErr w:type="spellEnd"/>
      <w:r>
        <w:rPr>
          <w:rStyle w:val="MainTextChar"/>
        </w:rPr>
        <w:t>. &amp; Inst. Code, § 5000 et seq.</w:t>
      </w:r>
      <w:r>
        <w:rPr>
          <w:rStyle w:val="MainTextChar"/>
        </w:rPr>
        <w:t xml:space="preserve"> (LPS Act)</w:t>
      </w:r>
      <w:r>
        <w:rPr>
          <w:rStyle w:val="MainTextChar"/>
        </w:rPr>
        <w:t>)</w:t>
      </w:r>
      <w:r>
        <w:rPr>
          <w:rStyle w:val="MainTextChar"/>
        </w:rPr>
        <w:t>, then the court must order conservatorship proceedings under the LPS Act (</w:t>
      </w:r>
      <w:r>
        <w:rPr>
          <w:rStyle w:val="MainTextChar"/>
          <w:i/>
        </w:rPr>
        <w:t>id.</w:t>
      </w:r>
      <w:r>
        <w:rPr>
          <w:rStyle w:val="MainTextChar"/>
        </w:rPr>
        <w:t>, § 5350 et seq.).</w:t>
      </w:r>
      <w:r>
        <w:rPr>
          <w:rStyle w:val="MainTextChar"/>
        </w:rPr>
        <w:t xml:space="preserve"> </w:t>
      </w:r>
      <w:r>
        <w:rPr>
          <w:rStyle w:val="MainTextChar"/>
        </w:rPr>
        <w:t xml:space="preserve"> </w:t>
      </w:r>
      <w:r>
        <w:rPr>
          <w:rStyle w:val="MainTextChar"/>
        </w:rPr>
        <w:t xml:space="preserve">(§ 1370, subd. (c)(2).)  </w:t>
      </w:r>
      <w:r>
        <w:rPr>
          <w:rStyle w:val="MainTextChar"/>
        </w:rPr>
        <w:t>Otherwise, the defendant is released.  (</w:t>
      </w:r>
      <w:r>
        <w:rPr>
          <w:rStyle w:val="MainTextChar"/>
        </w:rPr>
        <w:t xml:space="preserve">See </w:t>
      </w:r>
      <w:r>
        <w:rPr>
          <w:rStyle w:val="MainTextChar"/>
          <w:i/>
        </w:rPr>
        <w:t xml:space="preserve">People v. Waterman </w:t>
      </w:r>
      <w:r>
        <w:rPr>
          <w:rStyle w:val="MainTextChar"/>
        </w:rPr>
        <w:t>(1986) 42 Cal.3d 565, 568 (</w:t>
      </w:r>
      <w:r>
        <w:rPr>
          <w:rStyle w:val="MainTextChar"/>
          <w:i/>
        </w:rPr>
        <w:t>Waterman</w:t>
      </w:r>
      <w:r>
        <w:rPr>
          <w:rStyle w:val="MainTextChar"/>
        </w:rPr>
        <w:t>).)</w:t>
      </w:r>
    </w:p>
    <w:p w:rsidR="00E036C4" w:rsidRDefault="001D190D">
      <w:pPr>
        <w:tabs>
          <w:tab w:val="left" w:pos="1440"/>
        </w:tabs>
        <w:spacing w:line="480" w:lineRule="atLeast"/>
        <w:ind w:firstLine="720"/>
        <w:rPr>
          <w:rStyle w:val="MainTextChar"/>
        </w:rPr>
      </w:pPr>
      <w:r>
        <w:rPr>
          <w:rStyle w:val="MainTextChar"/>
        </w:rPr>
        <w:t xml:space="preserve">In this case, defendant Patrick Jackson </w:t>
      </w:r>
      <w:r>
        <w:rPr>
          <w:rStyle w:val="MainTextChar"/>
        </w:rPr>
        <w:t xml:space="preserve">was found incompetent to stand trial and </w:t>
      </w:r>
      <w:r>
        <w:rPr>
          <w:rStyle w:val="MainTextChar"/>
        </w:rPr>
        <w:t>was involuntarily committed for three years</w:t>
      </w:r>
      <w:r>
        <w:rPr>
          <w:rStyle w:val="MainTextChar"/>
        </w:rPr>
        <w:t>, during which he did not regain competence</w:t>
      </w:r>
      <w:r>
        <w:rPr>
          <w:rStyle w:val="MainTextChar"/>
        </w:rPr>
        <w:t>.  Because</w:t>
      </w:r>
      <w:r>
        <w:rPr>
          <w:rStyle w:val="MainTextChar"/>
        </w:rPr>
        <w:t xml:space="preserve"> </w:t>
      </w:r>
      <w:r>
        <w:rPr>
          <w:rStyle w:val="MainTextChar"/>
        </w:rPr>
        <w:t>he was not made the subject of a conservatorship</w:t>
      </w:r>
      <w:r>
        <w:rPr>
          <w:rStyle w:val="MainTextChar"/>
        </w:rPr>
        <w:t xml:space="preserve">, </w:t>
      </w:r>
      <w:r>
        <w:rPr>
          <w:rStyle w:val="MainTextChar"/>
        </w:rPr>
        <w:t xml:space="preserve">he </w:t>
      </w:r>
      <w:r>
        <w:rPr>
          <w:rStyle w:val="MainTextChar"/>
        </w:rPr>
        <w:t>was released.</w:t>
      </w:r>
      <w:r>
        <w:rPr>
          <w:rStyle w:val="MainTextChar"/>
        </w:rPr>
        <w:t xml:space="preserve">  </w:t>
      </w:r>
      <w:r>
        <w:rPr>
          <w:rStyle w:val="MainTextChar"/>
        </w:rPr>
        <w:t>Shortly af</w:t>
      </w:r>
      <w:r>
        <w:rPr>
          <w:rStyle w:val="MainTextChar"/>
        </w:rPr>
        <w:t xml:space="preserve">ter his </w:t>
      </w:r>
      <w:r>
        <w:rPr>
          <w:rStyle w:val="MainTextChar"/>
        </w:rPr>
        <w:t>release, the Riverside County District Attorney</w:t>
      </w:r>
      <w:r>
        <w:rPr>
          <w:rStyle w:val="MainTextChar"/>
        </w:rPr>
        <w:t xml:space="preserve"> </w:t>
      </w:r>
      <w:r>
        <w:rPr>
          <w:rStyle w:val="MainTextChar"/>
        </w:rPr>
        <w:t>obtained</w:t>
      </w:r>
      <w:r>
        <w:rPr>
          <w:rStyle w:val="MainTextChar"/>
        </w:rPr>
        <w:t xml:space="preserve"> a superseding indictment</w:t>
      </w:r>
      <w:r>
        <w:rPr>
          <w:rStyle w:val="MainTextChar"/>
        </w:rPr>
        <w:t xml:space="preserve"> with identical charges</w:t>
      </w:r>
      <w:r>
        <w:rPr>
          <w:rStyle w:val="MainTextChar"/>
        </w:rPr>
        <w:t xml:space="preserve"> under a new case number</w:t>
      </w:r>
      <w:r>
        <w:rPr>
          <w:rStyle w:val="MainTextChar"/>
        </w:rPr>
        <w:t>, as permitted by section 1387</w:t>
      </w:r>
      <w:r>
        <w:rPr>
          <w:rStyle w:val="MainTextChar"/>
        </w:rPr>
        <w:t xml:space="preserve">. </w:t>
      </w:r>
      <w:r>
        <w:rPr>
          <w:rStyle w:val="MainTextChar"/>
        </w:rPr>
        <w:t xml:space="preserve"> Jackson </w:t>
      </w:r>
      <w:r>
        <w:rPr>
          <w:rStyle w:val="MainTextChar"/>
        </w:rPr>
        <w:t xml:space="preserve">was </w:t>
      </w:r>
      <w:r>
        <w:rPr>
          <w:rStyle w:val="MainTextChar"/>
        </w:rPr>
        <w:t>rearrested</w:t>
      </w:r>
      <w:r>
        <w:rPr>
          <w:rStyle w:val="MainTextChar"/>
        </w:rPr>
        <w:t xml:space="preserve"> pursuant to the new indictment</w:t>
      </w:r>
      <w:r>
        <w:rPr>
          <w:rStyle w:val="MainTextChar"/>
        </w:rPr>
        <w:t>.</w:t>
      </w:r>
      <w:r>
        <w:rPr>
          <w:rStyle w:val="MainTextChar"/>
        </w:rPr>
        <w:t xml:space="preserve">  </w:t>
      </w:r>
      <w:r>
        <w:rPr>
          <w:rStyle w:val="MainTextChar"/>
        </w:rPr>
        <w:t xml:space="preserve">He </w:t>
      </w:r>
      <w:r>
        <w:rPr>
          <w:rStyle w:val="MainTextChar"/>
        </w:rPr>
        <w:t xml:space="preserve">argues that </w:t>
      </w:r>
      <w:r>
        <w:rPr>
          <w:rStyle w:val="MainTextChar"/>
        </w:rPr>
        <w:t xml:space="preserve">because </w:t>
      </w:r>
      <w:r>
        <w:rPr>
          <w:rStyle w:val="MainTextChar"/>
        </w:rPr>
        <w:t>he had a</w:t>
      </w:r>
      <w:r>
        <w:rPr>
          <w:rStyle w:val="MainTextChar"/>
        </w:rPr>
        <w:t xml:space="preserve">lready been committed for the three years </w:t>
      </w:r>
      <w:r>
        <w:rPr>
          <w:rStyle w:val="MainTextChar"/>
        </w:rPr>
        <w:t>authorized</w:t>
      </w:r>
      <w:r>
        <w:rPr>
          <w:rStyle w:val="MainTextChar"/>
        </w:rPr>
        <w:t xml:space="preserve"> by section 1370(c), the trial court was without power to order his </w:t>
      </w:r>
      <w:proofErr w:type="spellStart"/>
      <w:r>
        <w:rPr>
          <w:rStyle w:val="MainTextChar"/>
        </w:rPr>
        <w:t>rearrest</w:t>
      </w:r>
      <w:proofErr w:type="spellEnd"/>
      <w:r>
        <w:rPr>
          <w:rStyle w:val="MainTextChar"/>
        </w:rPr>
        <w:t xml:space="preserve"> notwithstanding the prosecution’s</w:t>
      </w:r>
      <w:r>
        <w:rPr>
          <w:rStyle w:val="MainTextChar"/>
        </w:rPr>
        <w:t xml:space="preserve"> </w:t>
      </w:r>
      <w:r>
        <w:rPr>
          <w:rStyle w:val="MainTextChar"/>
        </w:rPr>
        <w:t xml:space="preserve">authority </w:t>
      </w:r>
      <w:r>
        <w:rPr>
          <w:rStyle w:val="MainTextChar"/>
        </w:rPr>
        <w:t>to dismiss and ref</w:t>
      </w:r>
      <w:r>
        <w:rPr>
          <w:rStyle w:val="MainTextChar"/>
        </w:rPr>
        <w:t>ile charges under section 1387.</w:t>
      </w:r>
    </w:p>
    <w:p w:rsidR="00204991" w:rsidRDefault="001D190D">
      <w:pPr>
        <w:tabs>
          <w:tab w:val="left" w:pos="1440"/>
        </w:tabs>
        <w:spacing w:line="480" w:lineRule="atLeast"/>
        <w:ind w:firstLine="720"/>
        <w:rPr>
          <w:rStyle w:val="MainTextChar"/>
        </w:rPr>
      </w:pPr>
      <w:r>
        <w:rPr>
          <w:rStyle w:val="MainTextChar"/>
        </w:rPr>
        <w:t>W</w:t>
      </w:r>
      <w:r>
        <w:rPr>
          <w:rStyle w:val="MainTextChar"/>
        </w:rPr>
        <w:t xml:space="preserve">e hold that </w:t>
      </w:r>
      <w:r>
        <w:rPr>
          <w:rStyle w:val="MainTextChar"/>
        </w:rPr>
        <w:t>defendants</w:t>
      </w:r>
      <w:r>
        <w:rPr>
          <w:rStyle w:val="MainTextChar"/>
        </w:rPr>
        <w:t xml:space="preserve"> in Jackso</w:t>
      </w:r>
      <w:r>
        <w:rPr>
          <w:rStyle w:val="MainTextChar"/>
        </w:rPr>
        <w:t>n’s position</w:t>
      </w:r>
      <w:r>
        <w:rPr>
          <w:rStyle w:val="MainTextChar"/>
        </w:rPr>
        <w:t xml:space="preserve"> </w:t>
      </w:r>
      <w:r>
        <w:rPr>
          <w:rStyle w:val="MainTextChar"/>
        </w:rPr>
        <w:t xml:space="preserve">can </w:t>
      </w:r>
      <w:r>
        <w:rPr>
          <w:rStyle w:val="MainTextChar"/>
        </w:rPr>
        <w:t>be rearrested</w:t>
      </w:r>
      <w:r>
        <w:rPr>
          <w:rStyle w:val="MainTextChar"/>
        </w:rPr>
        <w:t xml:space="preserve"> </w:t>
      </w:r>
      <w:r>
        <w:rPr>
          <w:rStyle w:val="MainTextChar"/>
        </w:rPr>
        <w:t xml:space="preserve">on </w:t>
      </w:r>
      <w:r>
        <w:rPr>
          <w:rStyle w:val="MainTextChar"/>
        </w:rPr>
        <w:t xml:space="preserve">charges that are refiled </w:t>
      </w:r>
      <w:r>
        <w:rPr>
          <w:rStyle w:val="MainTextChar"/>
        </w:rPr>
        <w:t xml:space="preserve">under </w:t>
      </w:r>
      <w:r>
        <w:rPr>
          <w:rStyle w:val="MainTextChar"/>
        </w:rPr>
        <w:t>section 1387</w:t>
      </w:r>
      <w:r>
        <w:rPr>
          <w:rStyle w:val="MainTextChar"/>
        </w:rPr>
        <w:t xml:space="preserve">.  But </w:t>
      </w:r>
      <w:r>
        <w:rPr>
          <w:rStyle w:val="MainTextChar"/>
        </w:rPr>
        <w:t xml:space="preserve">if </w:t>
      </w:r>
      <w:r>
        <w:rPr>
          <w:rStyle w:val="MainTextChar"/>
        </w:rPr>
        <w:t xml:space="preserve">the trial court </w:t>
      </w:r>
      <w:r>
        <w:rPr>
          <w:rStyle w:val="MainTextChar"/>
        </w:rPr>
        <w:t xml:space="preserve">again </w:t>
      </w:r>
      <w:r>
        <w:rPr>
          <w:rStyle w:val="MainTextChar"/>
        </w:rPr>
        <w:t>determine</w:t>
      </w:r>
      <w:r>
        <w:rPr>
          <w:rStyle w:val="MainTextChar"/>
        </w:rPr>
        <w:t xml:space="preserve">s </w:t>
      </w:r>
      <w:r>
        <w:rPr>
          <w:rStyle w:val="MainTextChar"/>
        </w:rPr>
        <w:t xml:space="preserve">that </w:t>
      </w:r>
      <w:r>
        <w:rPr>
          <w:rStyle w:val="MainTextChar"/>
        </w:rPr>
        <w:t xml:space="preserve">a defendant is </w:t>
      </w:r>
      <w:r>
        <w:rPr>
          <w:rStyle w:val="MainTextChar"/>
        </w:rPr>
        <w:t>not compet</w:t>
      </w:r>
      <w:r w:rsidRPr="00C94A87">
        <w:rPr>
          <w:rStyle w:val="MainTextChar"/>
        </w:rPr>
        <w:t>e</w:t>
      </w:r>
      <w:r>
        <w:rPr>
          <w:rStyle w:val="MainTextChar"/>
        </w:rPr>
        <w:t xml:space="preserve">nt to stand trial, the court </w:t>
      </w:r>
      <w:r>
        <w:rPr>
          <w:rStyle w:val="MainTextChar"/>
        </w:rPr>
        <w:t xml:space="preserve">is </w:t>
      </w:r>
      <w:r>
        <w:rPr>
          <w:rStyle w:val="MainTextChar"/>
        </w:rPr>
        <w:t>not permitted to ignore the fact that</w:t>
      </w:r>
      <w:r>
        <w:rPr>
          <w:rStyle w:val="MainTextChar"/>
        </w:rPr>
        <w:t xml:space="preserve"> </w:t>
      </w:r>
      <w:r>
        <w:rPr>
          <w:rStyle w:val="MainTextChar"/>
        </w:rPr>
        <w:t xml:space="preserve">the defendant has </w:t>
      </w:r>
      <w:r>
        <w:rPr>
          <w:rStyle w:val="MainTextChar"/>
        </w:rPr>
        <w:t xml:space="preserve">already been </w:t>
      </w:r>
      <w:r>
        <w:rPr>
          <w:rStyle w:val="MainTextChar"/>
        </w:rPr>
        <w:t>committed</w:t>
      </w:r>
      <w:r>
        <w:rPr>
          <w:rStyle w:val="MainTextChar"/>
        </w:rPr>
        <w:t>.</w:t>
      </w:r>
      <w:r>
        <w:rPr>
          <w:rStyle w:val="MainTextChar"/>
        </w:rPr>
        <w:t xml:space="preserve">  </w:t>
      </w:r>
      <w:r>
        <w:rPr>
          <w:rStyle w:val="MainTextChar"/>
        </w:rPr>
        <w:t xml:space="preserve">The defendant may be </w:t>
      </w:r>
      <w:r>
        <w:rPr>
          <w:rStyle w:val="MainTextChar"/>
        </w:rPr>
        <w:t>re</w:t>
      </w:r>
      <w:r>
        <w:rPr>
          <w:rStyle w:val="MainTextChar"/>
        </w:rPr>
        <w:t xml:space="preserve">committed </w:t>
      </w:r>
      <w:r>
        <w:rPr>
          <w:rStyle w:val="MainTextChar"/>
        </w:rPr>
        <w:t xml:space="preserve">only </w:t>
      </w:r>
      <w:r>
        <w:rPr>
          <w:rStyle w:val="MainTextChar"/>
        </w:rPr>
        <w:t xml:space="preserve">for </w:t>
      </w:r>
      <w:r>
        <w:rPr>
          <w:rStyle w:val="MainTextChar"/>
        </w:rPr>
        <w:t xml:space="preserve">a period not exceeding the remaining </w:t>
      </w:r>
      <w:r>
        <w:rPr>
          <w:rStyle w:val="MainTextChar"/>
        </w:rPr>
        <w:t>balance</w:t>
      </w:r>
      <w:r>
        <w:rPr>
          <w:rStyle w:val="MainTextChar"/>
        </w:rPr>
        <w:t xml:space="preserve">, if any, of the three </w:t>
      </w:r>
      <w:r>
        <w:rPr>
          <w:rStyle w:val="MainTextChar"/>
        </w:rPr>
        <w:t>year</w:t>
      </w:r>
      <w:r>
        <w:rPr>
          <w:rStyle w:val="MainTextChar"/>
        </w:rPr>
        <w:t xml:space="preserve">s authorized by section 1370(c).  After that, </w:t>
      </w:r>
      <w:r>
        <w:rPr>
          <w:rStyle w:val="MainTextChar"/>
        </w:rPr>
        <w:t>the defendant</w:t>
      </w:r>
      <w:r>
        <w:rPr>
          <w:rStyle w:val="MainTextChar"/>
        </w:rPr>
        <w:t xml:space="preserve"> </w:t>
      </w:r>
      <w:r>
        <w:rPr>
          <w:rStyle w:val="MainTextChar"/>
        </w:rPr>
        <w:t xml:space="preserve">must be </w:t>
      </w:r>
      <w:r>
        <w:rPr>
          <w:rStyle w:val="MainTextChar"/>
        </w:rPr>
        <w:t xml:space="preserve">placed under an LPS Act conservatorship if gravely disabled or </w:t>
      </w:r>
      <w:r>
        <w:rPr>
          <w:rStyle w:val="MainTextChar"/>
        </w:rPr>
        <w:t>released if not.</w:t>
      </w:r>
    </w:p>
    <w:p w:rsidR="009B6A2F" w:rsidRDefault="001D190D" w:rsidP="009B6A2F">
      <w:pPr>
        <w:pStyle w:val="Heading1"/>
      </w:pPr>
      <w:r>
        <w:t>I.</w:t>
      </w:r>
    </w:p>
    <w:p w:rsidR="00E90E82" w:rsidRDefault="001D190D" w:rsidP="002868CA">
      <w:pPr>
        <w:pStyle w:val="MainText"/>
      </w:pPr>
      <w:r>
        <w:t>A criminal defendant</w:t>
      </w:r>
      <w:r>
        <w:t xml:space="preserve"> cannot be tried if </w:t>
      </w:r>
      <w:r>
        <w:t xml:space="preserve">he or she is </w:t>
      </w:r>
      <w:r>
        <w:t xml:space="preserve">not competent to understand the nature of the charges or the proceedings, or to </w:t>
      </w:r>
      <w:r>
        <w:t>rationally assist counsel in the conduct of a defense</w:t>
      </w:r>
      <w:r>
        <w:t>.  (</w:t>
      </w:r>
      <w:r>
        <w:t>§ 1367</w:t>
      </w:r>
      <w:r>
        <w:t>, subd. (a)</w:t>
      </w:r>
      <w:r>
        <w:t xml:space="preserve">.)  </w:t>
      </w:r>
      <w:r>
        <w:t>A defendant</w:t>
      </w:r>
      <w:r>
        <w:t xml:space="preserve"> who </w:t>
      </w:r>
      <w:r>
        <w:t xml:space="preserve">is </w:t>
      </w:r>
      <w:r>
        <w:t>not co</w:t>
      </w:r>
      <w:r>
        <w:t>mpetent</w:t>
      </w:r>
      <w:r>
        <w:t xml:space="preserve"> to stand trial may be </w:t>
      </w:r>
      <w:r>
        <w:t xml:space="preserve">involuntarily </w:t>
      </w:r>
      <w:r>
        <w:t xml:space="preserve">committed </w:t>
      </w:r>
      <w:r>
        <w:t xml:space="preserve">for the purpose of </w:t>
      </w:r>
      <w:r>
        <w:t>assess</w:t>
      </w:r>
      <w:r>
        <w:t>ing</w:t>
      </w:r>
      <w:r>
        <w:t xml:space="preserve"> whether </w:t>
      </w:r>
      <w:r>
        <w:t xml:space="preserve">he or she is </w:t>
      </w:r>
      <w:r>
        <w:t>likely to gain competence</w:t>
      </w:r>
      <w:r>
        <w:t xml:space="preserve"> and, if </w:t>
      </w:r>
      <w:r>
        <w:t>so</w:t>
      </w:r>
      <w:r>
        <w:t xml:space="preserve">, </w:t>
      </w:r>
      <w:r>
        <w:t xml:space="preserve">for treatment </w:t>
      </w:r>
      <w:r>
        <w:t xml:space="preserve">to </w:t>
      </w:r>
      <w:r>
        <w:lastRenderedPageBreak/>
        <w:t>that end</w:t>
      </w:r>
      <w:r>
        <w:t xml:space="preserve">.  </w:t>
      </w:r>
      <w:r>
        <w:t>(</w:t>
      </w:r>
      <w:r>
        <w:t xml:space="preserve">See </w:t>
      </w:r>
      <w:r>
        <w:rPr>
          <w:i/>
        </w:rPr>
        <w:t>Greenwo</w:t>
      </w:r>
      <w:r>
        <w:rPr>
          <w:i/>
        </w:rPr>
        <w:t>o</w:t>
      </w:r>
      <w:r>
        <w:rPr>
          <w:i/>
        </w:rPr>
        <w:t xml:space="preserve">d v. United States </w:t>
      </w:r>
      <w:r>
        <w:t>(1956) 350 U.S. 366, 375</w:t>
      </w:r>
      <w:r>
        <w:t xml:space="preserve">.)  But such commitment could </w:t>
      </w:r>
      <w:r>
        <w:t xml:space="preserve">conceivably </w:t>
      </w:r>
      <w:r>
        <w:t xml:space="preserve">exceed the maximum </w:t>
      </w:r>
      <w:r>
        <w:t xml:space="preserve">possible period of incarceration for the </w:t>
      </w:r>
      <w:r>
        <w:t xml:space="preserve">charged </w:t>
      </w:r>
      <w:r>
        <w:t>offense</w:t>
      </w:r>
      <w:r>
        <w:t xml:space="preserve">; indeed, </w:t>
      </w:r>
      <w:r>
        <w:t xml:space="preserve">prior </w:t>
      </w:r>
      <w:r>
        <w:t>commitment statutes permit</w:t>
      </w:r>
      <w:r>
        <w:t>ted</w:t>
      </w:r>
      <w:r>
        <w:t xml:space="preserve"> defendants to be committed indefinitely.  (</w:t>
      </w:r>
      <w:r>
        <w:t xml:space="preserve">Former § 1370, as amended by </w:t>
      </w:r>
      <w:r>
        <w:t xml:space="preserve">Stats. 1968, </w:t>
      </w:r>
      <w:proofErr w:type="spellStart"/>
      <w:r>
        <w:t>ch.</w:t>
      </w:r>
      <w:proofErr w:type="spellEnd"/>
      <w:r>
        <w:t xml:space="preserve"> 1374, § 2</w:t>
      </w:r>
      <w:r>
        <w:t xml:space="preserve">.)  </w:t>
      </w:r>
    </w:p>
    <w:p w:rsidR="00B90089" w:rsidRDefault="001D190D" w:rsidP="002868CA">
      <w:pPr>
        <w:pStyle w:val="MainText"/>
      </w:pPr>
      <w:r>
        <w:t>In light of this con</w:t>
      </w:r>
      <w:r>
        <w:t>cern</w:t>
      </w:r>
      <w:r>
        <w:t xml:space="preserve">, </w:t>
      </w:r>
      <w:r>
        <w:t>the high court</w:t>
      </w:r>
      <w:r>
        <w:t xml:space="preserve"> in </w:t>
      </w:r>
      <w:r>
        <w:rPr>
          <w:i/>
        </w:rPr>
        <w:t>Jackson</w:t>
      </w:r>
      <w:r>
        <w:t xml:space="preserve"> </w:t>
      </w:r>
      <w:r>
        <w:t xml:space="preserve">held that when a defendant is </w:t>
      </w:r>
      <w:r>
        <w:t>committed “solely on account of [the defendant’s] incapacity to proceed to trial</w:t>
      </w:r>
      <w:r>
        <w:t>,</w:t>
      </w:r>
      <w:r>
        <w:t xml:space="preserve">” </w:t>
      </w:r>
      <w:r>
        <w:t xml:space="preserve">the duration of commitment may not exceed </w:t>
      </w:r>
      <w:r>
        <w:t>“the reasonable period of time necessary to determine whether there i</w:t>
      </w:r>
      <w:r>
        <w:t xml:space="preserve">s a substantial probability that [the defendant] will attain </w:t>
      </w:r>
      <w:r>
        <w:t xml:space="preserve">that </w:t>
      </w:r>
      <w:r>
        <w:t>capacity in the foreseeable future.”  (</w:t>
      </w:r>
      <w:r>
        <w:rPr>
          <w:i/>
        </w:rPr>
        <w:t>Jackson</w:t>
      </w:r>
      <w:r>
        <w:t xml:space="preserve">, </w:t>
      </w:r>
      <w:r>
        <w:rPr>
          <w:i/>
        </w:rPr>
        <w:t>supra</w:t>
      </w:r>
      <w:r>
        <w:t xml:space="preserve">, 406 U.S. </w:t>
      </w:r>
      <w:r>
        <w:t xml:space="preserve">at p. 738.)  </w:t>
      </w:r>
      <w:r>
        <w:t xml:space="preserve">Any </w:t>
      </w:r>
      <w:r>
        <w:t xml:space="preserve">longer </w:t>
      </w:r>
      <w:r>
        <w:t xml:space="preserve">period of </w:t>
      </w:r>
      <w:r>
        <w:t>commitment</w:t>
      </w:r>
      <w:r>
        <w:t xml:space="preserve">, the high court </w:t>
      </w:r>
      <w:r>
        <w:t>said</w:t>
      </w:r>
      <w:r>
        <w:t>,</w:t>
      </w:r>
      <w:r>
        <w:t xml:space="preserve"> would violate equal protection and due process.  (</w:t>
      </w:r>
      <w:r>
        <w:rPr>
          <w:i/>
        </w:rPr>
        <w:t xml:space="preserve">Id. </w:t>
      </w:r>
      <w:r>
        <w:t>at pp</w:t>
      </w:r>
      <w:r>
        <w:t xml:space="preserve">. 730, 731.)  </w:t>
      </w:r>
      <w:r>
        <w:t xml:space="preserve">But </w:t>
      </w:r>
      <w:r>
        <w:rPr>
          <w:i/>
        </w:rPr>
        <w:t>Jackson</w:t>
      </w:r>
      <w:r>
        <w:t xml:space="preserve"> </w:t>
      </w:r>
      <w:r>
        <w:t xml:space="preserve">declined to prescribe </w:t>
      </w:r>
      <w:r>
        <w:t xml:space="preserve">“arbitrary time limits” </w:t>
      </w:r>
      <w:r>
        <w:t>due to differences among states</w:t>
      </w:r>
      <w:r>
        <w:t xml:space="preserve">’ </w:t>
      </w:r>
      <w:r>
        <w:t>faciliti</w:t>
      </w:r>
      <w:r>
        <w:t xml:space="preserve">es and </w:t>
      </w:r>
      <w:r>
        <w:t>procedures for determining competence</w:t>
      </w:r>
      <w:r>
        <w:t>.</w:t>
      </w:r>
      <w:r>
        <w:t xml:space="preserve">  </w:t>
      </w:r>
      <w:r>
        <w:t>(</w:t>
      </w:r>
      <w:r>
        <w:rPr>
          <w:i/>
        </w:rPr>
        <w:t xml:space="preserve">Id. </w:t>
      </w:r>
      <w:r>
        <w:t>at p. 738.)</w:t>
      </w:r>
    </w:p>
    <w:p w:rsidR="00E90E82" w:rsidRDefault="001D190D" w:rsidP="002868CA">
      <w:pPr>
        <w:pStyle w:val="MainText"/>
      </w:pPr>
      <w:r>
        <w:t xml:space="preserve">One year later, in </w:t>
      </w:r>
      <w:r>
        <w:rPr>
          <w:i/>
        </w:rPr>
        <w:t>Davis</w:t>
      </w:r>
      <w:r>
        <w:t>, w</w:t>
      </w:r>
      <w:r>
        <w:t xml:space="preserve">e adopted </w:t>
      </w:r>
      <w:r>
        <w:rPr>
          <w:i/>
        </w:rPr>
        <w:t>Jackson</w:t>
      </w:r>
      <w:r>
        <w:t>’s “</w:t>
      </w:r>
      <w:r>
        <w:t>rule of reasonableness</w:t>
      </w:r>
      <w:r>
        <w:t>”</w:t>
      </w:r>
      <w:r>
        <w:t xml:space="preserve"> </w:t>
      </w:r>
      <w:r>
        <w:t>and, f</w:t>
      </w:r>
      <w:r>
        <w:t xml:space="preserve">ollowing the high court’s lead, </w:t>
      </w:r>
      <w:r>
        <w:t xml:space="preserve">did not set </w:t>
      </w:r>
      <w:r>
        <w:t>a</w:t>
      </w:r>
      <w:r>
        <w:t xml:space="preserve"> fixed limit on the time a defendant could be committed for determ</w:t>
      </w:r>
      <w:r>
        <w:t>ining competence</w:t>
      </w:r>
      <w:r>
        <w:t>.  (</w:t>
      </w:r>
      <w:r>
        <w:rPr>
          <w:i/>
        </w:rPr>
        <w:t>Davis</w:t>
      </w:r>
      <w:r>
        <w:t xml:space="preserve">, </w:t>
      </w:r>
      <w:r>
        <w:rPr>
          <w:i/>
        </w:rPr>
        <w:t>supra</w:t>
      </w:r>
      <w:r>
        <w:t>, 8 Cal.3d at p. 805.)  W</w:t>
      </w:r>
      <w:r>
        <w:t xml:space="preserve">e </w:t>
      </w:r>
      <w:r>
        <w:t xml:space="preserve">said </w:t>
      </w:r>
      <w:r>
        <w:t xml:space="preserve">the reasonableness of </w:t>
      </w:r>
      <w:r>
        <w:t xml:space="preserve">a </w:t>
      </w:r>
      <w:r>
        <w:t xml:space="preserve">period </w:t>
      </w:r>
      <w:r>
        <w:t xml:space="preserve">of </w:t>
      </w:r>
      <w:r>
        <w:t>commitment depend</w:t>
      </w:r>
      <w:r>
        <w:t>s</w:t>
      </w:r>
      <w:r>
        <w:t xml:space="preserve"> on “the nature of the offens</w:t>
      </w:r>
      <w:r>
        <w:t>e charged, the likely penalty or range of punishment for the offense, and the length of time the person has already been confined.”  (</w:t>
      </w:r>
      <w:r>
        <w:rPr>
          <w:i/>
        </w:rPr>
        <w:t xml:space="preserve">Id. </w:t>
      </w:r>
      <w:r>
        <w:t>at p. </w:t>
      </w:r>
      <w:r>
        <w:t>807.)</w:t>
      </w:r>
    </w:p>
    <w:p w:rsidR="005E7798" w:rsidRDefault="001D190D" w:rsidP="002868CA">
      <w:pPr>
        <w:pStyle w:val="MainText"/>
      </w:pPr>
      <w:r>
        <w:t xml:space="preserve">In response to </w:t>
      </w:r>
      <w:r>
        <w:rPr>
          <w:i/>
        </w:rPr>
        <w:t>Jackson</w:t>
      </w:r>
      <w:r>
        <w:t xml:space="preserve"> and </w:t>
      </w:r>
      <w:r>
        <w:rPr>
          <w:i/>
        </w:rPr>
        <w:t>Davis</w:t>
      </w:r>
      <w:r>
        <w:t>, t</w:t>
      </w:r>
      <w:r>
        <w:t xml:space="preserve">he Legislature </w:t>
      </w:r>
      <w:r>
        <w:t xml:space="preserve">in 1974 </w:t>
      </w:r>
      <w:r>
        <w:t xml:space="preserve">amended </w:t>
      </w:r>
      <w:r>
        <w:t>the procedures for determining competenc</w:t>
      </w:r>
      <w:r>
        <w:t>e</w:t>
      </w:r>
      <w:r>
        <w:t xml:space="preserve">.  </w:t>
      </w:r>
      <w:r>
        <w:t xml:space="preserve">(See Stats. 1974, </w:t>
      </w:r>
      <w:proofErr w:type="spellStart"/>
      <w:r>
        <w:t>ch.</w:t>
      </w:r>
      <w:proofErr w:type="spellEnd"/>
      <w:r>
        <w:t xml:space="preserve"> 1511, § 6.)  </w:t>
      </w:r>
      <w:r>
        <w:t>These amendments provided that</w:t>
      </w:r>
      <w:r>
        <w:t xml:space="preserve"> </w:t>
      </w:r>
      <w:r>
        <w:t xml:space="preserve">a trial court, the defendant’s </w:t>
      </w:r>
      <w:r>
        <w:t>attorney</w:t>
      </w:r>
      <w:r>
        <w:t>, or the defendant can declare a doubt as to the defend</w:t>
      </w:r>
      <w:r>
        <w:t>ant’s competence to stand trial</w:t>
      </w:r>
      <w:r>
        <w:t>, at which point t</w:t>
      </w:r>
      <w:r>
        <w:t>he trial court must sus</w:t>
      </w:r>
      <w:r>
        <w:t>pend proceedings and</w:t>
      </w:r>
      <w:r>
        <w:t xml:space="preserve"> hold a hearing to determine the defendant’s competence</w:t>
      </w:r>
      <w:r>
        <w:t>.</w:t>
      </w:r>
      <w:r>
        <w:t xml:space="preserve">  (</w:t>
      </w:r>
      <w:r>
        <w:t>§§</w:t>
      </w:r>
      <w:r>
        <w:t> 1368</w:t>
      </w:r>
      <w:r>
        <w:t>, 1369</w:t>
      </w:r>
      <w:r>
        <w:t>.)</w:t>
      </w:r>
      <w:r>
        <w:t xml:space="preserve">  If the defendant is </w:t>
      </w:r>
      <w:r>
        <w:t xml:space="preserve">found to be </w:t>
      </w:r>
      <w:r>
        <w:lastRenderedPageBreak/>
        <w:t xml:space="preserve">incompetent </w:t>
      </w:r>
      <w:r>
        <w:t xml:space="preserve">to stand trial, </w:t>
      </w:r>
      <w:r>
        <w:t xml:space="preserve">the </w:t>
      </w:r>
      <w:r>
        <w:t xml:space="preserve">court must order the </w:t>
      </w:r>
      <w:r>
        <w:t>defendant</w:t>
      </w:r>
      <w:r>
        <w:t>’s</w:t>
      </w:r>
      <w:r>
        <w:t xml:space="preserve"> </w:t>
      </w:r>
      <w:r>
        <w:t xml:space="preserve">commitment </w:t>
      </w:r>
      <w:r>
        <w:t xml:space="preserve">to an appropriate treatment facility.  </w:t>
      </w:r>
      <w:r>
        <w:t>(</w:t>
      </w:r>
      <w:r>
        <w:t>§ 1370, subd. (a)(1)(B)</w:t>
      </w:r>
      <w:r>
        <w:t>.)</w:t>
      </w:r>
      <w:r>
        <w:t xml:space="preserve">  </w:t>
      </w:r>
      <w:r>
        <w:t>Withi</w:t>
      </w:r>
      <w:r>
        <w:t xml:space="preserve">n 90 days of commitment, the </w:t>
      </w:r>
      <w:r>
        <w:t xml:space="preserve">treatment </w:t>
      </w:r>
      <w:r>
        <w:t xml:space="preserve">facility must report to the trial court on the defendant’s likely progress in regaining competence.  </w:t>
      </w:r>
      <w:r>
        <w:t>(</w:t>
      </w:r>
      <w:r>
        <w:rPr>
          <w:i/>
        </w:rPr>
        <w:t>Id.</w:t>
      </w:r>
      <w:r>
        <w:t>, subd. (b)(1)</w:t>
      </w:r>
      <w:r>
        <w:t xml:space="preserve">.)  </w:t>
      </w:r>
      <w:r>
        <w:t>If the defendant regains competence, criminal proceedings may resume.  (</w:t>
      </w:r>
      <w:r>
        <w:rPr>
          <w:i/>
        </w:rPr>
        <w:t>Id.</w:t>
      </w:r>
      <w:r>
        <w:t>, subd. (a)(1)(A).)</w:t>
      </w:r>
      <w:r>
        <w:t xml:space="preserve">  </w:t>
      </w:r>
      <w:r>
        <w:t xml:space="preserve">If at any point the </w:t>
      </w:r>
      <w:r>
        <w:t xml:space="preserve">treatment </w:t>
      </w:r>
      <w:r>
        <w:t>facility concludes there is no substantial likelihood that the defendant will regain competence, the defendant is returned to the trial court</w:t>
      </w:r>
      <w:r>
        <w:t>.  (</w:t>
      </w:r>
      <w:r>
        <w:rPr>
          <w:i/>
        </w:rPr>
        <w:t>Id.</w:t>
      </w:r>
      <w:r>
        <w:t>, subd. (b)(1)(A).)  O</w:t>
      </w:r>
      <w:r>
        <w:t>therwise,</w:t>
      </w:r>
      <w:r>
        <w:t xml:space="preserve"> the defendant may continue to be committed f</w:t>
      </w:r>
      <w:r>
        <w:t xml:space="preserve">or up to three years or </w:t>
      </w:r>
      <w:r>
        <w:t xml:space="preserve">for </w:t>
      </w:r>
      <w:r>
        <w:t xml:space="preserve">a period equal to the longest prison term possible for the most serious </w:t>
      </w:r>
      <w:r>
        <w:t>charge</w:t>
      </w:r>
      <w:r>
        <w:t xml:space="preserve"> </w:t>
      </w:r>
      <w:r>
        <w:t xml:space="preserve">facing </w:t>
      </w:r>
      <w:r>
        <w:t>the defendant</w:t>
      </w:r>
      <w:r>
        <w:t xml:space="preserve">, whichever is </w:t>
      </w:r>
      <w:r>
        <w:t>shorter</w:t>
      </w:r>
      <w:r>
        <w:t xml:space="preserve">. </w:t>
      </w:r>
      <w:r>
        <w:t xml:space="preserve"> (</w:t>
      </w:r>
      <w:r>
        <w:rPr>
          <w:i/>
        </w:rPr>
        <w:t>Id.</w:t>
      </w:r>
      <w:r>
        <w:t>, subd. </w:t>
      </w:r>
      <w:r>
        <w:t>(c)</w:t>
      </w:r>
      <w:r>
        <w:t>(1)</w:t>
      </w:r>
      <w:r>
        <w:t xml:space="preserve">.)  </w:t>
      </w:r>
      <w:r>
        <w:t>At that point, if the defendant has still not regained competence, the defendant i</w:t>
      </w:r>
      <w:r>
        <w:t xml:space="preserve">s returned to the trial court.  </w:t>
      </w:r>
      <w:r>
        <w:t>(</w:t>
      </w:r>
      <w:r>
        <w:rPr>
          <w:i/>
        </w:rPr>
        <w:t>I</w:t>
      </w:r>
      <w:r>
        <w:rPr>
          <w:i/>
        </w:rPr>
        <w:t>bi</w:t>
      </w:r>
      <w:r>
        <w:rPr>
          <w:i/>
        </w:rPr>
        <w:t>d.</w:t>
      </w:r>
      <w:r>
        <w:t>)</w:t>
      </w:r>
    </w:p>
    <w:p w:rsidR="00D67860" w:rsidRPr="00AC4F06" w:rsidRDefault="001D190D" w:rsidP="00C77512">
      <w:pPr>
        <w:pStyle w:val="MainText"/>
      </w:pPr>
      <w:r>
        <w:t>When a defendant is returned to the trial court — either because there is no substantial likelihood that the defendant will regain competence or because the defendant has been committed for the maximum statutory peri</w:t>
      </w:r>
      <w:r>
        <w:t xml:space="preserve">od — the </w:t>
      </w:r>
      <w:r>
        <w:t xml:space="preserve">trial court </w:t>
      </w:r>
      <w:r>
        <w:t>must</w:t>
      </w:r>
      <w:r>
        <w:t xml:space="preserve"> </w:t>
      </w:r>
      <w:r>
        <w:t xml:space="preserve">order the public guardian to </w:t>
      </w:r>
      <w:r>
        <w:t>initiate</w:t>
      </w:r>
      <w:r>
        <w:t xml:space="preserve"> LPS Act</w:t>
      </w:r>
      <w:r>
        <w:t xml:space="preserve"> conservatorship proceedings if the</w:t>
      </w:r>
      <w:r>
        <w:t xml:space="preserve"> defendant is “gravely disabled</w:t>
      </w:r>
      <w:r>
        <w:t xml:space="preserve">” </w:t>
      </w:r>
      <w:r>
        <w:t>within the meaning of</w:t>
      </w:r>
      <w:r>
        <w:t xml:space="preserve"> </w:t>
      </w:r>
      <w:r>
        <w:t>the LPS Act.</w:t>
      </w:r>
      <w:r>
        <w:t xml:space="preserve"> </w:t>
      </w:r>
      <w:r>
        <w:t xml:space="preserve"> </w:t>
      </w:r>
      <w:r>
        <w:t>(</w:t>
      </w:r>
      <w:r>
        <w:t>§ 1370</w:t>
      </w:r>
      <w:r>
        <w:t>, subd. </w:t>
      </w:r>
      <w:r>
        <w:t>(c)(2)</w:t>
      </w:r>
      <w:r>
        <w:t xml:space="preserve">.)  </w:t>
      </w:r>
      <w:r>
        <w:t xml:space="preserve">The LPS Act </w:t>
      </w:r>
      <w:r>
        <w:t>defines a</w:t>
      </w:r>
      <w:r>
        <w:t xml:space="preserve"> criminal defendant </w:t>
      </w:r>
      <w:r>
        <w:t>a</w:t>
      </w:r>
      <w:r>
        <w:t>s “</w:t>
      </w:r>
      <w:r>
        <w:t xml:space="preserve">gravely </w:t>
      </w:r>
      <w:r>
        <w:t>disabled”</w:t>
      </w:r>
      <w:r>
        <w:t xml:space="preserve"> if he or she</w:t>
      </w:r>
      <w:r>
        <w:t xml:space="preserve"> was </w:t>
      </w:r>
      <w:r>
        <w:t>found incompetent under section 1370</w:t>
      </w:r>
      <w:r>
        <w:t xml:space="preserve"> and</w:t>
      </w:r>
      <w:r>
        <w:t xml:space="preserve">: </w:t>
      </w:r>
      <w:r>
        <w:t xml:space="preserve"> (</w:t>
      </w:r>
      <w:proofErr w:type="spellStart"/>
      <w:r>
        <w:t>i</w:t>
      </w:r>
      <w:proofErr w:type="spellEnd"/>
      <w:r>
        <w:t>)</w:t>
      </w:r>
      <w:r>
        <w:t xml:space="preserve"> </w:t>
      </w:r>
      <w:r>
        <w:t xml:space="preserve">he or she </w:t>
      </w:r>
      <w:r>
        <w:t xml:space="preserve">was charged </w:t>
      </w:r>
      <w:r>
        <w:t xml:space="preserve">in an information or indictment </w:t>
      </w:r>
      <w:r>
        <w:t xml:space="preserve">with a </w:t>
      </w:r>
      <w:r>
        <w:t>felony involving death, great bodily harm, or a serious threat to the physical well-being of another person</w:t>
      </w:r>
      <w:r>
        <w:t xml:space="preserve">; </w:t>
      </w:r>
      <w:r>
        <w:t>(ii</w:t>
      </w:r>
      <w:r>
        <w:t>) </w:t>
      </w:r>
      <w:r>
        <w:t>the inf</w:t>
      </w:r>
      <w:r>
        <w:t xml:space="preserve">ormation or indictment has </w:t>
      </w:r>
      <w:r>
        <w:t>not been dismissed</w:t>
      </w:r>
      <w:r>
        <w:t xml:space="preserve">; </w:t>
      </w:r>
      <w:r>
        <w:t xml:space="preserve">and </w:t>
      </w:r>
      <w:r>
        <w:t xml:space="preserve">(iii) </w:t>
      </w:r>
      <w:r>
        <w:t>as</w:t>
      </w:r>
      <w:r>
        <w:t xml:space="preserve"> a result of a mental disorder</w:t>
      </w:r>
      <w:r>
        <w:t>, he or she</w:t>
      </w:r>
      <w:r>
        <w:t xml:space="preserve"> remains incompetent to stand trial</w:t>
      </w:r>
      <w:r>
        <w:t>.</w:t>
      </w:r>
      <w:r>
        <w:t xml:space="preserve">  (</w:t>
      </w:r>
      <w:proofErr w:type="spellStart"/>
      <w:r>
        <w:t>Welf</w:t>
      </w:r>
      <w:proofErr w:type="spellEnd"/>
      <w:r>
        <w:t>. &amp; Inst. Code, § 5008, subd. (h)(1)(B).)</w:t>
      </w:r>
      <w:r>
        <w:t xml:space="preserve">  </w:t>
      </w:r>
      <w:r>
        <w:t xml:space="preserve">Further, </w:t>
      </w:r>
      <w:r>
        <w:t xml:space="preserve">the defendant </w:t>
      </w:r>
      <w:r>
        <w:t>must continue</w:t>
      </w:r>
      <w:r>
        <w:t xml:space="preserve"> to </w:t>
      </w:r>
      <w:r>
        <w:t>“</w:t>
      </w:r>
      <w:r>
        <w:t>represent[]</w:t>
      </w:r>
      <w:r>
        <w:t xml:space="preserve"> a substantial dan</w:t>
      </w:r>
      <w:r>
        <w:t>ger of physical harm to others</w:t>
      </w:r>
      <w:r>
        <w:t>.</w:t>
      </w:r>
      <w:r>
        <w:t>”</w:t>
      </w:r>
      <w:r>
        <w:t xml:space="preserve"> </w:t>
      </w:r>
      <w:r>
        <w:t xml:space="preserve"> </w:t>
      </w:r>
      <w:r>
        <w:t>(</w:t>
      </w:r>
      <w:r>
        <w:rPr>
          <w:i/>
        </w:rPr>
        <w:t xml:space="preserve">Conservatorship of </w:t>
      </w:r>
      <w:proofErr w:type="spellStart"/>
      <w:r>
        <w:rPr>
          <w:i/>
        </w:rPr>
        <w:t>Hofferber</w:t>
      </w:r>
      <w:proofErr w:type="spellEnd"/>
      <w:r>
        <w:rPr>
          <w:i/>
        </w:rPr>
        <w:t xml:space="preserve"> </w:t>
      </w:r>
      <w:r>
        <w:t xml:space="preserve">(1980) 28 Cal.3d 161, </w:t>
      </w:r>
      <w:r>
        <w:t>176</w:t>
      </w:r>
      <w:r>
        <w:t>–</w:t>
      </w:r>
      <w:r>
        <w:t>177</w:t>
      </w:r>
      <w:r>
        <w:t xml:space="preserve">.)  </w:t>
      </w:r>
      <w:r>
        <w:t>The resulting conservatorship</w:t>
      </w:r>
      <w:r>
        <w:t xml:space="preserve"> </w:t>
      </w:r>
      <w:r>
        <w:t xml:space="preserve">is commonly referred to as a </w:t>
      </w:r>
      <w:r>
        <w:t>“</w:t>
      </w:r>
      <w:r>
        <w:t>Murphy conservatorship</w:t>
      </w:r>
      <w:r>
        <w:t>”</w:t>
      </w:r>
      <w:r>
        <w:t xml:space="preserve"> after the legislator who spo</w:t>
      </w:r>
      <w:r>
        <w:t xml:space="preserve">nsored the </w:t>
      </w:r>
      <w:r>
        <w:lastRenderedPageBreak/>
        <w:t>amendment adding the</w:t>
      </w:r>
      <w:r>
        <w:t xml:space="preserve"> definition </w:t>
      </w:r>
      <w:r>
        <w:t xml:space="preserve">of “gravely disabled” </w:t>
      </w:r>
      <w:r>
        <w:t>to the LPS Act.  (</w:t>
      </w:r>
      <w:r>
        <w:rPr>
          <w:i/>
        </w:rPr>
        <w:t xml:space="preserve">People v. </w:t>
      </w:r>
      <w:proofErr w:type="spellStart"/>
      <w:r>
        <w:rPr>
          <w:i/>
        </w:rPr>
        <w:t>Karriker</w:t>
      </w:r>
      <w:proofErr w:type="spellEnd"/>
      <w:r>
        <w:rPr>
          <w:i/>
        </w:rPr>
        <w:t xml:space="preserve"> </w:t>
      </w:r>
      <w:r>
        <w:t>(2007) 149 Cal.App.4th 763, 775</w:t>
      </w:r>
      <w:r>
        <w:t>.)</w:t>
      </w:r>
      <w:r>
        <w:t xml:space="preserve">  </w:t>
      </w:r>
      <w:r>
        <w:t xml:space="preserve">If the defendant </w:t>
      </w:r>
      <w:r>
        <w:t>is not</w:t>
      </w:r>
      <w:r>
        <w:t xml:space="preserve"> gravely disabled</w:t>
      </w:r>
      <w:r>
        <w:t xml:space="preserve">, </w:t>
      </w:r>
      <w:r>
        <w:t xml:space="preserve">the defendant </w:t>
      </w:r>
      <w:r>
        <w:t xml:space="preserve">must </w:t>
      </w:r>
      <w:r>
        <w:t>be released</w:t>
      </w:r>
      <w:r>
        <w:t xml:space="preserve"> </w:t>
      </w:r>
      <w:r>
        <w:rPr>
          <w:rStyle w:val="MainTextChar"/>
        </w:rPr>
        <w:t>(</w:t>
      </w:r>
      <w:r>
        <w:rPr>
          <w:rStyle w:val="MainTextChar"/>
          <w:i/>
        </w:rPr>
        <w:t>Waterman</w:t>
      </w:r>
      <w:r>
        <w:rPr>
          <w:rStyle w:val="MainTextChar"/>
        </w:rPr>
        <w:t xml:space="preserve">, </w:t>
      </w:r>
      <w:r>
        <w:rPr>
          <w:rStyle w:val="MainTextChar"/>
          <w:i/>
        </w:rPr>
        <w:t>supra</w:t>
      </w:r>
      <w:r>
        <w:rPr>
          <w:rStyle w:val="MainTextChar"/>
        </w:rPr>
        <w:t xml:space="preserve">, </w:t>
      </w:r>
      <w:r>
        <w:rPr>
          <w:rStyle w:val="MainTextChar"/>
        </w:rPr>
        <w:t xml:space="preserve">42 Cal.3d </w:t>
      </w:r>
      <w:r>
        <w:rPr>
          <w:rStyle w:val="MainTextChar"/>
        </w:rPr>
        <w:t xml:space="preserve">at p. </w:t>
      </w:r>
      <w:r>
        <w:rPr>
          <w:rStyle w:val="MainTextChar"/>
        </w:rPr>
        <w:t>568)</w:t>
      </w:r>
      <w:r>
        <w:rPr>
          <w:rStyle w:val="MainTextChar"/>
        </w:rPr>
        <w:t xml:space="preserve">, and </w:t>
      </w:r>
      <w:r>
        <w:t>the trial</w:t>
      </w:r>
      <w:r>
        <w:t xml:space="preserve"> court</w:t>
      </w:r>
      <w:r>
        <w:t xml:space="preserve"> </w:t>
      </w:r>
      <w:r>
        <w:t>may</w:t>
      </w:r>
      <w:r>
        <w:t xml:space="preserve"> </w:t>
      </w:r>
      <w:r>
        <w:t xml:space="preserve">dismiss </w:t>
      </w:r>
      <w:r>
        <w:t>the action</w:t>
      </w:r>
      <w:r>
        <w:t xml:space="preserve"> in the</w:t>
      </w:r>
      <w:r>
        <w:t xml:space="preserve"> interest of justice </w:t>
      </w:r>
      <w:r>
        <w:t>pursuant to section 1385 (</w:t>
      </w:r>
      <w:r>
        <w:t>§ 1370, subd. </w:t>
      </w:r>
      <w:r>
        <w:t xml:space="preserve">(d); </w:t>
      </w:r>
      <w:r>
        <w:t>s</w:t>
      </w:r>
      <w:r>
        <w:t xml:space="preserve">ee </w:t>
      </w:r>
      <w:r>
        <w:rPr>
          <w:i/>
        </w:rPr>
        <w:t>Waterman</w:t>
      </w:r>
      <w:r>
        <w:t xml:space="preserve">, </w:t>
      </w:r>
      <w:r>
        <w:t>at p. 568, fn. 1</w:t>
      </w:r>
      <w:r>
        <w:t>)</w:t>
      </w:r>
      <w:r>
        <w:t xml:space="preserve">. </w:t>
      </w:r>
      <w:r>
        <w:t xml:space="preserve"> </w:t>
      </w:r>
      <w:r>
        <w:t>S</w:t>
      </w:r>
      <w:r>
        <w:t xml:space="preserve">uch </w:t>
      </w:r>
      <w:r>
        <w:t xml:space="preserve">a </w:t>
      </w:r>
      <w:r>
        <w:t xml:space="preserve">dismissal is “without prejudice to the initiation of any proceedings that may be appropriate” under the LPS </w:t>
      </w:r>
      <w:r>
        <w:t>A</w:t>
      </w:r>
      <w:r>
        <w:t>ct</w:t>
      </w:r>
      <w:r>
        <w:t xml:space="preserve">. </w:t>
      </w:r>
      <w:r>
        <w:t xml:space="preserve"> </w:t>
      </w:r>
      <w:r>
        <w:t>(§ 1370, subd. </w:t>
      </w:r>
      <w:r>
        <w:t xml:space="preserve">(e).)  </w:t>
      </w:r>
    </w:p>
    <w:p w:rsidR="00FA78B4" w:rsidRPr="00FA78B4" w:rsidRDefault="001D190D" w:rsidP="00AB723B">
      <w:pPr>
        <w:pStyle w:val="Heading1"/>
      </w:pPr>
      <w:r>
        <w:t>II</w:t>
      </w:r>
      <w:r w:rsidRPr="00FA78B4">
        <w:t>.</w:t>
      </w:r>
    </w:p>
    <w:p w:rsidR="00A309F4" w:rsidRDefault="001D190D" w:rsidP="002868CA">
      <w:pPr>
        <w:pStyle w:val="MainText"/>
      </w:pPr>
      <w:r>
        <w:t xml:space="preserve">In this case, </w:t>
      </w:r>
      <w:r>
        <w:t xml:space="preserve">Jackson was charged with sexual misconduct in case number INF061963, filed in Riverside County in May 2008. </w:t>
      </w:r>
      <w:r>
        <w:t xml:space="preserve"> </w:t>
      </w:r>
      <w:r>
        <w:t xml:space="preserve">The trial court declared </w:t>
      </w:r>
      <w:r>
        <w:t xml:space="preserve">a </w:t>
      </w:r>
      <w:r>
        <w:t>doubt as to Jackson’s competence to stand trial and suspended criminal proceedings until the resolution of</w:t>
      </w:r>
      <w:r>
        <w:t xml:space="preserve"> Jackson’s competence hearing, which was scheduled for late August 2008. </w:t>
      </w:r>
      <w:r>
        <w:t xml:space="preserve"> T</w:t>
      </w:r>
      <w:r>
        <w:t xml:space="preserve">hat hearing </w:t>
      </w:r>
      <w:r>
        <w:t xml:space="preserve">did not take place because </w:t>
      </w:r>
      <w:r>
        <w:t xml:space="preserve">in the intervening period </w:t>
      </w:r>
      <w:r>
        <w:t>Jackson was charged with having committed simila</w:t>
      </w:r>
      <w:r>
        <w:t>r crimes in San Bernardino County.</w:t>
      </w:r>
      <w:r>
        <w:t xml:space="preserve">  </w:t>
      </w:r>
      <w:r>
        <w:t>Although doubt</w:t>
      </w:r>
      <w:r>
        <w:t>s were</w:t>
      </w:r>
      <w:r>
        <w:t xml:space="preserve"> raised as t</w:t>
      </w:r>
      <w:r>
        <w:t xml:space="preserve">o Jackson’s competence in the San Bernardino case, the parties stipulated </w:t>
      </w:r>
      <w:r>
        <w:t xml:space="preserve">that he was </w:t>
      </w:r>
      <w:r>
        <w:t>co</w:t>
      </w:r>
      <w:r>
        <w:t>mpetent,</w:t>
      </w:r>
      <w:r>
        <w:t xml:space="preserve"> and </w:t>
      </w:r>
      <w:r>
        <w:t>Jackson pled guilty to the San Berna</w:t>
      </w:r>
      <w:r>
        <w:t xml:space="preserve">rdino charges in February 2010, for which he </w:t>
      </w:r>
      <w:r>
        <w:t>was given a three</w:t>
      </w:r>
      <w:r>
        <w:t>-</w:t>
      </w:r>
      <w:r>
        <w:t>year sentence</w:t>
      </w:r>
      <w:r>
        <w:t xml:space="preserve"> </w:t>
      </w:r>
      <w:r>
        <w:t>with credit for time served.</w:t>
      </w:r>
    </w:p>
    <w:p w:rsidR="00161E52" w:rsidRDefault="001D190D" w:rsidP="002868CA">
      <w:pPr>
        <w:pStyle w:val="MainText"/>
      </w:pPr>
      <w:r>
        <w:t>Competency pr</w:t>
      </w:r>
      <w:r>
        <w:t xml:space="preserve">oceedings resumed in the Riverside County case </w:t>
      </w:r>
      <w:r>
        <w:t xml:space="preserve">in March 2012.  The court declared Jackson incompetent to stand trial on March 29, 2012, </w:t>
      </w:r>
      <w:r>
        <w:t xml:space="preserve">and </w:t>
      </w:r>
      <w:r>
        <w:t xml:space="preserve">ordered him committed to Patton State Hospital for </w:t>
      </w:r>
      <w:r>
        <w:t xml:space="preserve">up to </w:t>
      </w:r>
      <w:r>
        <w:t>three years under section 1370.</w:t>
      </w:r>
      <w:r>
        <w:t xml:space="preserve"> </w:t>
      </w:r>
      <w:r>
        <w:t xml:space="preserve"> </w:t>
      </w:r>
      <w:r>
        <w:t xml:space="preserve">In September </w:t>
      </w:r>
      <w:r>
        <w:t>2014</w:t>
      </w:r>
      <w:r>
        <w:t>,</w:t>
      </w:r>
      <w:r>
        <w:t xml:space="preserve"> </w:t>
      </w:r>
      <w:r>
        <w:t>the</w:t>
      </w:r>
      <w:r>
        <w:t xml:space="preserve"> Riverside Co</w:t>
      </w:r>
      <w:r>
        <w:t xml:space="preserve">unty public guardian initiated </w:t>
      </w:r>
      <w:r>
        <w:t xml:space="preserve">LPS Act </w:t>
      </w:r>
      <w:r>
        <w:t>conservatorship proceedings</w:t>
      </w:r>
      <w:r>
        <w:t xml:space="preserve"> </w:t>
      </w:r>
      <w:r>
        <w:t>for Jackson</w:t>
      </w:r>
      <w:r>
        <w:t xml:space="preserve"> under</w:t>
      </w:r>
      <w:r>
        <w:t xml:space="preserve"> </w:t>
      </w:r>
      <w:r>
        <w:t xml:space="preserve">Welfare </w:t>
      </w:r>
      <w:r>
        <w:t>and</w:t>
      </w:r>
      <w:r>
        <w:t xml:space="preserve"> Institutions </w:t>
      </w:r>
      <w:r>
        <w:t>C</w:t>
      </w:r>
      <w:r>
        <w:t>ode section 5008, subdivision (h)(1)(A)</w:t>
      </w:r>
      <w:r>
        <w:t xml:space="preserve">. </w:t>
      </w:r>
      <w:r>
        <w:t xml:space="preserve"> </w:t>
      </w:r>
      <w:r>
        <w:t xml:space="preserve">This </w:t>
      </w:r>
      <w:r>
        <w:t>provision</w:t>
      </w:r>
      <w:r>
        <w:t xml:space="preserve"> is different </w:t>
      </w:r>
      <w:r>
        <w:t xml:space="preserve">from </w:t>
      </w:r>
      <w:r>
        <w:t xml:space="preserve">the one </w:t>
      </w:r>
      <w:r>
        <w:t>d</w:t>
      </w:r>
      <w:r>
        <w:t>efining</w:t>
      </w:r>
      <w:r>
        <w:t xml:space="preserve"> </w:t>
      </w:r>
      <w:r>
        <w:t>Murphy conservatorships; it</w:t>
      </w:r>
      <w:r>
        <w:t xml:space="preserve"> </w:t>
      </w:r>
      <w:r>
        <w:t xml:space="preserve">is </w:t>
      </w:r>
      <w:r>
        <w:t>intended</w:t>
      </w:r>
      <w:r>
        <w:t xml:space="preserve"> </w:t>
      </w:r>
      <w:r>
        <w:t xml:space="preserve">for </w:t>
      </w:r>
      <w:r>
        <w:t xml:space="preserve">persons </w:t>
      </w:r>
      <w:r>
        <w:t xml:space="preserve">who </w:t>
      </w:r>
      <w:r>
        <w:t>are unable to provide themselves wi</w:t>
      </w:r>
      <w:r>
        <w:t xml:space="preserve">th food, clothing, or shelter.  The public guardian </w:t>
      </w:r>
      <w:r>
        <w:t xml:space="preserve">abandoned those proceedings in May 2015 when it </w:t>
      </w:r>
      <w:r>
        <w:t xml:space="preserve">was </w:t>
      </w:r>
      <w:r>
        <w:t xml:space="preserve">discovered that </w:t>
      </w:r>
      <w:r>
        <w:t xml:space="preserve">Jackson </w:t>
      </w:r>
      <w:r>
        <w:lastRenderedPageBreak/>
        <w:t xml:space="preserve">was a resident of San </w:t>
      </w:r>
      <w:r>
        <w:t>Bernardino County</w:t>
      </w:r>
      <w:r>
        <w:t xml:space="preserve"> </w:t>
      </w:r>
      <w:r>
        <w:t xml:space="preserve">at the time </w:t>
      </w:r>
      <w:r>
        <w:t>and therefore not under t</w:t>
      </w:r>
      <w:r>
        <w:t>he jurisdiction of the Riverside County public guardian</w:t>
      </w:r>
      <w:r>
        <w:t>.</w:t>
      </w:r>
      <w:r>
        <w:t xml:space="preserve">  </w:t>
      </w:r>
      <w:r>
        <w:t>At that point, t</w:t>
      </w:r>
      <w:r>
        <w:t>he prosecution did not move the court to initiate Murphy conservatorship proceedings because</w:t>
      </w:r>
      <w:r>
        <w:t>, the prosecution</w:t>
      </w:r>
      <w:r>
        <w:t xml:space="preserve"> claimed,</w:t>
      </w:r>
      <w:r>
        <w:t xml:space="preserve"> Jackson </w:t>
      </w:r>
      <w:r>
        <w:t xml:space="preserve">did not meet the criteria for such </w:t>
      </w:r>
      <w:r>
        <w:t>a conservatorship</w:t>
      </w:r>
      <w:r>
        <w:t>:</w:t>
      </w:r>
      <w:r>
        <w:t xml:space="preserve">  </w:t>
      </w:r>
      <w:r>
        <w:t xml:space="preserve">One </w:t>
      </w:r>
      <w:r>
        <w:t xml:space="preserve">of the requirements is that the defendant </w:t>
      </w:r>
      <w:r>
        <w:t>was</w:t>
      </w:r>
      <w:r>
        <w:t xml:space="preserve"> charged with a violent felony </w:t>
      </w:r>
      <w:r>
        <w:t>in an information or indictment</w:t>
      </w:r>
      <w:r>
        <w:t xml:space="preserve"> </w:t>
      </w:r>
      <w:r>
        <w:t>(</w:t>
      </w:r>
      <w:proofErr w:type="spellStart"/>
      <w:r>
        <w:t>Welf</w:t>
      </w:r>
      <w:proofErr w:type="spellEnd"/>
      <w:r>
        <w:t xml:space="preserve">. &amp; Inst. </w:t>
      </w:r>
      <w:r>
        <w:t>C</w:t>
      </w:r>
      <w:r>
        <w:t>ode § 5008, subd.</w:t>
      </w:r>
      <w:r>
        <w:t> </w:t>
      </w:r>
      <w:r>
        <w:t>(h)(1)(B))</w:t>
      </w:r>
      <w:r>
        <w:t xml:space="preserve">; </w:t>
      </w:r>
      <w:r>
        <w:t xml:space="preserve">Jackson had been charged </w:t>
      </w:r>
      <w:r>
        <w:t xml:space="preserve">only </w:t>
      </w:r>
      <w:r>
        <w:t>in a complaint</w:t>
      </w:r>
      <w:r>
        <w:t>,</w:t>
      </w:r>
      <w:r>
        <w:t xml:space="preserve"> </w:t>
      </w:r>
      <w:r>
        <w:t xml:space="preserve">and </w:t>
      </w:r>
      <w:r>
        <w:t>criminal proceedings</w:t>
      </w:r>
      <w:r>
        <w:t xml:space="preserve"> </w:t>
      </w:r>
      <w:r>
        <w:t xml:space="preserve">were suspended </w:t>
      </w:r>
      <w:r>
        <w:t xml:space="preserve">before the </w:t>
      </w:r>
      <w:r>
        <w:t>preliminary hearing.</w:t>
      </w:r>
      <w:r w:rsidRPr="00375950">
        <w:rPr>
          <w:rStyle w:val="FootnoteReference"/>
        </w:rPr>
        <w:t xml:space="preserve"> </w:t>
      </w:r>
      <w:r>
        <w:t xml:space="preserve"> </w:t>
      </w:r>
      <w:r>
        <w:t xml:space="preserve">Jackson was </w:t>
      </w:r>
      <w:r>
        <w:t xml:space="preserve">released </w:t>
      </w:r>
      <w:r>
        <w:t>o</w:t>
      </w:r>
      <w:r>
        <w:t>n May 18</w:t>
      </w:r>
      <w:r>
        <w:t>, 2015.</w:t>
      </w:r>
    </w:p>
    <w:p w:rsidR="00A43A59" w:rsidRDefault="001D190D" w:rsidP="002868CA">
      <w:pPr>
        <w:pStyle w:val="MainText"/>
      </w:pPr>
      <w:r>
        <w:t>Three</w:t>
      </w:r>
      <w:r>
        <w:t xml:space="preserve"> days later, the Riverside County District Attorney obtained a grand jury indictment against Jackson in case number INF1500950, with charges identical to those in INF061963</w:t>
      </w:r>
      <w:r>
        <w:t xml:space="preserve"> and arising out of</w:t>
      </w:r>
      <w:r>
        <w:t xml:space="preserve"> the same alleged conduct</w:t>
      </w:r>
      <w:r>
        <w:t xml:space="preserve">, and moved to dismiss the original </w:t>
      </w:r>
      <w:r>
        <w:t>complaint</w:t>
      </w:r>
      <w:r>
        <w:t>.</w:t>
      </w:r>
      <w:r>
        <w:t xml:space="preserve"> </w:t>
      </w:r>
      <w:r>
        <w:t xml:space="preserve"> Jackson w</w:t>
      </w:r>
      <w:r>
        <w:t xml:space="preserve">as rearrested. </w:t>
      </w:r>
      <w:r>
        <w:t xml:space="preserve"> </w:t>
      </w:r>
      <w:r>
        <w:t xml:space="preserve">On June 2, 2015, </w:t>
      </w:r>
      <w:r>
        <w:t xml:space="preserve">before </w:t>
      </w:r>
      <w:r>
        <w:t>arraignm</w:t>
      </w:r>
      <w:r>
        <w:t xml:space="preserve">ent, the trial court declared </w:t>
      </w:r>
      <w:r>
        <w:t xml:space="preserve">a </w:t>
      </w:r>
      <w:r>
        <w:t>doubt as to Jackson’s compet</w:t>
      </w:r>
      <w:r>
        <w:t>ence and suspended criminal proceedings</w:t>
      </w:r>
      <w:r>
        <w:t xml:space="preserve"> in the new case</w:t>
      </w:r>
      <w:r>
        <w:t>.</w:t>
      </w:r>
      <w:r>
        <w:t xml:space="preserve">  </w:t>
      </w:r>
      <w:r>
        <w:t xml:space="preserve">Jackson </w:t>
      </w:r>
      <w:r>
        <w:t>moved for his release on June 30, 2015; when the trial court denied his motion, Jackson sough</w:t>
      </w:r>
      <w:r>
        <w:t>t</w:t>
      </w:r>
      <w:r>
        <w:t xml:space="preserve"> a writ of mandate from the Court of Appeal.  That court denied his petition, and we </w:t>
      </w:r>
      <w:r>
        <w:t xml:space="preserve">granted review to determine whether the prosecution can initiate a new </w:t>
      </w:r>
      <w:r>
        <w:t>competency proceeding by dismissing the original complaint and proceedi</w:t>
      </w:r>
      <w:r>
        <w:t>ng on a new charging document after an incompetent defendant has reached the maximum period of commitment provided for under section 1370(c)</w:t>
      </w:r>
      <w:r>
        <w:t>.</w:t>
      </w:r>
      <w:r>
        <w:t xml:space="preserve">  </w:t>
      </w:r>
    </w:p>
    <w:p w:rsidR="00B4739E" w:rsidRDefault="001D190D" w:rsidP="00B4739E">
      <w:pPr>
        <w:pStyle w:val="Heading1"/>
      </w:pPr>
      <w:r>
        <w:t>II</w:t>
      </w:r>
      <w:r>
        <w:t>I</w:t>
      </w:r>
      <w:r>
        <w:t>.</w:t>
      </w:r>
    </w:p>
    <w:p w:rsidR="00E623D7" w:rsidRDefault="001D190D" w:rsidP="00D36BCD">
      <w:pPr>
        <w:pStyle w:val="MainText"/>
      </w:pPr>
      <w:r>
        <w:t>T</w:t>
      </w:r>
      <w:r>
        <w:t xml:space="preserve">his </w:t>
      </w:r>
      <w:r>
        <w:t>case</w:t>
      </w:r>
      <w:r>
        <w:t xml:space="preserve"> involves the interaction b</w:t>
      </w:r>
      <w:r>
        <w:t>etween</w:t>
      </w:r>
      <w:r>
        <w:t xml:space="preserve"> section 1387 and section 1370.  </w:t>
      </w:r>
      <w:r>
        <w:t>Although</w:t>
      </w:r>
      <w:r>
        <w:t xml:space="preserve"> </w:t>
      </w:r>
      <w:r>
        <w:t xml:space="preserve">the </w:t>
      </w:r>
      <w:r>
        <w:t xml:space="preserve">text </w:t>
      </w:r>
      <w:r>
        <w:t xml:space="preserve">of section 1387 </w:t>
      </w:r>
      <w:r>
        <w:t>is “hardly pellucid” (</w:t>
      </w:r>
      <w:r>
        <w:rPr>
          <w:i/>
        </w:rPr>
        <w:t xml:space="preserve">Burris v. Superior Court </w:t>
      </w:r>
      <w:r>
        <w:t>(2005) 34 Cal.4th 1012, 1018</w:t>
      </w:r>
      <w:r>
        <w:t>),</w:t>
      </w:r>
      <w:r>
        <w:t xml:space="preserve"> </w:t>
      </w:r>
      <w:r>
        <w:t xml:space="preserve">it </w:t>
      </w:r>
      <w:r>
        <w:t xml:space="preserve">generally </w:t>
      </w:r>
      <w:r>
        <w:t xml:space="preserve">permits the prosecution to refile felony charges following dismissal </w:t>
      </w:r>
      <w:r>
        <w:t xml:space="preserve">only </w:t>
      </w:r>
      <w:r>
        <w:t>once</w:t>
      </w:r>
      <w:r>
        <w:t xml:space="preserve">.  </w:t>
      </w:r>
      <w:r>
        <w:t>(§ 1387, su</w:t>
      </w:r>
      <w:r>
        <w:t>bd. (a) [“</w:t>
      </w:r>
      <w:r w:rsidRPr="00AE1ABC">
        <w:t xml:space="preserve">An order terminating an action pursuant to this chapter, or Section 859b, 861, 871, or 995, is a bar to </w:t>
      </w:r>
      <w:r w:rsidRPr="00AE1ABC">
        <w:lastRenderedPageBreak/>
        <w:t>any other prosecution for the same offense if it is a felony</w:t>
      </w:r>
      <w:r>
        <w:t xml:space="preserve"> . . . </w:t>
      </w:r>
      <w:r w:rsidRPr="00AE1ABC">
        <w:t xml:space="preserve">and the action has been previously terminated pursuant to this chapter, or </w:t>
      </w:r>
      <w:r w:rsidRPr="00AE1ABC">
        <w:t>Section 859b, 861, 871, or 995</w:t>
      </w:r>
      <w:r>
        <w:t xml:space="preserve"> . . . .”].)</w:t>
      </w:r>
      <w:r w:rsidRPr="00AE1ABC">
        <w:t xml:space="preserve"> </w:t>
      </w:r>
      <w:r>
        <w:t xml:space="preserve"> </w:t>
      </w:r>
      <w:r>
        <w:t>This limitation, known as the “two-</w:t>
      </w:r>
      <w:r>
        <w:t>dismissal</w:t>
      </w:r>
      <w:r>
        <w:t xml:space="preserve"> rule</w:t>
      </w:r>
      <w:r>
        <w:t>,”</w:t>
      </w:r>
      <w:r>
        <w:t xml:space="preserve"> was enacted in </w:t>
      </w:r>
      <w:r>
        <w:t>1975</w:t>
      </w:r>
      <w:r>
        <w:t xml:space="preserve"> in order to prevent </w:t>
      </w:r>
      <w:r>
        <w:t xml:space="preserve">harassment of </w:t>
      </w:r>
      <w:r>
        <w:t xml:space="preserve">defendants </w:t>
      </w:r>
      <w:r>
        <w:t xml:space="preserve">by repeated dismissal and refiling of </w:t>
      </w:r>
      <w:r>
        <w:t>charges</w:t>
      </w:r>
      <w:r>
        <w:t xml:space="preserve">, </w:t>
      </w:r>
      <w:r>
        <w:t xml:space="preserve">to </w:t>
      </w:r>
      <w:r>
        <w:t>limit prosecutorial forum shopping, and to pr</w:t>
      </w:r>
      <w:r>
        <w:t>otect defendants’ speedy trial rights</w:t>
      </w:r>
      <w:r>
        <w:t xml:space="preserve">.  </w:t>
      </w:r>
      <w:r>
        <w:t>(</w:t>
      </w:r>
      <w:r>
        <w:rPr>
          <w:i/>
        </w:rPr>
        <w:t>Burris</w:t>
      </w:r>
      <w:r>
        <w:t>, at p. </w:t>
      </w:r>
      <w:r>
        <w:t>1019</w:t>
      </w:r>
      <w:r>
        <w:t>.)</w:t>
      </w:r>
      <w:r>
        <w:t xml:space="preserve">  </w:t>
      </w:r>
      <w:r>
        <w:t xml:space="preserve">  </w:t>
      </w:r>
    </w:p>
    <w:p w:rsidR="00D36BCD" w:rsidRDefault="001D190D" w:rsidP="00D36BCD">
      <w:pPr>
        <w:pStyle w:val="MainText"/>
      </w:pPr>
      <w:r>
        <w:t xml:space="preserve">There are </w:t>
      </w:r>
      <w:r>
        <w:t>several</w:t>
      </w:r>
      <w:r>
        <w:t xml:space="preserve"> statutory exceptions</w:t>
      </w:r>
      <w:r>
        <w:t xml:space="preserve"> to </w:t>
      </w:r>
      <w:r>
        <w:t>the two-dismissal</w:t>
      </w:r>
      <w:r>
        <w:t xml:space="preserve"> rule, </w:t>
      </w:r>
      <w:r>
        <w:t xml:space="preserve">but </w:t>
      </w:r>
      <w:r>
        <w:t xml:space="preserve">none </w:t>
      </w:r>
      <w:r>
        <w:t>are</w:t>
      </w:r>
      <w:r>
        <w:t xml:space="preserve"> </w:t>
      </w:r>
      <w:r>
        <w:t>relevant here</w:t>
      </w:r>
      <w:r>
        <w:t xml:space="preserve">.  </w:t>
      </w:r>
      <w:r>
        <w:t>One exception</w:t>
      </w:r>
      <w:r>
        <w:t xml:space="preserve"> </w:t>
      </w:r>
      <w:r>
        <w:t xml:space="preserve">provides that a dismissal of a felony complaint in favor of an indictment </w:t>
      </w:r>
      <w:r>
        <w:t xml:space="preserve">does not </w:t>
      </w:r>
      <w:r>
        <w:t xml:space="preserve">count as a termination subject to the </w:t>
      </w:r>
      <w:r>
        <w:t>two-dismissal rule.</w:t>
      </w:r>
      <w:r>
        <w:t xml:space="preserve">  (§ 1387, subd. (c).)</w:t>
      </w:r>
      <w:r>
        <w:t xml:space="preserve">  </w:t>
      </w:r>
      <w:r>
        <w:t>At first glance, t</w:t>
      </w:r>
      <w:r>
        <w:t xml:space="preserve">his exception </w:t>
      </w:r>
      <w:r>
        <w:t xml:space="preserve">would </w:t>
      </w:r>
      <w:r>
        <w:t xml:space="preserve">seem to </w:t>
      </w:r>
      <w:r>
        <w:t xml:space="preserve">be relevant </w:t>
      </w:r>
      <w:r>
        <w:t xml:space="preserve">to </w:t>
      </w:r>
      <w:r>
        <w:t>this case</w:t>
      </w:r>
      <w:r>
        <w:t xml:space="preserve"> </w:t>
      </w:r>
      <w:r>
        <w:t xml:space="preserve">because </w:t>
      </w:r>
      <w:r>
        <w:t>the prosecution secured an indictment for the same charges before dismissing the origin</w:t>
      </w:r>
      <w:r>
        <w:t>al complaint</w:t>
      </w:r>
      <w:r>
        <w:t xml:space="preserve">.  </w:t>
      </w:r>
      <w:r>
        <w:t>But th</w:t>
      </w:r>
      <w:r>
        <w:t xml:space="preserve">e rationale for </w:t>
      </w:r>
      <w:r>
        <w:t xml:space="preserve">this exception </w:t>
      </w:r>
      <w:r>
        <w:t xml:space="preserve">is that </w:t>
      </w:r>
      <w:r>
        <w:t>an</w:t>
      </w:r>
      <w:r>
        <w:t xml:space="preserve"> indictment ord</w:t>
      </w:r>
      <w:r>
        <w:t>inarily</w:t>
      </w:r>
      <w:r>
        <w:t xml:space="preserve"> </w:t>
      </w:r>
      <w:r>
        <w:t>continues</w:t>
      </w:r>
      <w:r>
        <w:t xml:space="preserve"> </w:t>
      </w:r>
      <w:r>
        <w:t>existing</w:t>
      </w:r>
      <w:r>
        <w:t>, uninterrupted</w:t>
      </w:r>
      <w:r>
        <w:t xml:space="preserve"> criminal proceedings</w:t>
      </w:r>
      <w:r>
        <w:t xml:space="preserve"> </w:t>
      </w:r>
      <w:r>
        <w:t>that were initiated by</w:t>
      </w:r>
      <w:r>
        <w:t xml:space="preserve"> the complaint</w:t>
      </w:r>
      <w:r>
        <w:t xml:space="preserve">. </w:t>
      </w:r>
      <w:r>
        <w:t xml:space="preserve">  (</w:t>
      </w:r>
      <w:r>
        <w:rPr>
          <w:i/>
        </w:rPr>
        <w:t xml:space="preserve">Berardi v. Superior Court </w:t>
      </w:r>
      <w:r>
        <w:t xml:space="preserve">(2008) 160 Cal.App.4th 210, 222.) </w:t>
      </w:r>
      <w:r>
        <w:t xml:space="preserve"> Here, the prosecution </w:t>
      </w:r>
      <w:r>
        <w:t xml:space="preserve">did not merely continue prior proceedings; it </w:t>
      </w:r>
      <w:r>
        <w:t xml:space="preserve">sought to reinitiate criminal proceedings by having Jackson rearrested and having a new competency hearing.  The </w:t>
      </w:r>
      <w:r>
        <w:t>District Attorney</w:t>
      </w:r>
      <w:r>
        <w:t xml:space="preserve"> </w:t>
      </w:r>
      <w:r>
        <w:t xml:space="preserve">properly </w:t>
      </w:r>
      <w:r>
        <w:t>concedes that the dismissal of the original fel</w:t>
      </w:r>
      <w:r>
        <w:t xml:space="preserve">ony complaint in </w:t>
      </w:r>
      <w:r>
        <w:t xml:space="preserve">case INF061693 </w:t>
      </w:r>
      <w:r>
        <w:t xml:space="preserve">in favor of the indictment in case INF1500950 was </w:t>
      </w:r>
      <w:r>
        <w:t xml:space="preserve">a qualifying dismissal </w:t>
      </w:r>
      <w:r>
        <w:t>subject to the two-dismissal rule</w:t>
      </w:r>
      <w:r>
        <w:t xml:space="preserve">.  </w:t>
      </w:r>
      <w:r>
        <w:t>W</w:t>
      </w:r>
      <w:r>
        <w:t xml:space="preserve">e proceed on the basis that the dismissal of charges in INF061693 </w:t>
      </w:r>
      <w:r>
        <w:t xml:space="preserve">was </w:t>
      </w:r>
      <w:r>
        <w:t>a termination wit</w:t>
      </w:r>
      <w:r>
        <w:t xml:space="preserve">hin the meaning of section </w:t>
      </w:r>
      <w:r>
        <w:t>1387</w:t>
      </w:r>
      <w:r>
        <w:t>,</w:t>
      </w:r>
      <w:r>
        <w:t xml:space="preserve"> and that the refiled charges constituted the only refiling permitted under section 1387.  </w:t>
      </w:r>
    </w:p>
    <w:p w:rsidR="00930ED8" w:rsidRPr="00532E55" w:rsidRDefault="001D190D" w:rsidP="00C86A5D">
      <w:pPr>
        <w:pStyle w:val="MainText"/>
        <w:rPr>
          <w:szCs w:val="26"/>
        </w:rPr>
      </w:pPr>
      <w:r>
        <w:t>C</w:t>
      </w:r>
      <w:r>
        <w:t xml:space="preserve">harges </w:t>
      </w:r>
      <w:r>
        <w:t xml:space="preserve">refiled </w:t>
      </w:r>
      <w:r>
        <w:t xml:space="preserve">after </w:t>
      </w:r>
      <w:r>
        <w:t xml:space="preserve">dismissal </w:t>
      </w:r>
      <w:r>
        <w:t xml:space="preserve">generally </w:t>
      </w:r>
      <w:r>
        <w:t>have the effect of starting a criminal proceeding</w:t>
      </w:r>
      <w:r>
        <w:t xml:space="preserve"> afresh.  </w:t>
      </w:r>
      <w:r>
        <w:t>R</w:t>
      </w:r>
      <w:r>
        <w:t>efiling “commences a new period of time” for trial (</w:t>
      </w:r>
      <w:r>
        <w:rPr>
          <w:i/>
        </w:rPr>
        <w:t>Peopl</w:t>
      </w:r>
      <w:r>
        <w:rPr>
          <w:i/>
        </w:rPr>
        <w:t xml:space="preserve">e v. </w:t>
      </w:r>
      <w:proofErr w:type="spellStart"/>
      <w:r>
        <w:rPr>
          <w:i/>
        </w:rPr>
        <w:t>Godlewski</w:t>
      </w:r>
      <w:proofErr w:type="spellEnd"/>
      <w:r>
        <w:rPr>
          <w:i/>
        </w:rPr>
        <w:t xml:space="preserve"> </w:t>
      </w:r>
      <w:r>
        <w:t>(1943) 22 Cal.2d 6</w:t>
      </w:r>
      <w:r>
        <w:t>7</w:t>
      </w:r>
      <w:r>
        <w:t>7, 683)</w:t>
      </w:r>
      <w:r>
        <w:t>, and the defendant is entitled to a new preliminary hearing (</w:t>
      </w:r>
      <w:r>
        <w:rPr>
          <w:i/>
        </w:rPr>
        <w:t>People v. Superior Court (Martinez)</w:t>
      </w:r>
      <w:r>
        <w:t xml:space="preserve"> (1993) 19 Cal.App.4th 738</w:t>
      </w:r>
      <w:r>
        <w:t>, 745</w:t>
      </w:r>
      <w:r>
        <w:t>)</w:t>
      </w:r>
      <w:r>
        <w:t xml:space="preserve"> and to exercise a </w:t>
      </w:r>
      <w:r>
        <w:t xml:space="preserve">new </w:t>
      </w:r>
      <w:r>
        <w:t xml:space="preserve">peremptory challenge to the assigned </w:t>
      </w:r>
      <w:r>
        <w:lastRenderedPageBreak/>
        <w:t>judge (</w:t>
      </w:r>
      <w:proofErr w:type="spellStart"/>
      <w:r>
        <w:rPr>
          <w:i/>
        </w:rPr>
        <w:t>Ziesmer</w:t>
      </w:r>
      <w:proofErr w:type="spellEnd"/>
      <w:r>
        <w:rPr>
          <w:i/>
        </w:rPr>
        <w:t xml:space="preserve"> v. Superior</w:t>
      </w:r>
      <w:r>
        <w:rPr>
          <w:i/>
        </w:rPr>
        <w:t xml:space="preserve"> Court </w:t>
      </w:r>
      <w:r>
        <w:t xml:space="preserve">(2003) 107 Cal.App.4th 360, 365; </w:t>
      </w:r>
      <w:r>
        <w:rPr>
          <w:i/>
        </w:rPr>
        <w:t xml:space="preserve">Paredes v. Superior Court </w:t>
      </w:r>
      <w:r>
        <w:t>(1999) 77 Cal.App.4th 24</w:t>
      </w:r>
      <w:r>
        <w:t>, 36</w:t>
      </w:r>
      <w:r>
        <w:t xml:space="preserve">).  </w:t>
      </w:r>
      <w:r>
        <w:t>The Legislature codified one exception to this general principle</w:t>
      </w:r>
      <w:r>
        <w:t xml:space="preserve"> in section 1388, which provides that if </w:t>
      </w:r>
      <w:r>
        <w:t>the defendant was released on his or her own recogniz</w:t>
      </w:r>
      <w:r>
        <w:t xml:space="preserve">ance on the original charge, the defendant should ordinarily be released on his or her own recognizance on the refiled charge as well.  (§ 1388, subd. (c).)  </w:t>
      </w:r>
      <w:r>
        <w:t>From s</w:t>
      </w:r>
      <w:r>
        <w:t>ection 1388</w:t>
      </w:r>
      <w:r>
        <w:t xml:space="preserve">, we infer </w:t>
      </w:r>
      <w:r>
        <w:t xml:space="preserve">that the Legislature </w:t>
      </w:r>
      <w:r>
        <w:t xml:space="preserve">knew </w:t>
      </w:r>
      <w:r>
        <w:t xml:space="preserve">how to provide for continuity between the original and refiled charges, and that the Legislature otherwise </w:t>
      </w:r>
      <w:r>
        <w:t xml:space="preserve">understood that </w:t>
      </w:r>
      <w:r>
        <w:t>case</w:t>
      </w:r>
      <w:r>
        <w:t>s</w:t>
      </w:r>
      <w:r>
        <w:t xml:space="preserve"> “</w:t>
      </w:r>
      <w:r>
        <w:t>begin[] anew</w:t>
      </w:r>
      <w:r>
        <w:t xml:space="preserve">” when charges are refiled.  </w:t>
      </w:r>
      <w:r>
        <w:t>(</w:t>
      </w:r>
      <w:r>
        <w:t>Sen. Com. on the Judiciary</w:t>
      </w:r>
      <w:r w:rsidRPr="006D546C">
        <w:t xml:space="preserve">, </w:t>
      </w:r>
      <w:r>
        <w:t>Analysis of</w:t>
      </w:r>
      <w:r w:rsidRPr="006D546C">
        <w:t xml:space="preserve"> Sen. Bill No. 1721 (1991–1992 Reg.</w:t>
      </w:r>
      <w:r>
        <w:t xml:space="preserve"> </w:t>
      </w:r>
      <w:r w:rsidRPr="006D546C">
        <w:t>Sess.)</w:t>
      </w:r>
      <w:r>
        <w:t xml:space="preserve"> as</w:t>
      </w:r>
      <w:r>
        <w:t xml:space="preserve"> amended </w:t>
      </w:r>
      <w:r>
        <w:t>Mar</w:t>
      </w:r>
      <w:r>
        <w:t>.</w:t>
      </w:r>
      <w:r>
        <w:t xml:space="preserve"> 23</w:t>
      </w:r>
      <w:r>
        <w:t>, 1992</w:t>
      </w:r>
      <w:r>
        <w:t>, p. 2</w:t>
      </w:r>
      <w:r w:rsidRPr="006D546C">
        <w:t xml:space="preserve"> [</w:t>
      </w:r>
      <w:r>
        <w:t>“</w:t>
      </w:r>
      <w:r>
        <w:t>Existing law provides for a felony action to be refiled one time . . . .  When the case is dismissed, the defendant is re-arrested, re-booked, a new case is filed, and the case processing begins anew</w:t>
      </w:r>
      <w:r>
        <w:t>.</w:t>
      </w:r>
      <w:r>
        <w:t>”</w:t>
      </w:r>
      <w:r>
        <w:rPr>
          <w:szCs w:val="26"/>
        </w:rPr>
        <w:t>].)</w:t>
      </w:r>
    </w:p>
    <w:p w:rsidR="007F7108" w:rsidRDefault="001D190D" w:rsidP="007F7108">
      <w:pPr>
        <w:pStyle w:val="MainText"/>
      </w:pPr>
      <w:r w:rsidRPr="00532E55">
        <w:rPr>
          <w:szCs w:val="26"/>
        </w:rPr>
        <w:t>Against this backdro</w:t>
      </w:r>
      <w:r w:rsidRPr="00532E55">
        <w:rPr>
          <w:szCs w:val="26"/>
        </w:rPr>
        <w:t xml:space="preserve">p, we </w:t>
      </w:r>
      <w:r>
        <w:rPr>
          <w:szCs w:val="26"/>
        </w:rPr>
        <w:t xml:space="preserve">address </w:t>
      </w:r>
      <w:r w:rsidRPr="00532E55">
        <w:rPr>
          <w:szCs w:val="26"/>
        </w:rPr>
        <w:t xml:space="preserve">whether the Legislature intended for a defendant’s release following the </w:t>
      </w:r>
      <w:r>
        <w:rPr>
          <w:szCs w:val="26"/>
        </w:rPr>
        <w:t xml:space="preserve">maximum </w:t>
      </w:r>
      <w:r w:rsidRPr="00532E55">
        <w:rPr>
          <w:szCs w:val="26"/>
        </w:rPr>
        <w:t xml:space="preserve">period of commitment </w:t>
      </w:r>
      <w:r>
        <w:rPr>
          <w:szCs w:val="26"/>
        </w:rPr>
        <w:t xml:space="preserve">authorized </w:t>
      </w:r>
      <w:r>
        <w:rPr>
          <w:szCs w:val="26"/>
        </w:rPr>
        <w:t>by</w:t>
      </w:r>
      <w:r w:rsidRPr="00532E55">
        <w:rPr>
          <w:szCs w:val="26"/>
        </w:rPr>
        <w:t xml:space="preserve"> section 1370 to be a </w:t>
      </w:r>
      <w:r>
        <w:rPr>
          <w:szCs w:val="26"/>
        </w:rPr>
        <w:t xml:space="preserve">categorical </w:t>
      </w:r>
      <w:r w:rsidRPr="00532E55">
        <w:rPr>
          <w:szCs w:val="26"/>
        </w:rPr>
        <w:t xml:space="preserve">bar to </w:t>
      </w:r>
      <w:r w:rsidRPr="00532E55">
        <w:rPr>
          <w:szCs w:val="26"/>
        </w:rPr>
        <w:t>further c</w:t>
      </w:r>
      <w:r>
        <w:t>riminal proc</w:t>
      </w:r>
      <w:r>
        <w:t xml:space="preserve">eedings, as Jackson argues.  </w:t>
      </w:r>
      <w:r>
        <w:t>Nothing in the text of section</w:t>
      </w:r>
      <w:r>
        <w:t xml:space="preserve"> 1370 </w:t>
      </w:r>
      <w:r>
        <w:t xml:space="preserve">or </w:t>
      </w:r>
      <w:r>
        <w:t xml:space="preserve">its </w:t>
      </w:r>
      <w:r>
        <w:t>surrounding provisions suggest</w:t>
      </w:r>
      <w:r>
        <w:t>s</w:t>
      </w:r>
      <w:r>
        <w:t xml:space="preserve"> any such intent.  </w:t>
      </w:r>
      <w:r>
        <w:t>To the contrary, section 1368, which triggers a competency hearing under section 1369 followed by commitment under section 1370</w:t>
      </w:r>
      <w:r w:rsidRPr="00C4781A">
        <w:t xml:space="preserve"> </w:t>
      </w:r>
      <w:r>
        <w:t>if necessary</w:t>
      </w:r>
      <w:r>
        <w:t xml:space="preserve">, provides that it applies “during the pendency of an action and prior to judgment.”  </w:t>
      </w:r>
      <w:r>
        <w:t>(§ 1368, subd. (</w:t>
      </w:r>
      <w:r>
        <w:t>a</w:t>
      </w:r>
      <w:r>
        <w:t xml:space="preserve">).)  </w:t>
      </w:r>
      <w:r>
        <w:t xml:space="preserve">This </w:t>
      </w:r>
      <w:r>
        <w:t xml:space="preserve">language makes no exception for </w:t>
      </w:r>
      <w:r>
        <w:t>proceedings that follow</w:t>
      </w:r>
      <w:r>
        <w:t xml:space="preserve"> the refiling o</w:t>
      </w:r>
      <w:r>
        <w:t>f charges under section 1387.</w:t>
      </w:r>
      <w:r>
        <w:t xml:space="preserve"> </w:t>
      </w:r>
      <w:r>
        <w:t xml:space="preserve"> </w:t>
      </w:r>
      <w:r>
        <w:t xml:space="preserve">Moreover, </w:t>
      </w:r>
      <w:r>
        <w:t>section 1372 provides that a def</w:t>
      </w:r>
      <w:r>
        <w:t>endant who has regained competenc</w:t>
      </w:r>
      <w:r>
        <w:t>e</w:t>
      </w:r>
      <w:r>
        <w:t xml:space="preserve"> during an LPS Act conservatorship should be returned to the court for criminal proceedings to resume.  (See § 1372, subd. (b</w:t>
      </w:r>
      <w:r>
        <w:t xml:space="preserve">); </w:t>
      </w:r>
      <w:proofErr w:type="spellStart"/>
      <w:r>
        <w:t>Welf</w:t>
      </w:r>
      <w:proofErr w:type="spellEnd"/>
      <w:r>
        <w:t>. &amp; Inst. Code</w:t>
      </w:r>
      <w:r>
        <w:t>,</w:t>
      </w:r>
      <w:r>
        <w:t xml:space="preserve"> § 5369.)  Section 1372 thus indicates that t</w:t>
      </w:r>
      <w:r>
        <w:t>he</w:t>
      </w:r>
      <w:r>
        <w:t xml:space="preserve"> </w:t>
      </w:r>
      <w:r>
        <w:t>Legislature did</w:t>
      </w:r>
      <w:r>
        <w:t xml:space="preserve"> not</w:t>
      </w:r>
      <w:r>
        <w:t xml:space="preserve"> </w:t>
      </w:r>
      <w:r>
        <w:t>underst</w:t>
      </w:r>
      <w:r>
        <w:t xml:space="preserve">and section 1370(c)’s three-year </w:t>
      </w:r>
      <w:r>
        <w:t>period of commitment</w:t>
      </w:r>
      <w:r>
        <w:t xml:space="preserve"> to be</w:t>
      </w:r>
      <w:r>
        <w:t xml:space="preserve"> </w:t>
      </w:r>
      <w:r>
        <w:t xml:space="preserve">a categorical bar to further </w:t>
      </w:r>
      <w:r>
        <w:t xml:space="preserve">criminal proceedings. </w:t>
      </w:r>
      <w:r>
        <w:t xml:space="preserve"> </w:t>
      </w:r>
      <w:r>
        <w:lastRenderedPageBreak/>
        <w:t xml:space="preserve">Further, we find nothing </w:t>
      </w:r>
      <w:r>
        <w:t xml:space="preserve">in the legislative history </w:t>
      </w:r>
      <w:r>
        <w:t xml:space="preserve">of </w:t>
      </w:r>
      <w:r>
        <w:t xml:space="preserve">section 1370 that </w:t>
      </w:r>
      <w:r>
        <w:t>supports Jackson’s view</w:t>
      </w:r>
      <w:r>
        <w:t>.</w:t>
      </w:r>
    </w:p>
    <w:p w:rsidR="00E02757" w:rsidRDefault="001D190D" w:rsidP="007F7108">
      <w:pPr>
        <w:pStyle w:val="MainText"/>
      </w:pPr>
      <w:r>
        <w:t xml:space="preserve">In </w:t>
      </w:r>
      <w:r>
        <w:rPr>
          <w:i/>
        </w:rPr>
        <w:t xml:space="preserve">Crockett v. Superior Court </w:t>
      </w:r>
      <w:r>
        <w:t>(1975) 14 Cal.3d</w:t>
      </w:r>
      <w:r>
        <w:t xml:space="preserve"> 433 (</w:t>
      </w:r>
      <w:r>
        <w:rPr>
          <w:i/>
        </w:rPr>
        <w:t>Crockett</w:t>
      </w:r>
      <w:r>
        <w:t>), w</w:t>
      </w:r>
      <w:r>
        <w:t xml:space="preserve">e faced a comparable situation involving the interaction between section 1387 and a statutory provision </w:t>
      </w:r>
      <w:r>
        <w:t>giving effect to the</w:t>
      </w:r>
      <w:r>
        <w:t xml:space="preserve"> constitutional right </w:t>
      </w:r>
      <w:r>
        <w:t>to a speedy trial</w:t>
      </w:r>
      <w:r>
        <w:t xml:space="preserve">. </w:t>
      </w:r>
      <w:r>
        <w:t xml:space="preserve"> </w:t>
      </w:r>
      <w:r>
        <w:t>There</w:t>
      </w:r>
      <w:r>
        <w:t xml:space="preserve">, </w:t>
      </w:r>
      <w:r>
        <w:t xml:space="preserve">the </w:t>
      </w:r>
      <w:r>
        <w:t xml:space="preserve">trial court dismissed the </w:t>
      </w:r>
      <w:r>
        <w:t xml:space="preserve">original </w:t>
      </w:r>
      <w:r>
        <w:t xml:space="preserve">charges for failure to prosecute </w:t>
      </w:r>
      <w:r>
        <w:t xml:space="preserve">within the time limits established by </w:t>
      </w:r>
      <w:r>
        <w:t>section 138</w:t>
      </w:r>
      <w:r>
        <w:t>1</w:t>
      </w:r>
      <w:r>
        <w:t>.  The defendant</w:t>
      </w:r>
      <w:r>
        <w:t>s</w:t>
      </w:r>
      <w:r>
        <w:t xml:space="preserve"> argued that the prosecution was barred from refiling charges under section 138</w:t>
      </w:r>
      <w:r>
        <w:t>7 absent a showing of good cause</w:t>
      </w:r>
      <w:r>
        <w:t xml:space="preserve"> for the delay in prosecuting the original ch</w:t>
      </w:r>
      <w:r>
        <w:t>arges.</w:t>
      </w:r>
      <w:r>
        <w:t xml:space="preserve"> </w:t>
      </w:r>
      <w:r>
        <w:t xml:space="preserve"> </w:t>
      </w:r>
      <w:r>
        <w:t>(</w:t>
      </w:r>
      <w:r>
        <w:rPr>
          <w:i/>
        </w:rPr>
        <w:t>Crockett</w:t>
      </w:r>
      <w:r>
        <w:t>, at p. </w:t>
      </w:r>
      <w:r>
        <w:t xml:space="preserve">439.)  </w:t>
      </w:r>
      <w:r>
        <w:t xml:space="preserve">We disagreed, </w:t>
      </w:r>
      <w:r>
        <w:t xml:space="preserve">reasoning that </w:t>
      </w:r>
      <w:r>
        <w:t xml:space="preserve">section 1387 authorized </w:t>
      </w:r>
      <w:r>
        <w:t xml:space="preserve">the prosecution to refile </w:t>
      </w:r>
      <w:r>
        <w:t xml:space="preserve">felony </w:t>
      </w:r>
      <w:r>
        <w:t>charges (at the time, without numerical limitation</w:t>
      </w:r>
      <w:r>
        <w:t>)</w:t>
      </w:r>
      <w:r>
        <w:t xml:space="preserve"> and that </w:t>
      </w:r>
      <w:r>
        <w:t>this grant of authority</w:t>
      </w:r>
      <w:r>
        <w:t xml:space="preserve"> </w:t>
      </w:r>
      <w:r>
        <w:t>applies</w:t>
      </w:r>
      <w:r>
        <w:t xml:space="preserve"> “in an even-handed manner in the case of all </w:t>
      </w:r>
      <w:r>
        <w:t xml:space="preserve">dismissals within </w:t>
      </w:r>
      <w:r>
        <w:t>[section 1387’s]</w:t>
      </w:r>
      <w:r>
        <w:t xml:space="preserve"> purview</w:t>
      </w:r>
      <w:r>
        <w:t>”</w:t>
      </w:r>
      <w:r>
        <w:t xml:space="preserve"> regardless of </w:t>
      </w:r>
      <w:r>
        <w:t>the reason</w:t>
      </w:r>
      <w:r>
        <w:t xml:space="preserve"> </w:t>
      </w:r>
      <w:r>
        <w:t xml:space="preserve">the </w:t>
      </w:r>
      <w:r>
        <w:t>original charges</w:t>
      </w:r>
      <w:r>
        <w:t xml:space="preserve"> were dismissed</w:t>
      </w:r>
      <w:r>
        <w:t>.</w:t>
      </w:r>
      <w:r>
        <w:t xml:space="preserve">  (</w:t>
      </w:r>
      <w:r>
        <w:rPr>
          <w:i/>
        </w:rPr>
        <w:t>Crockett</w:t>
      </w:r>
      <w:r>
        <w:t>, at p. </w:t>
      </w:r>
      <w:r>
        <w:t xml:space="preserve">440.)  </w:t>
      </w:r>
      <w:r>
        <w:t xml:space="preserve">We thus </w:t>
      </w:r>
      <w:r>
        <w:t xml:space="preserve">found </w:t>
      </w:r>
      <w:r>
        <w:t xml:space="preserve">no statutory justification for adding a good cause requirement to a refiling otherwise permitted under section </w:t>
      </w:r>
      <w:r>
        <w:t xml:space="preserve">1387.  </w:t>
      </w:r>
      <w:r>
        <w:t xml:space="preserve">But we noted that section 1387 </w:t>
      </w:r>
      <w:r>
        <w:t xml:space="preserve">cannot be read to </w:t>
      </w:r>
      <w:r>
        <w:t xml:space="preserve">enable </w:t>
      </w:r>
      <w:r>
        <w:t>a</w:t>
      </w:r>
      <w:r>
        <w:t xml:space="preserve"> </w:t>
      </w:r>
      <w:r>
        <w:t>violation</w:t>
      </w:r>
      <w:r>
        <w:t xml:space="preserve"> of </w:t>
      </w:r>
      <w:r>
        <w:t xml:space="preserve">a </w:t>
      </w:r>
      <w:r>
        <w:t>defendant’s</w:t>
      </w:r>
      <w:r>
        <w:t xml:space="preserve"> right</w:t>
      </w:r>
      <w:r>
        <w:t>s</w:t>
      </w:r>
      <w:r>
        <w:t xml:space="preserve">.  </w:t>
      </w:r>
      <w:r>
        <w:t xml:space="preserve">Because </w:t>
      </w:r>
      <w:r>
        <w:t xml:space="preserve">a defendant’s speedy trial rights </w:t>
      </w:r>
      <w:r>
        <w:t xml:space="preserve">may be </w:t>
      </w:r>
      <w:r>
        <w:t xml:space="preserve">violated when the defendant is prejudiced as a result of a delay, we held that </w:t>
      </w:r>
      <w:r>
        <w:t xml:space="preserve">further </w:t>
      </w:r>
      <w:r>
        <w:t xml:space="preserve">prosecution would be barred </w:t>
      </w:r>
      <w:r>
        <w:t xml:space="preserve">if </w:t>
      </w:r>
      <w:r>
        <w:t xml:space="preserve">the defendant </w:t>
      </w:r>
      <w:r>
        <w:t xml:space="preserve">is able to </w:t>
      </w:r>
      <w:r>
        <w:t xml:space="preserve">show actual prejudice, even if the refiling </w:t>
      </w:r>
      <w:r>
        <w:t>was</w:t>
      </w:r>
      <w:r>
        <w:t xml:space="preserve"> </w:t>
      </w:r>
      <w:r>
        <w:t xml:space="preserve">otherwise </w:t>
      </w:r>
      <w:r>
        <w:t>permitted under section 1387.  (</w:t>
      </w:r>
      <w:r>
        <w:rPr>
          <w:i/>
        </w:rPr>
        <w:t>Crockett</w:t>
      </w:r>
      <w:r>
        <w:t>, at p. </w:t>
      </w:r>
      <w:r>
        <w:t>440</w:t>
      </w:r>
      <w:r>
        <w:t xml:space="preserve"> [</w:t>
      </w:r>
      <w:r>
        <w:t>“[R]</w:t>
      </w:r>
      <w:proofErr w:type="spellStart"/>
      <w:r w:rsidRPr="003F06EA">
        <w:t>efiled</w:t>
      </w:r>
      <w:proofErr w:type="spellEnd"/>
      <w:r w:rsidRPr="003F06EA">
        <w:t xml:space="preserve"> charges must </w:t>
      </w:r>
      <w:r>
        <w:t xml:space="preserve">. . . </w:t>
      </w:r>
      <w:r w:rsidRPr="003F06EA">
        <w:t>be dismissed if the accused can show he is prejudiced by re</w:t>
      </w:r>
      <w:r w:rsidRPr="003F06EA">
        <w:t>ason of the delay</w:t>
      </w:r>
      <w:r>
        <w:t>.</w:t>
      </w:r>
      <w:r>
        <w:t>”].</w:t>
      </w:r>
      <w:r>
        <w:t>)</w:t>
      </w:r>
    </w:p>
    <w:p w:rsidR="00B055A2" w:rsidRDefault="001D190D" w:rsidP="00B055A2">
      <w:pPr>
        <w:pStyle w:val="MainText"/>
      </w:pPr>
      <w:r>
        <w:t>Here,</w:t>
      </w:r>
      <w:r>
        <w:t xml:space="preserve"> t</w:t>
      </w:r>
      <w:r>
        <w:t xml:space="preserve">he Legislature established </w:t>
      </w:r>
      <w:r>
        <w:t xml:space="preserve">the </w:t>
      </w:r>
      <w:r>
        <w:t xml:space="preserve">three-year maximum </w:t>
      </w:r>
      <w:r>
        <w:t xml:space="preserve">in section 1370(c) to protect defendants’ due process and equal protection </w:t>
      </w:r>
      <w:r>
        <w:t xml:space="preserve">rights </w:t>
      </w:r>
      <w:r>
        <w:t xml:space="preserve">not </w:t>
      </w:r>
      <w:r>
        <w:t xml:space="preserve">to </w:t>
      </w:r>
      <w:r>
        <w:t>be c</w:t>
      </w:r>
      <w:r>
        <w:t>ommitted</w:t>
      </w:r>
      <w:r>
        <w:t xml:space="preserve"> solely</w:t>
      </w:r>
      <w:r>
        <w:t xml:space="preserve"> </w:t>
      </w:r>
      <w:r>
        <w:t xml:space="preserve">because of </w:t>
      </w:r>
      <w:r>
        <w:t>incompetenc</w:t>
      </w:r>
      <w:r>
        <w:t>e</w:t>
      </w:r>
      <w:r>
        <w:t xml:space="preserve"> </w:t>
      </w:r>
      <w:r>
        <w:t>for longer than is reasonable</w:t>
      </w:r>
      <w:r>
        <w:t xml:space="preserve">.  </w:t>
      </w:r>
      <w:r>
        <w:t xml:space="preserve">(See </w:t>
      </w:r>
      <w:r>
        <w:rPr>
          <w:i/>
        </w:rPr>
        <w:t>Jackson</w:t>
      </w:r>
      <w:r>
        <w:t xml:space="preserve">, </w:t>
      </w:r>
      <w:r>
        <w:rPr>
          <w:i/>
        </w:rPr>
        <w:t>supra</w:t>
      </w:r>
      <w:r>
        <w:t>, 406 U.S.</w:t>
      </w:r>
      <w:r>
        <w:rPr>
          <w:i/>
        </w:rPr>
        <w:t xml:space="preserve"> </w:t>
      </w:r>
      <w:r>
        <w:t>at p. 738 [“[A]</w:t>
      </w:r>
      <w:r w:rsidRPr="00C147D9">
        <w:t xml:space="preserve"> person charged by a State with a criminal offense who is committed </w:t>
      </w:r>
      <w:r w:rsidRPr="00C147D9">
        <w:rPr>
          <w:i/>
        </w:rPr>
        <w:t>solely</w:t>
      </w:r>
      <w:r w:rsidRPr="00C147D9">
        <w:t xml:space="preserve"> on account of his incapacity to proceed to trial </w:t>
      </w:r>
      <w:r w:rsidRPr="00C147D9">
        <w:lastRenderedPageBreak/>
        <w:t xml:space="preserve">cannot be held more than the reasonable period of time necessary to determine whether there </w:t>
      </w:r>
      <w:r w:rsidRPr="00C147D9">
        <w:t>is a substantial probability that he will attain that capacity in the foreseeable future.</w:t>
      </w:r>
      <w:r>
        <w:t xml:space="preserve">” </w:t>
      </w:r>
      <w:r>
        <w:t xml:space="preserve"> </w:t>
      </w:r>
      <w:r>
        <w:t>(</w:t>
      </w:r>
      <w:r>
        <w:t>I</w:t>
      </w:r>
      <w:r>
        <w:t>talics added</w:t>
      </w:r>
      <w:r>
        <w:t>.</w:t>
      </w:r>
      <w:r>
        <w:t xml:space="preserve">)].)  </w:t>
      </w:r>
      <w:r>
        <w:t xml:space="preserve">But </w:t>
      </w:r>
      <w:r>
        <w:t>a defendant</w:t>
      </w:r>
      <w:r>
        <w:t xml:space="preserve"> who </w:t>
      </w:r>
      <w:r>
        <w:t xml:space="preserve">is </w:t>
      </w:r>
      <w:r>
        <w:t xml:space="preserve">rearrested after charges are dismissed and refiled as permitted under section 1387 </w:t>
      </w:r>
      <w:r>
        <w:t>is not being held solely (</w:t>
      </w:r>
      <w:r>
        <w:t xml:space="preserve">or even </w:t>
      </w:r>
      <w:r>
        <w:t>partially</w:t>
      </w:r>
      <w:r>
        <w:t>)</w:t>
      </w:r>
      <w:r>
        <w:t xml:space="preserve"> on account of </w:t>
      </w:r>
      <w:r>
        <w:t xml:space="preserve">his or her </w:t>
      </w:r>
      <w:r>
        <w:t>incompetence</w:t>
      </w:r>
      <w:r>
        <w:t xml:space="preserve">; that person is </w:t>
      </w:r>
      <w:r>
        <w:t xml:space="preserve">being held pending admission to bail.  </w:t>
      </w:r>
      <w:r>
        <w:t>Because s</w:t>
      </w:r>
      <w:r>
        <w:t xml:space="preserve">uch confinement does not implicate </w:t>
      </w:r>
      <w:r>
        <w:t xml:space="preserve">the </w:t>
      </w:r>
      <w:r>
        <w:t>rights</w:t>
      </w:r>
      <w:r>
        <w:t xml:space="preserve"> the Legislature sought to protect in section 1370(c)</w:t>
      </w:r>
      <w:r>
        <w:t>, there</w:t>
      </w:r>
      <w:r>
        <w:t xml:space="preserve"> is no reason to </w:t>
      </w:r>
      <w:r>
        <w:t>believe the Legislatu</w:t>
      </w:r>
      <w:r>
        <w:t>re intended</w:t>
      </w:r>
      <w:r>
        <w:t xml:space="preserve"> section 1370(c)</w:t>
      </w:r>
      <w:r>
        <w:t xml:space="preserve"> to constrain the “even-handed” application of section 1387. </w:t>
      </w:r>
      <w:r>
        <w:t xml:space="preserve"> </w:t>
      </w:r>
      <w:r>
        <w:t>(</w:t>
      </w:r>
      <w:r>
        <w:rPr>
          <w:i/>
        </w:rPr>
        <w:t>Crockett</w:t>
      </w:r>
      <w:r>
        <w:t xml:space="preserve">, </w:t>
      </w:r>
      <w:r>
        <w:rPr>
          <w:i/>
        </w:rPr>
        <w:t>supra</w:t>
      </w:r>
      <w:r>
        <w:t xml:space="preserve">, 14 Cal.3d at p. 440.) </w:t>
      </w:r>
      <w:r>
        <w:t xml:space="preserve"> </w:t>
      </w:r>
      <w:r>
        <w:t>W</w:t>
      </w:r>
      <w:r>
        <w:t xml:space="preserve">e hold </w:t>
      </w:r>
      <w:r>
        <w:t xml:space="preserve">that </w:t>
      </w:r>
      <w:r>
        <w:t xml:space="preserve">a defendant may be rearrested, and a </w:t>
      </w:r>
      <w:r>
        <w:t xml:space="preserve">trial court may order a </w:t>
      </w:r>
      <w:r>
        <w:t xml:space="preserve">new competency hearing, </w:t>
      </w:r>
      <w:r>
        <w:t xml:space="preserve">following the prosecution’s </w:t>
      </w:r>
      <w:r>
        <w:t>dismissal and refiling of felony charges pursuant to section 1387</w:t>
      </w:r>
      <w:r>
        <w:t xml:space="preserve"> even if the </w:t>
      </w:r>
      <w:r>
        <w:t xml:space="preserve">defendant </w:t>
      </w:r>
      <w:r>
        <w:t xml:space="preserve">was </w:t>
      </w:r>
      <w:r>
        <w:t>previously</w:t>
      </w:r>
      <w:r>
        <w:t xml:space="preserve"> </w:t>
      </w:r>
      <w:r>
        <w:t>committed for three years</w:t>
      </w:r>
      <w:r>
        <w:t>.</w:t>
      </w:r>
    </w:p>
    <w:p w:rsidR="00DB28BB" w:rsidRPr="00F72498" w:rsidRDefault="001D190D" w:rsidP="00855E2D">
      <w:pPr>
        <w:pStyle w:val="MainText"/>
      </w:pPr>
      <w:r>
        <w:t>But</w:t>
      </w:r>
      <w:r>
        <w:t xml:space="preserve"> we</w:t>
      </w:r>
      <w:r>
        <w:t xml:space="preserve"> also</w:t>
      </w:r>
      <w:r>
        <w:t xml:space="preserve"> conclude,</w:t>
      </w:r>
      <w:r>
        <w:t xml:space="preserve"> as </w:t>
      </w:r>
      <w:r>
        <w:t xml:space="preserve">we did </w:t>
      </w:r>
      <w:r>
        <w:t xml:space="preserve">in </w:t>
      </w:r>
      <w:r>
        <w:rPr>
          <w:i/>
        </w:rPr>
        <w:t>Crockett</w:t>
      </w:r>
      <w:r>
        <w:t xml:space="preserve">, </w:t>
      </w:r>
      <w:r>
        <w:t xml:space="preserve">that </w:t>
      </w:r>
      <w:r>
        <w:t xml:space="preserve">the authority conferred by </w:t>
      </w:r>
      <w:r>
        <w:t xml:space="preserve">section 1387 </w:t>
      </w:r>
      <w:r>
        <w:t>cannot be used in a manner that</w:t>
      </w:r>
      <w:r>
        <w:t xml:space="preserve"> </w:t>
      </w:r>
      <w:r>
        <w:t>viol</w:t>
      </w:r>
      <w:r>
        <w:t>ates</w:t>
      </w:r>
      <w:r>
        <w:t xml:space="preserve"> a defendant’s rights</w:t>
      </w:r>
      <w:r>
        <w:t>.</w:t>
      </w:r>
      <w:r>
        <w:t xml:space="preserve">  In this instance, the </w:t>
      </w:r>
      <w:r>
        <w:t xml:space="preserve">Legislature has determined that a </w:t>
      </w:r>
      <w:r>
        <w:t xml:space="preserve">defendant’s </w:t>
      </w:r>
      <w:r>
        <w:t xml:space="preserve">rights under </w:t>
      </w:r>
      <w:r>
        <w:rPr>
          <w:i/>
        </w:rPr>
        <w:t xml:space="preserve">Jackson </w:t>
      </w:r>
      <w:r>
        <w:t>are protected by limiting commitment</w:t>
      </w:r>
      <w:r>
        <w:t xml:space="preserve"> for the purpose of determining or restoring competenc</w:t>
      </w:r>
      <w:r>
        <w:t>e</w:t>
      </w:r>
      <w:r>
        <w:t xml:space="preserve"> </w:t>
      </w:r>
      <w:r>
        <w:t xml:space="preserve">to no more </w:t>
      </w:r>
      <w:r>
        <w:t>than</w:t>
      </w:r>
      <w:r>
        <w:t xml:space="preserve"> </w:t>
      </w:r>
      <w:r>
        <w:t>three</w:t>
      </w:r>
      <w:r>
        <w:t xml:space="preserve"> </w:t>
      </w:r>
      <w:r>
        <w:t>year</w:t>
      </w:r>
      <w:r>
        <w:t>s</w:t>
      </w:r>
      <w:r>
        <w:t>.</w:t>
      </w:r>
      <w:r>
        <w:t xml:space="preserve"> </w:t>
      </w:r>
      <w:r>
        <w:t xml:space="preserve"> Although </w:t>
      </w:r>
      <w:r>
        <w:t xml:space="preserve">the Legislature’s judgment does not conclusively establish the boundaries of constitutional </w:t>
      </w:r>
      <w:r>
        <w:t>reasonableness</w:t>
      </w:r>
      <w:r>
        <w:t xml:space="preserve">, it does indicate that the Legislature did not intend for the </w:t>
      </w:r>
      <w:r>
        <w:t xml:space="preserve">trial court </w:t>
      </w:r>
      <w:r>
        <w:t xml:space="preserve">to </w:t>
      </w:r>
      <w:r>
        <w:t>ignore the fact of the</w:t>
      </w:r>
      <w:r>
        <w:t xml:space="preserve"> defendant’s</w:t>
      </w:r>
      <w:r>
        <w:t xml:space="preserve"> prior commitment</w:t>
      </w:r>
      <w:r>
        <w:t xml:space="preserve"> should charges be re</w:t>
      </w:r>
      <w:r>
        <w:t>filed</w:t>
      </w:r>
      <w:r>
        <w:t xml:space="preserve">.  </w:t>
      </w:r>
      <w:r>
        <w:t>A</w:t>
      </w:r>
      <w:r>
        <w:t>ccordingly</w:t>
      </w:r>
      <w:r>
        <w:t xml:space="preserve"> — as the</w:t>
      </w:r>
      <w:r>
        <w:t xml:space="preserve"> </w:t>
      </w:r>
      <w:r>
        <w:t>District Attorney</w:t>
      </w:r>
      <w:r>
        <w:t xml:space="preserve"> </w:t>
      </w:r>
      <w:r>
        <w:t>c</w:t>
      </w:r>
      <w:r>
        <w:t xml:space="preserve">oncedes — </w:t>
      </w:r>
      <w:r>
        <w:t>i</w:t>
      </w:r>
      <w:r>
        <w:t>f th</w:t>
      </w:r>
      <w:r>
        <w:t>e defendant</w:t>
      </w:r>
      <w:r>
        <w:t xml:space="preserve">, after </w:t>
      </w:r>
      <w:proofErr w:type="spellStart"/>
      <w:r>
        <w:t>rearrest</w:t>
      </w:r>
      <w:proofErr w:type="spellEnd"/>
      <w:r>
        <w:t>,</w:t>
      </w:r>
      <w:r>
        <w:t xml:space="preserve"> is </w:t>
      </w:r>
      <w:r>
        <w:t xml:space="preserve">again </w:t>
      </w:r>
      <w:r>
        <w:t>found incompetent</w:t>
      </w:r>
      <w:r>
        <w:t xml:space="preserve"> to stand trial</w:t>
      </w:r>
      <w:r>
        <w:t xml:space="preserve">, the defendant may be further committed for evaluation or </w:t>
      </w:r>
      <w:r>
        <w:t>treatment</w:t>
      </w:r>
      <w:r>
        <w:t xml:space="preserve"> only for the balance of the time remainin</w:t>
      </w:r>
      <w:r>
        <w:t>g under secti</w:t>
      </w:r>
      <w:r>
        <w:t>on 1370(c), if any.</w:t>
      </w:r>
      <w:r>
        <w:t xml:space="preserve">  (See </w:t>
      </w:r>
      <w:r>
        <w:rPr>
          <w:i/>
        </w:rPr>
        <w:t>In re Polk</w:t>
      </w:r>
      <w:r>
        <w:t xml:space="preserve"> (1999) 71 Cal.App.4th 1230, 1232 [holding that the three-year time limit in section 1370(c) applies to the aggregate of all previous commitments, not only to the present commitment].)</w:t>
      </w:r>
      <w:r>
        <w:t xml:space="preserve">  </w:t>
      </w:r>
      <w:r>
        <w:t xml:space="preserve">A contrary rule would </w:t>
      </w:r>
      <w:r>
        <w:lastRenderedPageBreak/>
        <w:t>permit a new</w:t>
      </w:r>
      <w:r>
        <w:t xml:space="preserve"> three-year period of commitment every time charges are dismissed and refiled, </w:t>
      </w:r>
      <w:r>
        <w:t xml:space="preserve">with the upshot </w:t>
      </w:r>
      <w:r>
        <w:t xml:space="preserve">that a defendant could be committed for </w:t>
      </w:r>
      <w:r>
        <w:t xml:space="preserve">up to </w:t>
      </w:r>
      <w:r>
        <w:t>six years for most felonies</w:t>
      </w:r>
      <w:r>
        <w:t xml:space="preserve"> </w:t>
      </w:r>
      <w:r>
        <w:t>and up to</w:t>
      </w:r>
      <w:r>
        <w:t xml:space="preserve"> nine </w:t>
      </w:r>
      <w:r>
        <w:t xml:space="preserve">years </w:t>
      </w:r>
      <w:r>
        <w:t>for v</w:t>
      </w:r>
      <w:r>
        <w:t>iolent felonies</w:t>
      </w:r>
      <w:r>
        <w:t xml:space="preserve">.  Nothing in section 1370(c), its surrounding provisions, or its legislative history suggests that the Legislature intended to allow the statute’s </w:t>
      </w:r>
      <w:r>
        <w:t>three-year limit on commitment</w:t>
      </w:r>
      <w:r>
        <w:t xml:space="preserve"> to be so easily evaded</w:t>
      </w:r>
      <w:r>
        <w:t xml:space="preserve">. </w:t>
      </w:r>
      <w:r>
        <w:t xml:space="preserve"> If</w:t>
      </w:r>
      <w:r>
        <w:t>, as here, the defendant was already committed for</w:t>
      </w:r>
      <w:r>
        <w:t xml:space="preserve"> the maximum period of time allowed under section</w:t>
      </w:r>
      <w:r>
        <w:t xml:space="preserve"> 1370(c), the trial court</w:t>
      </w:r>
      <w:r>
        <w:t>’s options</w:t>
      </w:r>
      <w:r>
        <w:t xml:space="preserve"> would be limited to</w:t>
      </w:r>
      <w:r>
        <w:t xml:space="preserve"> </w:t>
      </w:r>
      <w:r>
        <w:t>initiating</w:t>
      </w:r>
      <w:r>
        <w:t xml:space="preserve"> Murphy conservatorship proceedings or again order</w:t>
      </w:r>
      <w:r>
        <w:t>ing</w:t>
      </w:r>
      <w:r>
        <w:t xml:space="preserve"> the defendant released.  </w:t>
      </w:r>
      <w:r>
        <w:t xml:space="preserve">And </w:t>
      </w:r>
      <w:r>
        <w:t xml:space="preserve">if </w:t>
      </w:r>
      <w:r>
        <w:t>the</w:t>
      </w:r>
      <w:r>
        <w:t xml:space="preserve"> defendant </w:t>
      </w:r>
      <w:r>
        <w:t xml:space="preserve">is </w:t>
      </w:r>
      <w:r>
        <w:t xml:space="preserve">released and </w:t>
      </w:r>
      <w:r>
        <w:t xml:space="preserve">the </w:t>
      </w:r>
      <w:r>
        <w:t>charges again dismiss</w:t>
      </w:r>
      <w:r>
        <w:t>ed</w:t>
      </w:r>
      <w:r>
        <w:t>,</w:t>
      </w:r>
      <w:r>
        <w:t xml:space="preserve"> the </w:t>
      </w:r>
      <w:r>
        <w:t xml:space="preserve">prosecution would </w:t>
      </w:r>
      <w:r>
        <w:t xml:space="preserve">ordinarily </w:t>
      </w:r>
      <w:r>
        <w:t xml:space="preserve">be </w:t>
      </w:r>
      <w:r>
        <w:t>barred by section 1387 from refiling the charges</w:t>
      </w:r>
      <w:r>
        <w:t xml:space="preserve">, absent a statutory exception. </w:t>
      </w:r>
      <w:r>
        <w:t xml:space="preserve"> </w:t>
      </w:r>
    </w:p>
    <w:p w:rsidR="00855E2D" w:rsidRDefault="001D190D" w:rsidP="00855E2D">
      <w:pPr>
        <w:pStyle w:val="MainText"/>
      </w:pPr>
      <w:r>
        <w:t>In arguing that he could not be rearrested</w:t>
      </w:r>
      <w:r>
        <w:t xml:space="preserve"> at all</w:t>
      </w:r>
      <w:r>
        <w:t>,</w:t>
      </w:r>
      <w:r>
        <w:t xml:space="preserve"> </w:t>
      </w:r>
      <w:r>
        <w:t xml:space="preserve">Jackson </w:t>
      </w:r>
      <w:r>
        <w:t xml:space="preserve">relies principally </w:t>
      </w:r>
      <w:r>
        <w:t xml:space="preserve">on </w:t>
      </w:r>
      <w:r>
        <w:rPr>
          <w:i/>
        </w:rPr>
        <w:t>People v. Quiroz</w:t>
      </w:r>
      <w:r>
        <w:t xml:space="preserve"> (2016) 244 Cal.App.4th 1371</w:t>
      </w:r>
      <w:r>
        <w:t xml:space="preserve"> (</w:t>
      </w:r>
      <w:r>
        <w:rPr>
          <w:i/>
        </w:rPr>
        <w:t>Quiroz</w:t>
      </w:r>
      <w:r>
        <w:t>)</w:t>
      </w:r>
      <w:r>
        <w:t xml:space="preserve">.  In that case, the Court of Appeal held that a trial court </w:t>
      </w:r>
      <w:r>
        <w:t>may not</w:t>
      </w:r>
      <w:r>
        <w:t xml:space="preserve"> hold a new competency hearing following the defendant’s return to court</w:t>
      </w:r>
      <w:r>
        <w:t xml:space="preserve"> </w:t>
      </w:r>
      <w:r>
        <w:t xml:space="preserve">at the end of a three-year period of commitment </w:t>
      </w:r>
      <w:r>
        <w:t xml:space="preserve">pursuant to </w:t>
      </w:r>
      <w:r>
        <w:t>section 1370(c)</w:t>
      </w:r>
      <w:r>
        <w:t>.  (</w:t>
      </w:r>
      <w:r>
        <w:rPr>
          <w:i/>
        </w:rPr>
        <w:t>Quiroz</w:t>
      </w:r>
      <w:r>
        <w:t>,</w:t>
      </w:r>
      <w:r>
        <w:rPr>
          <w:i/>
        </w:rPr>
        <w:t xml:space="preserve"> </w:t>
      </w:r>
      <w:r>
        <w:t xml:space="preserve">at p. 1377.)  The court </w:t>
      </w:r>
      <w:r>
        <w:t xml:space="preserve">explained </w:t>
      </w:r>
      <w:r>
        <w:t xml:space="preserve">that competency hearings are special proceedings that must be statutorily authorized, and that </w:t>
      </w:r>
      <w:r>
        <w:t xml:space="preserve">the Legislature </w:t>
      </w:r>
      <w:r>
        <w:t>has indicated</w:t>
      </w:r>
      <w:r>
        <w:t xml:space="preserve"> when a competency hearing </w:t>
      </w:r>
      <w:r>
        <w:t>is</w:t>
      </w:r>
      <w:r>
        <w:t xml:space="preserve"> warranted.  (</w:t>
      </w:r>
      <w:r>
        <w:rPr>
          <w:i/>
        </w:rPr>
        <w:t xml:space="preserve">Id. </w:t>
      </w:r>
      <w:r>
        <w:t>at pp. 1379–1380</w:t>
      </w:r>
      <w:r>
        <w:t xml:space="preserve">.)  </w:t>
      </w:r>
      <w:r>
        <w:t xml:space="preserve">Because </w:t>
      </w:r>
      <w:r>
        <w:t>section 1370</w:t>
      </w:r>
      <w:r>
        <w:t xml:space="preserve"> does not </w:t>
      </w:r>
      <w:r>
        <w:t>provide for</w:t>
      </w:r>
      <w:r>
        <w:t xml:space="preserve"> a redetermina</w:t>
      </w:r>
      <w:r>
        <w:t>tion of competence at the end of a defendant’s period of commitment</w:t>
      </w:r>
      <w:r>
        <w:t xml:space="preserve"> when the defendant does not regain competence</w:t>
      </w:r>
      <w:r>
        <w:t xml:space="preserve">, </w:t>
      </w:r>
      <w:r>
        <w:rPr>
          <w:i/>
        </w:rPr>
        <w:t>Quiroz</w:t>
      </w:r>
      <w:r w:rsidRPr="003E18F5">
        <w:t xml:space="preserve"> </w:t>
      </w:r>
      <w:r>
        <w:t xml:space="preserve">reasoned, </w:t>
      </w:r>
      <w:r>
        <w:t>the trial court in that case acted in excess of its jurisdiction when it held a competency hearing on the defendant’s return</w:t>
      </w:r>
      <w:r>
        <w:t xml:space="preserve"> to court</w:t>
      </w:r>
      <w:r>
        <w:t xml:space="preserve">.  </w:t>
      </w:r>
      <w:r>
        <w:t>(</w:t>
      </w:r>
      <w:r>
        <w:rPr>
          <w:i/>
        </w:rPr>
        <w:t>Quiroz</w:t>
      </w:r>
      <w:r>
        <w:t>, at p. </w:t>
      </w:r>
      <w:r>
        <w:t xml:space="preserve">1382.)  </w:t>
      </w:r>
    </w:p>
    <w:p w:rsidR="00855E2D" w:rsidRPr="00CA5695" w:rsidRDefault="001D190D" w:rsidP="00DF315D">
      <w:pPr>
        <w:pStyle w:val="MainText"/>
      </w:pPr>
      <w:r>
        <w:t>W</w:t>
      </w:r>
      <w:r>
        <w:t xml:space="preserve">e express no view on whether </w:t>
      </w:r>
      <w:r>
        <w:rPr>
          <w:i/>
        </w:rPr>
        <w:t xml:space="preserve">Quiroz </w:t>
      </w:r>
      <w:r>
        <w:t>was correctly decided</w:t>
      </w:r>
      <w:r>
        <w:t xml:space="preserve"> because </w:t>
      </w:r>
      <w:r>
        <w:t>that case</w:t>
      </w:r>
      <w:r>
        <w:t xml:space="preserve"> </w:t>
      </w:r>
      <w:r>
        <w:t xml:space="preserve">does not help Jackson.  </w:t>
      </w:r>
      <w:r>
        <w:rPr>
          <w:i/>
        </w:rPr>
        <w:t xml:space="preserve">Quiroz </w:t>
      </w:r>
      <w:r>
        <w:t xml:space="preserve">held </w:t>
      </w:r>
      <w:r>
        <w:t xml:space="preserve">only </w:t>
      </w:r>
      <w:r>
        <w:t>that a court may not hold a competency hearing absent so</w:t>
      </w:r>
      <w:r>
        <w:t>me statutory basis for doing so; it does not h</w:t>
      </w:r>
      <w:r>
        <w:t xml:space="preserve">old, as Jackson maintains, that no further proceedings of any kind are permitted once a </w:t>
      </w:r>
      <w:r>
        <w:lastRenderedPageBreak/>
        <w:t xml:space="preserve">defendant has been committed for three years.  Indeed, </w:t>
      </w:r>
      <w:r>
        <w:rPr>
          <w:i/>
        </w:rPr>
        <w:t xml:space="preserve">Quiroz </w:t>
      </w:r>
      <w:r>
        <w:t xml:space="preserve">recognized that section 1372 provides for a competency hearing </w:t>
      </w:r>
      <w:r>
        <w:t xml:space="preserve">if </w:t>
      </w:r>
      <w:r>
        <w:t>the</w:t>
      </w:r>
      <w:r>
        <w:t xml:space="preserve">re </w:t>
      </w:r>
      <w:r>
        <w:t xml:space="preserve">is an </w:t>
      </w:r>
      <w:r>
        <w:t>indication that the</w:t>
      </w:r>
      <w:r>
        <w:t xml:space="preserve"> defendant </w:t>
      </w:r>
      <w:r>
        <w:t xml:space="preserve">has </w:t>
      </w:r>
      <w:r>
        <w:t>regain</w:t>
      </w:r>
      <w:r>
        <w:t>ed</w:t>
      </w:r>
      <w:r>
        <w:t xml:space="preserve"> competence during a Murphy conservatorship</w:t>
      </w:r>
      <w:r>
        <w:t xml:space="preserve"> </w:t>
      </w:r>
      <w:r>
        <w:t xml:space="preserve">imposed </w:t>
      </w:r>
      <w:r>
        <w:t>after having been committed for three years</w:t>
      </w:r>
      <w:r>
        <w:t>.</w:t>
      </w:r>
      <w:r>
        <w:t xml:space="preserve">  (</w:t>
      </w:r>
      <w:r>
        <w:rPr>
          <w:i/>
        </w:rPr>
        <w:t>Quiroz</w:t>
      </w:r>
      <w:r>
        <w:t xml:space="preserve">, </w:t>
      </w:r>
      <w:r>
        <w:rPr>
          <w:i/>
        </w:rPr>
        <w:t>supra</w:t>
      </w:r>
      <w:r>
        <w:t>, 244 Cal.App.4th at p. </w:t>
      </w:r>
      <w:r>
        <w:t>1380</w:t>
      </w:r>
      <w:r>
        <w:t>.)</w:t>
      </w:r>
      <w:r>
        <w:t xml:space="preserve">  </w:t>
      </w:r>
      <w:r>
        <w:rPr>
          <w:i/>
        </w:rPr>
        <w:t>Q</w:t>
      </w:r>
      <w:r>
        <w:rPr>
          <w:i/>
        </w:rPr>
        <w:t>uiroz</w:t>
      </w:r>
      <w:r>
        <w:t xml:space="preserve"> </w:t>
      </w:r>
      <w:r>
        <w:t xml:space="preserve">is </w:t>
      </w:r>
      <w:r>
        <w:t xml:space="preserve">therefore </w:t>
      </w:r>
      <w:r>
        <w:t xml:space="preserve">not applicable where there </w:t>
      </w:r>
      <w:r w:rsidRPr="00EA1F40">
        <w:rPr>
          <w:i/>
        </w:rPr>
        <w:t>is</w:t>
      </w:r>
      <w:r>
        <w:t xml:space="preserve"> a </w:t>
      </w:r>
      <w:r>
        <w:t xml:space="preserve">statutory basis for holding </w:t>
      </w:r>
      <w:r>
        <w:t>a compete</w:t>
      </w:r>
      <w:r>
        <w:t>ncy hearing</w:t>
      </w:r>
      <w:r>
        <w:t xml:space="preserve">.  Here, the </w:t>
      </w:r>
      <w:r>
        <w:t xml:space="preserve">prosecution </w:t>
      </w:r>
      <w:r>
        <w:t xml:space="preserve">refiled charges as permitted by section 1387, </w:t>
      </w:r>
      <w:r>
        <w:t xml:space="preserve">and </w:t>
      </w:r>
      <w:r>
        <w:t xml:space="preserve">Jackson was rearrested.  The trial court then declared </w:t>
      </w:r>
      <w:r>
        <w:t xml:space="preserve">a </w:t>
      </w:r>
      <w:r>
        <w:t>doubt as to Jackson’</w:t>
      </w:r>
      <w:r>
        <w:t>s competence under section 1367</w:t>
      </w:r>
      <w:r>
        <w:t xml:space="preserve"> and</w:t>
      </w:r>
      <w:r>
        <w:t xml:space="preserve"> </w:t>
      </w:r>
      <w:r>
        <w:t>propose</w:t>
      </w:r>
      <w:r>
        <w:t>d</w:t>
      </w:r>
      <w:r>
        <w:t xml:space="preserve"> </w:t>
      </w:r>
      <w:r>
        <w:t xml:space="preserve">to </w:t>
      </w:r>
      <w:r>
        <w:t xml:space="preserve">hold a </w:t>
      </w:r>
      <w:r>
        <w:t xml:space="preserve">competency </w:t>
      </w:r>
      <w:r>
        <w:t xml:space="preserve">hearing </w:t>
      </w:r>
      <w:r>
        <w:t>pursuant to</w:t>
      </w:r>
      <w:r>
        <w:t xml:space="preserve"> section</w:t>
      </w:r>
      <w:r>
        <w:t xml:space="preserve"> 1368</w:t>
      </w:r>
      <w:r>
        <w:t xml:space="preserve">.  </w:t>
      </w:r>
      <w:r>
        <w:t>The refiled charges and the ensuing arrest</w:t>
      </w:r>
      <w:r>
        <w:t xml:space="preserve"> </w:t>
      </w:r>
      <w:r>
        <w:t>provide</w:t>
      </w:r>
      <w:r>
        <w:t>d</w:t>
      </w:r>
      <w:r>
        <w:t xml:space="preserve"> the</w:t>
      </w:r>
      <w:r>
        <w:t xml:space="preserve"> </w:t>
      </w:r>
      <w:r>
        <w:t xml:space="preserve">required </w:t>
      </w:r>
      <w:r>
        <w:t>statutory</w:t>
      </w:r>
      <w:r>
        <w:t xml:space="preserve"> </w:t>
      </w:r>
      <w:r>
        <w:t>basis</w:t>
      </w:r>
      <w:r>
        <w:t xml:space="preserve"> for a </w:t>
      </w:r>
      <w:r>
        <w:t xml:space="preserve">new </w:t>
      </w:r>
      <w:r>
        <w:t>competency hearing</w:t>
      </w:r>
      <w:r>
        <w:t>.</w:t>
      </w:r>
      <w:r>
        <w:t xml:space="preserve"> </w:t>
      </w:r>
      <w:r>
        <w:t xml:space="preserve"> </w:t>
      </w:r>
      <w:r>
        <w:t>A</w:t>
      </w:r>
      <w:r>
        <w:t>t the same time,</w:t>
      </w:r>
      <w:r>
        <w:t xml:space="preserve"> </w:t>
      </w:r>
      <w:r>
        <w:t>although</w:t>
      </w:r>
      <w:r>
        <w:t xml:space="preserve"> the</w:t>
      </w:r>
      <w:r>
        <w:t xml:space="preserve">re is no statutory provision </w:t>
      </w:r>
      <w:r>
        <w:t>that explicitly establishes the</w:t>
      </w:r>
      <w:r>
        <w:t xml:space="preserve"> maximum time a defendant can be held</w:t>
      </w:r>
      <w:r>
        <w:t xml:space="preserve"> in custody under these circumstances</w:t>
      </w:r>
      <w:r>
        <w:t xml:space="preserve">, </w:t>
      </w:r>
      <w:r>
        <w:t>we</w:t>
      </w:r>
      <w:r>
        <w:t xml:space="preserve"> </w:t>
      </w:r>
      <w:r>
        <w:t>underscore</w:t>
      </w:r>
      <w:r>
        <w:t xml:space="preserve"> </w:t>
      </w:r>
      <w:r>
        <w:t>th</w:t>
      </w:r>
      <w:r>
        <w:t xml:space="preserve">at a defendant </w:t>
      </w:r>
      <w:r>
        <w:t>can be</w:t>
      </w:r>
      <w:r>
        <w:t xml:space="preserve"> held</w:t>
      </w:r>
      <w:r>
        <w:t xml:space="preserve"> only</w:t>
      </w:r>
      <w:r>
        <w:t xml:space="preserve"> </w:t>
      </w:r>
      <w:r>
        <w:t>for a reasonable time pending the new competency hearing.</w:t>
      </w:r>
      <w:r>
        <w:t xml:space="preserve">  </w:t>
      </w:r>
      <w:r>
        <w:t>Holding</w:t>
      </w:r>
      <w:r>
        <w:t xml:space="preserve"> </w:t>
      </w:r>
      <w:r>
        <w:t>a</w:t>
      </w:r>
      <w:r>
        <w:t xml:space="preserve"> defendant indefinitely would circumvent </w:t>
      </w:r>
      <w:r>
        <w:t>section 1370(c)’s</w:t>
      </w:r>
      <w:r>
        <w:t xml:space="preserve"> three-year maximum for commitment.</w:t>
      </w:r>
    </w:p>
    <w:p w:rsidR="004166BE" w:rsidRDefault="001D190D" w:rsidP="004166BE">
      <w:pPr>
        <w:pStyle w:val="MainText"/>
      </w:pPr>
      <w:r>
        <w:t>Finally</w:t>
      </w:r>
      <w:r>
        <w:t xml:space="preserve">, we note that </w:t>
      </w:r>
      <w:r>
        <w:t xml:space="preserve">adopting Jackson’s rule forbidding any </w:t>
      </w:r>
      <w:r>
        <w:t xml:space="preserve">further proceedings once a defendant has been committed for three years </w:t>
      </w:r>
      <w:r>
        <w:t>would mean that a defendant who was released pursuant to section 1370(c) would forever be immune to criminal prosecution</w:t>
      </w:r>
      <w:r>
        <w:t xml:space="preserve"> for the a</w:t>
      </w:r>
      <w:r>
        <w:t>lleged offense</w:t>
      </w:r>
      <w:r>
        <w:t>, even if the defendant were to regain competence</w:t>
      </w:r>
      <w:r>
        <w:t xml:space="preserve"> after release</w:t>
      </w:r>
      <w:r>
        <w:t xml:space="preserve">.  </w:t>
      </w:r>
      <w:r>
        <w:t xml:space="preserve">There is </w:t>
      </w:r>
      <w:r>
        <w:t>no indication that t</w:t>
      </w:r>
      <w:r>
        <w:t xml:space="preserve">he Legislature intended </w:t>
      </w:r>
      <w:r>
        <w:t xml:space="preserve">such an </w:t>
      </w:r>
      <w:r>
        <w:t>outcome.</w:t>
      </w:r>
      <w:r>
        <w:t xml:space="preserve">  </w:t>
      </w:r>
      <w:r>
        <w:t xml:space="preserve">Because </w:t>
      </w:r>
      <w:r>
        <w:t xml:space="preserve">section 1387 </w:t>
      </w:r>
      <w:r>
        <w:t xml:space="preserve">limits </w:t>
      </w:r>
      <w:r>
        <w:t xml:space="preserve">the number of times </w:t>
      </w:r>
      <w:r>
        <w:t>the prosecution</w:t>
      </w:r>
      <w:r>
        <w:t xml:space="preserve"> may </w:t>
      </w:r>
      <w:r>
        <w:t xml:space="preserve">dismiss and </w:t>
      </w:r>
      <w:r>
        <w:t xml:space="preserve">refile charges, </w:t>
      </w:r>
      <w:r>
        <w:t xml:space="preserve">the prosecution bears the risk of </w:t>
      </w:r>
      <w:r>
        <w:t xml:space="preserve">accurately </w:t>
      </w:r>
      <w:r>
        <w:t xml:space="preserve">determining </w:t>
      </w:r>
      <w:r>
        <w:t>whether a released defendant</w:t>
      </w:r>
      <w:r>
        <w:t xml:space="preserve"> in Jackson’s position</w:t>
      </w:r>
      <w:r>
        <w:t xml:space="preserve"> has </w:t>
      </w:r>
      <w:r>
        <w:t>sufficiently</w:t>
      </w:r>
      <w:r>
        <w:t xml:space="preserve"> regained competence.</w:t>
      </w:r>
    </w:p>
    <w:p w:rsidR="004E6B1C" w:rsidRDefault="001D190D" w:rsidP="00D84E9E">
      <w:pPr>
        <w:pStyle w:val="Heading1"/>
        <w:pageBreakBefore/>
      </w:pPr>
      <w:r>
        <w:lastRenderedPageBreak/>
        <w:t>Conclusion</w:t>
      </w:r>
    </w:p>
    <w:p w:rsidR="00980BC0" w:rsidRDefault="001D190D" w:rsidP="00E97095">
      <w:pPr>
        <w:pStyle w:val="MainText"/>
      </w:pPr>
      <w:r>
        <w:t>W</w:t>
      </w:r>
      <w:r>
        <w:t xml:space="preserve">e </w:t>
      </w:r>
      <w:r>
        <w:t>affirm</w:t>
      </w:r>
      <w:r>
        <w:t xml:space="preserve"> the judgment of the Court of Appeal</w:t>
      </w:r>
      <w:r>
        <w:t>.</w:t>
      </w:r>
    </w:p>
    <w:p w:rsidR="00980BC0" w:rsidRDefault="001D190D" w:rsidP="00E97095">
      <w:pPr>
        <w:pStyle w:val="MainText"/>
        <w:rPr>
          <w:b/>
        </w:rPr>
      </w:pPr>
      <w:r>
        <w:tab/>
      </w:r>
      <w:r>
        <w:tab/>
      </w:r>
      <w:r>
        <w:tab/>
      </w:r>
      <w:r>
        <w:tab/>
      </w:r>
      <w:r>
        <w:tab/>
      </w:r>
      <w:r>
        <w:tab/>
      </w:r>
      <w:r>
        <w:tab/>
      </w:r>
      <w:r>
        <w:rPr>
          <w:b/>
        </w:rPr>
        <w:t>L</w:t>
      </w:r>
      <w:r w:rsidRPr="006C73A9">
        <w:rPr>
          <w:rFonts w:ascii="Times New Roman Bold" w:hAnsi="Times New Roman Bold"/>
          <w:b/>
          <w:smallCaps/>
        </w:rPr>
        <w:t>iu</w:t>
      </w:r>
      <w:r>
        <w:rPr>
          <w:b/>
        </w:rPr>
        <w:t>, J.</w:t>
      </w:r>
    </w:p>
    <w:p w:rsidR="00A61504" w:rsidRDefault="001D190D" w:rsidP="00A61504">
      <w:pPr>
        <w:tabs>
          <w:tab w:val="left" w:pos="1440"/>
        </w:tabs>
        <w:spacing w:line="480" w:lineRule="atLeast"/>
        <w:rPr>
          <w:rFonts w:ascii="Times New Roman Bold" w:hAnsi="Times New Roman Bold"/>
          <w:b/>
          <w:bCs/>
          <w:smallCaps/>
        </w:rPr>
      </w:pPr>
    </w:p>
    <w:p w:rsidR="004E43E5" w:rsidRDefault="001D190D">
      <w:pPr>
        <w:tabs>
          <w:tab w:val="left" w:pos="1800"/>
        </w:tabs>
        <w:rPr>
          <w:caps/>
        </w:rPr>
      </w:pPr>
      <w:r>
        <w:rPr>
          <w:rFonts w:ascii="Times New Roman Bold" w:hAnsi="Times New Roman Bold"/>
          <w:b/>
          <w:bCs/>
          <w:smallCaps/>
        </w:rPr>
        <w:t>We Concur:</w:t>
      </w:r>
      <w:bookmarkStart w:id="10" w:name="initials"/>
      <w:bookmarkEnd w:id="10"/>
      <w:r>
        <w:rPr>
          <w:caps/>
        </w:rPr>
        <w:tab/>
      </w:r>
    </w:p>
    <w:p w:rsidR="004E43E5" w:rsidRDefault="004E43E5">
      <w:pPr>
        <w:tabs>
          <w:tab w:val="left" w:pos="1800"/>
        </w:tabs>
        <w:rPr>
          <w:caps/>
        </w:rPr>
      </w:pPr>
    </w:p>
    <w:p w:rsidR="00DA3385" w:rsidRPr="00DA3385" w:rsidRDefault="001D190D">
      <w:pPr>
        <w:tabs>
          <w:tab w:val="left" w:pos="1800"/>
        </w:tabs>
        <w:rPr>
          <w:b/>
          <w:caps/>
        </w:rPr>
      </w:pPr>
      <w:r w:rsidRPr="00DA3385">
        <w:rPr>
          <w:b/>
          <w:caps/>
        </w:rPr>
        <w:t>C</w:t>
      </w:r>
      <w:r w:rsidRPr="00DA3385">
        <w:rPr>
          <w:b/>
          <w:smallCaps/>
        </w:rPr>
        <w:t>antil-</w:t>
      </w:r>
      <w:r w:rsidRPr="00DA3385">
        <w:rPr>
          <w:b/>
          <w:caps/>
        </w:rPr>
        <w:t>S</w:t>
      </w:r>
      <w:r w:rsidRPr="00DA3385">
        <w:rPr>
          <w:b/>
          <w:smallCaps/>
        </w:rPr>
        <w:t>akauye</w:t>
      </w:r>
      <w:r w:rsidRPr="00DA3385">
        <w:rPr>
          <w:b/>
          <w:caps/>
        </w:rPr>
        <w:t>, C. J.</w:t>
      </w:r>
    </w:p>
    <w:p w:rsidR="00DA3385" w:rsidRPr="00DA3385" w:rsidRDefault="001D190D">
      <w:pPr>
        <w:tabs>
          <w:tab w:val="left" w:pos="1800"/>
        </w:tabs>
        <w:rPr>
          <w:b/>
          <w:caps/>
        </w:rPr>
      </w:pPr>
      <w:r w:rsidRPr="00DA3385">
        <w:rPr>
          <w:b/>
          <w:caps/>
        </w:rPr>
        <w:t>C</w:t>
      </w:r>
      <w:r>
        <w:rPr>
          <w:rFonts w:ascii="Times New Roman Bold" w:hAnsi="Times New Roman Bold"/>
          <w:b/>
          <w:smallCaps/>
        </w:rPr>
        <w:t>h</w:t>
      </w:r>
      <w:r>
        <w:rPr>
          <w:rFonts w:ascii="Times New Roman Bold" w:hAnsi="Times New Roman Bold"/>
          <w:b/>
          <w:smallCaps/>
        </w:rPr>
        <w:t>in</w:t>
      </w:r>
      <w:r w:rsidRPr="00DA3385">
        <w:rPr>
          <w:b/>
          <w:caps/>
        </w:rPr>
        <w:t>, J.</w:t>
      </w:r>
    </w:p>
    <w:p w:rsidR="00DA3385" w:rsidRDefault="001D190D">
      <w:pPr>
        <w:tabs>
          <w:tab w:val="left" w:pos="1800"/>
        </w:tabs>
        <w:rPr>
          <w:b/>
          <w:caps/>
        </w:rPr>
      </w:pPr>
      <w:r w:rsidRPr="00DA3385">
        <w:rPr>
          <w:b/>
          <w:caps/>
        </w:rPr>
        <w:t>C</w:t>
      </w:r>
      <w:r>
        <w:rPr>
          <w:rFonts w:ascii="Times New Roman Bold" w:hAnsi="Times New Roman Bold"/>
          <w:b/>
          <w:smallCaps/>
        </w:rPr>
        <w:t>orrigan</w:t>
      </w:r>
      <w:r w:rsidRPr="00DA3385">
        <w:rPr>
          <w:b/>
          <w:caps/>
        </w:rPr>
        <w:t>, J.</w:t>
      </w:r>
    </w:p>
    <w:p w:rsidR="00DA3385" w:rsidRDefault="001D190D">
      <w:pPr>
        <w:tabs>
          <w:tab w:val="left" w:pos="1800"/>
        </w:tabs>
        <w:rPr>
          <w:rFonts w:ascii="Times New Roman Bold" w:hAnsi="Times New Roman Bold"/>
          <w:b/>
          <w:smallCaps/>
        </w:rPr>
      </w:pPr>
      <w:r>
        <w:rPr>
          <w:b/>
          <w:caps/>
        </w:rPr>
        <w:t>C</w:t>
      </w:r>
      <w:r w:rsidRPr="00DA3385">
        <w:rPr>
          <w:rFonts w:ascii="Times New Roman Bold" w:hAnsi="Times New Roman Bold"/>
          <w:b/>
          <w:smallCaps/>
        </w:rPr>
        <w:t>u</w:t>
      </w:r>
      <w:r>
        <w:rPr>
          <w:rFonts w:ascii="Times New Roman Bold" w:hAnsi="Times New Roman Bold"/>
          <w:b/>
          <w:smallCaps/>
        </w:rPr>
        <w:t>éllar, J.</w:t>
      </w:r>
    </w:p>
    <w:p w:rsidR="00DA3385" w:rsidRDefault="001D190D">
      <w:pPr>
        <w:tabs>
          <w:tab w:val="left" w:pos="1800"/>
        </w:tabs>
        <w:rPr>
          <w:rFonts w:ascii="Times New Roman Bold" w:hAnsi="Times New Roman Bold"/>
          <w:b/>
          <w:smallCaps/>
        </w:rPr>
      </w:pPr>
      <w:r>
        <w:rPr>
          <w:rFonts w:ascii="Times New Roman Bold" w:hAnsi="Times New Roman Bold"/>
          <w:b/>
          <w:smallCaps/>
        </w:rPr>
        <w:t>Kruger, J.</w:t>
      </w:r>
    </w:p>
    <w:p w:rsidR="00DA3385" w:rsidRPr="00DA3385" w:rsidRDefault="001D190D">
      <w:pPr>
        <w:tabs>
          <w:tab w:val="left" w:pos="1800"/>
        </w:tabs>
        <w:rPr>
          <w:rFonts w:ascii="Times New Roman Bold" w:hAnsi="Times New Roman Bold"/>
          <w:b/>
          <w:smallCaps/>
        </w:rPr>
      </w:pPr>
      <w:r>
        <w:rPr>
          <w:rFonts w:ascii="Times New Roman Bold" w:hAnsi="Times New Roman Bold"/>
          <w:b/>
          <w:smallCaps/>
        </w:rPr>
        <w:t>McGuiness, J.</w:t>
      </w:r>
      <w:r>
        <w:rPr>
          <w:rStyle w:val="FootnoteReference"/>
          <w:rFonts w:ascii="Times New Roman Bold" w:hAnsi="Times New Roman Bold"/>
          <w:b w:val="0"/>
          <w:smallCaps/>
        </w:rPr>
        <w:footnoteReference w:id="2"/>
      </w:r>
    </w:p>
    <w:p w:rsidR="004E43E5" w:rsidRDefault="004E43E5" w:rsidP="001824D8">
      <w:pPr>
        <w:pStyle w:val="MainText"/>
        <w:ind w:firstLine="0"/>
        <w:rPr>
          <w:b/>
        </w:rPr>
        <w:sectPr w:rsidR="004E43E5" w:rsidSect="006E6731">
          <w:headerReference w:type="even" r:id="rId6"/>
          <w:headerReference w:type="default" r:id="rId7"/>
          <w:footerReference w:type="even" r:id="rId8"/>
          <w:footerReference w:type="default" r:id="rId9"/>
          <w:headerReference w:type="first" r:id="rId10"/>
          <w:footerReference w:type="first" r:id="rId11"/>
          <w:footnotePr>
            <w:numFmt w:val="chicago"/>
          </w:footnotePr>
          <w:pgSz w:w="12240" w:h="15840" w:code="1"/>
          <w:pgMar w:top="1440" w:right="1800" w:bottom="1440" w:left="1800" w:header="720" w:footer="720" w:gutter="0"/>
          <w:cols w:space="720"/>
          <w:titlePg/>
        </w:sectPr>
      </w:pPr>
    </w:p>
    <w:p w:rsidR="004E43E5" w:rsidRDefault="004E43E5" w:rsidP="004E43E5">
      <w:pPr>
        <w:rPr>
          <w:i/>
          <w:sz w:val="20"/>
        </w:rPr>
      </w:pPr>
      <w:r>
        <w:rPr>
          <w:i/>
          <w:sz w:val="20"/>
        </w:rPr>
        <w:lastRenderedPageBreak/>
        <w:t>See next page for addresses and telephone numbers for counsel who argued in Supreme Court.</w:t>
      </w:r>
    </w:p>
    <w:p w:rsidR="004E43E5" w:rsidRDefault="004E43E5" w:rsidP="004E43E5">
      <w:pPr>
        <w:rPr>
          <w:i/>
          <w:sz w:val="20"/>
        </w:rPr>
      </w:pPr>
    </w:p>
    <w:p w:rsidR="004E43E5" w:rsidRPr="000C4A92" w:rsidRDefault="004E43E5" w:rsidP="004E43E5">
      <w:pPr>
        <w:rPr>
          <w:bCs/>
          <w:i/>
          <w:sz w:val="20"/>
        </w:rPr>
      </w:pPr>
      <w:r>
        <w:rPr>
          <w:b/>
          <w:sz w:val="20"/>
        </w:rPr>
        <w:t>Name of Opinion</w:t>
      </w:r>
      <w:r>
        <w:rPr>
          <w:sz w:val="20"/>
        </w:rPr>
        <w:t xml:space="preserve"> Jackson v. Superior Court</w:t>
      </w:r>
    </w:p>
    <w:p w:rsidR="004E43E5" w:rsidRDefault="004E43E5" w:rsidP="004E43E5">
      <w:pPr>
        <w:rPr>
          <w:b/>
          <w:sz w:val="20"/>
        </w:rPr>
      </w:pPr>
      <w:r>
        <w:rPr>
          <w:b/>
          <w:sz w:val="20"/>
        </w:rPr>
        <w:t>__________________________________________________________________________________</w:t>
      </w:r>
    </w:p>
    <w:p w:rsidR="004E43E5" w:rsidRDefault="004E43E5" w:rsidP="004E43E5">
      <w:pPr>
        <w:rPr>
          <w:b/>
          <w:sz w:val="20"/>
        </w:rPr>
      </w:pPr>
    </w:p>
    <w:p w:rsidR="004E43E5" w:rsidRDefault="004E43E5" w:rsidP="004E43E5">
      <w:pPr>
        <w:rPr>
          <w:bCs/>
          <w:sz w:val="20"/>
        </w:rPr>
      </w:pPr>
      <w:r>
        <w:rPr>
          <w:b/>
          <w:sz w:val="20"/>
        </w:rPr>
        <w:t>Unpublished Opinion</w:t>
      </w:r>
    </w:p>
    <w:p w:rsidR="004E43E5" w:rsidRDefault="004E43E5" w:rsidP="004E43E5">
      <w:pPr>
        <w:rPr>
          <w:sz w:val="20"/>
        </w:rPr>
      </w:pPr>
      <w:r>
        <w:rPr>
          <w:b/>
          <w:sz w:val="20"/>
        </w:rPr>
        <w:t>Original Appeal</w:t>
      </w:r>
    </w:p>
    <w:p w:rsidR="004E43E5" w:rsidRDefault="004E43E5" w:rsidP="004E43E5">
      <w:pPr>
        <w:rPr>
          <w:b/>
          <w:sz w:val="20"/>
        </w:rPr>
      </w:pPr>
      <w:r>
        <w:rPr>
          <w:b/>
          <w:sz w:val="20"/>
        </w:rPr>
        <w:t>Original Proceeding</w:t>
      </w:r>
    </w:p>
    <w:p w:rsidR="004E43E5" w:rsidRPr="000C4A92" w:rsidRDefault="004E43E5" w:rsidP="004E43E5">
      <w:pPr>
        <w:rPr>
          <w:sz w:val="20"/>
        </w:rPr>
      </w:pPr>
      <w:r>
        <w:rPr>
          <w:b/>
          <w:sz w:val="20"/>
        </w:rPr>
        <w:t>Review Granted</w:t>
      </w:r>
      <w:r>
        <w:rPr>
          <w:sz w:val="20"/>
        </w:rPr>
        <w:t xml:space="preserve"> XXX 247 Cal.App.4th 767</w:t>
      </w:r>
    </w:p>
    <w:p w:rsidR="004E43E5" w:rsidRDefault="004E43E5" w:rsidP="004E43E5">
      <w:pPr>
        <w:rPr>
          <w:b/>
          <w:sz w:val="20"/>
        </w:rPr>
      </w:pPr>
      <w:r>
        <w:rPr>
          <w:b/>
          <w:sz w:val="20"/>
        </w:rPr>
        <w:t>Rehearing Granted</w:t>
      </w:r>
    </w:p>
    <w:p w:rsidR="004E43E5" w:rsidRDefault="004E43E5" w:rsidP="004E43E5">
      <w:pPr>
        <w:rPr>
          <w:b/>
          <w:sz w:val="20"/>
        </w:rPr>
      </w:pPr>
    </w:p>
    <w:p w:rsidR="004E43E5" w:rsidRDefault="004E43E5" w:rsidP="004E43E5">
      <w:pPr>
        <w:rPr>
          <w:b/>
          <w:sz w:val="20"/>
        </w:rPr>
      </w:pPr>
      <w:r>
        <w:rPr>
          <w:b/>
          <w:sz w:val="20"/>
        </w:rPr>
        <w:t>__________________________________________________________________________________</w:t>
      </w:r>
    </w:p>
    <w:p w:rsidR="004E43E5" w:rsidRDefault="004E43E5" w:rsidP="004E43E5">
      <w:pPr>
        <w:rPr>
          <w:b/>
          <w:sz w:val="20"/>
        </w:rPr>
      </w:pPr>
    </w:p>
    <w:p w:rsidR="004E43E5" w:rsidRPr="000C4A92" w:rsidRDefault="004E43E5" w:rsidP="004E43E5">
      <w:pPr>
        <w:rPr>
          <w:bCs/>
          <w:sz w:val="20"/>
        </w:rPr>
      </w:pPr>
      <w:r>
        <w:rPr>
          <w:b/>
          <w:sz w:val="20"/>
        </w:rPr>
        <w:t>Opinion No.</w:t>
      </w:r>
      <w:r>
        <w:rPr>
          <w:sz w:val="20"/>
        </w:rPr>
        <w:t xml:space="preserve"> S235549</w:t>
      </w:r>
    </w:p>
    <w:p w:rsidR="004E43E5" w:rsidRPr="000C4A92" w:rsidRDefault="004E43E5" w:rsidP="004E43E5">
      <w:pPr>
        <w:rPr>
          <w:bCs/>
          <w:sz w:val="20"/>
        </w:rPr>
      </w:pPr>
      <w:r>
        <w:rPr>
          <w:b/>
          <w:sz w:val="20"/>
        </w:rPr>
        <w:t>Date Filed:</w:t>
      </w:r>
      <w:r>
        <w:rPr>
          <w:sz w:val="20"/>
        </w:rPr>
        <w:t xml:space="preserve"> December 11, 2017</w:t>
      </w:r>
    </w:p>
    <w:p w:rsidR="004E43E5" w:rsidRDefault="004E43E5" w:rsidP="004E43E5">
      <w:pPr>
        <w:rPr>
          <w:b/>
          <w:sz w:val="20"/>
        </w:rPr>
      </w:pPr>
      <w:r>
        <w:rPr>
          <w:b/>
          <w:sz w:val="20"/>
        </w:rPr>
        <w:t>__________________________________________________________________________________</w:t>
      </w:r>
    </w:p>
    <w:p w:rsidR="004E43E5" w:rsidRDefault="004E43E5" w:rsidP="004E43E5">
      <w:pPr>
        <w:rPr>
          <w:b/>
          <w:sz w:val="20"/>
        </w:rPr>
      </w:pPr>
    </w:p>
    <w:p w:rsidR="004E43E5" w:rsidRPr="000C4A92" w:rsidRDefault="004E43E5" w:rsidP="004E43E5">
      <w:pPr>
        <w:rPr>
          <w:bCs/>
          <w:sz w:val="20"/>
        </w:rPr>
      </w:pPr>
      <w:r>
        <w:rPr>
          <w:b/>
          <w:sz w:val="20"/>
        </w:rPr>
        <w:t>Court:</w:t>
      </w:r>
      <w:r>
        <w:rPr>
          <w:sz w:val="20"/>
        </w:rPr>
        <w:t xml:space="preserve"> Superior</w:t>
      </w:r>
    </w:p>
    <w:p w:rsidR="004E43E5" w:rsidRPr="000C4A92" w:rsidRDefault="004E43E5" w:rsidP="004E43E5">
      <w:pPr>
        <w:rPr>
          <w:bCs/>
          <w:sz w:val="20"/>
        </w:rPr>
      </w:pPr>
      <w:r>
        <w:rPr>
          <w:b/>
          <w:sz w:val="20"/>
        </w:rPr>
        <w:t>County:</w:t>
      </w:r>
      <w:r>
        <w:rPr>
          <w:sz w:val="20"/>
        </w:rPr>
        <w:t xml:space="preserve"> Riverside</w:t>
      </w:r>
    </w:p>
    <w:p w:rsidR="004E43E5" w:rsidRPr="000C4A92" w:rsidRDefault="004E43E5" w:rsidP="004E43E5">
      <w:pPr>
        <w:ind w:left="720" w:hanging="720"/>
        <w:rPr>
          <w:bCs/>
          <w:sz w:val="20"/>
        </w:rPr>
      </w:pPr>
      <w:r>
        <w:rPr>
          <w:b/>
          <w:sz w:val="20"/>
        </w:rPr>
        <w:t>Judge:</w:t>
      </w:r>
      <w:r w:rsidRPr="000C4A92">
        <w:rPr>
          <w:sz w:val="20"/>
        </w:rPr>
        <w:t xml:space="preserve"> Mark E. Johnson</w:t>
      </w:r>
    </w:p>
    <w:p w:rsidR="004E43E5" w:rsidRDefault="004E43E5" w:rsidP="004E43E5">
      <w:pPr>
        <w:rPr>
          <w:b/>
          <w:sz w:val="20"/>
        </w:rPr>
      </w:pPr>
    </w:p>
    <w:p w:rsidR="004E43E5" w:rsidRDefault="004E43E5" w:rsidP="004E43E5">
      <w:pPr>
        <w:rPr>
          <w:b/>
          <w:sz w:val="20"/>
        </w:rPr>
      </w:pPr>
      <w:r>
        <w:rPr>
          <w:b/>
          <w:sz w:val="20"/>
        </w:rPr>
        <w:t>__________________________________________________________________________________</w:t>
      </w:r>
    </w:p>
    <w:p w:rsidR="004E43E5" w:rsidRDefault="004E43E5" w:rsidP="004E43E5">
      <w:pPr>
        <w:rPr>
          <w:b/>
          <w:sz w:val="20"/>
        </w:rPr>
      </w:pPr>
    </w:p>
    <w:p w:rsidR="004E43E5" w:rsidRDefault="004E43E5" w:rsidP="004E43E5">
      <w:pPr>
        <w:rPr>
          <w:b/>
          <w:sz w:val="20"/>
        </w:rPr>
      </w:pPr>
      <w:r>
        <w:rPr>
          <w:b/>
          <w:sz w:val="20"/>
        </w:rPr>
        <w:t>Counsel:</w:t>
      </w:r>
    </w:p>
    <w:p w:rsidR="004E43E5" w:rsidRDefault="004E43E5" w:rsidP="004E43E5">
      <w:pPr>
        <w:rPr>
          <w:b/>
          <w:sz w:val="20"/>
        </w:rPr>
      </w:pPr>
    </w:p>
    <w:p w:rsidR="004E43E5" w:rsidRPr="000C4A92" w:rsidRDefault="004E43E5" w:rsidP="004E43E5">
      <w:pPr>
        <w:rPr>
          <w:sz w:val="20"/>
        </w:rPr>
      </w:pPr>
      <w:r>
        <w:rPr>
          <w:sz w:val="20"/>
        </w:rPr>
        <w:t>Steven L. Harmon, Public Defender, and Laura Arnold, Deputy Public Defender, for Petitioner.</w:t>
      </w:r>
    </w:p>
    <w:p w:rsidR="004E43E5" w:rsidRDefault="004E43E5" w:rsidP="004E43E5">
      <w:pPr>
        <w:rPr>
          <w:b/>
          <w:sz w:val="20"/>
        </w:rPr>
      </w:pPr>
    </w:p>
    <w:p w:rsidR="004E43E5" w:rsidRDefault="004E43E5" w:rsidP="004E43E5">
      <w:pPr>
        <w:rPr>
          <w:sz w:val="20"/>
        </w:rPr>
      </w:pPr>
      <w:r>
        <w:rPr>
          <w:sz w:val="20"/>
        </w:rPr>
        <w:t>No appearance for Respondent.</w:t>
      </w:r>
    </w:p>
    <w:p w:rsidR="004E43E5" w:rsidRDefault="004E43E5" w:rsidP="004E43E5">
      <w:pPr>
        <w:rPr>
          <w:sz w:val="20"/>
        </w:rPr>
      </w:pPr>
    </w:p>
    <w:p w:rsidR="004E43E5" w:rsidRPr="000C4A92" w:rsidRDefault="004E43E5" w:rsidP="004E43E5">
      <w:pPr>
        <w:rPr>
          <w:sz w:val="20"/>
        </w:rPr>
      </w:pPr>
      <w:r>
        <w:rPr>
          <w:sz w:val="20"/>
        </w:rPr>
        <w:t xml:space="preserve">Michael A. </w:t>
      </w:r>
      <w:proofErr w:type="spellStart"/>
      <w:r>
        <w:rPr>
          <w:sz w:val="20"/>
        </w:rPr>
        <w:t>Hestrin</w:t>
      </w:r>
      <w:proofErr w:type="spellEnd"/>
      <w:r>
        <w:rPr>
          <w:sz w:val="20"/>
        </w:rPr>
        <w:t>, District Attorney, Elaina G. Bentley, Assistant District Attorney, Kelli M. Catlett, Chief Deputy District Attorney, Ivy Fitzpatrick, Natalie M. Lough and Matt Reilly, Deputy District Attorneys, for Real Party in Interest.</w:t>
      </w:r>
    </w:p>
    <w:p w:rsidR="004E43E5" w:rsidRDefault="004E43E5" w:rsidP="004E43E5">
      <w:pPr>
        <w:rPr>
          <w:b/>
          <w:sz w:val="20"/>
        </w:rPr>
      </w:pPr>
    </w:p>
    <w:p w:rsidR="004E43E5" w:rsidRDefault="004E43E5" w:rsidP="004E43E5">
      <w:pPr>
        <w:rPr>
          <w:b/>
          <w:sz w:val="20"/>
        </w:rPr>
      </w:pPr>
    </w:p>
    <w:p w:rsidR="004E43E5" w:rsidRDefault="004E43E5" w:rsidP="004E43E5">
      <w:pPr>
        <w:rPr>
          <w:b/>
          <w:sz w:val="20"/>
        </w:rPr>
      </w:pPr>
    </w:p>
    <w:p w:rsidR="004E43E5" w:rsidRDefault="004E43E5" w:rsidP="004E43E5">
      <w:pPr>
        <w:rPr>
          <w:b/>
          <w:sz w:val="20"/>
        </w:rPr>
      </w:pPr>
      <w:r>
        <w:rPr>
          <w:b/>
          <w:sz w:val="20"/>
        </w:rPr>
        <w:br w:type="page"/>
      </w:r>
    </w:p>
    <w:p w:rsidR="004E43E5" w:rsidRDefault="004E43E5" w:rsidP="004E43E5">
      <w:pPr>
        <w:rPr>
          <w:b/>
          <w:sz w:val="20"/>
        </w:rPr>
      </w:pPr>
    </w:p>
    <w:p w:rsidR="004E43E5" w:rsidRDefault="004E43E5" w:rsidP="004E43E5">
      <w:pPr>
        <w:rPr>
          <w:b/>
          <w:sz w:val="20"/>
        </w:rPr>
      </w:pPr>
    </w:p>
    <w:p w:rsidR="004E43E5" w:rsidRDefault="004E43E5" w:rsidP="004E43E5">
      <w:pPr>
        <w:rPr>
          <w:b/>
          <w:sz w:val="20"/>
        </w:rPr>
      </w:pPr>
    </w:p>
    <w:p w:rsidR="004E43E5" w:rsidRDefault="004E43E5" w:rsidP="004E43E5">
      <w:pPr>
        <w:rPr>
          <w:b/>
          <w:sz w:val="20"/>
        </w:rPr>
      </w:pPr>
      <w:r>
        <w:rPr>
          <w:b/>
          <w:sz w:val="20"/>
        </w:rPr>
        <w:t>Counsel who argued in Supreme Court (not intended for publication with opinion):</w:t>
      </w:r>
    </w:p>
    <w:p w:rsidR="004E43E5" w:rsidRDefault="004E43E5" w:rsidP="004E43E5">
      <w:pPr>
        <w:rPr>
          <w:b/>
          <w:sz w:val="20"/>
        </w:rPr>
      </w:pPr>
    </w:p>
    <w:p w:rsidR="004E43E5" w:rsidRDefault="004E43E5" w:rsidP="004E43E5">
      <w:pPr>
        <w:rPr>
          <w:sz w:val="20"/>
        </w:rPr>
      </w:pPr>
      <w:r>
        <w:rPr>
          <w:sz w:val="20"/>
        </w:rPr>
        <w:t>Laura Arnold</w:t>
      </w:r>
    </w:p>
    <w:p w:rsidR="004E43E5" w:rsidRDefault="004E43E5" w:rsidP="004E43E5">
      <w:pPr>
        <w:rPr>
          <w:sz w:val="20"/>
        </w:rPr>
      </w:pPr>
      <w:r>
        <w:rPr>
          <w:sz w:val="20"/>
        </w:rPr>
        <w:t>Deputy Public Defender</w:t>
      </w:r>
    </w:p>
    <w:p w:rsidR="004E43E5" w:rsidRDefault="004E43E5" w:rsidP="004E43E5">
      <w:pPr>
        <w:rPr>
          <w:sz w:val="20"/>
        </w:rPr>
      </w:pPr>
      <w:r>
        <w:rPr>
          <w:sz w:val="20"/>
        </w:rPr>
        <w:t>30755-D Auld Road, Suite 2233</w:t>
      </w:r>
    </w:p>
    <w:p w:rsidR="004E43E5" w:rsidRDefault="004E43E5" w:rsidP="004E43E5">
      <w:pPr>
        <w:rPr>
          <w:sz w:val="20"/>
        </w:rPr>
      </w:pPr>
      <w:r>
        <w:rPr>
          <w:sz w:val="20"/>
        </w:rPr>
        <w:t>Murrieta, CA  92563</w:t>
      </w:r>
    </w:p>
    <w:p w:rsidR="004E43E5" w:rsidRDefault="004E43E5" w:rsidP="004E43E5">
      <w:pPr>
        <w:rPr>
          <w:sz w:val="20"/>
        </w:rPr>
      </w:pPr>
      <w:r>
        <w:rPr>
          <w:sz w:val="20"/>
        </w:rPr>
        <w:t>(951) 304-5651</w:t>
      </w:r>
    </w:p>
    <w:p w:rsidR="004E43E5" w:rsidRDefault="004E43E5" w:rsidP="004E43E5">
      <w:pPr>
        <w:rPr>
          <w:sz w:val="20"/>
        </w:rPr>
      </w:pPr>
    </w:p>
    <w:p w:rsidR="004E43E5" w:rsidRDefault="004E43E5" w:rsidP="004E43E5">
      <w:pPr>
        <w:rPr>
          <w:sz w:val="20"/>
        </w:rPr>
      </w:pPr>
      <w:r>
        <w:rPr>
          <w:sz w:val="20"/>
        </w:rPr>
        <w:t>Natalie M. Lough</w:t>
      </w:r>
    </w:p>
    <w:p w:rsidR="004E43E5" w:rsidRDefault="004E43E5" w:rsidP="004E43E5">
      <w:pPr>
        <w:rPr>
          <w:sz w:val="20"/>
        </w:rPr>
      </w:pPr>
      <w:r>
        <w:rPr>
          <w:sz w:val="20"/>
        </w:rPr>
        <w:t>Deputy District Attorney</w:t>
      </w:r>
    </w:p>
    <w:p w:rsidR="004E43E5" w:rsidRDefault="004E43E5" w:rsidP="004E43E5">
      <w:pPr>
        <w:rPr>
          <w:sz w:val="20"/>
        </w:rPr>
      </w:pPr>
      <w:r>
        <w:rPr>
          <w:sz w:val="20"/>
        </w:rPr>
        <w:t>3960 Orange Street</w:t>
      </w:r>
    </w:p>
    <w:p w:rsidR="004E43E5" w:rsidRDefault="004E43E5" w:rsidP="004E43E5">
      <w:pPr>
        <w:rPr>
          <w:sz w:val="20"/>
        </w:rPr>
      </w:pPr>
      <w:r>
        <w:rPr>
          <w:sz w:val="20"/>
        </w:rPr>
        <w:t>Riverside, CA  92501</w:t>
      </w:r>
    </w:p>
    <w:p w:rsidR="004E43E5" w:rsidRDefault="004E43E5" w:rsidP="004E43E5">
      <w:pPr>
        <w:rPr>
          <w:b/>
          <w:sz w:val="20"/>
        </w:rPr>
      </w:pPr>
      <w:r>
        <w:rPr>
          <w:sz w:val="20"/>
        </w:rPr>
        <w:t>(951) 955-5400</w:t>
      </w:r>
    </w:p>
    <w:p w:rsidR="001824D8" w:rsidRPr="00DA3385" w:rsidRDefault="001D190D" w:rsidP="001824D8">
      <w:pPr>
        <w:pStyle w:val="MainText"/>
        <w:ind w:firstLine="0"/>
        <w:rPr>
          <w:b/>
        </w:rPr>
      </w:pPr>
      <w:bookmarkStart w:id="11" w:name="_GoBack"/>
      <w:bookmarkEnd w:id="11"/>
    </w:p>
    <w:sectPr w:rsidR="001824D8" w:rsidRPr="00DA338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0D" w:rsidRDefault="001D190D">
      <w:r>
        <w:separator/>
      </w:r>
    </w:p>
  </w:endnote>
  <w:endnote w:type="continuationSeparator" w:id="0">
    <w:p w:rsidR="001D190D" w:rsidRDefault="001D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D4" w:rsidRDefault="001D1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F5" w:rsidRDefault="001D190D">
    <w:pPr>
      <w:pStyle w:val="Footer"/>
      <w:jc w:val="center"/>
    </w:pPr>
    <w:r>
      <w:fldChar w:fldCharType="begin"/>
    </w:r>
    <w:r>
      <w:instrText>PAGE</w:instrText>
    </w:r>
    <w:r>
      <w:fldChar w:fldCharType="separate"/>
    </w:r>
    <w:r w:rsidR="004E43E5">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D4" w:rsidRDefault="001D19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2F" w:rsidRDefault="001D19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2F" w:rsidRDefault="001D190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2F" w:rsidRDefault="001D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0D" w:rsidRDefault="001D190D">
      <w:r>
        <w:separator/>
      </w:r>
    </w:p>
    <w:p w:rsidR="001D190D" w:rsidRDefault="001D190D"/>
  </w:footnote>
  <w:footnote w:type="continuationSeparator" w:id="0">
    <w:p w:rsidR="001D190D" w:rsidRDefault="001D190D">
      <w:pPr>
        <w:rPr>
          <w:sz w:val="22"/>
        </w:rPr>
      </w:pPr>
      <w:r>
        <w:rPr>
          <w:sz w:val="22"/>
        </w:rPr>
        <w:continuationSeparator/>
      </w:r>
    </w:p>
    <w:p w:rsidR="001D190D" w:rsidRDefault="001D190D" w:rsidP="006E6731">
      <w:pPr>
        <w:spacing w:before="120" w:after="120"/>
        <w:rPr>
          <w:i/>
          <w:sz w:val="20"/>
        </w:rPr>
      </w:pPr>
      <w:r>
        <w:rPr>
          <w:i/>
          <w:sz w:val="20"/>
        </w:rPr>
        <w:t>(footnote continued from previous page)</w:t>
      </w:r>
    </w:p>
  </w:footnote>
  <w:footnote w:type="continuationNotice" w:id="1">
    <w:p w:rsidR="001D190D" w:rsidRDefault="001D190D" w:rsidP="006E6731">
      <w:pPr>
        <w:spacing w:before="120"/>
        <w:jc w:val="right"/>
        <w:rPr>
          <w:i/>
          <w:sz w:val="20"/>
        </w:rPr>
      </w:pPr>
      <w:r>
        <w:rPr>
          <w:i/>
          <w:sz w:val="20"/>
        </w:rPr>
        <w:t>(footnote continued on next page)</w:t>
      </w:r>
    </w:p>
  </w:footnote>
  <w:footnote w:id="2">
    <w:p w:rsidR="00DA3385" w:rsidRDefault="001D190D">
      <w:pPr>
        <w:pStyle w:val="FootnoteText"/>
      </w:pPr>
      <w:r>
        <w:rPr>
          <w:rStyle w:val="FootnoteReference"/>
        </w:rPr>
        <w:footnoteRef/>
      </w:r>
      <w:r>
        <w:tab/>
        <w:t xml:space="preserve">Administrative Presiding </w:t>
      </w:r>
      <w:r>
        <w:t>Justice of the Court of Appeal, First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D4" w:rsidRDefault="001D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D4" w:rsidRDefault="001D1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D4" w:rsidRDefault="001D19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2F" w:rsidRDefault="001D19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2F" w:rsidRDefault="001D19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2F" w:rsidRDefault="001D1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78"/>
    <w:rsid w:val="001D190D"/>
    <w:rsid w:val="00380088"/>
    <w:rsid w:val="004E43E5"/>
    <w:rsid w:val="00A5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9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Heading1"/>
    <w:next w:val="Normal"/>
    <w:qFormat/>
    <w:rsid w:val="00FA78B4"/>
    <w:pPr>
      <w:outlineLvl w:val="1"/>
    </w:p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customStyle="1" w:styleId="MainText">
    <w:name w:val="Main Text"/>
    <w:basedOn w:val="Normal"/>
    <w:link w:val="MainTextChar"/>
    <w:qFormat/>
    <w:rsid w:val="009B6A2F"/>
    <w:pPr>
      <w:tabs>
        <w:tab w:val="left" w:pos="1440"/>
      </w:tabs>
      <w:spacing w:line="480" w:lineRule="atLeast"/>
      <w:ind w:firstLine="720"/>
    </w:pPr>
  </w:style>
  <w:style w:type="character" w:customStyle="1" w:styleId="MainTextChar">
    <w:name w:val="Main Text Char"/>
    <w:link w:val="MainText"/>
    <w:rsid w:val="009B6A2F"/>
    <w:rPr>
      <w:sz w:val="26"/>
    </w:rPr>
  </w:style>
  <w:style w:type="character" w:styleId="CommentReference">
    <w:name w:val="annotation reference"/>
    <w:uiPriority w:val="99"/>
    <w:semiHidden/>
    <w:unhideWhenUsed/>
    <w:rsid w:val="00EB0227"/>
    <w:rPr>
      <w:sz w:val="16"/>
      <w:szCs w:val="16"/>
    </w:rPr>
  </w:style>
  <w:style w:type="paragraph" w:styleId="CommentText">
    <w:name w:val="annotation text"/>
    <w:basedOn w:val="Normal"/>
    <w:link w:val="CommentTextChar"/>
    <w:uiPriority w:val="99"/>
    <w:unhideWhenUsed/>
    <w:rsid w:val="00EB0227"/>
    <w:rPr>
      <w:sz w:val="20"/>
    </w:rPr>
  </w:style>
  <w:style w:type="character" w:customStyle="1" w:styleId="CommentTextChar">
    <w:name w:val="Comment Text Char"/>
    <w:basedOn w:val="DefaultParagraphFont"/>
    <w:link w:val="CommentText"/>
    <w:uiPriority w:val="99"/>
    <w:rsid w:val="00EB0227"/>
  </w:style>
  <w:style w:type="paragraph" w:styleId="CommentSubject">
    <w:name w:val="annotation subject"/>
    <w:basedOn w:val="CommentText"/>
    <w:next w:val="CommentText"/>
    <w:link w:val="CommentSubjectChar"/>
    <w:uiPriority w:val="99"/>
    <w:semiHidden/>
    <w:unhideWhenUsed/>
    <w:rsid w:val="00EB0227"/>
    <w:rPr>
      <w:b/>
      <w:bCs/>
    </w:rPr>
  </w:style>
  <w:style w:type="character" w:customStyle="1" w:styleId="CommentSubjectChar">
    <w:name w:val="Comment Subject Char"/>
    <w:link w:val="CommentSubject"/>
    <w:uiPriority w:val="99"/>
    <w:semiHidden/>
    <w:rsid w:val="00EB0227"/>
    <w:rPr>
      <w:b/>
      <w:bCs/>
    </w:rPr>
  </w:style>
  <w:style w:type="paragraph" w:styleId="Revision">
    <w:name w:val="Revision"/>
    <w:hidden/>
    <w:uiPriority w:val="99"/>
    <w:semiHidden/>
    <w:rsid w:val="00EB0227"/>
    <w:rPr>
      <w:sz w:val="26"/>
    </w:rPr>
  </w:style>
  <w:style w:type="paragraph" w:styleId="BalloonText">
    <w:name w:val="Balloon Text"/>
    <w:basedOn w:val="Normal"/>
    <w:link w:val="BalloonTextChar"/>
    <w:uiPriority w:val="99"/>
    <w:semiHidden/>
    <w:unhideWhenUsed/>
    <w:rsid w:val="00EB0227"/>
    <w:rPr>
      <w:rFonts w:ascii="Tahoma" w:hAnsi="Tahoma" w:cs="Tahoma"/>
      <w:sz w:val="16"/>
      <w:szCs w:val="16"/>
    </w:rPr>
  </w:style>
  <w:style w:type="character" w:customStyle="1" w:styleId="BalloonTextChar">
    <w:name w:val="Balloon Text Char"/>
    <w:link w:val="BalloonText"/>
    <w:uiPriority w:val="99"/>
    <w:semiHidden/>
    <w:rsid w:val="00EB0227"/>
    <w:rPr>
      <w:rFonts w:ascii="Tahoma" w:hAnsi="Tahoma" w:cs="Tahoma"/>
      <w:sz w:val="16"/>
      <w:szCs w:val="16"/>
    </w:rPr>
  </w:style>
  <w:style w:type="paragraph" w:styleId="NoSpacing">
    <w:name w:val="No Spacing"/>
    <w:uiPriority w:val="1"/>
    <w:qFormat/>
    <w:rsid w:val="007610AC"/>
    <w:pPr>
      <w:spacing w:after="80"/>
    </w:pPr>
    <w:rPr>
      <w:sz w:val="26"/>
    </w:rPr>
  </w:style>
  <w:style w:type="character" w:customStyle="1" w:styleId="HeaderChar">
    <w:name w:val="Header Char"/>
    <w:basedOn w:val="DefaultParagraphFont"/>
    <w:link w:val="Header"/>
    <w:rsid w:val="004E43E5"/>
    <w:rPr>
      <w:sz w:val="26"/>
    </w:rPr>
  </w:style>
  <w:style w:type="character" w:customStyle="1" w:styleId="FooterChar">
    <w:name w:val="Footer Char"/>
    <w:basedOn w:val="DefaultParagraphFont"/>
    <w:link w:val="Footer"/>
    <w:rsid w:val="004E43E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2017-12-08T17:42:00Z</dcterms:created>
  <dcterms:modified xsi:type="dcterms:W3CDTF">2017-12-08T17:44:00Z</dcterms:modified>
</cp:coreProperties>
</file>