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A7" w:rsidRPr="000A7ADD" w:rsidRDefault="000A7ADD" w:rsidP="00CE14A7">
      <w:pPr>
        <w:rPr>
          <w:sz w:val="20"/>
        </w:rPr>
      </w:pPr>
      <w:r>
        <w:rPr>
          <w:sz w:val="20"/>
        </w:rPr>
        <w:t>Filed 3/5/18</w:t>
      </w:r>
    </w:p>
    <w:p w:rsidR="00675A33" w:rsidRDefault="000A7ADD" w:rsidP="007E0D71">
      <w:pPr>
        <w:jc w:val="center"/>
        <w:rPr>
          <w:b/>
          <w:bCs/>
          <w:color w:val="000000"/>
          <w:szCs w:val="26"/>
        </w:rPr>
      </w:pPr>
    </w:p>
    <w:p w:rsidR="00F04502" w:rsidRDefault="000A7ADD" w:rsidP="007E0D71">
      <w:pPr>
        <w:jc w:val="center"/>
        <w:rPr>
          <w:b/>
          <w:sz w:val="36"/>
        </w:rPr>
      </w:pPr>
    </w:p>
    <w:p w:rsidR="007E0D71" w:rsidRPr="004E534D" w:rsidRDefault="000A7ADD" w:rsidP="007E0D71">
      <w:pPr>
        <w:jc w:val="center"/>
        <w:rPr>
          <w:sz w:val="36"/>
        </w:rPr>
      </w:pPr>
      <w:r w:rsidRPr="004E534D">
        <w:rPr>
          <w:b/>
          <w:sz w:val="36"/>
        </w:rPr>
        <w:t>IN THE SUPREME COURT OF CALIFORNIA</w:t>
      </w:r>
    </w:p>
    <w:p w:rsidR="007E0D71" w:rsidRPr="004E534D" w:rsidRDefault="000A7ADD" w:rsidP="00CE14A7"/>
    <w:p w:rsidR="007E0D71" w:rsidRPr="004E534D" w:rsidRDefault="000A7ADD" w:rsidP="007E0D71">
      <w:pPr>
        <w:jc w:val="center"/>
      </w:pPr>
    </w:p>
    <w:p w:rsidR="007E0D71" w:rsidRPr="004E534D" w:rsidRDefault="000A7ADD" w:rsidP="007E0D71">
      <w:pPr>
        <w:tabs>
          <w:tab w:val="left" w:pos="4680"/>
          <w:tab w:val="center" w:pos="7200"/>
        </w:tabs>
        <w:spacing w:line="240" w:lineRule="atLeast"/>
      </w:pPr>
      <w:bookmarkStart w:id="0" w:name="plaintiff"/>
      <w:bookmarkEnd w:id="0"/>
      <w:r>
        <w:t>HELLER EHRMAN</w:t>
      </w:r>
      <w:r w:rsidRPr="004E534D">
        <w:t xml:space="preserve"> LLP,</w:t>
      </w:r>
      <w:r w:rsidRPr="004E534D">
        <w:tab/>
        <w:t>)</w:t>
      </w:r>
      <w:r w:rsidRPr="004E534D">
        <w:tab/>
        <w:t>S</w:t>
      </w:r>
      <w:bookmarkStart w:id="1" w:name="casenum"/>
      <w:bookmarkEnd w:id="1"/>
      <w:r w:rsidRPr="004E534D">
        <w:t>236208</w:t>
      </w:r>
    </w:p>
    <w:p w:rsidR="007E0D71" w:rsidRPr="004E534D" w:rsidRDefault="000A7ADD" w:rsidP="007E0D71">
      <w:pPr>
        <w:tabs>
          <w:tab w:val="left" w:pos="1440"/>
          <w:tab w:val="left" w:pos="4680"/>
          <w:tab w:val="center" w:pos="7200"/>
        </w:tabs>
        <w:spacing w:line="240" w:lineRule="atLeast"/>
      </w:pPr>
      <w:r w:rsidRPr="004E534D">
        <w:tab/>
      </w:r>
      <w:r w:rsidRPr="004E534D">
        <w:tab/>
        <w:t>)</w:t>
      </w:r>
    </w:p>
    <w:p w:rsidR="007E0D71" w:rsidRDefault="000A7ADD" w:rsidP="007E0D71">
      <w:pPr>
        <w:tabs>
          <w:tab w:val="left" w:pos="1440"/>
          <w:tab w:val="left" w:pos="4680"/>
          <w:tab w:val="center" w:pos="7200"/>
        </w:tabs>
        <w:spacing w:line="240" w:lineRule="atLeast"/>
      </w:pPr>
      <w:r w:rsidRPr="004E534D">
        <w:tab/>
      </w:r>
      <w:bookmarkStart w:id="2" w:name="LD"/>
      <w:bookmarkEnd w:id="2"/>
      <w:r w:rsidRPr="004E534D">
        <w:t>Plaintiff and Appellant,</w:t>
      </w:r>
      <w:r>
        <w:tab/>
        <w:t>)</w:t>
      </w:r>
    </w:p>
    <w:p w:rsidR="007E0D71" w:rsidRPr="004E534D" w:rsidRDefault="000A7ADD" w:rsidP="007E0D71">
      <w:pPr>
        <w:tabs>
          <w:tab w:val="left" w:pos="1440"/>
          <w:tab w:val="left" w:pos="4680"/>
          <w:tab w:val="center" w:pos="7200"/>
        </w:tabs>
        <w:spacing w:line="240" w:lineRule="atLeast"/>
      </w:pPr>
      <w:r>
        <w:tab/>
      </w:r>
      <w:r>
        <w:tab/>
        <w:t>)</w:t>
      </w:r>
    </w:p>
    <w:p w:rsidR="007E0D71" w:rsidRDefault="000A7ADD" w:rsidP="007E0D71">
      <w:pPr>
        <w:tabs>
          <w:tab w:val="left" w:pos="1440"/>
          <w:tab w:val="left" w:pos="4680"/>
          <w:tab w:val="center" w:pos="7200"/>
        </w:tabs>
        <w:spacing w:line="240" w:lineRule="atLeast"/>
      </w:pPr>
      <w:r w:rsidRPr="004E534D">
        <w:tab/>
        <w:t>v.</w:t>
      </w:r>
      <w:r w:rsidRPr="004E534D">
        <w:tab/>
        <w:t>)</w:t>
      </w:r>
      <w:bookmarkStart w:id="3" w:name="appealnum"/>
      <w:bookmarkEnd w:id="3"/>
      <w:r>
        <w:tab/>
      </w:r>
      <w:r w:rsidRPr="004E534D">
        <w:t>9th Cir. No</w:t>
      </w:r>
      <w:r>
        <w:t>s</w:t>
      </w:r>
      <w:r w:rsidRPr="004E534D">
        <w:t>. 14-16314</w:t>
      </w:r>
      <w:r>
        <w:t>,</w:t>
      </w:r>
    </w:p>
    <w:p w:rsidR="007E0D71" w:rsidRPr="007E0D71" w:rsidRDefault="000A7ADD" w:rsidP="007E0D71">
      <w:pPr>
        <w:tabs>
          <w:tab w:val="left" w:pos="1440"/>
          <w:tab w:val="left" w:pos="4680"/>
          <w:tab w:val="center" w:pos="7200"/>
        </w:tabs>
        <w:spacing w:line="240" w:lineRule="atLeast"/>
      </w:pPr>
      <w:r>
        <w:tab/>
      </w:r>
      <w:r>
        <w:tab/>
        <w:t>)</w:t>
      </w:r>
      <w:r>
        <w:tab/>
        <w:t xml:space="preserve">14-16315, 14-16317, </w:t>
      </w:r>
      <w:r w:rsidRPr="007E0D71">
        <w:t>14-1631</w:t>
      </w:r>
      <w:r>
        <w:t>8</w:t>
      </w:r>
      <w:r w:rsidRPr="007E0D71">
        <w:t xml:space="preserve"> </w:t>
      </w:r>
    </w:p>
    <w:p w:rsidR="007E0D71" w:rsidRPr="004E534D" w:rsidRDefault="000A7ADD" w:rsidP="007E0D71">
      <w:pPr>
        <w:tabs>
          <w:tab w:val="left" w:pos="4680"/>
          <w:tab w:val="center" w:pos="7200"/>
        </w:tabs>
        <w:spacing w:line="240" w:lineRule="atLeast"/>
      </w:pPr>
      <w:bookmarkStart w:id="4" w:name="defendant"/>
      <w:bookmarkEnd w:id="4"/>
      <w:r>
        <w:t>DAVIS WRIGHT TREMAINE</w:t>
      </w:r>
      <w:r w:rsidRPr="004E534D">
        <w:t xml:space="preserve"> LLP,</w:t>
      </w:r>
      <w:r w:rsidRPr="004E534D">
        <w:tab/>
        <w:t>)</w:t>
      </w:r>
    </w:p>
    <w:p w:rsidR="007E0D71" w:rsidRPr="004E534D" w:rsidRDefault="000A7ADD" w:rsidP="007E0D71">
      <w:pPr>
        <w:tabs>
          <w:tab w:val="left" w:pos="4680"/>
          <w:tab w:val="center" w:pos="7200"/>
        </w:tabs>
        <w:spacing w:line="240" w:lineRule="atLeast"/>
      </w:pPr>
      <w:r w:rsidRPr="004E534D">
        <w:tab/>
        <w:t>)</w:t>
      </w:r>
      <w:r w:rsidRPr="004E534D">
        <w:tab/>
      </w:r>
      <w:bookmarkStart w:id="5" w:name="county"/>
      <w:bookmarkEnd w:id="5"/>
      <w:r w:rsidRPr="004E534D">
        <w:t xml:space="preserve"> </w:t>
      </w:r>
    </w:p>
    <w:p w:rsidR="007E0D71" w:rsidRDefault="000A7ADD" w:rsidP="007E0D71">
      <w:pPr>
        <w:tabs>
          <w:tab w:val="left" w:pos="1440"/>
          <w:tab w:val="left" w:pos="4680"/>
          <w:tab w:val="center" w:pos="7200"/>
        </w:tabs>
        <w:spacing w:line="240" w:lineRule="atLeast"/>
      </w:pPr>
      <w:r w:rsidRPr="004E534D">
        <w:tab/>
      </w:r>
      <w:bookmarkStart w:id="6" w:name="VD"/>
      <w:bookmarkEnd w:id="6"/>
      <w:r w:rsidRPr="004E534D">
        <w:t>Defendant and Respondent.</w:t>
      </w:r>
      <w:r>
        <w:tab/>
        <w:t>)</w:t>
      </w:r>
    </w:p>
    <w:p w:rsidR="007E0D71" w:rsidRDefault="000A7ADD" w:rsidP="007E0D71">
      <w:pPr>
        <w:tabs>
          <w:tab w:val="left" w:pos="1440"/>
          <w:tab w:val="left" w:pos="4680"/>
          <w:tab w:val="center" w:pos="7200"/>
        </w:tabs>
        <w:spacing w:line="240" w:lineRule="atLeast"/>
      </w:pPr>
      <w:r>
        <w:tab/>
      </w:r>
      <w:r>
        <w:tab/>
        <w:t>)</w:t>
      </w:r>
    </w:p>
    <w:p w:rsidR="001B01B6" w:rsidRDefault="000A7ADD" w:rsidP="00675A33">
      <w:pPr>
        <w:widowControl w:val="0"/>
        <w:tabs>
          <w:tab w:val="left" w:pos="4680"/>
          <w:tab w:val="left" w:pos="7200"/>
          <w:tab w:val="left" w:pos="8640"/>
        </w:tabs>
        <w:autoSpaceDE w:val="0"/>
        <w:autoSpaceDN w:val="0"/>
        <w:adjustRightInd w:val="0"/>
        <w:rPr>
          <w:color w:val="000000"/>
          <w:szCs w:val="26"/>
        </w:rPr>
      </w:pPr>
      <w:r>
        <w:rPr>
          <w:color w:val="000000"/>
          <w:szCs w:val="26"/>
        </w:rPr>
        <w:t xml:space="preserve">AND RELATED </w:t>
      </w:r>
      <w:r>
        <w:rPr>
          <w:color w:val="000000"/>
          <w:szCs w:val="26"/>
        </w:rPr>
        <w:t>CASES.</w:t>
      </w:r>
      <w:r>
        <w:rPr>
          <w:color w:val="000000"/>
          <w:szCs w:val="26"/>
        </w:rPr>
        <w:tab/>
        <w:t>)</w:t>
      </w:r>
      <w:bookmarkStart w:id="7" w:name="supernum"/>
      <w:bookmarkEnd w:id="7"/>
    </w:p>
    <w:p w:rsidR="00CE14A7" w:rsidRDefault="000A7ADD" w:rsidP="00CE14A7">
      <w:pPr>
        <w:tabs>
          <w:tab w:val="left" w:leader="underscore" w:pos="4680"/>
        </w:tabs>
        <w:spacing w:line="240" w:lineRule="atLeast"/>
        <w:rPr>
          <w:u w:val="single"/>
        </w:rPr>
      </w:pPr>
      <w:r>
        <w:tab/>
        <w:t>)</w:t>
      </w:r>
    </w:p>
    <w:p w:rsidR="00CE14A7" w:rsidRPr="007E0D71" w:rsidRDefault="000A7ADD" w:rsidP="00675A33">
      <w:pPr>
        <w:widowControl w:val="0"/>
        <w:tabs>
          <w:tab w:val="left" w:pos="4680"/>
          <w:tab w:val="left" w:pos="7200"/>
          <w:tab w:val="left" w:pos="8640"/>
        </w:tabs>
        <w:autoSpaceDE w:val="0"/>
        <w:autoSpaceDN w:val="0"/>
        <w:adjustRightInd w:val="0"/>
        <w:rPr>
          <w:color w:val="000000"/>
          <w:szCs w:val="26"/>
        </w:rPr>
      </w:pPr>
    </w:p>
    <w:p w:rsidR="00C8494B" w:rsidRDefault="000A7ADD">
      <w:pPr>
        <w:rPr>
          <w:b/>
        </w:rPr>
      </w:pPr>
    </w:p>
    <w:p w:rsidR="00900F07" w:rsidRDefault="000A7ADD" w:rsidP="00900F07">
      <w:pPr>
        <w:tabs>
          <w:tab w:val="left" w:pos="1440"/>
        </w:tabs>
        <w:spacing w:line="480" w:lineRule="atLeast"/>
        <w:ind w:firstLine="720"/>
        <w:rPr>
          <w:szCs w:val="26"/>
        </w:rPr>
      </w:pPr>
      <w:bookmarkStart w:id="8" w:name="mainstory"/>
      <w:bookmarkEnd w:id="8"/>
      <w:r w:rsidRPr="00DE6288">
        <w:rPr>
          <w:szCs w:val="26"/>
        </w:rPr>
        <w:t>Like</w:t>
      </w:r>
      <w:r>
        <w:rPr>
          <w:szCs w:val="26"/>
        </w:rPr>
        <w:t xml:space="preserve"> “cloud-</w:t>
      </w:r>
      <w:proofErr w:type="spellStart"/>
      <w:r>
        <w:rPr>
          <w:szCs w:val="26"/>
        </w:rPr>
        <w:t>capp’d</w:t>
      </w:r>
      <w:proofErr w:type="spellEnd"/>
      <w:r>
        <w:rPr>
          <w:szCs w:val="26"/>
        </w:rPr>
        <w:t xml:space="preserve"> tow</w:t>
      </w:r>
      <w:r>
        <w:rPr>
          <w:szCs w:val="26"/>
        </w:rPr>
        <w:t>e</w:t>
      </w:r>
      <w:r>
        <w:rPr>
          <w:szCs w:val="26"/>
        </w:rPr>
        <w:t>rs,” “gorgeous palaces,” and perhaps someday even “the great globe itself,” many arrangements endure for some time but eventually dissolve.</w:t>
      </w:r>
      <w:r>
        <w:rPr>
          <w:rStyle w:val="FootnoteReference"/>
          <w:szCs w:val="26"/>
        </w:rPr>
        <w:footnoteReference w:id="2"/>
      </w:r>
      <w:r>
        <w:rPr>
          <w:szCs w:val="26"/>
        </w:rPr>
        <w:t xml:space="preserve">  So too with certain law partnerships –– including firms that are retained, before they dissolve, to handle matters on an hourly basis.  The question before us is </w:t>
      </w:r>
      <w:r>
        <w:rPr>
          <w:szCs w:val="26"/>
        </w:rPr>
        <w:t xml:space="preserve">whether a dissolved law firm retains a property </w:t>
      </w:r>
      <w:r>
        <w:rPr>
          <w:szCs w:val="26"/>
        </w:rPr>
        <w:t>interest in such legal matters that are in p</w:t>
      </w:r>
      <w:r>
        <w:rPr>
          <w:szCs w:val="26"/>
        </w:rPr>
        <w:t xml:space="preserve">rogress –– but not completed –– at the time of dissolution.  </w:t>
      </w:r>
      <w:r w:rsidRPr="004E534D">
        <w:rPr>
          <w:szCs w:val="26"/>
        </w:rPr>
        <w:t xml:space="preserve">The </w:t>
      </w:r>
      <w:r>
        <w:rPr>
          <w:szCs w:val="26"/>
        </w:rPr>
        <w:t xml:space="preserve">United States Court of Appeals for the Ninth Circuit asks us to answer this question, which implicates both common law principles and statutory rules of partnership law, and </w:t>
      </w:r>
      <w:r>
        <w:rPr>
          <w:szCs w:val="26"/>
        </w:rPr>
        <w:t xml:space="preserve">has implications </w:t>
      </w:r>
      <w:r>
        <w:rPr>
          <w:szCs w:val="26"/>
        </w:rPr>
        <w:t>for the</w:t>
      </w:r>
      <w:r>
        <w:rPr>
          <w:szCs w:val="26"/>
        </w:rPr>
        <w:t xml:space="preserve"> competing interests of </w:t>
      </w:r>
      <w:r>
        <w:rPr>
          <w:szCs w:val="26"/>
        </w:rPr>
        <w:t xml:space="preserve">ongoing and dissolved </w:t>
      </w:r>
      <w:r>
        <w:rPr>
          <w:szCs w:val="26"/>
        </w:rPr>
        <w:t>law partnerships, partners</w:t>
      </w:r>
      <w:r>
        <w:rPr>
          <w:szCs w:val="26"/>
        </w:rPr>
        <w:t xml:space="preserve"> and firm employees</w:t>
      </w:r>
      <w:r>
        <w:rPr>
          <w:szCs w:val="26"/>
        </w:rPr>
        <w:t xml:space="preserve">, </w:t>
      </w:r>
      <w:r>
        <w:rPr>
          <w:szCs w:val="26"/>
        </w:rPr>
        <w:t xml:space="preserve">creditors and </w:t>
      </w:r>
      <w:r>
        <w:rPr>
          <w:szCs w:val="26"/>
        </w:rPr>
        <w:t>clients.</w:t>
      </w:r>
    </w:p>
    <w:p w:rsidR="008A0DE7" w:rsidRDefault="000A7ADD" w:rsidP="00850D55">
      <w:pPr>
        <w:tabs>
          <w:tab w:val="left" w:pos="1440"/>
        </w:tabs>
        <w:spacing w:line="480" w:lineRule="atLeast"/>
        <w:ind w:firstLine="720"/>
        <w:rPr>
          <w:szCs w:val="26"/>
        </w:rPr>
      </w:pPr>
      <w:r>
        <w:rPr>
          <w:szCs w:val="26"/>
        </w:rPr>
        <w:lastRenderedPageBreak/>
        <w:t>What we hold is that</w:t>
      </w:r>
      <w:r>
        <w:rPr>
          <w:szCs w:val="26"/>
        </w:rPr>
        <w:t xml:space="preserve"> </w:t>
      </w:r>
      <w:r>
        <w:rPr>
          <w:szCs w:val="26"/>
        </w:rPr>
        <w:t xml:space="preserve">under California law, a dissolved law </w:t>
      </w:r>
      <w:r>
        <w:rPr>
          <w:szCs w:val="26"/>
        </w:rPr>
        <w:t>firm</w:t>
      </w:r>
      <w:r>
        <w:rPr>
          <w:szCs w:val="26"/>
        </w:rPr>
        <w:t xml:space="preserve"> </w:t>
      </w:r>
      <w:r>
        <w:rPr>
          <w:szCs w:val="26"/>
        </w:rPr>
        <w:t xml:space="preserve">has no </w:t>
      </w:r>
      <w:r>
        <w:rPr>
          <w:szCs w:val="26"/>
        </w:rPr>
        <w:t>property</w:t>
      </w:r>
      <w:r>
        <w:rPr>
          <w:szCs w:val="26"/>
        </w:rPr>
        <w:t xml:space="preserve"> </w:t>
      </w:r>
      <w:r>
        <w:rPr>
          <w:szCs w:val="26"/>
        </w:rPr>
        <w:t xml:space="preserve">interest in </w:t>
      </w:r>
      <w:r>
        <w:rPr>
          <w:szCs w:val="26"/>
        </w:rPr>
        <w:t>legal matters handled on an hourly basis,</w:t>
      </w:r>
      <w:r>
        <w:rPr>
          <w:szCs w:val="26"/>
        </w:rPr>
        <w:t xml:space="preserve"> and therefore, no property interest in the </w:t>
      </w:r>
      <w:r>
        <w:rPr>
          <w:szCs w:val="26"/>
        </w:rPr>
        <w:t xml:space="preserve">profits generated by </w:t>
      </w:r>
      <w:r>
        <w:rPr>
          <w:szCs w:val="26"/>
        </w:rPr>
        <w:t xml:space="preserve">its former partners’ </w:t>
      </w:r>
      <w:r>
        <w:rPr>
          <w:szCs w:val="26"/>
        </w:rPr>
        <w:t>work on hourly fee matters</w:t>
      </w:r>
      <w:r>
        <w:rPr>
          <w:szCs w:val="26"/>
        </w:rPr>
        <w:t xml:space="preserve"> </w:t>
      </w:r>
      <w:r>
        <w:rPr>
          <w:szCs w:val="26"/>
        </w:rPr>
        <w:t>pending at the time of the firm’s dissolution</w:t>
      </w:r>
      <w:r>
        <w:rPr>
          <w:szCs w:val="26"/>
        </w:rPr>
        <w:t>.</w:t>
      </w:r>
      <w:r>
        <w:rPr>
          <w:szCs w:val="26"/>
        </w:rPr>
        <w:t xml:space="preserve">  </w:t>
      </w:r>
      <w:r>
        <w:rPr>
          <w:szCs w:val="26"/>
        </w:rPr>
        <w:t>The</w:t>
      </w:r>
      <w:r>
        <w:rPr>
          <w:szCs w:val="26"/>
        </w:rPr>
        <w:t xml:space="preserve"> </w:t>
      </w:r>
      <w:r>
        <w:rPr>
          <w:szCs w:val="26"/>
        </w:rPr>
        <w:t>partnership</w:t>
      </w:r>
      <w:r>
        <w:rPr>
          <w:szCs w:val="26"/>
        </w:rPr>
        <w:t xml:space="preserve"> has</w:t>
      </w:r>
      <w:r>
        <w:rPr>
          <w:szCs w:val="26"/>
        </w:rPr>
        <w:t xml:space="preserve"> no more than an expectation that it may continue to work on </w:t>
      </w:r>
      <w:r>
        <w:rPr>
          <w:szCs w:val="26"/>
        </w:rPr>
        <w:t>such</w:t>
      </w:r>
      <w:r>
        <w:rPr>
          <w:szCs w:val="26"/>
        </w:rPr>
        <w:t xml:space="preserve"> matters</w:t>
      </w:r>
      <w:r>
        <w:rPr>
          <w:szCs w:val="26"/>
        </w:rPr>
        <w:t>, a</w:t>
      </w:r>
      <w:r>
        <w:rPr>
          <w:szCs w:val="26"/>
        </w:rPr>
        <w:t xml:space="preserve">nd </w:t>
      </w:r>
      <w:r>
        <w:rPr>
          <w:szCs w:val="26"/>
        </w:rPr>
        <w:t>that expectation</w:t>
      </w:r>
      <w:r>
        <w:rPr>
          <w:szCs w:val="26"/>
        </w:rPr>
        <w:t xml:space="preserve"> </w:t>
      </w:r>
      <w:r>
        <w:rPr>
          <w:szCs w:val="26"/>
        </w:rPr>
        <w:t xml:space="preserve">may </w:t>
      </w:r>
      <w:proofErr w:type="gramStart"/>
      <w:r>
        <w:rPr>
          <w:szCs w:val="26"/>
        </w:rPr>
        <w:t>be dashed</w:t>
      </w:r>
      <w:proofErr w:type="gramEnd"/>
      <w:r>
        <w:rPr>
          <w:szCs w:val="26"/>
        </w:rPr>
        <w:t xml:space="preserve"> at any time by a client’s choice to remove </w:t>
      </w:r>
      <w:r>
        <w:rPr>
          <w:szCs w:val="26"/>
        </w:rPr>
        <w:t>its business</w:t>
      </w:r>
      <w:r>
        <w:rPr>
          <w:szCs w:val="26"/>
        </w:rPr>
        <w:t xml:space="preserve">.  As such, the </w:t>
      </w:r>
      <w:r>
        <w:rPr>
          <w:szCs w:val="26"/>
        </w:rPr>
        <w:t xml:space="preserve">firm’s expectation — a mere possibility </w:t>
      </w:r>
      <w:r>
        <w:rPr>
          <w:szCs w:val="26"/>
        </w:rPr>
        <w:t>of</w:t>
      </w:r>
      <w:r>
        <w:rPr>
          <w:szCs w:val="26"/>
        </w:rPr>
        <w:t xml:space="preserve"> unearned, prospective fees</w:t>
      </w:r>
      <w:r>
        <w:rPr>
          <w:szCs w:val="26"/>
        </w:rPr>
        <w:t xml:space="preserve"> — cannot constitute a</w:t>
      </w:r>
      <w:r>
        <w:rPr>
          <w:szCs w:val="26"/>
        </w:rPr>
        <w:t xml:space="preserve"> property </w:t>
      </w:r>
      <w:r>
        <w:rPr>
          <w:szCs w:val="26"/>
        </w:rPr>
        <w:t xml:space="preserve">interest.  </w:t>
      </w:r>
      <w:r>
        <w:rPr>
          <w:szCs w:val="26"/>
        </w:rPr>
        <w:t xml:space="preserve">To the </w:t>
      </w:r>
      <w:proofErr w:type="gramStart"/>
      <w:r>
        <w:rPr>
          <w:szCs w:val="26"/>
        </w:rPr>
        <w:t>extent</w:t>
      </w:r>
      <w:proofErr w:type="gramEnd"/>
      <w:r>
        <w:rPr>
          <w:szCs w:val="26"/>
        </w:rPr>
        <w:t xml:space="preserve"> the law firm </w:t>
      </w:r>
      <w:r>
        <w:rPr>
          <w:szCs w:val="26"/>
        </w:rPr>
        <w:t>has</w:t>
      </w:r>
      <w:r>
        <w:rPr>
          <w:szCs w:val="26"/>
        </w:rPr>
        <w:t xml:space="preserve"> a claim</w:t>
      </w:r>
      <w:r>
        <w:rPr>
          <w:szCs w:val="26"/>
        </w:rPr>
        <w:t>,</w:t>
      </w:r>
      <w:r>
        <w:rPr>
          <w:szCs w:val="26"/>
        </w:rPr>
        <w:t xml:space="preserve"> its</w:t>
      </w:r>
      <w:r>
        <w:rPr>
          <w:szCs w:val="26"/>
        </w:rPr>
        <w:t xml:space="preserve"> </w:t>
      </w:r>
      <w:r>
        <w:rPr>
          <w:szCs w:val="26"/>
        </w:rPr>
        <w:t>claim</w:t>
      </w:r>
      <w:r>
        <w:rPr>
          <w:szCs w:val="26"/>
        </w:rPr>
        <w:t xml:space="preserve"> is limited</w:t>
      </w:r>
      <w:r>
        <w:rPr>
          <w:szCs w:val="26"/>
        </w:rPr>
        <w:t xml:space="preserve"> </w:t>
      </w:r>
      <w:r>
        <w:rPr>
          <w:szCs w:val="26"/>
        </w:rPr>
        <w:t xml:space="preserve">to </w:t>
      </w:r>
      <w:r>
        <w:rPr>
          <w:szCs w:val="26"/>
        </w:rPr>
        <w:t xml:space="preserve">the work necessary </w:t>
      </w:r>
      <w:r>
        <w:rPr>
          <w:szCs w:val="26"/>
        </w:rPr>
        <w:t>for</w:t>
      </w:r>
      <w:r>
        <w:rPr>
          <w:szCs w:val="26"/>
        </w:rPr>
        <w:t xml:space="preserve"> preserv</w:t>
      </w:r>
      <w:r>
        <w:rPr>
          <w:szCs w:val="26"/>
        </w:rPr>
        <w:t>ing</w:t>
      </w:r>
      <w:r>
        <w:rPr>
          <w:szCs w:val="26"/>
        </w:rPr>
        <w:t xml:space="preserve"> legal</w:t>
      </w:r>
      <w:r>
        <w:rPr>
          <w:szCs w:val="26"/>
        </w:rPr>
        <w:t xml:space="preserve"> matters so they </w:t>
      </w:r>
      <w:r>
        <w:rPr>
          <w:szCs w:val="26"/>
        </w:rPr>
        <w:t xml:space="preserve">can </w:t>
      </w:r>
      <w:r>
        <w:rPr>
          <w:szCs w:val="26"/>
        </w:rPr>
        <w:t>be transferred to new counsel of the client’s choice (or the cl</w:t>
      </w:r>
      <w:r>
        <w:rPr>
          <w:szCs w:val="26"/>
        </w:rPr>
        <w:t>ient itself)</w:t>
      </w:r>
      <w:r>
        <w:rPr>
          <w:szCs w:val="26"/>
        </w:rPr>
        <w:t>,</w:t>
      </w:r>
      <w:r>
        <w:rPr>
          <w:szCs w:val="26"/>
        </w:rPr>
        <w:t xml:space="preserve"> </w:t>
      </w:r>
      <w:r>
        <w:rPr>
          <w:szCs w:val="26"/>
        </w:rPr>
        <w:t xml:space="preserve">effectuating </w:t>
      </w:r>
      <w:r>
        <w:rPr>
          <w:szCs w:val="26"/>
        </w:rPr>
        <w:t xml:space="preserve">such </w:t>
      </w:r>
      <w:r>
        <w:rPr>
          <w:szCs w:val="26"/>
        </w:rPr>
        <w:t xml:space="preserve">a </w:t>
      </w:r>
      <w:r>
        <w:rPr>
          <w:szCs w:val="26"/>
        </w:rPr>
        <w:t>transfer</w:t>
      </w:r>
      <w:r>
        <w:rPr>
          <w:szCs w:val="26"/>
        </w:rPr>
        <w:t>,</w:t>
      </w:r>
      <w:r>
        <w:rPr>
          <w:szCs w:val="26"/>
        </w:rPr>
        <w:t xml:space="preserve"> or </w:t>
      </w:r>
      <w:r>
        <w:rPr>
          <w:szCs w:val="26"/>
        </w:rPr>
        <w:t>collect</w:t>
      </w:r>
      <w:r>
        <w:rPr>
          <w:szCs w:val="26"/>
        </w:rPr>
        <w:t>ing</w:t>
      </w:r>
      <w:r>
        <w:rPr>
          <w:szCs w:val="26"/>
        </w:rPr>
        <w:t xml:space="preserve"> on work done pre</w:t>
      </w:r>
      <w:r>
        <w:rPr>
          <w:szCs w:val="26"/>
        </w:rPr>
        <w:t>transfer.</w:t>
      </w:r>
      <w:r>
        <w:rPr>
          <w:szCs w:val="26"/>
        </w:rPr>
        <w:t xml:space="preserve"> </w:t>
      </w:r>
    </w:p>
    <w:p w:rsidR="007D3931" w:rsidRPr="004E534D" w:rsidRDefault="000A7ADD" w:rsidP="007D3931">
      <w:pPr>
        <w:pStyle w:val="Heading1"/>
      </w:pPr>
      <w:r>
        <w:t>I.</w:t>
      </w:r>
    </w:p>
    <w:p w:rsidR="007D3931" w:rsidRPr="004E534D" w:rsidRDefault="000A7ADD" w:rsidP="007D3931">
      <w:pPr>
        <w:spacing w:line="480" w:lineRule="exact"/>
        <w:rPr>
          <w:szCs w:val="26"/>
        </w:rPr>
      </w:pPr>
      <w:r w:rsidRPr="004E534D">
        <w:tab/>
      </w:r>
      <w:r>
        <w:rPr>
          <w:szCs w:val="26"/>
        </w:rPr>
        <w:t xml:space="preserve">Petitioner </w:t>
      </w:r>
      <w:r w:rsidRPr="004E534D">
        <w:rPr>
          <w:szCs w:val="26"/>
        </w:rPr>
        <w:t>Heller</w:t>
      </w:r>
      <w:r>
        <w:rPr>
          <w:szCs w:val="26"/>
        </w:rPr>
        <w:t xml:space="preserve"> </w:t>
      </w:r>
      <w:proofErr w:type="spellStart"/>
      <w:r>
        <w:rPr>
          <w:szCs w:val="26"/>
        </w:rPr>
        <w:t>Ehrman</w:t>
      </w:r>
      <w:proofErr w:type="spellEnd"/>
      <w:r w:rsidRPr="004E534D">
        <w:rPr>
          <w:szCs w:val="26"/>
        </w:rPr>
        <w:t xml:space="preserve"> </w:t>
      </w:r>
      <w:r>
        <w:rPr>
          <w:szCs w:val="26"/>
        </w:rPr>
        <w:t xml:space="preserve">(Heller) </w:t>
      </w:r>
      <w:r w:rsidRPr="004E534D">
        <w:rPr>
          <w:szCs w:val="26"/>
        </w:rPr>
        <w:t xml:space="preserve">was a global law </w:t>
      </w:r>
      <w:r>
        <w:rPr>
          <w:szCs w:val="26"/>
        </w:rPr>
        <w:t>partnership</w:t>
      </w:r>
      <w:r w:rsidRPr="004E534D">
        <w:rPr>
          <w:szCs w:val="26"/>
        </w:rPr>
        <w:t xml:space="preserve"> with more than 700 attorneys.</w:t>
      </w:r>
      <w:r>
        <w:rPr>
          <w:szCs w:val="26"/>
        </w:rPr>
        <w:t xml:space="preserve">  By August 31, 2008, </w:t>
      </w:r>
      <w:r>
        <w:rPr>
          <w:szCs w:val="26"/>
        </w:rPr>
        <w:t>the firm</w:t>
      </w:r>
      <w:r w:rsidRPr="004E534D">
        <w:rPr>
          <w:szCs w:val="26"/>
        </w:rPr>
        <w:t xml:space="preserve"> was </w:t>
      </w:r>
      <w:r>
        <w:rPr>
          <w:szCs w:val="26"/>
        </w:rPr>
        <w:t xml:space="preserve">in </w:t>
      </w:r>
      <w:r w:rsidRPr="004E534D">
        <w:rPr>
          <w:szCs w:val="26"/>
        </w:rPr>
        <w:t>financial distress</w:t>
      </w:r>
      <w:r>
        <w:rPr>
          <w:szCs w:val="26"/>
        </w:rPr>
        <w:t xml:space="preserve">.  </w:t>
      </w:r>
      <w:r>
        <w:rPr>
          <w:szCs w:val="26"/>
        </w:rPr>
        <w:t>Heller’s</w:t>
      </w:r>
      <w:r>
        <w:rPr>
          <w:szCs w:val="26"/>
        </w:rPr>
        <w:t xml:space="preserve"> creditors </w:t>
      </w:r>
      <w:r>
        <w:rPr>
          <w:szCs w:val="26"/>
        </w:rPr>
        <w:t xml:space="preserve">soon </w:t>
      </w:r>
      <w:r>
        <w:rPr>
          <w:szCs w:val="26"/>
        </w:rPr>
        <w:t xml:space="preserve">declared </w:t>
      </w:r>
      <w:r>
        <w:rPr>
          <w:szCs w:val="26"/>
        </w:rPr>
        <w:t>it</w:t>
      </w:r>
      <w:r>
        <w:rPr>
          <w:szCs w:val="26"/>
        </w:rPr>
        <w:t xml:space="preserve"> in default</w:t>
      </w:r>
      <w:r>
        <w:rPr>
          <w:szCs w:val="26"/>
        </w:rPr>
        <w:t xml:space="preserve">, </w:t>
      </w:r>
      <w:r>
        <w:rPr>
          <w:szCs w:val="26"/>
        </w:rPr>
        <w:t xml:space="preserve">and </w:t>
      </w:r>
      <w:r>
        <w:rPr>
          <w:szCs w:val="26"/>
        </w:rPr>
        <w:t xml:space="preserve">Heller’s </w:t>
      </w:r>
      <w:r>
        <w:rPr>
          <w:szCs w:val="26"/>
        </w:rPr>
        <w:t>shareholders —</w:t>
      </w:r>
      <w:r>
        <w:rPr>
          <w:szCs w:val="26"/>
        </w:rPr>
        <w:t xml:space="preserve"> lawyers responsible for running the firm and p</w:t>
      </w:r>
      <w:r>
        <w:rPr>
          <w:szCs w:val="26"/>
        </w:rPr>
        <w:t>rovi</w:t>
      </w:r>
      <w:r>
        <w:rPr>
          <w:szCs w:val="26"/>
        </w:rPr>
        <w:t>ding</w:t>
      </w:r>
      <w:r>
        <w:rPr>
          <w:szCs w:val="26"/>
        </w:rPr>
        <w:t xml:space="preserve"> </w:t>
      </w:r>
      <w:r>
        <w:rPr>
          <w:szCs w:val="26"/>
        </w:rPr>
        <w:t>legal services to its clients —</w:t>
      </w:r>
      <w:r>
        <w:rPr>
          <w:szCs w:val="26"/>
        </w:rPr>
        <w:t xml:space="preserve"> </w:t>
      </w:r>
      <w:r w:rsidRPr="004E534D">
        <w:rPr>
          <w:szCs w:val="26"/>
        </w:rPr>
        <w:t>vote</w:t>
      </w:r>
      <w:r>
        <w:rPr>
          <w:szCs w:val="26"/>
        </w:rPr>
        <w:t xml:space="preserve">d to </w:t>
      </w:r>
      <w:r>
        <w:rPr>
          <w:szCs w:val="26"/>
        </w:rPr>
        <w:t xml:space="preserve">dissolve the </w:t>
      </w:r>
      <w:r>
        <w:rPr>
          <w:szCs w:val="26"/>
        </w:rPr>
        <w:t>firm</w:t>
      </w:r>
      <w:r>
        <w:rPr>
          <w:szCs w:val="26"/>
        </w:rPr>
        <w:t xml:space="preserve">.  </w:t>
      </w:r>
      <w:r>
        <w:rPr>
          <w:szCs w:val="26"/>
        </w:rPr>
        <w:t>Heller</w:t>
      </w:r>
      <w:r>
        <w:rPr>
          <w:szCs w:val="26"/>
        </w:rPr>
        <w:t xml:space="preserve"> </w:t>
      </w:r>
      <w:r>
        <w:rPr>
          <w:szCs w:val="26"/>
        </w:rPr>
        <w:t xml:space="preserve">notified its clients that </w:t>
      </w:r>
      <w:r>
        <w:rPr>
          <w:szCs w:val="26"/>
        </w:rPr>
        <w:t xml:space="preserve">as of October 31, 2008, </w:t>
      </w:r>
      <w:r>
        <w:rPr>
          <w:szCs w:val="26"/>
        </w:rPr>
        <w:t xml:space="preserve">it would no longer be able to provide </w:t>
      </w:r>
      <w:r>
        <w:rPr>
          <w:szCs w:val="26"/>
        </w:rPr>
        <w:t xml:space="preserve">any </w:t>
      </w:r>
      <w:r>
        <w:rPr>
          <w:szCs w:val="26"/>
        </w:rPr>
        <w:t>legal services.</w:t>
      </w:r>
    </w:p>
    <w:p w:rsidR="007D3931" w:rsidRPr="004E534D" w:rsidRDefault="000A7ADD" w:rsidP="007D3931">
      <w:pPr>
        <w:spacing w:line="480" w:lineRule="exact"/>
        <w:rPr>
          <w:szCs w:val="26"/>
        </w:rPr>
      </w:pPr>
      <w:r w:rsidRPr="004E534D">
        <w:rPr>
          <w:szCs w:val="26"/>
        </w:rPr>
        <w:tab/>
      </w:r>
      <w:r>
        <w:rPr>
          <w:szCs w:val="26"/>
        </w:rPr>
        <w:t>Heller</w:t>
      </w:r>
      <w:r>
        <w:rPr>
          <w:szCs w:val="26"/>
        </w:rPr>
        <w:t>’s dissolution plan</w:t>
      </w:r>
      <w:r w:rsidRPr="004E534D">
        <w:rPr>
          <w:szCs w:val="26"/>
        </w:rPr>
        <w:t xml:space="preserve"> included a </w:t>
      </w:r>
      <w:r>
        <w:rPr>
          <w:szCs w:val="26"/>
        </w:rPr>
        <w:t>provision</w:t>
      </w:r>
      <w:r w:rsidRPr="004E534D">
        <w:rPr>
          <w:szCs w:val="26"/>
        </w:rPr>
        <w:t xml:space="preserve"> </w:t>
      </w:r>
      <w:r>
        <w:rPr>
          <w:szCs w:val="26"/>
        </w:rPr>
        <w:t xml:space="preserve">known as a </w:t>
      </w:r>
      <w:r>
        <w:rPr>
          <w:i/>
          <w:iCs/>
          <w:szCs w:val="26"/>
        </w:rPr>
        <w:t xml:space="preserve">Jewel </w:t>
      </w:r>
      <w:r>
        <w:rPr>
          <w:szCs w:val="26"/>
        </w:rPr>
        <w:t>waiver</w:t>
      </w:r>
      <w:r>
        <w:rPr>
          <w:szCs w:val="26"/>
        </w:rPr>
        <w:t>.  Named after</w:t>
      </w:r>
      <w:r>
        <w:rPr>
          <w:szCs w:val="26"/>
        </w:rPr>
        <w:t xml:space="preserve"> the case</w:t>
      </w:r>
      <w:r>
        <w:rPr>
          <w:szCs w:val="26"/>
        </w:rPr>
        <w:t xml:space="preserve"> of</w:t>
      </w:r>
      <w:r>
        <w:rPr>
          <w:szCs w:val="26"/>
        </w:rPr>
        <w:t xml:space="preserve"> </w:t>
      </w:r>
      <w:r w:rsidRPr="004E534D">
        <w:rPr>
          <w:i/>
          <w:iCs/>
          <w:szCs w:val="26"/>
        </w:rPr>
        <w:t>Jewel v. Boxer</w:t>
      </w:r>
      <w:r>
        <w:rPr>
          <w:szCs w:val="26"/>
        </w:rPr>
        <w:t xml:space="preserve"> </w:t>
      </w:r>
      <w:r w:rsidRPr="004E534D">
        <w:rPr>
          <w:szCs w:val="26"/>
        </w:rPr>
        <w:t>(1984</w:t>
      </w:r>
      <w:r>
        <w:rPr>
          <w:szCs w:val="26"/>
        </w:rPr>
        <w:t>)</w:t>
      </w:r>
      <w:r w:rsidRPr="004E534D">
        <w:rPr>
          <w:szCs w:val="26"/>
        </w:rPr>
        <w:t xml:space="preserve"> 156 Cal.</w:t>
      </w:r>
      <w:r>
        <w:rPr>
          <w:szCs w:val="26"/>
        </w:rPr>
        <w:t>App.</w:t>
      </w:r>
      <w:r w:rsidRPr="004E534D">
        <w:rPr>
          <w:szCs w:val="26"/>
        </w:rPr>
        <w:t xml:space="preserve">3d 171 </w:t>
      </w:r>
      <w:r>
        <w:rPr>
          <w:szCs w:val="26"/>
        </w:rPr>
        <w:t>(</w:t>
      </w:r>
      <w:r>
        <w:rPr>
          <w:i/>
          <w:iCs/>
          <w:szCs w:val="26"/>
        </w:rPr>
        <w:t>Jewel</w:t>
      </w:r>
      <w:r>
        <w:rPr>
          <w:szCs w:val="26"/>
        </w:rPr>
        <w:t>)</w:t>
      </w:r>
      <w:r>
        <w:rPr>
          <w:szCs w:val="26"/>
        </w:rPr>
        <w:t xml:space="preserve">, </w:t>
      </w:r>
      <w:r>
        <w:rPr>
          <w:szCs w:val="26"/>
        </w:rPr>
        <w:t>the provision</w:t>
      </w:r>
      <w:r>
        <w:rPr>
          <w:szCs w:val="26"/>
        </w:rPr>
        <w:t xml:space="preserve"> </w:t>
      </w:r>
      <w:r>
        <w:rPr>
          <w:szCs w:val="26"/>
        </w:rPr>
        <w:t xml:space="preserve">purported to waive </w:t>
      </w:r>
      <w:r>
        <w:rPr>
          <w:szCs w:val="26"/>
        </w:rPr>
        <w:t xml:space="preserve">any </w:t>
      </w:r>
      <w:r w:rsidRPr="004E534D">
        <w:rPr>
          <w:szCs w:val="26"/>
        </w:rPr>
        <w:t xml:space="preserve">rights and claims </w:t>
      </w:r>
      <w:r>
        <w:rPr>
          <w:szCs w:val="26"/>
        </w:rPr>
        <w:t xml:space="preserve">Heller </w:t>
      </w:r>
      <w:r>
        <w:rPr>
          <w:szCs w:val="26"/>
        </w:rPr>
        <w:t>may have</w:t>
      </w:r>
      <w:r>
        <w:rPr>
          <w:szCs w:val="26"/>
        </w:rPr>
        <w:t xml:space="preserve"> had</w:t>
      </w:r>
      <w:r>
        <w:rPr>
          <w:szCs w:val="26"/>
        </w:rPr>
        <w:t xml:space="preserve"> </w:t>
      </w:r>
      <w:r w:rsidRPr="004E534D">
        <w:rPr>
          <w:szCs w:val="26"/>
        </w:rPr>
        <w:t>“to seek payment of legal fees generated after the departure date of any lawyer or group of lawyers with</w:t>
      </w:r>
      <w:r w:rsidRPr="004E534D">
        <w:rPr>
          <w:szCs w:val="26"/>
        </w:rPr>
        <w:t xml:space="preserve"> respect to non-contingen</w:t>
      </w:r>
      <w:r>
        <w:rPr>
          <w:szCs w:val="26"/>
        </w:rPr>
        <w:t>cy/non-success fee matters only</w:t>
      </w:r>
      <w:r>
        <w:rPr>
          <w:szCs w:val="26"/>
        </w:rPr>
        <w:t>.</w:t>
      </w:r>
      <w:r>
        <w:rPr>
          <w:szCs w:val="26"/>
        </w:rPr>
        <w:t>”</w:t>
      </w:r>
      <w:r>
        <w:rPr>
          <w:szCs w:val="26"/>
        </w:rPr>
        <w:t xml:space="preserve">  </w:t>
      </w:r>
      <w:r>
        <w:rPr>
          <w:szCs w:val="26"/>
        </w:rPr>
        <w:t>T</w:t>
      </w:r>
      <w:r>
        <w:rPr>
          <w:szCs w:val="26"/>
        </w:rPr>
        <w:t xml:space="preserve">he waiver </w:t>
      </w:r>
      <w:proofErr w:type="gramStart"/>
      <w:r w:rsidRPr="004E534D">
        <w:rPr>
          <w:szCs w:val="26"/>
        </w:rPr>
        <w:t xml:space="preserve">was </w:t>
      </w:r>
      <w:r>
        <w:rPr>
          <w:szCs w:val="26"/>
        </w:rPr>
        <w:t>intended</w:t>
      </w:r>
      <w:proofErr w:type="gramEnd"/>
      <w:r>
        <w:rPr>
          <w:szCs w:val="26"/>
        </w:rPr>
        <w:t xml:space="preserve"> as </w:t>
      </w:r>
      <w:r w:rsidRPr="004E534D">
        <w:rPr>
          <w:szCs w:val="26"/>
        </w:rPr>
        <w:t>“an inducement to encourage Shareholders to move their clients to other law firms and to move Associates and Staff with them, the effect of which will be to reduce expen</w:t>
      </w:r>
      <w:r w:rsidRPr="004E534D">
        <w:rPr>
          <w:szCs w:val="26"/>
        </w:rPr>
        <w:t>ses to the Firm-in-Dissolution.”</w:t>
      </w:r>
      <w:r>
        <w:rPr>
          <w:szCs w:val="26"/>
        </w:rPr>
        <w:t xml:space="preserve">  </w:t>
      </w:r>
      <w:r>
        <w:rPr>
          <w:szCs w:val="26"/>
        </w:rPr>
        <w:t>B</w:t>
      </w:r>
      <w:r>
        <w:rPr>
          <w:szCs w:val="26"/>
        </w:rPr>
        <w:t xml:space="preserve">y its express </w:t>
      </w:r>
      <w:r>
        <w:rPr>
          <w:szCs w:val="26"/>
        </w:rPr>
        <w:lastRenderedPageBreak/>
        <w:t xml:space="preserve">terms, the waiver governed only those matters </w:t>
      </w:r>
      <w:r>
        <w:rPr>
          <w:szCs w:val="26"/>
        </w:rPr>
        <w:t xml:space="preserve">billed on </w:t>
      </w:r>
      <w:r>
        <w:rPr>
          <w:szCs w:val="26"/>
        </w:rPr>
        <w:t xml:space="preserve">a </w:t>
      </w:r>
      <w:r>
        <w:rPr>
          <w:szCs w:val="26"/>
        </w:rPr>
        <w:t>non-contingency</w:t>
      </w:r>
      <w:r>
        <w:rPr>
          <w:szCs w:val="26"/>
        </w:rPr>
        <w:t xml:space="preserve"> </w:t>
      </w:r>
      <w:r>
        <w:rPr>
          <w:szCs w:val="26"/>
        </w:rPr>
        <w:t>––</w:t>
      </w:r>
      <w:r>
        <w:rPr>
          <w:szCs w:val="26"/>
        </w:rPr>
        <w:t xml:space="preserve"> t</w:t>
      </w:r>
      <w:r>
        <w:rPr>
          <w:szCs w:val="26"/>
        </w:rPr>
        <w:t xml:space="preserve">hat is continual, or </w:t>
      </w:r>
      <w:r>
        <w:rPr>
          <w:szCs w:val="26"/>
        </w:rPr>
        <w:t>hourly</w:t>
      </w:r>
      <w:r>
        <w:rPr>
          <w:szCs w:val="26"/>
        </w:rPr>
        <w:t xml:space="preserve"> </w:t>
      </w:r>
      <w:r>
        <w:rPr>
          <w:szCs w:val="26"/>
        </w:rPr>
        <w:t>––</w:t>
      </w:r>
      <w:r>
        <w:rPr>
          <w:szCs w:val="26"/>
        </w:rPr>
        <w:t xml:space="preserve"> basis.</w:t>
      </w:r>
    </w:p>
    <w:p w:rsidR="000A23B6" w:rsidRDefault="000A7ADD" w:rsidP="007D3931">
      <w:pPr>
        <w:spacing w:line="480" w:lineRule="exact"/>
        <w:rPr>
          <w:szCs w:val="26"/>
        </w:rPr>
      </w:pPr>
      <w:r w:rsidRPr="004E534D">
        <w:rPr>
          <w:szCs w:val="26"/>
        </w:rPr>
        <w:tab/>
      </w:r>
      <w:r>
        <w:rPr>
          <w:szCs w:val="26"/>
        </w:rPr>
        <w:t xml:space="preserve">In the following months, </w:t>
      </w:r>
      <w:r>
        <w:rPr>
          <w:szCs w:val="26"/>
        </w:rPr>
        <w:t>Heller</w:t>
      </w:r>
      <w:r w:rsidRPr="004E534D">
        <w:rPr>
          <w:szCs w:val="26"/>
        </w:rPr>
        <w:t xml:space="preserve">’s former shareholders joined at least </w:t>
      </w:r>
      <w:r>
        <w:rPr>
          <w:szCs w:val="26"/>
        </w:rPr>
        <w:t>16</w:t>
      </w:r>
      <w:r w:rsidRPr="004E534D">
        <w:rPr>
          <w:szCs w:val="26"/>
        </w:rPr>
        <w:t xml:space="preserve"> oth</w:t>
      </w:r>
      <w:r>
        <w:rPr>
          <w:szCs w:val="26"/>
        </w:rPr>
        <w:t>er law firms</w:t>
      </w:r>
      <w:r>
        <w:rPr>
          <w:szCs w:val="26"/>
        </w:rPr>
        <w:t xml:space="preserve">, </w:t>
      </w:r>
      <w:r>
        <w:rPr>
          <w:szCs w:val="26"/>
        </w:rPr>
        <w:t>including the r</w:t>
      </w:r>
      <w:r>
        <w:rPr>
          <w:szCs w:val="26"/>
        </w:rPr>
        <w:t xml:space="preserve">espondent law firms of </w:t>
      </w:r>
      <w:r>
        <w:rPr>
          <w:szCs w:val="26"/>
        </w:rPr>
        <w:t>Davis Wright Tremaine LLP</w:t>
      </w:r>
      <w:r>
        <w:rPr>
          <w:szCs w:val="26"/>
        </w:rPr>
        <w:t>;</w:t>
      </w:r>
      <w:r>
        <w:rPr>
          <w:szCs w:val="26"/>
        </w:rPr>
        <w:t xml:space="preserve"> Jones Day,</w:t>
      </w:r>
      <w:r w:rsidRPr="004E534D">
        <w:rPr>
          <w:szCs w:val="26"/>
        </w:rPr>
        <w:t xml:space="preserve"> Orr</w:t>
      </w:r>
      <w:r>
        <w:rPr>
          <w:szCs w:val="26"/>
        </w:rPr>
        <w:t>ick, Herrington &amp; Sutcliffe LLP</w:t>
      </w:r>
      <w:r>
        <w:rPr>
          <w:szCs w:val="26"/>
        </w:rPr>
        <w:t>;</w:t>
      </w:r>
      <w:r w:rsidRPr="004E534D">
        <w:rPr>
          <w:szCs w:val="26"/>
        </w:rPr>
        <w:t xml:space="preserve"> and Foley &amp; Lardner LLP</w:t>
      </w:r>
      <w:r>
        <w:rPr>
          <w:szCs w:val="26"/>
        </w:rPr>
        <w:t xml:space="preserve">.  Many of </w:t>
      </w:r>
      <w:r>
        <w:rPr>
          <w:szCs w:val="26"/>
        </w:rPr>
        <w:t>Heller</w:t>
      </w:r>
      <w:r w:rsidRPr="004E534D">
        <w:rPr>
          <w:szCs w:val="26"/>
        </w:rPr>
        <w:t>’s former clients</w:t>
      </w:r>
      <w:r>
        <w:rPr>
          <w:szCs w:val="26"/>
        </w:rPr>
        <w:t xml:space="preserve"> </w:t>
      </w:r>
      <w:r>
        <w:rPr>
          <w:szCs w:val="26"/>
        </w:rPr>
        <w:t>––</w:t>
      </w:r>
      <w:r>
        <w:rPr>
          <w:szCs w:val="26"/>
        </w:rPr>
        <w:t xml:space="preserve"> and </w:t>
      </w:r>
      <w:r>
        <w:rPr>
          <w:szCs w:val="26"/>
        </w:rPr>
        <w:t>all of those who went to the r</w:t>
      </w:r>
      <w:r>
        <w:rPr>
          <w:szCs w:val="26"/>
        </w:rPr>
        <w:t>espondent</w:t>
      </w:r>
      <w:r>
        <w:rPr>
          <w:szCs w:val="26"/>
        </w:rPr>
        <w:t xml:space="preserve">s — </w:t>
      </w:r>
      <w:r w:rsidRPr="004E534D">
        <w:rPr>
          <w:szCs w:val="26"/>
        </w:rPr>
        <w:t>s</w:t>
      </w:r>
      <w:r>
        <w:rPr>
          <w:szCs w:val="26"/>
        </w:rPr>
        <w:t xml:space="preserve">igned </w:t>
      </w:r>
      <w:r>
        <w:rPr>
          <w:szCs w:val="26"/>
        </w:rPr>
        <w:t xml:space="preserve">new </w:t>
      </w:r>
      <w:r>
        <w:rPr>
          <w:szCs w:val="26"/>
        </w:rPr>
        <w:t>retainer</w:t>
      </w:r>
      <w:r>
        <w:rPr>
          <w:szCs w:val="26"/>
        </w:rPr>
        <w:t xml:space="preserve"> agreements</w:t>
      </w:r>
      <w:r>
        <w:rPr>
          <w:szCs w:val="26"/>
        </w:rPr>
        <w:t>.</w:t>
      </w:r>
    </w:p>
    <w:p w:rsidR="007D3931" w:rsidRPr="004E534D" w:rsidRDefault="000A7ADD" w:rsidP="000A23B6">
      <w:pPr>
        <w:spacing w:line="480" w:lineRule="exact"/>
        <w:ind w:firstLine="720"/>
        <w:rPr>
          <w:szCs w:val="26"/>
        </w:rPr>
      </w:pPr>
      <w:r>
        <w:rPr>
          <w:szCs w:val="26"/>
        </w:rPr>
        <w:t>In t</w:t>
      </w:r>
      <w:r>
        <w:rPr>
          <w:szCs w:val="26"/>
        </w:rPr>
        <w:t xml:space="preserve">he </w:t>
      </w:r>
      <w:r>
        <w:rPr>
          <w:szCs w:val="26"/>
        </w:rPr>
        <w:t>meantime</w:t>
      </w:r>
      <w:r>
        <w:rPr>
          <w:szCs w:val="26"/>
        </w:rPr>
        <w:t xml:space="preserve">, </w:t>
      </w:r>
      <w:r>
        <w:rPr>
          <w:szCs w:val="26"/>
        </w:rPr>
        <w:t>Heller</w:t>
      </w:r>
      <w:r w:rsidRPr="004E534D">
        <w:rPr>
          <w:szCs w:val="26"/>
        </w:rPr>
        <w:t xml:space="preserve"> filed </w:t>
      </w:r>
      <w:r>
        <w:rPr>
          <w:szCs w:val="26"/>
        </w:rPr>
        <w:t xml:space="preserve">for bankruptcy </w:t>
      </w:r>
      <w:r>
        <w:rPr>
          <w:szCs w:val="26"/>
        </w:rPr>
        <w:t>under c</w:t>
      </w:r>
      <w:r w:rsidRPr="004E534D">
        <w:rPr>
          <w:szCs w:val="26"/>
        </w:rPr>
        <w:t>hapter 11 of the</w:t>
      </w:r>
      <w:r>
        <w:rPr>
          <w:szCs w:val="26"/>
        </w:rPr>
        <w:t xml:space="preserve"> United States</w:t>
      </w:r>
      <w:r w:rsidRPr="004E534D">
        <w:rPr>
          <w:szCs w:val="26"/>
        </w:rPr>
        <w:t xml:space="preserve"> Bankruptcy Code.  </w:t>
      </w:r>
      <w:r>
        <w:rPr>
          <w:szCs w:val="26"/>
        </w:rPr>
        <w:t xml:space="preserve">When </w:t>
      </w:r>
      <w:r w:rsidRPr="00FC49F8">
        <w:rPr>
          <w:szCs w:val="26"/>
        </w:rPr>
        <w:t xml:space="preserve">Heller’s plan of liquidation </w:t>
      </w:r>
      <w:proofErr w:type="gramStart"/>
      <w:r w:rsidRPr="00FC49F8">
        <w:rPr>
          <w:szCs w:val="26"/>
        </w:rPr>
        <w:t>was approved</w:t>
      </w:r>
      <w:proofErr w:type="gramEnd"/>
      <w:r>
        <w:rPr>
          <w:szCs w:val="26"/>
        </w:rPr>
        <w:t>,</w:t>
      </w:r>
      <w:r w:rsidRPr="00FC49F8">
        <w:rPr>
          <w:szCs w:val="26"/>
        </w:rPr>
        <w:t xml:space="preserve"> </w:t>
      </w:r>
      <w:r>
        <w:rPr>
          <w:szCs w:val="26"/>
        </w:rPr>
        <w:t>t</w:t>
      </w:r>
      <w:r>
        <w:rPr>
          <w:szCs w:val="26"/>
        </w:rPr>
        <w:t>he bankruptcy court</w:t>
      </w:r>
      <w:r>
        <w:rPr>
          <w:szCs w:val="26"/>
        </w:rPr>
        <w:t xml:space="preserve"> appointed a</w:t>
      </w:r>
      <w:r w:rsidRPr="004E534D">
        <w:rPr>
          <w:szCs w:val="26"/>
        </w:rPr>
        <w:t xml:space="preserve"> plan administrator</w:t>
      </w:r>
      <w:r>
        <w:rPr>
          <w:szCs w:val="26"/>
        </w:rPr>
        <w:t xml:space="preserve"> who</w:t>
      </w:r>
      <w:r>
        <w:rPr>
          <w:szCs w:val="26"/>
        </w:rPr>
        <w:t xml:space="preserve"> </w:t>
      </w:r>
      <w:r w:rsidRPr="004E534D">
        <w:rPr>
          <w:szCs w:val="26"/>
        </w:rPr>
        <w:t>became responsible for pursuing claims to recover</w:t>
      </w:r>
      <w:r>
        <w:rPr>
          <w:szCs w:val="26"/>
        </w:rPr>
        <w:t xml:space="preserve"> assets for the benefit of </w:t>
      </w:r>
      <w:r>
        <w:rPr>
          <w:szCs w:val="26"/>
        </w:rPr>
        <w:t>Heller</w:t>
      </w:r>
      <w:r w:rsidRPr="004E534D">
        <w:rPr>
          <w:szCs w:val="26"/>
        </w:rPr>
        <w:t>’s creditors.</w:t>
      </w:r>
    </w:p>
    <w:p w:rsidR="007D3931" w:rsidRDefault="000A7ADD" w:rsidP="007D3931">
      <w:pPr>
        <w:autoSpaceDE w:val="0"/>
        <w:autoSpaceDN w:val="0"/>
        <w:adjustRightInd w:val="0"/>
        <w:spacing w:line="480" w:lineRule="exact"/>
        <w:rPr>
          <w:szCs w:val="26"/>
        </w:rPr>
      </w:pPr>
      <w:r w:rsidRPr="004E534D">
        <w:rPr>
          <w:szCs w:val="26"/>
        </w:rPr>
        <w:tab/>
        <w:t>In December 2010, the administrator filed adversary proceedings in bank</w:t>
      </w:r>
      <w:r>
        <w:rPr>
          <w:szCs w:val="26"/>
        </w:rPr>
        <w:t xml:space="preserve">ruptcy court on behalf of </w:t>
      </w:r>
      <w:r>
        <w:rPr>
          <w:szCs w:val="26"/>
        </w:rPr>
        <w:t>Heller</w:t>
      </w:r>
      <w:r w:rsidRPr="004E534D">
        <w:rPr>
          <w:szCs w:val="26"/>
        </w:rPr>
        <w:t xml:space="preserve"> </w:t>
      </w:r>
      <w:r>
        <w:rPr>
          <w:szCs w:val="26"/>
        </w:rPr>
        <w:t>against the</w:t>
      </w:r>
      <w:r>
        <w:rPr>
          <w:szCs w:val="26"/>
        </w:rPr>
        <w:t xml:space="preserve"> </w:t>
      </w:r>
      <w:r>
        <w:rPr>
          <w:szCs w:val="26"/>
        </w:rPr>
        <w:t>law firms</w:t>
      </w:r>
      <w:r>
        <w:rPr>
          <w:szCs w:val="26"/>
        </w:rPr>
        <w:t xml:space="preserve"> where </w:t>
      </w:r>
      <w:r>
        <w:rPr>
          <w:szCs w:val="26"/>
        </w:rPr>
        <w:t>Heller</w:t>
      </w:r>
      <w:r>
        <w:rPr>
          <w:szCs w:val="26"/>
        </w:rPr>
        <w:t xml:space="preserve">’s former </w:t>
      </w:r>
      <w:r>
        <w:rPr>
          <w:szCs w:val="26"/>
        </w:rPr>
        <w:t>shareholders</w:t>
      </w:r>
      <w:r>
        <w:rPr>
          <w:szCs w:val="26"/>
        </w:rPr>
        <w:t xml:space="preserve"> had found work</w:t>
      </w:r>
      <w:r>
        <w:rPr>
          <w:szCs w:val="26"/>
        </w:rPr>
        <w:t>.  The administrator sought</w:t>
      </w:r>
      <w:r>
        <w:rPr>
          <w:szCs w:val="26"/>
        </w:rPr>
        <w:t xml:space="preserve"> to </w:t>
      </w:r>
      <w:r>
        <w:rPr>
          <w:szCs w:val="26"/>
        </w:rPr>
        <w:t>se</w:t>
      </w:r>
      <w:r>
        <w:rPr>
          <w:szCs w:val="26"/>
        </w:rPr>
        <w:t>t aside</w:t>
      </w:r>
      <w:r w:rsidRPr="004E534D">
        <w:rPr>
          <w:szCs w:val="26"/>
        </w:rPr>
        <w:t xml:space="preserve"> the </w:t>
      </w:r>
      <w:r>
        <w:rPr>
          <w:i/>
          <w:iCs/>
          <w:szCs w:val="26"/>
        </w:rPr>
        <w:t xml:space="preserve">Jewel </w:t>
      </w:r>
      <w:r w:rsidRPr="004E534D">
        <w:rPr>
          <w:szCs w:val="26"/>
        </w:rPr>
        <w:t>waiver</w:t>
      </w:r>
      <w:r>
        <w:rPr>
          <w:szCs w:val="26"/>
        </w:rPr>
        <w:t xml:space="preserve">, claiming that </w:t>
      </w:r>
      <w:r>
        <w:rPr>
          <w:szCs w:val="26"/>
        </w:rPr>
        <w:t>under the Bankruptcy Code,</w:t>
      </w:r>
      <w:r>
        <w:rPr>
          <w:szCs w:val="26"/>
        </w:rPr>
        <w:t xml:space="preserve"> </w:t>
      </w:r>
      <w:r>
        <w:rPr>
          <w:szCs w:val="26"/>
        </w:rPr>
        <w:t>the waiver wa</w:t>
      </w:r>
      <w:r>
        <w:rPr>
          <w:szCs w:val="26"/>
        </w:rPr>
        <w:t>s a</w:t>
      </w:r>
      <w:r w:rsidRPr="004E534D">
        <w:rPr>
          <w:szCs w:val="26"/>
        </w:rPr>
        <w:t xml:space="preserve"> </w:t>
      </w:r>
      <w:r w:rsidRPr="00803F5C">
        <w:rPr>
          <w:szCs w:val="26"/>
        </w:rPr>
        <w:t>fraudulent transfer</w:t>
      </w:r>
      <w:r>
        <w:rPr>
          <w:szCs w:val="26"/>
        </w:rPr>
        <w:t xml:space="preserve"> of </w:t>
      </w:r>
      <w:r>
        <w:rPr>
          <w:szCs w:val="26"/>
        </w:rPr>
        <w:t>Heller</w:t>
      </w:r>
      <w:r w:rsidRPr="004E534D">
        <w:rPr>
          <w:szCs w:val="26"/>
        </w:rPr>
        <w:t xml:space="preserve">’s rights </w:t>
      </w:r>
      <w:r>
        <w:rPr>
          <w:szCs w:val="26"/>
        </w:rPr>
        <w:t xml:space="preserve">to </w:t>
      </w:r>
      <w:proofErr w:type="spellStart"/>
      <w:r>
        <w:rPr>
          <w:szCs w:val="26"/>
        </w:rPr>
        <w:t>postdissolution</w:t>
      </w:r>
      <w:proofErr w:type="spellEnd"/>
      <w:r>
        <w:rPr>
          <w:szCs w:val="26"/>
        </w:rPr>
        <w:t xml:space="preserve"> </w:t>
      </w:r>
      <w:r>
        <w:rPr>
          <w:szCs w:val="26"/>
        </w:rPr>
        <w:t xml:space="preserve">fees </w:t>
      </w:r>
      <w:r>
        <w:rPr>
          <w:szCs w:val="26"/>
        </w:rPr>
        <w:t>to its</w:t>
      </w:r>
      <w:r>
        <w:rPr>
          <w:szCs w:val="26"/>
        </w:rPr>
        <w:t xml:space="preserve"> former shareholders, and from them, to their new </w:t>
      </w:r>
      <w:r>
        <w:rPr>
          <w:szCs w:val="26"/>
        </w:rPr>
        <w:t>firms</w:t>
      </w:r>
      <w:r w:rsidRPr="004E534D">
        <w:rPr>
          <w:szCs w:val="26"/>
        </w:rPr>
        <w:t xml:space="preserve">.  </w:t>
      </w:r>
      <w:r>
        <w:rPr>
          <w:szCs w:val="26"/>
        </w:rPr>
        <w:t xml:space="preserve">While </w:t>
      </w:r>
      <w:r>
        <w:rPr>
          <w:szCs w:val="26"/>
        </w:rPr>
        <w:t>it was not the</w:t>
      </w:r>
      <w:r>
        <w:rPr>
          <w:szCs w:val="26"/>
        </w:rPr>
        <w:t xml:space="preserve"> administrator</w:t>
      </w:r>
      <w:r>
        <w:rPr>
          <w:szCs w:val="26"/>
        </w:rPr>
        <w:t xml:space="preserve">’s </w:t>
      </w:r>
      <w:r>
        <w:rPr>
          <w:szCs w:val="26"/>
        </w:rPr>
        <w:t>allegation that</w:t>
      </w:r>
      <w:r>
        <w:rPr>
          <w:szCs w:val="26"/>
        </w:rPr>
        <w:t xml:space="preserve"> </w:t>
      </w:r>
      <w:r>
        <w:rPr>
          <w:szCs w:val="26"/>
        </w:rPr>
        <w:t xml:space="preserve">the </w:t>
      </w:r>
      <w:r>
        <w:rPr>
          <w:szCs w:val="26"/>
        </w:rPr>
        <w:t xml:space="preserve">shareholders breached any fiduciary </w:t>
      </w:r>
      <w:r>
        <w:rPr>
          <w:szCs w:val="26"/>
        </w:rPr>
        <w:t>duty</w:t>
      </w:r>
      <w:r>
        <w:rPr>
          <w:szCs w:val="26"/>
        </w:rPr>
        <w:t xml:space="preserve"> while </w:t>
      </w:r>
      <w:r>
        <w:rPr>
          <w:szCs w:val="26"/>
        </w:rPr>
        <w:t>working</w:t>
      </w:r>
      <w:r>
        <w:rPr>
          <w:szCs w:val="26"/>
        </w:rPr>
        <w:t xml:space="preserve"> </w:t>
      </w:r>
      <w:r>
        <w:rPr>
          <w:szCs w:val="26"/>
        </w:rPr>
        <w:t>for</w:t>
      </w:r>
      <w:r>
        <w:rPr>
          <w:szCs w:val="26"/>
        </w:rPr>
        <w:t xml:space="preserve"> </w:t>
      </w:r>
      <w:r>
        <w:rPr>
          <w:szCs w:val="26"/>
        </w:rPr>
        <w:t>Heller</w:t>
      </w:r>
      <w:r>
        <w:rPr>
          <w:szCs w:val="26"/>
        </w:rPr>
        <w:t xml:space="preserve">, </w:t>
      </w:r>
      <w:r>
        <w:rPr>
          <w:szCs w:val="26"/>
        </w:rPr>
        <w:t>the administrator</w:t>
      </w:r>
      <w:r>
        <w:rPr>
          <w:szCs w:val="26"/>
        </w:rPr>
        <w:t xml:space="preserve"> </w:t>
      </w:r>
      <w:r>
        <w:rPr>
          <w:szCs w:val="26"/>
        </w:rPr>
        <w:t xml:space="preserve">nonetheless </w:t>
      </w:r>
      <w:r>
        <w:rPr>
          <w:szCs w:val="26"/>
        </w:rPr>
        <w:t>sought</w:t>
      </w:r>
      <w:r>
        <w:rPr>
          <w:szCs w:val="26"/>
        </w:rPr>
        <w:t xml:space="preserve"> </w:t>
      </w:r>
      <w:r>
        <w:rPr>
          <w:szCs w:val="26"/>
        </w:rPr>
        <w:t xml:space="preserve">to </w:t>
      </w:r>
      <w:r>
        <w:rPr>
          <w:szCs w:val="26"/>
        </w:rPr>
        <w:t xml:space="preserve">recover from </w:t>
      </w:r>
      <w:r>
        <w:rPr>
          <w:szCs w:val="26"/>
        </w:rPr>
        <w:t>the shareholders’</w:t>
      </w:r>
      <w:r>
        <w:rPr>
          <w:szCs w:val="26"/>
        </w:rPr>
        <w:t xml:space="preserve"> new</w:t>
      </w:r>
      <w:r>
        <w:rPr>
          <w:szCs w:val="26"/>
        </w:rPr>
        <w:t xml:space="preserve"> firms </w:t>
      </w:r>
      <w:r>
        <w:rPr>
          <w:szCs w:val="26"/>
        </w:rPr>
        <w:t xml:space="preserve">the </w:t>
      </w:r>
      <w:r>
        <w:rPr>
          <w:szCs w:val="26"/>
        </w:rPr>
        <w:t xml:space="preserve">profits </w:t>
      </w:r>
      <w:r>
        <w:rPr>
          <w:szCs w:val="26"/>
        </w:rPr>
        <w:t xml:space="preserve">generated </w:t>
      </w:r>
      <w:r>
        <w:rPr>
          <w:szCs w:val="26"/>
        </w:rPr>
        <w:t>by</w:t>
      </w:r>
      <w:r>
        <w:rPr>
          <w:szCs w:val="26"/>
        </w:rPr>
        <w:t xml:space="preserve"> the</w:t>
      </w:r>
      <w:r>
        <w:rPr>
          <w:szCs w:val="26"/>
        </w:rPr>
        <w:t xml:space="preserve"> </w:t>
      </w:r>
      <w:r>
        <w:rPr>
          <w:szCs w:val="26"/>
        </w:rPr>
        <w:t>hourly fee matter</w:t>
      </w:r>
      <w:r>
        <w:rPr>
          <w:szCs w:val="26"/>
        </w:rPr>
        <w:t xml:space="preserve">s pending when </w:t>
      </w:r>
      <w:r>
        <w:rPr>
          <w:szCs w:val="26"/>
        </w:rPr>
        <w:t xml:space="preserve">Heller dissolved and </w:t>
      </w:r>
      <w:proofErr w:type="gramStart"/>
      <w:r>
        <w:rPr>
          <w:szCs w:val="26"/>
        </w:rPr>
        <w:t xml:space="preserve">were </w:t>
      </w:r>
      <w:r>
        <w:rPr>
          <w:szCs w:val="26"/>
        </w:rPr>
        <w:t>brought</w:t>
      </w:r>
      <w:proofErr w:type="gramEnd"/>
      <w:r>
        <w:rPr>
          <w:szCs w:val="26"/>
        </w:rPr>
        <w:t xml:space="preserve"> to the new </w:t>
      </w:r>
      <w:r>
        <w:rPr>
          <w:szCs w:val="26"/>
        </w:rPr>
        <w:t>firms</w:t>
      </w:r>
      <w:r>
        <w:rPr>
          <w:szCs w:val="26"/>
        </w:rPr>
        <w:t>.</w:t>
      </w:r>
    </w:p>
    <w:p w:rsidR="007D3931" w:rsidRPr="004E534D" w:rsidRDefault="000A7ADD" w:rsidP="007D3931">
      <w:pPr>
        <w:autoSpaceDE w:val="0"/>
        <w:autoSpaceDN w:val="0"/>
        <w:adjustRightInd w:val="0"/>
        <w:spacing w:line="480" w:lineRule="exact"/>
        <w:rPr>
          <w:szCs w:val="26"/>
        </w:rPr>
      </w:pPr>
      <w:r w:rsidRPr="004E534D">
        <w:rPr>
          <w:szCs w:val="26"/>
        </w:rPr>
        <w:tab/>
      </w:r>
      <w:r>
        <w:rPr>
          <w:szCs w:val="26"/>
        </w:rPr>
        <w:t>The r</w:t>
      </w:r>
      <w:r>
        <w:rPr>
          <w:szCs w:val="26"/>
        </w:rPr>
        <w:t>espondent</w:t>
      </w:r>
      <w:r>
        <w:rPr>
          <w:szCs w:val="26"/>
        </w:rPr>
        <w:t xml:space="preserve">s </w:t>
      </w:r>
      <w:r>
        <w:rPr>
          <w:szCs w:val="26"/>
        </w:rPr>
        <w:t>vigorously cont</w:t>
      </w:r>
      <w:r>
        <w:rPr>
          <w:szCs w:val="26"/>
        </w:rPr>
        <w:t>ested the administrator’s claim</w:t>
      </w:r>
      <w:r>
        <w:rPr>
          <w:szCs w:val="26"/>
        </w:rPr>
        <w:t xml:space="preserve">.  </w:t>
      </w:r>
      <w:r>
        <w:rPr>
          <w:szCs w:val="26"/>
        </w:rPr>
        <w:t>At summary judgment,</w:t>
      </w:r>
      <w:r>
        <w:rPr>
          <w:szCs w:val="26"/>
        </w:rPr>
        <w:t xml:space="preserve"> </w:t>
      </w:r>
      <w:r>
        <w:rPr>
          <w:szCs w:val="26"/>
        </w:rPr>
        <w:t>the parties</w:t>
      </w:r>
      <w:r>
        <w:rPr>
          <w:szCs w:val="26"/>
        </w:rPr>
        <w:t xml:space="preserve"> </w:t>
      </w:r>
      <w:r>
        <w:rPr>
          <w:szCs w:val="26"/>
        </w:rPr>
        <w:t>filed cross-</w:t>
      </w:r>
      <w:r w:rsidRPr="004E534D">
        <w:rPr>
          <w:szCs w:val="26"/>
        </w:rPr>
        <w:t xml:space="preserve">motions on whether the </w:t>
      </w:r>
      <w:r>
        <w:rPr>
          <w:i/>
          <w:szCs w:val="26"/>
        </w:rPr>
        <w:t xml:space="preserve">Jewel </w:t>
      </w:r>
      <w:r w:rsidRPr="004E534D">
        <w:rPr>
          <w:szCs w:val="26"/>
        </w:rPr>
        <w:t xml:space="preserve">waiver constituted a transfer of Heller’s property to the </w:t>
      </w:r>
      <w:r>
        <w:rPr>
          <w:szCs w:val="26"/>
        </w:rPr>
        <w:t>respondents</w:t>
      </w:r>
      <w:r w:rsidRPr="004E534D">
        <w:rPr>
          <w:szCs w:val="26"/>
        </w:rPr>
        <w:t xml:space="preserve"> and whether any such</w:t>
      </w:r>
      <w:r w:rsidRPr="004E534D">
        <w:rPr>
          <w:szCs w:val="26"/>
        </w:rPr>
        <w:t xml:space="preserve"> transfer was a fraudulent transfer un</w:t>
      </w:r>
      <w:r>
        <w:rPr>
          <w:szCs w:val="26"/>
        </w:rPr>
        <w:t>der the Bankruptcy Code</w:t>
      </w:r>
      <w:r>
        <w:rPr>
          <w:szCs w:val="26"/>
        </w:rPr>
        <w:t xml:space="preserve">.  Relying on </w:t>
      </w:r>
      <w:r>
        <w:rPr>
          <w:szCs w:val="26"/>
        </w:rPr>
        <w:t xml:space="preserve">one of </w:t>
      </w:r>
      <w:r>
        <w:rPr>
          <w:szCs w:val="26"/>
        </w:rPr>
        <w:t>his</w:t>
      </w:r>
      <w:r>
        <w:rPr>
          <w:szCs w:val="26"/>
        </w:rPr>
        <w:t xml:space="preserve"> earlier decision</w:t>
      </w:r>
      <w:r>
        <w:rPr>
          <w:szCs w:val="26"/>
        </w:rPr>
        <w:t>s</w:t>
      </w:r>
      <w:r w:rsidRPr="004E534D">
        <w:rPr>
          <w:szCs w:val="26"/>
        </w:rPr>
        <w:t xml:space="preserve">, the bankruptcy </w:t>
      </w:r>
      <w:r>
        <w:rPr>
          <w:szCs w:val="26"/>
        </w:rPr>
        <w:t>judge</w:t>
      </w:r>
      <w:r w:rsidRPr="004E534D">
        <w:rPr>
          <w:szCs w:val="26"/>
        </w:rPr>
        <w:t xml:space="preserve"> </w:t>
      </w:r>
      <w:r>
        <w:rPr>
          <w:szCs w:val="26"/>
        </w:rPr>
        <w:t>f</w:t>
      </w:r>
      <w:r>
        <w:rPr>
          <w:szCs w:val="26"/>
        </w:rPr>
        <w:t>o</w:t>
      </w:r>
      <w:r>
        <w:rPr>
          <w:szCs w:val="26"/>
        </w:rPr>
        <w:t>u</w:t>
      </w:r>
      <w:r>
        <w:rPr>
          <w:szCs w:val="26"/>
        </w:rPr>
        <w:t>n</w:t>
      </w:r>
      <w:r>
        <w:rPr>
          <w:szCs w:val="26"/>
        </w:rPr>
        <w:t>d</w:t>
      </w:r>
      <w:r>
        <w:rPr>
          <w:szCs w:val="26"/>
        </w:rPr>
        <w:t xml:space="preserve"> in favor of Heller on both issues</w:t>
      </w:r>
      <w:r w:rsidRPr="004E534D">
        <w:rPr>
          <w:szCs w:val="26"/>
        </w:rPr>
        <w:t>.</w:t>
      </w:r>
    </w:p>
    <w:p w:rsidR="007D3931" w:rsidRPr="004E534D" w:rsidRDefault="000A7ADD" w:rsidP="00C7128F">
      <w:pPr>
        <w:autoSpaceDE w:val="0"/>
        <w:autoSpaceDN w:val="0"/>
        <w:adjustRightInd w:val="0"/>
        <w:spacing w:line="480" w:lineRule="exact"/>
        <w:rPr>
          <w:szCs w:val="26"/>
        </w:rPr>
      </w:pPr>
      <w:r w:rsidRPr="004E534D">
        <w:rPr>
          <w:szCs w:val="26"/>
        </w:rPr>
        <w:lastRenderedPageBreak/>
        <w:tab/>
      </w:r>
      <w:r>
        <w:rPr>
          <w:szCs w:val="26"/>
        </w:rPr>
        <w:t>T</w:t>
      </w:r>
      <w:r>
        <w:rPr>
          <w:szCs w:val="26"/>
        </w:rPr>
        <w:t>he district court</w:t>
      </w:r>
      <w:r>
        <w:rPr>
          <w:szCs w:val="26"/>
        </w:rPr>
        <w:t xml:space="preserve"> reversed</w:t>
      </w:r>
      <w:r>
        <w:rPr>
          <w:szCs w:val="26"/>
        </w:rPr>
        <w:t xml:space="preserve">.  </w:t>
      </w:r>
      <w:r w:rsidRPr="004E534D">
        <w:rPr>
          <w:szCs w:val="26"/>
        </w:rPr>
        <w:t xml:space="preserve">The court </w:t>
      </w:r>
      <w:r>
        <w:rPr>
          <w:szCs w:val="26"/>
        </w:rPr>
        <w:t xml:space="preserve">rested its </w:t>
      </w:r>
      <w:r>
        <w:rPr>
          <w:szCs w:val="26"/>
        </w:rPr>
        <w:t>ruling</w:t>
      </w:r>
      <w:r>
        <w:rPr>
          <w:szCs w:val="26"/>
        </w:rPr>
        <w:t xml:space="preserve"> on considerations of law, equity, and public policy.  </w:t>
      </w:r>
      <w:r>
        <w:rPr>
          <w:szCs w:val="26"/>
        </w:rPr>
        <w:t>In analyzing</w:t>
      </w:r>
      <w:r>
        <w:rPr>
          <w:szCs w:val="26"/>
        </w:rPr>
        <w:t xml:space="preserve"> California law, </w:t>
      </w:r>
      <w:r>
        <w:rPr>
          <w:szCs w:val="26"/>
        </w:rPr>
        <w:t xml:space="preserve">the court </w:t>
      </w:r>
      <w:r w:rsidRPr="00722EF5">
        <w:rPr>
          <w:szCs w:val="26"/>
        </w:rPr>
        <w:t>reasoned</w:t>
      </w:r>
      <w:r w:rsidRPr="004E534D">
        <w:rPr>
          <w:szCs w:val="26"/>
        </w:rPr>
        <w:t xml:space="preserve"> that </w:t>
      </w:r>
      <w:r>
        <w:rPr>
          <w:szCs w:val="26"/>
        </w:rPr>
        <w:t xml:space="preserve">the </w:t>
      </w:r>
      <w:r w:rsidRPr="004E534D">
        <w:rPr>
          <w:szCs w:val="26"/>
        </w:rPr>
        <w:t>Revised Uniform Partnership Act</w:t>
      </w:r>
      <w:r w:rsidRPr="004E534D">
        <w:rPr>
          <w:szCs w:val="26"/>
        </w:rPr>
        <w:t xml:space="preserve"> </w:t>
      </w:r>
      <w:r>
        <w:rPr>
          <w:szCs w:val="26"/>
        </w:rPr>
        <w:t>(RUPA)</w:t>
      </w:r>
      <w:r>
        <w:rPr>
          <w:szCs w:val="26"/>
        </w:rPr>
        <w:t xml:space="preserve"> </w:t>
      </w:r>
      <w:r w:rsidRPr="004E534D">
        <w:rPr>
          <w:szCs w:val="26"/>
        </w:rPr>
        <w:t xml:space="preserve">undermined </w:t>
      </w:r>
      <w:r w:rsidRPr="00722EF5">
        <w:rPr>
          <w:i/>
          <w:iCs/>
          <w:szCs w:val="26"/>
        </w:rPr>
        <w:t>Jewel</w:t>
      </w:r>
      <w:r>
        <w:rPr>
          <w:szCs w:val="26"/>
        </w:rPr>
        <w:t xml:space="preserve">, </w:t>
      </w:r>
      <w:r w:rsidRPr="00722EF5">
        <w:rPr>
          <w:szCs w:val="26"/>
        </w:rPr>
        <w:t>the</w:t>
      </w:r>
      <w:r w:rsidRPr="004E534D">
        <w:rPr>
          <w:szCs w:val="26"/>
        </w:rPr>
        <w:t xml:space="preserve"> legal foundation on which</w:t>
      </w:r>
      <w:r>
        <w:rPr>
          <w:szCs w:val="26"/>
        </w:rPr>
        <w:t xml:space="preserve"> Heller based its claim.  Specifically, the court conclude</w:t>
      </w:r>
      <w:r>
        <w:rPr>
          <w:szCs w:val="26"/>
        </w:rPr>
        <w:t>d</w:t>
      </w:r>
      <w:r w:rsidRPr="004E534D">
        <w:rPr>
          <w:szCs w:val="26"/>
        </w:rPr>
        <w:t xml:space="preserve"> </w:t>
      </w:r>
      <w:r>
        <w:rPr>
          <w:szCs w:val="26"/>
        </w:rPr>
        <w:t xml:space="preserve">that </w:t>
      </w:r>
      <w:r w:rsidRPr="004E534D">
        <w:rPr>
          <w:szCs w:val="26"/>
        </w:rPr>
        <w:t>RUPA contains no provision giving dissolved law firms the right to demand an accounting for profits earned by its former partners unde</w:t>
      </w:r>
      <w:r>
        <w:rPr>
          <w:szCs w:val="26"/>
        </w:rPr>
        <w:t xml:space="preserve">r </w:t>
      </w:r>
      <w:r>
        <w:rPr>
          <w:szCs w:val="26"/>
        </w:rPr>
        <w:t>new retainer agreement</w:t>
      </w:r>
      <w:r>
        <w:rPr>
          <w:szCs w:val="26"/>
        </w:rPr>
        <w:t>s</w:t>
      </w:r>
      <w:r>
        <w:rPr>
          <w:szCs w:val="26"/>
        </w:rPr>
        <w:t xml:space="preserve">.  </w:t>
      </w:r>
      <w:r>
        <w:rPr>
          <w:szCs w:val="26"/>
        </w:rPr>
        <w:t>T</w:t>
      </w:r>
      <w:r w:rsidRPr="004E534D">
        <w:rPr>
          <w:szCs w:val="26"/>
        </w:rPr>
        <w:t xml:space="preserve">he court </w:t>
      </w:r>
      <w:r>
        <w:rPr>
          <w:szCs w:val="26"/>
        </w:rPr>
        <w:t xml:space="preserve">ultimately </w:t>
      </w:r>
      <w:r w:rsidRPr="004E534D">
        <w:rPr>
          <w:szCs w:val="26"/>
        </w:rPr>
        <w:t xml:space="preserve">held that </w:t>
      </w:r>
      <w:r>
        <w:rPr>
          <w:szCs w:val="26"/>
        </w:rPr>
        <w:t>Heller</w:t>
      </w:r>
      <w:r w:rsidRPr="004E534D">
        <w:rPr>
          <w:szCs w:val="26"/>
        </w:rPr>
        <w:t xml:space="preserve"> did not have a property interest in </w:t>
      </w:r>
      <w:r>
        <w:rPr>
          <w:szCs w:val="26"/>
        </w:rPr>
        <w:t xml:space="preserve">the </w:t>
      </w:r>
      <w:r>
        <w:rPr>
          <w:szCs w:val="26"/>
        </w:rPr>
        <w:t>hourly fe</w:t>
      </w:r>
      <w:r>
        <w:rPr>
          <w:szCs w:val="26"/>
        </w:rPr>
        <w:t>e matter</w:t>
      </w:r>
      <w:r w:rsidRPr="004E534D">
        <w:rPr>
          <w:szCs w:val="26"/>
        </w:rPr>
        <w:t xml:space="preserve">s </w:t>
      </w:r>
      <w:r w:rsidRPr="004E534D">
        <w:rPr>
          <w:szCs w:val="26"/>
        </w:rPr>
        <w:t xml:space="preserve">pending </w:t>
      </w:r>
      <w:r w:rsidRPr="004E534D">
        <w:rPr>
          <w:szCs w:val="26"/>
        </w:rPr>
        <w:t xml:space="preserve">at dissolution. </w:t>
      </w:r>
      <w:r>
        <w:rPr>
          <w:szCs w:val="26"/>
        </w:rPr>
        <w:t xml:space="preserve"> </w:t>
      </w:r>
      <w:r>
        <w:rPr>
          <w:szCs w:val="26"/>
        </w:rPr>
        <w:t xml:space="preserve">Moreover, </w:t>
      </w:r>
      <w:r>
        <w:rPr>
          <w:szCs w:val="26"/>
        </w:rPr>
        <w:t>since</w:t>
      </w:r>
      <w:r>
        <w:rPr>
          <w:szCs w:val="26"/>
        </w:rPr>
        <w:t xml:space="preserve"> Heller did not have a property interest in such matters,</w:t>
      </w:r>
      <w:r>
        <w:rPr>
          <w:szCs w:val="26"/>
        </w:rPr>
        <w:t xml:space="preserve"> there was no fraudulent transfer to the new law firms</w:t>
      </w:r>
      <w:r>
        <w:rPr>
          <w:szCs w:val="26"/>
        </w:rPr>
        <w:t xml:space="preserve">.  The court’s decision on the property </w:t>
      </w:r>
      <w:r>
        <w:rPr>
          <w:szCs w:val="26"/>
        </w:rPr>
        <w:t xml:space="preserve">issue </w:t>
      </w:r>
      <w:r>
        <w:rPr>
          <w:szCs w:val="26"/>
        </w:rPr>
        <w:t>thus resolved the case.</w:t>
      </w:r>
    </w:p>
    <w:p w:rsidR="007D3931" w:rsidRPr="004E534D" w:rsidRDefault="000A7ADD" w:rsidP="007D3931">
      <w:pPr>
        <w:autoSpaceDE w:val="0"/>
        <w:autoSpaceDN w:val="0"/>
        <w:adjustRightInd w:val="0"/>
        <w:spacing w:line="480" w:lineRule="exact"/>
        <w:rPr>
          <w:szCs w:val="26"/>
        </w:rPr>
      </w:pPr>
      <w:r>
        <w:rPr>
          <w:szCs w:val="26"/>
        </w:rPr>
        <w:tab/>
      </w:r>
      <w:r>
        <w:rPr>
          <w:szCs w:val="26"/>
        </w:rPr>
        <w:t>Helle</w:t>
      </w:r>
      <w:r w:rsidRPr="004E534D">
        <w:rPr>
          <w:szCs w:val="26"/>
        </w:rPr>
        <w:t xml:space="preserve">r appealed to the </w:t>
      </w:r>
      <w:r w:rsidRPr="004E534D">
        <w:rPr>
          <w:szCs w:val="26"/>
        </w:rPr>
        <w:t>Ninth Circuit, which asked us to provide guidance.  We granted the Ninth Circuit’s request</w:t>
      </w:r>
      <w:r>
        <w:rPr>
          <w:szCs w:val="26"/>
        </w:rPr>
        <w:t xml:space="preserve"> that we</w:t>
      </w:r>
      <w:r>
        <w:rPr>
          <w:szCs w:val="26"/>
        </w:rPr>
        <w:t xml:space="preserve"> </w:t>
      </w:r>
      <w:r>
        <w:rPr>
          <w:szCs w:val="26"/>
        </w:rPr>
        <w:t>resolve the question of what property interest, if any, a dissolved law firm has in the legal matters, and therefore the profits, of cases that are in progre</w:t>
      </w:r>
      <w:r>
        <w:rPr>
          <w:szCs w:val="26"/>
        </w:rPr>
        <w:t>ss but not completed at the time of dissolution.</w:t>
      </w:r>
    </w:p>
    <w:p w:rsidR="007D3931" w:rsidRPr="004E534D" w:rsidRDefault="000A7ADD" w:rsidP="007D3931">
      <w:pPr>
        <w:pStyle w:val="Heading1"/>
        <w:spacing w:line="480" w:lineRule="exact"/>
        <w:rPr>
          <w:szCs w:val="26"/>
        </w:rPr>
      </w:pPr>
      <w:r>
        <w:rPr>
          <w:szCs w:val="26"/>
        </w:rPr>
        <w:t>II.</w:t>
      </w:r>
    </w:p>
    <w:p w:rsidR="007435D8" w:rsidRPr="007435D8" w:rsidRDefault="000A7ADD" w:rsidP="007435D8">
      <w:pPr>
        <w:spacing w:line="480" w:lineRule="atLeast"/>
        <w:ind w:firstLine="720"/>
        <w:rPr>
          <w:szCs w:val="26"/>
        </w:rPr>
      </w:pPr>
      <w:r w:rsidRPr="00E213D4">
        <w:rPr>
          <w:szCs w:val="26"/>
        </w:rPr>
        <w:t xml:space="preserve">Although this dispute has a direct impact on who controls the profits from ongoing cases involving hourly fees, no doubt for some </w:t>
      </w:r>
      <w:proofErr w:type="gramStart"/>
      <w:r w:rsidRPr="00E213D4">
        <w:rPr>
          <w:szCs w:val="26"/>
        </w:rPr>
        <w:t>litigants</w:t>
      </w:r>
      <w:proofErr w:type="gramEnd"/>
      <w:r w:rsidRPr="00E213D4">
        <w:rPr>
          <w:szCs w:val="26"/>
        </w:rPr>
        <w:t xml:space="preserve"> certain aspects of this case also seem to implicate broader con</w:t>
      </w:r>
      <w:r w:rsidRPr="00E213D4">
        <w:rPr>
          <w:szCs w:val="26"/>
        </w:rPr>
        <w:t>cerns — regarding, for example, the extent of partners’ fidu</w:t>
      </w:r>
      <w:r>
        <w:rPr>
          <w:szCs w:val="26"/>
        </w:rPr>
        <w:t>ciary obligations to their firm</w:t>
      </w:r>
      <w:r w:rsidRPr="00E213D4">
        <w:rPr>
          <w:szCs w:val="26"/>
        </w:rPr>
        <w:t xml:space="preserve"> or the efforts partners make to secure business on behalf of their firm.  Nonetheless, the question we must ultimately address is about the scope of a dissolved fir</w:t>
      </w:r>
      <w:r w:rsidRPr="00E213D4">
        <w:rPr>
          <w:szCs w:val="26"/>
        </w:rPr>
        <w:t xml:space="preserve">m’s </w:t>
      </w:r>
      <w:r w:rsidRPr="00E213D4">
        <w:rPr>
          <w:i/>
          <w:iCs/>
          <w:szCs w:val="26"/>
        </w:rPr>
        <w:t>property</w:t>
      </w:r>
      <w:r w:rsidRPr="00E213D4">
        <w:rPr>
          <w:szCs w:val="26"/>
        </w:rPr>
        <w:t xml:space="preserve"> interests, and whether those interests extend to the profits from ongo</w:t>
      </w:r>
      <w:r>
        <w:rPr>
          <w:szCs w:val="26"/>
        </w:rPr>
        <w:t xml:space="preserve">ing matters billed on an hourly </w:t>
      </w:r>
      <w:r w:rsidRPr="00E213D4">
        <w:rPr>
          <w:szCs w:val="26"/>
        </w:rPr>
        <w:t>fee basis.  The most sensible interpretation of the scope of property interests under our state law — along with the practical implications a</w:t>
      </w:r>
      <w:r w:rsidRPr="00E213D4">
        <w:rPr>
          <w:szCs w:val="26"/>
        </w:rPr>
        <w:t>rising from different approaches to the property issue — persuade</w:t>
      </w:r>
      <w:r>
        <w:rPr>
          <w:szCs w:val="26"/>
        </w:rPr>
        <w:t>s</w:t>
      </w:r>
      <w:r w:rsidRPr="00E213D4">
        <w:rPr>
          <w:szCs w:val="26"/>
        </w:rPr>
        <w:t xml:space="preserve"> us that the dissolved firm’s property interest here is quite narrow</w:t>
      </w:r>
      <w:r>
        <w:rPr>
          <w:szCs w:val="26"/>
        </w:rPr>
        <w:t>.</w:t>
      </w:r>
    </w:p>
    <w:p w:rsidR="003042C2" w:rsidRDefault="000A7ADD" w:rsidP="00D60C9D">
      <w:pPr>
        <w:spacing w:line="480" w:lineRule="atLeast"/>
        <w:ind w:firstLine="720"/>
        <w:rPr>
          <w:szCs w:val="26"/>
        </w:rPr>
      </w:pPr>
      <w:r>
        <w:lastRenderedPageBreak/>
        <w:t xml:space="preserve">What we conclude </w:t>
      </w:r>
      <w:r>
        <w:rPr>
          <w:szCs w:val="26"/>
        </w:rPr>
        <w:t xml:space="preserve">is that a dissolved law partnership </w:t>
      </w:r>
      <w:proofErr w:type="gramStart"/>
      <w:r>
        <w:rPr>
          <w:szCs w:val="26"/>
        </w:rPr>
        <w:t>is not entitled</w:t>
      </w:r>
      <w:proofErr w:type="gramEnd"/>
      <w:r>
        <w:rPr>
          <w:szCs w:val="26"/>
        </w:rPr>
        <w:t xml:space="preserve"> to profits derived from its former partners’ work o</w:t>
      </w:r>
      <w:r>
        <w:rPr>
          <w:szCs w:val="26"/>
        </w:rPr>
        <w:t xml:space="preserve">n unfinished hourly fee matters.  </w:t>
      </w:r>
      <w:r>
        <w:rPr>
          <w:szCs w:val="26"/>
        </w:rPr>
        <w:t>Any</w:t>
      </w:r>
      <w:r>
        <w:rPr>
          <w:szCs w:val="26"/>
        </w:rPr>
        <w:t xml:space="preserve"> </w:t>
      </w:r>
      <w:r>
        <w:rPr>
          <w:szCs w:val="26"/>
        </w:rPr>
        <w:t xml:space="preserve">expectation the law firm had in continuing the legal matters cannot </w:t>
      </w:r>
      <w:proofErr w:type="gramStart"/>
      <w:r>
        <w:rPr>
          <w:szCs w:val="26"/>
        </w:rPr>
        <w:t>be deemed</w:t>
      </w:r>
      <w:proofErr w:type="gramEnd"/>
      <w:r>
        <w:rPr>
          <w:szCs w:val="26"/>
        </w:rPr>
        <w:t xml:space="preserve"> </w:t>
      </w:r>
      <w:r>
        <w:rPr>
          <w:szCs w:val="26"/>
        </w:rPr>
        <w:t xml:space="preserve">sufficiently strong to constitute a property </w:t>
      </w:r>
      <w:r>
        <w:rPr>
          <w:szCs w:val="26"/>
        </w:rPr>
        <w:t>interest allowing it</w:t>
      </w:r>
      <w:r>
        <w:rPr>
          <w:szCs w:val="26"/>
        </w:rPr>
        <w:t xml:space="preserve"> to have</w:t>
      </w:r>
      <w:r>
        <w:rPr>
          <w:szCs w:val="26"/>
        </w:rPr>
        <w:t xml:space="preserve"> </w:t>
      </w:r>
      <w:r>
        <w:rPr>
          <w:szCs w:val="26"/>
        </w:rPr>
        <w:t xml:space="preserve">an ownership stake in </w:t>
      </w:r>
      <w:r>
        <w:rPr>
          <w:szCs w:val="26"/>
        </w:rPr>
        <w:t>fees earned by its former partners, now situ</w:t>
      </w:r>
      <w:r>
        <w:rPr>
          <w:szCs w:val="26"/>
        </w:rPr>
        <w:t xml:space="preserve">ated at new firms, working on what was </w:t>
      </w:r>
      <w:r>
        <w:rPr>
          <w:i/>
          <w:szCs w:val="26"/>
        </w:rPr>
        <w:t xml:space="preserve">formerly </w:t>
      </w:r>
      <w:r>
        <w:rPr>
          <w:szCs w:val="26"/>
        </w:rPr>
        <w:t>the dissolved firm’s cases.</w:t>
      </w:r>
      <w:r>
        <w:rPr>
          <w:szCs w:val="26"/>
        </w:rPr>
        <w:t xml:space="preserve">  Any “property, profit, or benefit” accountable to a dissolved law firm derives only from a narrow range of activities:  those associated with transferring the pending legal matter</w:t>
      </w:r>
      <w:r>
        <w:rPr>
          <w:szCs w:val="26"/>
        </w:rPr>
        <w:t xml:space="preserve">s, collecting on work already performed, and liquidating the business.  </w:t>
      </w:r>
    </w:p>
    <w:p w:rsidR="003042C2" w:rsidRDefault="000A7ADD" w:rsidP="003042C2">
      <w:pPr>
        <w:spacing w:line="480" w:lineRule="atLeast"/>
        <w:ind w:firstLine="720"/>
        <w:rPr>
          <w:szCs w:val="26"/>
        </w:rPr>
      </w:pPr>
      <w:r>
        <w:rPr>
          <w:szCs w:val="26"/>
        </w:rPr>
        <w:t>The limited nature of the interest accorded to the dissolved law firm protects clients’ choice of counsel.  It allows the clients to choose new law firms unburdened by the reach of th</w:t>
      </w:r>
      <w:r>
        <w:rPr>
          <w:szCs w:val="26"/>
        </w:rPr>
        <w:t xml:space="preserve">e dissolved firm that has </w:t>
      </w:r>
      <w:proofErr w:type="gramStart"/>
      <w:r>
        <w:rPr>
          <w:szCs w:val="26"/>
        </w:rPr>
        <w:t>been paid</w:t>
      </w:r>
      <w:proofErr w:type="gramEnd"/>
      <w:r>
        <w:rPr>
          <w:szCs w:val="26"/>
        </w:rPr>
        <w:t xml:space="preserve"> in full and discharged.  The rule also comports with our policy of encouraging labor mobility while minimizing firm instability.  It accomplishes the former by making the pending matters, and those that work on them, att</w:t>
      </w:r>
      <w:r>
        <w:rPr>
          <w:szCs w:val="26"/>
        </w:rPr>
        <w:t xml:space="preserve">ractive additions to new firms; it manages the latter by </w:t>
      </w:r>
      <w:r>
        <w:rPr>
          <w:szCs w:val="26"/>
        </w:rPr>
        <w:t>placing</w:t>
      </w:r>
      <w:r>
        <w:rPr>
          <w:szCs w:val="26"/>
        </w:rPr>
        <w:t xml:space="preserve"> partners who depart after a firm’s dissolution at no disadvantage to those who leave earlier.</w:t>
      </w:r>
    </w:p>
    <w:p w:rsidR="00786E46" w:rsidRDefault="000A7ADD" w:rsidP="00786E46">
      <w:pPr>
        <w:pStyle w:val="Heading2"/>
      </w:pPr>
      <w:r>
        <w:t>A.</w:t>
      </w:r>
    </w:p>
    <w:p w:rsidR="003042C2" w:rsidRDefault="000A7ADD" w:rsidP="000D5E0E">
      <w:pPr>
        <w:autoSpaceDE w:val="0"/>
        <w:autoSpaceDN w:val="0"/>
        <w:adjustRightInd w:val="0"/>
        <w:spacing w:line="480" w:lineRule="exact"/>
        <w:ind w:firstLine="720"/>
      </w:pPr>
      <w:r>
        <w:t xml:space="preserve">Because this dispute concerns a dissolved firm of lawyers with fiduciary duties to the firm, the law of partnership and </w:t>
      </w:r>
      <w:r>
        <w:t>its related fiduciary obligations provide</w:t>
      </w:r>
      <w:r>
        <w:t xml:space="preserve"> useful context for the analysis.  But neither previous cases nor specific statutory provisions</w:t>
      </w:r>
      <w:r>
        <w:t xml:space="preserve"> concerning partnerships resolve the question before us. </w:t>
      </w:r>
    </w:p>
    <w:p w:rsidR="00FA140B" w:rsidRPr="00722B2E" w:rsidRDefault="000A7ADD" w:rsidP="00663CCB">
      <w:pPr>
        <w:autoSpaceDE w:val="0"/>
        <w:autoSpaceDN w:val="0"/>
        <w:adjustRightInd w:val="0"/>
        <w:spacing w:line="480" w:lineRule="exact"/>
        <w:ind w:firstLine="720"/>
      </w:pPr>
      <w:r>
        <w:t>O</w:t>
      </w:r>
      <w:r w:rsidRPr="00CB7363">
        <w:t xml:space="preserve">nly twice previously — in the late </w:t>
      </w:r>
      <w:r>
        <w:t>19th</w:t>
      </w:r>
      <w:r w:rsidRPr="00CB7363">
        <w:t xml:space="preserve"> century —</w:t>
      </w:r>
      <w:r>
        <w:t xml:space="preserve"> have we</w:t>
      </w:r>
      <w:r w:rsidRPr="00CB7363">
        <w:t xml:space="preserve"> addressed the fiduciary duties of a dissolved law firm</w:t>
      </w:r>
      <w:r>
        <w:t>’s former partners</w:t>
      </w:r>
      <w:r w:rsidRPr="00CB7363">
        <w:t xml:space="preserve"> </w:t>
      </w:r>
      <w:r>
        <w:t>regarding</w:t>
      </w:r>
      <w:r w:rsidRPr="00CB7363">
        <w:t xml:space="preserve"> the unfinished business at the time of dissolution.  In </w:t>
      </w:r>
      <w:proofErr w:type="spellStart"/>
      <w:r w:rsidRPr="00CB7363">
        <w:rPr>
          <w:i/>
          <w:iCs/>
        </w:rPr>
        <w:t>Osment</w:t>
      </w:r>
      <w:proofErr w:type="spellEnd"/>
      <w:r w:rsidRPr="00CB7363">
        <w:rPr>
          <w:i/>
          <w:iCs/>
        </w:rPr>
        <w:t xml:space="preserve"> v. </w:t>
      </w:r>
      <w:proofErr w:type="spellStart"/>
      <w:r w:rsidRPr="00CB7363">
        <w:rPr>
          <w:i/>
          <w:iCs/>
        </w:rPr>
        <w:t>McElrath</w:t>
      </w:r>
      <w:proofErr w:type="spellEnd"/>
      <w:r w:rsidRPr="00CB7363">
        <w:t xml:space="preserve"> (1886) 68 Cal. 466 </w:t>
      </w:r>
      <w:r>
        <w:t xml:space="preserve">and </w:t>
      </w:r>
      <w:r w:rsidRPr="00CB7363">
        <w:rPr>
          <w:i/>
          <w:iCs/>
        </w:rPr>
        <w:t>Little v. Caldwell</w:t>
      </w:r>
      <w:r w:rsidRPr="00CB7363">
        <w:t xml:space="preserve"> (1894) 101 Cal. 553</w:t>
      </w:r>
      <w:r w:rsidRPr="00CB7363">
        <w:t xml:space="preserve">, </w:t>
      </w:r>
      <w:r>
        <w:t>we confronted situation</w:t>
      </w:r>
      <w:r>
        <w:t>s</w:t>
      </w:r>
      <w:r>
        <w:t xml:space="preserve"> in which law </w:t>
      </w:r>
      <w:r>
        <w:lastRenderedPageBreak/>
        <w:t>firm</w:t>
      </w:r>
      <w:r>
        <w:t>s</w:t>
      </w:r>
      <w:r>
        <w:t xml:space="preserve"> dissolved with </w:t>
      </w:r>
      <w:r>
        <w:t xml:space="preserve">contingency </w:t>
      </w:r>
      <w:r>
        <w:t xml:space="preserve">matters pending.  In both cases, we held that the fees generated by </w:t>
      </w:r>
      <w:r>
        <w:t>one partner</w:t>
      </w:r>
      <w:r>
        <w:t xml:space="preserve"> </w:t>
      </w:r>
      <w:r>
        <w:t xml:space="preserve">in </w:t>
      </w:r>
      <w:r>
        <w:t>completing the matte</w:t>
      </w:r>
      <w:r>
        <w:t>r</w:t>
      </w:r>
      <w:r>
        <w:t>s</w:t>
      </w:r>
      <w:r>
        <w:t xml:space="preserve"> were to </w:t>
      </w:r>
      <w:proofErr w:type="gramStart"/>
      <w:r>
        <w:t xml:space="preserve">be </w:t>
      </w:r>
      <w:r>
        <w:t>shared</w:t>
      </w:r>
      <w:proofErr w:type="gramEnd"/>
      <w:r>
        <w:t xml:space="preserve"> </w:t>
      </w:r>
      <w:r>
        <w:t xml:space="preserve">equally with </w:t>
      </w:r>
      <w:r>
        <w:t>the former partner</w:t>
      </w:r>
      <w:r>
        <w:t xml:space="preserve"> (or his estate).  </w:t>
      </w:r>
      <w:r w:rsidRPr="00CB7363">
        <w:t>(</w:t>
      </w:r>
      <w:proofErr w:type="spellStart"/>
      <w:r w:rsidRPr="00663CCB">
        <w:rPr>
          <w:i/>
          <w:iCs/>
        </w:rPr>
        <w:t>Osment</w:t>
      </w:r>
      <w:proofErr w:type="spellEnd"/>
      <w:r>
        <w:rPr>
          <w:iCs/>
        </w:rPr>
        <w:t xml:space="preserve">, </w:t>
      </w:r>
      <w:r w:rsidRPr="00663CCB">
        <w:rPr>
          <w:i/>
          <w:iCs/>
        </w:rPr>
        <w:t>supra</w:t>
      </w:r>
      <w:r>
        <w:rPr>
          <w:iCs/>
        </w:rPr>
        <w:t>, 68 Cal.</w:t>
      </w:r>
      <w:r w:rsidRPr="00CB7363">
        <w:rPr>
          <w:i/>
          <w:iCs/>
        </w:rPr>
        <w:t xml:space="preserve"> </w:t>
      </w:r>
      <w:r>
        <w:t>at p. 470</w:t>
      </w:r>
      <w:r>
        <w:t xml:space="preserve">; </w:t>
      </w:r>
      <w:r>
        <w:rPr>
          <w:i/>
        </w:rPr>
        <w:t>Little</w:t>
      </w:r>
      <w:r>
        <w:t xml:space="preserve">, </w:t>
      </w:r>
      <w:r>
        <w:rPr>
          <w:i/>
        </w:rPr>
        <w:t>supra</w:t>
      </w:r>
      <w:r>
        <w:t>, 101 Cal. at p. 561</w:t>
      </w:r>
      <w:r>
        <w:t>.)</w:t>
      </w:r>
      <w:r>
        <w:t xml:space="preserve">  We </w:t>
      </w:r>
      <w:r>
        <w:t xml:space="preserve">thus </w:t>
      </w:r>
      <w:r>
        <w:t xml:space="preserve">rejected the argument that the lawyers who personally completed the matters </w:t>
      </w:r>
      <w:proofErr w:type="gramStart"/>
      <w:r>
        <w:t>were entitled</w:t>
      </w:r>
      <w:proofErr w:type="gramEnd"/>
      <w:r>
        <w:t xml:space="preserve"> to a greater sh</w:t>
      </w:r>
      <w:r>
        <w:t xml:space="preserve">are of the fees than </w:t>
      </w:r>
      <w:r>
        <w:t>stipulated to in the</w:t>
      </w:r>
      <w:r>
        <w:t xml:space="preserve"> partnership agreements</w:t>
      </w:r>
      <w:r>
        <w:t>.</w:t>
      </w:r>
    </w:p>
    <w:p w:rsidR="00CC070D" w:rsidRPr="00CF7B4A" w:rsidRDefault="000A7ADD" w:rsidP="0021289D">
      <w:pPr>
        <w:autoSpaceDE w:val="0"/>
        <w:autoSpaceDN w:val="0"/>
        <w:adjustRightInd w:val="0"/>
        <w:spacing w:line="480" w:lineRule="exact"/>
        <w:ind w:firstLine="720"/>
        <w:rPr>
          <w:szCs w:val="26"/>
        </w:rPr>
      </w:pPr>
      <w:r>
        <w:rPr>
          <w:szCs w:val="26"/>
        </w:rPr>
        <w:t xml:space="preserve">California partnership law </w:t>
      </w:r>
      <w:proofErr w:type="gramStart"/>
      <w:r>
        <w:rPr>
          <w:szCs w:val="26"/>
        </w:rPr>
        <w:t xml:space="preserve">was </w:t>
      </w:r>
      <w:r>
        <w:rPr>
          <w:szCs w:val="26"/>
        </w:rPr>
        <w:t>codified</w:t>
      </w:r>
      <w:proofErr w:type="gramEnd"/>
      <w:r>
        <w:rPr>
          <w:szCs w:val="26"/>
        </w:rPr>
        <w:t xml:space="preserve"> in 1929 when the L</w:t>
      </w:r>
      <w:r>
        <w:rPr>
          <w:szCs w:val="26"/>
        </w:rPr>
        <w:t>egislature adopted the Uniform</w:t>
      </w:r>
      <w:r>
        <w:rPr>
          <w:szCs w:val="26"/>
        </w:rPr>
        <w:t xml:space="preserve"> Partnership Act (UPA)</w:t>
      </w:r>
      <w:r w:rsidRPr="004E534D">
        <w:rPr>
          <w:szCs w:val="26"/>
        </w:rPr>
        <w:t xml:space="preserve">.  </w:t>
      </w:r>
      <w:r>
        <w:rPr>
          <w:szCs w:val="26"/>
        </w:rPr>
        <w:t xml:space="preserve">The UPA preserved many </w:t>
      </w:r>
      <w:r>
        <w:rPr>
          <w:szCs w:val="26"/>
        </w:rPr>
        <w:t xml:space="preserve">common-law principles, including the rules elucidated in </w:t>
      </w:r>
      <w:proofErr w:type="spellStart"/>
      <w:r>
        <w:rPr>
          <w:i/>
          <w:szCs w:val="26"/>
        </w:rPr>
        <w:t>Osment</w:t>
      </w:r>
      <w:proofErr w:type="spellEnd"/>
      <w:r>
        <w:rPr>
          <w:szCs w:val="26"/>
        </w:rPr>
        <w:t xml:space="preserve"> and </w:t>
      </w:r>
      <w:r>
        <w:rPr>
          <w:i/>
          <w:szCs w:val="26"/>
        </w:rPr>
        <w:t>Little</w:t>
      </w:r>
      <w:r>
        <w:rPr>
          <w:szCs w:val="26"/>
        </w:rPr>
        <w:t xml:space="preserve">. </w:t>
      </w:r>
      <w:r>
        <w:rPr>
          <w:szCs w:val="26"/>
        </w:rPr>
        <w:t xml:space="preserve"> </w:t>
      </w:r>
      <w:r w:rsidRPr="004E534D">
        <w:rPr>
          <w:szCs w:val="26"/>
        </w:rPr>
        <w:t>(</w:t>
      </w:r>
      <w:r>
        <w:rPr>
          <w:szCs w:val="26"/>
        </w:rPr>
        <w:t xml:space="preserve">See </w:t>
      </w:r>
      <w:r w:rsidRPr="00407389">
        <w:rPr>
          <w:i/>
          <w:iCs/>
          <w:szCs w:val="26"/>
        </w:rPr>
        <w:t xml:space="preserve">Jacobson v. </w:t>
      </w:r>
      <w:proofErr w:type="spellStart"/>
      <w:r w:rsidRPr="00407389">
        <w:rPr>
          <w:i/>
          <w:iCs/>
          <w:szCs w:val="26"/>
        </w:rPr>
        <w:t>Wikholm</w:t>
      </w:r>
      <w:proofErr w:type="spellEnd"/>
      <w:r w:rsidRPr="00407389">
        <w:rPr>
          <w:i/>
          <w:szCs w:val="26"/>
        </w:rPr>
        <w:t xml:space="preserve"> </w:t>
      </w:r>
      <w:r>
        <w:rPr>
          <w:szCs w:val="26"/>
        </w:rPr>
        <w:t>(1946) 29 Cal.2d 24, 27–28</w:t>
      </w:r>
      <w:r w:rsidRPr="00407389">
        <w:rPr>
          <w:i/>
          <w:szCs w:val="26"/>
        </w:rPr>
        <w:t xml:space="preserve"> </w:t>
      </w:r>
      <w:r w:rsidRPr="00407389">
        <w:rPr>
          <w:szCs w:val="26"/>
        </w:rPr>
        <w:t>(</w:t>
      </w:r>
      <w:r w:rsidRPr="00407389">
        <w:rPr>
          <w:i/>
          <w:szCs w:val="26"/>
        </w:rPr>
        <w:t>Jacobson</w:t>
      </w:r>
      <w:r w:rsidRPr="00407389">
        <w:rPr>
          <w:szCs w:val="26"/>
        </w:rPr>
        <w:t>)</w:t>
      </w:r>
      <w:r w:rsidRPr="004E534D">
        <w:rPr>
          <w:szCs w:val="26"/>
        </w:rPr>
        <w:t xml:space="preserve">.) </w:t>
      </w:r>
      <w:r>
        <w:rPr>
          <w:szCs w:val="26"/>
        </w:rPr>
        <w:t xml:space="preserve"> </w:t>
      </w:r>
      <w:r>
        <w:rPr>
          <w:szCs w:val="26"/>
        </w:rPr>
        <w:t>T</w:t>
      </w:r>
      <w:r>
        <w:rPr>
          <w:szCs w:val="26"/>
        </w:rPr>
        <w:t xml:space="preserve">he First District Court of Appeal </w:t>
      </w:r>
      <w:r>
        <w:rPr>
          <w:szCs w:val="26"/>
        </w:rPr>
        <w:t xml:space="preserve">then </w:t>
      </w:r>
      <w:r>
        <w:rPr>
          <w:szCs w:val="26"/>
        </w:rPr>
        <w:t>added further gloss when it interpreted</w:t>
      </w:r>
      <w:r>
        <w:rPr>
          <w:szCs w:val="26"/>
        </w:rPr>
        <w:t xml:space="preserve"> </w:t>
      </w:r>
      <w:r>
        <w:rPr>
          <w:szCs w:val="26"/>
        </w:rPr>
        <w:t xml:space="preserve">UPA in the case of </w:t>
      </w:r>
      <w:r>
        <w:rPr>
          <w:i/>
          <w:szCs w:val="26"/>
        </w:rPr>
        <w:t>Jewel v. Boxer</w:t>
      </w:r>
      <w:r>
        <w:rPr>
          <w:szCs w:val="26"/>
        </w:rPr>
        <w:t xml:space="preserve">, </w:t>
      </w:r>
      <w:r>
        <w:rPr>
          <w:i/>
          <w:szCs w:val="26"/>
        </w:rPr>
        <w:t>supra</w:t>
      </w:r>
      <w:r>
        <w:rPr>
          <w:szCs w:val="26"/>
        </w:rPr>
        <w:t>.</w:t>
      </w:r>
      <w:r>
        <w:rPr>
          <w:szCs w:val="26"/>
        </w:rPr>
        <w:t xml:space="preserve">  </w:t>
      </w:r>
      <w:r>
        <w:rPr>
          <w:szCs w:val="26"/>
        </w:rPr>
        <w:t xml:space="preserve">In </w:t>
      </w:r>
      <w:r w:rsidRPr="004C6C36">
        <w:rPr>
          <w:i/>
          <w:szCs w:val="26"/>
        </w:rPr>
        <w:t>Jewel</w:t>
      </w:r>
      <w:r>
        <w:rPr>
          <w:szCs w:val="26"/>
        </w:rPr>
        <w:t xml:space="preserve">, </w:t>
      </w:r>
      <w:r>
        <w:rPr>
          <w:szCs w:val="26"/>
        </w:rPr>
        <w:t>partner</w:t>
      </w:r>
      <w:r>
        <w:rPr>
          <w:szCs w:val="26"/>
        </w:rPr>
        <w:t>s</w:t>
      </w:r>
      <w:r>
        <w:rPr>
          <w:szCs w:val="26"/>
        </w:rPr>
        <w:t xml:space="preserve"> of a dissolved law firm </w:t>
      </w:r>
      <w:r>
        <w:rPr>
          <w:szCs w:val="26"/>
        </w:rPr>
        <w:t>sued the</w:t>
      </w:r>
      <w:r>
        <w:rPr>
          <w:szCs w:val="26"/>
        </w:rPr>
        <w:t xml:space="preserve">ir former </w:t>
      </w:r>
      <w:r>
        <w:rPr>
          <w:szCs w:val="26"/>
        </w:rPr>
        <w:t xml:space="preserve">partners </w:t>
      </w:r>
      <w:r>
        <w:rPr>
          <w:szCs w:val="26"/>
        </w:rPr>
        <w:t>who had been handling “most of the active personal injury and workers’ compensation cases.”</w:t>
      </w:r>
      <w:r>
        <w:rPr>
          <w:szCs w:val="26"/>
        </w:rPr>
        <w:t xml:space="preserve">  </w:t>
      </w:r>
      <w:r w:rsidRPr="004E534D">
        <w:rPr>
          <w:szCs w:val="26"/>
        </w:rPr>
        <w:t>(</w:t>
      </w:r>
      <w:r>
        <w:rPr>
          <w:i/>
          <w:szCs w:val="26"/>
        </w:rPr>
        <w:t>Jewel</w:t>
      </w:r>
      <w:r>
        <w:rPr>
          <w:szCs w:val="26"/>
        </w:rPr>
        <w:t xml:space="preserve">, </w:t>
      </w:r>
      <w:r>
        <w:rPr>
          <w:i/>
          <w:szCs w:val="26"/>
        </w:rPr>
        <w:t>supra</w:t>
      </w:r>
      <w:r>
        <w:rPr>
          <w:szCs w:val="26"/>
        </w:rPr>
        <w:t>, 156 Cal.App.3d at p.</w:t>
      </w:r>
      <w:r w:rsidRPr="004E534D">
        <w:rPr>
          <w:szCs w:val="26"/>
        </w:rPr>
        <w:t xml:space="preserve"> 175.)  </w:t>
      </w:r>
      <w:r>
        <w:rPr>
          <w:szCs w:val="26"/>
        </w:rPr>
        <w:t>The suing partners</w:t>
      </w:r>
      <w:r>
        <w:rPr>
          <w:szCs w:val="26"/>
        </w:rPr>
        <w:t xml:space="preserve"> sought their shares of the fees from these cases</w:t>
      </w:r>
      <w:r>
        <w:rPr>
          <w:szCs w:val="26"/>
        </w:rPr>
        <w:t xml:space="preserve">, arguing that they </w:t>
      </w:r>
      <w:proofErr w:type="gramStart"/>
      <w:r>
        <w:rPr>
          <w:szCs w:val="26"/>
        </w:rPr>
        <w:t>were</w:t>
      </w:r>
      <w:r>
        <w:rPr>
          <w:szCs w:val="26"/>
        </w:rPr>
        <w:t xml:space="preserve"> entitled</w:t>
      </w:r>
      <w:proofErr w:type="gramEnd"/>
      <w:r>
        <w:rPr>
          <w:szCs w:val="26"/>
        </w:rPr>
        <w:t xml:space="preserve"> to the same fees as prevailed during the partnership</w:t>
      </w:r>
      <w:r>
        <w:rPr>
          <w:szCs w:val="26"/>
        </w:rPr>
        <w:t>.</w:t>
      </w:r>
    </w:p>
    <w:p w:rsidR="0090688C" w:rsidRDefault="000A7ADD" w:rsidP="00CC070D">
      <w:pPr>
        <w:autoSpaceDE w:val="0"/>
        <w:autoSpaceDN w:val="0"/>
        <w:adjustRightInd w:val="0"/>
        <w:spacing w:line="480" w:lineRule="exact"/>
        <w:ind w:firstLine="720"/>
        <w:rPr>
          <w:szCs w:val="26"/>
        </w:rPr>
      </w:pPr>
      <w:r>
        <w:rPr>
          <w:szCs w:val="26"/>
        </w:rPr>
        <w:t xml:space="preserve">The </w:t>
      </w:r>
      <w:r>
        <w:rPr>
          <w:i/>
          <w:iCs/>
          <w:szCs w:val="26"/>
        </w:rPr>
        <w:t>Jewel</w:t>
      </w:r>
      <w:r>
        <w:rPr>
          <w:szCs w:val="26"/>
        </w:rPr>
        <w:t xml:space="preserve"> court ruled in favor of the plaintiffs.  </w:t>
      </w:r>
      <w:r>
        <w:rPr>
          <w:szCs w:val="26"/>
        </w:rPr>
        <w:t xml:space="preserve">It </w:t>
      </w:r>
      <w:r>
        <w:rPr>
          <w:szCs w:val="26"/>
        </w:rPr>
        <w:t xml:space="preserve">reasoned </w:t>
      </w:r>
      <w:r>
        <w:rPr>
          <w:szCs w:val="26"/>
        </w:rPr>
        <w:t>that the former partners</w:t>
      </w:r>
      <w:r>
        <w:rPr>
          <w:szCs w:val="26"/>
        </w:rPr>
        <w:t xml:space="preserve"> </w:t>
      </w:r>
      <w:proofErr w:type="gramStart"/>
      <w:r w:rsidRPr="004E534D">
        <w:rPr>
          <w:szCs w:val="26"/>
        </w:rPr>
        <w:t>were not entitled</w:t>
      </w:r>
      <w:proofErr w:type="gramEnd"/>
      <w:r w:rsidRPr="004E534D">
        <w:rPr>
          <w:szCs w:val="26"/>
        </w:rPr>
        <w:t xml:space="preserve"> “to extra com</w:t>
      </w:r>
      <w:r w:rsidRPr="004E534D">
        <w:rPr>
          <w:szCs w:val="26"/>
        </w:rPr>
        <w:t>pensation for services rendered in</w:t>
      </w:r>
      <w:r>
        <w:rPr>
          <w:szCs w:val="26"/>
        </w:rPr>
        <w:t xml:space="preserve"> completing unfinished business,</w:t>
      </w:r>
      <w:r w:rsidRPr="004E534D">
        <w:rPr>
          <w:szCs w:val="26"/>
        </w:rPr>
        <w:t>”</w:t>
      </w:r>
      <w:r>
        <w:rPr>
          <w:szCs w:val="26"/>
        </w:rPr>
        <w:t xml:space="preserve"> where “extra compensation” wa</w:t>
      </w:r>
      <w:r>
        <w:rPr>
          <w:szCs w:val="26"/>
        </w:rPr>
        <w:t>s compensation “</w:t>
      </w:r>
      <w:r>
        <w:rPr>
          <w:szCs w:val="26"/>
        </w:rPr>
        <w:t xml:space="preserve">which is greater than would have been received as </w:t>
      </w:r>
      <w:r>
        <w:rPr>
          <w:szCs w:val="26"/>
        </w:rPr>
        <w:t>the former partner’s share of the dissolved partnership.”</w:t>
      </w:r>
      <w:r w:rsidRPr="004E534D">
        <w:rPr>
          <w:szCs w:val="26"/>
        </w:rPr>
        <w:t xml:space="preserve">  (</w:t>
      </w:r>
      <w:r w:rsidRPr="004E534D">
        <w:rPr>
          <w:i/>
          <w:iCs/>
          <w:szCs w:val="26"/>
        </w:rPr>
        <w:t>Jewel</w:t>
      </w:r>
      <w:r w:rsidRPr="004E534D">
        <w:rPr>
          <w:iCs/>
          <w:szCs w:val="26"/>
        </w:rPr>
        <w:t>,</w:t>
      </w:r>
      <w:r w:rsidRPr="004E534D">
        <w:rPr>
          <w:i/>
          <w:iCs/>
          <w:szCs w:val="26"/>
        </w:rPr>
        <w:t xml:space="preserve"> supra</w:t>
      </w:r>
      <w:r w:rsidRPr="004E534D">
        <w:rPr>
          <w:iCs/>
          <w:szCs w:val="26"/>
        </w:rPr>
        <w:t xml:space="preserve">, </w:t>
      </w:r>
      <w:r w:rsidRPr="004E534D">
        <w:rPr>
          <w:szCs w:val="26"/>
        </w:rPr>
        <w:t>156 Cal.App.3d at p</w:t>
      </w:r>
      <w:r w:rsidRPr="004E534D">
        <w:rPr>
          <w:szCs w:val="26"/>
        </w:rPr>
        <w:t>. 176</w:t>
      </w:r>
      <w:r>
        <w:rPr>
          <w:szCs w:val="26"/>
        </w:rPr>
        <w:t xml:space="preserve"> &amp;</w:t>
      </w:r>
      <w:r>
        <w:rPr>
          <w:szCs w:val="26"/>
        </w:rPr>
        <w:t xml:space="preserve"> fn. 2</w:t>
      </w:r>
      <w:r w:rsidRPr="004E534D">
        <w:rPr>
          <w:szCs w:val="26"/>
        </w:rPr>
        <w:t xml:space="preserve">.)  </w:t>
      </w:r>
      <w:r>
        <w:rPr>
          <w:szCs w:val="26"/>
        </w:rPr>
        <w:t>Accordingly</w:t>
      </w:r>
      <w:r>
        <w:rPr>
          <w:szCs w:val="26"/>
        </w:rPr>
        <w:t xml:space="preserve">, without an agreement to the contrary, </w:t>
      </w:r>
      <w:r w:rsidRPr="004E534D">
        <w:rPr>
          <w:szCs w:val="26"/>
        </w:rPr>
        <w:t xml:space="preserve">any attorney fees generated from matters pending when the law firm dissolved were “to be shared by the former partners </w:t>
      </w:r>
      <w:proofErr w:type="gramStart"/>
      <w:r w:rsidRPr="004E534D">
        <w:rPr>
          <w:szCs w:val="26"/>
        </w:rPr>
        <w:t>according to</w:t>
      </w:r>
      <w:proofErr w:type="gramEnd"/>
      <w:r w:rsidRPr="004E534D">
        <w:rPr>
          <w:szCs w:val="26"/>
        </w:rPr>
        <w:t xml:space="preserve"> their right to fees in the former partnership, </w:t>
      </w:r>
      <w:r w:rsidRPr="004E534D">
        <w:rPr>
          <w:szCs w:val="26"/>
        </w:rPr>
        <w:t>regardless of which former partner provides legal services in the case after the dissolution.”  (</w:t>
      </w:r>
      <w:r w:rsidRPr="004E534D">
        <w:rPr>
          <w:i/>
          <w:iCs/>
          <w:szCs w:val="26"/>
        </w:rPr>
        <w:t xml:space="preserve">Id. </w:t>
      </w:r>
      <w:r>
        <w:rPr>
          <w:szCs w:val="26"/>
        </w:rPr>
        <w:t>at p. 174.)</w:t>
      </w:r>
    </w:p>
    <w:p w:rsidR="00FA140B" w:rsidRDefault="000A7ADD" w:rsidP="00521896">
      <w:pPr>
        <w:autoSpaceDE w:val="0"/>
        <w:autoSpaceDN w:val="0"/>
        <w:adjustRightInd w:val="0"/>
        <w:spacing w:line="480" w:lineRule="exact"/>
        <w:ind w:firstLine="720"/>
        <w:rPr>
          <w:szCs w:val="26"/>
        </w:rPr>
      </w:pPr>
      <w:r w:rsidRPr="00865071">
        <w:rPr>
          <w:szCs w:val="26"/>
        </w:rPr>
        <w:lastRenderedPageBreak/>
        <w:t xml:space="preserve">Subsequent Court of Appeal decisions consistently applied </w:t>
      </w:r>
      <w:r w:rsidRPr="00865071">
        <w:rPr>
          <w:i/>
          <w:iCs/>
          <w:szCs w:val="26"/>
        </w:rPr>
        <w:t>Jewel</w:t>
      </w:r>
      <w:r w:rsidRPr="00865071">
        <w:rPr>
          <w:szCs w:val="26"/>
        </w:rPr>
        <w:t xml:space="preserve">’s </w:t>
      </w:r>
      <w:r>
        <w:rPr>
          <w:szCs w:val="26"/>
        </w:rPr>
        <w:t>holding</w:t>
      </w:r>
      <w:r>
        <w:rPr>
          <w:szCs w:val="26"/>
        </w:rPr>
        <w:t xml:space="preserve"> to contingency fee </w:t>
      </w:r>
      <w:r w:rsidRPr="00865071">
        <w:rPr>
          <w:szCs w:val="26"/>
        </w:rPr>
        <w:t>cases.  (</w:t>
      </w:r>
      <w:r w:rsidRPr="00865071">
        <w:rPr>
          <w:iCs/>
          <w:szCs w:val="26"/>
        </w:rPr>
        <w:t>See, e.g.</w:t>
      </w:r>
      <w:r w:rsidRPr="00865071">
        <w:rPr>
          <w:szCs w:val="26"/>
        </w:rPr>
        <w:t xml:space="preserve">, </w:t>
      </w:r>
      <w:r w:rsidRPr="00865071">
        <w:rPr>
          <w:i/>
          <w:iCs/>
          <w:szCs w:val="26"/>
        </w:rPr>
        <w:t>Fox v. Abrams</w:t>
      </w:r>
      <w:r>
        <w:rPr>
          <w:szCs w:val="26"/>
        </w:rPr>
        <w:t xml:space="preserve"> (1985)</w:t>
      </w:r>
      <w:r w:rsidRPr="00865071">
        <w:rPr>
          <w:szCs w:val="26"/>
        </w:rPr>
        <w:t xml:space="preserve"> 163 Cal.A</w:t>
      </w:r>
      <w:r w:rsidRPr="00865071">
        <w:rPr>
          <w:szCs w:val="26"/>
        </w:rPr>
        <w:t>pp.3d 610, 612–6</w:t>
      </w:r>
      <w:r>
        <w:rPr>
          <w:szCs w:val="26"/>
        </w:rPr>
        <w:t>13</w:t>
      </w:r>
      <w:r w:rsidRPr="00865071">
        <w:rPr>
          <w:szCs w:val="26"/>
        </w:rPr>
        <w:t xml:space="preserve">; </w:t>
      </w:r>
      <w:r w:rsidRPr="009E184F">
        <w:rPr>
          <w:i/>
          <w:szCs w:val="26"/>
        </w:rPr>
        <w:t xml:space="preserve">Rosenfeld, Meyer &amp; </w:t>
      </w:r>
      <w:proofErr w:type="spellStart"/>
      <w:r w:rsidRPr="009E184F">
        <w:rPr>
          <w:i/>
          <w:szCs w:val="26"/>
        </w:rPr>
        <w:t>Susman</w:t>
      </w:r>
      <w:proofErr w:type="spellEnd"/>
      <w:r w:rsidRPr="009E184F">
        <w:rPr>
          <w:i/>
          <w:szCs w:val="26"/>
        </w:rPr>
        <w:t xml:space="preserve"> v. Cohen</w:t>
      </w:r>
      <w:r>
        <w:rPr>
          <w:szCs w:val="26"/>
        </w:rPr>
        <w:t xml:space="preserve"> (1</w:t>
      </w:r>
      <w:r>
        <w:rPr>
          <w:szCs w:val="26"/>
        </w:rPr>
        <w:t>987) 191 Cal.App.3d 1035, 1063</w:t>
      </w:r>
      <w:r w:rsidRPr="00865071">
        <w:rPr>
          <w:szCs w:val="26"/>
        </w:rPr>
        <w:t>.</w:t>
      </w:r>
      <w:r>
        <w:rPr>
          <w:szCs w:val="26"/>
        </w:rPr>
        <w:t>)</w:t>
      </w:r>
      <w:r>
        <w:rPr>
          <w:szCs w:val="26"/>
        </w:rPr>
        <w:t xml:space="preserve">  Such widespread application of </w:t>
      </w:r>
      <w:r>
        <w:rPr>
          <w:i/>
          <w:szCs w:val="26"/>
        </w:rPr>
        <w:t xml:space="preserve">Jewel </w:t>
      </w:r>
      <w:proofErr w:type="gramStart"/>
      <w:r>
        <w:rPr>
          <w:szCs w:val="26"/>
        </w:rPr>
        <w:t>was confined</w:t>
      </w:r>
      <w:proofErr w:type="gramEnd"/>
      <w:r>
        <w:rPr>
          <w:szCs w:val="26"/>
        </w:rPr>
        <w:t xml:space="preserve"> to the contingency fee context, however.</w:t>
      </w:r>
      <w:r>
        <w:rPr>
          <w:szCs w:val="26"/>
        </w:rPr>
        <w:t xml:space="preserve">  </w:t>
      </w:r>
      <w:r>
        <w:rPr>
          <w:szCs w:val="26"/>
        </w:rPr>
        <w:t xml:space="preserve">Only in 1993 did </w:t>
      </w:r>
      <w:r w:rsidRPr="00865071">
        <w:rPr>
          <w:szCs w:val="26"/>
        </w:rPr>
        <w:t xml:space="preserve">a Court of Appeal </w:t>
      </w:r>
      <w:r>
        <w:rPr>
          <w:szCs w:val="26"/>
        </w:rPr>
        <w:t xml:space="preserve">expressly </w:t>
      </w:r>
      <w:r>
        <w:rPr>
          <w:szCs w:val="26"/>
        </w:rPr>
        <w:t>interpret</w:t>
      </w:r>
      <w:r>
        <w:rPr>
          <w:szCs w:val="26"/>
        </w:rPr>
        <w:t xml:space="preserve"> </w:t>
      </w:r>
      <w:r>
        <w:rPr>
          <w:i/>
          <w:szCs w:val="26"/>
        </w:rPr>
        <w:t xml:space="preserve">Jewel </w:t>
      </w:r>
      <w:r w:rsidRPr="00865071">
        <w:rPr>
          <w:szCs w:val="26"/>
        </w:rPr>
        <w:t>to</w:t>
      </w:r>
      <w:r>
        <w:rPr>
          <w:szCs w:val="26"/>
        </w:rPr>
        <w:t xml:space="preserve"> encompass</w:t>
      </w:r>
      <w:r w:rsidRPr="00865071">
        <w:rPr>
          <w:szCs w:val="26"/>
        </w:rPr>
        <w:t xml:space="preserve"> matters the dissolved law firm had been handling on an hourly basis.  (</w:t>
      </w:r>
      <w:r w:rsidRPr="00865071">
        <w:rPr>
          <w:iCs/>
          <w:szCs w:val="26"/>
        </w:rPr>
        <w:t>See</w:t>
      </w:r>
      <w:r w:rsidRPr="00865071">
        <w:rPr>
          <w:i/>
          <w:iCs/>
          <w:szCs w:val="26"/>
        </w:rPr>
        <w:t xml:space="preserve"> Rothman v</w:t>
      </w:r>
      <w:r w:rsidRPr="004E534D">
        <w:rPr>
          <w:i/>
          <w:iCs/>
          <w:szCs w:val="26"/>
        </w:rPr>
        <w:t>. Dolin</w:t>
      </w:r>
      <w:r>
        <w:rPr>
          <w:szCs w:val="26"/>
        </w:rPr>
        <w:t xml:space="preserve"> (1993) 20 Cal.App.</w:t>
      </w:r>
      <w:r w:rsidRPr="004E534D">
        <w:rPr>
          <w:szCs w:val="26"/>
        </w:rPr>
        <w:t>4th 755, 757–</w:t>
      </w:r>
      <w:r>
        <w:rPr>
          <w:szCs w:val="26"/>
        </w:rPr>
        <w:t>7</w:t>
      </w:r>
      <w:r w:rsidRPr="004E534D">
        <w:rPr>
          <w:szCs w:val="26"/>
        </w:rPr>
        <w:t>59.</w:t>
      </w:r>
      <w:r>
        <w:rPr>
          <w:szCs w:val="26"/>
        </w:rPr>
        <w:t>)</w:t>
      </w:r>
      <w:r w:rsidRPr="004E534D">
        <w:rPr>
          <w:szCs w:val="26"/>
        </w:rPr>
        <w:t xml:space="preserve">  </w:t>
      </w:r>
      <w:r>
        <w:rPr>
          <w:szCs w:val="26"/>
        </w:rPr>
        <w:t xml:space="preserve">To this day, </w:t>
      </w:r>
      <w:r>
        <w:rPr>
          <w:i/>
          <w:iCs/>
          <w:szCs w:val="26"/>
        </w:rPr>
        <w:t xml:space="preserve">Rothman </w:t>
      </w:r>
      <w:r>
        <w:rPr>
          <w:szCs w:val="26"/>
        </w:rPr>
        <w:t>remains</w:t>
      </w:r>
      <w:r>
        <w:rPr>
          <w:szCs w:val="26"/>
        </w:rPr>
        <w:t xml:space="preserve"> the only published California opinion to </w:t>
      </w:r>
      <w:r>
        <w:rPr>
          <w:szCs w:val="26"/>
        </w:rPr>
        <w:t>apply</w:t>
      </w:r>
      <w:r>
        <w:rPr>
          <w:szCs w:val="26"/>
        </w:rPr>
        <w:t xml:space="preserve"> </w:t>
      </w:r>
      <w:r>
        <w:rPr>
          <w:i/>
          <w:iCs/>
          <w:szCs w:val="26"/>
        </w:rPr>
        <w:t xml:space="preserve">Jewel </w:t>
      </w:r>
      <w:r>
        <w:rPr>
          <w:szCs w:val="26"/>
        </w:rPr>
        <w:t xml:space="preserve">to the hourly fee context, and </w:t>
      </w:r>
      <w:r>
        <w:rPr>
          <w:szCs w:val="26"/>
        </w:rPr>
        <w:t xml:space="preserve">it did so before </w:t>
      </w:r>
      <w:r>
        <w:rPr>
          <w:szCs w:val="26"/>
        </w:rPr>
        <w:t xml:space="preserve">UPA </w:t>
      </w:r>
      <w:proofErr w:type="gramStart"/>
      <w:r>
        <w:rPr>
          <w:szCs w:val="26"/>
        </w:rPr>
        <w:t>was revised</w:t>
      </w:r>
      <w:proofErr w:type="gramEnd"/>
      <w:r>
        <w:rPr>
          <w:szCs w:val="26"/>
        </w:rPr>
        <w:t>.</w:t>
      </w:r>
    </w:p>
    <w:p w:rsidR="009075CF" w:rsidRDefault="000A7ADD" w:rsidP="000B463B">
      <w:pPr>
        <w:autoSpaceDE w:val="0"/>
        <w:autoSpaceDN w:val="0"/>
        <w:adjustRightInd w:val="0"/>
        <w:spacing w:line="480" w:lineRule="exact"/>
        <w:rPr>
          <w:szCs w:val="26"/>
        </w:rPr>
      </w:pPr>
      <w:r w:rsidRPr="004E534D">
        <w:rPr>
          <w:szCs w:val="26"/>
        </w:rPr>
        <w:tab/>
      </w:r>
      <w:r>
        <w:rPr>
          <w:szCs w:val="26"/>
        </w:rPr>
        <w:t xml:space="preserve">Three years </w:t>
      </w:r>
      <w:r>
        <w:rPr>
          <w:szCs w:val="26"/>
        </w:rPr>
        <w:t xml:space="preserve">after </w:t>
      </w:r>
      <w:r>
        <w:rPr>
          <w:i/>
          <w:szCs w:val="26"/>
        </w:rPr>
        <w:t>Rothman</w:t>
      </w:r>
      <w:r>
        <w:rPr>
          <w:szCs w:val="26"/>
        </w:rPr>
        <w:t xml:space="preserve">, </w:t>
      </w:r>
      <w:r w:rsidRPr="004E534D">
        <w:rPr>
          <w:szCs w:val="26"/>
        </w:rPr>
        <w:t>the Legislature</w:t>
      </w:r>
      <w:r>
        <w:rPr>
          <w:szCs w:val="26"/>
        </w:rPr>
        <w:t xml:space="preserve"> again</w:t>
      </w:r>
      <w:r w:rsidRPr="004E534D">
        <w:rPr>
          <w:szCs w:val="26"/>
        </w:rPr>
        <w:t xml:space="preserve"> revised partnershi</w:t>
      </w:r>
      <w:r>
        <w:rPr>
          <w:szCs w:val="26"/>
        </w:rPr>
        <w:t>p law by replacing UPA with RUPA</w:t>
      </w:r>
      <w:r w:rsidRPr="004E534D">
        <w:rPr>
          <w:szCs w:val="26"/>
        </w:rPr>
        <w:t>.  (</w:t>
      </w:r>
      <w:r w:rsidRPr="00A41C7A">
        <w:rPr>
          <w:iCs/>
          <w:szCs w:val="26"/>
        </w:rPr>
        <w:t>See</w:t>
      </w:r>
      <w:r w:rsidRPr="004E534D">
        <w:rPr>
          <w:i/>
          <w:iCs/>
          <w:szCs w:val="26"/>
        </w:rPr>
        <w:t xml:space="preserve"> </w:t>
      </w:r>
      <w:r w:rsidRPr="004E534D">
        <w:rPr>
          <w:szCs w:val="26"/>
        </w:rPr>
        <w:t>Corp. Code</w:t>
      </w:r>
      <w:r>
        <w:rPr>
          <w:szCs w:val="26"/>
        </w:rPr>
        <w:t>,</w:t>
      </w:r>
      <w:r w:rsidRPr="004E534D">
        <w:rPr>
          <w:szCs w:val="26"/>
        </w:rPr>
        <w:t xml:space="preserve"> § 16100 et</w:t>
      </w:r>
      <w:proofErr w:type="gramStart"/>
      <w:r w:rsidRPr="004E534D">
        <w:rPr>
          <w:szCs w:val="26"/>
        </w:rPr>
        <w:t xml:space="preserve">. </w:t>
      </w:r>
      <w:proofErr w:type="gramEnd"/>
      <w:r w:rsidRPr="004E534D">
        <w:rPr>
          <w:szCs w:val="26"/>
        </w:rPr>
        <w:t>seq.)</w:t>
      </w:r>
      <w:r>
        <w:rPr>
          <w:szCs w:val="26"/>
        </w:rPr>
        <w:t xml:space="preserve">  </w:t>
      </w:r>
      <w:r>
        <w:rPr>
          <w:szCs w:val="26"/>
        </w:rPr>
        <w:t xml:space="preserve">RUPA made several changes to </w:t>
      </w:r>
      <w:r>
        <w:rPr>
          <w:szCs w:val="26"/>
        </w:rPr>
        <w:t xml:space="preserve">the default rules of </w:t>
      </w:r>
      <w:r>
        <w:rPr>
          <w:szCs w:val="26"/>
        </w:rPr>
        <w:t>California partnership law.</w:t>
      </w:r>
      <w:r>
        <w:rPr>
          <w:szCs w:val="26"/>
        </w:rPr>
        <w:t xml:space="preserve">  </w:t>
      </w:r>
      <w:r>
        <w:rPr>
          <w:szCs w:val="26"/>
        </w:rPr>
        <w:t>Firs</w:t>
      </w:r>
      <w:r>
        <w:rPr>
          <w:szCs w:val="26"/>
        </w:rPr>
        <w:t xml:space="preserve">t, </w:t>
      </w:r>
      <w:r>
        <w:rPr>
          <w:szCs w:val="26"/>
        </w:rPr>
        <w:t>it</w:t>
      </w:r>
      <w:r w:rsidRPr="004E534D">
        <w:rPr>
          <w:szCs w:val="26"/>
        </w:rPr>
        <w:t xml:space="preserve"> </w:t>
      </w:r>
      <w:r>
        <w:rPr>
          <w:szCs w:val="26"/>
        </w:rPr>
        <w:t>added a</w:t>
      </w:r>
      <w:r>
        <w:rPr>
          <w:szCs w:val="26"/>
        </w:rPr>
        <w:t>n entire</w:t>
      </w:r>
      <w:r>
        <w:rPr>
          <w:szCs w:val="26"/>
        </w:rPr>
        <w:t xml:space="preserve"> section governing the</w:t>
      </w:r>
      <w:r w:rsidRPr="004E534D">
        <w:rPr>
          <w:szCs w:val="26"/>
        </w:rPr>
        <w:t xml:space="preserve"> fiduc</w:t>
      </w:r>
      <w:r>
        <w:rPr>
          <w:szCs w:val="26"/>
        </w:rPr>
        <w:t>iary duty to account</w:t>
      </w:r>
      <w:r>
        <w:rPr>
          <w:szCs w:val="26"/>
        </w:rPr>
        <w:t xml:space="preserve">.  </w:t>
      </w:r>
      <w:r>
        <w:rPr>
          <w:szCs w:val="26"/>
        </w:rPr>
        <w:t xml:space="preserve">It </w:t>
      </w:r>
      <w:r w:rsidRPr="004E534D">
        <w:rPr>
          <w:szCs w:val="26"/>
        </w:rPr>
        <w:t xml:space="preserve">replaced former </w:t>
      </w:r>
      <w:r>
        <w:rPr>
          <w:szCs w:val="26"/>
        </w:rPr>
        <w:t>Corporations Code</w:t>
      </w:r>
      <w:r>
        <w:rPr>
          <w:szCs w:val="26"/>
        </w:rPr>
        <w:t xml:space="preserve"> </w:t>
      </w:r>
      <w:r w:rsidRPr="004E534D">
        <w:rPr>
          <w:szCs w:val="26"/>
        </w:rPr>
        <w:t xml:space="preserve">section 15021(1), which had provided </w:t>
      </w:r>
      <w:r>
        <w:rPr>
          <w:szCs w:val="26"/>
        </w:rPr>
        <w:t xml:space="preserve">that partners had a </w:t>
      </w:r>
      <w:r w:rsidRPr="004E534D">
        <w:rPr>
          <w:szCs w:val="26"/>
        </w:rPr>
        <w:t>duty to account for benefits and profits, with section 16404</w:t>
      </w:r>
      <w:r>
        <w:rPr>
          <w:szCs w:val="26"/>
        </w:rPr>
        <w:t xml:space="preserve">, subdivision </w:t>
      </w:r>
      <w:r w:rsidRPr="004E534D">
        <w:rPr>
          <w:szCs w:val="26"/>
        </w:rPr>
        <w:t xml:space="preserve">(b)(1), which </w:t>
      </w:r>
      <w:r w:rsidRPr="004E534D">
        <w:rPr>
          <w:szCs w:val="26"/>
        </w:rPr>
        <w:t>sets forth a partner’s duty “[t]o account to the partnership and hold as trustee for it any property, profit, or benefit derived by the partner in the conduct and winding up of the partnership business or derived from a use by the partner of partnership pr</w:t>
      </w:r>
      <w:r w:rsidRPr="004E534D">
        <w:rPr>
          <w:szCs w:val="26"/>
        </w:rPr>
        <w:t>operty or information, including the appropriation of a partnership opportunity.”  (Corp. Code</w:t>
      </w:r>
      <w:r>
        <w:rPr>
          <w:szCs w:val="26"/>
        </w:rPr>
        <w:t>,</w:t>
      </w:r>
      <w:r w:rsidRPr="004E534D">
        <w:rPr>
          <w:szCs w:val="26"/>
        </w:rPr>
        <w:t xml:space="preserve"> § 16404</w:t>
      </w:r>
      <w:r>
        <w:rPr>
          <w:szCs w:val="26"/>
        </w:rPr>
        <w:t>, subd</w:t>
      </w:r>
      <w:proofErr w:type="gramStart"/>
      <w:r>
        <w:rPr>
          <w:szCs w:val="26"/>
        </w:rPr>
        <w:t xml:space="preserve">. </w:t>
      </w:r>
      <w:proofErr w:type="gramEnd"/>
      <w:r w:rsidRPr="004E534D">
        <w:rPr>
          <w:szCs w:val="26"/>
        </w:rPr>
        <w:t>(b)(1).)</w:t>
      </w:r>
    </w:p>
    <w:p w:rsidR="000D5E0E" w:rsidRPr="004E534D" w:rsidRDefault="000A7ADD" w:rsidP="00C12F0A">
      <w:pPr>
        <w:autoSpaceDE w:val="0"/>
        <w:autoSpaceDN w:val="0"/>
        <w:adjustRightInd w:val="0"/>
        <w:spacing w:line="480" w:lineRule="exact"/>
        <w:ind w:firstLine="720"/>
        <w:rPr>
          <w:szCs w:val="26"/>
        </w:rPr>
      </w:pPr>
      <w:r>
        <w:rPr>
          <w:szCs w:val="26"/>
        </w:rPr>
        <w:t xml:space="preserve">Second, </w:t>
      </w:r>
      <w:r>
        <w:rPr>
          <w:szCs w:val="26"/>
        </w:rPr>
        <w:t xml:space="preserve">RUPA </w:t>
      </w:r>
      <w:r>
        <w:rPr>
          <w:szCs w:val="26"/>
        </w:rPr>
        <w:t>supplied</w:t>
      </w:r>
      <w:r>
        <w:rPr>
          <w:szCs w:val="26"/>
        </w:rPr>
        <w:t xml:space="preserve"> a new </w:t>
      </w:r>
      <w:r w:rsidRPr="004E534D">
        <w:rPr>
          <w:szCs w:val="26"/>
        </w:rPr>
        <w:t xml:space="preserve">provision specifying that one of a partner’s fiduciary duties is the duty “[t]o refrain from competing with </w:t>
      </w:r>
      <w:r w:rsidRPr="004E534D">
        <w:rPr>
          <w:szCs w:val="26"/>
        </w:rPr>
        <w:t>the partnership in the conduct of the partnership business before the dissolution of the partnership.”  (Corp. Code</w:t>
      </w:r>
      <w:r>
        <w:rPr>
          <w:szCs w:val="26"/>
        </w:rPr>
        <w:t>,</w:t>
      </w:r>
      <w:r w:rsidRPr="004E534D">
        <w:rPr>
          <w:szCs w:val="26"/>
        </w:rPr>
        <w:t xml:space="preserve"> § 16404</w:t>
      </w:r>
      <w:r>
        <w:rPr>
          <w:szCs w:val="26"/>
        </w:rPr>
        <w:t>, subd</w:t>
      </w:r>
      <w:proofErr w:type="gramStart"/>
      <w:r>
        <w:rPr>
          <w:szCs w:val="26"/>
        </w:rPr>
        <w:t xml:space="preserve">. </w:t>
      </w:r>
      <w:proofErr w:type="gramEnd"/>
      <w:r>
        <w:rPr>
          <w:szCs w:val="26"/>
        </w:rPr>
        <w:t>(b)(3).)</w:t>
      </w:r>
      <w:r>
        <w:rPr>
          <w:szCs w:val="26"/>
        </w:rPr>
        <w:t xml:space="preserve"> </w:t>
      </w:r>
      <w:r>
        <w:rPr>
          <w:szCs w:val="26"/>
        </w:rPr>
        <w:t xml:space="preserve"> </w:t>
      </w:r>
      <w:r w:rsidRPr="004E534D">
        <w:rPr>
          <w:szCs w:val="26"/>
        </w:rPr>
        <w:t xml:space="preserve">Notably, the duty to refrain from competing with the partnership only pertains to the period </w:t>
      </w:r>
      <w:r w:rsidRPr="004E534D">
        <w:rPr>
          <w:i/>
          <w:szCs w:val="26"/>
        </w:rPr>
        <w:t>before</w:t>
      </w:r>
      <w:r w:rsidRPr="004E534D">
        <w:rPr>
          <w:szCs w:val="26"/>
        </w:rPr>
        <w:t xml:space="preserve"> dissolution.</w:t>
      </w:r>
      <w:r>
        <w:rPr>
          <w:szCs w:val="26"/>
        </w:rPr>
        <w:t xml:space="preserve"> </w:t>
      </w:r>
    </w:p>
    <w:p w:rsidR="00DA2044" w:rsidRDefault="000A7ADD" w:rsidP="002453AC">
      <w:pPr>
        <w:autoSpaceDE w:val="0"/>
        <w:autoSpaceDN w:val="0"/>
        <w:adjustRightInd w:val="0"/>
        <w:spacing w:line="480" w:lineRule="exact"/>
        <w:ind w:firstLine="720"/>
        <w:rPr>
          <w:szCs w:val="26"/>
        </w:rPr>
      </w:pPr>
      <w:r>
        <w:rPr>
          <w:szCs w:val="26"/>
        </w:rPr>
        <w:t xml:space="preserve">Third, </w:t>
      </w:r>
      <w:r w:rsidRPr="004E534D">
        <w:rPr>
          <w:szCs w:val="26"/>
        </w:rPr>
        <w:t xml:space="preserve">RUPA changed the rule </w:t>
      </w:r>
      <w:r>
        <w:rPr>
          <w:szCs w:val="26"/>
        </w:rPr>
        <w:t xml:space="preserve">previously in force </w:t>
      </w:r>
      <w:r w:rsidRPr="004E534D">
        <w:rPr>
          <w:szCs w:val="26"/>
        </w:rPr>
        <w:t xml:space="preserve">regarding partners’ </w:t>
      </w:r>
      <w:proofErr w:type="spellStart"/>
      <w:r>
        <w:rPr>
          <w:szCs w:val="26"/>
        </w:rPr>
        <w:t>postdissolution</w:t>
      </w:r>
      <w:proofErr w:type="spellEnd"/>
      <w:r w:rsidRPr="004E534D">
        <w:rPr>
          <w:szCs w:val="26"/>
        </w:rPr>
        <w:t xml:space="preserve"> rights to reasonable compensation.  It replaced </w:t>
      </w:r>
      <w:r>
        <w:rPr>
          <w:szCs w:val="26"/>
        </w:rPr>
        <w:t xml:space="preserve">Corporations Code </w:t>
      </w:r>
      <w:r w:rsidRPr="004E534D">
        <w:rPr>
          <w:szCs w:val="26"/>
        </w:rPr>
        <w:lastRenderedPageBreak/>
        <w:t>section 15018</w:t>
      </w:r>
      <w:r>
        <w:rPr>
          <w:szCs w:val="26"/>
        </w:rPr>
        <w:t xml:space="preserve">, subdivision </w:t>
      </w:r>
      <w:r w:rsidRPr="004E534D">
        <w:rPr>
          <w:szCs w:val="26"/>
        </w:rPr>
        <w:t xml:space="preserve">(f), which had </w:t>
      </w:r>
      <w:proofErr w:type="gramStart"/>
      <w:r w:rsidRPr="004E534D">
        <w:rPr>
          <w:szCs w:val="26"/>
        </w:rPr>
        <w:t>provided that</w:t>
      </w:r>
      <w:proofErr w:type="gramEnd"/>
      <w:r w:rsidRPr="004E534D">
        <w:rPr>
          <w:szCs w:val="26"/>
        </w:rPr>
        <w:t xml:space="preserve"> only a “surviving partner is entitled to reasonab</w:t>
      </w:r>
      <w:r w:rsidRPr="004E534D">
        <w:rPr>
          <w:szCs w:val="26"/>
        </w:rPr>
        <w:t xml:space="preserve">le compensation for his or her services in winding up </w:t>
      </w:r>
      <w:r>
        <w:rPr>
          <w:szCs w:val="26"/>
        </w:rPr>
        <w:t>the partnership affairs,” with section</w:t>
      </w:r>
      <w:r w:rsidRPr="004E534D">
        <w:rPr>
          <w:szCs w:val="26"/>
        </w:rPr>
        <w:t xml:space="preserve"> 16401</w:t>
      </w:r>
      <w:r>
        <w:rPr>
          <w:szCs w:val="26"/>
        </w:rPr>
        <w:t xml:space="preserve">, subdivision </w:t>
      </w:r>
      <w:r w:rsidRPr="004E534D">
        <w:rPr>
          <w:szCs w:val="26"/>
        </w:rPr>
        <w:t xml:space="preserve">(h), which provides that all partners are entitled to </w:t>
      </w:r>
      <w:r>
        <w:rPr>
          <w:szCs w:val="26"/>
        </w:rPr>
        <w:t>such compensation.</w:t>
      </w:r>
      <w:r w:rsidRPr="004E534D">
        <w:rPr>
          <w:szCs w:val="26"/>
        </w:rPr>
        <w:t xml:space="preserve">  (</w:t>
      </w:r>
      <w:r>
        <w:rPr>
          <w:szCs w:val="26"/>
        </w:rPr>
        <w:t xml:space="preserve">Corp. Code, </w:t>
      </w:r>
      <w:r w:rsidRPr="004E534D">
        <w:rPr>
          <w:szCs w:val="26"/>
        </w:rPr>
        <w:t>§ 16401</w:t>
      </w:r>
      <w:r>
        <w:rPr>
          <w:szCs w:val="26"/>
        </w:rPr>
        <w:t>, subd</w:t>
      </w:r>
      <w:proofErr w:type="gramStart"/>
      <w:r>
        <w:rPr>
          <w:szCs w:val="26"/>
        </w:rPr>
        <w:t xml:space="preserve">. </w:t>
      </w:r>
      <w:proofErr w:type="gramEnd"/>
      <w:r w:rsidRPr="004E534D">
        <w:rPr>
          <w:szCs w:val="26"/>
        </w:rPr>
        <w:t>(h).)</w:t>
      </w:r>
    </w:p>
    <w:p w:rsidR="008B117E" w:rsidRDefault="000A7ADD" w:rsidP="000B463B">
      <w:pPr>
        <w:autoSpaceDE w:val="0"/>
        <w:autoSpaceDN w:val="0"/>
        <w:adjustRightInd w:val="0"/>
        <w:spacing w:line="480" w:lineRule="exact"/>
        <w:ind w:firstLine="720"/>
      </w:pPr>
      <w:r w:rsidRPr="004E534D">
        <w:rPr>
          <w:szCs w:val="26"/>
        </w:rPr>
        <w:t xml:space="preserve">Since the enactment of RUPA, no </w:t>
      </w:r>
      <w:r w:rsidRPr="004E534D">
        <w:rPr>
          <w:szCs w:val="26"/>
        </w:rPr>
        <w:t>California court has,</w:t>
      </w:r>
      <w:r>
        <w:rPr>
          <w:szCs w:val="26"/>
        </w:rPr>
        <w:t xml:space="preserve"> in a published opinion, </w:t>
      </w:r>
      <w:r>
        <w:rPr>
          <w:szCs w:val="26"/>
        </w:rPr>
        <w:t xml:space="preserve">resolved </w:t>
      </w:r>
      <w:r w:rsidRPr="004E534D">
        <w:rPr>
          <w:szCs w:val="26"/>
        </w:rPr>
        <w:t>whether there remains a basis for holding that a partnership has a property interest in legal matters pen</w:t>
      </w:r>
      <w:r>
        <w:rPr>
          <w:szCs w:val="26"/>
        </w:rPr>
        <w:t>ding at a firm’s dissolution.</w:t>
      </w:r>
      <w:r>
        <w:t xml:space="preserve">  </w:t>
      </w:r>
      <w:r>
        <w:t>T</w:t>
      </w:r>
      <w:r>
        <w:t>he last ti</w:t>
      </w:r>
      <w:r>
        <w:t>me we took up the issue was in</w:t>
      </w:r>
      <w:r>
        <w:t xml:space="preserve"> </w:t>
      </w:r>
      <w:proofErr w:type="spellStart"/>
      <w:r>
        <w:rPr>
          <w:i/>
        </w:rPr>
        <w:t>Osment</w:t>
      </w:r>
      <w:proofErr w:type="spellEnd"/>
      <w:r>
        <w:rPr>
          <w:i/>
        </w:rPr>
        <w:t xml:space="preserve"> </w:t>
      </w:r>
      <w:r>
        <w:t xml:space="preserve">and </w:t>
      </w:r>
      <w:r>
        <w:rPr>
          <w:i/>
        </w:rPr>
        <w:t>Little</w:t>
      </w:r>
      <w:r>
        <w:t xml:space="preserve">.  </w:t>
      </w:r>
      <w:r>
        <w:t>Mor</w:t>
      </w:r>
      <w:r>
        <w:t>e recent</w:t>
      </w:r>
      <w:r>
        <w:t xml:space="preserve"> is </w:t>
      </w:r>
      <w:r>
        <w:t xml:space="preserve">the </w:t>
      </w:r>
      <w:r>
        <w:t>intermediate</w:t>
      </w:r>
      <w:r>
        <w:t xml:space="preserve"> appellate decision in </w:t>
      </w:r>
      <w:r w:rsidRPr="00A43BCE">
        <w:rPr>
          <w:i/>
        </w:rPr>
        <w:t>Jewel</w:t>
      </w:r>
      <w:r>
        <w:t xml:space="preserve">, </w:t>
      </w:r>
      <w:r>
        <w:t>although that</w:t>
      </w:r>
      <w:r>
        <w:t>, too,</w:t>
      </w:r>
      <w:r>
        <w:t xml:space="preserve"> </w:t>
      </w:r>
      <w:proofErr w:type="gramStart"/>
      <w:r>
        <w:t xml:space="preserve">was </w:t>
      </w:r>
      <w:r>
        <w:t>issued</w:t>
      </w:r>
      <w:proofErr w:type="gramEnd"/>
      <w:r>
        <w:t xml:space="preserve"> before</w:t>
      </w:r>
      <w:r>
        <w:t xml:space="preserve"> </w:t>
      </w:r>
      <w:r>
        <w:t xml:space="preserve">the passage of </w:t>
      </w:r>
      <w:r>
        <w:t>RUPA</w:t>
      </w:r>
      <w:r>
        <w:t xml:space="preserve"> and implicated only contingency fee matters</w:t>
      </w:r>
      <w:r>
        <w:t>.</w:t>
      </w:r>
      <w:r>
        <w:t xml:space="preserve">  We thus consider with fresh eyes the question posed to us by the Ninth Circuit.</w:t>
      </w:r>
    </w:p>
    <w:p w:rsidR="00627D9E" w:rsidRPr="00EE1D84" w:rsidRDefault="000A7ADD" w:rsidP="00EE1D84">
      <w:pPr>
        <w:pStyle w:val="Heading2"/>
      </w:pPr>
      <w:r>
        <w:t>B.</w:t>
      </w:r>
    </w:p>
    <w:p w:rsidR="000B7E67" w:rsidRDefault="000A7ADD" w:rsidP="00870817">
      <w:pPr>
        <w:spacing w:line="480" w:lineRule="exact"/>
        <w:ind w:firstLine="720"/>
        <w:rPr>
          <w:szCs w:val="26"/>
        </w:rPr>
      </w:pPr>
      <w:r>
        <w:rPr>
          <w:iCs/>
        </w:rPr>
        <w:t>Heller is a</w:t>
      </w:r>
      <w:r>
        <w:rPr>
          <w:iCs/>
        </w:rPr>
        <w:t xml:space="preserve"> dissolved partnership</w:t>
      </w:r>
      <w:r>
        <w:rPr>
          <w:iCs/>
        </w:rPr>
        <w:t>,</w:t>
      </w:r>
      <w:r>
        <w:rPr>
          <w:iCs/>
        </w:rPr>
        <w:t xml:space="preserve"> and the parties make various arguments associated with partnership law</w:t>
      </w:r>
      <w:r>
        <w:rPr>
          <w:iCs/>
        </w:rPr>
        <w:t xml:space="preserve">.  </w:t>
      </w:r>
      <w:proofErr w:type="gramStart"/>
      <w:r>
        <w:rPr>
          <w:iCs/>
        </w:rPr>
        <w:t>So</w:t>
      </w:r>
      <w:proofErr w:type="gramEnd"/>
      <w:r>
        <w:rPr>
          <w:iCs/>
        </w:rPr>
        <w:t xml:space="preserve"> </w:t>
      </w:r>
      <w:r>
        <w:rPr>
          <w:iCs/>
        </w:rPr>
        <w:t xml:space="preserve">we place our analysis </w:t>
      </w:r>
      <w:r>
        <w:rPr>
          <w:iCs/>
        </w:rPr>
        <w:t xml:space="preserve">of whether hourly fee matters pending at the time of a partnership’s dissolution are the partnership’s property </w:t>
      </w:r>
      <w:r>
        <w:rPr>
          <w:iCs/>
        </w:rPr>
        <w:t>in context by consider</w:t>
      </w:r>
      <w:r>
        <w:rPr>
          <w:iCs/>
        </w:rPr>
        <w:t xml:space="preserve">ing not only the scope of property rights under California law — and the interests of clients </w:t>
      </w:r>
      <w:r>
        <w:rPr>
          <w:iCs/>
        </w:rPr>
        <w:t>relative to those of</w:t>
      </w:r>
      <w:r>
        <w:rPr>
          <w:iCs/>
        </w:rPr>
        <w:t xml:space="preserve"> the attorneys they hire</w:t>
      </w:r>
      <w:r>
        <w:rPr>
          <w:iCs/>
        </w:rPr>
        <w:t xml:space="preserve"> — but also the </w:t>
      </w:r>
      <w:r>
        <w:rPr>
          <w:iCs/>
        </w:rPr>
        <w:t xml:space="preserve">application of </w:t>
      </w:r>
      <w:r>
        <w:rPr>
          <w:iCs/>
        </w:rPr>
        <w:t>California’s partnership law</w:t>
      </w:r>
      <w:r>
        <w:rPr>
          <w:iCs/>
        </w:rPr>
        <w:t xml:space="preserve"> </w:t>
      </w:r>
      <w:r>
        <w:rPr>
          <w:iCs/>
        </w:rPr>
        <w:t>to this case</w:t>
      </w:r>
      <w:r>
        <w:rPr>
          <w:szCs w:val="26"/>
        </w:rPr>
        <w:t>.</w:t>
      </w:r>
    </w:p>
    <w:p w:rsidR="00444940" w:rsidRDefault="000A7ADD" w:rsidP="003F11DF">
      <w:pPr>
        <w:spacing w:line="480" w:lineRule="exact"/>
        <w:ind w:firstLine="720"/>
        <w:rPr>
          <w:szCs w:val="26"/>
        </w:rPr>
      </w:pPr>
      <w:r>
        <w:rPr>
          <w:szCs w:val="26"/>
        </w:rPr>
        <w:t>B</w:t>
      </w:r>
      <w:r>
        <w:rPr>
          <w:szCs w:val="26"/>
        </w:rPr>
        <w:t xml:space="preserve">oth the common law and provisions of </w:t>
      </w:r>
      <w:r>
        <w:rPr>
          <w:szCs w:val="26"/>
        </w:rPr>
        <w:t>California law codifying the nature of property</w:t>
      </w:r>
      <w:r>
        <w:rPr>
          <w:szCs w:val="26"/>
        </w:rPr>
        <w:t xml:space="preserve"> associate </w:t>
      </w:r>
      <w:r>
        <w:rPr>
          <w:szCs w:val="26"/>
        </w:rPr>
        <w:t>a</w:t>
      </w:r>
      <w:r>
        <w:rPr>
          <w:szCs w:val="26"/>
        </w:rPr>
        <w:t xml:space="preserve"> property interest </w:t>
      </w:r>
      <w:r>
        <w:rPr>
          <w:szCs w:val="26"/>
        </w:rPr>
        <w:t xml:space="preserve">with </w:t>
      </w:r>
      <w:r>
        <w:rPr>
          <w:szCs w:val="26"/>
        </w:rPr>
        <w:t>a specific</w:t>
      </w:r>
      <w:r>
        <w:rPr>
          <w:szCs w:val="26"/>
        </w:rPr>
        <w:t xml:space="preserve"> bundle of rights to control the </w:t>
      </w:r>
      <w:r>
        <w:rPr>
          <w:szCs w:val="26"/>
        </w:rPr>
        <w:t xml:space="preserve">use and </w:t>
      </w:r>
      <w:r>
        <w:rPr>
          <w:szCs w:val="26"/>
        </w:rPr>
        <w:t xml:space="preserve">disposition </w:t>
      </w:r>
      <w:r>
        <w:rPr>
          <w:szCs w:val="26"/>
        </w:rPr>
        <w:t xml:space="preserve">of a </w:t>
      </w:r>
      <w:proofErr w:type="gramStart"/>
      <w:r>
        <w:rPr>
          <w:szCs w:val="26"/>
        </w:rPr>
        <w:t>particular asset</w:t>
      </w:r>
      <w:proofErr w:type="gramEnd"/>
      <w:r>
        <w:rPr>
          <w:szCs w:val="26"/>
        </w:rPr>
        <w:t xml:space="preserve">.  </w:t>
      </w:r>
      <w:r>
        <w:rPr>
          <w:szCs w:val="26"/>
        </w:rPr>
        <w:t>(</w:t>
      </w:r>
      <w:r>
        <w:rPr>
          <w:szCs w:val="26"/>
        </w:rPr>
        <w:t xml:space="preserve">See </w:t>
      </w:r>
      <w:r w:rsidRPr="003D288B">
        <w:rPr>
          <w:szCs w:val="26"/>
        </w:rPr>
        <w:t>Civ. Code, § 654</w:t>
      </w:r>
      <w:r>
        <w:rPr>
          <w:szCs w:val="26"/>
        </w:rPr>
        <w:t xml:space="preserve"> [defining property as “</w:t>
      </w:r>
      <w:r w:rsidRPr="003D288B">
        <w:rPr>
          <w:szCs w:val="26"/>
        </w:rPr>
        <w:t>the right of one or more persons to posse</w:t>
      </w:r>
      <w:r w:rsidRPr="003D288B">
        <w:rPr>
          <w:szCs w:val="26"/>
        </w:rPr>
        <w:t>ss and use it to the exclusion of others</w:t>
      </w:r>
      <w:r>
        <w:rPr>
          <w:szCs w:val="26"/>
        </w:rPr>
        <w:t>”]</w:t>
      </w:r>
      <w:r>
        <w:rPr>
          <w:szCs w:val="26"/>
        </w:rPr>
        <w:t xml:space="preserve">; </w:t>
      </w:r>
      <w:r w:rsidRPr="003F11DF">
        <w:rPr>
          <w:i/>
          <w:iCs/>
          <w:szCs w:val="26"/>
        </w:rPr>
        <w:t>United States v. Craft</w:t>
      </w:r>
      <w:r w:rsidRPr="003F11DF">
        <w:rPr>
          <w:szCs w:val="26"/>
        </w:rPr>
        <w:t xml:space="preserve"> (2002) 535 U.S. 274, 278</w:t>
      </w:r>
      <w:r>
        <w:rPr>
          <w:szCs w:val="26"/>
        </w:rPr>
        <w:t>–</w:t>
      </w:r>
      <w:r w:rsidRPr="003F11DF">
        <w:rPr>
          <w:szCs w:val="26"/>
        </w:rPr>
        <w:t>279</w:t>
      </w:r>
      <w:r>
        <w:rPr>
          <w:szCs w:val="26"/>
        </w:rPr>
        <w:t xml:space="preserve"> [calling it a “common idiom” that property is described as “</w:t>
      </w:r>
      <w:r w:rsidRPr="003F11DF">
        <w:rPr>
          <w:szCs w:val="26"/>
        </w:rPr>
        <w:t xml:space="preserve">a </w:t>
      </w:r>
      <w:r>
        <w:rPr>
          <w:szCs w:val="26"/>
        </w:rPr>
        <w:t>‘</w:t>
      </w:r>
      <w:r w:rsidRPr="003F11DF">
        <w:rPr>
          <w:szCs w:val="26"/>
        </w:rPr>
        <w:t>bundle of sticks</w:t>
      </w:r>
      <w:r>
        <w:rPr>
          <w:szCs w:val="26"/>
        </w:rPr>
        <w:t xml:space="preserve">’ — </w:t>
      </w:r>
      <w:r w:rsidRPr="003F11DF">
        <w:rPr>
          <w:szCs w:val="26"/>
        </w:rPr>
        <w:t>a</w:t>
      </w:r>
      <w:r>
        <w:rPr>
          <w:szCs w:val="26"/>
        </w:rPr>
        <w:t xml:space="preserve"> </w:t>
      </w:r>
      <w:r w:rsidRPr="003F11DF">
        <w:rPr>
          <w:szCs w:val="26"/>
        </w:rPr>
        <w:t xml:space="preserve">collection of individual rights which, in certain combinations, constitute </w:t>
      </w:r>
      <w:r w:rsidRPr="003F11DF">
        <w:rPr>
          <w:szCs w:val="26"/>
        </w:rPr>
        <w:t>property</w:t>
      </w:r>
      <w:r>
        <w:rPr>
          <w:szCs w:val="26"/>
        </w:rPr>
        <w:t xml:space="preserve">”]; </w:t>
      </w:r>
      <w:r w:rsidRPr="003F11DF">
        <w:rPr>
          <w:i/>
          <w:iCs/>
          <w:szCs w:val="26"/>
        </w:rPr>
        <w:t>Citizens for Covenant Compliance v. Anderson</w:t>
      </w:r>
      <w:r w:rsidRPr="003F11DF">
        <w:rPr>
          <w:szCs w:val="26"/>
        </w:rPr>
        <w:t xml:space="preserve"> (1995) 12 Cal.4th 345, 369</w:t>
      </w:r>
      <w:r>
        <w:rPr>
          <w:szCs w:val="26"/>
        </w:rPr>
        <w:t xml:space="preserve">; </w:t>
      </w:r>
      <w:r w:rsidRPr="003D288B">
        <w:rPr>
          <w:i/>
          <w:iCs/>
          <w:szCs w:val="26"/>
        </w:rPr>
        <w:t xml:space="preserve">Moore v. </w:t>
      </w:r>
      <w:r w:rsidRPr="003D288B">
        <w:rPr>
          <w:i/>
          <w:iCs/>
          <w:szCs w:val="26"/>
        </w:rPr>
        <w:lastRenderedPageBreak/>
        <w:t>Regents of University of California</w:t>
      </w:r>
      <w:r w:rsidRPr="003D288B">
        <w:rPr>
          <w:szCs w:val="26"/>
        </w:rPr>
        <w:t> (1990) 51 Cal.3d 120, 165</w:t>
      </w:r>
      <w:r>
        <w:rPr>
          <w:szCs w:val="26"/>
        </w:rPr>
        <w:t>–</w:t>
      </w:r>
      <w:r w:rsidRPr="003D288B">
        <w:rPr>
          <w:szCs w:val="26"/>
        </w:rPr>
        <w:t>166</w:t>
      </w:r>
      <w:r>
        <w:rPr>
          <w:szCs w:val="26"/>
        </w:rPr>
        <w:t xml:space="preserve"> (dis. opn. of Mosk, J.) [“</w:t>
      </w:r>
      <w:r w:rsidRPr="003D288B">
        <w:rPr>
          <w:szCs w:val="26"/>
        </w:rPr>
        <w:t>the concept of prop</w:t>
      </w:r>
      <w:r>
        <w:rPr>
          <w:szCs w:val="26"/>
        </w:rPr>
        <w:t xml:space="preserve">erty </w:t>
      </w:r>
      <w:proofErr w:type="gramStart"/>
      <w:r>
        <w:rPr>
          <w:szCs w:val="26"/>
        </w:rPr>
        <w:t>is often said</w:t>
      </w:r>
      <w:proofErr w:type="gramEnd"/>
      <w:r>
        <w:rPr>
          <w:szCs w:val="26"/>
        </w:rPr>
        <w:t xml:space="preserve"> to refer to a ‘bundle of rights’</w:t>
      </w:r>
      <w:r w:rsidRPr="003D288B">
        <w:rPr>
          <w:szCs w:val="26"/>
        </w:rPr>
        <w:t xml:space="preserve"> that may be exercised with respect to that object </w:t>
      </w:r>
      <w:r>
        <w:rPr>
          <w:szCs w:val="26"/>
        </w:rPr>
        <w:t xml:space="preserve">— </w:t>
      </w:r>
      <w:r w:rsidRPr="003D288B">
        <w:rPr>
          <w:szCs w:val="26"/>
        </w:rPr>
        <w:t>principally the rights to possess the property, to use the property, to exclude others from the property, and to dispose of the property by sale or by gift</w:t>
      </w:r>
      <w:r>
        <w:rPr>
          <w:szCs w:val="26"/>
        </w:rPr>
        <w:t>”]</w:t>
      </w:r>
      <w:r>
        <w:rPr>
          <w:szCs w:val="26"/>
        </w:rPr>
        <w:t xml:space="preserve">.)  </w:t>
      </w:r>
      <w:r>
        <w:rPr>
          <w:szCs w:val="26"/>
        </w:rPr>
        <w:t xml:space="preserve">By helping to structure expectations </w:t>
      </w:r>
      <w:r>
        <w:rPr>
          <w:szCs w:val="26"/>
        </w:rPr>
        <w:t xml:space="preserve">that </w:t>
      </w:r>
      <w:r>
        <w:rPr>
          <w:szCs w:val="26"/>
        </w:rPr>
        <w:t xml:space="preserve">people can reasonably hold in their dealings with each other, conceptions of property facilitate social and economic relationships.  </w:t>
      </w:r>
      <w:r>
        <w:rPr>
          <w:szCs w:val="26"/>
        </w:rPr>
        <w:t>T</w:t>
      </w:r>
      <w:r>
        <w:rPr>
          <w:szCs w:val="26"/>
        </w:rPr>
        <w:t>he</w:t>
      </w:r>
      <w:r>
        <w:rPr>
          <w:szCs w:val="26"/>
        </w:rPr>
        <w:t xml:space="preserve"> circumstances giving</w:t>
      </w:r>
      <w:r>
        <w:rPr>
          <w:szCs w:val="26"/>
        </w:rPr>
        <w:t xml:space="preserve"> rise to a property interest</w:t>
      </w:r>
      <w:r>
        <w:rPr>
          <w:szCs w:val="26"/>
        </w:rPr>
        <w:t>, in turn, include not only famili</w:t>
      </w:r>
      <w:r>
        <w:rPr>
          <w:szCs w:val="26"/>
        </w:rPr>
        <w:t>ar arm’s-</w:t>
      </w:r>
      <w:r>
        <w:rPr>
          <w:szCs w:val="26"/>
        </w:rPr>
        <w:t>length transactions but also</w:t>
      </w:r>
      <w:r>
        <w:rPr>
          <w:szCs w:val="26"/>
        </w:rPr>
        <w:t xml:space="preserve"> certain sufficiently </w:t>
      </w:r>
      <w:r>
        <w:rPr>
          <w:szCs w:val="26"/>
        </w:rPr>
        <w:t xml:space="preserve">reliable </w:t>
      </w:r>
      <w:r>
        <w:rPr>
          <w:szCs w:val="26"/>
        </w:rPr>
        <w:t>expec</w:t>
      </w:r>
      <w:r>
        <w:rPr>
          <w:szCs w:val="26"/>
        </w:rPr>
        <w:t>tations, such as</w:t>
      </w:r>
      <w:r>
        <w:rPr>
          <w:szCs w:val="26"/>
        </w:rPr>
        <w:t xml:space="preserve"> unvested retirement benefits</w:t>
      </w:r>
      <w:r>
        <w:rPr>
          <w:szCs w:val="26"/>
        </w:rPr>
        <w:t>.</w:t>
      </w:r>
      <w:r>
        <w:rPr>
          <w:szCs w:val="26"/>
        </w:rPr>
        <w:t xml:space="preserve"> </w:t>
      </w:r>
      <w:r>
        <w:rPr>
          <w:szCs w:val="26"/>
        </w:rPr>
        <w:t xml:space="preserve"> (</w:t>
      </w:r>
      <w:r>
        <w:rPr>
          <w:szCs w:val="26"/>
        </w:rPr>
        <w:t xml:space="preserve">E.g., </w:t>
      </w:r>
      <w:r w:rsidRPr="00627D9E">
        <w:rPr>
          <w:i/>
          <w:szCs w:val="26"/>
        </w:rPr>
        <w:t>In re Marriage of Green</w:t>
      </w:r>
      <w:r w:rsidRPr="00627D9E">
        <w:rPr>
          <w:szCs w:val="26"/>
        </w:rPr>
        <w:t xml:space="preserve"> (2013) 56 Cal.4th 1130, 1140–1141 [</w:t>
      </w:r>
      <w:r>
        <w:rPr>
          <w:szCs w:val="26"/>
        </w:rPr>
        <w:t>“</w:t>
      </w:r>
      <w:proofErr w:type="spellStart"/>
      <w:r>
        <w:rPr>
          <w:szCs w:val="26"/>
        </w:rPr>
        <w:t>N</w:t>
      </w:r>
      <w:r w:rsidRPr="000246BA">
        <w:rPr>
          <w:szCs w:val="26"/>
        </w:rPr>
        <w:t>onvested</w:t>
      </w:r>
      <w:proofErr w:type="spellEnd"/>
      <w:r w:rsidRPr="000246BA">
        <w:rPr>
          <w:szCs w:val="26"/>
        </w:rPr>
        <w:t xml:space="preserve"> retirement benefits are certainly contingent on various events occurring</w:t>
      </w:r>
      <w:r>
        <w:rPr>
          <w:szCs w:val="26"/>
        </w:rPr>
        <w:t xml:space="preserve"> </w:t>
      </w:r>
      <w:r w:rsidRPr="000246BA">
        <w:rPr>
          <w:szCs w:val="26"/>
        </w:rPr>
        <w:t>—</w:t>
      </w:r>
      <w:r>
        <w:rPr>
          <w:szCs w:val="26"/>
        </w:rPr>
        <w:t xml:space="preserve"> </w:t>
      </w:r>
      <w:r w:rsidRPr="000246BA">
        <w:rPr>
          <w:szCs w:val="26"/>
        </w:rPr>
        <w:t>such as continued em</w:t>
      </w:r>
      <w:r w:rsidRPr="000246BA">
        <w:rPr>
          <w:szCs w:val="26"/>
        </w:rPr>
        <w:t>ployment</w:t>
      </w:r>
      <w:r>
        <w:rPr>
          <w:szCs w:val="26"/>
        </w:rPr>
        <w:t xml:space="preserve"> </w:t>
      </w:r>
      <w:r w:rsidRPr="000246BA">
        <w:rPr>
          <w:szCs w:val="26"/>
        </w:rPr>
        <w:t>—</w:t>
      </w:r>
      <w:r>
        <w:rPr>
          <w:szCs w:val="26"/>
        </w:rPr>
        <w:t xml:space="preserve"> </w:t>
      </w:r>
      <w:r w:rsidRPr="000246BA">
        <w:rPr>
          <w:szCs w:val="26"/>
        </w:rPr>
        <w:t>but this does not prevent them from being a pro</w:t>
      </w:r>
      <w:r>
        <w:rPr>
          <w:szCs w:val="26"/>
        </w:rPr>
        <w:t>perty right for these purposes</w:t>
      </w:r>
      <w:r>
        <w:rPr>
          <w:szCs w:val="26"/>
        </w:rPr>
        <w:t>.</w:t>
      </w:r>
      <w:r>
        <w:rPr>
          <w:szCs w:val="26"/>
        </w:rPr>
        <w:t>”</w:t>
      </w:r>
      <w:r w:rsidRPr="00627D9E">
        <w:rPr>
          <w:szCs w:val="26"/>
        </w:rPr>
        <w:t>]</w:t>
      </w:r>
      <w:r>
        <w:rPr>
          <w:szCs w:val="26"/>
        </w:rPr>
        <w:t xml:space="preserve">.) </w:t>
      </w:r>
      <w:r>
        <w:rPr>
          <w:szCs w:val="26"/>
        </w:rPr>
        <w:t xml:space="preserve"> </w:t>
      </w:r>
      <w:r w:rsidRPr="00870817">
        <w:rPr>
          <w:szCs w:val="26"/>
        </w:rPr>
        <w:t>In this case, we consider the question of whether a sufficiently strong expectation exists in the context of</w:t>
      </w:r>
      <w:r>
        <w:rPr>
          <w:szCs w:val="26"/>
        </w:rPr>
        <w:t xml:space="preserve"> a</w:t>
      </w:r>
      <w:r>
        <w:rPr>
          <w:szCs w:val="26"/>
        </w:rPr>
        <w:t xml:space="preserve"> </w:t>
      </w:r>
      <w:r w:rsidRPr="00870817">
        <w:rPr>
          <w:szCs w:val="26"/>
        </w:rPr>
        <w:t>law firm partnership</w:t>
      </w:r>
      <w:r>
        <w:rPr>
          <w:szCs w:val="26"/>
        </w:rPr>
        <w:t xml:space="preserve"> performing hourly work on leg</w:t>
      </w:r>
      <w:r>
        <w:rPr>
          <w:szCs w:val="26"/>
        </w:rPr>
        <w:t>al matters</w:t>
      </w:r>
      <w:r>
        <w:rPr>
          <w:szCs w:val="26"/>
        </w:rPr>
        <w:t>.</w:t>
      </w:r>
      <w:r>
        <w:rPr>
          <w:szCs w:val="26"/>
        </w:rPr>
        <w:t xml:space="preserve">  </w:t>
      </w:r>
      <w:r>
        <w:rPr>
          <w:szCs w:val="26"/>
        </w:rPr>
        <w:t xml:space="preserve">We find that it does </w:t>
      </w:r>
      <w:r>
        <w:rPr>
          <w:szCs w:val="26"/>
        </w:rPr>
        <w:t>not</w:t>
      </w:r>
      <w:r>
        <w:rPr>
          <w:szCs w:val="26"/>
        </w:rPr>
        <w:t>.</w:t>
      </w:r>
    </w:p>
    <w:p w:rsidR="002E15FF" w:rsidRPr="00D611DA" w:rsidRDefault="000A7ADD" w:rsidP="00C20CAC">
      <w:pPr>
        <w:spacing w:line="480" w:lineRule="exact"/>
        <w:ind w:firstLine="720"/>
        <w:rPr>
          <w:szCs w:val="26"/>
        </w:rPr>
      </w:pPr>
      <w:r>
        <w:rPr>
          <w:szCs w:val="26"/>
        </w:rPr>
        <w:t>A p</w:t>
      </w:r>
      <w:r>
        <w:rPr>
          <w:szCs w:val="26"/>
        </w:rPr>
        <w:t xml:space="preserve">roperty interest </w:t>
      </w:r>
      <w:r>
        <w:rPr>
          <w:szCs w:val="26"/>
        </w:rPr>
        <w:t>grounded in</w:t>
      </w:r>
      <w:r>
        <w:rPr>
          <w:szCs w:val="26"/>
        </w:rPr>
        <w:t xml:space="preserve"> such</w:t>
      </w:r>
      <w:r>
        <w:rPr>
          <w:szCs w:val="26"/>
        </w:rPr>
        <w:t xml:space="preserve"> an expectation</w:t>
      </w:r>
      <w:r>
        <w:rPr>
          <w:szCs w:val="26"/>
        </w:rPr>
        <w:t xml:space="preserve"> </w:t>
      </w:r>
      <w:r>
        <w:rPr>
          <w:szCs w:val="26"/>
        </w:rPr>
        <w:t xml:space="preserve">requires </w:t>
      </w:r>
      <w:r>
        <w:rPr>
          <w:szCs w:val="26"/>
        </w:rPr>
        <w:t xml:space="preserve">a legitimate, objectively reasonable </w:t>
      </w:r>
      <w:r>
        <w:rPr>
          <w:szCs w:val="26"/>
        </w:rPr>
        <w:t>assurance</w:t>
      </w:r>
      <w:r>
        <w:rPr>
          <w:szCs w:val="26"/>
        </w:rPr>
        <w:t xml:space="preserve"> rather</w:t>
      </w:r>
      <w:r>
        <w:rPr>
          <w:szCs w:val="26"/>
        </w:rPr>
        <w:t xml:space="preserve"> </w:t>
      </w:r>
      <w:r>
        <w:rPr>
          <w:szCs w:val="26"/>
        </w:rPr>
        <w:t xml:space="preserve">than a </w:t>
      </w:r>
      <w:r>
        <w:rPr>
          <w:szCs w:val="26"/>
        </w:rPr>
        <w:t xml:space="preserve">mere </w:t>
      </w:r>
      <w:r>
        <w:rPr>
          <w:szCs w:val="26"/>
        </w:rPr>
        <w:t>unilateral</w:t>
      </w:r>
      <w:r>
        <w:rPr>
          <w:szCs w:val="26"/>
        </w:rPr>
        <w:t>ly-held</w:t>
      </w:r>
      <w:r>
        <w:rPr>
          <w:szCs w:val="26"/>
        </w:rPr>
        <w:t xml:space="preserve"> </w:t>
      </w:r>
      <w:r>
        <w:rPr>
          <w:szCs w:val="26"/>
        </w:rPr>
        <w:t>presumption</w:t>
      </w:r>
      <w:r>
        <w:rPr>
          <w:szCs w:val="26"/>
        </w:rPr>
        <w:t>.</w:t>
      </w:r>
      <w:r>
        <w:rPr>
          <w:szCs w:val="26"/>
        </w:rPr>
        <w:t xml:space="preserve">  (</w:t>
      </w:r>
      <w:r>
        <w:rPr>
          <w:szCs w:val="26"/>
        </w:rPr>
        <w:t xml:space="preserve">See </w:t>
      </w:r>
      <w:r w:rsidRPr="00535E7A">
        <w:rPr>
          <w:i/>
          <w:iCs/>
          <w:szCs w:val="26"/>
        </w:rPr>
        <w:t>Bd. of Regents v. Roth</w:t>
      </w:r>
      <w:r w:rsidRPr="00535E7A">
        <w:rPr>
          <w:szCs w:val="26"/>
        </w:rPr>
        <w:t xml:space="preserve"> (1972) 408 U.S. 564, 577</w:t>
      </w:r>
      <w:r>
        <w:rPr>
          <w:szCs w:val="26"/>
        </w:rPr>
        <w:t xml:space="preserve"> [discussing property interests protected by procedural due process</w:t>
      </w:r>
      <w:r>
        <w:rPr>
          <w:szCs w:val="26"/>
        </w:rPr>
        <w:t xml:space="preserve"> and stating that “[t]</w:t>
      </w:r>
      <w:r w:rsidRPr="00A00ACC">
        <w:rPr>
          <w:szCs w:val="26"/>
        </w:rPr>
        <w:t xml:space="preserve">o </w:t>
      </w:r>
      <w:proofErr w:type="gramStart"/>
      <w:r w:rsidRPr="00A00ACC">
        <w:rPr>
          <w:szCs w:val="26"/>
        </w:rPr>
        <w:t>have</w:t>
      </w:r>
      <w:proofErr w:type="gramEnd"/>
      <w:r w:rsidRPr="00A00ACC">
        <w:rPr>
          <w:szCs w:val="26"/>
        </w:rPr>
        <w:t xml:space="preserve"> a property interest in a benefit, a person </w:t>
      </w:r>
      <w:r>
        <w:rPr>
          <w:szCs w:val="26"/>
        </w:rPr>
        <w:t xml:space="preserve">. . . </w:t>
      </w:r>
      <w:r w:rsidRPr="00A00ACC">
        <w:rPr>
          <w:szCs w:val="26"/>
        </w:rPr>
        <w:t xml:space="preserve">must have more than a unilateral expectation of it. </w:t>
      </w:r>
      <w:r>
        <w:rPr>
          <w:szCs w:val="26"/>
        </w:rPr>
        <w:t xml:space="preserve"> </w:t>
      </w:r>
      <w:r w:rsidRPr="00A00ACC">
        <w:rPr>
          <w:szCs w:val="26"/>
        </w:rPr>
        <w:t>He must, instead, have a legitimate claim of entitlement t</w:t>
      </w:r>
      <w:r w:rsidRPr="00A00ACC">
        <w:rPr>
          <w:szCs w:val="26"/>
        </w:rPr>
        <w:t>o it</w:t>
      </w:r>
      <w:r>
        <w:rPr>
          <w:szCs w:val="26"/>
        </w:rPr>
        <w:t>”</w:t>
      </w:r>
      <w:r>
        <w:rPr>
          <w:szCs w:val="26"/>
        </w:rPr>
        <w:t>]</w:t>
      </w:r>
      <w:r>
        <w:rPr>
          <w:szCs w:val="26"/>
        </w:rPr>
        <w:t xml:space="preserve">; </w:t>
      </w:r>
      <w:r w:rsidRPr="00C20CAC">
        <w:rPr>
          <w:i/>
          <w:iCs/>
          <w:szCs w:val="26"/>
        </w:rPr>
        <w:t>Paramount Convalescent Center, Inc. v. Department of Health Care Services</w:t>
      </w:r>
      <w:r w:rsidRPr="00C20CAC">
        <w:rPr>
          <w:szCs w:val="26"/>
        </w:rPr>
        <w:t xml:space="preserve"> (1975) 15 Cal.3d 489, 495</w:t>
      </w:r>
      <w:r>
        <w:rPr>
          <w:szCs w:val="26"/>
        </w:rPr>
        <w:t xml:space="preserve"> [stating that plaintiff’s case turned on whether it “</w:t>
      </w:r>
      <w:r w:rsidRPr="00C20CAC">
        <w:rPr>
          <w:szCs w:val="26"/>
        </w:rPr>
        <w:t xml:space="preserve">had a legitimate claim of entitlement to a new contract, i.e., a property right of which </w:t>
      </w:r>
      <w:r>
        <w:rPr>
          <w:szCs w:val="26"/>
        </w:rPr>
        <w:t>[it]</w:t>
      </w:r>
      <w:r>
        <w:rPr>
          <w:szCs w:val="26"/>
        </w:rPr>
        <w:t xml:space="preserve"> </w:t>
      </w:r>
      <w:r w:rsidRPr="00C20CAC">
        <w:rPr>
          <w:szCs w:val="26"/>
        </w:rPr>
        <w:t>could not be deprived without a hearing, or whether it had a mere expectancy or hope that future contracts would be forthcoming</w:t>
      </w:r>
      <w:r>
        <w:rPr>
          <w:szCs w:val="26"/>
        </w:rPr>
        <w:t>”]</w:t>
      </w:r>
      <w:r>
        <w:rPr>
          <w:szCs w:val="26"/>
        </w:rPr>
        <w:t xml:space="preserve">.)  </w:t>
      </w:r>
      <w:r>
        <w:rPr>
          <w:szCs w:val="26"/>
        </w:rPr>
        <w:t xml:space="preserve"> What </w:t>
      </w:r>
      <w:r>
        <w:rPr>
          <w:szCs w:val="26"/>
        </w:rPr>
        <w:t xml:space="preserve">Heller </w:t>
      </w:r>
      <w:r>
        <w:rPr>
          <w:szCs w:val="26"/>
        </w:rPr>
        <w:t xml:space="preserve">claims here </w:t>
      </w:r>
      <w:r>
        <w:rPr>
          <w:szCs w:val="26"/>
        </w:rPr>
        <w:t>is not</w:t>
      </w:r>
      <w:r>
        <w:rPr>
          <w:szCs w:val="26"/>
        </w:rPr>
        <w:t xml:space="preserve"> merely </w:t>
      </w:r>
      <w:r>
        <w:rPr>
          <w:szCs w:val="26"/>
        </w:rPr>
        <w:lastRenderedPageBreak/>
        <w:t xml:space="preserve">that </w:t>
      </w:r>
      <w:r>
        <w:rPr>
          <w:szCs w:val="26"/>
        </w:rPr>
        <w:t>a firm has</w:t>
      </w:r>
      <w:r>
        <w:rPr>
          <w:szCs w:val="26"/>
        </w:rPr>
        <w:t xml:space="preserve"> a legitimate</w:t>
      </w:r>
      <w:r>
        <w:rPr>
          <w:szCs w:val="26"/>
        </w:rPr>
        <w:t xml:space="preserve"> </w:t>
      </w:r>
      <w:r>
        <w:rPr>
          <w:szCs w:val="26"/>
        </w:rPr>
        <w:t xml:space="preserve">interest in the hourly matters on which it </w:t>
      </w:r>
      <w:r>
        <w:rPr>
          <w:szCs w:val="26"/>
        </w:rPr>
        <w:t>is</w:t>
      </w:r>
      <w:r>
        <w:rPr>
          <w:szCs w:val="26"/>
        </w:rPr>
        <w:t xml:space="preserve"> working. </w:t>
      </w:r>
      <w:r>
        <w:rPr>
          <w:szCs w:val="26"/>
        </w:rPr>
        <w:t xml:space="preserve"> Rather</w:t>
      </w:r>
      <w:r>
        <w:rPr>
          <w:szCs w:val="26"/>
        </w:rPr>
        <w:t>, Heller claim</w:t>
      </w:r>
      <w:r>
        <w:rPr>
          <w:szCs w:val="26"/>
        </w:rPr>
        <w:t>s</w:t>
      </w:r>
      <w:r>
        <w:rPr>
          <w:szCs w:val="26"/>
        </w:rPr>
        <w:t xml:space="preserve"> </w:t>
      </w:r>
      <w:r>
        <w:rPr>
          <w:szCs w:val="26"/>
        </w:rPr>
        <w:t xml:space="preserve">a legitimate </w:t>
      </w:r>
      <w:r>
        <w:rPr>
          <w:szCs w:val="26"/>
        </w:rPr>
        <w:t>interest in</w:t>
      </w:r>
      <w:r>
        <w:rPr>
          <w:szCs w:val="26"/>
        </w:rPr>
        <w:t xml:space="preserve"> the hourly matters on which it is </w:t>
      </w:r>
      <w:r>
        <w:rPr>
          <w:i/>
          <w:szCs w:val="26"/>
        </w:rPr>
        <w:t xml:space="preserve">not </w:t>
      </w:r>
      <w:r>
        <w:rPr>
          <w:szCs w:val="26"/>
        </w:rPr>
        <w:t xml:space="preserve">working — and </w:t>
      </w:r>
      <w:r>
        <w:rPr>
          <w:szCs w:val="26"/>
        </w:rPr>
        <w:t>on which it cannot work</w:t>
      </w:r>
      <w:r>
        <w:rPr>
          <w:szCs w:val="26"/>
        </w:rPr>
        <w:t xml:space="preserve">, </w:t>
      </w:r>
      <w:r>
        <w:rPr>
          <w:szCs w:val="26"/>
        </w:rPr>
        <w:t xml:space="preserve">because it is a firm in dissolution that has ceased operations. </w:t>
      </w:r>
      <w:r>
        <w:rPr>
          <w:szCs w:val="26"/>
        </w:rPr>
        <w:t xml:space="preserve"> In doing so, it seeks </w:t>
      </w:r>
      <w:r>
        <w:rPr>
          <w:szCs w:val="26"/>
        </w:rPr>
        <w:t xml:space="preserve">remuneration for </w:t>
      </w:r>
      <w:r>
        <w:rPr>
          <w:szCs w:val="26"/>
        </w:rPr>
        <w:t xml:space="preserve">work that </w:t>
      </w:r>
      <w:r>
        <w:rPr>
          <w:szCs w:val="26"/>
        </w:rPr>
        <w:t>someone</w:t>
      </w:r>
      <w:r>
        <w:rPr>
          <w:szCs w:val="26"/>
        </w:rPr>
        <w:t xml:space="preserve"> else now </w:t>
      </w:r>
      <w:r>
        <w:rPr>
          <w:szCs w:val="26"/>
        </w:rPr>
        <w:t xml:space="preserve">must </w:t>
      </w:r>
      <w:r>
        <w:rPr>
          <w:szCs w:val="26"/>
        </w:rPr>
        <w:t>undertake</w:t>
      </w:r>
      <w:r>
        <w:rPr>
          <w:szCs w:val="26"/>
        </w:rPr>
        <w:t xml:space="preserve">.  </w:t>
      </w:r>
      <w:r>
        <w:rPr>
          <w:szCs w:val="26"/>
        </w:rPr>
        <w:t xml:space="preserve">Because such a view is unlikely to </w:t>
      </w:r>
      <w:proofErr w:type="gramStart"/>
      <w:r>
        <w:rPr>
          <w:szCs w:val="26"/>
        </w:rPr>
        <w:t>be shared</w:t>
      </w:r>
      <w:proofErr w:type="gramEnd"/>
      <w:r>
        <w:rPr>
          <w:szCs w:val="26"/>
        </w:rPr>
        <w:t xml:space="preserve"> by either </w:t>
      </w:r>
      <w:r>
        <w:rPr>
          <w:szCs w:val="26"/>
        </w:rPr>
        <w:t xml:space="preserve">reasonable </w:t>
      </w:r>
      <w:r>
        <w:rPr>
          <w:szCs w:val="26"/>
        </w:rPr>
        <w:t xml:space="preserve">clients or lawyers seeking to </w:t>
      </w:r>
      <w:r>
        <w:rPr>
          <w:szCs w:val="26"/>
        </w:rPr>
        <w:t>continue working</w:t>
      </w:r>
      <w:r>
        <w:rPr>
          <w:szCs w:val="26"/>
        </w:rPr>
        <w:t xml:space="preserve"> on these legal matters at </w:t>
      </w:r>
      <w:r>
        <w:rPr>
          <w:szCs w:val="26"/>
        </w:rPr>
        <w:t>a client’s</w:t>
      </w:r>
      <w:r>
        <w:rPr>
          <w:szCs w:val="26"/>
        </w:rPr>
        <w:t xml:space="preserve"> behest, </w:t>
      </w:r>
      <w:r>
        <w:rPr>
          <w:szCs w:val="26"/>
        </w:rPr>
        <w:t>Heller’s expectation is</w:t>
      </w:r>
      <w:r>
        <w:rPr>
          <w:szCs w:val="26"/>
        </w:rPr>
        <w:t xml:space="preserve"> best understood as</w:t>
      </w:r>
      <w:r>
        <w:rPr>
          <w:szCs w:val="26"/>
        </w:rPr>
        <w:t xml:space="preserve"> </w:t>
      </w:r>
      <w:r>
        <w:rPr>
          <w:szCs w:val="26"/>
        </w:rPr>
        <w:t xml:space="preserve">essentially </w:t>
      </w:r>
      <w:r>
        <w:rPr>
          <w:szCs w:val="26"/>
        </w:rPr>
        <w:t>unilateral</w:t>
      </w:r>
      <w:r>
        <w:rPr>
          <w:szCs w:val="26"/>
        </w:rPr>
        <w:t>.</w:t>
      </w:r>
    </w:p>
    <w:p w:rsidR="005E6376" w:rsidRPr="0063336A" w:rsidRDefault="000A7ADD" w:rsidP="00BE6B56">
      <w:pPr>
        <w:spacing w:line="480" w:lineRule="exact"/>
        <w:ind w:firstLine="720"/>
        <w:rPr>
          <w:szCs w:val="26"/>
        </w:rPr>
      </w:pPr>
      <w:r>
        <w:rPr>
          <w:szCs w:val="26"/>
        </w:rPr>
        <w:t>A clien</w:t>
      </w:r>
      <w:r>
        <w:rPr>
          <w:szCs w:val="26"/>
        </w:rPr>
        <w:t xml:space="preserve">t </w:t>
      </w:r>
      <w:r>
        <w:rPr>
          <w:szCs w:val="26"/>
        </w:rPr>
        <w:t xml:space="preserve">may </w:t>
      </w:r>
      <w:r>
        <w:rPr>
          <w:szCs w:val="26"/>
        </w:rPr>
        <w:t>ordinarily find that it makes little sense to continually change the allocation of work on legal matters billed on an hourly basis</w:t>
      </w:r>
      <w:r>
        <w:rPr>
          <w:szCs w:val="26"/>
        </w:rPr>
        <w:t xml:space="preserve"> to different lawyers or firms</w:t>
      </w:r>
      <w:r>
        <w:rPr>
          <w:szCs w:val="26"/>
        </w:rPr>
        <w:t xml:space="preserve">, because of the value of </w:t>
      </w:r>
      <w:r>
        <w:rPr>
          <w:szCs w:val="26"/>
        </w:rPr>
        <w:t xml:space="preserve">the relationships formed </w:t>
      </w:r>
      <w:proofErr w:type="gramStart"/>
      <w:r>
        <w:rPr>
          <w:szCs w:val="26"/>
        </w:rPr>
        <w:t>in the course of</w:t>
      </w:r>
      <w:proofErr w:type="gramEnd"/>
      <w:r>
        <w:rPr>
          <w:szCs w:val="26"/>
        </w:rPr>
        <w:t xml:space="preserve"> representation</w:t>
      </w:r>
      <w:r>
        <w:rPr>
          <w:szCs w:val="26"/>
        </w:rPr>
        <w:t xml:space="preserve">, </w:t>
      </w:r>
      <w:r>
        <w:rPr>
          <w:szCs w:val="26"/>
        </w:rPr>
        <w:t>the</w:t>
      </w:r>
      <w:r>
        <w:rPr>
          <w:szCs w:val="26"/>
        </w:rPr>
        <w:t xml:space="preserve"> </w:t>
      </w:r>
      <w:r>
        <w:rPr>
          <w:szCs w:val="26"/>
        </w:rPr>
        <w:t>accumula</w:t>
      </w:r>
      <w:r>
        <w:rPr>
          <w:szCs w:val="26"/>
        </w:rPr>
        <w:t>tion of knowledge</w:t>
      </w:r>
      <w:r>
        <w:rPr>
          <w:szCs w:val="26"/>
        </w:rPr>
        <w:t xml:space="preserve"> by the lawyers involved in the case</w:t>
      </w:r>
      <w:r>
        <w:rPr>
          <w:szCs w:val="26"/>
        </w:rPr>
        <w:t xml:space="preserve">, or simply the cost of </w:t>
      </w:r>
      <w:r>
        <w:rPr>
          <w:szCs w:val="26"/>
        </w:rPr>
        <w:t xml:space="preserve">identifying and </w:t>
      </w:r>
      <w:r>
        <w:rPr>
          <w:szCs w:val="26"/>
        </w:rPr>
        <w:t>transacting to retain suitable new counsel.</w:t>
      </w:r>
      <w:r>
        <w:rPr>
          <w:szCs w:val="26"/>
        </w:rPr>
        <w:t xml:space="preserve">  Even so, </w:t>
      </w:r>
      <w:r>
        <w:rPr>
          <w:szCs w:val="26"/>
        </w:rPr>
        <w:t>hanging over all agreements involving legal representation –– especially those involving work paid on an hour</w:t>
      </w:r>
      <w:r>
        <w:rPr>
          <w:szCs w:val="26"/>
        </w:rPr>
        <w:t>ly basis –– is the</w:t>
      </w:r>
      <w:r>
        <w:rPr>
          <w:szCs w:val="26"/>
        </w:rPr>
        <w:t xml:space="preserve"> possibility that a client will change the nature of the work requested, the terms on which the work is to </w:t>
      </w:r>
      <w:proofErr w:type="gramStart"/>
      <w:r>
        <w:rPr>
          <w:szCs w:val="26"/>
        </w:rPr>
        <w:t>be performed</w:t>
      </w:r>
      <w:proofErr w:type="gramEnd"/>
      <w:r>
        <w:rPr>
          <w:szCs w:val="26"/>
        </w:rPr>
        <w:t>, or the lawyer the client prefers.</w:t>
      </w:r>
      <w:r>
        <w:rPr>
          <w:szCs w:val="26"/>
        </w:rPr>
        <w:t xml:space="preserve">  </w:t>
      </w:r>
      <w:r>
        <w:rPr>
          <w:szCs w:val="26"/>
        </w:rPr>
        <w:t>(</w:t>
      </w:r>
      <w:r w:rsidRPr="00DC2B9A">
        <w:rPr>
          <w:rFonts w:asciiTheme="majorBidi" w:hAnsiTheme="majorBidi" w:cstheme="majorBidi"/>
          <w:szCs w:val="26"/>
        </w:rPr>
        <w:t>See</w:t>
      </w:r>
      <w:r>
        <w:rPr>
          <w:rFonts w:asciiTheme="majorBidi" w:hAnsiTheme="majorBidi" w:cstheme="majorBidi"/>
          <w:szCs w:val="26"/>
        </w:rPr>
        <w:t>, e.g.,</w:t>
      </w:r>
      <w:r w:rsidRPr="00DC2B9A">
        <w:rPr>
          <w:rFonts w:asciiTheme="majorBidi" w:hAnsiTheme="majorBidi" w:cstheme="majorBidi"/>
          <w:szCs w:val="26"/>
        </w:rPr>
        <w:t xml:space="preserve"> </w:t>
      </w:r>
      <w:r w:rsidRPr="00DC2B9A">
        <w:rPr>
          <w:rFonts w:asciiTheme="majorBidi" w:hAnsiTheme="majorBidi" w:cstheme="majorBidi"/>
          <w:i/>
          <w:iCs/>
          <w:szCs w:val="26"/>
        </w:rPr>
        <w:t>General Dynamics Corp. v. Superior Court</w:t>
      </w:r>
      <w:r w:rsidRPr="00DC2B9A">
        <w:rPr>
          <w:rFonts w:asciiTheme="majorBidi" w:hAnsiTheme="majorBidi" w:cstheme="majorBidi"/>
          <w:szCs w:val="26"/>
        </w:rPr>
        <w:t xml:space="preserve"> (1994) 7 Cal.4th 1164, </w:t>
      </w:r>
      <w:r w:rsidRPr="00DC2B9A">
        <w:rPr>
          <w:rFonts w:asciiTheme="majorBidi" w:hAnsiTheme="majorBidi" w:cstheme="majorBidi"/>
          <w:szCs w:val="26"/>
        </w:rPr>
        <w:t>1174–1</w:t>
      </w:r>
      <w:r w:rsidRPr="00DC2B9A">
        <w:rPr>
          <w:rFonts w:asciiTheme="majorBidi" w:hAnsiTheme="majorBidi" w:cstheme="majorBidi"/>
          <w:szCs w:val="26"/>
        </w:rPr>
        <w:t>175</w:t>
      </w:r>
      <w:r>
        <w:rPr>
          <w:rFonts w:asciiTheme="majorBidi" w:hAnsiTheme="majorBidi" w:cstheme="majorBidi"/>
          <w:szCs w:val="26"/>
        </w:rPr>
        <w:t xml:space="preserve">, </w:t>
      </w:r>
      <w:r>
        <w:rPr>
          <w:rFonts w:asciiTheme="majorBidi" w:hAnsiTheme="majorBidi" w:cstheme="majorBidi"/>
          <w:szCs w:val="26"/>
        </w:rPr>
        <w:t>1172</w:t>
      </w:r>
      <w:r>
        <w:rPr>
          <w:rFonts w:asciiTheme="majorBidi" w:hAnsiTheme="majorBidi" w:cstheme="majorBidi"/>
          <w:szCs w:val="26"/>
        </w:rPr>
        <w:t xml:space="preserve"> </w:t>
      </w:r>
      <w:r>
        <w:rPr>
          <w:rFonts w:asciiTheme="majorBidi" w:hAnsiTheme="majorBidi" w:cstheme="majorBidi"/>
          <w:szCs w:val="26"/>
        </w:rPr>
        <w:t>(</w:t>
      </w:r>
      <w:r>
        <w:rPr>
          <w:rFonts w:asciiTheme="majorBidi" w:hAnsiTheme="majorBidi" w:cstheme="majorBidi"/>
          <w:i/>
          <w:szCs w:val="26"/>
        </w:rPr>
        <w:t>General Dynamics</w:t>
      </w:r>
      <w:r>
        <w:rPr>
          <w:rFonts w:asciiTheme="majorBidi" w:hAnsiTheme="majorBidi" w:cstheme="majorBidi"/>
          <w:szCs w:val="26"/>
        </w:rPr>
        <w:t xml:space="preserve">) </w:t>
      </w:r>
      <w:r>
        <w:rPr>
          <w:rFonts w:asciiTheme="majorBidi" w:hAnsiTheme="majorBidi" w:cstheme="majorBidi"/>
          <w:szCs w:val="26"/>
        </w:rPr>
        <w:t>[</w:t>
      </w:r>
      <w:r>
        <w:rPr>
          <w:rFonts w:asciiTheme="majorBidi" w:hAnsiTheme="majorBidi" w:cstheme="majorBidi"/>
          <w:szCs w:val="26"/>
        </w:rPr>
        <w:t xml:space="preserve">stating that it is “bedrock law” that </w:t>
      </w:r>
      <w:r>
        <w:rPr>
          <w:rFonts w:asciiTheme="majorBidi" w:hAnsiTheme="majorBidi" w:cstheme="majorBidi"/>
          <w:szCs w:val="26"/>
        </w:rPr>
        <w:t xml:space="preserve">a </w:t>
      </w:r>
      <w:r>
        <w:rPr>
          <w:rFonts w:asciiTheme="majorBidi" w:hAnsiTheme="majorBidi" w:cstheme="majorBidi"/>
          <w:szCs w:val="26"/>
        </w:rPr>
        <w:t>client has the right “</w:t>
      </w:r>
      <w:r w:rsidRPr="0063336A">
        <w:rPr>
          <w:rFonts w:asciiTheme="majorBidi" w:hAnsiTheme="majorBidi" w:cstheme="majorBidi"/>
          <w:szCs w:val="26"/>
        </w:rPr>
        <w:t xml:space="preserve">to sever the professional relationship </w:t>
      </w:r>
      <w:r>
        <w:rPr>
          <w:rFonts w:asciiTheme="majorBidi" w:hAnsiTheme="majorBidi" w:cstheme="majorBidi"/>
          <w:szCs w:val="26"/>
        </w:rPr>
        <w:t xml:space="preserve">[with its attorney] </w:t>
      </w:r>
      <w:r w:rsidRPr="0063336A">
        <w:rPr>
          <w:rFonts w:asciiTheme="majorBidi" w:hAnsiTheme="majorBidi" w:cstheme="majorBidi"/>
          <w:szCs w:val="26"/>
        </w:rPr>
        <w:t>at any time and for any reason</w:t>
      </w:r>
      <w:r>
        <w:rPr>
          <w:rFonts w:asciiTheme="majorBidi" w:hAnsiTheme="majorBidi" w:cstheme="majorBidi"/>
          <w:szCs w:val="26"/>
        </w:rPr>
        <w:t>,” although carving out a limited</w:t>
      </w:r>
      <w:r>
        <w:rPr>
          <w:rFonts w:asciiTheme="majorBidi" w:hAnsiTheme="majorBidi" w:cstheme="majorBidi"/>
          <w:szCs w:val="26"/>
        </w:rPr>
        <w:t xml:space="preserve"> exception for in-house counsel</w:t>
      </w:r>
      <w:r>
        <w:rPr>
          <w:rFonts w:asciiTheme="majorBidi" w:hAnsiTheme="majorBidi" w:cstheme="majorBidi"/>
          <w:szCs w:val="26"/>
        </w:rPr>
        <w:t xml:space="preserve"> whose relationship</w:t>
      </w:r>
      <w:r>
        <w:rPr>
          <w:rFonts w:asciiTheme="majorBidi" w:hAnsiTheme="majorBidi" w:cstheme="majorBidi"/>
          <w:szCs w:val="26"/>
        </w:rPr>
        <w:t xml:space="preserve"> with the client</w:t>
      </w:r>
      <w:r>
        <w:rPr>
          <w:rFonts w:asciiTheme="majorBidi" w:hAnsiTheme="majorBidi" w:cstheme="majorBidi"/>
          <w:szCs w:val="26"/>
        </w:rPr>
        <w:t xml:space="preserve"> </w:t>
      </w:r>
      <w:r>
        <w:rPr>
          <w:rFonts w:asciiTheme="majorBidi" w:hAnsiTheme="majorBidi" w:cstheme="majorBidi"/>
          <w:szCs w:val="26"/>
        </w:rPr>
        <w:t>is</w:t>
      </w:r>
      <w:r>
        <w:rPr>
          <w:rFonts w:asciiTheme="majorBidi" w:hAnsiTheme="majorBidi" w:cstheme="majorBidi"/>
          <w:szCs w:val="26"/>
        </w:rPr>
        <w:t xml:space="preserve"> not </w:t>
      </w:r>
      <w:r>
        <w:rPr>
          <w:rFonts w:asciiTheme="majorBidi" w:hAnsiTheme="majorBidi" w:cstheme="majorBidi"/>
          <w:szCs w:val="26"/>
        </w:rPr>
        <w:t xml:space="preserve">a </w:t>
      </w:r>
      <w:proofErr w:type="gramStart"/>
      <w:r>
        <w:rPr>
          <w:rFonts w:asciiTheme="majorBidi" w:hAnsiTheme="majorBidi" w:cstheme="majorBidi"/>
          <w:szCs w:val="26"/>
        </w:rPr>
        <w:t>“ ‘</w:t>
      </w:r>
      <w:proofErr w:type="gramEnd"/>
      <w:r>
        <w:rPr>
          <w:rFonts w:asciiTheme="majorBidi" w:hAnsiTheme="majorBidi" w:cstheme="majorBidi"/>
          <w:szCs w:val="26"/>
        </w:rPr>
        <w:t xml:space="preserve">one </w:t>
      </w:r>
      <w:r>
        <w:rPr>
          <w:rFonts w:asciiTheme="majorBidi" w:hAnsiTheme="majorBidi" w:cstheme="majorBidi"/>
          <w:szCs w:val="26"/>
        </w:rPr>
        <w:t>shot</w:t>
      </w:r>
      <w:r>
        <w:rPr>
          <w:rFonts w:asciiTheme="majorBidi" w:hAnsiTheme="majorBidi" w:cstheme="majorBidi"/>
          <w:szCs w:val="26"/>
        </w:rPr>
        <w:t xml:space="preserve">’ </w:t>
      </w:r>
      <w:r>
        <w:rPr>
          <w:rFonts w:asciiTheme="majorBidi" w:hAnsiTheme="majorBidi" w:cstheme="majorBidi"/>
          <w:szCs w:val="26"/>
        </w:rPr>
        <w:t>undertaking”</w:t>
      </w:r>
      <w:r>
        <w:rPr>
          <w:rFonts w:asciiTheme="majorBidi" w:hAnsiTheme="majorBidi" w:cstheme="majorBidi"/>
          <w:szCs w:val="26"/>
        </w:rPr>
        <w:t>]</w:t>
      </w:r>
      <w:r>
        <w:rPr>
          <w:szCs w:val="26"/>
        </w:rPr>
        <w:t xml:space="preserve">.)  </w:t>
      </w:r>
      <w:r>
        <w:rPr>
          <w:szCs w:val="26"/>
        </w:rPr>
        <w:t xml:space="preserve">Such uncertainty </w:t>
      </w:r>
      <w:proofErr w:type="gramStart"/>
      <w:r>
        <w:rPr>
          <w:szCs w:val="26"/>
        </w:rPr>
        <w:t>is rooted</w:t>
      </w:r>
      <w:proofErr w:type="gramEnd"/>
      <w:r>
        <w:rPr>
          <w:szCs w:val="26"/>
        </w:rPr>
        <w:t xml:space="preserve"> not only in the reality that hourly fees are paid in increments, but also in the extent to which the client </w:t>
      </w:r>
      <w:r>
        <w:rPr>
          <w:szCs w:val="26"/>
        </w:rPr>
        <w:t xml:space="preserve">legitimately </w:t>
      </w:r>
      <w:r>
        <w:rPr>
          <w:szCs w:val="26"/>
        </w:rPr>
        <w:t>retains flexibility to change the</w:t>
      </w:r>
      <w:r>
        <w:rPr>
          <w:szCs w:val="26"/>
        </w:rPr>
        <w:t xml:space="preserve"> terms of the bargain for legal services</w:t>
      </w:r>
      <w:r>
        <w:rPr>
          <w:szCs w:val="26"/>
        </w:rPr>
        <w:t xml:space="preserve"> after a lawyer has been retained</w:t>
      </w:r>
      <w:r>
        <w:rPr>
          <w:szCs w:val="26"/>
        </w:rPr>
        <w:t>.</w:t>
      </w:r>
      <w:r>
        <w:rPr>
          <w:szCs w:val="26"/>
        </w:rPr>
        <w:t xml:space="preserve">  (</w:t>
      </w:r>
      <w:r w:rsidRPr="0063336A">
        <w:rPr>
          <w:szCs w:val="26"/>
        </w:rPr>
        <w:t>See,</w:t>
      </w:r>
      <w:r>
        <w:rPr>
          <w:szCs w:val="26"/>
        </w:rPr>
        <w:t xml:space="preserve"> e.g.,</w:t>
      </w:r>
      <w:r>
        <w:rPr>
          <w:i/>
          <w:iCs/>
          <w:szCs w:val="26"/>
        </w:rPr>
        <w:t xml:space="preserve"> id</w:t>
      </w:r>
      <w:proofErr w:type="gramStart"/>
      <w:r>
        <w:rPr>
          <w:i/>
          <w:iCs/>
          <w:szCs w:val="26"/>
        </w:rPr>
        <w:t xml:space="preserve">. </w:t>
      </w:r>
      <w:proofErr w:type="gramEnd"/>
      <w:r>
        <w:rPr>
          <w:szCs w:val="26"/>
        </w:rPr>
        <w:t xml:space="preserve">at pp. 1174–1175; </w:t>
      </w:r>
      <w:r w:rsidRPr="00DC2B9A">
        <w:rPr>
          <w:rFonts w:asciiTheme="majorBidi" w:hAnsiTheme="majorBidi" w:cstheme="majorBidi"/>
          <w:i/>
          <w:iCs/>
          <w:szCs w:val="26"/>
        </w:rPr>
        <w:t>Gage v. Atwater</w:t>
      </w:r>
      <w:r w:rsidRPr="00DC2B9A">
        <w:rPr>
          <w:rFonts w:asciiTheme="majorBidi" w:hAnsiTheme="majorBidi" w:cstheme="majorBidi"/>
          <w:szCs w:val="26"/>
        </w:rPr>
        <w:t xml:space="preserve"> (1902) 136 Cal. 170, 172–173</w:t>
      </w:r>
      <w:r>
        <w:rPr>
          <w:rFonts w:asciiTheme="majorBidi" w:hAnsiTheme="majorBidi" w:cstheme="majorBidi"/>
          <w:szCs w:val="26"/>
        </w:rPr>
        <w:t xml:space="preserve"> [“</w:t>
      </w:r>
      <w:r w:rsidRPr="0063336A">
        <w:rPr>
          <w:rFonts w:asciiTheme="majorBidi" w:hAnsiTheme="majorBidi" w:cstheme="majorBidi"/>
          <w:szCs w:val="26"/>
        </w:rPr>
        <w:t xml:space="preserve">The interest of the client in the successful prosecution or defense of the action is superior to </w:t>
      </w:r>
      <w:r w:rsidRPr="0063336A">
        <w:rPr>
          <w:rFonts w:asciiTheme="majorBidi" w:hAnsiTheme="majorBidi" w:cstheme="majorBidi"/>
          <w:szCs w:val="26"/>
        </w:rPr>
        <w:t xml:space="preserve">that of the </w:t>
      </w:r>
      <w:r w:rsidRPr="0063336A">
        <w:rPr>
          <w:rFonts w:asciiTheme="majorBidi" w:hAnsiTheme="majorBidi" w:cstheme="majorBidi"/>
          <w:szCs w:val="26"/>
        </w:rPr>
        <w:lastRenderedPageBreak/>
        <w:t xml:space="preserve">attorney, and he has the right to employ such attorney as will in his opinion best </w:t>
      </w:r>
      <w:proofErr w:type="spellStart"/>
      <w:r w:rsidRPr="0063336A">
        <w:rPr>
          <w:rFonts w:asciiTheme="majorBidi" w:hAnsiTheme="majorBidi" w:cstheme="majorBidi"/>
          <w:szCs w:val="26"/>
        </w:rPr>
        <w:t>subserve</w:t>
      </w:r>
      <w:proofErr w:type="spellEnd"/>
      <w:r w:rsidRPr="0063336A">
        <w:rPr>
          <w:rFonts w:asciiTheme="majorBidi" w:hAnsiTheme="majorBidi" w:cstheme="majorBidi"/>
          <w:szCs w:val="26"/>
        </w:rPr>
        <w:t xml:space="preserve"> his interest.</w:t>
      </w:r>
      <w:r>
        <w:rPr>
          <w:rFonts w:asciiTheme="majorBidi" w:hAnsiTheme="majorBidi" w:cstheme="majorBidi"/>
          <w:szCs w:val="26"/>
        </w:rPr>
        <w:t>”].)</w:t>
      </w:r>
    </w:p>
    <w:p w:rsidR="00444940" w:rsidRDefault="000A7ADD" w:rsidP="00444940">
      <w:pPr>
        <w:spacing w:line="480" w:lineRule="exact"/>
        <w:ind w:firstLine="720"/>
      </w:pPr>
      <w:r w:rsidRPr="00627D9E">
        <w:rPr>
          <w:szCs w:val="26"/>
        </w:rPr>
        <w:t xml:space="preserve">Of course, to assume that firms </w:t>
      </w:r>
      <w:r>
        <w:rPr>
          <w:szCs w:val="26"/>
        </w:rPr>
        <w:t xml:space="preserve">routinely </w:t>
      </w:r>
      <w:r w:rsidRPr="00627D9E">
        <w:rPr>
          <w:szCs w:val="26"/>
        </w:rPr>
        <w:t xml:space="preserve">acquire business simply through the good offices of a single lawyer belies the reality that </w:t>
      </w:r>
      <w:r w:rsidRPr="00627D9E">
        <w:rPr>
          <w:szCs w:val="26"/>
        </w:rPr>
        <w:t>firms exist for a reason</w:t>
      </w:r>
      <w:r>
        <w:rPr>
          <w:szCs w:val="26"/>
        </w:rPr>
        <w:t xml:space="preserve"> </w:t>
      </w:r>
      <w:r w:rsidRPr="00627D9E">
        <w:rPr>
          <w:szCs w:val="26"/>
        </w:rPr>
        <w:t>— no matter h</w:t>
      </w:r>
      <w:r>
        <w:rPr>
          <w:szCs w:val="26"/>
        </w:rPr>
        <w:t>ow much business that individual </w:t>
      </w:r>
      <w:r w:rsidRPr="00627D9E">
        <w:rPr>
          <w:szCs w:val="26"/>
        </w:rPr>
        <w:t>appears to generate</w:t>
      </w:r>
      <w:r>
        <w:rPr>
          <w:szCs w:val="26"/>
        </w:rPr>
        <w:t xml:space="preserve"> alone.</w:t>
      </w:r>
      <w:r w:rsidRPr="00627D9E">
        <w:rPr>
          <w:szCs w:val="26"/>
        </w:rPr>
        <w:t>  Partners pool not only physical resources but human capital.  They hold out not only themselves but their firm as capable of deploying the necessary resource</w:t>
      </w:r>
      <w:r w:rsidRPr="00627D9E">
        <w:rPr>
          <w:szCs w:val="26"/>
        </w:rPr>
        <w:t xml:space="preserve">s to handle matters effectively.  In doing so, </w:t>
      </w:r>
      <w:r>
        <w:rPr>
          <w:szCs w:val="26"/>
        </w:rPr>
        <w:t>lawyers often</w:t>
      </w:r>
      <w:r>
        <w:rPr>
          <w:szCs w:val="26"/>
        </w:rPr>
        <w:t xml:space="preserve"> </w:t>
      </w:r>
      <w:r w:rsidRPr="00627D9E">
        <w:rPr>
          <w:szCs w:val="26"/>
        </w:rPr>
        <w:t>leverage the preparatory work and reputation of an entity in which they have a shared stake, and to which they owe a shared fiduciary duty.  These realities certainly make it difficult to deny th</w:t>
      </w:r>
      <w:r w:rsidRPr="00627D9E">
        <w:rPr>
          <w:szCs w:val="26"/>
        </w:rPr>
        <w:t>at lawyers in the same firm would ordinarily feel some shared interest in each other’s work — indeed, some degree of mutual interest is all but implicit</w:t>
      </w:r>
      <w:r>
        <w:rPr>
          <w:szCs w:val="26"/>
        </w:rPr>
        <w:t xml:space="preserve"> in the very nature of a firm.</w:t>
      </w:r>
    </w:p>
    <w:p w:rsidR="00444940" w:rsidRDefault="000A7ADD" w:rsidP="00444940">
      <w:pPr>
        <w:spacing w:line="480" w:lineRule="exact"/>
        <w:ind w:firstLine="720"/>
        <w:rPr>
          <w:szCs w:val="26"/>
        </w:rPr>
      </w:pPr>
      <w:r w:rsidRPr="00627D9E">
        <w:rPr>
          <w:szCs w:val="26"/>
        </w:rPr>
        <w:t xml:space="preserve">But a shared interest can differ from a property interest, which under </w:t>
      </w:r>
      <w:r>
        <w:rPr>
          <w:szCs w:val="26"/>
        </w:rPr>
        <w:t>Ca</w:t>
      </w:r>
      <w:r>
        <w:rPr>
          <w:szCs w:val="26"/>
        </w:rPr>
        <w:t>lifornia</w:t>
      </w:r>
      <w:r w:rsidRPr="00627D9E">
        <w:rPr>
          <w:szCs w:val="26"/>
        </w:rPr>
        <w:t xml:space="preserve"> law must reflect more than a mere contingency or a certain probability that an outcome — such as further hourly fees remitted to the fi</w:t>
      </w:r>
      <w:r>
        <w:rPr>
          <w:szCs w:val="26"/>
        </w:rPr>
        <w:t xml:space="preserve">rm — may materialize.  </w:t>
      </w:r>
      <w:r w:rsidRPr="003A260D">
        <w:rPr>
          <w:szCs w:val="26"/>
        </w:rPr>
        <w:t>(Civ. Code, § 700</w:t>
      </w:r>
      <w:r>
        <w:rPr>
          <w:szCs w:val="26"/>
        </w:rPr>
        <w:t xml:space="preserve"> [“A</w:t>
      </w:r>
      <w:r w:rsidRPr="003A260D">
        <w:rPr>
          <w:szCs w:val="26"/>
        </w:rPr>
        <w:t xml:space="preserve"> mere possibility</w:t>
      </w:r>
      <w:r>
        <w:rPr>
          <w:szCs w:val="26"/>
        </w:rPr>
        <w:t xml:space="preserve"> . . .</w:t>
      </w:r>
      <w:r w:rsidRPr="003A260D">
        <w:rPr>
          <w:szCs w:val="26"/>
        </w:rPr>
        <w:t xml:space="preserve"> is not to be deemed an interest of any kind.</w:t>
      </w:r>
      <w:r>
        <w:rPr>
          <w:szCs w:val="26"/>
        </w:rPr>
        <w:t xml:space="preserve">”]; </w:t>
      </w:r>
      <w:r w:rsidRPr="00627D9E">
        <w:rPr>
          <w:szCs w:val="26"/>
        </w:rPr>
        <w:t xml:space="preserve">accord </w:t>
      </w:r>
      <w:proofErr w:type="gramStart"/>
      <w:r w:rsidRPr="00627D9E">
        <w:rPr>
          <w:i/>
          <w:szCs w:val="26"/>
        </w:rPr>
        <w:t>In</w:t>
      </w:r>
      <w:proofErr w:type="gramEnd"/>
      <w:r w:rsidRPr="00627D9E">
        <w:rPr>
          <w:i/>
          <w:szCs w:val="26"/>
        </w:rPr>
        <w:t xml:space="preserve"> re Marriage of Brown</w:t>
      </w:r>
      <w:r w:rsidRPr="00627D9E">
        <w:rPr>
          <w:szCs w:val="26"/>
        </w:rPr>
        <w:t xml:space="preserve"> (1976) 15 Cal.3d 838, 844–845 [distinguishing between an expectancy and a contingent interest in property and explaining that “</w:t>
      </w:r>
      <w:r>
        <w:rPr>
          <w:szCs w:val="26"/>
        </w:rPr>
        <w:t>[</w:t>
      </w:r>
      <w:r w:rsidRPr="00627D9E">
        <w:rPr>
          <w:szCs w:val="26"/>
        </w:rPr>
        <w:t>t</w:t>
      </w:r>
      <w:r>
        <w:rPr>
          <w:szCs w:val="26"/>
        </w:rPr>
        <w:t>]</w:t>
      </w:r>
      <w:r w:rsidRPr="00627D9E">
        <w:rPr>
          <w:szCs w:val="26"/>
        </w:rPr>
        <w:t xml:space="preserve">he term expectancy describes the interest of a person who merely foresees that he might </w:t>
      </w:r>
      <w:r w:rsidRPr="00627D9E">
        <w:rPr>
          <w:szCs w:val="26"/>
        </w:rPr>
        <w:t>receive a future beneficence” and that such an interest cannot be enforced]</w:t>
      </w:r>
      <w:r w:rsidRPr="003A260D">
        <w:rPr>
          <w:szCs w:val="26"/>
        </w:rPr>
        <w:t>.)</w:t>
      </w:r>
      <w:r>
        <w:rPr>
          <w:szCs w:val="26"/>
        </w:rPr>
        <w:t xml:space="preserve">  While Heller was a viable, ongoing business, it no doubt hoped to continue working on the unfinished hourly fee matters and </w:t>
      </w:r>
      <w:r>
        <w:rPr>
          <w:szCs w:val="26"/>
        </w:rPr>
        <w:t>expected to receive</w:t>
      </w:r>
      <w:r>
        <w:rPr>
          <w:szCs w:val="26"/>
        </w:rPr>
        <w:t xml:space="preserve"> compensation for its future work.</w:t>
      </w:r>
      <w:r>
        <w:rPr>
          <w:szCs w:val="26"/>
        </w:rPr>
        <w:t xml:space="preserve">  But such hopes were speculative, given the client’s right to terminate counsel at any time, with or without cause.  As such, they do not amount to a property interest.  (</w:t>
      </w:r>
      <w:r>
        <w:rPr>
          <w:szCs w:val="26"/>
        </w:rPr>
        <w:t>Civ. Code, § </w:t>
      </w:r>
      <w:r w:rsidRPr="003A260D">
        <w:rPr>
          <w:szCs w:val="26"/>
        </w:rPr>
        <w:t>700</w:t>
      </w:r>
      <w:r>
        <w:rPr>
          <w:szCs w:val="26"/>
        </w:rPr>
        <w:t xml:space="preserve">; </w:t>
      </w:r>
      <w:r w:rsidRPr="00690668">
        <w:rPr>
          <w:i/>
          <w:szCs w:val="26"/>
        </w:rPr>
        <w:t xml:space="preserve">In re </w:t>
      </w:r>
      <w:proofErr w:type="spellStart"/>
      <w:r w:rsidRPr="00690668">
        <w:rPr>
          <w:i/>
          <w:szCs w:val="26"/>
        </w:rPr>
        <w:t>Thelen</w:t>
      </w:r>
      <w:proofErr w:type="spellEnd"/>
      <w:r w:rsidRPr="00690668">
        <w:rPr>
          <w:i/>
          <w:szCs w:val="26"/>
        </w:rPr>
        <w:t xml:space="preserve"> LLP </w:t>
      </w:r>
      <w:r w:rsidRPr="00690668">
        <w:rPr>
          <w:szCs w:val="26"/>
        </w:rPr>
        <w:t xml:space="preserve">(2014) </w:t>
      </w:r>
      <w:r w:rsidRPr="008962F5">
        <w:rPr>
          <w:szCs w:val="26"/>
        </w:rPr>
        <w:t>20 N.E.3d 264, 270</w:t>
      </w:r>
      <w:r>
        <w:rPr>
          <w:szCs w:val="26"/>
        </w:rPr>
        <w:t>–</w:t>
      </w:r>
      <w:r w:rsidRPr="008962F5">
        <w:rPr>
          <w:szCs w:val="26"/>
        </w:rPr>
        <w:t xml:space="preserve">271 </w:t>
      </w:r>
      <w:r>
        <w:rPr>
          <w:szCs w:val="26"/>
        </w:rPr>
        <w:t>[“</w:t>
      </w:r>
      <w:r w:rsidRPr="0098241D">
        <w:rPr>
          <w:szCs w:val="26"/>
        </w:rPr>
        <w:t>no law firm has a</w:t>
      </w:r>
      <w:r w:rsidRPr="0098241D">
        <w:rPr>
          <w:szCs w:val="26"/>
        </w:rPr>
        <w:t xml:space="preserve"> </w:t>
      </w:r>
      <w:r w:rsidRPr="0098241D">
        <w:rPr>
          <w:szCs w:val="26"/>
        </w:rPr>
        <w:lastRenderedPageBreak/>
        <w:t xml:space="preserve">property interest in future hourly legal fees </w:t>
      </w:r>
      <w:r>
        <w:rPr>
          <w:szCs w:val="26"/>
        </w:rPr>
        <w:t>because they are ‘</w:t>
      </w:r>
      <w:r w:rsidRPr="0098241D">
        <w:rPr>
          <w:szCs w:val="26"/>
        </w:rPr>
        <w:t>too contingent in nature and speculative to create a pres</w:t>
      </w:r>
      <w:r>
        <w:rPr>
          <w:szCs w:val="26"/>
        </w:rPr>
        <w:t>ent or future property interest</w:t>
      </w:r>
      <w:proofErr w:type="gramStart"/>
      <w:r>
        <w:rPr>
          <w:szCs w:val="26"/>
        </w:rPr>
        <w:t>’ ”</w:t>
      </w:r>
      <w:proofErr w:type="gramEnd"/>
      <w:r>
        <w:rPr>
          <w:szCs w:val="26"/>
        </w:rPr>
        <w:t>]</w:t>
      </w:r>
      <w:r>
        <w:rPr>
          <w:szCs w:val="26"/>
        </w:rPr>
        <w:t xml:space="preserve">; </w:t>
      </w:r>
      <w:r w:rsidRPr="000715C5">
        <w:rPr>
          <w:i/>
          <w:szCs w:val="26"/>
        </w:rPr>
        <w:t xml:space="preserve">Heller </w:t>
      </w:r>
      <w:proofErr w:type="spellStart"/>
      <w:r w:rsidRPr="000715C5">
        <w:rPr>
          <w:i/>
          <w:szCs w:val="26"/>
        </w:rPr>
        <w:t>Ehrman</w:t>
      </w:r>
      <w:proofErr w:type="spellEnd"/>
      <w:r w:rsidRPr="000715C5">
        <w:rPr>
          <w:i/>
          <w:szCs w:val="26"/>
        </w:rPr>
        <w:t xml:space="preserve"> LLP v. Davis, Wright, Tremaine, LLP</w:t>
      </w:r>
      <w:r w:rsidRPr="00614315">
        <w:rPr>
          <w:szCs w:val="26"/>
        </w:rPr>
        <w:t xml:space="preserve"> (</w:t>
      </w:r>
      <w:proofErr w:type="spellStart"/>
      <w:r w:rsidRPr="00614315">
        <w:rPr>
          <w:szCs w:val="26"/>
        </w:rPr>
        <w:t>N.D.Cal</w:t>
      </w:r>
      <w:proofErr w:type="spellEnd"/>
      <w:r w:rsidRPr="00614315">
        <w:rPr>
          <w:szCs w:val="26"/>
        </w:rPr>
        <w:t>. 2014) 527 B.R. 24</w:t>
      </w:r>
      <w:r>
        <w:rPr>
          <w:szCs w:val="26"/>
        </w:rPr>
        <w:t xml:space="preserve">, </w:t>
      </w:r>
      <w:r w:rsidRPr="000F2DBC">
        <w:rPr>
          <w:szCs w:val="26"/>
        </w:rPr>
        <w:t>30</w:t>
      </w:r>
      <w:r w:rsidRPr="00CB7363">
        <w:t>–</w:t>
      </w:r>
      <w:r w:rsidRPr="000F2DBC">
        <w:rPr>
          <w:szCs w:val="26"/>
        </w:rPr>
        <w:t>31</w:t>
      </w:r>
      <w:r>
        <w:rPr>
          <w:szCs w:val="26"/>
        </w:rPr>
        <w:t xml:space="preserve"> (</w:t>
      </w:r>
      <w:r>
        <w:rPr>
          <w:i/>
          <w:iCs/>
          <w:szCs w:val="26"/>
        </w:rPr>
        <w:t>Heller</w:t>
      </w:r>
      <w:r>
        <w:rPr>
          <w:szCs w:val="26"/>
        </w:rPr>
        <w:t>) [“</w:t>
      </w:r>
      <w:r w:rsidRPr="00A8219B">
        <w:rPr>
          <w:szCs w:val="26"/>
        </w:rPr>
        <w:t>A</w:t>
      </w:r>
      <w:r w:rsidRPr="00A8219B">
        <w:rPr>
          <w:szCs w:val="26"/>
        </w:rPr>
        <w:t xml:space="preserve"> law firm never owns its client matters. </w:t>
      </w:r>
      <w:r>
        <w:rPr>
          <w:szCs w:val="26"/>
        </w:rPr>
        <w:t xml:space="preserve"> </w:t>
      </w:r>
      <w:r w:rsidRPr="00A8219B">
        <w:rPr>
          <w:szCs w:val="26"/>
        </w:rPr>
        <w:t xml:space="preserve">The client always owns the matter, and the most the law firm can be said to have is an </w:t>
      </w:r>
      <w:r w:rsidRPr="008962F5">
        <w:rPr>
          <w:i/>
          <w:szCs w:val="26"/>
        </w:rPr>
        <w:t>expectation</w:t>
      </w:r>
      <w:r w:rsidRPr="00A8219B">
        <w:rPr>
          <w:szCs w:val="26"/>
        </w:rPr>
        <w:t xml:space="preserve"> of future business.</w:t>
      </w:r>
      <w:r>
        <w:rPr>
          <w:szCs w:val="26"/>
        </w:rPr>
        <w:t>”].)  D</w:t>
      </w:r>
      <w:r w:rsidRPr="006F2CF4">
        <w:rPr>
          <w:szCs w:val="26"/>
        </w:rPr>
        <w:t xml:space="preserve">issolution </w:t>
      </w:r>
      <w:r>
        <w:rPr>
          <w:szCs w:val="26"/>
        </w:rPr>
        <w:t xml:space="preserve">does not change that fact, as dissolving </w:t>
      </w:r>
      <w:r w:rsidRPr="006F2CF4">
        <w:rPr>
          <w:szCs w:val="26"/>
        </w:rPr>
        <w:t>does not place a firm in the position</w:t>
      </w:r>
      <w:r w:rsidRPr="006F2CF4">
        <w:rPr>
          <w:szCs w:val="26"/>
        </w:rPr>
        <w:t xml:space="preserve"> to claim a property interest in work it has not performed — work that would not give rise to a property interest if the f</w:t>
      </w:r>
      <w:r>
        <w:rPr>
          <w:szCs w:val="26"/>
        </w:rPr>
        <w:t>irm were still a going concern.</w:t>
      </w:r>
    </w:p>
    <w:p w:rsidR="00444940" w:rsidRDefault="000A7ADD" w:rsidP="00444940">
      <w:pPr>
        <w:autoSpaceDE w:val="0"/>
        <w:autoSpaceDN w:val="0"/>
        <w:adjustRightInd w:val="0"/>
        <w:spacing w:line="480" w:lineRule="exact"/>
        <w:ind w:firstLine="720"/>
        <w:rPr>
          <w:szCs w:val="26"/>
        </w:rPr>
      </w:pPr>
      <w:r>
        <w:rPr>
          <w:szCs w:val="26"/>
        </w:rPr>
        <w:t>A dissolved law firm therefore has no property interest in the fees or profits associated with unfinis</w:t>
      </w:r>
      <w:r>
        <w:rPr>
          <w:szCs w:val="26"/>
        </w:rPr>
        <w:t>hed hourly fee matters.</w:t>
      </w:r>
      <w:r>
        <w:rPr>
          <w:szCs w:val="26"/>
        </w:rPr>
        <w:t xml:space="preserve">  The firm never owned such matters, and upon dissolution, cannot claim a property interest in the income stream</w:t>
      </w:r>
      <w:r>
        <w:rPr>
          <w:szCs w:val="26"/>
        </w:rPr>
        <w:t>s</w:t>
      </w:r>
      <w:r>
        <w:rPr>
          <w:szCs w:val="26"/>
        </w:rPr>
        <w:t xml:space="preserve"> that they generate.  This is true even when it is the dissolved firm’s former partners who continue to work on these ma</w:t>
      </w:r>
      <w:r>
        <w:rPr>
          <w:szCs w:val="26"/>
        </w:rPr>
        <w:t>tters</w:t>
      </w:r>
      <w:r>
        <w:rPr>
          <w:szCs w:val="26"/>
        </w:rPr>
        <w:t xml:space="preserve"> and earn the income — as</w:t>
      </w:r>
      <w:r>
        <w:rPr>
          <w:szCs w:val="26"/>
        </w:rPr>
        <w:t xml:space="preserve"> is consistent with our partnership law.</w:t>
      </w:r>
    </w:p>
    <w:p w:rsidR="00627D9E" w:rsidRPr="00A67BCD" w:rsidRDefault="000A7ADD" w:rsidP="00A67BCD">
      <w:pPr>
        <w:autoSpaceDE w:val="0"/>
        <w:autoSpaceDN w:val="0"/>
        <w:adjustRightInd w:val="0"/>
        <w:spacing w:line="480" w:lineRule="exact"/>
        <w:ind w:firstLine="720"/>
        <w:rPr>
          <w:szCs w:val="26"/>
        </w:rPr>
      </w:pPr>
      <w:r>
        <w:rPr>
          <w:szCs w:val="26"/>
        </w:rPr>
        <w:t>To find otherwise</w:t>
      </w:r>
      <w:r>
        <w:rPr>
          <w:szCs w:val="26"/>
        </w:rPr>
        <w:t xml:space="preserve"> </w:t>
      </w:r>
      <w:r>
        <w:rPr>
          <w:szCs w:val="26"/>
        </w:rPr>
        <w:t>would trigger or exacerbate a host of difficulties.  The more fees a former pa</w:t>
      </w:r>
      <w:r>
        <w:rPr>
          <w:szCs w:val="26"/>
        </w:rPr>
        <w:t xml:space="preserve">rtnership can claim, the less </w:t>
      </w:r>
      <w:r>
        <w:rPr>
          <w:szCs w:val="26"/>
        </w:rPr>
        <w:t>remain</w:t>
      </w:r>
      <w:r>
        <w:rPr>
          <w:szCs w:val="26"/>
        </w:rPr>
        <w:t xml:space="preserve"> available to compensate the people who </w:t>
      </w:r>
      <w:proofErr w:type="gramStart"/>
      <w:r>
        <w:rPr>
          <w:szCs w:val="26"/>
        </w:rPr>
        <w:t>actually perform</w:t>
      </w:r>
      <w:proofErr w:type="gramEnd"/>
      <w:r>
        <w:rPr>
          <w:szCs w:val="26"/>
        </w:rPr>
        <w:t xml:space="preserve"> the work.  </w:t>
      </w:r>
      <w:r>
        <w:rPr>
          <w:szCs w:val="26"/>
        </w:rPr>
        <w:t>R</w:t>
      </w:r>
      <w:r>
        <w:rPr>
          <w:szCs w:val="26"/>
        </w:rPr>
        <w:t>educed compensation creates incentives that are perverse to the mobility of lawye</w:t>
      </w:r>
      <w:r>
        <w:rPr>
          <w:szCs w:val="26"/>
        </w:rPr>
        <w:t>rs, clients’ choice for counsel</w:t>
      </w:r>
      <w:r>
        <w:rPr>
          <w:szCs w:val="26"/>
        </w:rPr>
        <w:t>, and stability of law firms.  F</w:t>
      </w:r>
      <w:r w:rsidRPr="004E534D">
        <w:rPr>
          <w:szCs w:val="26"/>
        </w:rPr>
        <w:t xml:space="preserve">ormer partners of </w:t>
      </w:r>
      <w:r>
        <w:rPr>
          <w:szCs w:val="26"/>
        </w:rPr>
        <w:t>a dissolved firm</w:t>
      </w:r>
      <w:r w:rsidRPr="004E534D">
        <w:rPr>
          <w:szCs w:val="26"/>
        </w:rPr>
        <w:t xml:space="preserve"> </w:t>
      </w:r>
      <w:r>
        <w:rPr>
          <w:szCs w:val="26"/>
        </w:rPr>
        <w:t>may face</w:t>
      </w:r>
      <w:r>
        <w:rPr>
          <w:szCs w:val="26"/>
        </w:rPr>
        <w:t xml:space="preserve"> </w:t>
      </w:r>
      <w:r w:rsidRPr="004E534D">
        <w:rPr>
          <w:szCs w:val="26"/>
        </w:rPr>
        <w:t xml:space="preserve">limited mobility in bringing unfinished matters to </w:t>
      </w:r>
      <w:r>
        <w:rPr>
          <w:szCs w:val="26"/>
        </w:rPr>
        <w:t>replacement</w:t>
      </w:r>
      <w:r w:rsidRPr="004E534D">
        <w:rPr>
          <w:szCs w:val="26"/>
        </w:rPr>
        <w:t xml:space="preserve"> firms</w:t>
      </w:r>
      <w:r>
        <w:rPr>
          <w:szCs w:val="26"/>
        </w:rPr>
        <w:t xml:space="preserve"> when those unfinished matters are unattractive because the fees they generate must </w:t>
      </w:r>
      <w:proofErr w:type="gramStart"/>
      <w:r>
        <w:rPr>
          <w:szCs w:val="26"/>
        </w:rPr>
        <w:t>be shared</w:t>
      </w:r>
      <w:proofErr w:type="gramEnd"/>
      <w:r>
        <w:rPr>
          <w:szCs w:val="26"/>
        </w:rPr>
        <w:t xml:space="preserve"> with the dissolved firm.  It was for this reason that Heller’s shareholders executed the </w:t>
      </w:r>
      <w:r>
        <w:rPr>
          <w:i/>
          <w:szCs w:val="26"/>
        </w:rPr>
        <w:t>Jewe</w:t>
      </w:r>
      <w:r>
        <w:rPr>
          <w:i/>
          <w:szCs w:val="26"/>
        </w:rPr>
        <w:t xml:space="preserve">l </w:t>
      </w:r>
      <w:r>
        <w:rPr>
          <w:szCs w:val="26"/>
        </w:rPr>
        <w:t xml:space="preserve">waiver, intending it as </w:t>
      </w:r>
      <w:r w:rsidRPr="004E534D">
        <w:rPr>
          <w:szCs w:val="26"/>
        </w:rPr>
        <w:t>“an inducement to encourage Shareholders to move their clients to other law firms and to move Associates and Staff with them.”</w:t>
      </w:r>
      <w:r>
        <w:rPr>
          <w:szCs w:val="26"/>
        </w:rPr>
        <w:t xml:space="preserve">  </w:t>
      </w:r>
      <w:r>
        <w:rPr>
          <w:szCs w:val="26"/>
        </w:rPr>
        <w:t>Indeed,</w:t>
      </w:r>
      <w:r>
        <w:rPr>
          <w:szCs w:val="26"/>
        </w:rPr>
        <w:t xml:space="preserve"> </w:t>
      </w:r>
      <w:r>
        <w:rPr>
          <w:szCs w:val="26"/>
        </w:rPr>
        <w:t xml:space="preserve">partners and their associates and staff are valuable hires </w:t>
      </w:r>
      <w:r>
        <w:rPr>
          <w:szCs w:val="26"/>
        </w:rPr>
        <w:t>to some extent precisely because of</w:t>
      </w:r>
      <w:r>
        <w:rPr>
          <w:szCs w:val="26"/>
        </w:rPr>
        <w:t xml:space="preserve"> the</w:t>
      </w:r>
      <w:r>
        <w:rPr>
          <w:szCs w:val="26"/>
        </w:rPr>
        <w:t xml:space="preserve"> business they bring.  That</w:t>
      </w:r>
      <w:r>
        <w:rPr>
          <w:szCs w:val="26"/>
        </w:rPr>
        <w:t xml:space="preserve"> </w:t>
      </w:r>
      <w:r>
        <w:rPr>
          <w:szCs w:val="26"/>
        </w:rPr>
        <w:t xml:space="preserve">lawyers </w:t>
      </w:r>
      <w:r>
        <w:rPr>
          <w:szCs w:val="26"/>
        </w:rPr>
        <w:t xml:space="preserve">sometimes have reason </w:t>
      </w:r>
      <w:r>
        <w:rPr>
          <w:szCs w:val="26"/>
        </w:rPr>
        <w:lastRenderedPageBreak/>
        <w:t>to switch firms d</w:t>
      </w:r>
      <w:r>
        <w:rPr>
          <w:szCs w:val="26"/>
        </w:rPr>
        <w:t>oes not diminish</w:t>
      </w:r>
      <w:r>
        <w:rPr>
          <w:szCs w:val="26"/>
        </w:rPr>
        <w:t xml:space="preserve"> the importance of</w:t>
      </w:r>
      <w:r>
        <w:rPr>
          <w:szCs w:val="26"/>
        </w:rPr>
        <w:t xml:space="preserve"> certain</w:t>
      </w:r>
      <w:r>
        <w:rPr>
          <w:szCs w:val="26"/>
        </w:rPr>
        <w:t xml:space="preserve"> fiduciary dutie</w:t>
      </w:r>
      <w:r>
        <w:rPr>
          <w:szCs w:val="26"/>
        </w:rPr>
        <w:t>s that facilitate the existence of any firm</w:t>
      </w:r>
      <w:r>
        <w:rPr>
          <w:szCs w:val="26"/>
        </w:rPr>
        <w:t>.</w:t>
      </w:r>
      <w:r>
        <w:rPr>
          <w:szCs w:val="26"/>
        </w:rPr>
        <w:t xml:space="preserve"> </w:t>
      </w:r>
      <w:r>
        <w:rPr>
          <w:szCs w:val="26"/>
        </w:rPr>
        <w:t xml:space="preserve"> </w:t>
      </w:r>
      <w:r>
        <w:rPr>
          <w:szCs w:val="26"/>
        </w:rPr>
        <w:t>(See</w:t>
      </w:r>
      <w:r>
        <w:rPr>
          <w:szCs w:val="26"/>
        </w:rPr>
        <w:t xml:space="preserve"> </w:t>
      </w:r>
      <w:r w:rsidRPr="00D15B17">
        <w:rPr>
          <w:szCs w:val="26"/>
        </w:rPr>
        <w:t>Corp. Code, § 16404</w:t>
      </w:r>
      <w:r>
        <w:rPr>
          <w:szCs w:val="26"/>
        </w:rPr>
        <w:t>, subd</w:t>
      </w:r>
      <w:proofErr w:type="gramStart"/>
      <w:r>
        <w:rPr>
          <w:szCs w:val="26"/>
        </w:rPr>
        <w:t xml:space="preserve">. </w:t>
      </w:r>
      <w:proofErr w:type="gramEnd"/>
      <w:r>
        <w:rPr>
          <w:szCs w:val="26"/>
        </w:rPr>
        <w:t>(a)</w:t>
      </w:r>
      <w:r>
        <w:rPr>
          <w:szCs w:val="26"/>
        </w:rPr>
        <w:t xml:space="preserve"> [s</w:t>
      </w:r>
      <w:r>
        <w:rPr>
          <w:szCs w:val="26"/>
        </w:rPr>
        <w:t>pecifying that a partner owes</w:t>
      </w:r>
      <w:r>
        <w:rPr>
          <w:szCs w:val="26"/>
        </w:rPr>
        <w:t xml:space="preserve"> the partnership the duty of loyalty</w:t>
      </w:r>
      <w:r>
        <w:rPr>
          <w:szCs w:val="26"/>
        </w:rPr>
        <w:t xml:space="preserve"> </w:t>
      </w:r>
      <w:r>
        <w:rPr>
          <w:szCs w:val="26"/>
        </w:rPr>
        <w:t>and the duty of care]</w:t>
      </w:r>
      <w:r>
        <w:rPr>
          <w:szCs w:val="26"/>
        </w:rPr>
        <w:t>, subd</w:t>
      </w:r>
      <w:proofErr w:type="gramStart"/>
      <w:r>
        <w:rPr>
          <w:szCs w:val="26"/>
        </w:rPr>
        <w:t xml:space="preserve">. </w:t>
      </w:r>
      <w:proofErr w:type="gramEnd"/>
      <w:r>
        <w:rPr>
          <w:szCs w:val="26"/>
        </w:rPr>
        <w:t>(b) [listing the obligations subsumed under the duty of loyalty, which includes, for example, the duty “[t]</w:t>
      </w:r>
      <w:r w:rsidRPr="008E4487">
        <w:rPr>
          <w:szCs w:val="26"/>
        </w:rPr>
        <w:t xml:space="preserve">o refrain from dealing with the partnership </w:t>
      </w:r>
      <w:r>
        <w:rPr>
          <w:szCs w:val="26"/>
        </w:rPr>
        <w:t>. . .</w:t>
      </w:r>
      <w:r w:rsidRPr="008E4487">
        <w:rPr>
          <w:szCs w:val="26"/>
        </w:rPr>
        <w:t xml:space="preserve"> as or on behalf of a party having</w:t>
      </w:r>
      <w:r w:rsidRPr="008E4487">
        <w:rPr>
          <w:szCs w:val="26"/>
        </w:rPr>
        <w:t xml:space="preserve"> an interest adverse to the partnership</w:t>
      </w:r>
      <w:r>
        <w:rPr>
          <w:szCs w:val="26"/>
        </w:rPr>
        <w:t>”</w:t>
      </w:r>
      <w:r>
        <w:rPr>
          <w:szCs w:val="26"/>
        </w:rPr>
        <w:t>], subd</w:t>
      </w:r>
      <w:proofErr w:type="gramStart"/>
      <w:r>
        <w:rPr>
          <w:szCs w:val="26"/>
        </w:rPr>
        <w:t xml:space="preserve">. </w:t>
      </w:r>
      <w:proofErr w:type="gramEnd"/>
      <w:r>
        <w:rPr>
          <w:szCs w:val="26"/>
        </w:rPr>
        <w:t>(c) [specifying that</w:t>
      </w:r>
      <w:r>
        <w:rPr>
          <w:szCs w:val="26"/>
        </w:rPr>
        <w:t xml:space="preserve">, under </w:t>
      </w:r>
      <w:r>
        <w:rPr>
          <w:szCs w:val="26"/>
        </w:rPr>
        <w:t>the</w:t>
      </w:r>
      <w:r>
        <w:rPr>
          <w:szCs w:val="26"/>
        </w:rPr>
        <w:t xml:space="preserve"> duty of care,</w:t>
      </w:r>
      <w:r>
        <w:rPr>
          <w:szCs w:val="26"/>
        </w:rPr>
        <w:t xml:space="preserve"> a partner must refrain “</w:t>
      </w:r>
      <w:r w:rsidRPr="008E4487">
        <w:rPr>
          <w:szCs w:val="26"/>
        </w:rPr>
        <w:t>from engaging in grossly negligent or reckless conduct, intentional misconduct, or a knowing violation of law</w:t>
      </w:r>
      <w:r>
        <w:rPr>
          <w:szCs w:val="26"/>
        </w:rPr>
        <w:t>”]</w:t>
      </w:r>
      <w:r>
        <w:rPr>
          <w:szCs w:val="26"/>
        </w:rPr>
        <w:t xml:space="preserve">.)  </w:t>
      </w:r>
      <w:r>
        <w:rPr>
          <w:szCs w:val="26"/>
        </w:rPr>
        <w:t xml:space="preserve">Yet neither the scope </w:t>
      </w:r>
      <w:r>
        <w:rPr>
          <w:szCs w:val="26"/>
        </w:rPr>
        <w:t xml:space="preserve">of those duties nor a reasonable understanding of the scope of property under California law supports the inference that a dissolved firm owns the fees from matters its attorneys once handled on an hourly basis.  </w:t>
      </w:r>
    </w:p>
    <w:p w:rsidR="00627D9E" w:rsidRDefault="000A7ADD" w:rsidP="00627D9E">
      <w:pPr>
        <w:spacing w:line="480" w:lineRule="exact"/>
        <w:ind w:firstLine="720"/>
        <w:rPr>
          <w:szCs w:val="26"/>
        </w:rPr>
      </w:pPr>
      <w:r>
        <w:rPr>
          <w:szCs w:val="26"/>
        </w:rPr>
        <w:t>Recognizing a property interest even in ho</w:t>
      </w:r>
      <w:r>
        <w:rPr>
          <w:szCs w:val="26"/>
        </w:rPr>
        <w:t xml:space="preserve">urly matters would also risk impinging on the client’s right to discharge an attorney at will, a right that </w:t>
      </w:r>
      <w:r>
        <w:rPr>
          <w:szCs w:val="26"/>
        </w:rPr>
        <w:t xml:space="preserve">has </w:t>
      </w:r>
      <w:proofErr w:type="gramStart"/>
      <w:r>
        <w:rPr>
          <w:szCs w:val="26"/>
        </w:rPr>
        <w:t>been</w:t>
      </w:r>
      <w:r>
        <w:rPr>
          <w:szCs w:val="26"/>
        </w:rPr>
        <w:t xml:space="preserve"> recognized</w:t>
      </w:r>
      <w:proofErr w:type="gramEnd"/>
      <w:r>
        <w:rPr>
          <w:szCs w:val="26"/>
        </w:rPr>
        <w:t xml:space="preserve"> in both statute and case law.  (</w:t>
      </w:r>
      <w:proofErr w:type="spellStart"/>
      <w:r w:rsidRPr="00834DDB">
        <w:rPr>
          <w:bCs/>
          <w:i/>
          <w:szCs w:val="26"/>
        </w:rPr>
        <w:t>Fracasse</w:t>
      </w:r>
      <w:proofErr w:type="spellEnd"/>
      <w:r w:rsidRPr="00834DDB">
        <w:rPr>
          <w:bCs/>
          <w:i/>
          <w:szCs w:val="26"/>
        </w:rPr>
        <w:t xml:space="preserve"> v. Brent</w:t>
      </w:r>
      <w:r w:rsidRPr="00834DDB">
        <w:rPr>
          <w:bCs/>
          <w:szCs w:val="26"/>
        </w:rPr>
        <w:t xml:space="preserve"> (1972) 6 Ca</w:t>
      </w:r>
      <w:r>
        <w:rPr>
          <w:bCs/>
          <w:szCs w:val="26"/>
        </w:rPr>
        <w:t>l.3d 784,</w:t>
      </w:r>
      <w:r w:rsidRPr="007B6627">
        <w:rPr>
          <w:szCs w:val="26"/>
        </w:rPr>
        <w:t xml:space="preserve"> 790</w:t>
      </w:r>
      <w:r>
        <w:rPr>
          <w:szCs w:val="26"/>
        </w:rPr>
        <w:t>, citing Code Civ. Proc., § </w:t>
      </w:r>
      <w:r w:rsidRPr="007B6627">
        <w:rPr>
          <w:szCs w:val="26"/>
        </w:rPr>
        <w:t>284</w:t>
      </w:r>
      <w:r>
        <w:rPr>
          <w:szCs w:val="26"/>
        </w:rPr>
        <w:t xml:space="preserve">; </w:t>
      </w:r>
      <w:r>
        <w:rPr>
          <w:i/>
          <w:iCs/>
          <w:szCs w:val="26"/>
        </w:rPr>
        <w:t xml:space="preserve">General </w:t>
      </w:r>
      <w:r w:rsidRPr="00F41D17">
        <w:rPr>
          <w:i/>
          <w:iCs/>
          <w:szCs w:val="26"/>
        </w:rPr>
        <w:t>Dynamics</w:t>
      </w:r>
      <w:r>
        <w:rPr>
          <w:iCs/>
          <w:szCs w:val="26"/>
        </w:rPr>
        <w:t xml:space="preserve">, </w:t>
      </w:r>
      <w:r w:rsidRPr="00F41D17">
        <w:rPr>
          <w:i/>
          <w:iCs/>
          <w:szCs w:val="26"/>
        </w:rPr>
        <w:t>sup</w:t>
      </w:r>
      <w:r w:rsidRPr="00F41D17">
        <w:rPr>
          <w:i/>
          <w:iCs/>
          <w:szCs w:val="26"/>
        </w:rPr>
        <w:t>ra</w:t>
      </w:r>
      <w:r>
        <w:rPr>
          <w:iCs/>
          <w:szCs w:val="26"/>
        </w:rPr>
        <w:t xml:space="preserve">, </w:t>
      </w:r>
      <w:r w:rsidRPr="00F41D17">
        <w:rPr>
          <w:szCs w:val="26"/>
        </w:rPr>
        <w:t xml:space="preserve">7 Cal.4th </w:t>
      </w:r>
      <w:r>
        <w:rPr>
          <w:szCs w:val="26"/>
        </w:rPr>
        <w:t>at pp.</w:t>
      </w:r>
      <w:r w:rsidRPr="00F41D17">
        <w:rPr>
          <w:szCs w:val="26"/>
        </w:rPr>
        <w:t xml:space="preserve"> 1174–1175</w:t>
      </w:r>
      <w:r>
        <w:rPr>
          <w:szCs w:val="26"/>
        </w:rPr>
        <w:t>.)  To allow a firm like Heller to share in fees paid by a client who has discharged it (and paid it in full) necessarily reduces the fees available to compensate the client’s substituted counsel of choice.  In such a situatio</w:t>
      </w:r>
      <w:r>
        <w:rPr>
          <w:szCs w:val="26"/>
        </w:rPr>
        <w:t xml:space="preserve">n, clients with pending matters who prefer any of the firms that hired Heller’s former shareholders may — in recognition of the fact that these firms will not receive the full fees paid and therefore will not </w:t>
      </w:r>
      <w:proofErr w:type="gramStart"/>
      <w:r>
        <w:rPr>
          <w:szCs w:val="26"/>
        </w:rPr>
        <w:t>be as incentivized</w:t>
      </w:r>
      <w:proofErr w:type="gramEnd"/>
      <w:r>
        <w:rPr>
          <w:szCs w:val="26"/>
        </w:rPr>
        <w:t xml:space="preserve"> to work on their matters — o</w:t>
      </w:r>
      <w:r>
        <w:rPr>
          <w:szCs w:val="26"/>
        </w:rPr>
        <w:t>pt for second-choice counsel.  In other words, allocating fees to Heller alters the freedom that clients have in choosing attorneys after Heller stopped representing them.  To protect this freedom, we affirm that client matters belong to the clients, not t</w:t>
      </w:r>
      <w:r>
        <w:rPr>
          <w:szCs w:val="26"/>
        </w:rPr>
        <w:t xml:space="preserve">he law firms, and the latter may not assert an ongoing interest in the matters once they have </w:t>
      </w:r>
      <w:proofErr w:type="gramStart"/>
      <w:r>
        <w:rPr>
          <w:szCs w:val="26"/>
        </w:rPr>
        <w:t>been paid</w:t>
      </w:r>
      <w:proofErr w:type="gramEnd"/>
      <w:r>
        <w:rPr>
          <w:szCs w:val="26"/>
        </w:rPr>
        <w:t xml:space="preserve"> and discharged.</w:t>
      </w:r>
    </w:p>
    <w:p w:rsidR="00627D9E" w:rsidRDefault="000A7ADD" w:rsidP="00627D9E">
      <w:pPr>
        <w:autoSpaceDE w:val="0"/>
        <w:autoSpaceDN w:val="0"/>
        <w:adjustRightInd w:val="0"/>
        <w:spacing w:line="480" w:lineRule="exact"/>
        <w:ind w:firstLine="720"/>
        <w:rPr>
          <w:bCs/>
          <w:szCs w:val="26"/>
        </w:rPr>
      </w:pPr>
      <w:r>
        <w:rPr>
          <w:szCs w:val="26"/>
        </w:rPr>
        <w:lastRenderedPageBreak/>
        <w:t>The clients’ ability to retain their</w:t>
      </w:r>
      <w:r>
        <w:rPr>
          <w:bCs/>
          <w:szCs w:val="26"/>
        </w:rPr>
        <w:t xml:space="preserve"> preferred counsel is a weighty interest, even if counterbalanced by an interest in partnership stability.  This weighing of equities is evident in a case like </w:t>
      </w:r>
      <w:r w:rsidRPr="004E534D">
        <w:rPr>
          <w:bCs/>
          <w:i/>
          <w:szCs w:val="26"/>
        </w:rPr>
        <w:t>Howard v. Babcock</w:t>
      </w:r>
      <w:r w:rsidRPr="004E534D">
        <w:rPr>
          <w:bCs/>
          <w:szCs w:val="26"/>
        </w:rPr>
        <w:t xml:space="preserve"> (1993) 6 Cal.4th 409, 412</w:t>
      </w:r>
      <w:r>
        <w:rPr>
          <w:bCs/>
          <w:szCs w:val="26"/>
        </w:rPr>
        <w:t>,</w:t>
      </w:r>
      <w:r>
        <w:rPr>
          <w:bCs/>
          <w:szCs w:val="26"/>
        </w:rPr>
        <w:t xml:space="preserve"> where</w:t>
      </w:r>
      <w:r w:rsidRPr="004E534D">
        <w:rPr>
          <w:bCs/>
          <w:szCs w:val="26"/>
        </w:rPr>
        <w:t xml:space="preserve"> we deemed enfo</w:t>
      </w:r>
      <w:r>
        <w:rPr>
          <w:bCs/>
          <w:szCs w:val="26"/>
        </w:rPr>
        <w:t xml:space="preserve">rceable a law partnership’s </w:t>
      </w:r>
      <w:proofErr w:type="spellStart"/>
      <w:r>
        <w:rPr>
          <w:bCs/>
          <w:szCs w:val="26"/>
        </w:rPr>
        <w:t>non</w:t>
      </w:r>
      <w:r w:rsidRPr="004E534D">
        <w:rPr>
          <w:bCs/>
          <w:szCs w:val="26"/>
        </w:rPr>
        <w:t>compete</w:t>
      </w:r>
      <w:proofErr w:type="spellEnd"/>
      <w:r w:rsidRPr="004E534D">
        <w:rPr>
          <w:bCs/>
          <w:szCs w:val="26"/>
        </w:rPr>
        <w:t xml:space="preserve"> agreement, which imposed a reasonable cost on departing partners who competed with the firm.  In doing so, we sought “to achieve a balance between the interest of clients in having the attorney of choice, and the interest of law firms in a</w:t>
      </w:r>
      <w:r>
        <w:rPr>
          <w:bCs/>
          <w:szCs w:val="26"/>
        </w:rPr>
        <w:t xml:space="preserve"> stable b</w:t>
      </w:r>
      <w:r>
        <w:rPr>
          <w:bCs/>
          <w:szCs w:val="26"/>
        </w:rPr>
        <w:t>usiness environment.”  (</w:t>
      </w:r>
      <w:r w:rsidRPr="005550BE">
        <w:rPr>
          <w:bCs/>
          <w:i/>
          <w:szCs w:val="26"/>
        </w:rPr>
        <w:t>Id.</w:t>
      </w:r>
      <w:r>
        <w:rPr>
          <w:bCs/>
          <w:szCs w:val="26"/>
        </w:rPr>
        <w:t xml:space="preserve"> at p. 425.)  Here, however, both interests </w:t>
      </w:r>
      <w:proofErr w:type="gramStart"/>
      <w:r>
        <w:rPr>
          <w:bCs/>
          <w:szCs w:val="26"/>
        </w:rPr>
        <w:t>are served</w:t>
      </w:r>
      <w:proofErr w:type="gramEnd"/>
      <w:r>
        <w:rPr>
          <w:bCs/>
          <w:szCs w:val="26"/>
        </w:rPr>
        <w:t xml:space="preserve"> by cutting off the fees going to the dissolved law firm.</w:t>
      </w:r>
    </w:p>
    <w:p w:rsidR="00627D9E" w:rsidRPr="00895275" w:rsidRDefault="000A7ADD" w:rsidP="00627D9E">
      <w:pPr>
        <w:autoSpaceDE w:val="0"/>
        <w:autoSpaceDN w:val="0"/>
        <w:adjustRightInd w:val="0"/>
        <w:spacing w:line="480" w:lineRule="exact"/>
        <w:ind w:firstLine="720"/>
        <w:rPr>
          <w:szCs w:val="26"/>
        </w:rPr>
      </w:pPr>
      <w:r>
        <w:rPr>
          <w:bCs/>
          <w:szCs w:val="26"/>
        </w:rPr>
        <w:t>Amici make this argument by pointing to the instability that results under a rule that pivots depending on when a par</w:t>
      </w:r>
      <w:r>
        <w:rPr>
          <w:bCs/>
          <w:szCs w:val="26"/>
        </w:rPr>
        <w:t xml:space="preserve">tner departs a business.  </w:t>
      </w:r>
      <w:proofErr w:type="gramStart"/>
      <w:r>
        <w:rPr>
          <w:bCs/>
          <w:szCs w:val="26"/>
        </w:rPr>
        <w:t>In particular, amici</w:t>
      </w:r>
      <w:proofErr w:type="gramEnd"/>
      <w:r>
        <w:rPr>
          <w:bCs/>
          <w:szCs w:val="26"/>
        </w:rPr>
        <w:t xml:space="preserve"> refer to situations where </w:t>
      </w:r>
      <w:r>
        <w:rPr>
          <w:szCs w:val="26"/>
        </w:rPr>
        <w:t xml:space="preserve">a partner remains with a struggling partnership </w:t>
      </w:r>
      <w:r w:rsidRPr="001D4BA6">
        <w:rPr>
          <w:szCs w:val="26"/>
        </w:rPr>
        <w:t xml:space="preserve">in an effort to </w:t>
      </w:r>
      <w:r>
        <w:rPr>
          <w:szCs w:val="26"/>
        </w:rPr>
        <w:t xml:space="preserve">help </w:t>
      </w:r>
      <w:r w:rsidRPr="001D4BA6">
        <w:rPr>
          <w:szCs w:val="26"/>
        </w:rPr>
        <w:t xml:space="preserve">rescue it, the </w:t>
      </w:r>
      <w:r>
        <w:rPr>
          <w:szCs w:val="26"/>
        </w:rPr>
        <w:t>partnership</w:t>
      </w:r>
      <w:r w:rsidRPr="001D4BA6">
        <w:rPr>
          <w:szCs w:val="26"/>
        </w:rPr>
        <w:t xml:space="preserve"> su</w:t>
      </w:r>
      <w:r>
        <w:rPr>
          <w:szCs w:val="26"/>
        </w:rPr>
        <w:t>bsequently dissolves, and that dissolved</w:t>
      </w:r>
      <w:r w:rsidRPr="001D4BA6">
        <w:rPr>
          <w:szCs w:val="26"/>
        </w:rPr>
        <w:t xml:space="preserve"> partnership </w:t>
      </w:r>
      <w:r>
        <w:rPr>
          <w:szCs w:val="26"/>
        </w:rPr>
        <w:t>is understood to</w:t>
      </w:r>
      <w:r w:rsidRPr="001D4BA6">
        <w:rPr>
          <w:szCs w:val="26"/>
        </w:rPr>
        <w:t xml:space="preserve"> have a continue</w:t>
      </w:r>
      <w:r w:rsidRPr="001D4BA6">
        <w:rPr>
          <w:szCs w:val="26"/>
        </w:rPr>
        <w:t>d interest</w:t>
      </w:r>
      <w:r>
        <w:rPr>
          <w:szCs w:val="26"/>
        </w:rPr>
        <w:t xml:space="preserve"> in unfinished hourly fee business — but only because the partner remained until dissolution.  Anticipating such an outcome, partners would leave the firm and take business with them at the first sign of trouble so as not to risk being around whe</w:t>
      </w:r>
      <w:r>
        <w:rPr>
          <w:szCs w:val="26"/>
        </w:rPr>
        <w:t>n the partnership dissolves.  We minimize this instability by reducing the incentives for partners to “jump ship” — that is, by limiting the dissolved partnership’s continued interest in unfinished hourly fee matters as asserted against partners who stay u</w:t>
      </w:r>
      <w:r>
        <w:rPr>
          <w:szCs w:val="26"/>
        </w:rPr>
        <w:t>ntil dissolution.</w:t>
      </w:r>
    </w:p>
    <w:p w:rsidR="00627D9E" w:rsidRDefault="000A7ADD" w:rsidP="00627D9E">
      <w:pPr>
        <w:autoSpaceDE w:val="0"/>
        <w:autoSpaceDN w:val="0"/>
        <w:adjustRightInd w:val="0"/>
        <w:spacing w:line="480" w:lineRule="exact"/>
        <w:ind w:firstLine="720"/>
        <w:rPr>
          <w:szCs w:val="26"/>
        </w:rPr>
      </w:pPr>
      <w:r>
        <w:rPr>
          <w:szCs w:val="26"/>
        </w:rPr>
        <w:t xml:space="preserve">Against these concerns, Heller raises the policy considerations </w:t>
      </w:r>
      <w:r>
        <w:rPr>
          <w:szCs w:val="26"/>
        </w:rPr>
        <w:t xml:space="preserve">allegedly </w:t>
      </w:r>
      <w:r>
        <w:rPr>
          <w:szCs w:val="26"/>
        </w:rPr>
        <w:t>animating</w:t>
      </w:r>
      <w:r>
        <w:rPr>
          <w:szCs w:val="26"/>
        </w:rPr>
        <w:t xml:space="preserve"> </w:t>
      </w:r>
      <w:r>
        <w:rPr>
          <w:i/>
          <w:szCs w:val="26"/>
        </w:rPr>
        <w:t>Jewel</w:t>
      </w:r>
      <w:r>
        <w:rPr>
          <w:szCs w:val="26"/>
        </w:rPr>
        <w:t xml:space="preserve">.  The court in </w:t>
      </w:r>
      <w:r>
        <w:rPr>
          <w:i/>
          <w:szCs w:val="26"/>
        </w:rPr>
        <w:t xml:space="preserve">Jewel </w:t>
      </w:r>
      <w:r>
        <w:rPr>
          <w:szCs w:val="26"/>
        </w:rPr>
        <w:t xml:space="preserve">thought that prohibiting former partners from earning “extra compensation” for work done </w:t>
      </w:r>
      <w:proofErr w:type="spellStart"/>
      <w:r>
        <w:rPr>
          <w:szCs w:val="26"/>
        </w:rPr>
        <w:t>postdissolution</w:t>
      </w:r>
      <w:proofErr w:type="spellEnd"/>
      <w:r>
        <w:rPr>
          <w:szCs w:val="26"/>
        </w:rPr>
        <w:t xml:space="preserve"> was necessary to </w:t>
      </w:r>
      <w:r w:rsidRPr="004F4561">
        <w:rPr>
          <w:szCs w:val="26"/>
        </w:rPr>
        <w:t>“</w:t>
      </w:r>
      <w:proofErr w:type="gramStart"/>
      <w:r w:rsidRPr="004F4561">
        <w:rPr>
          <w:szCs w:val="26"/>
        </w:rPr>
        <w:t>prev</w:t>
      </w:r>
      <w:r w:rsidRPr="004F4561">
        <w:rPr>
          <w:szCs w:val="26"/>
        </w:rPr>
        <w:t>ent[</w:t>
      </w:r>
      <w:proofErr w:type="gramEnd"/>
      <w:r w:rsidRPr="004F4561">
        <w:rPr>
          <w:szCs w:val="26"/>
        </w:rPr>
        <w:t xml:space="preserve">] partners from competing for the most remunerative cases during the life of the partnership” and </w:t>
      </w:r>
      <w:r>
        <w:rPr>
          <w:szCs w:val="26"/>
        </w:rPr>
        <w:t xml:space="preserve">to </w:t>
      </w:r>
      <w:r w:rsidRPr="004F4561">
        <w:rPr>
          <w:szCs w:val="26"/>
        </w:rPr>
        <w:t xml:space="preserve">“discourage[] former partners from scrambling to take physical possession of files and seeking personal gain by soliciting a firm’s </w:t>
      </w:r>
      <w:r w:rsidRPr="004F4561">
        <w:rPr>
          <w:szCs w:val="26"/>
        </w:rPr>
        <w:lastRenderedPageBreak/>
        <w:t>existing clients up</w:t>
      </w:r>
      <w:r w:rsidRPr="004F4561">
        <w:rPr>
          <w:szCs w:val="26"/>
        </w:rPr>
        <w:t>on dissolution.”  (</w:t>
      </w:r>
      <w:r w:rsidRPr="004F4561">
        <w:rPr>
          <w:i/>
          <w:szCs w:val="26"/>
        </w:rPr>
        <w:t>Jewel</w:t>
      </w:r>
      <w:r w:rsidRPr="004F4561">
        <w:rPr>
          <w:szCs w:val="26"/>
        </w:rPr>
        <w:t xml:space="preserve">, </w:t>
      </w:r>
      <w:r w:rsidRPr="00D40CEA">
        <w:rPr>
          <w:i/>
          <w:iCs/>
          <w:szCs w:val="26"/>
        </w:rPr>
        <w:t>supra</w:t>
      </w:r>
      <w:r w:rsidRPr="004F4561">
        <w:rPr>
          <w:szCs w:val="26"/>
        </w:rPr>
        <w:t>, 156 Cal.App.3d at p. 179.)</w:t>
      </w:r>
      <w:r>
        <w:rPr>
          <w:szCs w:val="26"/>
        </w:rPr>
        <w:t xml:space="preserve">  </w:t>
      </w:r>
      <w:r>
        <w:rPr>
          <w:szCs w:val="26"/>
        </w:rPr>
        <w:t xml:space="preserve">But </w:t>
      </w:r>
      <w:r>
        <w:rPr>
          <w:i/>
          <w:szCs w:val="26"/>
        </w:rPr>
        <w:t xml:space="preserve">Jewel </w:t>
      </w:r>
      <w:r>
        <w:rPr>
          <w:szCs w:val="26"/>
        </w:rPr>
        <w:t>dealt with contingency fee matters, and w</w:t>
      </w:r>
      <w:r>
        <w:t xml:space="preserve">hether our conclusion in this case extends to </w:t>
      </w:r>
      <w:r>
        <w:t>such</w:t>
      </w:r>
      <w:r>
        <w:t xml:space="preserve"> matters is a question we need not address</w:t>
      </w:r>
      <w:r>
        <w:t xml:space="preserve"> here</w:t>
      </w:r>
      <w:r>
        <w:t xml:space="preserve">. </w:t>
      </w:r>
      <w:r>
        <w:rPr>
          <w:szCs w:val="26"/>
        </w:rPr>
        <w:t xml:space="preserve"> </w:t>
      </w:r>
      <w:r>
        <w:rPr>
          <w:szCs w:val="26"/>
        </w:rPr>
        <w:t>Suffice to say that w</w:t>
      </w:r>
      <w:r>
        <w:rPr>
          <w:szCs w:val="26"/>
        </w:rPr>
        <w:t xml:space="preserve">e find nothing in </w:t>
      </w:r>
      <w:r>
        <w:rPr>
          <w:i/>
          <w:szCs w:val="26"/>
        </w:rPr>
        <w:t xml:space="preserve">Jewel </w:t>
      </w:r>
      <w:r>
        <w:rPr>
          <w:szCs w:val="26"/>
        </w:rPr>
        <w:t xml:space="preserve">to advance Heller’s position </w:t>
      </w:r>
      <w:r>
        <w:rPr>
          <w:szCs w:val="26"/>
        </w:rPr>
        <w:t xml:space="preserve">regarding </w:t>
      </w:r>
      <w:r>
        <w:rPr>
          <w:szCs w:val="26"/>
        </w:rPr>
        <w:t>hourly fee cases.</w:t>
      </w:r>
    </w:p>
    <w:p w:rsidR="00AA2891" w:rsidRPr="00AA2891" w:rsidRDefault="000A7ADD" w:rsidP="00AA2891">
      <w:pPr>
        <w:autoSpaceDE w:val="0"/>
        <w:autoSpaceDN w:val="0"/>
        <w:adjustRightInd w:val="0"/>
        <w:spacing w:line="480" w:lineRule="exact"/>
        <w:ind w:firstLine="720"/>
        <w:rPr>
          <w:bCs/>
          <w:szCs w:val="26"/>
        </w:rPr>
      </w:pPr>
      <w:r>
        <w:rPr>
          <w:szCs w:val="26"/>
        </w:rPr>
        <w:t>S</w:t>
      </w:r>
      <w:r>
        <w:rPr>
          <w:szCs w:val="26"/>
        </w:rPr>
        <w:t xml:space="preserve">imply </w:t>
      </w:r>
      <w:r>
        <w:rPr>
          <w:szCs w:val="26"/>
        </w:rPr>
        <w:t xml:space="preserve">put, a </w:t>
      </w:r>
      <w:r>
        <w:rPr>
          <w:i/>
          <w:szCs w:val="26"/>
        </w:rPr>
        <w:t>Jewel</w:t>
      </w:r>
      <w:r>
        <w:rPr>
          <w:szCs w:val="26"/>
        </w:rPr>
        <w:t xml:space="preserve">-type rule is </w:t>
      </w:r>
      <w:r>
        <w:rPr>
          <w:szCs w:val="26"/>
        </w:rPr>
        <w:t>unnecessary</w:t>
      </w:r>
      <w:r>
        <w:rPr>
          <w:szCs w:val="26"/>
        </w:rPr>
        <w:t xml:space="preserve"> to prevent competition among partners.  Under our partnership law, partners cannot compete </w:t>
      </w:r>
      <w:r>
        <w:rPr>
          <w:szCs w:val="26"/>
        </w:rPr>
        <w:t xml:space="preserve">with their firm </w:t>
      </w:r>
      <w:r>
        <w:rPr>
          <w:szCs w:val="26"/>
        </w:rPr>
        <w:t>during the partnership, even for “</w:t>
      </w:r>
      <w:r w:rsidRPr="004F4561">
        <w:rPr>
          <w:szCs w:val="26"/>
        </w:rPr>
        <w:t>the mos</w:t>
      </w:r>
      <w:r w:rsidRPr="004F4561">
        <w:rPr>
          <w:szCs w:val="26"/>
        </w:rPr>
        <w:t>t remunerative cases</w:t>
      </w:r>
      <w:r>
        <w:rPr>
          <w:szCs w:val="26"/>
        </w:rPr>
        <w:t>.”  (</w:t>
      </w:r>
      <w:r w:rsidRPr="00D608A4">
        <w:rPr>
          <w:i/>
          <w:szCs w:val="26"/>
        </w:rPr>
        <w:t>Jewel</w:t>
      </w:r>
      <w:r>
        <w:rPr>
          <w:szCs w:val="26"/>
        </w:rPr>
        <w:t xml:space="preserve">, </w:t>
      </w:r>
      <w:r w:rsidRPr="00D608A4">
        <w:rPr>
          <w:i/>
          <w:szCs w:val="26"/>
        </w:rPr>
        <w:t>supra</w:t>
      </w:r>
      <w:r>
        <w:rPr>
          <w:szCs w:val="26"/>
        </w:rPr>
        <w:t xml:space="preserve">, 156 Cal.App.3d at p. 179; </w:t>
      </w:r>
      <w:r w:rsidRPr="00D608A4">
        <w:rPr>
          <w:szCs w:val="26"/>
        </w:rPr>
        <w:t>Corp</w:t>
      </w:r>
      <w:r>
        <w:rPr>
          <w:szCs w:val="26"/>
        </w:rPr>
        <w:t>. Code, § </w:t>
      </w:r>
      <w:r w:rsidRPr="004E534D">
        <w:rPr>
          <w:szCs w:val="26"/>
        </w:rPr>
        <w:t>16404, subd</w:t>
      </w:r>
      <w:proofErr w:type="gramStart"/>
      <w:r w:rsidRPr="004E534D">
        <w:rPr>
          <w:szCs w:val="26"/>
        </w:rPr>
        <w:t xml:space="preserve">. </w:t>
      </w:r>
      <w:proofErr w:type="gramEnd"/>
      <w:r w:rsidRPr="004E534D">
        <w:rPr>
          <w:szCs w:val="26"/>
        </w:rPr>
        <w:t>(b)(3)</w:t>
      </w:r>
      <w:r>
        <w:rPr>
          <w:szCs w:val="26"/>
        </w:rPr>
        <w:t xml:space="preserve"> [stipulating that partners have a fiduciary duty</w:t>
      </w:r>
      <w:r w:rsidRPr="004E534D">
        <w:rPr>
          <w:szCs w:val="26"/>
        </w:rPr>
        <w:t xml:space="preserve"> “[t]o refrain from competing with the partnership in the conduct of the partnership business before the </w:t>
      </w:r>
      <w:r>
        <w:rPr>
          <w:szCs w:val="26"/>
        </w:rPr>
        <w:t>diss</w:t>
      </w:r>
      <w:r>
        <w:rPr>
          <w:szCs w:val="26"/>
        </w:rPr>
        <w:t>olution of the partnership”]</w:t>
      </w:r>
      <w:r w:rsidRPr="004E534D">
        <w:rPr>
          <w:szCs w:val="26"/>
        </w:rPr>
        <w:t xml:space="preserve">.)  </w:t>
      </w:r>
      <w:r>
        <w:rPr>
          <w:szCs w:val="26"/>
        </w:rPr>
        <w:t>Our law also makes clear that t</w:t>
      </w:r>
      <w:r w:rsidRPr="004E534D">
        <w:rPr>
          <w:szCs w:val="26"/>
        </w:rPr>
        <w:t xml:space="preserve">he duty to refrain from competing with the partnership only pertains to the period </w:t>
      </w:r>
      <w:r w:rsidRPr="004E534D">
        <w:rPr>
          <w:i/>
          <w:szCs w:val="26"/>
        </w:rPr>
        <w:t>before</w:t>
      </w:r>
      <w:r w:rsidRPr="004E534D">
        <w:rPr>
          <w:szCs w:val="26"/>
        </w:rPr>
        <w:t xml:space="preserve"> dissolution.  </w:t>
      </w:r>
      <w:r>
        <w:rPr>
          <w:szCs w:val="26"/>
        </w:rPr>
        <w:t>(</w:t>
      </w:r>
      <w:r w:rsidRPr="00D608A4">
        <w:rPr>
          <w:szCs w:val="26"/>
        </w:rPr>
        <w:t>Corp</w:t>
      </w:r>
      <w:r>
        <w:rPr>
          <w:szCs w:val="26"/>
        </w:rPr>
        <w:t>. Code, § </w:t>
      </w:r>
      <w:r w:rsidRPr="004E534D">
        <w:rPr>
          <w:szCs w:val="26"/>
        </w:rPr>
        <w:t>16404, subd</w:t>
      </w:r>
      <w:proofErr w:type="gramStart"/>
      <w:r w:rsidRPr="004E534D">
        <w:rPr>
          <w:szCs w:val="26"/>
        </w:rPr>
        <w:t xml:space="preserve">. </w:t>
      </w:r>
      <w:proofErr w:type="gramEnd"/>
      <w:r w:rsidRPr="004E534D">
        <w:rPr>
          <w:szCs w:val="26"/>
        </w:rPr>
        <w:t>(b)(3)</w:t>
      </w:r>
      <w:r>
        <w:rPr>
          <w:szCs w:val="26"/>
        </w:rPr>
        <w:t xml:space="preserve">; </w:t>
      </w:r>
      <w:r w:rsidRPr="00AA2891">
        <w:rPr>
          <w:szCs w:val="26"/>
        </w:rPr>
        <w:t>Sen</w:t>
      </w:r>
      <w:r w:rsidRPr="004E534D">
        <w:rPr>
          <w:szCs w:val="26"/>
        </w:rPr>
        <w:t xml:space="preserve">. Com. on Judiciary, Analysis of </w:t>
      </w:r>
      <w:proofErr w:type="spellStart"/>
      <w:r w:rsidRPr="004E534D">
        <w:rPr>
          <w:szCs w:val="26"/>
        </w:rPr>
        <w:t>Assem</w:t>
      </w:r>
      <w:proofErr w:type="spellEnd"/>
      <w:proofErr w:type="gramStart"/>
      <w:r w:rsidRPr="004E534D">
        <w:rPr>
          <w:szCs w:val="26"/>
        </w:rPr>
        <w:t xml:space="preserve">. </w:t>
      </w:r>
      <w:proofErr w:type="gramEnd"/>
      <w:r w:rsidRPr="004E534D">
        <w:rPr>
          <w:szCs w:val="26"/>
        </w:rPr>
        <w:t>Bill 583 (</w:t>
      </w:r>
      <w:r w:rsidRPr="004E534D">
        <w:rPr>
          <w:szCs w:val="26"/>
        </w:rPr>
        <w:t>1995-1996 Reg. Sess</w:t>
      </w:r>
      <w:r>
        <w:rPr>
          <w:szCs w:val="26"/>
        </w:rPr>
        <w:t>.) as amended June 5, 1996, p. 7 [</w:t>
      </w:r>
      <w:r w:rsidRPr="00AA2891">
        <w:rPr>
          <w:szCs w:val="26"/>
        </w:rPr>
        <w:t xml:space="preserve">indicating that </w:t>
      </w:r>
      <w:r>
        <w:rPr>
          <w:szCs w:val="26"/>
        </w:rPr>
        <w:t xml:space="preserve">“a partner is free to </w:t>
      </w:r>
      <w:proofErr w:type="gramStart"/>
      <w:r>
        <w:rPr>
          <w:szCs w:val="26"/>
        </w:rPr>
        <w:t>compete .</w:t>
      </w:r>
      <w:proofErr w:type="gramEnd"/>
      <w:r>
        <w:rPr>
          <w:szCs w:val="26"/>
        </w:rPr>
        <w:t> . </w:t>
      </w:r>
      <w:r w:rsidRPr="00AA2891">
        <w:rPr>
          <w:szCs w:val="26"/>
        </w:rPr>
        <w:t xml:space="preserve">. upon dissolution” since “[t]he duty </w:t>
      </w:r>
      <w:r>
        <w:rPr>
          <w:szCs w:val="26"/>
        </w:rPr>
        <w:t>[</w:t>
      </w:r>
      <w:r w:rsidRPr="00AA2891">
        <w:rPr>
          <w:szCs w:val="26"/>
        </w:rPr>
        <w:t>not</w:t>
      </w:r>
      <w:r>
        <w:rPr>
          <w:szCs w:val="26"/>
        </w:rPr>
        <w:t>]</w:t>
      </w:r>
      <w:r w:rsidRPr="00AA2891">
        <w:rPr>
          <w:szCs w:val="26"/>
        </w:rPr>
        <w:t xml:space="preserve"> to compete only applies to the ‘conduct of the business’ </w:t>
      </w:r>
      <w:r>
        <w:rPr>
          <w:szCs w:val="26"/>
        </w:rPr>
        <w:t>and not to the ‘winding up</w:t>
      </w:r>
      <w:proofErr w:type="gramStart"/>
      <w:r>
        <w:rPr>
          <w:szCs w:val="26"/>
        </w:rPr>
        <w:t>’ ”</w:t>
      </w:r>
      <w:proofErr w:type="gramEnd"/>
      <w:r>
        <w:rPr>
          <w:szCs w:val="26"/>
        </w:rPr>
        <w:t xml:space="preserve">].)  This temporal limit, perhaps </w:t>
      </w:r>
      <w:r>
        <w:rPr>
          <w:szCs w:val="26"/>
        </w:rPr>
        <w:t>counter</w:t>
      </w:r>
      <w:r>
        <w:rPr>
          <w:szCs w:val="26"/>
        </w:rPr>
        <w:t>intuitively</w:t>
      </w:r>
      <w:r>
        <w:rPr>
          <w:szCs w:val="26"/>
        </w:rPr>
        <w:t xml:space="preserve">, </w:t>
      </w:r>
      <w:r>
        <w:rPr>
          <w:szCs w:val="26"/>
        </w:rPr>
        <w:t>readily advances the spirit of</w:t>
      </w:r>
      <w:r>
        <w:rPr>
          <w:szCs w:val="26"/>
        </w:rPr>
        <w:t xml:space="preserve"> RUPA’s prohibition against competition during </w:t>
      </w:r>
      <w:r>
        <w:rPr>
          <w:szCs w:val="26"/>
        </w:rPr>
        <w:t xml:space="preserve">the </w:t>
      </w:r>
      <w:r>
        <w:rPr>
          <w:szCs w:val="26"/>
        </w:rPr>
        <w:t xml:space="preserve">life of the partnership.  </w:t>
      </w:r>
      <w:r>
        <w:rPr>
          <w:szCs w:val="26"/>
        </w:rPr>
        <w:t>When</w:t>
      </w:r>
      <w:r>
        <w:rPr>
          <w:szCs w:val="26"/>
        </w:rPr>
        <w:t xml:space="preserve"> partners </w:t>
      </w:r>
      <w:proofErr w:type="gramStart"/>
      <w:r>
        <w:rPr>
          <w:szCs w:val="26"/>
        </w:rPr>
        <w:t>know</w:t>
      </w:r>
      <w:proofErr w:type="gramEnd"/>
      <w:r>
        <w:rPr>
          <w:szCs w:val="26"/>
        </w:rPr>
        <w:t xml:space="preserve"> they may freely compete after a firm dissolves,</w:t>
      </w:r>
      <w:r>
        <w:rPr>
          <w:szCs w:val="26"/>
        </w:rPr>
        <w:t xml:space="preserve"> they have less reason to compete during the life of the partnership</w:t>
      </w:r>
      <w:r>
        <w:rPr>
          <w:szCs w:val="26"/>
        </w:rPr>
        <w:t>.</w:t>
      </w:r>
    </w:p>
    <w:p w:rsidR="00A2083B" w:rsidRDefault="000A7ADD" w:rsidP="00BE6B8A">
      <w:pPr>
        <w:autoSpaceDE w:val="0"/>
        <w:autoSpaceDN w:val="0"/>
        <w:adjustRightInd w:val="0"/>
        <w:spacing w:line="480" w:lineRule="exact"/>
        <w:ind w:firstLine="720"/>
        <w:rPr>
          <w:szCs w:val="26"/>
        </w:rPr>
      </w:pPr>
      <w:r>
        <w:rPr>
          <w:szCs w:val="26"/>
        </w:rPr>
        <w:t>O</w:t>
      </w:r>
      <w:r>
        <w:rPr>
          <w:szCs w:val="26"/>
        </w:rPr>
        <w:t xml:space="preserve">ur holding fits comfortably </w:t>
      </w:r>
      <w:r>
        <w:rPr>
          <w:szCs w:val="26"/>
        </w:rPr>
        <w:t>with</w:t>
      </w:r>
      <w:r>
        <w:rPr>
          <w:szCs w:val="26"/>
        </w:rPr>
        <w:t xml:space="preserve"> RUP</w:t>
      </w:r>
      <w:r>
        <w:rPr>
          <w:szCs w:val="26"/>
        </w:rPr>
        <w:t>A</w:t>
      </w:r>
      <w:r>
        <w:rPr>
          <w:szCs w:val="26"/>
        </w:rPr>
        <w:t xml:space="preserve">’s </w:t>
      </w:r>
      <w:r>
        <w:rPr>
          <w:szCs w:val="26"/>
        </w:rPr>
        <w:t>provision</w:t>
      </w:r>
      <w:r>
        <w:rPr>
          <w:szCs w:val="26"/>
        </w:rPr>
        <w:t>s</w:t>
      </w:r>
      <w:r>
        <w:rPr>
          <w:szCs w:val="26"/>
        </w:rPr>
        <w:t xml:space="preserve"> governing fiduciary duty</w:t>
      </w:r>
      <w:r>
        <w:rPr>
          <w:szCs w:val="26"/>
        </w:rPr>
        <w:t>.</w:t>
      </w:r>
      <w:r>
        <w:rPr>
          <w:szCs w:val="26"/>
        </w:rPr>
        <w:t xml:space="preserve">  U</w:t>
      </w:r>
      <w:r>
        <w:rPr>
          <w:szCs w:val="26"/>
        </w:rPr>
        <w:t>nder RUPA,</w:t>
      </w:r>
      <w:r>
        <w:rPr>
          <w:szCs w:val="26"/>
        </w:rPr>
        <w:t xml:space="preserve"> a partner has the</w:t>
      </w:r>
      <w:r w:rsidRPr="004E534D">
        <w:rPr>
          <w:szCs w:val="26"/>
        </w:rPr>
        <w:t xml:space="preserve"> duty “[t]o account to the partnership and hold as trustee for it any property, profit, or benefit derived by the partner in the conduct and winding up of the partnership business or derived from a use by the partner of partnership property or information.</w:t>
      </w:r>
      <w:r w:rsidRPr="004E534D">
        <w:rPr>
          <w:szCs w:val="26"/>
        </w:rPr>
        <w:t>”  (</w:t>
      </w:r>
      <w:r>
        <w:rPr>
          <w:szCs w:val="26"/>
        </w:rPr>
        <w:t>Corp. Code, § </w:t>
      </w:r>
      <w:r w:rsidRPr="004E534D">
        <w:rPr>
          <w:szCs w:val="26"/>
        </w:rPr>
        <w:t>16404, subd</w:t>
      </w:r>
      <w:proofErr w:type="gramStart"/>
      <w:r w:rsidRPr="004E534D">
        <w:rPr>
          <w:szCs w:val="26"/>
        </w:rPr>
        <w:t xml:space="preserve">. </w:t>
      </w:r>
      <w:proofErr w:type="gramEnd"/>
      <w:r w:rsidRPr="004E534D">
        <w:rPr>
          <w:szCs w:val="26"/>
        </w:rPr>
        <w:t>(b)(1).)</w:t>
      </w:r>
      <w:r>
        <w:rPr>
          <w:szCs w:val="26"/>
        </w:rPr>
        <w:t xml:space="preserve">  </w:t>
      </w:r>
      <w:r>
        <w:rPr>
          <w:szCs w:val="26"/>
        </w:rPr>
        <w:t xml:space="preserve">Because no partnership property or information is </w:t>
      </w:r>
      <w:r>
        <w:rPr>
          <w:szCs w:val="26"/>
        </w:rPr>
        <w:t xml:space="preserve">at </w:t>
      </w:r>
      <w:r>
        <w:rPr>
          <w:szCs w:val="26"/>
        </w:rPr>
        <w:t>stake here (per our previous discussion)</w:t>
      </w:r>
      <w:r>
        <w:rPr>
          <w:szCs w:val="26"/>
        </w:rPr>
        <w:t xml:space="preserve">, we can focus on the </w:t>
      </w:r>
      <w:r>
        <w:rPr>
          <w:szCs w:val="26"/>
        </w:rPr>
        <w:t xml:space="preserve">textual language specifying </w:t>
      </w:r>
      <w:r>
        <w:rPr>
          <w:szCs w:val="26"/>
        </w:rPr>
        <w:t xml:space="preserve">that a </w:t>
      </w:r>
      <w:r>
        <w:rPr>
          <w:szCs w:val="26"/>
        </w:rPr>
        <w:lastRenderedPageBreak/>
        <w:t xml:space="preserve">partner has as duty to account during </w:t>
      </w:r>
      <w:r>
        <w:rPr>
          <w:szCs w:val="26"/>
        </w:rPr>
        <w:t xml:space="preserve">the </w:t>
      </w:r>
      <w:r>
        <w:rPr>
          <w:szCs w:val="26"/>
        </w:rPr>
        <w:t>“winding up of the part</w:t>
      </w:r>
      <w:r>
        <w:rPr>
          <w:szCs w:val="26"/>
        </w:rPr>
        <w:t>nership business.”</w:t>
      </w:r>
      <w:r>
        <w:rPr>
          <w:rStyle w:val="FootnoteReference"/>
          <w:szCs w:val="26"/>
        </w:rPr>
        <w:footnoteReference w:id="3"/>
      </w:r>
      <w:r>
        <w:rPr>
          <w:szCs w:val="26"/>
        </w:rPr>
        <w:t xml:space="preserve">  (</w:t>
      </w:r>
      <w:r>
        <w:rPr>
          <w:szCs w:val="26"/>
        </w:rPr>
        <w:t>Corp. Code, § 1604, subd</w:t>
      </w:r>
      <w:proofErr w:type="gramStart"/>
      <w:r>
        <w:rPr>
          <w:szCs w:val="26"/>
        </w:rPr>
        <w:t xml:space="preserve">. </w:t>
      </w:r>
      <w:proofErr w:type="gramEnd"/>
      <w:r>
        <w:rPr>
          <w:szCs w:val="26"/>
        </w:rPr>
        <w:t>(b)(1</w:t>
      </w:r>
      <w:r>
        <w:rPr>
          <w:szCs w:val="26"/>
        </w:rPr>
        <w:t>).)</w:t>
      </w:r>
    </w:p>
    <w:p w:rsidR="00A2083B" w:rsidRDefault="000A7ADD" w:rsidP="008B117E">
      <w:pPr>
        <w:spacing w:line="480" w:lineRule="exact"/>
        <w:ind w:firstLine="720"/>
        <w:rPr>
          <w:szCs w:val="26"/>
        </w:rPr>
      </w:pPr>
      <w:r w:rsidRPr="008D151A">
        <w:rPr>
          <w:bCs/>
          <w:szCs w:val="26"/>
        </w:rPr>
        <w:t>Winding up is “the process of completing all of the</w:t>
      </w:r>
      <w:r w:rsidRPr="00797C1B">
        <w:rPr>
          <w:bCs/>
          <w:szCs w:val="26"/>
        </w:rPr>
        <w:t xml:space="preserve"> partnership’s uncompleted transactions, of reducing all assets to cash, and of distributing t</w:t>
      </w:r>
      <w:r w:rsidRPr="008B4D9B">
        <w:rPr>
          <w:bCs/>
          <w:szCs w:val="26"/>
        </w:rPr>
        <w:t>he proceeds, if any, to the partners.”</w:t>
      </w:r>
      <w:r>
        <w:rPr>
          <w:bCs/>
          <w:szCs w:val="26"/>
        </w:rPr>
        <w:t xml:space="preserve">  (Gregory, </w:t>
      </w:r>
      <w:r w:rsidRPr="0034039E">
        <w:rPr>
          <w:bCs/>
          <w:szCs w:val="26"/>
        </w:rPr>
        <w:t xml:space="preserve">The </w:t>
      </w:r>
      <w:r w:rsidRPr="0034039E">
        <w:rPr>
          <w:bCs/>
          <w:szCs w:val="26"/>
        </w:rPr>
        <w:t>Law of Agency and Partnership</w:t>
      </w:r>
      <w:r>
        <w:rPr>
          <w:bCs/>
          <w:szCs w:val="26"/>
        </w:rPr>
        <w:t xml:space="preserve"> (3d ed. 2001) § 227, p. 368.)  Under </w:t>
      </w:r>
      <w:r>
        <w:rPr>
          <w:szCs w:val="26"/>
        </w:rPr>
        <w:t>RUPA, “[a]</w:t>
      </w:r>
      <w:r w:rsidRPr="004E534D">
        <w:rPr>
          <w:szCs w:val="26"/>
        </w:rPr>
        <w:t xml:space="preserve"> person winding up a partnership’s business may preserve the partnership business or property as a going concern for a reasonable time, prosecute and defend actions and proceeding</w:t>
      </w:r>
      <w:r w:rsidRPr="004E534D">
        <w:rPr>
          <w:szCs w:val="26"/>
        </w:rPr>
        <w:t>s, whether civil, criminal, or administrative, settle and close the partnership’s business, dispose of and transfer the partnership’s property, discharge the partnership’s liabilities, distribute the assets of the partnership pursuant to Section 16807, set</w:t>
      </w:r>
      <w:r w:rsidRPr="004E534D">
        <w:rPr>
          <w:szCs w:val="26"/>
        </w:rPr>
        <w:t>tle disputes by mediation or arbitration, and perform other necessary acts.”  (</w:t>
      </w:r>
      <w:r>
        <w:rPr>
          <w:szCs w:val="26"/>
        </w:rPr>
        <w:t>Corp. Code, § 16803, subd</w:t>
      </w:r>
      <w:proofErr w:type="gramStart"/>
      <w:r>
        <w:rPr>
          <w:szCs w:val="26"/>
        </w:rPr>
        <w:t xml:space="preserve">. </w:t>
      </w:r>
      <w:proofErr w:type="gramEnd"/>
      <w:r>
        <w:rPr>
          <w:szCs w:val="26"/>
        </w:rPr>
        <w:t>(c).)</w:t>
      </w:r>
    </w:p>
    <w:p w:rsidR="00C23ED8" w:rsidRDefault="000A7ADD" w:rsidP="00C23ED8">
      <w:pPr>
        <w:spacing w:line="480" w:lineRule="atLeast"/>
        <w:ind w:firstLine="720"/>
        <w:rPr>
          <w:szCs w:val="26"/>
        </w:rPr>
      </w:pPr>
      <w:r>
        <w:rPr>
          <w:szCs w:val="26"/>
        </w:rPr>
        <w:t>We read th</w:t>
      </w:r>
      <w:r>
        <w:rPr>
          <w:szCs w:val="26"/>
        </w:rPr>
        <w:t xml:space="preserve">ese provisions </w:t>
      </w:r>
      <w:r>
        <w:rPr>
          <w:szCs w:val="26"/>
        </w:rPr>
        <w:t xml:space="preserve">to </w:t>
      </w:r>
      <w:r>
        <w:rPr>
          <w:szCs w:val="26"/>
        </w:rPr>
        <w:t>indicate that the process of winding up a law partnership</w:t>
      </w:r>
      <w:r>
        <w:rPr>
          <w:szCs w:val="26"/>
        </w:rPr>
        <w:t>’s hourly fee matters</w:t>
      </w:r>
      <w:r>
        <w:rPr>
          <w:szCs w:val="26"/>
        </w:rPr>
        <w:t xml:space="preserve"> extends no further than t</w:t>
      </w:r>
      <w:r>
        <w:rPr>
          <w:szCs w:val="26"/>
        </w:rPr>
        <w:t xml:space="preserve">o </w:t>
      </w:r>
      <w:r>
        <w:rPr>
          <w:szCs w:val="26"/>
        </w:rPr>
        <w:t xml:space="preserve">certain </w:t>
      </w:r>
      <w:r>
        <w:rPr>
          <w:szCs w:val="26"/>
        </w:rPr>
        <w:t>ac</w:t>
      </w:r>
      <w:r>
        <w:rPr>
          <w:szCs w:val="26"/>
        </w:rPr>
        <w:t>t</w:t>
      </w:r>
      <w:r>
        <w:rPr>
          <w:szCs w:val="26"/>
        </w:rPr>
        <w:t>s</w:t>
      </w:r>
      <w:r>
        <w:rPr>
          <w:szCs w:val="26"/>
        </w:rPr>
        <w:t xml:space="preserve">.  These include those acts </w:t>
      </w:r>
      <w:r>
        <w:rPr>
          <w:szCs w:val="26"/>
        </w:rPr>
        <w:t xml:space="preserve">necessary to (1) preserve legal matters </w:t>
      </w:r>
      <w:r>
        <w:rPr>
          <w:szCs w:val="26"/>
        </w:rPr>
        <w:t>for transfer to the client’s new counsel or the client itself</w:t>
      </w:r>
      <w:r>
        <w:rPr>
          <w:szCs w:val="26"/>
        </w:rPr>
        <w:t>,</w:t>
      </w:r>
      <w:r>
        <w:rPr>
          <w:szCs w:val="26"/>
        </w:rPr>
        <w:t xml:space="preserve"> (2) effectuate such a transfer</w:t>
      </w:r>
      <w:r>
        <w:rPr>
          <w:szCs w:val="26"/>
        </w:rPr>
        <w:t>,</w:t>
      </w:r>
      <w:r>
        <w:rPr>
          <w:szCs w:val="26"/>
        </w:rPr>
        <w:t xml:space="preserve"> a</w:t>
      </w:r>
      <w:r>
        <w:rPr>
          <w:szCs w:val="26"/>
        </w:rPr>
        <w:t>nd (3) collect on work done pre</w:t>
      </w:r>
      <w:r>
        <w:rPr>
          <w:szCs w:val="26"/>
        </w:rPr>
        <w:t xml:space="preserve">transfer.  </w:t>
      </w:r>
      <w:r w:rsidRPr="00407389">
        <w:rPr>
          <w:szCs w:val="26"/>
        </w:rPr>
        <w:t>(</w:t>
      </w:r>
      <w:r w:rsidRPr="003212F2">
        <w:rPr>
          <w:i/>
          <w:iCs/>
          <w:szCs w:val="26"/>
        </w:rPr>
        <w:t>Jacobson</w:t>
      </w:r>
      <w:r>
        <w:rPr>
          <w:iCs/>
          <w:szCs w:val="26"/>
        </w:rPr>
        <w:t xml:space="preserve">, </w:t>
      </w:r>
      <w:r w:rsidRPr="003212F2">
        <w:rPr>
          <w:i/>
          <w:iCs/>
          <w:szCs w:val="26"/>
        </w:rPr>
        <w:t>supra</w:t>
      </w:r>
      <w:r>
        <w:rPr>
          <w:iCs/>
          <w:szCs w:val="26"/>
        </w:rPr>
        <w:t xml:space="preserve">, </w:t>
      </w:r>
      <w:r w:rsidRPr="003212F2">
        <w:rPr>
          <w:szCs w:val="26"/>
        </w:rPr>
        <w:t>29</w:t>
      </w:r>
      <w:r>
        <w:rPr>
          <w:szCs w:val="26"/>
        </w:rPr>
        <w:t xml:space="preserve"> Cal.2d at pp.</w:t>
      </w:r>
      <w:r w:rsidRPr="00407389">
        <w:rPr>
          <w:szCs w:val="26"/>
        </w:rPr>
        <w:t xml:space="preserve"> 28–29 [statin</w:t>
      </w:r>
      <w:r w:rsidRPr="00407389">
        <w:rPr>
          <w:szCs w:val="26"/>
        </w:rPr>
        <w:t xml:space="preserve">g that under the common law “the winding up or settling of the partnership affairs was restricted to selling the firm property, receiving money due the firm, paying its debts, returning the capital contributed by each partner, and dividing the profits”]; </w:t>
      </w:r>
      <w:r w:rsidRPr="00407389">
        <w:rPr>
          <w:i/>
          <w:szCs w:val="26"/>
        </w:rPr>
        <w:t>K</w:t>
      </w:r>
      <w:r w:rsidRPr="00407389">
        <w:rPr>
          <w:i/>
          <w:szCs w:val="26"/>
        </w:rPr>
        <w:t>ing v. Stoddard</w:t>
      </w:r>
      <w:r w:rsidRPr="00407389">
        <w:rPr>
          <w:szCs w:val="26"/>
        </w:rPr>
        <w:t xml:space="preserve"> (1972) 28 Cal.App.3d 708, 712–713 (</w:t>
      </w:r>
      <w:r w:rsidRPr="00407389">
        <w:rPr>
          <w:i/>
          <w:szCs w:val="26"/>
        </w:rPr>
        <w:t>King</w:t>
      </w:r>
      <w:r w:rsidRPr="00407389">
        <w:rPr>
          <w:szCs w:val="26"/>
        </w:rPr>
        <w:t xml:space="preserve">) [listing “acts approved as ‘appropriate for winding up partnership affairs’ ” to include such things as the “assignment of partnership property to repay partnership debt,” </w:t>
      </w:r>
      <w:r w:rsidRPr="00407389">
        <w:rPr>
          <w:szCs w:val="26"/>
        </w:rPr>
        <w:lastRenderedPageBreak/>
        <w:t>“disposition of partnership</w:t>
      </w:r>
      <w:r w:rsidRPr="00407389">
        <w:rPr>
          <w:szCs w:val="26"/>
        </w:rPr>
        <w:t xml:space="preserve"> property,” “maintenance of action for damages on behalf of the partnership,” and “execution of renewal notes after death of p</w:t>
      </w:r>
      <w:r>
        <w:rPr>
          <w:szCs w:val="26"/>
        </w:rPr>
        <w:t>artner”]; Black’s Law Dict.</w:t>
      </w:r>
      <w:r w:rsidRPr="00407389">
        <w:rPr>
          <w:szCs w:val="26"/>
        </w:rPr>
        <w:t xml:space="preserve"> (10th ed. 2014) </w:t>
      </w:r>
      <w:r>
        <w:rPr>
          <w:szCs w:val="26"/>
        </w:rPr>
        <w:t xml:space="preserve">p. 1835 </w:t>
      </w:r>
      <w:r w:rsidRPr="00407389">
        <w:rPr>
          <w:szCs w:val="26"/>
        </w:rPr>
        <w:t xml:space="preserve">[defining “winding up” as “[t]he process of settling accounts and liquidating </w:t>
      </w:r>
      <w:r w:rsidRPr="00407389">
        <w:rPr>
          <w:szCs w:val="26"/>
        </w:rPr>
        <w:t xml:space="preserve">assets in anticipation of a partnership’s or a corporation’s dissolution”].)  </w:t>
      </w:r>
    </w:p>
    <w:p w:rsidR="00A2083B" w:rsidRDefault="000A7ADD" w:rsidP="008B117E">
      <w:pPr>
        <w:spacing w:line="480" w:lineRule="exact"/>
        <w:ind w:firstLine="720"/>
        <w:rPr>
          <w:szCs w:val="26"/>
        </w:rPr>
      </w:pPr>
      <w:proofErr w:type="gramStart"/>
      <w:r>
        <w:rPr>
          <w:szCs w:val="26"/>
        </w:rPr>
        <w:t>So</w:t>
      </w:r>
      <w:proofErr w:type="gramEnd"/>
      <w:r>
        <w:rPr>
          <w:szCs w:val="26"/>
        </w:rPr>
        <w:t xml:space="preserve"> we agree with the district court that “</w:t>
      </w:r>
      <w:r w:rsidRPr="00F4163D">
        <w:rPr>
          <w:szCs w:val="26"/>
        </w:rPr>
        <w:t xml:space="preserve">Heller should bill and be paid for the time its lawyers spent filing motions for continuances, noticing parties and courts that it was </w:t>
      </w:r>
      <w:r w:rsidRPr="00F4163D">
        <w:rPr>
          <w:szCs w:val="26"/>
        </w:rPr>
        <w:t>withdrawing as counsel, packing up and shipping client files back to the clients or to new counsel, and getting new counsel up to speed on pending matters.</w:t>
      </w:r>
      <w:r>
        <w:rPr>
          <w:szCs w:val="26"/>
        </w:rPr>
        <w:t xml:space="preserve">”  </w:t>
      </w:r>
      <w:r w:rsidRPr="00F4163D">
        <w:rPr>
          <w:szCs w:val="26"/>
        </w:rPr>
        <w:t>(</w:t>
      </w:r>
      <w:r w:rsidRPr="000715C5">
        <w:rPr>
          <w:i/>
          <w:szCs w:val="26"/>
        </w:rPr>
        <w:t>Heller</w:t>
      </w:r>
      <w:r w:rsidRPr="00E31A20">
        <w:rPr>
          <w:szCs w:val="26"/>
        </w:rPr>
        <w:t>,</w:t>
      </w:r>
      <w:r w:rsidRPr="000715C5">
        <w:rPr>
          <w:i/>
          <w:szCs w:val="26"/>
        </w:rPr>
        <w:t xml:space="preserve"> </w:t>
      </w:r>
      <w:r w:rsidRPr="00E31A20">
        <w:rPr>
          <w:i/>
          <w:szCs w:val="26"/>
        </w:rPr>
        <w:t>supra,</w:t>
      </w:r>
      <w:r>
        <w:rPr>
          <w:szCs w:val="26"/>
        </w:rPr>
        <w:t xml:space="preserve"> </w:t>
      </w:r>
      <w:r w:rsidRPr="00E31A20">
        <w:rPr>
          <w:szCs w:val="26"/>
        </w:rPr>
        <w:t>527</w:t>
      </w:r>
      <w:r w:rsidRPr="00614315">
        <w:rPr>
          <w:szCs w:val="26"/>
        </w:rPr>
        <w:t xml:space="preserve"> B.R. </w:t>
      </w:r>
      <w:r>
        <w:rPr>
          <w:szCs w:val="26"/>
        </w:rPr>
        <w:t>at p.</w:t>
      </w:r>
      <w:r>
        <w:rPr>
          <w:szCs w:val="26"/>
        </w:rPr>
        <w:t xml:space="preserve"> </w:t>
      </w:r>
      <w:r w:rsidRPr="00F4163D">
        <w:rPr>
          <w:szCs w:val="26"/>
        </w:rPr>
        <w:t>32.)</w:t>
      </w:r>
      <w:r>
        <w:rPr>
          <w:szCs w:val="26"/>
        </w:rPr>
        <w:t xml:space="preserve">  These are activities necessar</w:t>
      </w:r>
      <w:r>
        <w:rPr>
          <w:szCs w:val="26"/>
        </w:rPr>
        <w:t>y to “preserve the partnership</w:t>
      </w:r>
      <w:r>
        <w:rPr>
          <w:szCs w:val="26"/>
        </w:rPr>
        <w:t xml:space="preserve"> business” </w:t>
      </w:r>
      <w:r>
        <w:rPr>
          <w:szCs w:val="26"/>
        </w:rPr>
        <w:t>(Corp. Code</w:t>
      </w:r>
      <w:r>
        <w:rPr>
          <w:szCs w:val="26"/>
        </w:rPr>
        <w:t>,</w:t>
      </w:r>
      <w:r>
        <w:rPr>
          <w:szCs w:val="26"/>
        </w:rPr>
        <w:t xml:space="preserve"> § 16803, subd</w:t>
      </w:r>
      <w:proofErr w:type="gramStart"/>
      <w:r>
        <w:rPr>
          <w:szCs w:val="26"/>
        </w:rPr>
        <w:t xml:space="preserve">. </w:t>
      </w:r>
      <w:proofErr w:type="gramEnd"/>
      <w:r>
        <w:rPr>
          <w:szCs w:val="26"/>
        </w:rPr>
        <w:t xml:space="preserve">(c)) </w:t>
      </w:r>
      <w:r>
        <w:rPr>
          <w:szCs w:val="26"/>
        </w:rPr>
        <w:t xml:space="preserve">— here </w:t>
      </w:r>
      <w:r>
        <w:rPr>
          <w:szCs w:val="26"/>
        </w:rPr>
        <w:t>consisting of</w:t>
      </w:r>
      <w:r>
        <w:rPr>
          <w:szCs w:val="26"/>
        </w:rPr>
        <w:t xml:space="preserve"> legal matters — so that the matters can be transferred to the client’s new counsel of choice</w:t>
      </w:r>
      <w:r>
        <w:rPr>
          <w:szCs w:val="26"/>
        </w:rPr>
        <w:t>,</w:t>
      </w:r>
      <w:r>
        <w:rPr>
          <w:szCs w:val="26"/>
        </w:rPr>
        <w:t xml:space="preserve"> to physically transfer the matters</w:t>
      </w:r>
      <w:r>
        <w:rPr>
          <w:szCs w:val="26"/>
        </w:rPr>
        <w:t>,</w:t>
      </w:r>
      <w:r>
        <w:rPr>
          <w:szCs w:val="26"/>
        </w:rPr>
        <w:t xml:space="preserve"> and to “settle and close” the business (by withdrawing from t</w:t>
      </w:r>
      <w:r>
        <w:rPr>
          <w:szCs w:val="26"/>
        </w:rPr>
        <w:t>he pending matters and transferring them to the clients or the clients’ new counsel).  In the same vein, any effort to collect on work Heller performed but had not billed for at the time of dissolution falls into the category of liquidating the business, s</w:t>
      </w:r>
      <w:r>
        <w:rPr>
          <w:szCs w:val="26"/>
        </w:rPr>
        <w:t>ettling fee disputes with clients, and “</w:t>
      </w:r>
      <w:proofErr w:type="spellStart"/>
      <w:r>
        <w:rPr>
          <w:szCs w:val="26"/>
        </w:rPr>
        <w:t>distribut</w:t>
      </w:r>
      <w:proofErr w:type="spellEnd"/>
      <w:r>
        <w:rPr>
          <w:szCs w:val="26"/>
        </w:rPr>
        <w:t>[</w:t>
      </w:r>
      <w:proofErr w:type="spellStart"/>
      <w:r>
        <w:rPr>
          <w:szCs w:val="26"/>
        </w:rPr>
        <w:t>ing</w:t>
      </w:r>
      <w:proofErr w:type="spellEnd"/>
      <w:r>
        <w:rPr>
          <w:szCs w:val="26"/>
        </w:rPr>
        <w:t xml:space="preserve">] the assets.”  </w:t>
      </w:r>
      <w:r>
        <w:rPr>
          <w:szCs w:val="26"/>
        </w:rPr>
        <w:t>(</w:t>
      </w:r>
      <w:r>
        <w:rPr>
          <w:i/>
          <w:szCs w:val="26"/>
        </w:rPr>
        <w:t>Id.</w:t>
      </w:r>
      <w:r>
        <w:rPr>
          <w:szCs w:val="26"/>
        </w:rPr>
        <w:t xml:space="preserve">)  </w:t>
      </w:r>
      <w:r>
        <w:rPr>
          <w:szCs w:val="26"/>
        </w:rPr>
        <w:t>Under Corporations Code s</w:t>
      </w:r>
      <w:r>
        <w:rPr>
          <w:szCs w:val="26"/>
        </w:rPr>
        <w:t xml:space="preserve">ection </w:t>
      </w:r>
      <w:r w:rsidRPr="004E534D">
        <w:rPr>
          <w:szCs w:val="26"/>
        </w:rPr>
        <w:t>16404</w:t>
      </w:r>
      <w:r>
        <w:rPr>
          <w:szCs w:val="26"/>
        </w:rPr>
        <w:t xml:space="preserve">, subdivision </w:t>
      </w:r>
      <w:r w:rsidRPr="004E534D">
        <w:rPr>
          <w:szCs w:val="26"/>
        </w:rPr>
        <w:t>(b)(1)</w:t>
      </w:r>
      <w:r>
        <w:rPr>
          <w:szCs w:val="26"/>
        </w:rPr>
        <w:t>, a partner has the duty to account for any profits derived from such activities.</w:t>
      </w:r>
    </w:p>
    <w:p w:rsidR="00A2083B" w:rsidRPr="00B231E7" w:rsidRDefault="000A7ADD" w:rsidP="00B231E7">
      <w:pPr>
        <w:spacing w:line="480" w:lineRule="atLeast"/>
        <w:ind w:firstLine="720"/>
        <w:rPr>
          <w:rFonts w:ascii="Calibri" w:eastAsia="Calibri" w:hAnsi="Calibri"/>
          <w:sz w:val="22"/>
          <w:szCs w:val="22"/>
        </w:rPr>
      </w:pPr>
      <w:r>
        <w:rPr>
          <w:szCs w:val="26"/>
        </w:rPr>
        <w:t>But the duty extends no further.  Specifi</w:t>
      </w:r>
      <w:r>
        <w:rPr>
          <w:szCs w:val="26"/>
        </w:rPr>
        <w:t>cally, it does not extend to substantive legal work done on hourly fee matters to continue what was formerly the business of a dissolved partnership.</w:t>
      </w:r>
      <w:r>
        <w:rPr>
          <w:b/>
          <w:position w:val="6"/>
          <w:sz w:val="20"/>
        </w:rPr>
        <w:footnoteReference w:id="4"/>
      </w:r>
      <w:r>
        <w:rPr>
          <w:szCs w:val="26"/>
        </w:rPr>
        <w:t xml:space="preserve"> </w:t>
      </w:r>
      <w:r>
        <w:rPr>
          <w:szCs w:val="26"/>
        </w:rPr>
        <w:t xml:space="preserve"> </w:t>
      </w:r>
      <w:r>
        <w:rPr>
          <w:szCs w:val="26"/>
        </w:rPr>
        <w:t xml:space="preserve">Such work falls outside of the definition of winding up, despite </w:t>
      </w:r>
      <w:r>
        <w:rPr>
          <w:szCs w:val="26"/>
        </w:rPr>
        <w:t xml:space="preserve">Corporations Code </w:t>
      </w:r>
      <w:r>
        <w:rPr>
          <w:szCs w:val="26"/>
        </w:rPr>
        <w:t>section 16803</w:t>
      </w:r>
      <w:r>
        <w:rPr>
          <w:szCs w:val="26"/>
        </w:rPr>
        <w:t>, subdiv</w:t>
      </w:r>
      <w:r>
        <w:rPr>
          <w:szCs w:val="26"/>
        </w:rPr>
        <w:t>ision (c)</w:t>
      </w:r>
      <w:r>
        <w:rPr>
          <w:szCs w:val="26"/>
        </w:rPr>
        <w:t>’s reference to the “</w:t>
      </w:r>
      <w:proofErr w:type="spellStart"/>
      <w:r>
        <w:rPr>
          <w:szCs w:val="26"/>
        </w:rPr>
        <w:t>prosecut</w:t>
      </w:r>
      <w:proofErr w:type="spellEnd"/>
      <w:r>
        <w:rPr>
          <w:szCs w:val="26"/>
        </w:rPr>
        <w:t xml:space="preserve">[ion] and </w:t>
      </w:r>
      <w:proofErr w:type="spellStart"/>
      <w:r>
        <w:rPr>
          <w:szCs w:val="26"/>
        </w:rPr>
        <w:t>defen</w:t>
      </w:r>
      <w:proofErr w:type="spellEnd"/>
      <w:r>
        <w:rPr>
          <w:szCs w:val="26"/>
        </w:rPr>
        <w:t>[se]</w:t>
      </w:r>
      <w:r w:rsidRPr="00F050AC">
        <w:rPr>
          <w:szCs w:val="26"/>
        </w:rPr>
        <w:t xml:space="preserve"> </w:t>
      </w:r>
      <w:r>
        <w:rPr>
          <w:szCs w:val="26"/>
        </w:rPr>
        <w:t xml:space="preserve">[of] </w:t>
      </w:r>
      <w:r w:rsidRPr="00F050AC">
        <w:rPr>
          <w:szCs w:val="26"/>
        </w:rPr>
        <w:t>actions and proceedings</w:t>
      </w:r>
      <w:r>
        <w:rPr>
          <w:szCs w:val="26"/>
        </w:rPr>
        <w:t xml:space="preserve">.”  </w:t>
      </w:r>
      <w:r>
        <w:rPr>
          <w:szCs w:val="26"/>
        </w:rPr>
        <w:lastRenderedPageBreak/>
        <w:t>Winding up implies the conclusion of a firm</w:t>
      </w:r>
      <w:r>
        <w:rPr>
          <w:szCs w:val="26"/>
        </w:rPr>
        <w:t>’s</w:t>
      </w:r>
      <w:r>
        <w:rPr>
          <w:szCs w:val="26"/>
        </w:rPr>
        <w:t xml:space="preserve"> business, not its indefinite continuation</w:t>
      </w:r>
      <w:r>
        <w:rPr>
          <w:szCs w:val="26"/>
        </w:rPr>
        <w:t xml:space="preserve">.  (See </w:t>
      </w:r>
      <w:r w:rsidRPr="002D1454">
        <w:rPr>
          <w:i/>
          <w:szCs w:val="26"/>
        </w:rPr>
        <w:t>King</w:t>
      </w:r>
      <w:r>
        <w:rPr>
          <w:i/>
          <w:szCs w:val="26"/>
        </w:rPr>
        <w:t xml:space="preserve">, </w:t>
      </w:r>
      <w:r w:rsidRPr="002D1454">
        <w:rPr>
          <w:i/>
          <w:szCs w:val="26"/>
        </w:rPr>
        <w:t>supra</w:t>
      </w:r>
      <w:r>
        <w:rPr>
          <w:szCs w:val="26"/>
        </w:rPr>
        <w:t xml:space="preserve">, </w:t>
      </w:r>
      <w:r w:rsidRPr="002D1454">
        <w:rPr>
          <w:szCs w:val="26"/>
        </w:rPr>
        <w:t xml:space="preserve">28 Cal.App.3d </w:t>
      </w:r>
      <w:r>
        <w:rPr>
          <w:szCs w:val="26"/>
        </w:rPr>
        <w:t>at p.</w:t>
      </w:r>
      <w:r w:rsidRPr="002D1454">
        <w:rPr>
          <w:szCs w:val="26"/>
        </w:rPr>
        <w:t xml:space="preserve"> 712 [“the indefinite continuation of the partnership business is contrary to the requirement for winding up of th</w:t>
      </w:r>
      <w:r>
        <w:rPr>
          <w:szCs w:val="26"/>
        </w:rPr>
        <w:t xml:space="preserve">e affairs upon dissolution”].)  </w:t>
      </w:r>
      <w:r>
        <w:rPr>
          <w:szCs w:val="26"/>
        </w:rPr>
        <w:t>Indeed,</w:t>
      </w:r>
      <w:r>
        <w:rPr>
          <w:szCs w:val="26"/>
        </w:rPr>
        <w:t xml:space="preserve"> if the prosecution and defense of routine hourly fee matters </w:t>
      </w:r>
      <w:proofErr w:type="gramStart"/>
      <w:r>
        <w:rPr>
          <w:szCs w:val="26"/>
        </w:rPr>
        <w:t>were encomp</w:t>
      </w:r>
      <w:r>
        <w:rPr>
          <w:szCs w:val="26"/>
        </w:rPr>
        <w:t>assed</w:t>
      </w:r>
      <w:proofErr w:type="gramEnd"/>
      <w:r>
        <w:rPr>
          <w:szCs w:val="26"/>
        </w:rPr>
        <w:t xml:space="preserve"> within </w:t>
      </w:r>
      <w:r>
        <w:rPr>
          <w:szCs w:val="26"/>
        </w:rPr>
        <w:t>the</w:t>
      </w:r>
      <w:r>
        <w:rPr>
          <w:szCs w:val="26"/>
        </w:rPr>
        <w:t xml:space="preserve"> concept of wi</w:t>
      </w:r>
      <w:r>
        <w:rPr>
          <w:szCs w:val="26"/>
        </w:rPr>
        <w:t xml:space="preserve">nding up, </w:t>
      </w:r>
      <w:r>
        <w:rPr>
          <w:szCs w:val="26"/>
        </w:rPr>
        <w:t xml:space="preserve">then the process of winding up a law firm </w:t>
      </w:r>
      <w:r>
        <w:rPr>
          <w:szCs w:val="26"/>
        </w:rPr>
        <w:t>could conceivably</w:t>
      </w:r>
      <w:r>
        <w:rPr>
          <w:szCs w:val="26"/>
        </w:rPr>
        <w:t xml:space="preserve"> last indefinitely since the </w:t>
      </w:r>
      <w:r>
        <w:rPr>
          <w:szCs w:val="26"/>
        </w:rPr>
        <w:t>ordinary</w:t>
      </w:r>
      <w:r>
        <w:rPr>
          <w:szCs w:val="26"/>
        </w:rPr>
        <w:t xml:space="preserve">, ongoing business of </w:t>
      </w:r>
      <w:r>
        <w:rPr>
          <w:szCs w:val="26"/>
        </w:rPr>
        <w:t xml:space="preserve">a litigating </w:t>
      </w:r>
      <w:r>
        <w:rPr>
          <w:szCs w:val="26"/>
        </w:rPr>
        <w:t xml:space="preserve">law firm is </w:t>
      </w:r>
      <w:r>
        <w:rPr>
          <w:szCs w:val="26"/>
        </w:rPr>
        <w:t>precisely</w:t>
      </w:r>
      <w:r>
        <w:rPr>
          <w:szCs w:val="26"/>
        </w:rPr>
        <w:t xml:space="preserve"> </w:t>
      </w:r>
      <w:r>
        <w:rPr>
          <w:szCs w:val="26"/>
        </w:rPr>
        <w:t xml:space="preserve">to “prosecute </w:t>
      </w:r>
      <w:r>
        <w:rPr>
          <w:szCs w:val="26"/>
        </w:rPr>
        <w:t xml:space="preserve">and defend </w:t>
      </w:r>
      <w:r>
        <w:rPr>
          <w:szCs w:val="26"/>
        </w:rPr>
        <w:t>actions and proceedings</w:t>
      </w:r>
      <w:r>
        <w:rPr>
          <w:szCs w:val="26"/>
        </w:rPr>
        <w:t>.</w:t>
      </w:r>
      <w:r>
        <w:rPr>
          <w:szCs w:val="26"/>
        </w:rPr>
        <w:t>”</w:t>
      </w:r>
      <w:r>
        <w:rPr>
          <w:szCs w:val="26"/>
        </w:rPr>
        <w:t xml:space="preserve"> </w:t>
      </w:r>
      <w:r>
        <w:rPr>
          <w:szCs w:val="26"/>
        </w:rPr>
        <w:t xml:space="preserve"> </w:t>
      </w:r>
      <w:r>
        <w:rPr>
          <w:szCs w:val="26"/>
        </w:rPr>
        <w:t xml:space="preserve">(Corp. Code, </w:t>
      </w:r>
      <w:r>
        <w:rPr>
          <w:szCs w:val="26"/>
        </w:rPr>
        <w:t>§ 16803, subd</w:t>
      </w:r>
      <w:proofErr w:type="gramStart"/>
      <w:r>
        <w:rPr>
          <w:szCs w:val="26"/>
        </w:rPr>
        <w:t xml:space="preserve">. </w:t>
      </w:r>
      <w:proofErr w:type="gramEnd"/>
      <w:r>
        <w:rPr>
          <w:szCs w:val="26"/>
        </w:rPr>
        <w:t xml:space="preserve">(c).)  </w:t>
      </w:r>
      <w:r>
        <w:rPr>
          <w:szCs w:val="26"/>
        </w:rPr>
        <w:t>We bea</w:t>
      </w:r>
      <w:r>
        <w:rPr>
          <w:szCs w:val="26"/>
        </w:rPr>
        <w:t xml:space="preserve">r in mind, too, </w:t>
      </w:r>
      <w:r>
        <w:rPr>
          <w:szCs w:val="26"/>
        </w:rPr>
        <w:t xml:space="preserve">that </w:t>
      </w:r>
      <w:r>
        <w:rPr>
          <w:szCs w:val="26"/>
        </w:rPr>
        <w:t>RUPA governs all partnerships</w:t>
      </w:r>
      <w:r>
        <w:rPr>
          <w:szCs w:val="26"/>
        </w:rPr>
        <w:t xml:space="preserve"> rather than simply </w:t>
      </w:r>
      <w:r>
        <w:rPr>
          <w:szCs w:val="26"/>
        </w:rPr>
        <w:t xml:space="preserve">law partnerships.  </w:t>
      </w:r>
      <w:r w:rsidRPr="002926A3">
        <w:rPr>
          <w:szCs w:val="26"/>
        </w:rPr>
        <w:t>(Corp. Code, § 16111</w:t>
      </w:r>
      <w:r>
        <w:rPr>
          <w:szCs w:val="26"/>
        </w:rPr>
        <w:t>, subd</w:t>
      </w:r>
      <w:proofErr w:type="gramStart"/>
      <w:r>
        <w:rPr>
          <w:szCs w:val="26"/>
        </w:rPr>
        <w:t xml:space="preserve">. </w:t>
      </w:r>
      <w:proofErr w:type="gramEnd"/>
      <w:r>
        <w:rPr>
          <w:szCs w:val="26"/>
        </w:rPr>
        <w:t>(b)</w:t>
      </w:r>
      <w:r w:rsidRPr="002926A3">
        <w:rPr>
          <w:szCs w:val="26"/>
        </w:rPr>
        <w:t xml:space="preserve">.) </w:t>
      </w:r>
      <w:r>
        <w:rPr>
          <w:szCs w:val="26"/>
        </w:rPr>
        <w:t xml:space="preserve"> In the context of general partnerships, the language on prosecuting and defending actions must refer to actions in which the partner</w:t>
      </w:r>
      <w:r>
        <w:rPr>
          <w:szCs w:val="26"/>
        </w:rPr>
        <w:t xml:space="preserve">ship is a party, i.e., to actions involving disputes over a firm’s receivables and liabilities, which must </w:t>
      </w:r>
      <w:proofErr w:type="gramStart"/>
      <w:r>
        <w:rPr>
          <w:szCs w:val="26"/>
        </w:rPr>
        <w:t>be resolved</w:t>
      </w:r>
      <w:proofErr w:type="gramEnd"/>
      <w:r>
        <w:rPr>
          <w:szCs w:val="26"/>
        </w:rPr>
        <w:t xml:space="preserve"> to liquidate the business.  To read this provision in any other way would </w:t>
      </w:r>
      <w:r>
        <w:rPr>
          <w:szCs w:val="26"/>
        </w:rPr>
        <w:t xml:space="preserve">risk treating </w:t>
      </w:r>
      <w:r>
        <w:rPr>
          <w:szCs w:val="26"/>
        </w:rPr>
        <w:t xml:space="preserve">law firms </w:t>
      </w:r>
      <w:r>
        <w:rPr>
          <w:szCs w:val="26"/>
        </w:rPr>
        <w:t xml:space="preserve">as distinct from </w:t>
      </w:r>
      <w:r>
        <w:rPr>
          <w:szCs w:val="26"/>
        </w:rPr>
        <w:t>all other partnerships</w:t>
      </w:r>
      <w:r>
        <w:rPr>
          <w:szCs w:val="26"/>
        </w:rPr>
        <w:t xml:space="preserve">.  Law firms would be able to assert a </w:t>
      </w:r>
      <w:proofErr w:type="spellStart"/>
      <w:r>
        <w:rPr>
          <w:szCs w:val="26"/>
        </w:rPr>
        <w:t>postdissolution</w:t>
      </w:r>
      <w:proofErr w:type="spellEnd"/>
      <w:r>
        <w:rPr>
          <w:szCs w:val="26"/>
        </w:rPr>
        <w:t xml:space="preserve"> interest in the business that they normally conduct — the prosecution and defense of actions — while other partnerships would have no statutory hooks to receive compensation for what they do.</w:t>
      </w:r>
      <w:r>
        <w:rPr>
          <w:szCs w:val="26"/>
        </w:rPr>
        <w:t xml:space="preserve">  This is a conclusion we cannot support.</w:t>
      </w:r>
    </w:p>
    <w:p w:rsidR="00A2083B" w:rsidRDefault="000A7ADD" w:rsidP="008B117E">
      <w:pPr>
        <w:spacing w:line="480" w:lineRule="exact"/>
        <w:ind w:firstLine="720"/>
        <w:rPr>
          <w:szCs w:val="26"/>
        </w:rPr>
      </w:pPr>
      <w:r>
        <w:rPr>
          <w:szCs w:val="26"/>
        </w:rPr>
        <w:t xml:space="preserve">Nor can we conclude that continuation of hourly fee matters can reasonably </w:t>
      </w:r>
      <w:proofErr w:type="gramStart"/>
      <w:r>
        <w:rPr>
          <w:szCs w:val="26"/>
        </w:rPr>
        <w:t>be considered</w:t>
      </w:r>
      <w:proofErr w:type="gramEnd"/>
      <w:r>
        <w:rPr>
          <w:szCs w:val="26"/>
        </w:rPr>
        <w:t xml:space="preserve"> “</w:t>
      </w:r>
      <w:proofErr w:type="spellStart"/>
      <w:r>
        <w:rPr>
          <w:szCs w:val="26"/>
        </w:rPr>
        <w:t>preserv</w:t>
      </w:r>
      <w:proofErr w:type="spellEnd"/>
      <w:r>
        <w:rPr>
          <w:szCs w:val="26"/>
        </w:rPr>
        <w:t>[</w:t>
      </w:r>
      <w:proofErr w:type="spellStart"/>
      <w:r>
        <w:rPr>
          <w:szCs w:val="26"/>
        </w:rPr>
        <w:t>ing</w:t>
      </w:r>
      <w:proofErr w:type="spellEnd"/>
      <w:r>
        <w:rPr>
          <w:szCs w:val="26"/>
        </w:rPr>
        <w:t>]</w:t>
      </w:r>
      <w:r w:rsidRPr="004E534D">
        <w:rPr>
          <w:szCs w:val="26"/>
        </w:rPr>
        <w:t xml:space="preserve"> the partnership business or property as a going concern for a reasonable time</w:t>
      </w:r>
      <w:r>
        <w:rPr>
          <w:szCs w:val="26"/>
        </w:rPr>
        <w:t xml:space="preserve">.”  </w:t>
      </w:r>
      <w:r>
        <w:rPr>
          <w:szCs w:val="26"/>
        </w:rPr>
        <w:t>(Corp. Code, § 16803, subd</w:t>
      </w:r>
      <w:proofErr w:type="gramStart"/>
      <w:r>
        <w:rPr>
          <w:szCs w:val="26"/>
        </w:rPr>
        <w:t xml:space="preserve">. </w:t>
      </w:r>
      <w:proofErr w:type="gramEnd"/>
      <w:r>
        <w:rPr>
          <w:szCs w:val="26"/>
        </w:rPr>
        <w:t>(c</w:t>
      </w:r>
      <w:r>
        <w:rPr>
          <w:szCs w:val="26"/>
        </w:rPr>
        <w:t xml:space="preserve">).)  </w:t>
      </w:r>
      <w:r w:rsidRPr="006F7F31">
        <w:rPr>
          <w:szCs w:val="26"/>
        </w:rPr>
        <w:t xml:space="preserve">Such continuing, ongoing work </w:t>
      </w:r>
      <w:r>
        <w:rPr>
          <w:szCs w:val="26"/>
        </w:rPr>
        <w:t>reaches</w:t>
      </w:r>
      <w:r w:rsidRPr="006F7F31">
        <w:rPr>
          <w:szCs w:val="26"/>
        </w:rPr>
        <w:t xml:space="preserve"> beyond what is necessary to transfer the matters or collect on work done before the transfer</w:t>
      </w:r>
      <w:r>
        <w:rPr>
          <w:szCs w:val="26"/>
        </w:rPr>
        <w:t xml:space="preserve">. </w:t>
      </w:r>
      <w:r>
        <w:rPr>
          <w:szCs w:val="26"/>
        </w:rPr>
        <w:t xml:space="preserve"> </w:t>
      </w:r>
      <w:proofErr w:type="gramStart"/>
      <w:r>
        <w:rPr>
          <w:szCs w:val="26"/>
        </w:rPr>
        <w:t>So</w:t>
      </w:r>
      <w:proofErr w:type="gramEnd"/>
      <w:r>
        <w:rPr>
          <w:szCs w:val="26"/>
        </w:rPr>
        <w:t xml:space="preserve"> it </w:t>
      </w:r>
      <w:r w:rsidRPr="006F7F31">
        <w:rPr>
          <w:szCs w:val="26"/>
        </w:rPr>
        <w:t>lies outside the range of activities for which a former partner has a duty to account.</w:t>
      </w:r>
      <w:r>
        <w:rPr>
          <w:szCs w:val="26"/>
        </w:rPr>
        <w:t xml:space="preserve">  The s</w:t>
      </w:r>
      <w:r>
        <w:rPr>
          <w:szCs w:val="26"/>
        </w:rPr>
        <w:t>ituation might be d</w:t>
      </w:r>
      <w:r>
        <w:rPr>
          <w:szCs w:val="26"/>
        </w:rPr>
        <w:t>ifferent in the</w:t>
      </w:r>
      <w:r>
        <w:rPr>
          <w:szCs w:val="26"/>
        </w:rPr>
        <w:t xml:space="preserve"> context of contingency fee matters, where what constitutes “a going concern” preserved for a “reasonable time” </w:t>
      </w:r>
      <w:proofErr w:type="gramStart"/>
      <w:r>
        <w:rPr>
          <w:szCs w:val="26"/>
        </w:rPr>
        <w:t>is considered</w:t>
      </w:r>
      <w:proofErr w:type="gramEnd"/>
      <w:r>
        <w:rPr>
          <w:szCs w:val="26"/>
        </w:rPr>
        <w:t xml:space="preserve"> against a backdrop in which the dissolved firm </w:t>
      </w:r>
      <w:r>
        <w:rPr>
          <w:szCs w:val="26"/>
        </w:rPr>
        <w:t>had</w:t>
      </w:r>
      <w:r>
        <w:rPr>
          <w:szCs w:val="26"/>
        </w:rPr>
        <w:t xml:space="preserve"> yet to be paid for the work it performed and will </w:t>
      </w:r>
      <w:r>
        <w:rPr>
          <w:szCs w:val="26"/>
        </w:rPr>
        <w:lastRenderedPageBreak/>
        <w:t>not be paid un</w:t>
      </w:r>
      <w:r>
        <w:rPr>
          <w:szCs w:val="26"/>
        </w:rPr>
        <w:t xml:space="preserve">til the matter is resolved.  </w:t>
      </w:r>
      <w:r>
        <w:rPr>
          <w:szCs w:val="26"/>
        </w:rPr>
        <w:t>(</w:t>
      </w:r>
      <w:r>
        <w:rPr>
          <w:i/>
          <w:szCs w:val="26"/>
        </w:rPr>
        <w:t>Id.</w:t>
      </w:r>
      <w:r>
        <w:rPr>
          <w:szCs w:val="26"/>
        </w:rPr>
        <w:t xml:space="preserve">)  </w:t>
      </w:r>
      <w:r>
        <w:rPr>
          <w:szCs w:val="26"/>
        </w:rPr>
        <w:t xml:space="preserve">But </w:t>
      </w:r>
      <w:r>
        <w:rPr>
          <w:szCs w:val="26"/>
        </w:rPr>
        <w:t xml:space="preserve">we </w:t>
      </w:r>
      <w:r>
        <w:rPr>
          <w:szCs w:val="26"/>
        </w:rPr>
        <w:t>have no occasion to contemplate</w:t>
      </w:r>
      <w:r>
        <w:rPr>
          <w:szCs w:val="26"/>
        </w:rPr>
        <w:t xml:space="preserve"> such matters</w:t>
      </w:r>
      <w:r>
        <w:rPr>
          <w:szCs w:val="26"/>
        </w:rPr>
        <w:t xml:space="preserve"> here.</w:t>
      </w:r>
    </w:p>
    <w:p w:rsidR="00CA7CBF" w:rsidRDefault="000A7ADD" w:rsidP="004B0248">
      <w:pPr>
        <w:autoSpaceDE w:val="0"/>
        <w:autoSpaceDN w:val="0"/>
        <w:adjustRightInd w:val="0"/>
        <w:spacing w:line="480" w:lineRule="exact"/>
        <w:ind w:firstLine="720"/>
        <w:rPr>
          <w:szCs w:val="26"/>
        </w:rPr>
      </w:pPr>
      <w:r>
        <w:rPr>
          <w:szCs w:val="26"/>
        </w:rPr>
        <w:t>N</w:t>
      </w:r>
      <w:r>
        <w:rPr>
          <w:szCs w:val="26"/>
        </w:rPr>
        <w:t>othing else in</w:t>
      </w:r>
      <w:r w:rsidRPr="0035152E">
        <w:rPr>
          <w:szCs w:val="26"/>
        </w:rPr>
        <w:t xml:space="preserve"> RUPA cuts against </w:t>
      </w:r>
      <w:r>
        <w:rPr>
          <w:szCs w:val="26"/>
        </w:rPr>
        <w:t>our holding.  Of the three new provisions in RUPA —</w:t>
      </w:r>
      <w:r>
        <w:rPr>
          <w:szCs w:val="26"/>
        </w:rPr>
        <w:t xml:space="preserve"> </w:t>
      </w:r>
      <w:r>
        <w:rPr>
          <w:szCs w:val="26"/>
        </w:rPr>
        <w:t>governing the fiduciary duty to account, the scope of permissible competitio</w:t>
      </w:r>
      <w:r>
        <w:rPr>
          <w:szCs w:val="26"/>
        </w:rPr>
        <w:t>n, and reasonable compensation</w:t>
      </w:r>
      <w:r>
        <w:rPr>
          <w:szCs w:val="26"/>
        </w:rPr>
        <w:t xml:space="preserve"> for winding up a partnership </w:t>
      </w:r>
      <w:r>
        <w:rPr>
          <w:szCs w:val="26"/>
        </w:rPr>
        <w:t xml:space="preserve">— we have explained how the first two </w:t>
      </w:r>
      <w:r>
        <w:rPr>
          <w:szCs w:val="26"/>
        </w:rPr>
        <w:t xml:space="preserve">cohere with our conclusion.  The third, too, is consistent with </w:t>
      </w:r>
      <w:r>
        <w:rPr>
          <w:szCs w:val="26"/>
        </w:rPr>
        <w:t>our analysis</w:t>
      </w:r>
      <w:r>
        <w:rPr>
          <w:szCs w:val="26"/>
        </w:rPr>
        <w:t xml:space="preserve">:  winding </w:t>
      </w:r>
      <w:r>
        <w:rPr>
          <w:szCs w:val="26"/>
        </w:rPr>
        <w:t>up</w:t>
      </w:r>
      <w:r>
        <w:rPr>
          <w:szCs w:val="26"/>
        </w:rPr>
        <w:t xml:space="preserve"> encompasses a limited number of tasks but the partners who perform t</w:t>
      </w:r>
      <w:r>
        <w:rPr>
          <w:szCs w:val="26"/>
        </w:rPr>
        <w:t xml:space="preserve">hose tasks </w:t>
      </w:r>
      <w:proofErr w:type="gramStart"/>
      <w:r>
        <w:rPr>
          <w:szCs w:val="26"/>
        </w:rPr>
        <w:t>are entitled</w:t>
      </w:r>
      <w:proofErr w:type="gramEnd"/>
      <w:r>
        <w:rPr>
          <w:szCs w:val="26"/>
        </w:rPr>
        <w:t xml:space="preserve"> to “reasonable compensation” for having done them.  </w:t>
      </w:r>
      <w:r w:rsidRPr="004E534D">
        <w:rPr>
          <w:szCs w:val="26"/>
        </w:rPr>
        <w:t>(</w:t>
      </w:r>
      <w:r>
        <w:rPr>
          <w:szCs w:val="26"/>
        </w:rPr>
        <w:t>Corp. Code, § </w:t>
      </w:r>
      <w:r w:rsidRPr="004E534D">
        <w:rPr>
          <w:szCs w:val="26"/>
        </w:rPr>
        <w:t>16401</w:t>
      </w:r>
      <w:r>
        <w:rPr>
          <w:szCs w:val="26"/>
        </w:rPr>
        <w:t>, subd</w:t>
      </w:r>
      <w:proofErr w:type="gramStart"/>
      <w:r>
        <w:rPr>
          <w:szCs w:val="26"/>
        </w:rPr>
        <w:t xml:space="preserve">. </w:t>
      </w:r>
      <w:proofErr w:type="gramEnd"/>
      <w:r w:rsidRPr="004E534D">
        <w:rPr>
          <w:szCs w:val="26"/>
        </w:rPr>
        <w:t>(h).)</w:t>
      </w:r>
      <w:r>
        <w:rPr>
          <w:szCs w:val="26"/>
        </w:rPr>
        <w:t xml:space="preserve">  RUPA therefore does</w:t>
      </w:r>
      <w:r>
        <w:rPr>
          <w:szCs w:val="26"/>
        </w:rPr>
        <w:t xml:space="preserve"> not change our understanding of what constitutes property.</w:t>
      </w:r>
    </w:p>
    <w:p w:rsidR="000961BC" w:rsidRDefault="000A7ADD">
      <w:pPr>
        <w:rPr>
          <w:b/>
          <w:smallCaps/>
        </w:rPr>
      </w:pPr>
      <w:r>
        <w:br w:type="page"/>
      </w:r>
    </w:p>
    <w:p w:rsidR="00673968" w:rsidRPr="00673968" w:rsidRDefault="000A7ADD" w:rsidP="00872C1A">
      <w:pPr>
        <w:pStyle w:val="Heading1"/>
      </w:pPr>
      <w:r>
        <w:lastRenderedPageBreak/>
        <w:t>III.</w:t>
      </w:r>
    </w:p>
    <w:p w:rsidR="00535073" w:rsidRDefault="000A7ADD" w:rsidP="00741B08">
      <w:pPr>
        <w:tabs>
          <w:tab w:val="left" w:pos="1440"/>
        </w:tabs>
        <w:spacing w:line="480" w:lineRule="atLeast"/>
        <w:ind w:firstLine="720"/>
      </w:pPr>
      <w:r>
        <w:t>U</w:t>
      </w:r>
      <w:r>
        <w:t xml:space="preserve">nder </w:t>
      </w:r>
      <w:r>
        <w:t xml:space="preserve">California </w:t>
      </w:r>
      <w:r>
        <w:t>partnership law, a</w:t>
      </w:r>
      <w:r>
        <w:t xml:space="preserve"> dissolved law firm does not </w:t>
      </w:r>
      <w:r>
        <w:t>have</w:t>
      </w:r>
      <w:r>
        <w:t xml:space="preserve"> a</w:t>
      </w:r>
      <w:r>
        <w:t xml:space="preserve"> property</w:t>
      </w:r>
      <w:r>
        <w:t xml:space="preserve"> interest</w:t>
      </w:r>
      <w:r>
        <w:t xml:space="preserve"> in</w:t>
      </w:r>
      <w:r>
        <w:t xml:space="preserve"> </w:t>
      </w:r>
      <w:r>
        <w:t xml:space="preserve">legal matters handled on an hourly basis, </w:t>
      </w:r>
      <w:r>
        <w:t xml:space="preserve">or </w:t>
      </w:r>
      <w:r>
        <w:t xml:space="preserve">in the </w:t>
      </w:r>
      <w:r>
        <w:t xml:space="preserve">profits generated by formers partners who continue to work on </w:t>
      </w:r>
      <w:r>
        <w:t xml:space="preserve">these </w:t>
      </w:r>
      <w:r>
        <w:t>hourly fee matters after the</w:t>
      </w:r>
      <w:r>
        <w:t>y</w:t>
      </w:r>
      <w:r>
        <w:t xml:space="preserve"> </w:t>
      </w:r>
      <w:proofErr w:type="gramStart"/>
      <w:r>
        <w:t>are</w:t>
      </w:r>
      <w:r>
        <w:t xml:space="preserve"> transferred</w:t>
      </w:r>
      <w:proofErr w:type="gramEnd"/>
      <w:r>
        <w:t xml:space="preserve"> to the partners’ new firms.  </w:t>
      </w:r>
      <w:r>
        <w:t>To h</w:t>
      </w:r>
      <w:r>
        <w:t>old otherwise</w:t>
      </w:r>
      <w:r>
        <w:t xml:space="preserve"> would </w:t>
      </w:r>
      <w:r>
        <w:t>risk intruding</w:t>
      </w:r>
      <w:r>
        <w:t xml:space="preserve"> </w:t>
      </w:r>
      <w:r>
        <w:t xml:space="preserve">without justification </w:t>
      </w:r>
      <w:r>
        <w:t>on</w:t>
      </w:r>
      <w:r>
        <w:t xml:space="preserve"> </w:t>
      </w:r>
      <w:r>
        <w:t xml:space="preserve">clients’ </w:t>
      </w:r>
      <w:r>
        <w:t xml:space="preserve">choice of counsel, as it would change the </w:t>
      </w:r>
      <w:r>
        <w:t xml:space="preserve">value associated with </w:t>
      </w:r>
      <w:r>
        <w:t xml:space="preserve">retaining former partners </w:t>
      </w:r>
      <w:r>
        <w:t xml:space="preserve">— who must share the clients’ fees with their old firm — </w:t>
      </w:r>
      <w:r>
        <w:t>relative to lawyers unassociated with th</w:t>
      </w:r>
      <w:r>
        <w:t xml:space="preserve">e firm at </w:t>
      </w:r>
      <w:r>
        <w:t xml:space="preserve">its </w:t>
      </w:r>
      <w:r>
        <w:t>time of dissolution</w:t>
      </w:r>
      <w:r>
        <w:t xml:space="preserve"> </w:t>
      </w:r>
      <w:r>
        <w:t>who could</w:t>
      </w:r>
      <w:r>
        <w:t xml:space="preserve"> capture the entire fee amount for themselves </w:t>
      </w:r>
      <w:r>
        <w:t xml:space="preserve">or </w:t>
      </w:r>
      <w:r>
        <w:t xml:space="preserve">their current </w:t>
      </w:r>
      <w:r>
        <w:t>employers</w:t>
      </w:r>
      <w:r>
        <w:t>.</w:t>
      </w:r>
      <w:r>
        <w:t xml:space="preserve"> </w:t>
      </w:r>
      <w:r>
        <w:t xml:space="preserve"> Allowing the dissolved firm to retain control of such matters </w:t>
      </w:r>
      <w:r>
        <w:t xml:space="preserve">also </w:t>
      </w:r>
      <w:r>
        <w:t xml:space="preserve">risks limiting </w:t>
      </w:r>
      <w:r>
        <w:t xml:space="preserve">lawyers’ mobility </w:t>
      </w:r>
      <w:proofErr w:type="spellStart"/>
      <w:r>
        <w:t>postdissolution</w:t>
      </w:r>
      <w:proofErr w:type="spellEnd"/>
      <w:r>
        <w:t xml:space="preserve">, </w:t>
      </w:r>
      <w:r>
        <w:t xml:space="preserve">incentivizing </w:t>
      </w:r>
      <w:r>
        <w:t xml:space="preserve">partners’ </w:t>
      </w:r>
      <w:r>
        <w:t>departure</w:t>
      </w:r>
      <w:r>
        <w:t>s</w:t>
      </w:r>
      <w:r>
        <w:t xml:space="preserve"> </w:t>
      </w:r>
      <w:proofErr w:type="spellStart"/>
      <w:r>
        <w:t>pre</w:t>
      </w:r>
      <w:r>
        <w:t>dissolution</w:t>
      </w:r>
      <w:proofErr w:type="spellEnd"/>
      <w:r>
        <w:t xml:space="preserve">, and </w:t>
      </w:r>
      <w:r>
        <w:t xml:space="preserve">perhaps even increasing </w:t>
      </w:r>
      <w:r>
        <w:t xml:space="preserve">the risk of </w:t>
      </w:r>
      <w:r>
        <w:t>a partnership’s dissolution</w:t>
      </w:r>
      <w:r>
        <w:t>.</w:t>
      </w:r>
    </w:p>
    <w:p w:rsidR="00473191" w:rsidRDefault="000A7ADD" w:rsidP="00AE1648">
      <w:pPr>
        <w:tabs>
          <w:tab w:val="left" w:pos="1440"/>
        </w:tabs>
        <w:spacing w:line="480" w:lineRule="atLeast"/>
        <w:ind w:firstLine="720"/>
      </w:pPr>
      <w:r>
        <w:t xml:space="preserve">So, </w:t>
      </w:r>
      <w:proofErr w:type="gramStart"/>
      <w:r>
        <w:t>w</w:t>
      </w:r>
      <w:r>
        <w:t>ith the exception of</w:t>
      </w:r>
      <w:proofErr w:type="gramEnd"/>
      <w:r w:rsidRPr="0068263B">
        <w:t xml:space="preserve"> fees </w:t>
      </w:r>
      <w:r>
        <w:t xml:space="preserve">paid for work fitting the narrow category of winding up activities that </w:t>
      </w:r>
      <w:r>
        <w:t xml:space="preserve">a former partner might perform after </w:t>
      </w:r>
      <w:r>
        <w:t xml:space="preserve">a firm’s </w:t>
      </w:r>
      <w:r>
        <w:t>d</w:t>
      </w:r>
      <w:r>
        <w:t>issolution</w:t>
      </w:r>
      <w:r w:rsidRPr="0068263B">
        <w:t>, a dissolved law firm’s property interest in hourly fee matters is limited to the right to be paid for the work i</w:t>
      </w:r>
      <w:r>
        <w:t>t performs before dissolution.</w:t>
      </w:r>
      <w:r w:rsidRPr="00374FB1">
        <w:t xml:space="preserve"> </w:t>
      </w:r>
      <w:r>
        <w:t xml:space="preserve"> </w:t>
      </w:r>
      <w:r>
        <w:t>Consistent with our statutory partnership law, w</w:t>
      </w:r>
      <w:r>
        <w:t>inding up includes only</w:t>
      </w:r>
      <w:r>
        <w:t xml:space="preserve"> tasks</w:t>
      </w:r>
      <w:r>
        <w:t xml:space="preserve"> </w:t>
      </w:r>
      <w:r>
        <w:t xml:space="preserve">necessary </w:t>
      </w:r>
      <w:r>
        <w:rPr>
          <w:szCs w:val="26"/>
        </w:rPr>
        <w:t xml:space="preserve">to preserve </w:t>
      </w:r>
      <w:r>
        <w:rPr>
          <w:szCs w:val="26"/>
        </w:rPr>
        <w:t xml:space="preserve">the hourly fee matters so that they </w:t>
      </w:r>
      <w:r>
        <w:rPr>
          <w:szCs w:val="26"/>
        </w:rPr>
        <w:t>can</w:t>
      </w:r>
      <w:r>
        <w:rPr>
          <w:szCs w:val="26"/>
        </w:rPr>
        <w:t xml:space="preserve"> </w:t>
      </w:r>
      <w:proofErr w:type="gramStart"/>
      <w:r>
        <w:rPr>
          <w:szCs w:val="26"/>
        </w:rPr>
        <w:t>be transferred</w:t>
      </w:r>
      <w:proofErr w:type="gramEnd"/>
      <w:r>
        <w:rPr>
          <w:szCs w:val="26"/>
        </w:rPr>
        <w:t xml:space="preserve"> to new counsel of the client’s c</w:t>
      </w:r>
      <w:r>
        <w:rPr>
          <w:szCs w:val="26"/>
        </w:rPr>
        <w:t>hoice (or the client itself)</w:t>
      </w:r>
      <w:r>
        <w:rPr>
          <w:szCs w:val="26"/>
        </w:rPr>
        <w:t>,</w:t>
      </w:r>
      <w:r>
        <w:rPr>
          <w:szCs w:val="26"/>
        </w:rPr>
        <w:t xml:space="preserve"> </w:t>
      </w:r>
      <w:r>
        <w:rPr>
          <w:szCs w:val="26"/>
        </w:rPr>
        <w:t>to</w:t>
      </w:r>
      <w:r>
        <w:rPr>
          <w:szCs w:val="26"/>
        </w:rPr>
        <w:t xml:space="preserve"> effectuate such a transfer</w:t>
      </w:r>
      <w:r>
        <w:rPr>
          <w:szCs w:val="26"/>
        </w:rPr>
        <w:t>,</w:t>
      </w:r>
      <w:r>
        <w:rPr>
          <w:szCs w:val="26"/>
        </w:rPr>
        <w:t xml:space="preserve"> and to collect on the pre</w:t>
      </w:r>
      <w:r>
        <w:rPr>
          <w:szCs w:val="26"/>
        </w:rPr>
        <w:t>transfer work</w:t>
      </w:r>
      <w:r>
        <w:t xml:space="preserve">.  </w:t>
      </w:r>
      <w:r>
        <w:t>Beyond this, the partnership’s interest</w:t>
      </w:r>
      <w:r>
        <w:t xml:space="preserve">, </w:t>
      </w:r>
      <w:r>
        <w:t>like the partnership itsel</w:t>
      </w:r>
      <w:r>
        <w:t xml:space="preserve">f, </w:t>
      </w:r>
      <w:r>
        <w:t>dissolves.</w:t>
      </w:r>
    </w:p>
    <w:p w:rsidR="009137A1" w:rsidRPr="008E0B3B" w:rsidRDefault="000A7ADD" w:rsidP="008E0B3B">
      <w:pPr>
        <w:tabs>
          <w:tab w:val="left" w:pos="1440"/>
        </w:tabs>
        <w:spacing w:line="240" w:lineRule="atLeast"/>
        <w:rPr>
          <w:b/>
          <w:caps/>
          <w:sz w:val="24"/>
          <w:szCs w:val="24"/>
        </w:rPr>
      </w:pPr>
      <w:r>
        <w:tab/>
      </w:r>
      <w:r>
        <w:tab/>
      </w:r>
      <w:r>
        <w:tab/>
      </w:r>
      <w:r>
        <w:tab/>
      </w:r>
      <w:r>
        <w:tab/>
      </w:r>
      <w:r>
        <w:tab/>
      </w:r>
      <w:r w:rsidRPr="00DB48CD">
        <w:rPr>
          <w:b/>
        </w:rPr>
        <w:tab/>
      </w:r>
      <w:r w:rsidRPr="008E0B3B">
        <w:rPr>
          <w:b/>
          <w:caps/>
          <w:sz w:val="24"/>
          <w:szCs w:val="24"/>
        </w:rPr>
        <w:t>Cuéllar, J.</w:t>
      </w:r>
    </w:p>
    <w:p w:rsidR="009137A1" w:rsidRPr="008E0B3B" w:rsidRDefault="000A7ADD" w:rsidP="008E0B3B">
      <w:pPr>
        <w:tabs>
          <w:tab w:val="left" w:pos="1440"/>
          <w:tab w:val="left" w:pos="1800"/>
        </w:tabs>
        <w:spacing w:line="240" w:lineRule="atLeast"/>
        <w:rPr>
          <w:b/>
          <w:caps/>
          <w:sz w:val="24"/>
          <w:szCs w:val="24"/>
        </w:rPr>
      </w:pPr>
      <w:r w:rsidRPr="008E0B3B">
        <w:rPr>
          <w:b/>
          <w:caps/>
          <w:sz w:val="24"/>
          <w:szCs w:val="24"/>
        </w:rPr>
        <w:t xml:space="preserve">We Concur:  </w:t>
      </w:r>
      <w:r>
        <w:rPr>
          <w:b/>
          <w:caps/>
          <w:sz w:val="24"/>
          <w:szCs w:val="24"/>
        </w:rPr>
        <w:tab/>
      </w:r>
      <w:r w:rsidRPr="008E0B3B">
        <w:rPr>
          <w:b/>
          <w:caps/>
          <w:sz w:val="24"/>
          <w:szCs w:val="24"/>
        </w:rPr>
        <w:t>Cantil-Sakauye, C. J.</w:t>
      </w:r>
    </w:p>
    <w:p w:rsidR="009137A1" w:rsidRPr="008E0B3B" w:rsidRDefault="000A7ADD" w:rsidP="008E0B3B">
      <w:pPr>
        <w:tabs>
          <w:tab w:val="left" w:pos="1440"/>
          <w:tab w:val="left" w:pos="1800"/>
        </w:tabs>
        <w:spacing w:line="240" w:lineRule="atLeast"/>
        <w:rPr>
          <w:b/>
          <w:caps/>
          <w:sz w:val="24"/>
          <w:szCs w:val="24"/>
        </w:rPr>
      </w:pPr>
      <w:r w:rsidRPr="008E0B3B">
        <w:rPr>
          <w:b/>
          <w:caps/>
          <w:sz w:val="24"/>
          <w:szCs w:val="24"/>
        </w:rPr>
        <w:tab/>
        <w:t xml:space="preserve">   </w:t>
      </w:r>
      <w:r>
        <w:rPr>
          <w:b/>
          <w:caps/>
          <w:sz w:val="24"/>
          <w:szCs w:val="24"/>
        </w:rPr>
        <w:t xml:space="preserve">  </w:t>
      </w:r>
      <w:r>
        <w:rPr>
          <w:b/>
          <w:caps/>
          <w:sz w:val="24"/>
          <w:szCs w:val="24"/>
        </w:rPr>
        <w:tab/>
      </w:r>
      <w:r w:rsidRPr="008E0B3B">
        <w:rPr>
          <w:b/>
          <w:caps/>
          <w:sz w:val="24"/>
          <w:szCs w:val="24"/>
        </w:rPr>
        <w:t>Chin, J.</w:t>
      </w:r>
    </w:p>
    <w:p w:rsidR="009137A1" w:rsidRPr="008E0B3B" w:rsidRDefault="000A7ADD" w:rsidP="008E0B3B">
      <w:pPr>
        <w:tabs>
          <w:tab w:val="left" w:pos="1440"/>
          <w:tab w:val="left" w:pos="1800"/>
        </w:tabs>
        <w:spacing w:line="240" w:lineRule="atLeast"/>
        <w:rPr>
          <w:b/>
          <w:caps/>
          <w:sz w:val="24"/>
          <w:szCs w:val="24"/>
        </w:rPr>
      </w:pPr>
      <w:r w:rsidRPr="008E0B3B">
        <w:rPr>
          <w:b/>
          <w:caps/>
          <w:sz w:val="24"/>
          <w:szCs w:val="24"/>
        </w:rPr>
        <w:tab/>
        <w:t xml:space="preserve">  </w:t>
      </w:r>
      <w:r>
        <w:rPr>
          <w:b/>
          <w:caps/>
          <w:sz w:val="24"/>
          <w:szCs w:val="24"/>
        </w:rPr>
        <w:t xml:space="preserve"> </w:t>
      </w:r>
      <w:r w:rsidRPr="008E0B3B">
        <w:rPr>
          <w:b/>
          <w:caps/>
          <w:sz w:val="24"/>
          <w:szCs w:val="24"/>
        </w:rPr>
        <w:t xml:space="preserve"> </w:t>
      </w:r>
      <w:r>
        <w:rPr>
          <w:b/>
          <w:caps/>
          <w:sz w:val="24"/>
          <w:szCs w:val="24"/>
        </w:rPr>
        <w:t xml:space="preserve"> </w:t>
      </w:r>
      <w:r>
        <w:rPr>
          <w:b/>
          <w:caps/>
          <w:sz w:val="24"/>
          <w:szCs w:val="24"/>
        </w:rPr>
        <w:tab/>
      </w:r>
      <w:r w:rsidRPr="008E0B3B">
        <w:rPr>
          <w:b/>
          <w:caps/>
          <w:sz w:val="24"/>
          <w:szCs w:val="24"/>
        </w:rPr>
        <w:t>Corrigan, J.</w:t>
      </w:r>
    </w:p>
    <w:p w:rsidR="009137A1" w:rsidRPr="008E0B3B" w:rsidRDefault="000A7ADD" w:rsidP="008E0B3B">
      <w:pPr>
        <w:tabs>
          <w:tab w:val="left" w:pos="1440"/>
          <w:tab w:val="left" w:pos="1800"/>
        </w:tabs>
        <w:spacing w:line="240" w:lineRule="atLeast"/>
        <w:rPr>
          <w:b/>
          <w:caps/>
          <w:sz w:val="24"/>
          <w:szCs w:val="24"/>
        </w:rPr>
      </w:pPr>
      <w:r w:rsidRPr="008E0B3B">
        <w:rPr>
          <w:b/>
          <w:caps/>
          <w:sz w:val="24"/>
          <w:szCs w:val="24"/>
        </w:rPr>
        <w:tab/>
        <w:t xml:space="preserve">   </w:t>
      </w:r>
      <w:r>
        <w:rPr>
          <w:b/>
          <w:caps/>
          <w:sz w:val="24"/>
          <w:szCs w:val="24"/>
        </w:rPr>
        <w:t xml:space="preserve">  </w:t>
      </w:r>
      <w:r>
        <w:rPr>
          <w:b/>
          <w:caps/>
          <w:sz w:val="24"/>
          <w:szCs w:val="24"/>
        </w:rPr>
        <w:tab/>
      </w:r>
      <w:r w:rsidRPr="008E0B3B">
        <w:rPr>
          <w:b/>
          <w:caps/>
          <w:sz w:val="24"/>
          <w:szCs w:val="24"/>
        </w:rPr>
        <w:t>Liu, J.</w:t>
      </w:r>
    </w:p>
    <w:p w:rsidR="000A7ADD" w:rsidRDefault="000A7ADD" w:rsidP="008E0B3B">
      <w:pPr>
        <w:tabs>
          <w:tab w:val="left" w:pos="1440"/>
          <w:tab w:val="left" w:pos="1800"/>
        </w:tabs>
        <w:spacing w:line="240" w:lineRule="atLeast"/>
        <w:ind w:left="720"/>
        <w:rPr>
          <w:rStyle w:val="FootnoteReference"/>
          <w:b w:val="0"/>
          <w:caps/>
          <w:sz w:val="24"/>
          <w:szCs w:val="24"/>
        </w:rPr>
        <w:sectPr w:rsidR="000A7ADD" w:rsidSect="008E0B3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pPr>
      <w:r w:rsidRPr="008E0B3B">
        <w:rPr>
          <w:b/>
          <w:caps/>
          <w:sz w:val="24"/>
          <w:szCs w:val="24"/>
        </w:rPr>
        <w:tab/>
        <w:t xml:space="preserve">   </w:t>
      </w:r>
      <w:r>
        <w:rPr>
          <w:b/>
          <w:caps/>
          <w:sz w:val="24"/>
          <w:szCs w:val="24"/>
        </w:rPr>
        <w:t xml:space="preserve">  </w:t>
      </w:r>
      <w:r>
        <w:rPr>
          <w:b/>
          <w:caps/>
          <w:sz w:val="24"/>
          <w:szCs w:val="24"/>
        </w:rPr>
        <w:tab/>
      </w:r>
      <w:r w:rsidRPr="008E0B3B">
        <w:rPr>
          <w:b/>
          <w:caps/>
          <w:sz w:val="24"/>
          <w:szCs w:val="24"/>
        </w:rPr>
        <w:t>Kruger, J.</w:t>
      </w:r>
      <w:r w:rsidRPr="008E0B3B">
        <w:rPr>
          <w:b/>
          <w:caps/>
          <w:sz w:val="24"/>
          <w:szCs w:val="24"/>
        </w:rPr>
        <w:br/>
        <w:t xml:space="preserve">                </w:t>
      </w:r>
      <w:r>
        <w:rPr>
          <w:b/>
          <w:caps/>
          <w:sz w:val="24"/>
          <w:szCs w:val="24"/>
        </w:rPr>
        <w:t xml:space="preserve"> </w:t>
      </w:r>
      <w:r>
        <w:rPr>
          <w:b/>
          <w:caps/>
          <w:sz w:val="24"/>
          <w:szCs w:val="24"/>
        </w:rPr>
        <w:tab/>
      </w:r>
      <w:r w:rsidRPr="008E0B3B">
        <w:rPr>
          <w:b/>
          <w:caps/>
          <w:sz w:val="24"/>
          <w:szCs w:val="24"/>
        </w:rPr>
        <w:t>Manella, J.</w:t>
      </w:r>
      <w:r>
        <w:rPr>
          <w:rStyle w:val="FootnoteReference"/>
          <w:b w:val="0"/>
          <w:caps/>
          <w:sz w:val="24"/>
          <w:szCs w:val="24"/>
        </w:rPr>
        <w:footnoteReference w:customMarkFollows="1" w:id="5"/>
        <w:t>*</w:t>
      </w:r>
    </w:p>
    <w:p w:rsidR="000A7ADD" w:rsidRDefault="000A7ADD" w:rsidP="000A7ADD">
      <w:pPr>
        <w:rPr>
          <w:i/>
          <w:sz w:val="20"/>
        </w:rPr>
      </w:pPr>
      <w:r>
        <w:rPr>
          <w:i/>
          <w:sz w:val="20"/>
        </w:rPr>
        <w:t>See last page for addresses and telephone numbers for counsel who argued in Supreme Court.</w:t>
      </w:r>
    </w:p>
    <w:p w:rsidR="000A7ADD" w:rsidRDefault="000A7ADD" w:rsidP="000A7ADD">
      <w:pPr>
        <w:rPr>
          <w:i/>
          <w:sz w:val="20"/>
        </w:rPr>
      </w:pPr>
    </w:p>
    <w:p w:rsidR="000A7ADD" w:rsidRPr="00E53509" w:rsidRDefault="000A7ADD" w:rsidP="000A7ADD">
      <w:pPr>
        <w:rPr>
          <w:bCs/>
          <w:i/>
          <w:sz w:val="20"/>
        </w:rPr>
      </w:pPr>
      <w:r>
        <w:rPr>
          <w:b/>
          <w:sz w:val="20"/>
        </w:rPr>
        <w:t>Name of Opinion</w:t>
      </w:r>
      <w:r>
        <w:rPr>
          <w:sz w:val="20"/>
        </w:rPr>
        <w:t xml:space="preserve"> Heller </w:t>
      </w:r>
      <w:proofErr w:type="spellStart"/>
      <w:r>
        <w:rPr>
          <w:sz w:val="20"/>
        </w:rPr>
        <w:t>Ehrman</w:t>
      </w:r>
      <w:proofErr w:type="spellEnd"/>
      <w:r>
        <w:rPr>
          <w:sz w:val="20"/>
        </w:rPr>
        <w:t xml:space="preserve"> LLP v. Davis Wright Tremaine LLP</w:t>
      </w:r>
    </w:p>
    <w:p w:rsidR="000A7ADD" w:rsidRDefault="000A7ADD" w:rsidP="000A7ADD">
      <w:pPr>
        <w:rPr>
          <w:b/>
          <w:sz w:val="20"/>
        </w:rPr>
      </w:pPr>
      <w:r>
        <w:rPr>
          <w:b/>
          <w:sz w:val="20"/>
        </w:rPr>
        <w:t>__________________________________________________________________________________</w:t>
      </w:r>
    </w:p>
    <w:p w:rsidR="000A7ADD" w:rsidRDefault="000A7ADD" w:rsidP="000A7ADD">
      <w:pPr>
        <w:rPr>
          <w:b/>
          <w:sz w:val="20"/>
        </w:rPr>
      </w:pPr>
    </w:p>
    <w:p w:rsidR="000A7ADD" w:rsidRDefault="000A7ADD" w:rsidP="000A7ADD">
      <w:pPr>
        <w:rPr>
          <w:bCs/>
          <w:sz w:val="20"/>
        </w:rPr>
      </w:pPr>
      <w:r>
        <w:rPr>
          <w:b/>
          <w:sz w:val="20"/>
        </w:rPr>
        <w:t>Unpublished Opinion</w:t>
      </w:r>
    </w:p>
    <w:p w:rsidR="000A7ADD" w:rsidRDefault="000A7ADD" w:rsidP="000A7ADD">
      <w:pPr>
        <w:rPr>
          <w:sz w:val="20"/>
        </w:rPr>
      </w:pPr>
      <w:r>
        <w:rPr>
          <w:b/>
          <w:sz w:val="20"/>
        </w:rPr>
        <w:t>Original Appeal</w:t>
      </w:r>
    </w:p>
    <w:p w:rsidR="000A7ADD" w:rsidRPr="006037B6" w:rsidRDefault="000A7ADD" w:rsidP="000A7ADD">
      <w:pPr>
        <w:rPr>
          <w:sz w:val="20"/>
        </w:rPr>
      </w:pPr>
      <w:r>
        <w:rPr>
          <w:b/>
          <w:sz w:val="20"/>
        </w:rPr>
        <w:t>Original Proceeding</w:t>
      </w:r>
      <w:r>
        <w:rPr>
          <w:sz w:val="20"/>
        </w:rPr>
        <w:t xml:space="preserve"> XXX on request pursuant to rule 8.548, Cal. Rules of Court</w:t>
      </w:r>
    </w:p>
    <w:p w:rsidR="000A7ADD" w:rsidRPr="00E53509" w:rsidRDefault="000A7ADD" w:rsidP="000A7ADD">
      <w:pPr>
        <w:rPr>
          <w:sz w:val="20"/>
        </w:rPr>
      </w:pPr>
      <w:r>
        <w:rPr>
          <w:b/>
          <w:sz w:val="20"/>
        </w:rPr>
        <w:t>Review Granted</w:t>
      </w:r>
    </w:p>
    <w:p w:rsidR="000A7ADD" w:rsidRDefault="000A7ADD" w:rsidP="000A7ADD">
      <w:pPr>
        <w:rPr>
          <w:b/>
          <w:sz w:val="20"/>
        </w:rPr>
      </w:pPr>
      <w:r>
        <w:rPr>
          <w:b/>
          <w:sz w:val="20"/>
        </w:rPr>
        <w:t>Rehearing Granted</w:t>
      </w:r>
    </w:p>
    <w:p w:rsidR="000A7ADD" w:rsidRDefault="000A7ADD" w:rsidP="000A7ADD">
      <w:pPr>
        <w:rPr>
          <w:b/>
          <w:sz w:val="20"/>
        </w:rPr>
      </w:pPr>
    </w:p>
    <w:p w:rsidR="000A7ADD" w:rsidRDefault="000A7ADD" w:rsidP="000A7ADD">
      <w:pPr>
        <w:rPr>
          <w:b/>
          <w:sz w:val="20"/>
        </w:rPr>
      </w:pPr>
      <w:r>
        <w:rPr>
          <w:b/>
          <w:sz w:val="20"/>
        </w:rPr>
        <w:t>__________________________________________________________________________________</w:t>
      </w:r>
    </w:p>
    <w:p w:rsidR="000A7ADD" w:rsidRDefault="000A7ADD" w:rsidP="000A7ADD">
      <w:pPr>
        <w:rPr>
          <w:b/>
          <w:sz w:val="20"/>
        </w:rPr>
      </w:pPr>
    </w:p>
    <w:p w:rsidR="000A7ADD" w:rsidRPr="00E53509" w:rsidRDefault="000A7ADD" w:rsidP="000A7ADD">
      <w:pPr>
        <w:rPr>
          <w:bCs/>
          <w:sz w:val="20"/>
        </w:rPr>
      </w:pPr>
      <w:r>
        <w:rPr>
          <w:b/>
          <w:sz w:val="20"/>
        </w:rPr>
        <w:t xml:space="preserve">Opinion </w:t>
      </w:r>
      <w:proofErr w:type="gramStart"/>
      <w:r>
        <w:rPr>
          <w:b/>
          <w:sz w:val="20"/>
        </w:rPr>
        <w:t>No.</w:t>
      </w:r>
      <w:r>
        <w:rPr>
          <w:sz w:val="20"/>
        </w:rPr>
        <w:t>S</w:t>
      </w:r>
      <w:proofErr w:type="gramEnd"/>
      <w:r>
        <w:rPr>
          <w:sz w:val="20"/>
        </w:rPr>
        <w:t>236208</w:t>
      </w:r>
    </w:p>
    <w:p w:rsidR="000A7ADD" w:rsidRPr="00E53509" w:rsidRDefault="000A7ADD" w:rsidP="000A7ADD">
      <w:pPr>
        <w:rPr>
          <w:bCs/>
          <w:sz w:val="20"/>
        </w:rPr>
      </w:pPr>
      <w:r>
        <w:rPr>
          <w:b/>
          <w:sz w:val="20"/>
        </w:rPr>
        <w:t>Date Filed:</w:t>
      </w:r>
      <w:r>
        <w:rPr>
          <w:sz w:val="20"/>
        </w:rPr>
        <w:t xml:space="preserve"> March 5, 2018</w:t>
      </w:r>
    </w:p>
    <w:p w:rsidR="000A7ADD" w:rsidRDefault="000A7ADD" w:rsidP="000A7ADD">
      <w:pPr>
        <w:rPr>
          <w:b/>
          <w:sz w:val="20"/>
        </w:rPr>
      </w:pPr>
      <w:r>
        <w:rPr>
          <w:b/>
          <w:sz w:val="20"/>
        </w:rPr>
        <w:t>__________________________________________________________________________________</w:t>
      </w:r>
    </w:p>
    <w:p w:rsidR="000A7ADD" w:rsidRDefault="000A7ADD" w:rsidP="000A7ADD">
      <w:pPr>
        <w:rPr>
          <w:b/>
          <w:sz w:val="20"/>
        </w:rPr>
      </w:pPr>
    </w:p>
    <w:p w:rsidR="000A7ADD" w:rsidRPr="00E53509" w:rsidRDefault="000A7ADD" w:rsidP="000A7ADD">
      <w:pPr>
        <w:rPr>
          <w:bCs/>
          <w:sz w:val="20"/>
        </w:rPr>
      </w:pPr>
      <w:r>
        <w:rPr>
          <w:b/>
          <w:sz w:val="20"/>
        </w:rPr>
        <w:t>Court:</w:t>
      </w:r>
    </w:p>
    <w:p w:rsidR="000A7ADD" w:rsidRPr="00E53509" w:rsidRDefault="000A7ADD" w:rsidP="000A7ADD">
      <w:pPr>
        <w:rPr>
          <w:bCs/>
          <w:sz w:val="20"/>
        </w:rPr>
      </w:pPr>
      <w:r>
        <w:rPr>
          <w:b/>
          <w:sz w:val="20"/>
        </w:rPr>
        <w:t>County:</w:t>
      </w:r>
    </w:p>
    <w:p w:rsidR="000A7ADD" w:rsidRPr="00E53509" w:rsidRDefault="000A7ADD" w:rsidP="000A7ADD">
      <w:pPr>
        <w:ind w:left="720" w:hanging="720"/>
        <w:rPr>
          <w:bCs/>
          <w:sz w:val="20"/>
        </w:rPr>
      </w:pPr>
      <w:r>
        <w:rPr>
          <w:b/>
          <w:sz w:val="20"/>
        </w:rPr>
        <w:t>Judge:</w:t>
      </w:r>
    </w:p>
    <w:p w:rsidR="000A7ADD" w:rsidRDefault="000A7ADD" w:rsidP="000A7ADD">
      <w:pPr>
        <w:rPr>
          <w:b/>
          <w:sz w:val="20"/>
        </w:rPr>
      </w:pPr>
    </w:p>
    <w:p w:rsidR="000A7ADD" w:rsidRDefault="000A7ADD" w:rsidP="000A7ADD">
      <w:pPr>
        <w:rPr>
          <w:b/>
          <w:sz w:val="20"/>
        </w:rPr>
      </w:pPr>
      <w:r>
        <w:rPr>
          <w:b/>
          <w:sz w:val="20"/>
        </w:rPr>
        <w:t>__________________________________________________________________________________</w:t>
      </w:r>
    </w:p>
    <w:p w:rsidR="000A7ADD" w:rsidRDefault="000A7ADD" w:rsidP="000A7ADD">
      <w:pPr>
        <w:rPr>
          <w:b/>
          <w:sz w:val="20"/>
        </w:rPr>
      </w:pPr>
    </w:p>
    <w:p w:rsidR="000A7ADD" w:rsidRDefault="000A7ADD" w:rsidP="000A7ADD">
      <w:pPr>
        <w:rPr>
          <w:b/>
          <w:sz w:val="20"/>
        </w:rPr>
      </w:pPr>
      <w:r>
        <w:rPr>
          <w:b/>
          <w:sz w:val="20"/>
        </w:rPr>
        <w:t>Counsel:</w:t>
      </w:r>
    </w:p>
    <w:p w:rsidR="000A7ADD" w:rsidRDefault="000A7ADD" w:rsidP="000A7ADD">
      <w:pPr>
        <w:rPr>
          <w:b/>
          <w:sz w:val="20"/>
        </w:rPr>
      </w:pPr>
    </w:p>
    <w:p w:rsidR="000A7ADD" w:rsidRDefault="000A7ADD" w:rsidP="000A7ADD">
      <w:pPr>
        <w:rPr>
          <w:sz w:val="20"/>
        </w:rPr>
      </w:pPr>
      <w:r>
        <w:rPr>
          <w:sz w:val="20"/>
        </w:rPr>
        <w:t xml:space="preserve">Diamond McCarthy, Christopher D. Sullivan, Matthew S. </w:t>
      </w:r>
      <w:proofErr w:type="spellStart"/>
      <w:r>
        <w:rPr>
          <w:sz w:val="20"/>
        </w:rPr>
        <w:t>Sepuya</w:t>
      </w:r>
      <w:proofErr w:type="spellEnd"/>
      <w:r>
        <w:rPr>
          <w:sz w:val="20"/>
        </w:rPr>
        <w:t xml:space="preserve">, Christopher R. Murray, Andrew B. Ryan, James Sheppard, Karen K. Diep; Valle </w:t>
      </w:r>
      <w:proofErr w:type="spellStart"/>
      <w:r>
        <w:rPr>
          <w:sz w:val="20"/>
        </w:rPr>
        <w:t>Makoff</w:t>
      </w:r>
      <w:proofErr w:type="spellEnd"/>
      <w:r>
        <w:rPr>
          <w:sz w:val="20"/>
        </w:rPr>
        <w:t xml:space="preserve">, Jeffrey T. </w:t>
      </w:r>
      <w:proofErr w:type="spellStart"/>
      <w:r>
        <w:rPr>
          <w:sz w:val="20"/>
        </w:rPr>
        <w:t>Makoff</w:t>
      </w:r>
      <w:proofErr w:type="spellEnd"/>
      <w:r>
        <w:rPr>
          <w:sz w:val="20"/>
        </w:rPr>
        <w:t xml:space="preserve">, Ellen Ruth </w:t>
      </w:r>
      <w:proofErr w:type="spellStart"/>
      <w:r>
        <w:rPr>
          <w:sz w:val="20"/>
        </w:rPr>
        <w:t>Fenichel</w:t>
      </w:r>
      <w:proofErr w:type="spellEnd"/>
      <w:r>
        <w:rPr>
          <w:sz w:val="20"/>
        </w:rPr>
        <w:t>;</w:t>
      </w:r>
      <w:r w:rsidRPr="00EA0245">
        <w:rPr>
          <w:sz w:val="20"/>
        </w:rPr>
        <w:t xml:space="preserve"> </w:t>
      </w:r>
      <w:proofErr w:type="spellStart"/>
      <w:r>
        <w:rPr>
          <w:sz w:val="20"/>
        </w:rPr>
        <w:t>Schnader</w:t>
      </w:r>
      <w:proofErr w:type="spellEnd"/>
      <w:r>
        <w:rPr>
          <w:sz w:val="20"/>
        </w:rPr>
        <w:t xml:space="preserve"> Harrison Segal &amp; Lewis, </w:t>
      </w:r>
      <w:proofErr w:type="spellStart"/>
      <w:r>
        <w:rPr>
          <w:sz w:val="20"/>
        </w:rPr>
        <w:t>Nuti</w:t>
      </w:r>
      <w:proofErr w:type="spellEnd"/>
      <w:r>
        <w:rPr>
          <w:sz w:val="20"/>
        </w:rPr>
        <w:t xml:space="preserve"> Hart and Kevin W. Coleman for Plaintiff and Appellant.</w:t>
      </w:r>
    </w:p>
    <w:p w:rsidR="000A7ADD" w:rsidRDefault="000A7ADD" w:rsidP="000A7ADD">
      <w:pPr>
        <w:rPr>
          <w:sz w:val="20"/>
        </w:rPr>
      </w:pPr>
    </w:p>
    <w:p w:rsidR="000A7ADD" w:rsidRDefault="000A7ADD" w:rsidP="000A7ADD">
      <w:pPr>
        <w:rPr>
          <w:sz w:val="20"/>
        </w:rPr>
      </w:pPr>
      <w:proofErr w:type="spellStart"/>
      <w:r>
        <w:rPr>
          <w:sz w:val="20"/>
        </w:rPr>
        <w:t>Felderstein</w:t>
      </w:r>
      <w:proofErr w:type="spellEnd"/>
      <w:r>
        <w:rPr>
          <w:sz w:val="20"/>
        </w:rPr>
        <w:t xml:space="preserve"> Fitzgerald Willoughby &amp; </w:t>
      </w:r>
      <w:proofErr w:type="spellStart"/>
      <w:r>
        <w:rPr>
          <w:sz w:val="20"/>
        </w:rPr>
        <w:t>Pascuzzi</w:t>
      </w:r>
      <w:proofErr w:type="spellEnd"/>
      <w:r>
        <w:rPr>
          <w:sz w:val="20"/>
        </w:rPr>
        <w:t xml:space="preserve"> and Thomas A. </w:t>
      </w:r>
      <w:proofErr w:type="spellStart"/>
      <w:r>
        <w:rPr>
          <w:sz w:val="20"/>
        </w:rPr>
        <w:t>Willoughy</w:t>
      </w:r>
      <w:proofErr w:type="spellEnd"/>
      <w:r>
        <w:rPr>
          <w:sz w:val="20"/>
        </w:rPr>
        <w:t xml:space="preserve"> for The Official Committee of Unsecured Creditors of Heller </w:t>
      </w:r>
      <w:proofErr w:type="spellStart"/>
      <w:r>
        <w:rPr>
          <w:sz w:val="20"/>
        </w:rPr>
        <w:t>Ehrman</w:t>
      </w:r>
      <w:proofErr w:type="spellEnd"/>
      <w:r>
        <w:rPr>
          <w:sz w:val="20"/>
        </w:rPr>
        <w:t xml:space="preserve"> LLP as Amicus Curiae on behalf of Plaintiff and Appellant.</w:t>
      </w:r>
    </w:p>
    <w:p w:rsidR="000A7ADD" w:rsidRDefault="000A7ADD" w:rsidP="000A7ADD">
      <w:pPr>
        <w:rPr>
          <w:sz w:val="20"/>
        </w:rPr>
      </w:pPr>
    </w:p>
    <w:p w:rsidR="000A7ADD" w:rsidRDefault="000A7ADD" w:rsidP="000A7ADD">
      <w:pPr>
        <w:rPr>
          <w:sz w:val="20"/>
        </w:rPr>
      </w:pPr>
      <w:r>
        <w:rPr>
          <w:sz w:val="20"/>
        </w:rPr>
        <w:t xml:space="preserve">Orrick, Herrington &amp; Sutcliffe, E, Joshua </w:t>
      </w:r>
      <w:proofErr w:type="spellStart"/>
      <w:r>
        <w:rPr>
          <w:sz w:val="20"/>
        </w:rPr>
        <w:t>Rosenkranz</w:t>
      </w:r>
      <w:proofErr w:type="spellEnd"/>
      <w:r>
        <w:rPr>
          <w:sz w:val="20"/>
        </w:rPr>
        <w:t xml:space="preserve">, Rachel </w:t>
      </w:r>
      <w:proofErr w:type="spellStart"/>
      <w:r>
        <w:rPr>
          <w:sz w:val="20"/>
        </w:rPr>
        <w:t>Wainer</w:t>
      </w:r>
      <w:proofErr w:type="spellEnd"/>
      <w:r>
        <w:rPr>
          <w:sz w:val="20"/>
        </w:rPr>
        <w:t xml:space="preserve"> </w:t>
      </w:r>
      <w:proofErr w:type="spellStart"/>
      <w:r>
        <w:rPr>
          <w:sz w:val="20"/>
        </w:rPr>
        <w:t>Apter</w:t>
      </w:r>
      <w:proofErr w:type="spellEnd"/>
      <w:r>
        <w:rPr>
          <w:sz w:val="20"/>
        </w:rPr>
        <w:t xml:space="preserve">, Daniel A. Rubens, Christopher J. Cariello, Anjali S. </w:t>
      </w:r>
      <w:proofErr w:type="spellStart"/>
      <w:r>
        <w:rPr>
          <w:sz w:val="20"/>
        </w:rPr>
        <w:t>Dalal</w:t>
      </w:r>
      <w:proofErr w:type="spellEnd"/>
      <w:r>
        <w:rPr>
          <w:sz w:val="20"/>
        </w:rPr>
        <w:t xml:space="preserve">, Eric A. </w:t>
      </w:r>
      <w:proofErr w:type="spellStart"/>
      <w:r>
        <w:rPr>
          <w:sz w:val="20"/>
        </w:rPr>
        <w:t>Shumsky</w:t>
      </w:r>
      <w:proofErr w:type="spellEnd"/>
      <w:r>
        <w:rPr>
          <w:sz w:val="20"/>
        </w:rPr>
        <w:t xml:space="preserve">, Charles W. Tyler; Arnold &amp; Porter, Pamela Phillips, Jonathan W. Hughes and Diana D. </w:t>
      </w:r>
      <w:proofErr w:type="spellStart"/>
      <w:r>
        <w:rPr>
          <w:sz w:val="20"/>
        </w:rPr>
        <w:t>DiGennaro</w:t>
      </w:r>
      <w:proofErr w:type="spellEnd"/>
      <w:r>
        <w:rPr>
          <w:sz w:val="20"/>
        </w:rPr>
        <w:t xml:space="preserve"> for Defendant and Respondent Orrick, Herrington &amp; Sutcliffe LLP.</w:t>
      </w:r>
    </w:p>
    <w:p w:rsidR="000A7ADD" w:rsidRDefault="000A7ADD" w:rsidP="000A7ADD">
      <w:pPr>
        <w:rPr>
          <w:sz w:val="20"/>
        </w:rPr>
      </w:pPr>
    </w:p>
    <w:p w:rsidR="000A7ADD" w:rsidRDefault="000A7ADD" w:rsidP="000A7ADD">
      <w:pPr>
        <w:rPr>
          <w:sz w:val="20"/>
        </w:rPr>
      </w:pPr>
      <w:proofErr w:type="spellStart"/>
      <w:r>
        <w:rPr>
          <w:sz w:val="20"/>
        </w:rPr>
        <w:t>Keker</w:t>
      </w:r>
      <w:proofErr w:type="spellEnd"/>
      <w:r>
        <w:rPr>
          <w:sz w:val="20"/>
        </w:rPr>
        <w:t xml:space="preserve"> &amp; Van Nest, </w:t>
      </w:r>
      <w:proofErr w:type="spellStart"/>
      <w:r>
        <w:rPr>
          <w:sz w:val="20"/>
        </w:rPr>
        <w:t>Keker</w:t>
      </w:r>
      <w:proofErr w:type="spellEnd"/>
      <w:r>
        <w:rPr>
          <w:sz w:val="20"/>
        </w:rPr>
        <w:t>, Van Nest &amp; Peters, Steven A. Hirsch, Steven P. Ragland, John C. Bostic; Snyder Miller &amp; Orton, Luther Orton and Maureen Green for Defendant and Respondent Davis Wright Tremaine LLP.</w:t>
      </w:r>
    </w:p>
    <w:p w:rsidR="000A7ADD" w:rsidRDefault="000A7ADD" w:rsidP="000A7ADD">
      <w:pPr>
        <w:rPr>
          <w:sz w:val="20"/>
        </w:rPr>
      </w:pPr>
    </w:p>
    <w:p w:rsidR="000A7ADD" w:rsidRDefault="000A7ADD" w:rsidP="000A7ADD">
      <w:pPr>
        <w:rPr>
          <w:sz w:val="20"/>
        </w:rPr>
      </w:pPr>
      <w:r>
        <w:rPr>
          <w:sz w:val="20"/>
        </w:rPr>
        <w:t xml:space="preserve">PMRK Law, Peter P. </w:t>
      </w:r>
      <w:proofErr w:type="spellStart"/>
      <w:r>
        <w:rPr>
          <w:sz w:val="20"/>
        </w:rPr>
        <w:t>Meringolo</w:t>
      </w:r>
      <w:proofErr w:type="spellEnd"/>
      <w:r>
        <w:rPr>
          <w:sz w:val="20"/>
        </w:rPr>
        <w:t>, Luther K. Orton; Snyder Miller &amp; Orton, James L. Miller, Luther Orton and Maureen Green</w:t>
      </w:r>
      <w:r w:rsidRPr="00EF51EA">
        <w:rPr>
          <w:sz w:val="20"/>
        </w:rPr>
        <w:t xml:space="preserve"> </w:t>
      </w:r>
      <w:r>
        <w:rPr>
          <w:sz w:val="20"/>
        </w:rPr>
        <w:t>Defendant and Respondent Foley &amp; Lardner LLP.</w:t>
      </w:r>
    </w:p>
    <w:p w:rsidR="000A7ADD" w:rsidRDefault="000A7ADD" w:rsidP="000A7ADD">
      <w:pPr>
        <w:rPr>
          <w:b/>
          <w:sz w:val="20"/>
        </w:rPr>
      </w:pPr>
    </w:p>
    <w:p w:rsidR="000A7ADD" w:rsidRDefault="000A7ADD" w:rsidP="000A7ADD">
      <w:pPr>
        <w:rPr>
          <w:sz w:val="20"/>
        </w:rPr>
      </w:pPr>
      <w:r>
        <w:rPr>
          <w:sz w:val="20"/>
        </w:rPr>
        <w:t xml:space="preserve">Jones Day, Robert A. </w:t>
      </w:r>
      <w:proofErr w:type="spellStart"/>
      <w:r>
        <w:rPr>
          <w:sz w:val="20"/>
        </w:rPr>
        <w:t>Mittelstaedt</w:t>
      </w:r>
      <w:proofErr w:type="spellEnd"/>
      <w:r>
        <w:rPr>
          <w:sz w:val="20"/>
        </w:rPr>
        <w:t xml:space="preserve">, Jason </w:t>
      </w:r>
      <w:proofErr w:type="spellStart"/>
      <w:r>
        <w:rPr>
          <w:sz w:val="20"/>
        </w:rPr>
        <w:t>McDonell</w:t>
      </w:r>
      <w:proofErr w:type="spellEnd"/>
      <w:r>
        <w:rPr>
          <w:sz w:val="20"/>
        </w:rPr>
        <w:t>, Nathaniel Garrett, Shay Dvoretzky and Emily J. Kennedy for Defendant and Respondent Jones Day.</w:t>
      </w:r>
    </w:p>
    <w:p w:rsidR="000A7ADD" w:rsidRDefault="000A7ADD" w:rsidP="000A7ADD">
      <w:pPr>
        <w:rPr>
          <w:sz w:val="20"/>
        </w:rPr>
      </w:pPr>
    </w:p>
    <w:p w:rsidR="000A7ADD" w:rsidRDefault="000A7ADD" w:rsidP="000A7ADD">
      <w:pPr>
        <w:rPr>
          <w:sz w:val="20"/>
        </w:rPr>
      </w:pPr>
      <w:proofErr w:type="spellStart"/>
      <w:r>
        <w:rPr>
          <w:sz w:val="20"/>
        </w:rPr>
        <w:t>Hinshaw</w:t>
      </w:r>
      <w:proofErr w:type="spellEnd"/>
      <w:r>
        <w:rPr>
          <w:sz w:val="20"/>
        </w:rPr>
        <w:t xml:space="preserve"> &amp; Culbertson, Anthony E. Davis, Cassidy E. </w:t>
      </w:r>
      <w:proofErr w:type="spellStart"/>
      <w:r>
        <w:rPr>
          <w:sz w:val="20"/>
        </w:rPr>
        <w:t>Chivers</w:t>
      </w:r>
      <w:proofErr w:type="spellEnd"/>
      <w:r>
        <w:rPr>
          <w:sz w:val="20"/>
        </w:rPr>
        <w:t xml:space="preserve"> and Joel D. </w:t>
      </w:r>
      <w:proofErr w:type="spellStart"/>
      <w:r>
        <w:rPr>
          <w:sz w:val="20"/>
        </w:rPr>
        <w:t>Bertocchi</w:t>
      </w:r>
      <w:proofErr w:type="spellEnd"/>
      <w:r>
        <w:rPr>
          <w:sz w:val="20"/>
        </w:rPr>
        <w:t xml:space="preserve"> for The Association of Professional Responsibility Lawyers as Amicus Curiae on behalf of Defendants and Respondents.</w:t>
      </w:r>
    </w:p>
    <w:p w:rsidR="000A7ADD" w:rsidRDefault="000A7ADD" w:rsidP="000A7ADD">
      <w:pPr>
        <w:rPr>
          <w:sz w:val="20"/>
        </w:rPr>
      </w:pPr>
    </w:p>
    <w:p w:rsidR="000A7ADD" w:rsidRDefault="000A7ADD" w:rsidP="000A7ADD">
      <w:pPr>
        <w:rPr>
          <w:sz w:val="20"/>
        </w:rPr>
      </w:pPr>
      <w:r>
        <w:rPr>
          <w:sz w:val="20"/>
        </w:rPr>
        <w:t xml:space="preserve">Morrison &amp; </w:t>
      </w:r>
      <w:proofErr w:type="spellStart"/>
      <w:r>
        <w:rPr>
          <w:sz w:val="20"/>
        </w:rPr>
        <w:t>Foerster</w:t>
      </w:r>
      <w:proofErr w:type="spellEnd"/>
      <w:r>
        <w:rPr>
          <w:sz w:val="20"/>
        </w:rPr>
        <w:t>, Douglas L. Hendricks, Larry Engel, Bradley S. Lui, Brett H. Miller, Erica J. Richards, James Sigel, Miriam A. Vogel and Brian R. Matsui for 32 National and International Law Firms as Amici Curiae on behalf of Defendants and Respondents.</w:t>
      </w:r>
    </w:p>
    <w:p w:rsidR="000A7ADD" w:rsidRDefault="000A7ADD" w:rsidP="000A7ADD">
      <w:pPr>
        <w:rPr>
          <w:sz w:val="20"/>
        </w:rPr>
      </w:pPr>
    </w:p>
    <w:p w:rsidR="000A7ADD" w:rsidRPr="00194FF1"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r>
        <w:rPr>
          <w:b/>
          <w:sz w:val="20"/>
        </w:rPr>
        <w:t>Page 2 – S236208 – counsel continued</w:t>
      </w:r>
    </w:p>
    <w:p w:rsidR="000A7ADD" w:rsidRDefault="000A7ADD" w:rsidP="000A7ADD">
      <w:pPr>
        <w:rPr>
          <w:b/>
          <w:sz w:val="20"/>
        </w:rPr>
      </w:pPr>
    </w:p>
    <w:p w:rsidR="000A7ADD" w:rsidRDefault="000A7ADD" w:rsidP="000A7ADD">
      <w:pPr>
        <w:rPr>
          <w:b/>
          <w:sz w:val="20"/>
        </w:rPr>
      </w:pPr>
      <w:r>
        <w:rPr>
          <w:b/>
          <w:sz w:val="20"/>
        </w:rPr>
        <w:t>Counsel:</w:t>
      </w:r>
    </w:p>
    <w:p w:rsidR="000A7ADD" w:rsidRDefault="000A7ADD" w:rsidP="000A7ADD">
      <w:pPr>
        <w:rPr>
          <w:b/>
          <w:sz w:val="20"/>
        </w:rPr>
      </w:pPr>
    </w:p>
    <w:p w:rsidR="000A7ADD" w:rsidRDefault="000A7ADD" w:rsidP="000A7ADD">
      <w:pPr>
        <w:rPr>
          <w:sz w:val="20"/>
        </w:rPr>
      </w:pPr>
      <w:r>
        <w:rPr>
          <w:sz w:val="20"/>
        </w:rPr>
        <w:t xml:space="preserve">Morgan Lewis &amp; </w:t>
      </w:r>
      <w:proofErr w:type="spellStart"/>
      <w:r>
        <w:rPr>
          <w:sz w:val="20"/>
        </w:rPr>
        <w:t>Bockius</w:t>
      </w:r>
      <w:proofErr w:type="spellEnd"/>
      <w:r>
        <w:rPr>
          <w:sz w:val="20"/>
        </w:rPr>
        <w:t xml:space="preserve">, Thomas M. Peterson and Deborah E. Quick for Professor Geoffrey C. Hazard, Jr., and Professor Richard </w:t>
      </w:r>
      <w:proofErr w:type="spellStart"/>
      <w:r>
        <w:rPr>
          <w:sz w:val="20"/>
        </w:rPr>
        <w:t>Zitrin</w:t>
      </w:r>
      <w:proofErr w:type="spellEnd"/>
      <w:r>
        <w:rPr>
          <w:sz w:val="20"/>
        </w:rPr>
        <w:t xml:space="preserve"> as Amici Curiae on behalf of Defendants and Respondents.</w:t>
      </w:r>
    </w:p>
    <w:p w:rsidR="000A7ADD" w:rsidRDefault="000A7ADD" w:rsidP="000A7ADD">
      <w:pPr>
        <w:rPr>
          <w:sz w:val="20"/>
        </w:rPr>
      </w:pPr>
    </w:p>
    <w:p w:rsidR="000A7ADD" w:rsidRDefault="000A7ADD" w:rsidP="000A7ADD">
      <w:pPr>
        <w:rPr>
          <w:sz w:val="20"/>
        </w:rPr>
      </w:pPr>
      <w:r>
        <w:rPr>
          <w:sz w:val="20"/>
        </w:rPr>
        <w:t xml:space="preserve">McDermott Will &amp; Emery, A. Marisa Chun; Taylor &amp; </w:t>
      </w:r>
      <w:proofErr w:type="spellStart"/>
      <w:r>
        <w:rPr>
          <w:sz w:val="20"/>
        </w:rPr>
        <w:t>Patchen</w:t>
      </w:r>
      <w:proofErr w:type="spellEnd"/>
      <w:r>
        <w:rPr>
          <w:sz w:val="20"/>
        </w:rPr>
        <w:t xml:space="preserve">, Taylor &amp; Company Law Offices, Stephen </w:t>
      </w:r>
      <w:proofErr w:type="spellStart"/>
      <w:r>
        <w:rPr>
          <w:sz w:val="20"/>
        </w:rPr>
        <w:t>McG</w:t>
      </w:r>
      <w:proofErr w:type="spellEnd"/>
      <w:proofErr w:type="gramStart"/>
      <w:r>
        <w:rPr>
          <w:sz w:val="20"/>
        </w:rPr>
        <w:t xml:space="preserve">. </w:t>
      </w:r>
      <w:proofErr w:type="gramEnd"/>
      <w:r>
        <w:rPr>
          <w:sz w:val="20"/>
        </w:rPr>
        <w:t>Bundy and Joshua R. Benson for The Bar Association of San Francisco and The Los Angeles County Bar Association as Amici Curiae on behalf of Defendants and Respondents.</w:t>
      </w:r>
    </w:p>
    <w:p w:rsidR="000A7ADD" w:rsidRDefault="000A7ADD" w:rsidP="000A7ADD">
      <w:pPr>
        <w:rPr>
          <w:sz w:val="20"/>
        </w:rPr>
      </w:pPr>
    </w:p>
    <w:p w:rsidR="000A7ADD" w:rsidRDefault="000A7ADD" w:rsidP="000A7ADD">
      <w:pPr>
        <w:rPr>
          <w:sz w:val="20"/>
        </w:rPr>
      </w:pPr>
      <w:r>
        <w:rPr>
          <w:sz w:val="20"/>
        </w:rPr>
        <w:t xml:space="preserve">Akin Gump Strauss </w:t>
      </w:r>
      <w:proofErr w:type="spellStart"/>
      <w:r>
        <w:rPr>
          <w:sz w:val="20"/>
        </w:rPr>
        <w:t>Hauer</w:t>
      </w:r>
      <w:proofErr w:type="spellEnd"/>
      <w:r>
        <w:rPr>
          <w:sz w:val="20"/>
        </w:rPr>
        <w:t xml:space="preserve"> &amp; Feld and Rex Henke for Professor John Morley</w:t>
      </w:r>
      <w:r w:rsidRPr="00194FF1">
        <w:rPr>
          <w:sz w:val="20"/>
        </w:rPr>
        <w:t xml:space="preserve"> </w:t>
      </w:r>
      <w:r>
        <w:rPr>
          <w:sz w:val="20"/>
        </w:rPr>
        <w:t>as Amicus Curiae on behalf of Defendants and Respondents.</w:t>
      </w:r>
    </w:p>
    <w:p w:rsidR="000A7ADD" w:rsidRDefault="000A7ADD" w:rsidP="000A7ADD">
      <w:pPr>
        <w:rPr>
          <w:sz w:val="20"/>
        </w:rPr>
      </w:pPr>
    </w:p>
    <w:p w:rsidR="000A7ADD" w:rsidRDefault="000A7ADD" w:rsidP="000A7ADD">
      <w:pPr>
        <w:rPr>
          <w:sz w:val="20"/>
        </w:rPr>
      </w:pPr>
      <w:r>
        <w:rPr>
          <w:sz w:val="20"/>
        </w:rPr>
        <w:t xml:space="preserve">William C. Hubbard, Linda A. Klein; Pillsbury Winthrop Shaw Pittman, Kevin M. Fong, David G. </w:t>
      </w:r>
      <w:proofErr w:type="spellStart"/>
      <w:r>
        <w:rPr>
          <w:sz w:val="20"/>
        </w:rPr>
        <w:t>Keyko</w:t>
      </w:r>
      <w:proofErr w:type="spellEnd"/>
      <w:r>
        <w:rPr>
          <w:sz w:val="20"/>
        </w:rPr>
        <w:t xml:space="preserve"> and Jay D. </w:t>
      </w:r>
      <w:proofErr w:type="spellStart"/>
      <w:r>
        <w:rPr>
          <w:sz w:val="20"/>
        </w:rPr>
        <w:t>Dealy</w:t>
      </w:r>
      <w:proofErr w:type="spellEnd"/>
      <w:r>
        <w:rPr>
          <w:sz w:val="20"/>
        </w:rPr>
        <w:t xml:space="preserve"> for American Bar Association as Amicus Curiae on behalf of Defendants and Respondents.</w:t>
      </w:r>
    </w:p>
    <w:p w:rsidR="000A7ADD" w:rsidRPr="00194FF1" w:rsidRDefault="000A7ADD" w:rsidP="000A7ADD">
      <w:pPr>
        <w:rPr>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r>
        <w:rPr>
          <w:b/>
          <w:sz w:val="20"/>
        </w:rPr>
        <w:br w:type="page"/>
      </w:r>
    </w:p>
    <w:p w:rsidR="000A7ADD" w:rsidRDefault="000A7ADD" w:rsidP="000A7ADD">
      <w:pPr>
        <w:rPr>
          <w:b/>
          <w:sz w:val="20"/>
        </w:rPr>
      </w:pPr>
    </w:p>
    <w:p w:rsidR="000A7ADD" w:rsidRDefault="000A7ADD" w:rsidP="000A7ADD">
      <w:pPr>
        <w:rPr>
          <w:b/>
          <w:sz w:val="20"/>
        </w:rPr>
      </w:pPr>
    </w:p>
    <w:p w:rsidR="000A7ADD" w:rsidRDefault="000A7ADD" w:rsidP="000A7ADD">
      <w:pPr>
        <w:rPr>
          <w:b/>
          <w:sz w:val="20"/>
        </w:rPr>
      </w:pPr>
    </w:p>
    <w:p w:rsidR="000A7ADD" w:rsidRDefault="000A7ADD" w:rsidP="000A7ADD">
      <w:pPr>
        <w:rPr>
          <w:b/>
          <w:sz w:val="20"/>
        </w:rPr>
      </w:pPr>
      <w:r>
        <w:rPr>
          <w:b/>
          <w:sz w:val="20"/>
        </w:rPr>
        <w:t>Counsel who argued in Supreme Court (not intended for publication with opinion):</w:t>
      </w:r>
    </w:p>
    <w:p w:rsidR="000A7ADD" w:rsidRDefault="000A7ADD" w:rsidP="000A7ADD">
      <w:pPr>
        <w:rPr>
          <w:b/>
          <w:sz w:val="20"/>
        </w:rPr>
      </w:pPr>
    </w:p>
    <w:p w:rsidR="000A7ADD" w:rsidRPr="000007B7" w:rsidRDefault="000A7ADD" w:rsidP="000A7ADD">
      <w:pPr>
        <w:rPr>
          <w:sz w:val="20"/>
        </w:rPr>
      </w:pPr>
      <w:r w:rsidRPr="000007B7">
        <w:rPr>
          <w:sz w:val="20"/>
        </w:rPr>
        <w:t>Christopher D. Sullivan</w:t>
      </w:r>
    </w:p>
    <w:p w:rsidR="000A7ADD" w:rsidRDefault="000A7ADD" w:rsidP="000A7ADD">
      <w:pPr>
        <w:rPr>
          <w:sz w:val="20"/>
        </w:rPr>
      </w:pPr>
      <w:r>
        <w:rPr>
          <w:sz w:val="20"/>
        </w:rPr>
        <w:t>Diamond McCarthy</w:t>
      </w:r>
    </w:p>
    <w:p w:rsidR="000A7ADD" w:rsidRDefault="000A7ADD" w:rsidP="000A7ADD">
      <w:pPr>
        <w:rPr>
          <w:sz w:val="20"/>
        </w:rPr>
      </w:pPr>
      <w:r>
        <w:rPr>
          <w:sz w:val="20"/>
        </w:rPr>
        <w:t>150 California Street, Suite 2200</w:t>
      </w:r>
    </w:p>
    <w:p w:rsidR="000A7ADD" w:rsidRDefault="000A7ADD" w:rsidP="000A7ADD">
      <w:pPr>
        <w:rPr>
          <w:sz w:val="20"/>
        </w:rPr>
      </w:pPr>
      <w:r>
        <w:rPr>
          <w:sz w:val="20"/>
        </w:rPr>
        <w:t>San Francisco, CA 94111</w:t>
      </w:r>
    </w:p>
    <w:p w:rsidR="000A7ADD" w:rsidRDefault="000A7ADD" w:rsidP="000A7ADD">
      <w:pPr>
        <w:rPr>
          <w:sz w:val="20"/>
        </w:rPr>
      </w:pPr>
      <w:r>
        <w:rPr>
          <w:sz w:val="20"/>
        </w:rPr>
        <w:t>(415) 692-5200</w:t>
      </w:r>
    </w:p>
    <w:p w:rsidR="000A7ADD" w:rsidRDefault="000A7ADD" w:rsidP="000A7ADD">
      <w:pPr>
        <w:rPr>
          <w:sz w:val="20"/>
        </w:rPr>
      </w:pPr>
    </w:p>
    <w:p w:rsidR="000A7ADD" w:rsidRPr="000007B7" w:rsidRDefault="000A7ADD" w:rsidP="000A7ADD">
      <w:pPr>
        <w:rPr>
          <w:sz w:val="20"/>
        </w:rPr>
      </w:pPr>
      <w:r w:rsidRPr="000007B7">
        <w:rPr>
          <w:sz w:val="20"/>
        </w:rPr>
        <w:t xml:space="preserve">Eric A. </w:t>
      </w:r>
      <w:proofErr w:type="spellStart"/>
      <w:r w:rsidRPr="000007B7">
        <w:rPr>
          <w:sz w:val="20"/>
        </w:rPr>
        <w:t>Shumsky</w:t>
      </w:r>
      <w:proofErr w:type="spellEnd"/>
    </w:p>
    <w:p w:rsidR="000A7ADD" w:rsidRPr="000007B7" w:rsidRDefault="000A7ADD" w:rsidP="000A7ADD">
      <w:pPr>
        <w:rPr>
          <w:sz w:val="20"/>
        </w:rPr>
      </w:pPr>
      <w:r w:rsidRPr="000007B7">
        <w:rPr>
          <w:sz w:val="20"/>
        </w:rPr>
        <w:t>Orrick, Herri</w:t>
      </w:r>
      <w:r>
        <w:rPr>
          <w:sz w:val="20"/>
        </w:rPr>
        <w:t>n</w:t>
      </w:r>
      <w:r w:rsidRPr="000007B7">
        <w:rPr>
          <w:sz w:val="20"/>
        </w:rPr>
        <w:t>gton &amp; Sutcliffe</w:t>
      </w:r>
      <w:r>
        <w:rPr>
          <w:sz w:val="20"/>
        </w:rPr>
        <w:t xml:space="preserve"> LLP</w:t>
      </w:r>
    </w:p>
    <w:p w:rsidR="000A7ADD" w:rsidRDefault="000A7ADD" w:rsidP="000A7ADD">
      <w:pPr>
        <w:rPr>
          <w:sz w:val="20"/>
        </w:rPr>
      </w:pPr>
      <w:r>
        <w:rPr>
          <w:sz w:val="20"/>
        </w:rPr>
        <w:t>1152 15th Street NW</w:t>
      </w:r>
    </w:p>
    <w:p w:rsidR="000A7ADD" w:rsidRDefault="000A7ADD" w:rsidP="000A7ADD">
      <w:pPr>
        <w:rPr>
          <w:sz w:val="20"/>
        </w:rPr>
      </w:pPr>
      <w:r>
        <w:rPr>
          <w:sz w:val="20"/>
        </w:rPr>
        <w:t>Washington, D.C.  20005</w:t>
      </w:r>
    </w:p>
    <w:p w:rsidR="000A7ADD" w:rsidRDefault="000A7ADD" w:rsidP="000A7ADD">
      <w:pPr>
        <w:rPr>
          <w:sz w:val="20"/>
        </w:rPr>
      </w:pPr>
      <w:r>
        <w:rPr>
          <w:sz w:val="20"/>
        </w:rPr>
        <w:t>(202) 339-8400</w:t>
      </w:r>
    </w:p>
    <w:p w:rsidR="000A7ADD" w:rsidRPr="000007B7" w:rsidRDefault="000A7ADD" w:rsidP="000A7ADD">
      <w:pPr>
        <w:rPr>
          <w:sz w:val="20"/>
        </w:rPr>
      </w:pPr>
    </w:p>
    <w:p w:rsidR="000A7ADD" w:rsidRPr="000007B7" w:rsidRDefault="000A7ADD" w:rsidP="000A7ADD">
      <w:pPr>
        <w:rPr>
          <w:sz w:val="20"/>
        </w:rPr>
      </w:pPr>
      <w:r w:rsidRPr="000007B7">
        <w:rPr>
          <w:sz w:val="20"/>
        </w:rPr>
        <w:t>Shay Dvoretzky</w:t>
      </w:r>
    </w:p>
    <w:p w:rsidR="000A7ADD" w:rsidRDefault="000A7ADD" w:rsidP="000A7ADD">
      <w:pPr>
        <w:rPr>
          <w:sz w:val="20"/>
        </w:rPr>
      </w:pPr>
      <w:r>
        <w:rPr>
          <w:sz w:val="20"/>
        </w:rPr>
        <w:t>Jones Day</w:t>
      </w:r>
    </w:p>
    <w:p w:rsidR="000A7ADD" w:rsidRDefault="000A7ADD" w:rsidP="000A7ADD">
      <w:pPr>
        <w:rPr>
          <w:sz w:val="20"/>
        </w:rPr>
      </w:pPr>
      <w:r>
        <w:rPr>
          <w:sz w:val="20"/>
        </w:rPr>
        <w:t>51 Louisiana Avenue NW</w:t>
      </w:r>
    </w:p>
    <w:p w:rsidR="000A7ADD" w:rsidRDefault="000A7ADD" w:rsidP="000A7ADD">
      <w:pPr>
        <w:rPr>
          <w:sz w:val="20"/>
        </w:rPr>
      </w:pPr>
      <w:r>
        <w:rPr>
          <w:sz w:val="20"/>
        </w:rPr>
        <w:t>Washington, D.C.  20001</w:t>
      </w:r>
    </w:p>
    <w:p w:rsidR="000A7ADD" w:rsidRDefault="000A7ADD" w:rsidP="000A7ADD">
      <w:pPr>
        <w:rPr>
          <w:sz w:val="20"/>
        </w:rPr>
      </w:pPr>
      <w:r>
        <w:rPr>
          <w:sz w:val="20"/>
        </w:rPr>
        <w:t>(202) 879-3939</w:t>
      </w:r>
    </w:p>
    <w:p w:rsidR="008E0B3B" w:rsidRPr="008E0B3B" w:rsidRDefault="000A7ADD" w:rsidP="000A7ADD">
      <w:pPr>
        <w:tabs>
          <w:tab w:val="left" w:pos="1440"/>
          <w:tab w:val="left" w:pos="1800"/>
        </w:tabs>
        <w:spacing w:line="240" w:lineRule="atLeast"/>
        <w:rPr>
          <w:sz w:val="24"/>
          <w:szCs w:val="24"/>
        </w:rPr>
      </w:pPr>
      <w:bookmarkStart w:id="9" w:name="_GoBack"/>
      <w:bookmarkEnd w:id="9"/>
    </w:p>
    <w:sectPr w:rsidR="008E0B3B" w:rsidRPr="008E0B3B">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7ADD">
      <w:r>
        <w:separator/>
      </w:r>
    </w:p>
  </w:endnote>
  <w:endnote w:type="continuationSeparator" w:id="0">
    <w:p w:rsidR="00000000" w:rsidRDefault="000A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altName w:val="Arial"/>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6D" w:rsidRDefault="000A7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20D" w:rsidRDefault="000A7ADD">
    <w:pPr>
      <w:pStyle w:val="Footer"/>
      <w:jc w:val="center"/>
    </w:pPr>
    <w:r>
      <w:fldChar w:fldCharType="begin"/>
    </w:r>
    <w:r>
      <w:instrText>PAGE</w:instrText>
    </w:r>
    <w:r>
      <w:fldChar w:fldCharType="separate"/>
    </w:r>
    <w:r>
      <w:rPr>
        <w:noProof/>
      </w:rPr>
      <w:t>20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6D" w:rsidRDefault="000A7A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9C" w:rsidRDefault="000A7A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9C" w:rsidRDefault="000A7A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9C" w:rsidRDefault="000A7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9A0" w:rsidRDefault="000A7ADD">
      <w:r>
        <w:separator/>
      </w:r>
    </w:p>
  </w:footnote>
  <w:footnote w:type="continuationSeparator" w:id="0">
    <w:p w:rsidR="002A49A0" w:rsidRDefault="000A7ADD">
      <w:pPr>
        <w:rPr>
          <w:sz w:val="22"/>
        </w:rPr>
      </w:pPr>
      <w:r>
        <w:continuationSeparator/>
      </w:r>
    </w:p>
    <w:p w:rsidR="002A49A0" w:rsidRDefault="000A7ADD">
      <w:pPr>
        <w:rPr>
          <w:sz w:val="20"/>
        </w:rPr>
      </w:pPr>
    </w:p>
    <w:p w:rsidR="002A49A0" w:rsidRDefault="000A7ADD">
      <w:pPr>
        <w:rPr>
          <w:i/>
          <w:sz w:val="20"/>
        </w:rPr>
      </w:pPr>
      <w:r>
        <w:rPr>
          <w:i/>
          <w:sz w:val="20"/>
        </w:rPr>
        <w:t>(footnote continued from previous page)</w:t>
      </w:r>
    </w:p>
    <w:p w:rsidR="002A49A0" w:rsidRDefault="000A7ADD">
      <w:pPr>
        <w:rPr>
          <w:sz w:val="22"/>
        </w:rPr>
      </w:pPr>
    </w:p>
  </w:footnote>
  <w:footnote w:type="continuationNotice" w:id="1">
    <w:p w:rsidR="002A49A0" w:rsidRDefault="000A7ADD">
      <w:pPr>
        <w:rPr>
          <w:i/>
          <w:sz w:val="22"/>
        </w:rPr>
      </w:pPr>
    </w:p>
    <w:p w:rsidR="002A49A0" w:rsidRDefault="000A7ADD">
      <w:pP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 w:id="2">
    <w:p w:rsidR="00C8020D" w:rsidRDefault="000A7ADD" w:rsidP="00900F07">
      <w:pPr>
        <w:pStyle w:val="FootnoteText"/>
      </w:pPr>
      <w:r>
        <w:rPr>
          <w:rStyle w:val="FootnoteReference"/>
        </w:rPr>
        <w:footnoteRef/>
      </w:r>
      <w:r>
        <w:t xml:space="preserve"> </w:t>
      </w:r>
      <w:r>
        <w:tab/>
      </w:r>
      <w:r>
        <w:rPr>
          <w:szCs w:val="26"/>
        </w:rPr>
        <w:t>“The cloud-</w:t>
      </w:r>
      <w:proofErr w:type="spellStart"/>
      <w:r>
        <w:rPr>
          <w:szCs w:val="26"/>
        </w:rPr>
        <w:t>capp’d</w:t>
      </w:r>
      <w:proofErr w:type="spellEnd"/>
      <w:r>
        <w:rPr>
          <w:szCs w:val="26"/>
        </w:rPr>
        <w:t xml:space="preserve"> towe</w:t>
      </w:r>
      <w:r w:rsidRPr="00A207BD">
        <w:rPr>
          <w:szCs w:val="26"/>
        </w:rPr>
        <w:t>rs, the gorgeous palaces,</w:t>
      </w:r>
      <w:r>
        <w:rPr>
          <w:szCs w:val="26"/>
        </w:rPr>
        <w:t xml:space="preserve"> / </w:t>
      </w:r>
      <w:r w:rsidRPr="00A207BD">
        <w:rPr>
          <w:szCs w:val="26"/>
        </w:rPr>
        <w:t>The solemn temples, the great globe itself,</w:t>
      </w:r>
      <w:r>
        <w:rPr>
          <w:szCs w:val="26"/>
        </w:rPr>
        <w:t xml:space="preserve"> / </w:t>
      </w:r>
      <w:r w:rsidRPr="00A207BD">
        <w:rPr>
          <w:szCs w:val="26"/>
        </w:rPr>
        <w:t xml:space="preserve">Yea, all which it </w:t>
      </w:r>
      <w:proofErr w:type="gramStart"/>
      <w:r w:rsidRPr="00A207BD">
        <w:rPr>
          <w:szCs w:val="26"/>
        </w:rPr>
        <w:t>inherit</w:t>
      </w:r>
      <w:proofErr w:type="gramEnd"/>
      <w:r w:rsidRPr="00A207BD">
        <w:rPr>
          <w:szCs w:val="26"/>
        </w:rPr>
        <w:t>, shall dissolve</w:t>
      </w:r>
      <w:r>
        <w:rPr>
          <w:szCs w:val="26"/>
        </w:rPr>
        <w:t xml:space="preserve">.”  (Shakespeare, </w:t>
      </w:r>
      <w:r w:rsidRPr="001B01B6">
        <w:rPr>
          <w:szCs w:val="26"/>
        </w:rPr>
        <w:t>The Tempest</w:t>
      </w:r>
      <w:r>
        <w:rPr>
          <w:szCs w:val="26"/>
        </w:rPr>
        <w:t>, act IV,</w:t>
      </w:r>
      <w:r>
        <w:rPr>
          <w:szCs w:val="26"/>
        </w:rPr>
        <w:t xml:space="preserve"> scene I, lines 152–154</w:t>
      </w:r>
      <w:r>
        <w:rPr>
          <w:szCs w:val="26"/>
        </w:rPr>
        <w:t xml:space="preserve">.)  </w:t>
      </w:r>
    </w:p>
  </w:footnote>
  <w:footnote w:id="3">
    <w:p w:rsidR="00C8020D" w:rsidRDefault="000A7ADD">
      <w:pPr>
        <w:pStyle w:val="FootnoteText"/>
      </w:pPr>
      <w:r>
        <w:rPr>
          <w:rStyle w:val="FootnoteReference"/>
        </w:rPr>
        <w:footnoteRef/>
      </w:r>
      <w:r>
        <w:t xml:space="preserve"> </w:t>
      </w:r>
      <w:r>
        <w:tab/>
        <w:t>The “conduct . . . of the partnership business” la</w:t>
      </w:r>
      <w:r>
        <w:t xml:space="preserve">nguage does not apply to a firm in </w:t>
      </w:r>
      <w:r>
        <w:t>dissolution, since such a firm is not conducting its business as usual.</w:t>
      </w:r>
      <w:r>
        <w:t xml:space="preserve">  (Corp. Code § 1604, subd</w:t>
      </w:r>
      <w:proofErr w:type="gramStart"/>
      <w:r>
        <w:t xml:space="preserve">. </w:t>
      </w:r>
      <w:proofErr w:type="gramEnd"/>
      <w:r>
        <w:t>(b)(1).)</w:t>
      </w:r>
    </w:p>
  </w:footnote>
  <w:footnote w:id="4">
    <w:p w:rsidR="00C8020D" w:rsidRPr="004E168A" w:rsidRDefault="000A7ADD" w:rsidP="00B231E7">
      <w:pPr>
        <w:pStyle w:val="FootnoteText"/>
      </w:pPr>
      <w:r>
        <w:rPr>
          <w:rStyle w:val="FootnoteReference"/>
        </w:rPr>
        <w:footnoteRef/>
      </w:r>
      <w:r>
        <w:t xml:space="preserve"> </w:t>
      </w:r>
      <w:r>
        <w:tab/>
        <w:t xml:space="preserve">We disapprove of </w:t>
      </w:r>
      <w:r>
        <w:rPr>
          <w:i/>
        </w:rPr>
        <w:t>Rothman</w:t>
      </w:r>
      <w:r>
        <w:rPr>
          <w:i/>
        </w:rPr>
        <w:t xml:space="preserve"> v. D</w:t>
      </w:r>
      <w:r>
        <w:rPr>
          <w:i/>
        </w:rPr>
        <w:t>olin</w:t>
      </w:r>
      <w:r>
        <w:t xml:space="preserve">, </w:t>
      </w:r>
      <w:r>
        <w:rPr>
          <w:i/>
        </w:rPr>
        <w:t>supra</w:t>
      </w:r>
      <w:r>
        <w:t>, 20 Cal.App.4th 755, to the extent that it conflicts with our analysis.</w:t>
      </w:r>
    </w:p>
  </w:footnote>
  <w:footnote w:id="5">
    <w:p w:rsidR="009137A1" w:rsidRPr="00D010B2" w:rsidRDefault="000A7ADD" w:rsidP="008E0B3B">
      <w:pPr>
        <w:rPr>
          <w:sz w:val="23"/>
          <w:szCs w:val="23"/>
        </w:rPr>
      </w:pPr>
      <w:r w:rsidRPr="00D010B2">
        <w:rPr>
          <w:rStyle w:val="FootnoteReference"/>
          <w:sz w:val="23"/>
          <w:szCs w:val="23"/>
        </w:rPr>
        <w:t>*</w:t>
      </w:r>
      <w:r w:rsidRPr="00D010B2">
        <w:rPr>
          <w:sz w:val="23"/>
          <w:szCs w:val="23"/>
        </w:rPr>
        <w:t xml:space="preserve"> </w:t>
      </w:r>
      <w:r w:rsidRPr="00D010B2">
        <w:rPr>
          <w:sz w:val="23"/>
          <w:szCs w:val="23"/>
        </w:rPr>
        <w:tab/>
        <w:t>Associate Justice of the Court of Appeal, Two Appellate District, Division Four, assigned by the Chief Justice pursuant to article VI, section 6 of the California Consti</w:t>
      </w:r>
      <w:r w:rsidRPr="00D010B2">
        <w:rPr>
          <w:sz w:val="23"/>
          <w:szCs w:val="23"/>
        </w:rPr>
        <w:t>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6D" w:rsidRDefault="000A7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6D" w:rsidRDefault="000A7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6D" w:rsidRDefault="000A7A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9C" w:rsidRDefault="000A7A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9C" w:rsidRDefault="000A7A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79C" w:rsidRDefault="000A7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57B4"/>
    <w:multiLevelType w:val="hybridMultilevel"/>
    <w:tmpl w:val="F7808CB0"/>
    <w:lvl w:ilvl="0" w:tplc="59E2C286">
      <w:start w:val="1"/>
      <w:numFmt w:val="decimal"/>
      <w:lvlText w:val="(%1)"/>
      <w:lvlJc w:val="left"/>
      <w:pPr>
        <w:ind w:left="720" w:hanging="360"/>
      </w:pPr>
      <w:rPr>
        <w:rFonts w:hint="default"/>
      </w:rPr>
    </w:lvl>
    <w:lvl w:ilvl="1" w:tplc="1F6E4340" w:tentative="1">
      <w:start w:val="1"/>
      <w:numFmt w:val="lowerLetter"/>
      <w:lvlText w:val="%2."/>
      <w:lvlJc w:val="left"/>
      <w:pPr>
        <w:ind w:left="1440" w:hanging="360"/>
      </w:pPr>
    </w:lvl>
    <w:lvl w:ilvl="2" w:tplc="4B1E18CC" w:tentative="1">
      <w:start w:val="1"/>
      <w:numFmt w:val="lowerRoman"/>
      <w:lvlText w:val="%3."/>
      <w:lvlJc w:val="right"/>
      <w:pPr>
        <w:ind w:left="2160" w:hanging="180"/>
      </w:pPr>
    </w:lvl>
    <w:lvl w:ilvl="3" w:tplc="A832314A" w:tentative="1">
      <w:start w:val="1"/>
      <w:numFmt w:val="decimal"/>
      <w:lvlText w:val="%4."/>
      <w:lvlJc w:val="left"/>
      <w:pPr>
        <w:ind w:left="2880" w:hanging="360"/>
      </w:pPr>
    </w:lvl>
    <w:lvl w:ilvl="4" w:tplc="2A32218E" w:tentative="1">
      <w:start w:val="1"/>
      <w:numFmt w:val="lowerLetter"/>
      <w:lvlText w:val="%5."/>
      <w:lvlJc w:val="left"/>
      <w:pPr>
        <w:ind w:left="3600" w:hanging="360"/>
      </w:pPr>
    </w:lvl>
    <w:lvl w:ilvl="5" w:tplc="B9E058A2" w:tentative="1">
      <w:start w:val="1"/>
      <w:numFmt w:val="lowerRoman"/>
      <w:lvlText w:val="%6."/>
      <w:lvlJc w:val="right"/>
      <w:pPr>
        <w:ind w:left="4320" w:hanging="180"/>
      </w:pPr>
    </w:lvl>
    <w:lvl w:ilvl="6" w:tplc="C69E3F96" w:tentative="1">
      <w:start w:val="1"/>
      <w:numFmt w:val="decimal"/>
      <w:lvlText w:val="%7."/>
      <w:lvlJc w:val="left"/>
      <w:pPr>
        <w:ind w:left="5040" w:hanging="360"/>
      </w:pPr>
    </w:lvl>
    <w:lvl w:ilvl="7" w:tplc="B4C20240" w:tentative="1">
      <w:start w:val="1"/>
      <w:numFmt w:val="lowerLetter"/>
      <w:lvlText w:val="%8."/>
      <w:lvlJc w:val="left"/>
      <w:pPr>
        <w:ind w:left="5760" w:hanging="360"/>
      </w:pPr>
    </w:lvl>
    <w:lvl w:ilvl="8" w:tplc="BDDAE060" w:tentative="1">
      <w:start w:val="1"/>
      <w:numFmt w:val="lowerRoman"/>
      <w:lvlText w:val="%9."/>
      <w:lvlJc w:val="right"/>
      <w:pPr>
        <w:ind w:left="6480" w:hanging="180"/>
      </w:pPr>
    </w:lvl>
  </w:abstractNum>
  <w:abstractNum w:abstractNumId="1" w15:restartNumberingAfterBreak="0">
    <w:nsid w:val="3146752E"/>
    <w:multiLevelType w:val="hybridMultilevel"/>
    <w:tmpl w:val="EE1E9E1A"/>
    <w:lvl w:ilvl="0" w:tplc="58AC4CF8">
      <w:start w:val="1"/>
      <w:numFmt w:val="decimal"/>
      <w:lvlText w:val="%1."/>
      <w:lvlJc w:val="left"/>
      <w:pPr>
        <w:ind w:left="1512" w:hanging="360"/>
      </w:pPr>
      <w:rPr>
        <w:rFonts w:hint="default"/>
      </w:rPr>
    </w:lvl>
    <w:lvl w:ilvl="1" w:tplc="1BF83F8A" w:tentative="1">
      <w:start w:val="1"/>
      <w:numFmt w:val="lowerLetter"/>
      <w:lvlText w:val="%2."/>
      <w:lvlJc w:val="left"/>
      <w:pPr>
        <w:ind w:left="2232" w:hanging="360"/>
      </w:pPr>
    </w:lvl>
    <w:lvl w:ilvl="2" w:tplc="008EBA60" w:tentative="1">
      <w:start w:val="1"/>
      <w:numFmt w:val="lowerRoman"/>
      <w:lvlText w:val="%3."/>
      <w:lvlJc w:val="right"/>
      <w:pPr>
        <w:ind w:left="2952" w:hanging="180"/>
      </w:pPr>
    </w:lvl>
    <w:lvl w:ilvl="3" w:tplc="9DA8DF4E" w:tentative="1">
      <w:start w:val="1"/>
      <w:numFmt w:val="decimal"/>
      <w:lvlText w:val="%4."/>
      <w:lvlJc w:val="left"/>
      <w:pPr>
        <w:ind w:left="3672" w:hanging="360"/>
      </w:pPr>
    </w:lvl>
    <w:lvl w:ilvl="4" w:tplc="74E6FFE2" w:tentative="1">
      <w:start w:val="1"/>
      <w:numFmt w:val="lowerLetter"/>
      <w:lvlText w:val="%5."/>
      <w:lvlJc w:val="left"/>
      <w:pPr>
        <w:ind w:left="4392" w:hanging="360"/>
      </w:pPr>
    </w:lvl>
    <w:lvl w:ilvl="5" w:tplc="13B09570" w:tentative="1">
      <w:start w:val="1"/>
      <w:numFmt w:val="lowerRoman"/>
      <w:lvlText w:val="%6."/>
      <w:lvlJc w:val="right"/>
      <w:pPr>
        <w:ind w:left="5112" w:hanging="180"/>
      </w:pPr>
    </w:lvl>
    <w:lvl w:ilvl="6" w:tplc="618815C2" w:tentative="1">
      <w:start w:val="1"/>
      <w:numFmt w:val="decimal"/>
      <w:lvlText w:val="%7."/>
      <w:lvlJc w:val="left"/>
      <w:pPr>
        <w:ind w:left="5832" w:hanging="360"/>
      </w:pPr>
    </w:lvl>
    <w:lvl w:ilvl="7" w:tplc="116CDB7C" w:tentative="1">
      <w:start w:val="1"/>
      <w:numFmt w:val="lowerLetter"/>
      <w:lvlText w:val="%8."/>
      <w:lvlJc w:val="left"/>
      <w:pPr>
        <w:ind w:left="6552" w:hanging="360"/>
      </w:pPr>
    </w:lvl>
    <w:lvl w:ilvl="8" w:tplc="E1A2B276" w:tentative="1">
      <w:start w:val="1"/>
      <w:numFmt w:val="lowerRoman"/>
      <w:lvlText w:val="%9."/>
      <w:lvlJc w:val="right"/>
      <w:pPr>
        <w:ind w:left="7272" w:hanging="180"/>
      </w:pPr>
    </w:lvl>
  </w:abstractNum>
  <w:abstractNum w:abstractNumId="2" w15:restartNumberingAfterBreak="0">
    <w:nsid w:val="49FA327D"/>
    <w:multiLevelType w:val="hybridMultilevel"/>
    <w:tmpl w:val="3FD05C1E"/>
    <w:lvl w:ilvl="0" w:tplc="C414C4C6">
      <w:start w:val="1"/>
      <w:numFmt w:val="decimal"/>
      <w:lvlText w:val="%1."/>
      <w:lvlJc w:val="left"/>
      <w:pPr>
        <w:ind w:left="1080" w:hanging="360"/>
      </w:pPr>
      <w:rPr>
        <w:rFonts w:hint="default"/>
      </w:rPr>
    </w:lvl>
    <w:lvl w:ilvl="1" w:tplc="54A6D876" w:tentative="1">
      <w:start w:val="1"/>
      <w:numFmt w:val="lowerLetter"/>
      <w:lvlText w:val="%2."/>
      <w:lvlJc w:val="left"/>
      <w:pPr>
        <w:ind w:left="1800" w:hanging="360"/>
      </w:pPr>
    </w:lvl>
    <w:lvl w:ilvl="2" w:tplc="E2660E90" w:tentative="1">
      <w:start w:val="1"/>
      <w:numFmt w:val="lowerRoman"/>
      <w:lvlText w:val="%3."/>
      <w:lvlJc w:val="right"/>
      <w:pPr>
        <w:ind w:left="2520" w:hanging="180"/>
      </w:pPr>
    </w:lvl>
    <w:lvl w:ilvl="3" w:tplc="1F92A1D8" w:tentative="1">
      <w:start w:val="1"/>
      <w:numFmt w:val="decimal"/>
      <w:lvlText w:val="%4."/>
      <w:lvlJc w:val="left"/>
      <w:pPr>
        <w:ind w:left="3240" w:hanging="360"/>
      </w:pPr>
    </w:lvl>
    <w:lvl w:ilvl="4" w:tplc="88C2F370" w:tentative="1">
      <w:start w:val="1"/>
      <w:numFmt w:val="lowerLetter"/>
      <w:lvlText w:val="%5."/>
      <w:lvlJc w:val="left"/>
      <w:pPr>
        <w:ind w:left="3960" w:hanging="360"/>
      </w:pPr>
    </w:lvl>
    <w:lvl w:ilvl="5" w:tplc="BE8CB9A2" w:tentative="1">
      <w:start w:val="1"/>
      <w:numFmt w:val="lowerRoman"/>
      <w:lvlText w:val="%6."/>
      <w:lvlJc w:val="right"/>
      <w:pPr>
        <w:ind w:left="4680" w:hanging="180"/>
      </w:pPr>
    </w:lvl>
    <w:lvl w:ilvl="6" w:tplc="FBE64C06" w:tentative="1">
      <w:start w:val="1"/>
      <w:numFmt w:val="decimal"/>
      <w:lvlText w:val="%7."/>
      <w:lvlJc w:val="left"/>
      <w:pPr>
        <w:ind w:left="5400" w:hanging="360"/>
      </w:pPr>
    </w:lvl>
    <w:lvl w:ilvl="7" w:tplc="ECF8980E" w:tentative="1">
      <w:start w:val="1"/>
      <w:numFmt w:val="lowerLetter"/>
      <w:lvlText w:val="%8."/>
      <w:lvlJc w:val="left"/>
      <w:pPr>
        <w:ind w:left="6120" w:hanging="360"/>
      </w:pPr>
    </w:lvl>
    <w:lvl w:ilvl="8" w:tplc="F7809516" w:tentative="1">
      <w:start w:val="1"/>
      <w:numFmt w:val="lowerRoman"/>
      <w:lvlText w:val="%9."/>
      <w:lvlJc w:val="right"/>
      <w:pPr>
        <w:ind w:left="6840" w:hanging="180"/>
      </w:pPr>
    </w:lvl>
  </w:abstractNum>
  <w:abstractNum w:abstractNumId="3" w15:restartNumberingAfterBreak="0">
    <w:nsid w:val="4FD02EE6"/>
    <w:multiLevelType w:val="hybridMultilevel"/>
    <w:tmpl w:val="EE1E9E1A"/>
    <w:lvl w:ilvl="0" w:tplc="603C62FC">
      <w:start w:val="1"/>
      <w:numFmt w:val="decimal"/>
      <w:lvlText w:val="%1."/>
      <w:lvlJc w:val="left"/>
      <w:pPr>
        <w:ind w:left="1512" w:hanging="360"/>
      </w:pPr>
      <w:rPr>
        <w:rFonts w:hint="default"/>
      </w:rPr>
    </w:lvl>
    <w:lvl w:ilvl="1" w:tplc="E934310C" w:tentative="1">
      <w:start w:val="1"/>
      <w:numFmt w:val="lowerLetter"/>
      <w:lvlText w:val="%2."/>
      <w:lvlJc w:val="left"/>
      <w:pPr>
        <w:ind w:left="2232" w:hanging="360"/>
      </w:pPr>
    </w:lvl>
    <w:lvl w:ilvl="2" w:tplc="FE409566" w:tentative="1">
      <w:start w:val="1"/>
      <w:numFmt w:val="lowerRoman"/>
      <w:lvlText w:val="%3."/>
      <w:lvlJc w:val="right"/>
      <w:pPr>
        <w:ind w:left="2952" w:hanging="180"/>
      </w:pPr>
    </w:lvl>
    <w:lvl w:ilvl="3" w:tplc="D5F6C99E" w:tentative="1">
      <w:start w:val="1"/>
      <w:numFmt w:val="decimal"/>
      <w:lvlText w:val="%4."/>
      <w:lvlJc w:val="left"/>
      <w:pPr>
        <w:ind w:left="3672" w:hanging="360"/>
      </w:pPr>
    </w:lvl>
    <w:lvl w:ilvl="4" w:tplc="49BE7B50" w:tentative="1">
      <w:start w:val="1"/>
      <w:numFmt w:val="lowerLetter"/>
      <w:lvlText w:val="%5."/>
      <w:lvlJc w:val="left"/>
      <w:pPr>
        <w:ind w:left="4392" w:hanging="360"/>
      </w:pPr>
    </w:lvl>
    <w:lvl w:ilvl="5" w:tplc="0C2EC550" w:tentative="1">
      <w:start w:val="1"/>
      <w:numFmt w:val="lowerRoman"/>
      <w:lvlText w:val="%6."/>
      <w:lvlJc w:val="right"/>
      <w:pPr>
        <w:ind w:left="5112" w:hanging="180"/>
      </w:pPr>
    </w:lvl>
    <w:lvl w:ilvl="6" w:tplc="1FC62EB4" w:tentative="1">
      <w:start w:val="1"/>
      <w:numFmt w:val="decimal"/>
      <w:lvlText w:val="%7."/>
      <w:lvlJc w:val="left"/>
      <w:pPr>
        <w:ind w:left="5832" w:hanging="360"/>
      </w:pPr>
    </w:lvl>
    <w:lvl w:ilvl="7" w:tplc="288E27FA" w:tentative="1">
      <w:start w:val="1"/>
      <w:numFmt w:val="lowerLetter"/>
      <w:lvlText w:val="%8."/>
      <w:lvlJc w:val="left"/>
      <w:pPr>
        <w:ind w:left="6552" w:hanging="360"/>
      </w:pPr>
    </w:lvl>
    <w:lvl w:ilvl="8" w:tplc="2FF67BEA" w:tentative="1">
      <w:start w:val="1"/>
      <w:numFmt w:val="lowerRoman"/>
      <w:lvlText w:val="%9."/>
      <w:lvlJc w:val="right"/>
      <w:pPr>
        <w:ind w:left="7272" w:hanging="180"/>
      </w:pPr>
    </w:lvl>
  </w:abstractNum>
  <w:abstractNum w:abstractNumId="4" w15:restartNumberingAfterBreak="0">
    <w:nsid w:val="523A45D4"/>
    <w:multiLevelType w:val="hybridMultilevel"/>
    <w:tmpl w:val="225C96BC"/>
    <w:lvl w:ilvl="0" w:tplc="14404C86">
      <w:start w:val="2"/>
      <w:numFmt w:val="decimal"/>
      <w:lvlText w:val="%1."/>
      <w:lvlJc w:val="left"/>
      <w:pPr>
        <w:ind w:left="720" w:hanging="360"/>
      </w:pPr>
      <w:rPr>
        <w:rFonts w:hint="default"/>
      </w:rPr>
    </w:lvl>
    <w:lvl w:ilvl="1" w:tplc="2B8E4336" w:tentative="1">
      <w:start w:val="1"/>
      <w:numFmt w:val="lowerLetter"/>
      <w:lvlText w:val="%2."/>
      <w:lvlJc w:val="left"/>
      <w:pPr>
        <w:ind w:left="1440" w:hanging="360"/>
      </w:pPr>
    </w:lvl>
    <w:lvl w:ilvl="2" w:tplc="F5FC82F4" w:tentative="1">
      <w:start w:val="1"/>
      <w:numFmt w:val="lowerRoman"/>
      <w:lvlText w:val="%3."/>
      <w:lvlJc w:val="right"/>
      <w:pPr>
        <w:ind w:left="2160" w:hanging="180"/>
      </w:pPr>
    </w:lvl>
    <w:lvl w:ilvl="3" w:tplc="39C471D6" w:tentative="1">
      <w:start w:val="1"/>
      <w:numFmt w:val="decimal"/>
      <w:lvlText w:val="%4."/>
      <w:lvlJc w:val="left"/>
      <w:pPr>
        <w:ind w:left="2880" w:hanging="360"/>
      </w:pPr>
    </w:lvl>
    <w:lvl w:ilvl="4" w:tplc="AFA6024E" w:tentative="1">
      <w:start w:val="1"/>
      <w:numFmt w:val="lowerLetter"/>
      <w:lvlText w:val="%5."/>
      <w:lvlJc w:val="left"/>
      <w:pPr>
        <w:ind w:left="3600" w:hanging="360"/>
      </w:pPr>
    </w:lvl>
    <w:lvl w:ilvl="5" w:tplc="CFF45EDE" w:tentative="1">
      <w:start w:val="1"/>
      <w:numFmt w:val="lowerRoman"/>
      <w:lvlText w:val="%6."/>
      <w:lvlJc w:val="right"/>
      <w:pPr>
        <w:ind w:left="4320" w:hanging="180"/>
      </w:pPr>
    </w:lvl>
    <w:lvl w:ilvl="6" w:tplc="E0C22034" w:tentative="1">
      <w:start w:val="1"/>
      <w:numFmt w:val="decimal"/>
      <w:lvlText w:val="%7."/>
      <w:lvlJc w:val="left"/>
      <w:pPr>
        <w:ind w:left="5040" w:hanging="360"/>
      </w:pPr>
    </w:lvl>
    <w:lvl w:ilvl="7" w:tplc="C4D484C8" w:tentative="1">
      <w:start w:val="1"/>
      <w:numFmt w:val="lowerLetter"/>
      <w:lvlText w:val="%8."/>
      <w:lvlJc w:val="left"/>
      <w:pPr>
        <w:ind w:left="5760" w:hanging="360"/>
      </w:pPr>
    </w:lvl>
    <w:lvl w:ilvl="8" w:tplc="5FC4448E" w:tentative="1">
      <w:start w:val="1"/>
      <w:numFmt w:val="lowerRoman"/>
      <w:lvlText w:val="%9."/>
      <w:lvlJc w:val="right"/>
      <w:pPr>
        <w:ind w:left="6480" w:hanging="180"/>
      </w:pPr>
    </w:lvl>
  </w:abstractNum>
  <w:abstractNum w:abstractNumId="5" w15:restartNumberingAfterBreak="0">
    <w:nsid w:val="627C7AE0"/>
    <w:multiLevelType w:val="hybridMultilevel"/>
    <w:tmpl w:val="237836F0"/>
    <w:lvl w:ilvl="0" w:tplc="080889BE">
      <w:start w:val="3"/>
      <w:numFmt w:val="decimal"/>
      <w:lvlText w:val="%1."/>
      <w:lvlJc w:val="left"/>
      <w:pPr>
        <w:ind w:left="720" w:hanging="360"/>
      </w:pPr>
      <w:rPr>
        <w:rFonts w:hint="default"/>
        <w:i/>
      </w:rPr>
    </w:lvl>
    <w:lvl w:ilvl="1" w:tplc="BB7C0360" w:tentative="1">
      <w:start w:val="1"/>
      <w:numFmt w:val="lowerLetter"/>
      <w:lvlText w:val="%2."/>
      <w:lvlJc w:val="left"/>
      <w:pPr>
        <w:ind w:left="1440" w:hanging="360"/>
      </w:pPr>
    </w:lvl>
    <w:lvl w:ilvl="2" w:tplc="FAB8EBAC" w:tentative="1">
      <w:start w:val="1"/>
      <w:numFmt w:val="lowerRoman"/>
      <w:lvlText w:val="%3."/>
      <w:lvlJc w:val="right"/>
      <w:pPr>
        <w:ind w:left="2160" w:hanging="180"/>
      </w:pPr>
    </w:lvl>
    <w:lvl w:ilvl="3" w:tplc="B79C888C" w:tentative="1">
      <w:start w:val="1"/>
      <w:numFmt w:val="decimal"/>
      <w:lvlText w:val="%4."/>
      <w:lvlJc w:val="left"/>
      <w:pPr>
        <w:ind w:left="2880" w:hanging="360"/>
      </w:pPr>
    </w:lvl>
    <w:lvl w:ilvl="4" w:tplc="CE144D6E" w:tentative="1">
      <w:start w:val="1"/>
      <w:numFmt w:val="lowerLetter"/>
      <w:lvlText w:val="%5."/>
      <w:lvlJc w:val="left"/>
      <w:pPr>
        <w:ind w:left="3600" w:hanging="360"/>
      </w:pPr>
    </w:lvl>
    <w:lvl w:ilvl="5" w:tplc="CE506D28" w:tentative="1">
      <w:start w:val="1"/>
      <w:numFmt w:val="lowerRoman"/>
      <w:lvlText w:val="%6."/>
      <w:lvlJc w:val="right"/>
      <w:pPr>
        <w:ind w:left="4320" w:hanging="180"/>
      </w:pPr>
    </w:lvl>
    <w:lvl w:ilvl="6" w:tplc="0AD274A0" w:tentative="1">
      <w:start w:val="1"/>
      <w:numFmt w:val="decimal"/>
      <w:lvlText w:val="%7."/>
      <w:lvlJc w:val="left"/>
      <w:pPr>
        <w:ind w:left="5040" w:hanging="360"/>
      </w:pPr>
    </w:lvl>
    <w:lvl w:ilvl="7" w:tplc="8830318E" w:tentative="1">
      <w:start w:val="1"/>
      <w:numFmt w:val="lowerLetter"/>
      <w:lvlText w:val="%8."/>
      <w:lvlJc w:val="left"/>
      <w:pPr>
        <w:ind w:left="5760" w:hanging="360"/>
      </w:pPr>
    </w:lvl>
    <w:lvl w:ilvl="8" w:tplc="6C4AEA62" w:tentative="1">
      <w:start w:val="1"/>
      <w:numFmt w:val="lowerRoman"/>
      <w:lvlText w:val="%9."/>
      <w:lvlJc w:val="right"/>
      <w:pPr>
        <w:ind w:left="6480" w:hanging="180"/>
      </w:pPr>
    </w:lvl>
  </w:abstractNum>
  <w:abstractNum w:abstractNumId="6" w15:restartNumberingAfterBreak="0">
    <w:nsid w:val="75A87089"/>
    <w:multiLevelType w:val="hybridMultilevel"/>
    <w:tmpl w:val="E94EF6C6"/>
    <w:lvl w:ilvl="0" w:tplc="6670705E">
      <w:start w:val="1"/>
      <w:numFmt w:val="decimal"/>
      <w:lvlText w:val="%1."/>
      <w:lvlJc w:val="left"/>
      <w:pPr>
        <w:ind w:left="1080" w:hanging="360"/>
      </w:pPr>
      <w:rPr>
        <w:rFonts w:hint="default"/>
        <w:i/>
      </w:rPr>
    </w:lvl>
    <w:lvl w:ilvl="1" w:tplc="3CF015C8" w:tentative="1">
      <w:start w:val="1"/>
      <w:numFmt w:val="lowerLetter"/>
      <w:lvlText w:val="%2."/>
      <w:lvlJc w:val="left"/>
      <w:pPr>
        <w:ind w:left="1800" w:hanging="360"/>
      </w:pPr>
    </w:lvl>
    <w:lvl w:ilvl="2" w:tplc="D7DCA70C" w:tentative="1">
      <w:start w:val="1"/>
      <w:numFmt w:val="lowerRoman"/>
      <w:lvlText w:val="%3."/>
      <w:lvlJc w:val="right"/>
      <w:pPr>
        <w:ind w:left="2520" w:hanging="180"/>
      </w:pPr>
    </w:lvl>
    <w:lvl w:ilvl="3" w:tplc="E8300AB4" w:tentative="1">
      <w:start w:val="1"/>
      <w:numFmt w:val="decimal"/>
      <w:lvlText w:val="%4."/>
      <w:lvlJc w:val="left"/>
      <w:pPr>
        <w:ind w:left="3240" w:hanging="360"/>
      </w:pPr>
    </w:lvl>
    <w:lvl w:ilvl="4" w:tplc="1E9CABDA" w:tentative="1">
      <w:start w:val="1"/>
      <w:numFmt w:val="lowerLetter"/>
      <w:lvlText w:val="%5."/>
      <w:lvlJc w:val="left"/>
      <w:pPr>
        <w:ind w:left="3960" w:hanging="360"/>
      </w:pPr>
    </w:lvl>
    <w:lvl w:ilvl="5" w:tplc="3A24DA58" w:tentative="1">
      <w:start w:val="1"/>
      <w:numFmt w:val="lowerRoman"/>
      <w:lvlText w:val="%6."/>
      <w:lvlJc w:val="right"/>
      <w:pPr>
        <w:ind w:left="4680" w:hanging="180"/>
      </w:pPr>
    </w:lvl>
    <w:lvl w:ilvl="6" w:tplc="1116EB6E" w:tentative="1">
      <w:start w:val="1"/>
      <w:numFmt w:val="decimal"/>
      <w:lvlText w:val="%7."/>
      <w:lvlJc w:val="left"/>
      <w:pPr>
        <w:ind w:left="5400" w:hanging="360"/>
      </w:pPr>
    </w:lvl>
    <w:lvl w:ilvl="7" w:tplc="8AE89038" w:tentative="1">
      <w:start w:val="1"/>
      <w:numFmt w:val="lowerLetter"/>
      <w:lvlText w:val="%8."/>
      <w:lvlJc w:val="left"/>
      <w:pPr>
        <w:ind w:left="6120" w:hanging="360"/>
      </w:pPr>
    </w:lvl>
    <w:lvl w:ilvl="8" w:tplc="5E4273DC"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43"/>
    <w:rsid w:val="000A7ADD"/>
    <w:rsid w:val="00CF474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2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b/>
      <w:position w:val="6"/>
      <w:sz w:val="20"/>
    </w:rPr>
  </w:style>
  <w:style w:type="paragraph" w:styleId="FootnoteText">
    <w:name w:val="footnote text"/>
    <w:basedOn w:val="Normal"/>
    <w:semiHidden/>
  </w:style>
  <w:style w:type="paragraph" w:customStyle="1" w:styleId="Title1">
    <w:name w:val="Title1"/>
    <w:basedOn w:val="Normal"/>
    <w:pPr>
      <w:tabs>
        <w:tab w:val="left" w:pos="5760"/>
        <w:tab w:val="left" w:pos="6480"/>
      </w:tabs>
      <w:spacing w:line="240" w:lineRule="atLeast"/>
    </w:pPr>
  </w:style>
  <w:style w:type="paragraph" w:customStyle="1" w:styleId="Recommend">
    <w:name w:val="Recommend"/>
    <w:basedOn w:val="Normal"/>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styleId="Date">
    <w:name w:val="Date"/>
    <w:basedOn w:val="Normal"/>
    <w:semiHidden/>
    <w:pPr>
      <w:jc w:val="right"/>
    </w:pPr>
  </w:style>
  <w:style w:type="character" w:styleId="PageNumber">
    <w:name w:val="page number"/>
    <w:basedOn w:val="DefaultParagraphFont"/>
    <w:semiHidden/>
  </w:style>
  <w:style w:type="paragraph" w:customStyle="1" w:styleId="subject">
    <w:name w:val="subject"/>
    <w:basedOn w:val="Normal"/>
    <w:pPr>
      <w:tabs>
        <w:tab w:val="left" w:pos="1008"/>
      </w:tabs>
      <w:ind w:left="990" w:hanging="990"/>
    </w:pPr>
    <w:rPr>
      <w:b/>
    </w:r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paragraph" w:styleId="BalloonText">
    <w:name w:val="Balloon Text"/>
    <w:basedOn w:val="Normal"/>
    <w:link w:val="BalloonTextChar"/>
    <w:uiPriority w:val="99"/>
    <w:semiHidden/>
    <w:unhideWhenUsed/>
    <w:rsid w:val="00220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8C7"/>
    <w:rPr>
      <w:rFonts w:ascii="Segoe UI" w:hAnsi="Segoe UI" w:cs="Segoe UI"/>
      <w:sz w:val="18"/>
      <w:szCs w:val="18"/>
    </w:rPr>
  </w:style>
  <w:style w:type="character" w:styleId="CommentReference">
    <w:name w:val="annotation reference"/>
    <w:basedOn w:val="DefaultParagraphFont"/>
    <w:uiPriority w:val="99"/>
    <w:semiHidden/>
    <w:unhideWhenUsed/>
    <w:rsid w:val="00FF2646"/>
    <w:rPr>
      <w:sz w:val="16"/>
      <w:szCs w:val="16"/>
    </w:rPr>
  </w:style>
  <w:style w:type="paragraph" w:styleId="CommentText">
    <w:name w:val="annotation text"/>
    <w:basedOn w:val="Normal"/>
    <w:link w:val="CommentTextChar"/>
    <w:uiPriority w:val="99"/>
    <w:semiHidden/>
    <w:unhideWhenUsed/>
    <w:rsid w:val="00FF2646"/>
    <w:rPr>
      <w:sz w:val="20"/>
    </w:rPr>
  </w:style>
  <w:style w:type="character" w:customStyle="1" w:styleId="CommentTextChar">
    <w:name w:val="Comment Text Char"/>
    <w:basedOn w:val="DefaultParagraphFont"/>
    <w:link w:val="CommentText"/>
    <w:uiPriority w:val="99"/>
    <w:semiHidden/>
    <w:rsid w:val="00FF2646"/>
  </w:style>
  <w:style w:type="paragraph" w:styleId="CommentSubject">
    <w:name w:val="annotation subject"/>
    <w:basedOn w:val="CommentText"/>
    <w:next w:val="CommentText"/>
    <w:link w:val="CommentSubjectChar"/>
    <w:uiPriority w:val="99"/>
    <w:semiHidden/>
    <w:unhideWhenUsed/>
    <w:rsid w:val="00FF2646"/>
    <w:rPr>
      <w:b/>
      <w:bCs/>
    </w:rPr>
  </w:style>
  <w:style w:type="character" w:customStyle="1" w:styleId="CommentSubjectChar">
    <w:name w:val="Comment Subject Char"/>
    <w:basedOn w:val="CommentTextChar"/>
    <w:link w:val="CommentSubject"/>
    <w:uiPriority w:val="99"/>
    <w:semiHidden/>
    <w:rsid w:val="00FF2646"/>
    <w:rPr>
      <w:b/>
      <w:bCs/>
    </w:rPr>
  </w:style>
  <w:style w:type="paragraph" w:styleId="Revision">
    <w:name w:val="Revision"/>
    <w:hidden/>
    <w:uiPriority w:val="99"/>
    <w:semiHidden/>
    <w:rsid w:val="00EC7174"/>
    <w:rPr>
      <w:sz w:val="26"/>
    </w:rPr>
  </w:style>
  <w:style w:type="paragraph" w:styleId="ListParagraph">
    <w:name w:val="List Paragraph"/>
    <w:basedOn w:val="Normal"/>
    <w:uiPriority w:val="34"/>
    <w:qFormat/>
    <w:rsid w:val="0040740A"/>
    <w:pPr>
      <w:ind w:left="720"/>
      <w:contextualSpacing/>
    </w:pPr>
  </w:style>
  <w:style w:type="character" w:customStyle="1" w:styleId="HeaderChar">
    <w:name w:val="Header Char"/>
    <w:basedOn w:val="DefaultParagraphFont"/>
    <w:link w:val="Header"/>
    <w:rsid w:val="000A7ADD"/>
    <w:rPr>
      <w:sz w:val="26"/>
    </w:rPr>
  </w:style>
  <w:style w:type="character" w:customStyle="1" w:styleId="FooterChar">
    <w:name w:val="Footer Char"/>
    <w:basedOn w:val="DefaultParagraphFont"/>
    <w:link w:val="Footer"/>
    <w:rsid w:val="000A7ADD"/>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6572</Words>
  <Characters>35014</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Yellow memorandum template</vt:lpstr>
    </vt:vector>
  </TitlesOfParts>
  <Company/>
  <LinksUpToDate>false</LinksUpToDate>
  <CharactersWithSpaces>41503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2018-03-02T17:55:00Z</dcterms:created>
  <dcterms:modified xsi:type="dcterms:W3CDTF">2018-03-02T17:56:00Z</dcterms:modified>
</cp:coreProperties>
</file>