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06F" w:rsidRPr="00242A4B" w:rsidRDefault="00242A4B">
      <w:pPr>
        <w:rPr>
          <w:sz w:val="20"/>
        </w:rPr>
      </w:pPr>
      <w:r>
        <w:rPr>
          <w:sz w:val="20"/>
        </w:rPr>
        <w:t>Filed 2/1/18</w:t>
      </w:r>
    </w:p>
    <w:p w:rsidR="00D9006F" w:rsidRDefault="00F83D06">
      <w:pPr>
        <w:jc w:val="center"/>
      </w:pPr>
    </w:p>
    <w:p w:rsidR="00D9006F" w:rsidRDefault="00F83D06">
      <w:pPr>
        <w:jc w:val="center"/>
      </w:pPr>
    </w:p>
    <w:p w:rsidR="00D9006F" w:rsidRDefault="00F83D06">
      <w:pPr>
        <w:jc w:val="center"/>
      </w:pPr>
    </w:p>
    <w:p w:rsidR="00D9006F" w:rsidRDefault="00F83D06">
      <w:pPr>
        <w:jc w:val="center"/>
        <w:rPr>
          <w:sz w:val="36"/>
        </w:rPr>
      </w:pPr>
      <w:r>
        <w:rPr>
          <w:b/>
          <w:sz w:val="36"/>
        </w:rPr>
        <w:t>IN THE SUPREME COURT OF CALIFORNIA</w:t>
      </w:r>
    </w:p>
    <w:p w:rsidR="00D9006F" w:rsidRDefault="00F83D06">
      <w:pPr>
        <w:jc w:val="center"/>
      </w:pPr>
    </w:p>
    <w:p w:rsidR="00D9006F" w:rsidRDefault="00F83D06">
      <w:pPr>
        <w:jc w:val="center"/>
      </w:pPr>
    </w:p>
    <w:p w:rsidR="00D9006F" w:rsidRDefault="00F83D06">
      <w:pPr>
        <w:jc w:val="center"/>
      </w:pPr>
    </w:p>
    <w:p w:rsidR="00D9006F" w:rsidRDefault="00F83D06">
      <w:pPr>
        <w:tabs>
          <w:tab w:val="left" w:pos="4680"/>
          <w:tab w:val="center" w:pos="7200"/>
        </w:tabs>
        <w:spacing w:line="240" w:lineRule="atLeast"/>
      </w:pPr>
      <w:bookmarkStart w:id="0" w:name="plaintiff"/>
      <w:bookmarkEnd w:id="0"/>
      <w:r>
        <w:t>THE PEOPLE</w:t>
      </w:r>
      <w:r>
        <w:t>,</w:t>
      </w:r>
      <w:r>
        <w:tab/>
        <w:t>)</w:t>
      </w:r>
    </w:p>
    <w:p w:rsidR="00D9006F" w:rsidRDefault="00F83D06">
      <w:pPr>
        <w:tabs>
          <w:tab w:val="left" w:pos="1440"/>
          <w:tab w:val="left" w:pos="4680"/>
          <w:tab w:val="center" w:pos="7200"/>
        </w:tabs>
        <w:spacing w:line="240" w:lineRule="atLeast"/>
      </w:pPr>
      <w:r>
        <w:tab/>
      </w:r>
      <w:r>
        <w:tab/>
        <w:t>)</w:t>
      </w:r>
    </w:p>
    <w:p w:rsidR="00D9006F" w:rsidRDefault="00F83D06">
      <w:pPr>
        <w:tabs>
          <w:tab w:val="left" w:pos="1440"/>
          <w:tab w:val="left" w:pos="4680"/>
          <w:tab w:val="center" w:pos="7200"/>
        </w:tabs>
        <w:spacing w:line="240" w:lineRule="atLeast"/>
      </w:pPr>
      <w:r>
        <w:tab/>
      </w:r>
      <w:bookmarkStart w:id="1" w:name="LD"/>
      <w:bookmarkEnd w:id="1"/>
      <w:r>
        <w:t>Plaintiff and Respondent,</w:t>
      </w:r>
      <w:r>
        <w:tab/>
        <w:t>)</w:t>
      </w:r>
    </w:p>
    <w:p w:rsidR="00D9006F" w:rsidRDefault="00F83D06">
      <w:pPr>
        <w:tabs>
          <w:tab w:val="left" w:pos="1440"/>
          <w:tab w:val="left" w:pos="4680"/>
          <w:tab w:val="center" w:pos="7200"/>
        </w:tabs>
        <w:spacing w:line="240" w:lineRule="atLeast"/>
      </w:pPr>
      <w:r>
        <w:tab/>
      </w:r>
      <w:r>
        <w:tab/>
        <w:t>)</w:t>
      </w:r>
      <w:r>
        <w:tab/>
        <w:t>S</w:t>
      </w:r>
      <w:bookmarkStart w:id="2" w:name="casenum"/>
      <w:bookmarkEnd w:id="2"/>
      <w:r>
        <w:t>237374</w:t>
      </w:r>
    </w:p>
    <w:p w:rsidR="00D9006F" w:rsidRDefault="00F83D06">
      <w:pPr>
        <w:tabs>
          <w:tab w:val="left" w:pos="1440"/>
          <w:tab w:val="left" w:pos="4680"/>
          <w:tab w:val="center" w:pos="7200"/>
        </w:tabs>
        <w:spacing w:line="240" w:lineRule="atLeast"/>
      </w:pPr>
      <w:r>
        <w:tab/>
        <w:t>v.</w:t>
      </w:r>
      <w:r>
        <w:tab/>
        <w:t>)</w:t>
      </w:r>
    </w:p>
    <w:p w:rsidR="00D9006F" w:rsidRDefault="00F83D06">
      <w:pPr>
        <w:tabs>
          <w:tab w:val="left" w:pos="1440"/>
          <w:tab w:val="left" w:pos="4680"/>
          <w:tab w:val="center" w:pos="7200"/>
        </w:tabs>
        <w:spacing w:line="240" w:lineRule="atLeast"/>
      </w:pPr>
      <w:r>
        <w:tab/>
      </w:r>
      <w:r>
        <w:tab/>
        <w:t>)</w:t>
      </w:r>
      <w:r>
        <w:tab/>
      </w:r>
      <w:bookmarkStart w:id="3" w:name="appealnum"/>
      <w:bookmarkEnd w:id="3"/>
      <w:r>
        <w:t>Ct.App. 1/</w:t>
      </w:r>
      <w:r>
        <w:t>1</w:t>
      </w:r>
      <w:r>
        <w:t xml:space="preserve"> A144196</w:t>
      </w:r>
    </w:p>
    <w:p w:rsidR="00D9006F" w:rsidRDefault="00F83D06">
      <w:pPr>
        <w:tabs>
          <w:tab w:val="left" w:pos="4680"/>
          <w:tab w:val="center" w:pos="7200"/>
        </w:tabs>
        <w:spacing w:line="240" w:lineRule="atLeast"/>
      </w:pPr>
      <w:bookmarkStart w:id="4" w:name="defendant"/>
      <w:bookmarkEnd w:id="4"/>
      <w:r>
        <w:t>JODY CHATMAN</w:t>
      </w:r>
      <w:r>
        <w:t>,</w:t>
      </w:r>
      <w:r>
        <w:tab/>
        <w:t>)</w:t>
      </w:r>
    </w:p>
    <w:p w:rsidR="00D9006F" w:rsidRDefault="00F83D06">
      <w:pPr>
        <w:tabs>
          <w:tab w:val="left" w:pos="4680"/>
          <w:tab w:val="center" w:pos="7200"/>
        </w:tabs>
        <w:spacing w:line="240" w:lineRule="atLeast"/>
      </w:pPr>
      <w:r>
        <w:tab/>
        <w:t>)</w:t>
      </w:r>
      <w:r>
        <w:tab/>
      </w:r>
      <w:bookmarkStart w:id="5" w:name="county"/>
      <w:bookmarkEnd w:id="5"/>
      <w:r>
        <w:t>Alameda</w:t>
      </w:r>
      <w:r>
        <w:t xml:space="preserve"> County</w:t>
      </w:r>
    </w:p>
    <w:p w:rsidR="00D9006F" w:rsidRDefault="00F83D06">
      <w:pPr>
        <w:tabs>
          <w:tab w:val="left" w:pos="1440"/>
          <w:tab w:val="left" w:pos="4680"/>
          <w:tab w:val="center" w:pos="7200"/>
        </w:tabs>
        <w:spacing w:line="240" w:lineRule="atLeast"/>
      </w:pPr>
      <w:r>
        <w:tab/>
      </w:r>
      <w:bookmarkStart w:id="6" w:name="VD"/>
      <w:bookmarkEnd w:id="6"/>
      <w:r>
        <w:t>Defendant and Appellant.</w:t>
      </w:r>
      <w:r>
        <w:tab/>
        <w:t>)</w:t>
      </w:r>
      <w:r>
        <w:tab/>
      </w:r>
      <w:bookmarkStart w:id="7" w:name="supernum"/>
      <w:bookmarkEnd w:id="7"/>
      <w:r>
        <w:t>Super. Ct. No. 140542</w:t>
      </w:r>
    </w:p>
    <w:p w:rsidR="00D9006F" w:rsidRDefault="00F83D06">
      <w:pPr>
        <w:tabs>
          <w:tab w:val="left" w:leader="underscore" w:pos="4680"/>
        </w:tabs>
        <w:spacing w:line="240" w:lineRule="atLeast"/>
        <w:rPr>
          <w:u w:val="single"/>
        </w:rPr>
      </w:pPr>
      <w:r>
        <w:tab/>
        <w:t>)</w:t>
      </w:r>
    </w:p>
    <w:p w:rsidR="00D9006F" w:rsidRDefault="00F83D06">
      <w:pPr>
        <w:tabs>
          <w:tab w:val="left" w:pos="1440"/>
          <w:tab w:val="left" w:pos="4680"/>
          <w:tab w:val="center" w:pos="7200"/>
        </w:tabs>
        <w:spacing w:line="480" w:lineRule="atLeast"/>
      </w:pPr>
    </w:p>
    <w:p w:rsidR="006D21FC" w:rsidRDefault="00F83D06" w:rsidP="000F65DB">
      <w:pPr>
        <w:tabs>
          <w:tab w:val="left" w:pos="1440"/>
        </w:tabs>
        <w:spacing w:line="480" w:lineRule="atLeast"/>
        <w:ind w:firstLine="720"/>
      </w:pPr>
      <w:bookmarkStart w:id="8" w:name="justice"/>
      <w:bookmarkStart w:id="9" w:name="mainstory"/>
      <w:bookmarkEnd w:id="8"/>
      <w:bookmarkEnd w:id="9"/>
      <w:r>
        <w:t>Anyone</w:t>
      </w:r>
      <w:r>
        <w:t xml:space="preserve"> convicted of a felony in </w:t>
      </w:r>
      <w:r>
        <w:t>California</w:t>
      </w:r>
      <w:r>
        <w:t xml:space="preserve"> suffers consequences</w:t>
      </w:r>
      <w:r>
        <w:t>.  Even long after a defendant completes a term of incarceration or probation, s</w:t>
      </w:r>
      <w:r>
        <w:t xml:space="preserve">ome </w:t>
      </w:r>
      <w:r>
        <w:t>of these consequences –– such as ineligibility for certain employment licenses –– persist</w:t>
      </w:r>
      <w:r>
        <w:t xml:space="preserve">.  </w:t>
      </w:r>
      <w:r>
        <w:t>To ease this ongoing bu</w:t>
      </w:r>
      <w:r>
        <w:t xml:space="preserve">rden, individuals </w:t>
      </w:r>
      <w:r>
        <w:t xml:space="preserve">can </w:t>
      </w:r>
      <w:r>
        <w:t>seek a</w:t>
      </w:r>
      <w:r>
        <w:t xml:space="preserve"> certificate of rehabilitation.</w:t>
      </w:r>
      <w:r>
        <w:t xml:space="preserve">  </w:t>
      </w:r>
      <w:r>
        <w:t xml:space="preserve">But not all </w:t>
      </w:r>
      <w:r>
        <w:t>convicted felons are eligible</w:t>
      </w:r>
      <w:r>
        <w:t xml:space="preserve"> </w:t>
      </w:r>
      <w:r>
        <w:t xml:space="preserve">on an equal basis </w:t>
      </w:r>
      <w:r>
        <w:t xml:space="preserve">for </w:t>
      </w:r>
      <w:r>
        <w:t xml:space="preserve">such </w:t>
      </w:r>
      <w:r>
        <w:t>certificates</w:t>
      </w:r>
      <w:r>
        <w:t xml:space="preserve">.  </w:t>
      </w:r>
      <w:r>
        <w:t xml:space="preserve">While </w:t>
      </w:r>
      <w:r>
        <w:t xml:space="preserve">former </w:t>
      </w:r>
      <w:r>
        <w:t xml:space="preserve">probationers and former prisoners are </w:t>
      </w:r>
      <w:r>
        <w:t xml:space="preserve">both </w:t>
      </w:r>
      <w:r>
        <w:t xml:space="preserve">eligible, former probationers face different eligibility criteria after they have been granted relief under </w:t>
      </w:r>
      <w:r>
        <w:t xml:space="preserve">Penal Code </w:t>
      </w:r>
      <w:r>
        <w:t>section 1203.4,</w:t>
      </w:r>
      <w:r>
        <w:rPr>
          <w:rStyle w:val="FootnoteReference"/>
        </w:rPr>
        <w:footnoteReference w:id="2"/>
      </w:r>
      <w:r>
        <w:t xml:space="preserve"> which </w:t>
      </w:r>
      <w:r>
        <w:t>allows</w:t>
      </w:r>
      <w:r>
        <w:t xml:space="preserve"> former</w:t>
      </w:r>
      <w:r>
        <w:t xml:space="preserve"> probationers to move for their </w:t>
      </w:r>
      <w:r>
        <w:t xml:space="preserve">conviction to be dismissed </w:t>
      </w:r>
      <w:r>
        <w:t xml:space="preserve">upon successful completion of </w:t>
      </w:r>
      <w:r>
        <w:t>probation te</w:t>
      </w:r>
      <w:r>
        <w:t xml:space="preserve">rms.  </w:t>
      </w:r>
      <w:r>
        <w:t>Once</w:t>
      </w:r>
      <w:r>
        <w:t xml:space="preserve"> former</w:t>
      </w:r>
      <w:r>
        <w:t xml:space="preserve"> probationers receive the benefit of having their </w:t>
      </w:r>
      <w:r>
        <w:t>convictions dismissed</w:t>
      </w:r>
      <w:r>
        <w:t xml:space="preserve"> </w:t>
      </w:r>
      <w:r>
        <w:t>under section 1203.4</w:t>
      </w:r>
      <w:r>
        <w:t xml:space="preserve">, </w:t>
      </w:r>
      <w:r>
        <w:t>another provision –– </w:t>
      </w:r>
      <w:r>
        <w:t>section 4852.01</w:t>
      </w:r>
      <w:r>
        <w:t xml:space="preserve"> </w:t>
      </w:r>
      <w:r>
        <w:t xml:space="preserve">–– </w:t>
      </w:r>
      <w:r>
        <w:t xml:space="preserve">renders them </w:t>
      </w:r>
      <w:r>
        <w:t>ineligible for a certificate of rehabilitation if they are subsequently incarcerated</w:t>
      </w:r>
      <w:r>
        <w:t xml:space="preserve">.  </w:t>
      </w:r>
      <w:r>
        <w:t xml:space="preserve">(See </w:t>
      </w:r>
      <w:r w:rsidRPr="002E2DA2">
        <w:t>§</w:t>
      </w:r>
      <w:r>
        <w:t> </w:t>
      </w:r>
      <w:r>
        <w:t xml:space="preserve">4852.01, subd. (b).)  </w:t>
      </w:r>
      <w:r>
        <w:t xml:space="preserve">In contrast, former </w:t>
      </w:r>
      <w:r>
        <w:t xml:space="preserve">prisoners </w:t>
      </w:r>
      <w:r>
        <w:t xml:space="preserve">–– whether </w:t>
      </w:r>
      <w:r>
        <w:lastRenderedPageBreak/>
        <w:t xml:space="preserve">subsequently incarcerated or not –– </w:t>
      </w:r>
      <w:r>
        <w:t xml:space="preserve">face no such restriction.  (See </w:t>
      </w:r>
      <w:r w:rsidRPr="007D3BF3">
        <w:rPr>
          <w:i/>
        </w:rPr>
        <w:t>id.</w:t>
      </w:r>
      <w:r>
        <w:t>, subd. (a).)</w:t>
      </w:r>
      <w:r>
        <w:t xml:space="preserve"> </w:t>
      </w:r>
      <w:r>
        <w:t xml:space="preserve"> </w:t>
      </w:r>
      <w:r>
        <w:t>The question in</w:t>
      </w:r>
      <w:r>
        <w:t xml:space="preserve"> this case is whether the</w:t>
      </w:r>
      <w:r>
        <w:t>se</w:t>
      </w:r>
      <w:r>
        <w:t xml:space="preserve"> </w:t>
      </w:r>
      <w:r>
        <w:t>eligibility</w:t>
      </w:r>
      <w:r>
        <w:t xml:space="preserve"> </w:t>
      </w:r>
      <w:r>
        <w:t xml:space="preserve">criteria </w:t>
      </w:r>
      <w:r>
        <w:t>survive an equal protection challenge und</w:t>
      </w:r>
      <w:r>
        <w:t xml:space="preserve">er the federal and state constitutions, which in turn depends on whether </w:t>
      </w:r>
      <w:r>
        <w:t xml:space="preserve">the </w:t>
      </w:r>
      <w:r>
        <w:t>criteria</w:t>
      </w:r>
      <w:r>
        <w:t xml:space="preserve"> survive rational basis review. </w:t>
      </w:r>
      <w:r>
        <w:t xml:space="preserve"> </w:t>
      </w:r>
      <w:r>
        <w:t xml:space="preserve">The Court of Appeal held </w:t>
      </w:r>
      <w:r>
        <w:t xml:space="preserve">that </w:t>
      </w:r>
      <w:r>
        <w:t xml:space="preserve">section </w:t>
      </w:r>
      <w:r>
        <w:t>48</w:t>
      </w:r>
      <w:r>
        <w:t>5</w:t>
      </w:r>
      <w:r>
        <w:t xml:space="preserve">2.01’s </w:t>
      </w:r>
      <w:r>
        <w:t xml:space="preserve">separate </w:t>
      </w:r>
      <w:r>
        <w:t xml:space="preserve">requirements </w:t>
      </w:r>
      <w:r>
        <w:t xml:space="preserve">governing </w:t>
      </w:r>
      <w:r>
        <w:t xml:space="preserve">former </w:t>
      </w:r>
      <w:r>
        <w:t xml:space="preserve">probationers whose convictions were dismissed under section 1203.4 </w:t>
      </w:r>
      <w:r>
        <w:t>are</w:t>
      </w:r>
      <w:r>
        <w:t xml:space="preserve"> categorically </w:t>
      </w:r>
      <w:r>
        <w:t>irrational</w:t>
      </w:r>
      <w:r>
        <w:t>,</w:t>
      </w:r>
      <w:r>
        <w:t xml:space="preserve"> and therefore </w:t>
      </w:r>
      <w:r>
        <w:t xml:space="preserve">deny </w:t>
      </w:r>
      <w:r>
        <w:t xml:space="preserve">petitioners </w:t>
      </w:r>
      <w:r>
        <w:t>equal protection of law</w:t>
      </w:r>
      <w:r>
        <w:t xml:space="preserve">. </w:t>
      </w:r>
      <w:r>
        <w:t xml:space="preserve"> </w:t>
      </w:r>
      <w:r>
        <w:t>Bearing in mind that the scheme at issue is subject to neither height</w:t>
      </w:r>
      <w:r>
        <w:t>e</w:t>
      </w:r>
      <w:r>
        <w:t>ned nor intermediate scrutiny, w</w:t>
      </w:r>
      <w:r>
        <w:t>e</w:t>
      </w:r>
      <w:r>
        <w:t xml:space="preserve"> conclude otherwise: </w:t>
      </w:r>
      <w:r>
        <w:t xml:space="preserve"> </w:t>
      </w:r>
      <w:r>
        <w:t>s</w:t>
      </w:r>
      <w:r>
        <w:t>ection 4852.01’s</w:t>
      </w:r>
      <w:r>
        <w:t xml:space="preserve"> </w:t>
      </w:r>
      <w:r>
        <w:t xml:space="preserve">eligibility criteria </w:t>
      </w:r>
      <w:r>
        <w:t xml:space="preserve">survive </w:t>
      </w:r>
      <w:r>
        <w:t>rational</w:t>
      </w:r>
      <w:r>
        <w:t xml:space="preserve"> basis review</w:t>
      </w:r>
      <w:r>
        <w:t xml:space="preserve">.  </w:t>
      </w:r>
    </w:p>
    <w:p w:rsidR="00D671C1" w:rsidRDefault="00F83D06" w:rsidP="004729BC">
      <w:pPr>
        <w:tabs>
          <w:tab w:val="left" w:pos="1440"/>
        </w:tabs>
        <w:spacing w:line="480" w:lineRule="atLeast"/>
        <w:ind w:firstLine="720"/>
      </w:pPr>
      <w:r>
        <w:t>The Legislature’s decision to provide former probationers</w:t>
      </w:r>
      <w:r>
        <w:t xml:space="preserve"> access to</w:t>
      </w:r>
      <w:r>
        <w:t xml:space="preserve"> certificates of rehabilitation serves the laudable goal of decreasing the </w:t>
      </w:r>
      <w:r>
        <w:t xml:space="preserve">unfortunate aftereffects </w:t>
      </w:r>
      <w:r>
        <w:t xml:space="preserve">of felony convictions on </w:t>
      </w:r>
      <w:r>
        <w:t>those</w:t>
      </w:r>
      <w:r>
        <w:t xml:space="preserve"> who</w:t>
      </w:r>
      <w:r>
        <w:t xml:space="preserve"> </w:t>
      </w:r>
      <w:r>
        <w:t>achiev</w:t>
      </w:r>
      <w:r>
        <w:t>e</w:t>
      </w:r>
      <w:r>
        <w:t xml:space="preserve"> rehabilitation.  But </w:t>
      </w:r>
      <w:r>
        <w:t>while</w:t>
      </w:r>
      <w:r>
        <w:t xml:space="preserve"> c</w:t>
      </w:r>
      <w:r>
        <w:t xml:space="preserve">ertificates </w:t>
      </w:r>
      <w:r>
        <w:t xml:space="preserve">provide </w:t>
      </w:r>
      <w:r>
        <w:t xml:space="preserve">substantial </w:t>
      </w:r>
      <w:r>
        <w:t>benefits</w:t>
      </w:r>
      <w:r>
        <w:t xml:space="preserve"> to rehabilitated felons</w:t>
      </w:r>
      <w:r>
        <w:t xml:space="preserve">, </w:t>
      </w:r>
      <w:r>
        <w:t>adjudicating eligibility for them depends</w:t>
      </w:r>
      <w:r>
        <w:t xml:space="preserve"> </w:t>
      </w:r>
      <w:r>
        <w:t xml:space="preserve">on the </w:t>
      </w:r>
      <w:r>
        <w:t>state</w:t>
      </w:r>
      <w:r>
        <w:t>’s</w:t>
      </w:r>
      <w:r>
        <w:t xml:space="preserve"> </w:t>
      </w:r>
      <w:r>
        <w:t>expenditure of</w:t>
      </w:r>
      <w:r>
        <w:t xml:space="preserve"> significant judicial a</w:t>
      </w:r>
      <w:r>
        <w:t xml:space="preserve">nd </w:t>
      </w:r>
      <w:r>
        <w:t>executive</w:t>
      </w:r>
      <w:r>
        <w:t xml:space="preserve"> </w:t>
      </w:r>
      <w:r>
        <w:t>branch</w:t>
      </w:r>
      <w:r>
        <w:t xml:space="preserve"> resources.</w:t>
      </w:r>
      <w:r>
        <w:t xml:space="preserve">  </w:t>
      </w:r>
      <w:r>
        <w:t>In providing</w:t>
      </w:r>
      <w:r>
        <w:t xml:space="preserve"> this costly benefit</w:t>
      </w:r>
      <w:r>
        <w:t xml:space="preserve"> only</w:t>
      </w:r>
      <w:r>
        <w:t xml:space="preserve"> to former prisoners and former probatio</w:t>
      </w:r>
      <w:r>
        <w:t>ners who have not</w:t>
      </w:r>
      <w:r>
        <w:t xml:space="preserve"> been subsequently incarcerated</w:t>
      </w:r>
      <w:r>
        <w:t>, the Legislature engaged in</w:t>
      </w:r>
      <w:r>
        <w:t xml:space="preserve"> </w:t>
      </w:r>
      <w:r>
        <w:t xml:space="preserve">a </w:t>
      </w:r>
      <w:r>
        <w:t>line-drawing that</w:t>
      </w:r>
      <w:r>
        <w:t xml:space="preserve"> ––</w:t>
      </w:r>
      <w:r>
        <w:t xml:space="preserve"> </w:t>
      </w:r>
      <w:r>
        <w:t xml:space="preserve">while </w:t>
      </w:r>
      <w:r>
        <w:t xml:space="preserve">perhaps not </w:t>
      </w:r>
      <w:r>
        <w:t>emblematic</w:t>
      </w:r>
      <w:r>
        <w:t xml:space="preserve"> of the ideal rehabilitative system</w:t>
      </w:r>
      <w:r>
        <w:t xml:space="preserve"> –– embodies </w:t>
      </w:r>
      <w:r>
        <w:t>a</w:t>
      </w:r>
      <w:r>
        <w:t xml:space="preserve"> </w:t>
      </w:r>
      <w:r>
        <w:t xml:space="preserve">sufficiently </w:t>
      </w:r>
      <w:r>
        <w:t>ratio</w:t>
      </w:r>
      <w:r>
        <w:t xml:space="preserve">nal </w:t>
      </w:r>
      <w:r>
        <w:t xml:space="preserve">determination regarding distribution </w:t>
      </w:r>
      <w:r>
        <w:t xml:space="preserve">of resources.  </w:t>
      </w:r>
    </w:p>
    <w:p w:rsidR="00E865DD" w:rsidRDefault="00F83D06" w:rsidP="003B3C71">
      <w:pPr>
        <w:tabs>
          <w:tab w:val="left" w:pos="1440"/>
        </w:tabs>
        <w:spacing w:line="480" w:lineRule="atLeast"/>
        <w:ind w:firstLine="720"/>
      </w:pPr>
      <w:r>
        <w:t>Distinctions</w:t>
      </w:r>
      <w:r>
        <w:t xml:space="preserve"> between </w:t>
      </w:r>
      <w:r>
        <w:t>former probationers and</w:t>
      </w:r>
      <w:r>
        <w:t xml:space="preserve"> former</w:t>
      </w:r>
      <w:r>
        <w:t xml:space="preserve"> prisoners</w:t>
      </w:r>
      <w:r>
        <w:t xml:space="preserve"> </w:t>
      </w:r>
      <w:r>
        <w:t>underscore</w:t>
      </w:r>
      <w:r>
        <w:t xml:space="preserve"> why.  </w:t>
      </w:r>
      <w:r>
        <w:t>Former probationers, as opposed to former prisoners,</w:t>
      </w:r>
      <w:r>
        <w:t xml:space="preserve"> can seek some relief from the effects of their convictions through section 1203.4, and so </w:t>
      </w:r>
      <w:r>
        <w:t xml:space="preserve">exhibit somewhat </w:t>
      </w:r>
      <w:r>
        <w:t>less relative need for certificate of rehabilitation relief.</w:t>
      </w:r>
      <w:r>
        <w:t xml:space="preserve"> </w:t>
      </w:r>
      <w:r>
        <w:t xml:space="preserve"> </w:t>
      </w:r>
      <w:r>
        <w:t>Moreover, w</w:t>
      </w:r>
      <w:r>
        <w:t>hen the</w:t>
      </w:r>
      <w:r>
        <w:t xml:space="preserve"> Legislature first provided</w:t>
      </w:r>
      <w:r>
        <w:t xml:space="preserve"> access to</w:t>
      </w:r>
      <w:r>
        <w:t xml:space="preserve"> certificates of rehabilitation</w:t>
      </w:r>
      <w:r>
        <w:t xml:space="preserve"> in 1943, it did so only for</w:t>
      </w:r>
      <w:r>
        <w:t xml:space="preserve"> former prisoners</w:t>
      </w:r>
      <w:r>
        <w:t xml:space="preserve">.  Only in 1976 was the benefit extended </w:t>
      </w:r>
      <w:r>
        <w:t>to former probationers not subsequently incarcerated.</w:t>
      </w:r>
      <w:r>
        <w:t xml:space="preserve">  </w:t>
      </w:r>
      <w:r>
        <w:t>F</w:t>
      </w:r>
      <w:r>
        <w:t xml:space="preserve">rom the legislative history, it </w:t>
      </w:r>
      <w:r>
        <w:lastRenderedPageBreak/>
        <w:t xml:space="preserve">appears that </w:t>
      </w:r>
      <w:r>
        <w:t>lawmakers</w:t>
      </w:r>
      <w:r>
        <w:t xml:space="preserve"> </w:t>
      </w:r>
      <w:r>
        <w:t>at the time weighed</w:t>
      </w:r>
      <w:r>
        <w:t xml:space="preserve"> </w:t>
      </w:r>
      <w:r>
        <w:t>the increased cost of extending relief</w:t>
      </w:r>
      <w:r>
        <w:t>.</w:t>
      </w:r>
      <w:r>
        <w:t xml:space="preserve">  </w:t>
      </w:r>
      <w:r>
        <w:t>And i</w:t>
      </w:r>
      <w:r>
        <w:t>nstead</w:t>
      </w:r>
      <w:r>
        <w:t xml:space="preserve"> of choosing an arbitrary means of limiting</w:t>
      </w:r>
      <w:r>
        <w:t xml:space="preserve"> such access,</w:t>
      </w:r>
      <w:r>
        <w:t xml:space="preserve"> </w:t>
      </w:r>
      <w:r>
        <w:t xml:space="preserve">legislators </w:t>
      </w:r>
      <w:r>
        <w:t>used</w:t>
      </w:r>
      <w:r>
        <w:t xml:space="preserve"> subsequent incarceration</w:t>
      </w:r>
      <w:r>
        <w:t xml:space="preserve"> as a </w:t>
      </w:r>
      <w:r>
        <w:t xml:space="preserve">means of determining which former probationers </w:t>
      </w:r>
      <w:r>
        <w:t xml:space="preserve">show the most promise for rehabilitation.  </w:t>
      </w:r>
      <w:r>
        <w:t xml:space="preserve">If these </w:t>
      </w:r>
      <w:r>
        <w:t>justifications</w:t>
      </w:r>
      <w:r>
        <w:t xml:space="preserve"> </w:t>
      </w:r>
      <w:r>
        <w:t xml:space="preserve">for the statute’s treatment of former </w:t>
      </w:r>
      <w:r>
        <w:t>probationers</w:t>
      </w:r>
      <w:r>
        <w:t xml:space="preserve"> </w:t>
      </w:r>
      <w:r>
        <w:t>do not necessarily</w:t>
      </w:r>
      <w:r>
        <w:t xml:space="preserve"> reflect the </w:t>
      </w:r>
      <w:r>
        <w:t>ideal distribution of certificates o</w:t>
      </w:r>
      <w:r>
        <w:t>f rehabilitation</w:t>
      </w:r>
      <w:r>
        <w:t xml:space="preserve">, neither can we conclude </w:t>
      </w:r>
      <w:r>
        <w:t>they are</w:t>
      </w:r>
      <w:r>
        <w:t xml:space="preserve"> wholly irrational.  </w:t>
      </w:r>
      <w:r>
        <w:t xml:space="preserve">What the </w:t>
      </w:r>
      <w:r>
        <w:t xml:space="preserve">framework </w:t>
      </w:r>
      <w:r>
        <w:t xml:space="preserve">enacted by the </w:t>
      </w:r>
      <w:r>
        <w:t xml:space="preserve">Legislature </w:t>
      </w:r>
      <w:r>
        <w:t>permits</w:t>
      </w:r>
      <w:r>
        <w:t xml:space="preserve"> </w:t>
      </w:r>
      <w:r>
        <w:t xml:space="preserve">is for </w:t>
      </w:r>
      <w:r>
        <w:t>certai</w:t>
      </w:r>
      <w:r>
        <w:t>n people to mitigate</w:t>
      </w:r>
      <w:r>
        <w:t xml:space="preserve"> the effects of felony convictions in a world of limited resources</w:t>
      </w:r>
      <w:r>
        <w:t xml:space="preserve">.  </w:t>
      </w:r>
      <w:r>
        <w:t>The basis for allocating those resources is</w:t>
      </w:r>
      <w:r>
        <w:t xml:space="preserve"> sufficiently grounded in non-illusory distinctions between </w:t>
      </w:r>
      <w:r>
        <w:t xml:space="preserve">subsequently incarcerated </w:t>
      </w:r>
      <w:r>
        <w:t xml:space="preserve">former probationers and </w:t>
      </w:r>
      <w:r>
        <w:t xml:space="preserve">other classes </w:t>
      </w:r>
      <w:r>
        <w:t>of convicted felons</w:t>
      </w:r>
      <w:r>
        <w:t xml:space="preserve"> to survive rational basis scrutiny under the equal protection clauses of the state and federal constitutions</w:t>
      </w:r>
      <w:r>
        <w:t xml:space="preserve">. </w:t>
      </w:r>
    </w:p>
    <w:p w:rsidR="00274904" w:rsidRDefault="00F83D06" w:rsidP="00C46174">
      <w:pPr>
        <w:tabs>
          <w:tab w:val="left" w:pos="1440"/>
        </w:tabs>
        <w:spacing w:line="480" w:lineRule="atLeast"/>
        <w:jc w:val="center"/>
      </w:pPr>
      <w:r>
        <w:t>I.</w:t>
      </w:r>
    </w:p>
    <w:p w:rsidR="0003524A" w:rsidRDefault="00F83D06" w:rsidP="00D1386D">
      <w:pPr>
        <w:tabs>
          <w:tab w:val="left" w:pos="1440"/>
        </w:tabs>
        <w:spacing w:line="480" w:lineRule="atLeast"/>
        <w:ind w:firstLine="720"/>
      </w:pPr>
      <w:r>
        <w:t>Jody Chatman w</w:t>
      </w:r>
      <w:r>
        <w:t>as convicted of robbery in 2001</w:t>
      </w:r>
      <w:r>
        <w:t xml:space="preserve">.  </w:t>
      </w:r>
      <w:r>
        <w:t xml:space="preserve">The trial judge sentenced him to </w:t>
      </w:r>
      <w:r>
        <w:t xml:space="preserve">a five-year term of </w:t>
      </w:r>
      <w:r>
        <w:t xml:space="preserve">felony </w:t>
      </w:r>
      <w:r>
        <w:t>probation</w:t>
      </w:r>
      <w:r>
        <w:t xml:space="preserve"> with</w:t>
      </w:r>
      <w:r>
        <w:t xml:space="preserve"> a 180-day term in jail</w:t>
      </w:r>
      <w:r>
        <w:t xml:space="preserve">.  </w:t>
      </w:r>
      <w:r>
        <w:t>Two years later, Chatman was convicted of misdemeanor reckless driving with alcohol involved in violation of Vehicle Code section 23103, also called a “</w:t>
      </w:r>
      <w:r>
        <w:t>wet reckless</w:t>
      </w:r>
      <w:r>
        <w:t>.”</w:t>
      </w:r>
      <w:r>
        <w:t xml:space="preserve">  </w:t>
      </w:r>
      <w:r>
        <w:t xml:space="preserve">In 2006, the </w:t>
      </w:r>
      <w:r>
        <w:t>reckless driving</w:t>
      </w:r>
      <w:r>
        <w:t xml:space="preserve"> conviction was dismissed under s</w:t>
      </w:r>
      <w:r>
        <w:t xml:space="preserve">ection 1203.4.  </w:t>
      </w:r>
      <w:r>
        <w:t>In 2007, the</w:t>
      </w:r>
      <w:r>
        <w:t xml:space="preserve"> </w:t>
      </w:r>
      <w:r>
        <w:t xml:space="preserve">robbery </w:t>
      </w:r>
      <w:r>
        <w:t>conviction was</w:t>
      </w:r>
      <w:r>
        <w:t xml:space="preserve"> also</w:t>
      </w:r>
      <w:r>
        <w:t xml:space="preserve"> </w:t>
      </w:r>
      <w:r>
        <w:t xml:space="preserve">dismissed under </w:t>
      </w:r>
      <w:r>
        <w:t xml:space="preserve">section 1203.4. </w:t>
      </w:r>
      <w:r>
        <w:t xml:space="preserve"> </w:t>
      </w:r>
      <w:r>
        <w:t>Then,</w:t>
      </w:r>
      <w:r>
        <w:t xml:space="preserve"> </w:t>
      </w:r>
      <w:r>
        <w:t xml:space="preserve">in 2008, Chatman </w:t>
      </w:r>
      <w:r>
        <w:t>was convicted of</w:t>
      </w:r>
      <w:r>
        <w:t xml:space="preserve"> </w:t>
      </w:r>
      <w:r>
        <w:t xml:space="preserve">misdemeanor </w:t>
      </w:r>
      <w:r>
        <w:t xml:space="preserve">driving under the influence </w:t>
      </w:r>
      <w:r>
        <w:t>in violation of Vehicle Code</w:t>
      </w:r>
      <w:r>
        <w:t xml:space="preserve"> section 23152, subdivision (b).  </w:t>
      </w:r>
      <w:r>
        <w:t>He was sentenced to</w:t>
      </w:r>
      <w:r>
        <w:t xml:space="preserve"> a </w:t>
      </w:r>
      <w:r>
        <w:t xml:space="preserve">three-year term of probation </w:t>
      </w:r>
      <w:r>
        <w:t>along with</w:t>
      </w:r>
      <w:r>
        <w:t xml:space="preserve"> a 10-day</w:t>
      </w:r>
      <w:r>
        <w:t xml:space="preserve"> term of imprisonment in county</w:t>
      </w:r>
      <w:r>
        <w:t xml:space="preserve"> jail.  </w:t>
      </w:r>
      <w:r>
        <w:t>In 2014, Chatman was offered a job that required a community care license</w:t>
      </w:r>
      <w:r>
        <w:t xml:space="preserve"> from the Department of Social Services</w:t>
      </w:r>
      <w:r>
        <w:t xml:space="preserve">.  </w:t>
      </w:r>
      <w:r>
        <w:t xml:space="preserve">Although </w:t>
      </w:r>
      <w:r>
        <w:t xml:space="preserve">Chatman’s robbery conviction </w:t>
      </w:r>
      <w:r>
        <w:t xml:space="preserve">generally </w:t>
      </w:r>
      <w:r>
        <w:t>bars</w:t>
      </w:r>
      <w:r>
        <w:t xml:space="preserve"> h</w:t>
      </w:r>
      <w:r>
        <w:t xml:space="preserve">im from obtaining </w:t>
      </w:r>
      <w:r>
        <w:t>a community care license</w:t>
      </w:r>
      <w:r>
        <w:t>,</w:t>
      </w:r>
      <w:r>
        <w:t xml:space="preserve"> the Department of Social Services </w:t>
      </w:r>
      <w:r>
        <w:t>“may grant an exemption</w:t>
      </w:r>
      <w:r>
        <w:t>” to this bar “</w:t>
      </w:r>
      <w:r>
        <w:t>i</w:t>
      </w:r>
      <w:r>
        <w:t xml:space="preserve">f the </w:t>
      </w:r>
      <w:r>
        <w:t>employee or prospective employee</w:t>
      </w:r>
      <w:r>
        <w:t xml:space="preserve"> has received a certificate of rehabilitation pursuant to . . . </w:t>
      </w:r>
      <w:r>
        <w:lastRenderedPageBreak/>
        <w:t xml:space="preserve">Section 4852.01.” </w:t>
      </w:r>
      <w:r>
        <w:t xml:space="preserve"> (</w:t>
      </w:r>
      <w:r>
        <w:t>Health &amp; Saf</w:t>
      </w:r>
      <w:r>
        <w:t>.</w:t>
      </w:r>
      <w:r>
        <w:t xml:space="preserve"> </w:t>
      </w:r>
      <w:r>
        <w:t>Cod</w:t>
      </w:r>
      <w:r>
        <w:t xml:space="preserve">e, </w:t>
      </w:r>
      <w:r w:rsidRPr="002E2DA2">
        <w:t>§</w:t>
      </w:r>
      <w:r>
        <w:t xml:space="preserve"> 1522, subd. (g)(1)(A)(ii).)</w:t>
      </w:r>
      <w:r>
        <w:rPr>
          <w:rStyle w:val="FootnoteReference"/>
        </w:rPr>
        <w:footnoteReference w:id="3"/>
      </w:r>
      <w:r>
        <w:t xml:space="preserve">  </w:t>
      </w:r>
      <w:r>
        <w:t>Chatman</w:t>
      </w:r>
      <w:r>
        <w:t xml:space="preserve"> </w:t>
      </w:r>
      <w:r>
        <w:t>filed a petition for</w:t>
      </w:r>
      <w:r>
        <w:t xml:space="preserve"> a certificate of rehabilitation</w:t>
      </w:r>
      <w:r>
        <w:t xml:space="preserve"> under section 4852.01</w:t>
      </w:r>
      <w:r>
        <w:t xml:space="preserve"> in</w:t>
      </w:r>
      <w:r>
        <w:t xml:space="preserve"> October 2014</w:t>
      </w:r>
      <w:r>
        <w:t xml:space="preserve">.  </w:t>
      </w:r>
      <w:r>
        <w:t>His</w:t>
      </w:r>
      <w:r>
        <w:t xml:space="preserve"> petition</w:t>
      </w:r>
      <w:r>
        <w:t xml:space="preserve"> </w:t>
      </w:r>
      <w:r>
        <w:t xml:space="preserve">acknowledged that </w:t>
      </w:r>
      <w:r>
        <w:t>he was “</w:t>
      </w:r>
      <w:r>
        <w:t xml:space="preserve">technically </w:t>
      </w:r>
      <w:r>
        <w:t xml:space="preserve">barred from a certificate of rehabilitation” </w:t>
      </w:r>
      <w:r>
        <w:t>but</w:t>
      </w:r>
      <w:r>
        <w:t xml:space="preserve"> </w:t>
      </w:r>
      <w:r>
        <w:t>claimed</w:t>
      </w:r>
      <w:r>
        <w:t xml:space="preserve"> that</w:t>
      </w:r>
      <w:r>
        <w:t xml:space="preserve"> </w:t>
      </w:r>
      <w:r>
        <w:t>section</w:t>
      </w:r>
      <w:r>
        <w:t xml:space="preserve"> 4852.01’s</w:t>
      </w:r>
      <w:r>
        <w:t xml:space="preserve"> </w:t>
      </w:r>
      <w:r>
        <w:t>unequal treatment of</w:t>
      </w:r>
      <w:r>
        <w:t xml:space="preserve"> </w:t>
      </w:r>
      <w:r>
        <w:t xml:space="preserve">former probationers </w:t>
      </w:r>
      <w:r>
        <w:t>whose convictions had been dismissed under section 1203.4 was</w:t>
      </w:r>
      <w:r>
        <w:t xml:space="preserve"> unconstitutional</w:t>
      </w:r>
      <w:r>
        <w:t xml:space="preserve">.  </w:t>
      </w:r>
      <w:r>
        <w:t>The</w:t>
      </w:r>
      <w:r>
        <w:t xml:space="preserve"> trial </w:t>
      </w:r>
      <w:r>
        <w:t xml:space="preserve">court </w:t>
      </w:r>
      <w:r>
        <w:t xml:space="preserve">denied the petition.  </w:t>
      </w:r>
    </w:p>
    <w:p w:rsidR="00206922" w:rsidRDefault="00F83D06" w:rsidP="00D1386D">
      <w:pPr>
        <w:tabs>
          <w:tab w:val="left" w:pos="1440"/>
        </w:tabs>
        <w:spacing w:line="480" w:lineRule="atLeast"/>
        <w:ind w:firstLine="720"/>
      </w:pPr>
      <w:r>
        <w:t>The</w:t>
      </w:r>
      <w:r>
        <w:t xml:space="preserve"> </w:t>
      </w:r>
      <w:r>
        <w:t>Court of Appeal</w:t>
      </w:r>
      <w:r>
        <w:t xml:space="preserve"> </w:t>
      </w:r>
      <w:r>
        <w:t>reversed</w:t>
      </w:r>
      <w:r>
        <w:t xml:space="preserve"> that ruling</w:t>
      </w:r>
      <w:r>
        <w:t xml:space="preserve">.  </w:t>
      </w:r>
      <w:r>
        <w:t>The court</w:t>
      </w:r>
      <w:r>
        <w:t xml:space="preserve"> </w:t>
      </w:r>
      <w:r>
        <w:t xml:space="preserve">acknowledged that </w:t>
      </w:r>
      <w:r w:rsidRPr="00261FE9">
        <w:rPr>
          <w:i/>
        </w:rPr>
        <w:t>People v. Jon</w:t>
      </w:r>
      <w:r w:rsidRPr="00261FE9">
        <w:rPr>
          <w:i/>
        </w:rPr>
        <w:t>es</w:t>
      </w:r>
      <w:r>
        <w:t xml:space="preserve"> (1985) 176 Cal.App.3d 120 </w:t>
      </w:r>
      <w:r>
        <w:t>“</w:t>
      </w:r>
      <w:r>
        <w:t xml:space="preserve">was decided more than 30 years ago and </w:t>
      </w:r>
      <w:r>
        <w:t>addressed the identical question presented here</w:t>
      </w:r>
      <w:r>
        <w:t>.</w:t>
      </w:r>
      <w:r>
        <w:t xml:space="preserve">” </w:t>
      </w:r>
      <w:r>
        <w:t xml:space="preserve"> (</w:t>
      </w:r>
      <w:r w:rsidRPr="00261FE9">
        <w:rPr>
          <w:i/>
        </w:rPr>
        <w:t>People v. Chatman</w:t>
      </w:r>
      <w:r>
        <w:t xml:space="preserve"> (2016) 2 Cal.App.5th 561, 571.)  But </w:t>
      </w:r>
      <w:r>
        <w:t>it</w:t>
      </w:r>
      <w:r>
        <w:t xml:space="preserve"> </w:t>
      </w:r>
      <w:r>
        <w:t>disagreed with</w:t>
      </w:r>
      <w:r>
        <w:t xml:space="preserve"> </w:t>
      </w:r>
      <w:r w:rsidRPr="006E2174">
        <w:rPr>
          <w:i/>
        </w:rPr>
        <w:t>Jones</w:t>
      </w:r>
      <w:r>
        <w:t>, which</w:t>
      </w:r>
      <w:r>
        <w:t xml:space="preserve"> had</w:t>
      </w:r>
      <w:r>
        <w:t xml:space="preserve"> upheld section 4852.01’s eligibility criteria</w:t>
      </w:r>
      <w:r>
        <w:t>.  (</w:t>
      </w:r>
      <w:r w:rsidRPr="00B42D80">
        <w:rPr>
          <w:i/>
        </w:rPr>
        <w:t>I</w:t>
      </w:r>
      <w:r w:rsidRPr="004E0DC8">
        <w:rPr>
          <w:i/>
        </w:rPr>
        <w:t>bid</w:t>
      </w:r>
      <w:r>
        <w:t xml:space="preserve">.)  The </w:t>
      </w:r>
      <w:r>
        <w:t>Court of Appeal</w:t>
      </w:r>
      <w:r>
        <w:t xml:space="preserve"> </w:t>
      </w:r>
      <w:r>
        <w:t>in Chatman’s</w:t>
      </w:r>
      <w:r>
        <w:t xml:space="preserve"> case</w:t>
      </w:r>
      <w:r>
        <w:t xml:space="preserve"> </w:t>
      </w:r>
      <w:r>
        <w:t>then went on to observe</w:t>
      </w:r>
      <w:r>
        <w:t xml:space="preserve"> that </w:t>
      </w:r>
      <w:r>
        <w:t>the “Attorney General in this appeal . . . fails to offer a rationale for the different</w:t>
      </w:r>
      <w:r>
        <w:t>ial</w:t>
      </w:r>
      <w:r>
        <w:t xml:space="preserve"> treatment, except to repeat the observations contained in </w:t>
      </w:r>
      <w:r w:rsidRPr="001B05CF">
        <w:rPr>
          <w:i/>
        </w:rPr>
        <w:t>Jones</w:t>
      </w:r>
      <w:r>
        <w:t xml:space="preserve">.”  </w:t>
      </w:r>
      <w:r>
        <w:t>(</w:t>
      </w:r>
      <w:r>
        <w:rPr>
          <w:i/>
        </w:rPr>
        <w:t>Ibid.</w:t>
      </w:r>
      <w:r>
        <w:t xml:space="preserve">)  The court </w:t>
      </w:r>
      <w:r>
        <w:t>held that “the statutory scheme governing eligibility for certificates of rehabilitation denies Chatman</w:t>
      </w:r>
      <w:r>
        <w:t xml:space="preserve"> his rights to equal protection</w:t>
      </w:r>
      <w:r>
        <w:t>.</w:t>
      </w:r>
      <w:r>
        <w:t>”</w:t>
      </w:r>
      <w:r>
        <w:t xml:space="preserve">  (</w:t>
      </w:r>
      <w:r w:rsidRPr="00B268FB">
        <w:rPr>
          <w:i/>
        </w:rPr>
        <w:t>Id.</w:t>
      </w:r>
      <w:r>
        <w:t xml:space="preserve"> at p. 57</w:t>
      </w:r>
      <w:r>
        <w:t>2</w:t>
      </w:r>
      <w:r>
        <w:t xml:space="preserve">.)  </w:t>
      </w:r>
      <w:r>
        <w:t>It then</w:t>
      </w:r>
      <w:r>
        <w:t xml:space="preserve"> remanded to </w:t>
      </w:r>
      <w:r>
        <w:t xml:space="preserve">the </w:t>
      </w:r>
      <w:r>
        <w:t>trial</w:t>
      </w:r>
      <w:r>
        <w:t xml:space="preserve"> court “with directions to consider the </w:t>
      </w:r>
      <w:r>
        <w:lastRenderedPageBreak/>
        <w:t>merits of Chatman’s petition fo</w:t>
      </w:r>
      <w:r>
        <w:t>r</w:t>
      </w:r>
      <w:r>
        <w:t xml:space="preserve"> a certificate of</w:t>
      </w:r>
      <w:r>
        <w:t xml:space="preserve"> rehabilitation.”  (</w:t>
      </w:r>
      <w:r w:rsidRPr="00B268FB">
        <w:rPr>
          <w:i/>
        </w:rPr>
        <w:t>Id.</w:t>
      </w:r>
      <w:r>
        <w:t xml:space="preserve"> at p. 573.)  </w:t>
      </w:r>
      <w:r>
        <w:t>We granted the Attorney General’s petition for review</w:t>
      </w:r>
      <w:r>
        <w:t>.</w:t>
      </w:r>
    </w:p>
    <w:p w:rsidR="00206922" w:rsidRDefault="00F83D06" w:rsidP="00206922">
      <w:pPr>
        <w:tabs>
          <w:tab w:val="left" w:pos="1440"/>
        </w:tabs>
        <w:spacing w:line="480" w:lineRule="atLeast"/>
        <w:jc w:val="center"/>
      </w:pPr>
      <w:r>
        <w:t>II.</w:t>
      </w:r>
    </w:p>
    <w:p w:rsidR="00643627" w:rsidRDefault="00F83D06" w:rsidP="003D4E4B">
      <w:pPr>
        <w:tabs>
          <w:tab w:val="left" w:pos="1440"/>
        </w:tabs>
        <w:spacing w:line="480" w:lineRule="atLeast"/>
        <w:ind w:firstLine="720"/>
      </w:pPr>
      <w:r>
        <w:t xml:space="preserve">Chatman claims it is unconstitutional </w:t>
      </w:r>
      <w:r>
        <w:t xml:space="preserve">for </w:t>
      </w:r>
      <w:r>
        <w:t xml:space="preserve">the Legislature </w:t>
      </w:r>
      <w:r>
        <w:t xml:space="preserve">to </w:t>
      </w:r>
      <w:r>
        <w:t xml:space="preserve">impose </w:t>
      </w:r>
      <w:r>
        <w:t xml:space="preserve">a </w:t>
      </w:r>
      <w:r>
        <w:t xml:space="preserve">disparate </w:t>
      </w:r>
      <w:r>
        <w:t>process</w:t>
      </w:r>
      <w:r>
        <w:t xml:space="preserve"> </w:t>
      </w:r>
      <w:r>
        <w:t xml:space="preserve">for obtaining a certificate of rehabilitation </w:t>
      </w:r>
      <w:r>
        <w:t xml:space="preserve">through </w:t>
      </w:r>
      <w:r>
        <w:t>section</w:t>
      </w:r>
      <w:r>
        <w:t xml:space="preserve"> 4852.01</w:t>
      </w:r>
      <w:r>
        <w:t xml:space="preserve"> on</w:t>
      </w:r>
      <w:r>
        <w:t xml:space="preserve"> </w:t>
      </w:r>
      <w:r>
        <w:t xml:space="preserve">former </w:t>
      </w:r>
      <w:r>
        <w:t>probationers</w:t>
      </w:r>
      <w:r>
        <w:t xml:space="preserve"> </w:t>
      </w:r>
      <w:r>
        <w:t>whose convictions were dismissed under section 1203.4</w:t>
      </w:r>
      <w:r>
        <w:t>.</w:t>
      </w:r>
      <w:r>
        <w:t xml:space="preserve">  </w:t>
      </w:r>
      <w:r>
        <w:t>In the</w:t>
      </w:r>
      <w:r>
        <w:t xml:space="preserve"> </w:t>
      </w:r>
      <w:r>
        <w:t xml:space="preserve">history </w:t>
      </w:r>
      <w:r>
        <w:t xml:space="preserve">and procedures associated with </w:t>
      </w:r>
      <w:r>
        <w:t>these certificates</w:t>
      </w:r>
      <w:r>
        <w:t xml:space="preserve"> –– along with the </w:t>
      </w:r>
      <w:r>
        <w:t>rules governing access to</w:t>
      </w:r>
      <w:r>
        <w:t xml:space="preserve"> relief under section 1203.4 –– </w:t>
      </w:r>
      <w:r>
        <w:t>we find</w:t>
      </w:r>
      <w:r>
        <w:t xml:space="preserve"> </w:t>
      </w:r>
      <w:r>
        <w:t xml:space="preserve">the </w:t>
      </w:r>
      <w:r>
        <w:t>context f</w:t>
      </w:r>
      <w:r>
        <w:t xml:space="preserve">or our analysis. </w:t>
      </w:r>
      <w:r>
        <w:t xml:space="preserve"> </w:t>
      </w:r>
    </w:p>
    <w:p w:rsidR="0098760F" w:rsidRDefault="00F83D06" w:rsidP="00774E2A">
      <w:pPr>
        <w:tabs>
          <w:tab w:val="left" w:pos="1440"/>
        </w:tabs>
        <w:spacing w:line="480" w:lineRule="atLeast"/>
        <w:ind w:firstLine="720"/>
      </w:pPr>
      <w:r>
        <w:t xml:space="preserve">When the original </w:t>
      </w:r>
      <w:r>
        <w:t>certificate</w:t>
      </w:r>
      <w:r>
        <w:t xml:space="preserve"> scheme</w:t>
      </w:r>
      <w:r>
        <w:t xml:space="preserve"> </w:t>
      </w:r>
      <w:r>
        <w:t>was</w:t>
      </w:r>
      <w:r>
        <w:t xml:space="preserve"> enacted, it was</w:t>
      </w:r>
      <w:r>
        <w:t xml:space="preserve"> </w:t>
      </w:r>
      <w:r>
        <w:t>“</w:t>
      </w:r>
      <w:r>
        <w:t>an urgency measure</w:t>
      </w:r>
      <w:r>
        <w:t xml:space="preserve">” </w:t>
      </w:r>
      <w:r>
        <w:t xml:space="preserve">forged against the backdrop of </w:t>
      </w:r>
      <w:r>
        <w:t>World War II</w:t>
      </w:r>
      <w:r>
        <w:t>.</w:t>
      </w:r>
      <w:r>
        <w:t xml:space="preserve"> </w:t>
      </w:r>
      <w:r>
        <w:t xml:space="preserve"> </w:t>
      </w:r>
      <w:r>
        <w:t>(</w:t>
      </w:r>
      <w:r w:rsidRPr="00902701">
        <w:rPr>
          <w:i/>
        </w:rPr>
        <w:t>People v. Ansell</w:t>
      </w:r>
      <w:r>
        <w:t xml:space="preserve"> (2001) 25 Cal.4th 868, 874.)  </w:t>
      </w:r>
      <w:r>
        <w:t>As demand for labor and military recruitment heightened,</w:t>
      </w:r>
      <w:r>
        <w:t xml:space="preserve"> the</w:t>
      </w:r>
      <w:r>
        <w:t xml:space="preserve"> Gove</w:t>
      </w:r>
      <w:r>
        <w:t xml:space="preserve">rnor’s office was </w:t>
      </w:r>
      <w:r>
        <w:t>deluged</w:t>
      </w:r>
      <w:r>
        <w:t xml:space="preserve"> </w:t>
      </w:r>
      <w:r>
        <w:t xml:space="preserve">with </w:t>
      </w:r>
      <w:r>
        <w:t>pardon applications from ex-felons barred from serving in the military or working in defense-related industries</w:t>
      </w:r>
      <w:r>
        <w:t>.</w:t>
      </w:r>
      <w:r>
        <w:t xml:space="preserve"> </w:t>
      </w:r>
      <w:r>
        <w:t xml:space="preserve"> </w:t>
      </w:r>
      <w:r>
        <w:t>(</w:t>
      </w:r>
      <w:r>
        <w:rPr>
          <w:i/>
        </w:rPr>
        <w:t>Id.</w:t>
      </w:r>
      <w:r>
        <w:t xml:space="preserve"> at pp. 874-875.)</w:t>
      </w:r>
      <w:r>
        <w:t xml:space="preserve">  </w:t>
      </w:r>
      <w:r>
        <w:t>The</w:t>
      </w:r>
      <w:r>
        <w:t xml:space="preserve"> </w:t>
      </w:r>
      <w:r>
        <w:t>certificate of rehabilitation</w:t>
      </w:r>
      <w:r>
        <w:t xml:space="preserve"> relieved pressure by creating a means </w:t>
      </w:r>
      <w:r>
        <w:t xml:space="preserve">for felons to apply for a pardon </w:t>
      </w:r>
      <w:r>
        <w:t xml:space="preserve">through which the merits of a particular application could be </w:t>
      </w:r>
      <w:r>
        <w:t>adjudicated</w:t>
      </w:r>
      <w:r>
        <w:t xml:space="preserve">, </w:t>
      </w:r>
      <w:r>
        <w:t>so that “</w:t>
      </w:r>
      <w:r>
        <w:t> ‘</w:t>
      </w:r>
      <w:r>
        <w:t xml:space="preserve">the Governor </w:t>
      </w:r>
      <w:r>
        <w:t>[could]</w:t>
      </w:r>
      <w:r>
        <w:t>, without any further investigation, issue a pardon to the person named therein.</w:t>
      </w:r>
      <w:r>
        <w:t>’ </w:t>
      </w:r>
      <w:r>
        <w:t>”  (</w:t>
      </w:r>
      <w:r>
        <w:rPr>
          <w:i/>
        </w:rPr>
        <w:t>Id.</w:t>
      </w:r>
      <w:r>
        <w:t xml:space="preserve"> at p. 876</w:t>
      </w:r>
      <w:r>
        <w:t>; see also § 4852.</w:t>
      </w:r>
      <w:r>
        <w:t>16 [a certificate of rehabilitation</w:t>
      </w:r>
      <w:r w:rsidRPr="00B71AA2">
        <w:t xml:space="preserve"> </w:t>
      </w:r>
      <w:r>
        <w:t>“</w:t>
      </w:r>
      <w:r w:rsidRPr="00B71AA2">
        <w:t>constitute</w:t>
      </w:r>
      <w:r>
        <w:t>[s]</w:t>
      </w:r>
      <w:r w:rsidRPr="00B71AA2">
        <w:t xml:space="preserve"> an application for a full pardon</w:t>
      </w:r>
      <w:r>
        <w:t>”].</w:t>
      </w:r>
      <w:r>
        <w:t xml:space="preserve">)  </w:t>
      </w:r>
      <w:r>
        <w:t>Altho</w:t>
      </w:r>
      <w:r>
        <w:t>ugh an eventual pardon returns most of a</w:t>
      </w:r>
      <w:r>
        <w:t xml:space="preserve"> convicted felon’s rights </w:t>
      </w:r>
      <w:r>
        <w:t xml:space="preserve">(see </w:t>
      </w:r>
      <w:r>
        <w:rPr>
          <w:i/>
        </w:rPr>
        <w:t>Ansell</w:t>
      </w:r>
      <w:r>
        <w:t>,</w:t>
      </w:r>
      <w:r>
        <w:t xml:space="preserve"> at p. 877, fn. 16)</w:t>
      </w:r>
      <w:r>
        <w:t xml:space="preserve">, the certificate itself </w:t>
      </w:r>
      <w:r>
        <w:t xml:space="preserve">also </w:t>
      </w:r>
      <w:r>
        <w:t>provides relief from certain effect</w:t>
      </w:r>
      <w:r>
        <w:t>s of a felony conviction</w:t>
      </w:r>
      <w:r>
        <w:t>, such as ineligibility from certain employment licenses</w:t>
      </w:r>
      <w:r>
        <w:t xml:space="preserve"> (</w:t>
      </w:r>
      <w:r>
        <w:rPr>
          <w:i/>
        </w:rPr>
        <w:t>i</w:t>
      </w:r>
      <w:r>
        <w:rPr>
          <w:i/>
        </w:rPr>
        <w:t>d.</w:t>
      </w:r>
      <w:r>
        <w:t xml:space="preserve"> at p. 877 &amp; fn. 17; </w:t>
      </w:r>
      <w:r>
        <w:t>Health &amp; Saf</w:t>
      </w:r>
      <w:r>
        <w:t>.</w:t>
      </w:r>
      <w:r>
        <w:t xml:space="preserve"> </w:t>
      </w:r>
      <w:r>
        <w:t xml:space="preserve">Code, </w:t>
      </w:r>
      <w:r w:rsidRPr="002E2DA2">
        <w:t>§</w:t>
      </w:r>
      <w:r>
        <w:t> </w:t>
      </w:r>
      <w:r>
        <w:t xml:space="preserve">1522, subd. (g)(1)(A)(ii) [stating that the Department of Social Services “may grant an exemption” to the bar on community care </w:t>
      </w:r>
      <w:r>
        <w:t xml:space="preserve">licenses “if the employee or prospective employee has received a certificate of rehabilitation”]; </w:t>
      </w:r>
      <w:r>
        <w:t xml:space="preserve">Bus. &amp; Prof. </w:t>
      </w:r>
      <w:r>
        <w:t xml:space="preserve">Code, </w:t>
      </w:r>
      <w:r>
        <w:t>§ 480, subd. (b)</w:t>
      </w:r>
      <w:r>
        <w:t xml:space="preserve"> [“</w:t>
      </w:r>
      <w:r w:rsidRPr="00603B37">
        <w:t>Notwithstanding any other provision of this</w:t>
      </w:r>
      <w:r>
        <w:t xml:space="preserve"> [Business </w:t>
      </w:r>
      <w:r>
        <w:t>and</w:t>
      </w:r>
      <w:r>
        <w:t xml:space="preserve"> Professions]</w:t>
      </w:r>
      <w:r w:rsidRPr="00603B37">
        <w:t xml:space="preserve"> </w:t>
      </w:r>
      <w:r w:rsidRPr="00603B37">
        <w:lastRenderedPageBreak/>
        <w:t>code, a person shall not be denied a license sole</w:t>
      </w:r>
      <w:r w:rsidRPr="00603B37">
        <w:t>ly on the basis that he or she has been convicted of a felony if he or she has obtained a certificate of rehabilitation</w:t>
      </w:r>
      <w:r>
        <w:t>.”]</w:t>
      </w:r>
      <w:r>
        <w:t>)</w:t>
      </w:r>
      <w:r>
        <w:t>.</w:t>
      </w:r>
      <w:r>
        <w:t xml:space="preserve">  </w:t>
      </w:r>
    </w:p>
    <w:p w:rsidR="002925CD" w:rsidRDefault="00F83D06" w:rsidP="003D4E4B">
      <w:pPr>
        <w:tabs>
          <w:tab w:val="left" w:pos="1440"/>
        </w:tabs>
        <w:spacing w:line="480" w:lineRule="atLeast"/>
        <w:ind w:firstLine="720"/>
      </w:pPr>
      <w:r>
        <w:t>To obtain a certificate of rehabilitation and benefit from t</w:t>
      </w:r>
      <w:r>
        <w:t xml:space="preserve">he relief it provides, petitioners </w:t>
      </w:r>
      <w:r>
        <w:t xml:space="preserve">must satisfy a number of </w:t>
      </w:r>
      <w:r>
        <w:t>condition</w:t>
      </w:r>
      <w:r>
        <w:t>s</w:t>
      </w:r>
      <w:r>
        <w:t>.  An eligible felon may only file a petition for a certificate of rehabilitation after a specified “period of rehabilitation,” which must last a minimum of five years from the petitioner’s release from prison or placement on probation.  (§ 4852.03, subds</w:t>
      </w:r>
      <w:r>
        <w:t>. (a), (b); § 4852.06.)  During the period of rehabilitation, the petitioner must “live an honest and upright life, shall conduct himself or herself with sobriety and industry, shall exhibit a good moral character, and shall conform to and obey the laws of</w:t>
      </w:r>
      <w:r>
        <w:t xml:space="preserve"> the land.”  (§ 4852.05.)  </w:t>
      </w:r>
      <w:r>
        <w:t xml:space="preserve">A potential </w:t>
      </w:r>
      <w:r>
        <w:t>petitioner is “entitled to receive counsel and assistance from all rehabilitative agencies, including the adult probation officer of the county and all state parole officers</w:t>
      </w:r>
      <w:r>
        <w:t>.</w:t>
      </w:r>
      <w:r>
        <w:t xml:space="preserve">”  (§ 4852.04.)  </w:t>
      </w:r>
      <w:r>
        <w:t xml:space="preserve">In the proceedings before </w:t>
      </w:r>
      <w:r>
        <w:t>the trial court, the petitioner is entitled to the assistance of appointed counsel.  (§ 4852.08.)  The trial court “may require testimony as it deems necessary,” and may require</w:t>
      </w:r>
      <w:r>
        <w:t>, “without expense of any kind to the petitioner,”</w:t>
      </w:r>
      <w:r>
        <w:t xml:space="preserve"> “the production . . . of all</w:t>
      </w:r>
      <w:r>
        <w:t xml:space="preserve"> records and reports relating to the petitioner and the crime of which he or she was convicted</w:t>
      </w:r>
      <w:r>
        <w:t>.</w:t>
      </w:r>
      <w:r>
        <w:t>”  (§ 4852.1</w:t>
      </w:r>
      <w:r>
        <w:t>, subd. (a)</w:t>
      </w:r>
      <w:r>
        <w:t>.)  The trial court may also order the district attorney to investigate the petitioner’s residence, criminal history, representations to t</w:t>
      </w:r>
      <w:r>
        <w:t>he trial court, and conduct during the period of rehabilitation, as well as “any other information the court deems necessary in making its determination.”  (§ 4852.12</w:t>
      </w:r>
      <w:r>
        <w:t>, subd. (a)</w:t>
      </w:r>
      <w:r>
        <w:t xml:space="preserve">.)  </w:t>
      </w:r>
    </w:p>
    <w:p w:rsidR="00F97ECE" w:rsidRDefault="00F83D06" w:rsidP="003D4E4B">
      <w:pPr>
        <w:tabs>
          <w:tab w:val="left" w:pos="1440"/>
        </w:tabs>
        <w:spacing w:line="480" w:lineRule="atLeast"/>
        <w:ind w:firstLine="720"/>
      </w:pPr>
      <w:r>
        <w:t xml:space="preserve">The trial court has discretion whether to grant a petition for </w:t>
      </w:r>
      <w:r>
        <w:t xml:space="preserve">a </w:t>
      </w:r>
      <w:r>
        <w:t>certifica</w:t>
      </w:r>
      <w:r>
        <w:t xml:space="preserve">te of rehabilitation.  (See </w:t>
      </w:r>
      <w:r>
        <w:rPr>
          <w:i/>
        </w:rPr>
        <w:t xml:space="preserve">People v. Lockwood </w:t>
      </w:r>
      <w:r>
        <w:t>(1998) 66 Cal.App.4th 222, 228 [“</w:t>
      </w:r>
      <w:r w:rsidRPr="005A3488">
        <w:t>Section 4852.13</w:t>
      </w:r>
      <w:r>
        <w:t xml:space="preserve"> . . . </w:t>
      </w:r>
      <w:r w:rsidRPr="005A3488">
        <w:t>gives courts the express discretion to</w:t>
      </w:r>
      <w:r>
        <w:t xml:space="preserve"> decide whether a petitioner has demonstrated [rehabilitation] to [the trial court’s] </w:t>
      </w:r>
      <w:r>
        <w:lastRenderedPageBreak/>
        <w:t>satisfaction . . . .”].)</w:t>
      </w:r>
      <w:r>
        <w:t xml:space="preserve">  </w:t>
      </w:r>
      <w:r>
        <w:t>In e</w:t>
      </w:r>
      <w:r>
        <w:t xml:space="preserve">xercising its discretion, the </w:t>
      </w:r>
      <w:r>
        <w:t>trial court</w:t>
      </w:r>
      <w:r>
        <w:t xml:space="preserve"> considers </w:t>
      </w:r>
      <w:r>
        <w:t>whether the petitioner has demonstrated “by his or her course of conduct his or her rehabilitation and his or her fitness to exercise all of the civil and political rights of citizenship.”  (§ 4852.13</w:t>
      </w:r>
      <w:r>
        <w:t>, su</w:t>
      </w:r>
      <w:r>
        <w:t>bd. (a)</w:t>
      </w:r>
      <w:r>
        <w:t xml:space="preserve">.) </w:t>
      </w:r>
      <w:r>
        <w:t xml:space="preserve"> If the trial court grants the petition, the clerk </w:t>
      </w:r>
      <w:r>
        <w:t xml:space="preserve">of the court </w:t>
      </w:r>
      <w:r>
        <w:t>must immediately</w:t>
      </w:r>
      <w:r>
        <w:t xml:space="preserve"> forward the certificate of rehabilitation to the governor’s office so that the petitioner can be considered for a pardon.  (</w:t>
      </w:r>
      <w:r>
        <w:t>§ 4852.14</w:t>
      </w:r>
      <w:r>
        <w:t>; § 4852.16</w:t>
      </w:r>
      <w:r>
        <w:rPr>
          <w:i/>
        </w:rPr>
        <w:t>.</w:t>
      </w:r>
      <w:r>
        <w:t xml:space="preserve">) </w:t>
      </w:r>
      <w:r>
        <w:t xml:space="preserve"> But if the petiti</w:t>
      </w:r>
      <w:r>
        <w:t xml:space="preserve">oner violates the law during the period of rehabilitation, “the court may deny the petition and determine a new period of rehabilitation not to exceed the original period of rehabilitation for the same crime.”  (§ 4852.11.)  </w:t>
      </w:r>
    </w:p>
    <w:p w:rsidR="00CF7643" w:rsidRDefault="00F83D06" w:rsidP="00970F23">
      <w:pPr>
        <w:tabs>
          <w:tab w:val="left" w:pos="1440"/>
        </w:tabs>
        <w:spacing w:line="480" w:lineRule="atLeast"/>
        <w:ind w:firstLine="720"/>
      </w:pPr>
      <w:r>
        <w:t xml:space="preserve">Moreover, in order to </w:t>
      </w:r>
      <w:r>
        <w:t>even beg</w:t>
      </w:r>
      <w:r>
        <w:t>in the process of applying for a certificate of rehabilitation, t</w:t>
      </w:r>
      <w:r>
        <w:t>he petitioner must be eligible by satisfying the criteria</w:t>
      </w:r>
      <w:r>
        <w:t xml:space="preserve"> set forth in section </w:t>
      </w:r>
      <w:r>
        <w:t>4852.01</w:t>
      </w:r>
      <w:r>
        <w:t xml:space="preserve">. </w:t>
      </w:r>
      <w:r>
        <w:t xml:space="preserve"> </w:t>
      </w:r>
      <w:r>
        <w:t>F</w:t>
      </w:r>
      <w:r>
        <w:t xml:space="preserve">elons </w:t>
      </w:r>
      <w:r>
        <w:t>“</w:t>
      </w:r>
      <w:r w:rsidRPr="00AA5DA3">
        <w:t>committed to a state prison or other institution or agency</w:t>
      </w:r>
      <w:r>
        <w:t>”</w:t>
      </w:r>
      <w:r>
        <w:t xml:space="preserve"> </w:t>
      </w:r>
      <w:r>
        <w:t>are eligible</w:t>
      </w:r>
      <w:r>
        <w:t xml:space="preserve"> </w:t>
      </w:r>
      <w:r>
        <w:t xml:space="preserve">to apply </w:t>
      </w:r>
      <w:r>
        <w:t>even if</w:t>
      </w:r>
      <w:r>
        <w:t xml:space="preserve"> they </w:t>
      </w:r>
      <w:r>
        <w:t>have been</w:t>
      </w:r>
      <w:r>
        <w:t xml:space="preserve"> </w:t>
      </w:r>
      <w:r>
        <w:t>incarcerated after serving their initial sentence</w:t>
      </w:r>
      <w:r>
        <w:t xml:space="preserve">.  </w:t>
      </w:r>
      <w:r>
        <w:t>(</w:t>
      </w:r>
      <w:r w:rsidRPr="002E2DA2">
        <w:t>§</w:t>
      </w:r>
      <w:r>
        <w:t xml:space="preserve"> 4852.01</w:t>
      </w:r>
      <w:r>
        <w:t xml:space="preserve">, </w:t>
      </w:r>
      <w:r>
        <w:t xml:space="preserve">subd. (a).)  </w:t>
      </w:r>
      <w:r>
        <w:t>But f</w:t>
      </w:r>
      <w:r>
        <w:t xml:space="preserve">elons </w:t>
      </w:r>
      <w:r>
        <w:t xml:space="preserve">for whom </w:t>
      </w:r>
      <w:r>
        <w:t>“the accusatory pleading</w:t>
      </w:r>
      <w:r>
        <w:t xml:space="preserve">” </w:t>
      </w:r>
      <w:r>
        <w:t>of the</w:t>
      </w:r>
      <w:r>
        <w:t xml:space="preserve"> un</w:t>
      </w:r>
      <w:r>
        <w:t>d</w:t>
      </w:r>
      <w:r>
        <w:t>erlying</w:t>
      </w:r>
      <w:r>
        <w:t xml:space="preserve"> felony conviction “</w:t>
      </w:r>
      <w:r>
        <w:t xml:space="preserve">has been dismissed pursuant to Section 1203.4” </w:t>
      </w:r>
      <w:r>
        <w:t>are eligible</w:t>
      </w:r>
      <w:r>
        <w:t xml:space="preserve"> only </w:t>
      </w:r>
      <w:r>
        <w:t xml:space="preserve">if they </w:t>
      </w:r>
      <w:r>
        <w:t>(</w:t>
      </w:r>
      <w:r>
        <w:t>1</w:t>
      </w:r>
      <w:r>
        <w:t xml:space="preserve">) </w:t>
      </w:r>
      <w:r>
        <w:t>hav</w:t>
      </w:r>
      <w:r>
        <w:t xml:space="preserve">e “not been </w:t>
      </w:r>
      <w:r w:rsidRPr="00BB5EFA">
        <w:t>incarcerated in a prison, jail, detention facility, or other penal institution or agency since the dismissal of the accusatory pleading</w:t>
      </w:r>
      <w:r>
        <w:t>”</w:t>
      </w:r>
      <w:r>
        <w:t>;</w:t>
      </w:r>
      <w:r>
        <w:t xml:space="preserve"> (2)</w:t>
      </w:r>
      <w:r>
        <w:t xml:space="preserve"> </w:t>
      </w:r>
      <w:r>
        <w:t>“</w:t>
      </w:r>
      <w:r>
        <w:t>[</w:t>
      </w:r>
      <w:r>
        <w:t>are</w:t>
      </w:r>
      <w:r>
        <w:t>]</w:t>
      </w:r>
      <w:r>
        <w:t xml:space="preserve"> not on probation for t</w:t>
      </w:r>
      <w:r>
        <w:t>he commission of an</w:t>
      </w:r>
      <w:r>
        <w:t xml:space="preserve">y </w:t>
      </w:r>
      <w:r>
        <w:t>other felony</w:t>
      </w:r>
      <w:r>
        <w:t>”</w:t>
      </w:r>
      <w:r>
        <w:t>;</w:t>
      </w:r>
      <w:r>
        <w:t xml:space="preserve"> and (3) “present[] satisfactory evide</w:t>
      </w:r>
      <w:r>
        <w:t>nce of five years</w:t>
      </w:r>
      <w:r>
        <w:t>’</w:t>
      </w:r>
      <w:r>
        <w:t xml:space="preserve"> residence in this state prior to the filing of the petition.”</w:t>
      </w:r>
      <w:r>
        <w:t xml:space="preserve">  </w:t>
      </w:r>
      <w:r>
        <w:t>(</w:t>
      </w:r>
      <w:r w:rsidRPr="005D690D">
        <w:rPr>
          <w:i/>
        </w:rPr>
        <w:t>Id.</w:t>
      </w:r>
      <w:r>
        <w:t>, subd. (b).)</w:t>
      </w:r>
      <w:r>
        <w:t xml:space="preserve"> </w:t>
      </w:r>
      <w:r>
        <w:t xml:space="preserve"> </w:t>
      </w:r>
    </w:p>
    <w:p w:rsidR="009C0718" w:rsidRDefault="00F83D06" w:rsidP="00931078">
      <w:pPr>
        <w:tabs>
          <w:tab w:val="left" w:pos="1440"/>
        </w:tabs>
        <w:spacing w:line="480" w:lineRule="atLeast"/>
        <w:ind w:firstLine="720"/>
      </w:pPr>
      <w:r>
        <w:t>The</w:t>
      </w:r>
      <w:r>
        <w:t xml:space="preserve"> aforementioned </w:t>
      </w:r>
      <w:r>
        <w:t>s</w:t>
      </w:r>
      <w:r>
        <w:t>ection 1203.4</w:t>
      </w:r>
      <w:r>
        <w:t xml:space="preserve"> </w:t>
      </w:r>
      <w:r>
        <w:t>requires</w:t>
      </w:r>
      <w:r>
        <w:t>, meanwhile,</w:t>
      </w:r>
      <w:r>
        <w:t xml:space="preserve"> </w:t>
      </w:r>
      <w:r>
        <w:t xml:space="preserve">for </w:t>
      </w:r>
      <w:r>
        <w:t xml:space="preserve">the </w:t>
      </w:r>
      <w:r>
        <w:t>underlying conviction</w:t>
      </w:r>
      <w:r>
        <w:t xml:space="preserve"> to be dismissed</w:t>
      </w:r>
      <w:r>
        <w:t xml:space="preserve"> “[i]n any case in which a defendant has </w:t>
      </w:r>
      <w:r w:rsidRPr="003A10C3">
        <w:t>fulfilled the</w:t>
      </w:r>
      <w:r w:rsidRPr="003A10C3">
        <w:t xml:space="preserve"> conditions of probation for the entire period of probation</w:t>
      </w:r>
      <w:r>
        <w:t>,</w:t>
      </w:r>
      <w:r>
        <w:t xml:space="preserve"> or has been discharge</w:t>
      </w:r>
      <w:r>
        <w:t>d prior to the termination of the period of probation.</w:t>
      </w:r>
      <w:r>
        <w:t>”  (</w:t>
      </w:r>
      <w:r w:rsidRPr="002E2DA2">
        <w:t>§</w:t>
      </w:r>
      <w:r>
        <w:t xml:space="preserve"> 1203.4, subd. (a)(1).)  </w:t>
      </w:r>
      <w:r>
        <w:t>The trial court may also dismiss a conviction under section 1203.4 where a probationer has</w:t>
      </w:r>
      <w:r>
        <w:t xml:space="preserve"> not satisfied the terms of probation if it is in “</w:t>
      </w:r>
      <w:r w:rsidRPr="00E47F71">
        <w:t>the interests of justice</w:t>
      </w:r>
      <w:r>
        <w:t xml:space="preserve">.”  </w:t>
      </w:r>
      <w:r>
        <w:t>(</w:t>
      </w:r>
      <w:r>
        <w:rPr>
          <w:i/>
        </w:rPr>
        <w:t>Ibid.</w:t>
      </w:r>
      <w:r>
        <w:t xml:space="preserve">)  </w:t>
      </w:r>
      <w:r>
        <w:lastRenderedPageBreak/>
        <w:t xml:space="preserve">Although section 1203.4 provides that a dismissal releases the defendant “from all </w:t>
      </w:r>
      <w:r>
        <w:t>penalties</w:t>
      </w:r>
      <w:r>
        <w:t xml:space="preserve"> and disabilities resulting fr</w:t>
      </w:r>
      <w:r>
        <w:t>o</w:t>
      </w:r>
      <w:r>
        <w:t xml:space="preserve">m the offense,” </w:t>
      </w:r>
      <w:r>
        <w:t>dismissal do</w:t>
      </w:r>
      <w:r>
        <w:t>es</w:t>
      </w:r>
      <w:r>
        <w:t xml:space="preserve"> not ease all t</w:t>
      </w:r>
      <w:r>
        <w:t>he burdens of a felony conviction.</w:t>
      </w:r>
      <w:r>
        <w:t xml:space="preserve">  (</w:t>
      </w:r>
      <w:r>
        <w:rPr>
          <w:i/>
        </w:rPr>
        <w:t>Ibid.</w:t>
      </w:r>
      <w:r>
        <w:t>)</w:t>
      </w:r>
      <w:r>
        <w:t xml:space="preserve">  </w:t>
      </w:r>
      <w:r>
        <w:t>To the contrary</w:t>
      </w:r>
      <w:r>
        <w:t>:</w:t>
      </w:r>
      <w:r>
        <w:t xml:space="preserve"> </w:t>
      </w:r>
      <w:r>
        <w:t xml:space="preserve"> </w:t>
      </w:r>
      <w:r>
        <w:t xml:space="preserve">the </w:t>
      </w:r>
      <w:r>
        <w:t>felon remains</w:t>
      </w:r>
      <w:r>
        <w:t xml:space="preserve"> “obligat</w:t>
      </w:r>
      <w:r>
        <w:t>[ed]</w:t>
      </w:r>
      <w:r>
        <w:t xml:space="preserve"> to disclose the conviction in response to any direct question contained in any questionnaire or application for public office [or] for licensure by any state or l</w:t>
      </w:r>
      <w:r>
        <w:t xml:space="preserve">ocal agency.”  </w:t>
      </w:r>
      <w:r>
        <w:t>(</w:t>
      </w:r>
      <w:r w:rsidRPr="00615FE0">
        <w:rPr>
          <w:i/>
        </w:rPr>
        <w:t>Ibid.</w:t>
      </w:r>
      <w:r>
        <w:t>)</w:t>
      </w:r>
      <w:r>
        <w:t xml:space="preserve">  </w:t>
      </w:r>
      <w:r>
        <w:t>Section 1203.4</w:t>
      </w:r>
      <w:r>
        <w:t xml:space="preserve"> dismissal</w:t>
      </w:r>
      <w:r>
        <w:t xml:space="preserve"> also</w:t>
      </w:r>
      <w:r>
        <w:t xml:space="preserve"> does not restore the ability to hold public offi</w:t>
      </w:r>
      <w:r>
        <w:t xml:space="preserve">ces that the </w:t>
      </w:r>
      <w:r>
        <w:t>felony</w:t>
      </w:r>
      <w:r>
        <w:t xml:space="preserve"> barred</w:t>
      </w:r>
      <w:r>
        <w:t xml:space="preserve"> (</w:t>
      </w:r>
      <w:r>
        <w:t>s</w:t>
      </w:r>
      <w:r>
        <w:t xml:space="preserve">ee </w:t>
      </w:r>
      <w:r w:rsidRPr="00A878F0">
        <w:rPr>
          <w:i/>
        </w:rPr>
        <w:t>id.</w:t>
      </w:r>
      <w:r>
        <w:t>, subd. (a)(3)</w:t>
      </w:r>
      <w:r>
        <w:t>)</w:t>
      </w:r>
      <w:r>
        <w:t xml:space="preserve"> or “</w:t>
      </w:r>
      <w:r>
        <w:t>to own, possess, or have in his or her</w:t>
      </w:r>
      <w:r>
        <w:t xml:space="preserve"> custody or control any firearm</w:t>
      </w:r>
      <w:r>
        <w:t>” (</w:t>
      </w:r>
      <w:r>
        <w:rPr>
          <w:i/>
        </w:rPr>
        <w:t>i</w:t>
      </w:r>
      <w:r w:rsidRPr="00E22772">
        <w:rPr>
          <w:i/>
        </w:rPr>
        <w:t>d.</w:t>
      </w:r>
      <w:r>
        <w:t xml:space="preserve">, </w:t>
      </w:r>
      <w:r w:rsidRPr="00E22772">
        <w:t>subd.</w:t>
      </w:r>
      <w:r>
        <w:t xml:space="preserve"> (a)(2)).  </w:t>
      </w:r>
      <w:r>
        <w:t>L</w:t>
      </w:r>
      <w:r>
        <w:t xml:space="preserve">icensing </w:t>
      </w:r>
      <w:r>
        <w:t>boards remain free to suspend or revoke professional</w:t>
      </w:r>
      <w:r>
        <w:t xml:space="preserve"> licenses</w:t>
      </w:r>
      <w:r>
        <w:t xml:space="preserve"> “irrespective of a subsequent order under the provisions of Section 1203.4.”  (Bus. &amp; Prof. Code, </w:t>
      </w:r>
      <w:r w:rsidRPr="002E2DA2">
        <w:t>§</w:t>
      </w:r>
      <w:r>
        <w:t> </w:t>
      </w:r>
      <w:r>
        <w:t>490</w:t>
      </w:r>
      <w:r>
        <w:t>, subd. (c)</w:t>
      </w:r>
      <w:r>
        <w:t xml:space="preserve">; see also </w:t>
      </w:r>
      <w:r w:rsidRPr="00E22772">
        <w:rPr>
          <w:i/>
        </w:rPr>
        <w:t>id.</w:t>
      </w:r>
      <w:r>
        <w:t xml:space="preserve">, </w:t>
      </w:r>
      <w:r w:rsidRPr="002E2DA2">
        <w:t>§</w:t>
      </w:r>
      <w:r>
        <w:t xml:space="preserve"> 6102, subd. (c) [providing for summary disbarment of </w:t>
      </w:r>
      <w:r>
        <w:t xml:space="preserve">attorneys “irrespective of any subsequent order under </w:t>
      </w:r>
      <w:r>
        <w:t xml:space="preserve">Section </w:t>
      </w:r>
      <w:r>
        <w:t>1203.4”];</w:t>
      </w:r>
      <w:r>
        <w:t xml:space="preserve"> </w:t>
      </w:r>
      <w:r>
        <w:rPr>
          <w:i/>
        </w:rPr>
        <w:t>id.</w:t>
      </w:r>
      <w:r>
        <w:t>, § </w:t>
      </w:r>
      <w:r>
        <w:t>2236.1</w:t>
      </w:r>
      <w:r>
        <w:t>,</w:t>
      </w:r>
      <w:r>
        <w:t xml:space="preserve"> subd. (d)</w:t>
      </w:r>
      <w:r>
        <w:t xml:space="preserve"> [same for suspension of medical licenses]; </w:t>
      </w:r>
      <w:r w:rsidRPr="00CF26D2">
        <w:t>Ed. Code, §§ 44008</w:t>
      </w:r>
      <w:r>
        <w:t>, subd. (a)</w:t>
      </w:r>
      <w:r w:rsidRPr="00CF26D2">
        <w:t>, 44009</w:t>
      </w:r>
      <w:r>
        <w:t>,</w:t>
      </w:r>
      <w:r>
        <w:t xml:space="preserve"> subds. (a)</w:t>
      </w:r>
      <w:r>
        <w:t xml:space="preserve"> &amp;</w:t>
      </w:r>
      <w:r>
        <w:t xml:space="preserve"> (c)</w:t>
      </w:r>
      <w:r w:rsidRPr="00CF26D2">
        <w:t xml:space="preserve"> [</w:t>
      </w:r>
      <w:r>
        <w:t xml:space="preserve">same for </w:t>
      </w:r>
      <w:r w:rsidRPr="00CF26D2">
        <w:t xml:space="preserve">certain provisions concerning </w:t>
      </w:r>
      <w:r>
        <w:t xml:space="preserve">educational </w:t>
      </w:r>
      <w:r>
        <w:t>employmen</w:t>
      </w:r>
      <w:r>
        <w:t>t</w:t>
      </w:r>
      <w:r w:rsidRPr="00CF26D2">
        <w:t>]</w:t>
      </w:r>
      <w:r>
        <w:t xml:space="preserve">.)  </w:t>
      </w:r>
      <w:r>
        <w:t>Section 1203.4 dismissal also does not aff</w:t>
      </w:r>
      <w:r>
        <w:t xml:space="preserve">ect sex offender registration </w:t>
      </w:r>
      <w:r>
        <w:t>(</w:t>
      </w:r>
      <w:r>
        <w:t>s</w:t>
      </w:r>
      <w:r>
        <w:t xml:space="preserve">ee </w:t>
      </w:r>
      <w:r w:rsidRPr="002E2DA2">
        <w:t>§</w:t>
      </w:r>
      <w:r>
        <w:t xml:space="preserve"> 290.007</w:t>
      </w:r>
      <w:r>
        <w:t>)</w:t>
      </w:r>
      <w:r>
        <w:t xml:space="preserve"> </w:t>
      </w:r>
      <w:r>
        <w:t>or</w:t>
      </w:r>
      <w:r>
        <w:t xml:space="preserve"> “any revocation or suspension of the privilege of the person convicted to drive a motor vehicle” (Veh. Code, </w:t>
      </w:r>
      <w:r w:rsidRPr="002E2DA2">
        <w:t>§</w:t>
      </w:r>
      <w:r>
        <w:t xml:space="preserve"> 13555)</w:t>
      </w:r>
      <w:r>
        <w:t>.</w:t>
      </w:r>
      <w:r>
        <w:t xml:space="preserve"> </w:t>
      </w:r>
      <w:r>
        <w:t xml:space="preserve"> </w:t>
      </w:r>
    </w:p>
    <w:p w:rsidR="007D3335" w:rsidRDefault="00F83D06" w:rsidP="00F76E9F">
      <w:pPr>
        <w:tabs>
          <w:tab w:val="left" w:pos="1440"/>
        </w:tabs>
        <w:spacing w:line="480" w:lineRule="atLeast"/>
        <w:ind w:firstLine="720"/>
      </w:pPr>
      <w:r>
        <w:t xml:space="preserve">Nonetheless, dismissal under </w:t>
      </w:r>
      <w:r>
        <w:t xml:space="preserve">section 1203.4 </w:t>
      </w:r>
      <w:r>
        <w:t>provides at least</w:t>
      </w:r>
      <w:r>
        <w:t xml:space="preserve"> some</w:t>
      </w:r>
      <w:r>
        <w:t xml:space="preserve"> </w:t>
      </w:r>
      <w:r>
        <w:t>relief</w:t>
      </w:r>
      <w:r>
        <w:t xml:space="preserve">.  </w:t>
      </w:r>
      <w:r>
        <w:t xml:space="preserve">Among other benefits, </w:t>
      </w:r>
      <w:r>
        <w:t>Labor Code section 432.7 prohibits an “employer, whether a public agency or private individual or corporation” from “ask[ing] an applicant for employment to disclose . . . information . .</w:t>
      </w:r>
      <w:r>
        <w:t xml:space="preserve"> . concerning a conviction that has been judicially dismissed or ordered sealed pursuant to law, including . . . Section[] 1203.4.”  (Lab. </w:t>
      </w:r>
      <w:r>
        <w:t xml:space="preserve">Code, </w:t>
      </w:r>
      <w:r>
        <w:t>§ 432.7</w:t>
      </w:r>
      <w:r>
        <w:t>, subd. (a)(1)</w:t>
      </w:r>
      <w:r>
        <w:t xml:space="preserve">.)  </w:t>
      </w:r>
      <w:r>
        <w:t>Moreover, Business and Professions Code section 480, subdivision (c) provides that “[n</w:t>
      </w:r>
      <w:r>
        <w:t>]otwithstanding any other provisions of this</w:t>
      </w:r>
      <w:r>
        <w:t xml:space="preserve"> </w:t>
      </w:r>
      <w:r>
        <w:t xml:space="preserve">[Business and Professions] </w:t>
      </w:r>
      <w:r>
        <w:t xml:space="preserve">code, a person shall not be </w:t>
      </w:r>
      <w:r>
        <w:lastRenderedPageBreak/>
        <w:t xml:space="preserve">denied a license solely on the basis of a conviction that has been dismissed pursuant to Section 1203.4.”  (Bus. &amp; Prof. </w:t>
      </w:r>
      <w:r>
        <w:t xml:space="preserve">Code, </w:t>
      </w:r>
      <w:r>
        <w:t>§ 480, subd. (c).)</w:t>
      </w:r>
    </w:p>
    <w:p w:rsidR="008338D2" w:rsidRDefault="00F83D06" w:rsidP="008059AE">
      <w:pPr>
        <w:tabs>
          <w:tab w:val="left" w:pos="1440"/>
        </w:tabs>
        <w:spacing w:line="480" w:lineRule="atLeast"/>
        <w:ind w:firstLine="720"/>
        <w:jc w:val="center"/>
      </w:pPr>
      <w:r>
        <w:t>III.</w:t>
      </w:r>
    </w:p>
    <w:p w:rsidR="00D27C83" w:rsidRDefault="00F83D06" w:rsidP="007D3BF3">
      <w:pPr>
        <w:tabs>
          <w:tab w:val="left" w:pos="1440"/>
        </w:tabs>
        <w:spacing w:line="480" w:lineRule="atLeast"/>
        <w:ind w:firstLine="720"/>
      </w:pPr>
      <w:r>
        <w:t>Chatm</w:t>
      </w:r>
      <w:r>
        <w:t xml:space="preserve">an is a </w:t>
      </w:r>
      <w:r>
        <w:t xml:space="preserve">subsequently incarcerated </w:t>
      </w:r>
      <w:r>
        <w:t xml:space="preserve">former probationer.  </w:t>
      </w:r>
      <w:r>
        <w:t>Because of this status,</w:t>
      </w:r>
      <w:r>
        <w:t xml:space="preserve"> </w:t>
      </w:r>
      <w:r>
        <w:t xml:space="preserve">Chatman </w:t>
      </w:r>
      <w:r>
        <w:t>claims</w:t>
      </w:r>
      <w:r>
        <w:t xml:space="preserve"> </w:t>
      </w:r>
      <w:r>
        <w:t xml:space="preserve">he is part of a group </w:t>
      </w:r>
      <w:r>
        <w:t xml:space="preserve">that is unconstitutionally </w:t>
      </w:r>
      <w:r>
        <w:t xml:space="preserve">subject to </w:t>
      </w:r>
      <w:r>
        <w:t>unequal treatment</w:t>
      </w:r>
      <w:r>
        <w:t xml:space="preserve"> </w:t>
      </w:r>
      <w:r>
        <w:t xml:space="preserve">because </w:t>
      </w:r>
      <w:r>
        <w:t>felons</w:t>
      </w:r>
      <w:r>
        <w:t xml:space="preserve"> </w:t>
      </w:r>
      <w:r>
        <w:t xml:space="preserve">are </w:t>
      </w:r>
      <w:r>
        <w:t>ineligible</w:t>
      </w:r>
      <w:r>
        <w:t xml:space="preserve"> for a certificate of rehabilitation if they</w:t>
      </w:r>
      <w:r>
        <w:t xml:space="preserve"> </w:t>
      </w:r>
      <w:r>
        <w:t xml:space="preserve">are </w:t>
      </w:r>
      <w:r>
        <w:t xml:space="preserve">incarcerated after </w:t>
      </w:r>
      <w:r>
        <w:t xml:space="preserve">a </w:t>
      </w:r>
      <w:r>
        <w:t xml:space="preserve">section 1203.4 dismissal.  </w:t>
      </w:r>
      <w:r>
        <w:t xml:space="preserve">Both </w:t>
      </w:r>
      <w:r>
        <w:t>the state and federal constitutions</w:t>
      </w:r>
      <w:r>
        <w:t xml:space="preserve"> </w:t>
      </w:r>
      <w:r>
        <w:t>extend to persons</w:t>
      </w:r>
      <w:r>
        <w:t xml:space="preserve"> the</w:t>
      </w:r>
      <w:r>
        <w:t xml:space="preserve"> </w:t>
      </w:r>
      <w:r>
        <w:t xml:space="preserve">equal protection of law.  </w:t>
      </w:r>
      <w:r>
        <w:t>(See U.S. Const., 14th Amend.; Cal. C</w:t>
      </w:r>
      <w:r>
        <w:t>o</w:t>
      </w:r>
      <w:r>
        <w:t xml:space="preserve">nst., art. I, </w:t>
      </w:r>
      <w:r w:rsidRPr="002E2DA2">
        <w:t>§</w:t>
      </w:r>
      <w:r>
        <w:t xml:space="preserve"> 7, subd. (a); see also </w:t>
      </w:r>
      <w:r w:rsidRPr="00F555B2">
        <w:rPr>
          <w:i/>
        </w:rPr>
        <w:t>In re Gary W.</w:t>
      </w:r>
      <w:r>
        <w:t xml:space="preserve"> (1971) 5 Cal.3d 296, 303 [“</w:t>
      </w:r>
      <w:r>
        <w:t> </w:t>
      </w:r>
      <w:r>
        <w:t>‘</w:t>
      </w:r>
      <w:r>
        <w:t>The concept of the equal protection of the laws compels recognition of the proposition that persons similarly situated with respect to the legitimate purpose of the law receive like treatment.</w:t>
      </w:r>
      <w:r>
        <w:t>’  [Citation.]</w:t>
      </w:r>
      <w:r>
        <w:t xml:space="preserve">”].)  </w:t>
      </w:r>
      <w:r>
        <w:t xml:space="preserve">Though this court’s </w:t>
      </w:r>
      <w:r>
        <w:t>analysis</w:t>
      </w:r>
      <w:r>
        <w:t xml:space="preserve"> of </w:t>
      </w:r>
      <w:r>
        <w:t>state const</w:t>
      </w:r>
      <w:r>
        <w:t xml:space="preserve">itutional requirements </w:t>
      </w:r>
      <w:r>
        <w:t>sometimes deviates</w:t>
      </w:r>
      <w:r>
        <w:t xml:space="preserve"> from how </w:t>
      </w:r>
      <w:r>
        <w:t>comparable</w:t>
      </w:r>
      <w:r>
        <w:t xml:space="preserve"> feder</w:t>
      </w:r>
      <w:r>
        <w:t xml:space="preserve">al requirements are </w:t>
      </w:r>
      <w:r>
        <w:t>analyzed</w:t>
      </w:r>
      <w:r>
        <w:t xml:space="preserve">, </w:t>
      </w:r>
      <w:r>
        <w:t xml:space="preserve">our precedent has not distinguished </w:t>
      </w:r>
      <w:r>
        <w:t>the</w:t>
      </w:r>
      <w:r>
        <w:t xml:space="preserve"> </w:t>
      </w:r>
      <w:r>
        <w:t xml:space="preserve">state and federal </w:t>
      </w:r>
      <w:r>
        <w:t xml:space="preserve">guarantees of equal protection </w:t>
      </w:r>
      <w:r>
        <w:t xml:space="preserve">for </w:t>
      </w:r>
      <w:r>
        <w:t xml:space="preserve">claims </w:t>
      </w:r>
      <w:r>
        <w:t xml:space="preserve">arising from allegedly </w:t>
      </w:r>
      <w:r>
        <w:t xml:space="preserve">unequal </w:t>
      </w:r>
      <w:r>
        <w:t xml:space="preserve">consequences </w:t>
      </w:r>
      <w:r>
        <w:t>associated with</w:t>
      </w:r>
      <w:r>
        <w:t xml:space="preserve"> </w:t>
      </w:r>
      <w:r>
        <w:t>different</w:t>
      </w:r>
      <w:r>
        <w:t xml:space="preserve"> </w:t>
      </w:r>
      <w:r>
        <w:t xml:space="preserve">types of </w:t>
      </w:r>
      <w:r>
        <w:t xml:space="preserve">criminal </w:t>
      </w:r>
      <w:r>
        <w:t>offenses</w:t>
      </w:r>
      <w:r>
        <w:t>.  (</w:t>
      </w:r>
      <w:r w:rsidRPr="002E0FE0">
        <w:rPr>
          <w:i/>
        </w:rPr>
        <w:t xml:space="preserve">Johnson v. </w:t>
      </w:r>
      <w:r>
        <w:rPr>
          <w:i/>
        </w:rPr>
        <w:t>Department</w:t>
      </w:r>
      <w:r w:rsidRPr="002E0FE0">
        <w:rPr>
          <w:i/>
        </w:rPr>
        <w:t xml:space="preserve"> of Justice</w:t>
      </w:r>
      <w:r>
        <w:t xml:space="preserve"> (2015) 60 Cal.4th 871, 881 (</w:t>
      </w:r>
      <w:r w:rsidRPr="00C54374">
        <w:rPr>
          <w:i/>
        </w:rPr>
        <w:t>Johnson</w:t>
      </w:r>
      <w:r>
        <w:t xml:space="preserve">); </w:t>
      </w:r>
      <w:r w:rsidRPr="00C54374">
        <w:rPr>
          <w:i/>
        </w:rPr>
        <w:t>People v. Hofsheier</w:t>
      </w:r>
      <w:r w:rsidRPr="00C54374">
        <w:t xml:space="preserve"> (2006) 37 Cal.4th 1185</w:t>
      </w:r>
      <w:r>
        <w:t xml:space="preserve">, 1199-1201.)  </w:t>
      </w:r>
    </w:p>
    <w:p w:rsidR="004913A0" w:rsidRDefault="00F83D06" w:rsidP="007D3BF3">
      <w:pPr>
        <w:tabs>
          <w:tab w:val="left" w:pos="1440"/>
        </w:tabs>
        <w:spacing w:line="480" w:lineRule="atLeast"/>
        <w:ind w:firstLine="720"/>
      </w:pPr>
      <w:r>
        <w:t>O</w:t>
      </w:r>
      <w:r>
        <w:t>ur</w:t>
      </w:r>
      <w:r>
        <w:t xml:space="preserve"> most recent case </w:t>
      </w:r>
      <w:r>
        <w:t xml:space="preserve">addressing </w:t>
      </w:r>
      <w:r>
        <w:t xml:space="preserve">claims of this kind is </w:t>
      </w:r>
      <w:r>
        <w:rPr>
          <w:i/>
        </w:rPr>
        <w:t>Johnson</w:t>
      </w:r>
      <w:r>
        <w:t xml:space="preserve">.  </w:t>
      </w:r>
      <w:r>
        <w:t xml:space="preserve">The case </w:t>
      </w:r>
      <w:r>
        <w:t>upheld</w:t>
      </w:r>
      <w:r>
        <w:t xml:space="preserve"> </w:t>
      </w:r>
      <w:r>
        <w:t xml:space="preserve">as rational </w:t>
      </w:r>
      <w:r>
        <w:t xml:space="preserve">a statute </w:t>
      </w:r>
      <w:r>
        <w:t xml:space="preserve">establishing discretionary </w:t>
      </w:r>
      <w:r>
        <w:t xml:space="preserve">sex offender registration for </w:t>
      </w:r>
      <w:r>
        <w:t xml:space="preserve">persons </w:t>
      </w:r>
      <w:r>
        <w:t>convicted of unlawful sexual intercourse with a minor</w:t>
      </w:r>
      <w:r>
        <w:t>,</w:t>
      </w:r>
      <w:r>
        <w:t xml:space="preserve"> </w:t>
      </w:r>
      <w:r>
        <w:t>but</w:t>
      </w:r>
      <w:r>
        <w:t xml:space="preserve"> </w:t>
      </w:r>
      <w:r>
        <w:t xml:space="preserve">making it </w:t>
      </w:r>
      <w:r>
        <w:t xml:space="preserve">mandatory </w:t>
      </w:r>
      <w:r>
        <w:t>for individuals convicted of offenses involving other types of sexual activity with a mino</w:t>
      </w:r>
      <w:r>
        <w:t>r.</w:t>
      </w:r>
      <w:r>
        <w:t xml:space="preserve">  (</w:t>
      </w:r>
      <w:r w:rsidRPr="00851702">
        <w:rPr>
          <w:i/>
        </w:rPr>
        <w:t>Johnson</w:t>
      </w:r>
      <w:r>
        <w:t xml:space="preserve">, </w:t>
      </w:r>
      <w:r>
        <w:rPr>
          <w:i/>
        </w:rPr>
        <w:t>supra</w:t>
      </w:r>
      <w:r>
        <w:t>,</w:t>
      </w:r>
      <w:r>
        <w:rPr>
          <w:i/>
        </w:rPr>
        <w:t xml:space="preserve"> </w:t>
      </w:r>
      <w:r>
        <w:t xml:space="preserve">60 Cal.4th </w:t>
      </w:r>
      <w:r>
        <w:t xml:space="preserve">at p. 874.)  </w:t>
      </w:r>
      <w:r>
        <w:t xml:space="preserve">What we </w:t>
      </w:r>
      <w:r>
        <w:t xml:space="preserve">reiterated </w:t>
      </w:r>
      <w:r>
        <w:t xml:space="preserve">is that </w:t>
      </w:r>
      <w:r>
        <w:t>we had</w:t>
      </w:r>
      <w:r>
        <w:t xml:space="preserve"> “authority to construe our state Constitution independently” </w:t>
      </w:r>
      <w:r>
        <w:t xml:space="preserve">but </w:t>
      </w:r>
      <w:r>
        <w:t>saw</w:t>
      </w:r>
      <w:r>
        <w:t xml:space="preserve"> </w:t>
      </w:r>
      <w:r>
        <w:t>no reason to bifurcate state and federal analysis in that context.</w:t>
      </w:r>
      <w:r>
        <w:t xml:space="preserve"> </w:t>
      </w:r>
      <w:r>
        <w:t xml:space="preserve"> </w:t>
      </w:r>
      <w:r>
        <w:t>(</w:t>
      </w:r>
      <w:r>
        <w:rPr>
          <w:i/>
        </w:rPr>
        <w:t>Id.</w:t>
      </w:r>
      <w:r>
        <w:t xml:space="preserve"> at p. 881</w:t>
      </w:r>
      <w:r>
        <w:t xml:space="preserve">; see also </w:t>
      </w:r>
      <w:r w:rsidRPr="00147515">
        <w:rPr>
          <w:i/>
        </w:rPr>
        <w:t>Manduley v. Sup</w:t>
      </w:r>
      <w:r w:rsidRPr="00147515">
        <w:rPr>
          <w:i/>
        </w:rPr>
        <w:t>erior Court</w:t>
      </w:r>
      <w:r>
        <w:t xml:space="preserve"> (2002) 27 Cal.4th 537, </w:t>
      </w:r>
      <w:r>
        <w:t>571-</w:t>
      </w:r>
      <w:r>
        <w:t>572</w:t>
      </w:r>
      <w:r>
        <w:t>.)</w:t>
      </w:r>
      <w:r>
        <w:t xml:space="preserve"> </w:t>
      </w:r>
      <w:r>
        <w:t xml:space="preserve"> </w:t>
      </w:r>
      <w:r>
        <w:t xml:space="preserve">Relying on </w:t>
      </w:r>
      <w:r w:rsidRPr="001C5F77">
        <w:rPr>
          <w:i/>
        </w:rPr>
        <w:t>Johnson</w:t>
      </w:r>
      <w:r>
        <w:t>, the</w:t>
      </w:r>
      <w:r>
        <w:t xml:space="preserve"> Court of Appeal </w:t>
      </w:r>
      <w:r>
        <w:t xml:space="preserve">in Chatman’s case </w:t>
      </w:r>
      <w:r>
        <w:t xml:space="preserve">also </w:t>
      </w:r>
      <w:r>
        <w:t xml:space="preserve">saw </w:t>
      </w:r>
      <w:r>
        <w:t>“</w:t>
      </w:r>
      <w:r>
        <w:t>no reason to</w:t>
      </w:r>
      <w:r>
        <w:t xml:space="preserve"> suppose” </w:t>
      </w:r>
      <w:r>
        <w:lastRenderedPageBreak/>
        <w:t>that</w:t>
      </w:r>
      <w:r>
        <w:t xml:space="preserve"> federal equal protection</w:t>
      </w:r>
      <w:r>
        <w:t xml:space="preserve"> analysis</w:t>
      </w:r>
      <w:r>
        <w:t xml:space="preserve"> would yield a result </w:t>
      </w:r>
      <w:r>
        <w:t xml:space="preserve">different from what would emerge from analysis of the state Constitution.  </w:t>
      </w:r>
      <w:r>
        <w:t xml:space="preserve">(See </w:t>
      </w:r>
      <w:r>
        <w:rPr>
          <w:i/>
        </w:rPr>
        <w:t xml:space="preserve">People v. </w:t>
      </w:r>
      <w:r w:rsidRPr="002256B7">
        <w:rPr>
          <w:i/>
        </w:rPr>
        <w:t>Chatman</w:t>
      </w:r>
      <w:r>
        <w:t xml:space="preserve">, </w:t>
      </w:r>
      <w:r w:rsidRPr="002256B7">
        <w:rPr>
          <w:i/>
        </w:rPr>
        <w:t>supra</w:t>
      </w:r>
      <w:r>
        <w:t>, 2 Cal.App.</w:t>
      </w:r>
      <w:r>
        <w:t>5th</w:t>
      </w:r>
      <w:r>
        <w:t xml:space="preserve"> at p. 568, fn. 3.)  </w:t>
      </w:r>
      <w:r>
        <w:t xml:space="preserve">We see no reason to suppose so either.    </w:t>
      </w:r>
      <w:r>
        <w:t xml:space="preserve">  </w:t>
      </w:r>
    </w:p>
    <w:p w:rsidR="00512EB1" w:rsidRDefault="00F83D06" w:rsidP="006F2919">
      <w:pPr>
        <w:tabs>
          <w:tab w:val="left" w:pos="1440"/>
        </w:tabs>
        <w:spacing w:line="480" w:lineRule="atLeast"/>
        <w:ind w:firstLine="720"/>
      </w:pPr>
      <w:r>
        <w:t xml:space="preserve">At </w:t>
      </w:r>
      <w:r>
        <w:t>core</w:t>
      </w:r>
      <w:r>
        <w:t xml:space="preserve">, </w:t>
      </w:r>
      <w:r>
        <w:t>the requirement of equal protection ensures that</w:t>
      </w:r>
      <w:r>
        <w:t xml:space="preserve"> the</w:t>
      </w:r>
      <w:r>
        <w:t xml:space="preserve"> </w:t>
      </w:r>
      <w:r>
        <w:t>governmen</w:t>
      </w:r>
      <w:r>
        <w:t xml:space="preserve">t </w:t>
      </w:r>
      <w:r>
        <w:t>does</w:t>
      </w:r>
      <w:r>
        <w:t xml:space="preserve"> not treat </w:t>
      </w:r>
      <w:r>
        <w:t>a</w:t>
      </w:r>
      <w:r>
        <w:t xml:space="preserve"> group of people </w:t>
      </w:r>
      <w:r>
        <w:t xml:space="preserve">unequally </w:t>
      </w:r>
      <w:r>
        <w:t xml:space="preserve">without </w:t>
      </w:r>
      <w:r>
        <w:t xml:space="preserve">some </w:t>
      </w:r>
      <w:r>
        <w:t xml:space="preserve">justification. </w:t>
      </w:r>
      <w:r>
        <w:t xml:space="preserve"> (</w:t>
      </w:r>
      <w:r w:rsidRPr="00B62FF9">
        <w:rPr>
          <w:i/>
        </w:rPr>
        <w:t>People v. McKee</w:t>
      </w:r>
      <w:r>
        <w:t xml:space="preserve"> (</w:t>
      </w:r>
      <w:r>
        <w:t>2010) 47 Cal.4th 1172, 1207) [“[E]</w:t>
      </w:r>
      <w:r>
        <w:t>qual protection safeguards against the arbitrary denial of benefits to a certain defined class of individuals</w:t>
      </w:r>
      <w:r>
        <w:t>.</w:t>
      </w:r>
      <w:r>
        <w:t xml:space="preserve">”].)  </w:t>
      </w:r>
      <w:r>
        <w:t xml:space="preserve">The extent of justification required </w:t>
      </w:r>
      <w:r>
        <w:t xml:space="preserve">to survive equal protection scrutiny </w:t>
      </w:r>
      <w:r>
        <w:t xml:space="preserve">in a specific context </w:t>
      </w:r>
      <w:r>
        <w:t>depends on the nature or effect of the classification at issue.  Unequal treatment based on a</w:t>
      </w:r>
      <w:r>
        <w:t xml:space="preserve"> suspect</w:t>
      </w:r>
      <w:r>
        <w:t xml:space="preserve"> classification such as race is subject to “ ‘the most exac</w:t>
      </w:r>
      <w:r>
        <w:t>ting scrutiny.’ ”  (</w:t>
      </w:r>
      <w:r w:rsidRPr="00455C07">
        <w:rPr>
          <w:i/>
        </w:rPr>
        <w:t xml:space="preserve">People v. </w:t>
      </w:r>
      <w:r>
        <w:rPr>
          <w:i/>
        </w:rPr>
        <w:t>Wilkinson</w:t>
      </w:r>
      <w:r w:rsidRPr="00455C07">
        <w:t xml:space="preserve"> (2012) </w:t>
      </w:r>
      <w:r>
        <w:t>33</w:t>
      </w:r>
      <w:r w:rsidRPr="00455C07">
        <w:t xml:space="preserve"> Cal.4th </w:t>
      </w:r>
      <w:r>
        <w:t>821</w:t>
      </w:r>
      <w:r w:rsidRPr="00455C07">
        <w:t xml:space="preserve">, </w:t>
      </w:r>
      <w:r>
        <w:t xml:space="preserve">836.)  So is treatment </w:t>
      </w:r>
      <w:r>
        <w:t>affecting a</w:t>
      </w:r>
      <w:r>
        <w:t xml:space="preserve"> fundamental right.  </w:t>
      </w:r>
      <w:r>
        <w:t xml:space="preserve">(See </w:t>
      </w:r>
      <w:r w:rsidRPr="00F555B2">
        <w:rPr>
          <w:i/>
        </w:rPr>
        <w:t>Warden v. State Bar</w:t>
      </w:r>
      <w:r>
        <w:t xml:space="preserve"> (1999) 21 Cal.4th 628, </w:t>
      </w:r>
      <w:r>
        <w:t>641 [“</w:t>
      </w:r>
      <w:r>
        <w:t> ‘</w:t>
      </w:r>
      <w:r>
        <w:t xml:space="preserve">[I]n cases involving </w:t>
      </w:r>
      <w:r>
        <w:t>“</w:t>
      </w:r>
      <w:r w:rsidRPr="006F58CD">
        <w:t>suspect classifications</w:t>
      </w:r>
      <w:r>
        <w:t>”</w:t>
      </w:r>
      <w:r w:rsidRPr="006F58CD">
        <w:t xml:space="preserve"> or touching on </w:t>
      </w:r>
      <w:r>
        <w:t>“</w:t>
      </w:r>
      <w:r>
        <w:t>fundamental interes</w:t>
      </w:r>
      <w:r>
        <w:t>ts</w:t>
      </w:r>
      <w:r>
        <w:t>”</w:t>
      </w:r>
      <w:r>
        <w:t> . . .</w:t>
      </w:r>
      <w:r w:rsidRPr="006F58CD">
        <w:t xml:space="preserve"> courts adopt </w:t>
      </w:r>
      <w:r>
        <w:t>“</w:t>
      </w:r>
      <w:r w:rsidRPr="006F58CD">
        <w:t xml:space="preserve">an attitude of active and critical analysis, subjecting the classifications to strict scrutiny. </w:t>
      </w:r>
      <w:r>
        <w:t xml:space="preserve"> </w:t>
      </w:r>
      <w:r w:rsidRPr="006F58CD">
        <w:t xml:space="preserve">[Citations.] </w:t>
      </w:r>
      <w:r>
        <w:t xml:space="preserve"> </w:t>
      </w:r>
      <w:r w:rsidRPr="006F58CD">
        <w:t xml:space="preserve">Under the strict standard applied in such cases, </w:t>
      </w:r>
      <w:r w:rsidRPr="008059AE">
        <w:rPr>
          <w:i/>
        </w:rPr>
        <w:t>the state</w:t>
      </w:r>
      <w:r w:rsidRPr="006F58CD">
        <w:t xml:space="preserve"> bears the burden of establishing not only that it has a </w:t>
      </w:r>
      <w:r w:rsidRPr="008059AE">
        <w:rPr>
          <w:i/>
        </w:rPr>
        <w:t>compel</w:t>
      </w:r>
      <w:r w:rsidRPr="008059AE">
        <w:rPr>
          <w:i/>
        </w:rPr>
        <w:t>ling</w:t>
      </w:r>
      <w:r w:rsidRPr="006F58CD">
        <w:t xml:space="preserve"> interest which justifies the law but that the distinctions drawn by the law are </w:t>
      </w:r>
      <w:r w:rsidRPr="008059AE">
        <w:rPr>
          <w:i/>
        </w:rPr>
        <w:t>necessary</w:t>
      </w:r>
      <w:r w:rsidRPr="006F58CD">
        <w:t xml:space="preserve"> to further its purpose.</w:t>
      </w:r>
      <w:r>
        <w:t>”</w:t>
      </w:r>
      <w:r w:rsidRPr="006F58CD">
        <w:t xml:space="preserve"> </w:t>
      </w:r>
      <w:r>
        <w:t xml:space="preserve"> </w:t>
      </w:r>
      <w:r w:rsidRPr="006F58CD">
        <w:t>[Citation.]</w:t>
      </w:r>
      <w:r>
        <w:t>’ </w:t>
      </w:r>
      <w:r w:rsidRPr="006F58CD">
        <w:t>”</w:t>
      </w:r>
      <w:r>
        <w:t xml:space="preserve">].)  </w:t>
      </w:r>
      <w:r>
        <w:t xml:space="preserve">In the high court, </w:t>
      </w:r>
      <w:r w:rsidRPr="008059AE">
        <w:t>c</w:t>
      </w:r>
      <w:r w:rsidRPr="006F2919">
        <w:t>ertain other classifications, such as</w:t>
      </w:r>
      <w:r w:rsidRPr="008059AE">
        <w:t xml:space="preserve"> gender and</w:t>
      </w:r>
      <w:r w:rsidRPr="006F2919">
        <w:t xml:space="preserve"> illegitimacy, trigger “intermediate scrutiny</w:t>
      </w:r>
      <w:r w:rsidRPr="00AD5DDD">
        <w:t>”</w:t>
      </w:r>
      <w:r>
        <w:t xml:space="preserve"> under the federal constitution.</w:t>
      </w:r>
      <w:r>
        <w:t xml:space="preserve"> </w:t>
      </w:r>
      <w:r w:rsidRPr="006F2919">
        <w:t xml:space="preserve"> (</w:t>
      </w:r>
      <w:r w:rsidRPr="008059AE">
        <w:rPr>
          <w:i/>
        </w:rPr>
        <w:t>Hernandez v. City of Hanford</w:t>
      </w:r>
      <w:r w:rsidRPr="006F2919">
        <w:t xml:space="preserve"> (2007) 41 Cal.4th 279, 299, fn. 12 </w:t>
      </w:r>
      <w:r w:rsidRPr="006F2919">
        <w:t>[“</w:t>
      </w:r>
      <w:r>
        <w:t>In applying the federal</w:t>
      </w:r>
      <w:r w:rsidRPr="00AD5DDD">
        <w:t xml:space="preserve"> equal protection clause, the United States Supreme Court has applied a third standard</w:t>
      </w:r>
      <w:r>
        <w:t xml:space="preserve"> </w:t>
      </w:r>
      <w:r w:rsidRPr="00AD5DDD">
        <w:t>—</w:t>
      </w:r>
      <w:r>
        <w:t xml:space="preserve"> </w:t>
      </w:r>
      <w:r w:rsidRPr="00AD5DDD">
        <w:t>‘intermediate scrutiny’</w:t>
      </w:r>
      <w:r>
        <w:t xml:space="preserve"> </w:t>
      </w:r>
      <w:r w:rsidRPr="00AD5DDD">
        <w:t>—</w:t>
      </w:r>
      <w:r>
        <w:t xml:space="preserve"> </w:t>
      </w:r>
      <w:r w:rsidRPr="00AD5DDD">
        <w:t>‘to discriminator</w:t>
      </w:r>
      <w:r w:rsidRPr="00AD5DDD">
        <w:t>y classifications based on sex or illegitimacy.’ </w:t>
      </w:r>
      <w:r w:rsidRPr="006D71EF">
        <w:t>”].</w:t>
      </w:r>
      <w:r>
        <w:t xml:space="preserve">  But see </w:t>
      </w:r>
      <w:r>
        <w:rPr>
          <w:i/>
        </w:rPr>
        <w:t>Catholic Charities of Sacramento, Inc. v. Superior Court</w:t>
      </w:r>
      <w:r>
        <w:t xml:space="preserve"> (2004) 32 Cal.4th 527, 564 [“We long ago concluded that discrimination based on gender violates the equal protection clause of the Califo</w:t>
      </w:r>
      <w:r>
        <w:t>rnia Constitution (art. I, § 7</w:t>
      </w:r>
      <w:r>
        <w:t xml:space="preserve">, subd. </w:t>
      </w:r>
      <w:r>
        <w:t>(a)) and triggers the highest level of scrutiny.”].</w:t>
      </w:r>
      <w:r w:rsidRPr="006F2919">
        <w:t>)</w:t>
      </w:r>
      <w:r>
        <w:t xml:space="preserve">  </w:t>
      </w:r>
    </w:p>
    <w:p w:rsidR="00326554" w:rsidRDefault="00F83D06" w:rsidP="006F2919">
      <w:pPr>
        <w:tabs>
          <w:tab w:val="left" w:pos="1440"/>
        </w:tabs>
        <w:spacing w:line="480" w:lineRule="atLeast"/>
        <w:ind w:firstLine="720"/>
      </w:pPr>
      <w:r>
        <w:lastRenderedPageBreak/>
        <w:t xml:space="preserve">Yet </w:t>
      </w:r>
      <w:r>
        <w:t xml:space="preserve">where </w:t>
      </w:r>
      <w:r>
        <w:t>th</w:t>
      </w:r>
      <w:r>
        <w:t xml:space="preserve">e law challenged </w:t>
      </w:r>
      <w:r>
        <w:t>n</w:t>
      </w:r>
      <w:r>
        <w:t xml:space="preserve">either draws a suspect classification </w:t>
      </w:r>
      <w:r>
        <w:t>n</w:t>
      </w:r>
      <w:r>
        <w:t xml:space="preserve">or </w:t>
      </w:r>
      <w:r>
        <w:t>burden</w:t>
      </w:r>
      <w:r>
        <w:t>s</w:t>
      </w:r>
      <w:r>
        <w:t xml:space="preserve"> </w:t>
      </w:r>
      <w:r>
        <w:t>fundamental right</w:t>
      </w:r>
      <w:r>
        <w:t>s</w:t>
      </w:r>
      <w:r>
        <w:t xml:space="preserve">, </w:t>
      </w:r>
      <w:r>
        <w:t>the question we ask is different.  We find a denial of equal pr</w:t>
      </w:r>
      <w:r>
        <w:t xml:space="preserve">otection only if there is no </w:t>
      </w:r>
      <w:r w:rsidRPr="002E7B77">
        <w:rPr>
          <w:i/>
        </w:rPr>
        <w:t>rational</w:t>
      </w:r>
      <w:r>
        <w:t xml:space="preserve"> relationship between a disparity in treatment and some legitimate </w:t>
      </w:r>
      <w:r>
        <w:t xml:space="preserve">government </w:t>
      </w:r>
      <w:r>
        <w:t>purpose</w:t>
      </w:r>
      <w:r>
        <w:t>.</w:t>
      </w:r>
      <w:r>
        <w:t xml:space="preserve"> </w:t>
      </w:r>
      <w:r>
        <w:t xml:space="preserve"> </w:t>
      </w:r>
      <w:r w:rsidRPr="00282B69">
        <w:t>(</w:t>
      </w:r>
      <w:r w:rsidRPr="00455C07">
        <w:rPr>
          <w:i/>
        </w:rPr>
        <w:t>People v. Turnage</w:t>
      </w:r>
      <w:r w:rsidRPr="00455C07">
        <w:t xml:space="preserve"> (2012) 55 Cal.4th 62, 74</w:t>
      </w:r>
      <w:r>
        <w:t xml:space="preserve">.)  </w:t>
      </w:r>
      <w:r>
        <w:t>T</w:t>
      </w:r>
      <w:r>
        <w:t xml:space="preserve">his core feature of equal protection </w:t>
      </w:r>
      <w:r>
        <w:t xml:space="preserve">sets </w:t>
      </w:r>
      <w:r>
        <w:t xml:space="preserve">a </w:t>
      </w:r>
      <w:r>
        <w:t xml:space="preserve">high bar </w:t>
      </w:r>
      <w:r>
        <w:t>before a law</w:t>
      </w:r>
      <w:r>
        <w:t xml:space="preserve"> </w:t>
      </w:r>
      <w:r>
        <w:t>is deemed to lack</w:t>
      </w:r>
      <w:r>
        <w:t xml:space="preserve"> even</w:t>
      </w:r>
      <w:r>
        <w:t xml:space="preserve"> </w:t>
      </w:r>
      <w:r>
        <w:t xml:space="preserve">the minimal rationality necessary for it </w:t>
      </w:r>
      <w:r>
        <w:t xml:space="preserve">to </w:t>
      </w:r>
      <w:r>
        <w:t>survive</w:t>
      </w:r>
      <w:r>
        <w:t xml:space="preserve"> constitutional</w:t>
      </w:r>
      <w:r>
        <w:t xml:space="preserve"> scrutiny</w:t>
      </w:r>
      <w:r>
        <w:t>.  Co</w:t>
      </w:r>
      <w:r>
        <w:t xml:space="preserve">upled with </w:t>
      </w:r>
      <w:r>
        <w:t xml:space="preserve">a rebuttable </w:t>
      </w:r>
      <w:r>
        <w:t xml:space="preserve">presumption that </w:t>
      </w:r>
      <w:r>
        <w:t>legislation is</w:t>
      </w:r>
      <w:r>
        <w:t xml:space="preserve"> constitutional</w:t>
      </w:r>
      <w:r>
        <w:t xml:space="preserve">, this high bar </w:t>
      </w:r>
      <w:r>
        <w:t xml:space="preserve">helps ensure that democratically enacted laws are not invalidated merely </w:t>
      </w:r>
      <w:r>
        <w:t>based on</w:t>
      </w:r>
      <w:r>
        <w:t xml:space="preserve"> </w:t>
      </w:r>
      <w:r>
        <w:t xml:space="preserve">a </w:t>
      </w:r>
      <w:r>
        <w:t>court</w:t>
      </w:r>
      <w:r>
        <w:t xml:space="preserve">’s cursory conclusion </w:t>
      </w:r>
      <w:r>
        <w:t>that a statute’s trade</w:t>
      </w:r>
      <w:r>
        <w:t>-</w:t>
      </w:r>
      <w:r>
        <w:t xml:space="preserve">offs </w:t>
      </w:r>
      <w:r>
        <w:t>seem</w:t>
      </w:r>
      <w:r>
        <w:t xml:space="preserve"> </w:t>
      </w:r>
      <w:r>
        <w:t>unwise or unfair</w:t>
      </w:r>
      <w:r>
        <w:t xml:space="preserve">.  </w:t>
      </w:r>
      <w:r w:rsidRPr="00E96D72">
        <w:t>(</w:t>
      </w:r>
      <w:r>
        <w:t xml:space="preserve">See </w:t>
      </w:r>
      <w:r>
        <w:rPr>
          <w:i/>
        </w:rPr>
        <w:t xml:space="preserve">Heller v. Doe </w:t>
      </w:r>
      <w:r>
        <w:t>(1993) 509 U.S. 312, 31</w:t>
      </w:r>
      <w:r>
        <w:t>9</w:t>
      </w:r>
      <w:r>
        <w:t xml:space="preserve"> [“</w:t>
      </w:r>
      <w:r>
        <w:t>[R]</w:t>
      </w:r>
      <w:r>
        <w:t xml:space="preserve">ational-basis review </w:t>
      </w:r>
      <w:r>
        <w:t>. . .</w:t>
      </w:r>
      <w:r>
        <w:t xml:space="preserve"> </w:t>
      </w:r>
      <w:r>
        <w:t>‘</w:t>
      </w:r>
      <w:r>
        <w:t>is not a license for courts to judge the wisdom, fairness, or logic of legislative choices.</w:t>
      </w:r>
      <w:r>
        <w:t>’</w:t>
      </w:r>
      <w:r>
        <w:t xml:space="preserve">  [</w:t>
      </w:r>
      <w:r>
        <w:t>C</w:t>
      </w:r>
      <w:r>
        <w:t>itat</w:t>
      </w:r>
      <w:r>
        <w:t>ions</w:t>
      </w:r>
      <w:r>
        <w:t>.</w:t>
      </w:r>
      <w:r>
        <w:t xml:space="preserve">]  Nor does it authorize ‘the judiciary [to] sit as a </w:t>
      </w:r>
      <w:r>
        <w:t>superlegislature</w:t>
      </w:r>
      <w:r>
        <w:t xml:space="preserve"> to judge the wisdom or desirability of legislative policy determinations made in areas that neither affect fundamental rights nor proceed along suspect lines.’ ”</w:t>
      </w:r>
      <w:r>
        <w:t>]</w:t>
      </w:r>
      <w:r>
        <w:t>;</w:t>
      </w:r>
      <w:r>
        <w:t xml:space="preserve"> see also</w:t>
      </w:r>
      <w:r>
        <w:t xml:space="preserve"> </w:t>
      </w:r>
      <w:r>
        <w:rPr>
          <w:i/>
        </w:rPr>
        <w:t>Johnson</w:t>
      </w:r>
      <w:r>
        <w:t xml:space="preserve">, </w:t>
      </w:r>
      <w:r>
        <w:rPr>
          <w:i/>
        </w:rPr>
        <w:t>supra</w:t>
      </w:r>
      <w:r>
        <w:t>, 60 Cal.4th at p. 880, fn. 5</w:t>
      </w:r>
      <w:r>
        <w:t xml:space="preserve">.)  </w:t>
      </w:r>
    </w:p>
    <w:p w:rsidR="00326554" w:rsidRPr="00326554" w:rsidRDefault="00F83D06" w:rsidP="00290C82">
      <w:pPr>
        <w:spacing w:line="480" w:lineRule="atLeast"/>
      </w:pPr>
      <w:r>
        <w:tab/>
      </w:r>
      <w:r>
        <w:t xml:space="preserve">In order to </w:t>
      </w:r>
      <w:r>
        <w:t xml:space="preserve">decide whether </w:t>
      </w:r>
      <w:r>
        <w:t>a statutory distinction is</w:t>
      </w:r>
      <w:r>
        <w:t xml:space="preserve"> so devoid of even minimal rationality that it is</w:t>
      </w:r>
      <w:r>
        <w:t xml:space="preserve"> unconstitutional</w:t>
      </w:r>
      <w:r>
        <w:t xml:space="preserve"> as a matter of equal protection</w:t>
      </w:r>
      <w:r>
        <w:t xml:space="preserve">, </w:t>
      </w:r>
      <w:r>
        <w:t xml:space="preserve">we typically ask two questions.  </w:t>
      </w:r>
      <w:r>
        <w:t>W</w:t>
      </w:r>
      <w:r>
        <w:t>e</w:t>
      </w:r>
      <w:r>
        <w:t xml:space="preserve"> first</w:t>
      </w:r>
      <w:r>
        <w:t xml:space="preserve"> ask </w:t>
      </w:r>
      <w:r>
        <w:t>whether the sta</w:t>
      </w:r>
      <w:r>
        <w:t xml:space="preserve">te adopted a classification affecting two or more groups that are similarly situated in an unequal manner.  </w:t>
      </w:r>
      <w:r>
        <w:t>(</w:t>
      </w:r>
      <w:r w:rsidRPr="00D72B1B">
        <w:rPr>
          <w:i/>
        </w:rPr>
        <w:t xml:space="preserve">People v. </w:t>
      </w:r>
      <w:r w:rsidRPr="001D127E">
        <w:rPr>
          <w:i/>
        </w:rPr>
        <w:t>McKee</w:t>
      </w:r>
      <w:r>
        <w:t xml:space="preserve">, </w:t>
      </w:r>
      <w:r w:rsidRPr="00326554">
        <w:rPr>
          <w:i/>
        </w:rPr>
        <w:t>supra</w:t>
      </w:r>
      <w:r>
        <w:t xml:space="preserve">, 47 Cal.4th </w:t>
      </w:r>
      <w:r>
        <w:t>at p. 1202</w:t>
      </w:r>
      <w:r>
        <w:t xml:space="preserve">.)  </w:t>
      </w:r>
      <w:r>
        <w:t>I</w:t>
      </w:r>
      <w:r>
        <w:t xml:space="preserve">f </w:t>
      </w:r>
      <w:r>
        <w:t xml:space="preserve">we deem the </w:t>
      </w:r>
      <w:r>
        <w:t>groups at issue</w:t>
      </w:r>
      <w:r>
        <w:t xml:space="preserve"> </w:t>
      </w:r>
      <w:r>
        <w:t>similarly situated</w:t>
      </w:r>
      <w:r>
        <w:t xml:space="preserve"> in all material respects</w:t>
      </w:r>
      <w:r>
        <w:t xml:space="preserve">, </w:t>
      </w:r>
      <w:r>
        <w:t xml:space="preserve">we </w:t>
      </w:r>
      <w:r>
        <w:t>consider whether th</w:t>
      </w:r>
      <w:r>
        <w:t>e challenged classification ultimately bears a rational relationship to a legitimate state purpose</w:t>
      </w:r>
      <w:r>
        <w:t>.</w:t>
      </w:r>
      <w:r>
        <w:t xml:space="preserve"> </w:t>
      </w:r>
      <w:r>
        <w:t xml:space="preserve"> (</w:t>
      </w:r>
      <w:r w:rsidRPr="004E78FF">
        <w:rPr>
          <w:i/>
        </w:rPr>
        <w:t>Johnson</w:t>
      </w:r>
      <w:r>
        <w:t xml:space="preserve">, </w:t>
      </w:r>
      <w:r w:rsidRPr="004E78FF">
        <w:rPr>
          <w:i/>
        </w:rPr>
        <w:t>supra</w:t>
      </w:r>
      <w:r>
        <w:t xml:space="preserve">, 60 Cal.4th at p. </w:t>
      </w:r>
      <w:r>
        <w:t>881</w:t>
      </w:r>
      <w:r>
        <w:t xml:space="preserve">.)  </w:t>
      </w:r>
      <w:r w:rsidRPr="0084735B">
        <w:t>A</w:t>
      </w:r>
      <w:r w:rsidRPr="0084735B">
        <w:t xml:space="preserve"> classification in a statute is presumed rational until the challenger shows </w:t>
      </w:r>
      <w:r w:rsidRPr="0084735B">
        <w:t>that</w:t>
      </w:r>
      <w:r w:rsidRPr="0084735B">
        <w:t xml:space="preserve"> no rational basis for the unequal treatment is reasonably conceivable</w:t>
      </w:r>
      <w:r w:rsidRPr="00AD5DDD">
        <w:rPr>
          <w:rStyle w:val="cohighlightpoints"/>
        </w:rPr>
        <w:t>.</w:t>
      </w:r>
      <w:r>
        <w:rPr>
          <w:rStyle w:val="cohighlightpoints"/>
        </w:rPr>
        <w:t xml:space="preserve">  </w:t>
      </w:r>
      <w:r>
        <w:t xml:space="preserve">(See </w:t>
      </w:r>
      <w:r w:rsidRPr="00D94771">
        <w:rPr>
          <w:rStyle w:val="cohighlightpoints"/>
          <w:i/>
        </w:rPr>
        <w:t>ibid.</w:t>
      </w:r>
      <w:r>
        <w:rPr>
          <w:rStyle w:val="cohighlightpoints"/>
        </w:rPr>
        <w:t>; see also</w:t>
      </w:r>
      <w:r>
        <w:rPr>
          <w:rStyle w:val="cohighlightpoints"/>
        </w:rPr>
        <w:t xml:space="preserve"> </w:t>
      </w:r>
      <w:r w:rsidRPr="008059AE">
        <w:rPr>
          <w:rStyle w:val="cohighlightpoints"/>
          <w:i/>
        </w:rPr>
        <w:t>Gerawan Farming, Inc. v. Agricultural Labor Relations Board</w:t>
      </w:r>
      <w:r w:rsidRPr="00290C82">
        <w:rPr>
          <w:rStyle w:val="cohighlightpoints"/>
        </w:rPr>
        <w:t xml:space="preserve"> </w:t>
      </w:r>
      <w:r>
        <w:rPr>
          <w:rStyle w:val="cohighlightpoints"/>
        </w:rPr>
        <w:t>(2017</w:t>
      </w:r>
      <w:r w:rsidRPr="00290C82">
        <w:rPr>
          <w:rStyle w:val="cohighlightpoints"/>
        </w:rPr>
        <w:t>)</w:t>
      </w:r>
      <w:r>
        <w:rPr>
          <w:rStyle w:val="cohighlightpoints"/>
        </w:rPr>
        <w:t xml:space="preserve"> </w:t>
      </w:r>
      <w:r>
        <w:rPr>
          <w:rStyle w:val="cohighlightpoints"/>
        </w:rPr>
        <w:t>3</w:t>
      </w:r>
      <w:r>
        <w:rPr>
          <w:rStyle w:val="cohighlightpoints"/>
        </w:rPr>
        <w:t xml:space="preserve"> Cal.5th</w:t>
      </w:r>
      <w:r>
        <w:rPr>
          <w:rStyle w:val="cohighlightpoints"/>
        </w:rPr>
        <w:t xml:space="preserve"> 1118, 1140</w:t>
      </w:r>
      <w:r>
        <w:rPr>
          <w:rStyle w:val="cohighlightpoints"/>
        </w:rPr>
        <w:t>]</w:t>
      </w:r>
      <w:r>
        <w:rPr>
          <w:rStyle w:val="cohighlightpoints"/>
        </w:rPr>
        <w:t xml:space="preserve"> </w:t>
      </w:r>
      <w:r>
        <w:rPr>
          <w:rStyle w:val="cohighlightpoints"/>
        </w:rPr>
        <w:t xml:space="preserve">[holding that </w:t>
      </w:r>
      <w:r>
        <w:rPr>
          <w:rStyle w:val="cohighlightpoints"/>
        </w:rPr>
        <w:t>“ ‘</w:t>
      </w:r>
      <w:r>
        <w:rPr>
          <w:rStyle w:val="cohighlightpoints"/>
        </w:rPr>
        <w:t> </w:t>
      </w:r>
      <w:r>
        <w:rPr>
          <w:rStyle w:val="cohighlightpoints"/>
        </w:rPr>
        <w:t>“</w:t>
      </w:r>
      <w:r w:rsidRPr="00290C82">
        <w:rPr>
          <w:rStyle w:val="cohighlightpoints"/>
        </w:rPr>
        <w:t>a statutory classification that neither proceeds along</w:t>
      </w:r>
      <w:r w:rsidRPr="00290C82">
        <w:rPr>
          <w:rStyle w:val="cohighlightpoints"/>
        </w:rPr>
        <w:t xml:space="preserve"> suspect lines nor infringes </w:t>
      </w:r>
      <w:r w:rsidRPr="00290C82">
        <w:rPr>
          <w:rStyle w:val="cohighlightpoints"/>
        </w:rPr>
        <w:lastRenderedPageBreak/>
        <w:t>fundamental constitutional rights must be upheld against equal protection challenge if there is any reasonably conceivable state of facts that could provide a rational b</w:t>
      </w:r>
      <w:r>
        <w:rPr>
          <w:rStyle w:val="cohighlightpoints"/>
        </w:rPr>
        <w:t>asis for the classification.</w:t>
      </w:r>
      <w:r>
        <w:rPr>
          <w:rStyle w:val="cohighlightpoints"/>
        </w:rPr>
        <w:t>” ’ [</w:t>
      </w:r>
      <w:r>
        <w:rPr>
          <w:rStyle w:val="cohighlightpoints"/>
        </w:rPr>
        <w:t>C</w:t>
      </w:r>
      <w:r>
        <w:rPr>
          <w:rStyle w:val="cohighlightpoints"/>
        </w:rPr>
        <w:t>itation</w:t>
      </w:r>
      <w:r>
        <w:rPr>
          <w:rStyle w:val="cohighlightpoints"/>
        </w:rPr>
        <w:t>.</w:t>
      </w:r>
      <w:r>
        <w:rPr>
          <w:rStyle w:val="cohighlightpoints"/>
        </w:rPr>
        <w:t>]</w:t>
      </w:r>
      <w:r>
        <w:rPr>
          <w:rStyle w:val="cohighlightpoints"/>
        </w:rPr>
        <w:t>”].)</w:t>
      </w:r>
      <w:r>
        <w:rPr>
          <w:rStyle w:val="cohighlightpoints"/>
        </w:rPr>
        <w:t xml:space="preserve">  </w:t>
      </w:r>
      <w:r>
        <w:t>The under</w:t>
      </w:r>
      <w:r>
        <w:t xml:space="preserve">lying rationale for a statutory classification need not have been </w:t>
      </w:r>
      <w:r>
        <w:t>“</w:t>
      </w:r>
      <w:r>
        <w:t xml:space="preserve">ever </w:t>
      </w:r>
      <w:r>
        <w:t xml:space="preserve">actually </w:t>
      </w:r>
      <w:r>
        <w:t>articulated</w:t>
      </w:r>
      <w:r>
        <w:t>”</w:t>
      </w:r>
      <w:r>
        <w:t xml:space="preserve"> by lawmakers, and it does not need to </w:t>
      </w:r>
      <w:r>
        <w:t>“</w:t>
      </w:r>
      <w:r>
        <w:t>be empirically substantiated.</w:t>
      </w:r>
      <w:r>
        <w:t>”</w:t>
      </w:r>
      <w:r>
        <w:t xml:space="preserve">  (</w:t>
      </w:r>
      <w:r w:rsidRPr="004E78FF">
        <w:rPr>
          <w:i/>
        </w:rPr>
        <w:t>Johnson</w:t>
      </w:r>
      <w:r>
        <w:t>, at p. 881.</w:t>
      </w:r>
      <w:r>
        <w:t xml:space="preserve">)  </w:t>
      </w:r>
      <w:r>
        <w:t>Nor does the</w:t>
      </w:r>
      <w:r w:rsidRPr="00326554">
        <w:t xml:space="preserve"> logic behind a potential just</w:t>
      </w:r>
      <w:r>
        <w:t xml:space="preserve">ification need to be </w:t>
      </w:r>
      <w:r>
        <w:t>persu</w:t>
      </w:r>
      <w:r>
        <w:t>asive</w:t>
      </w:r>
      <w:r>
        <w:t xml:space="preserve"> or</w:t>
      </w:r>
      <w:r>
        <w:t xml:space="preserve"> sensible</w:t>
      </w:r>
      <w:r>
        <w:t xml:space="preserve"> </w:t>
      </w:r>
      <w:r w:rsidRPr="00326554">
        <w:t xml:space="preserve">— </w:t>
      </w:r>
      <w:r>
        <w:t xml:space="preserve">rather than </w:t>
      </w:r>
      <w:r w:rsidRPr="00326554">
        <w:t>simply rational.  (</w:t>
      </w:r>
      <w:r>
        <w:t xml:space="preserve">See </w:t>
      </w:r>
      <w:r>
        <w:rPr>
          <w:i/>
        </w:rPr>
        <w:t>ibid.</w:t>
      </w:r>
      <w:r w:rsidRPr="00326554">
        <w:t xml:space="preserve">)  </w:t>
      </w:r>
    </w:p>
    <w:p w:rsidR="00773558" w:rsidRDefault="00F83D06" w:rsidP="00EE03B8">
      <w:pPr>
        <w:tabs>
          <w:tab w:val="left" w:pos="1440"/>
        </w:tabs>
        <w:spacing w:line="480" w:lineRule="atLeast"/>
        <w:jc w:val="center"/>
      </w:pPr>
      <w:r>
        <w:t>I</w:t>
      </w:r>
      <w:r>
        <w:t>V</w:t>
      </w:r>
      <w:r>
        <w:t>.</w:t>
      </w:r>
    </w:p>
    <w:p w:rsidR="00113336" w:rsidRDefault="00F83D06" w:rsidP="00287D66">
      <w:pPr>
        <w:tabs>
          <w:tab w:val="left" w:pos="1440"/>
        </w:tabs>
        <w:spacing w:line="480" w:lineRule="atLeast"/>
        <w:ind w:firstLine="720"/>
      </w:pPr>
      <w:r>
        <w:t xml:space="preserve">Chatman contends that he and other former probationers incarcerated after their convictions were dismissed </w:t>
      </w:r>
      <w:r>
        <w:t xml:space="preserve">share a characteristic pivotal to the outcome of this case –– they are, in all material respects, </w:t>
      </w:r>
      <w:r>
        <w:t xml:space="preserve">similarly situated to formerly incarcerated former prisoners, who </w:t>
      </w:r>
      <w:r>
        <w:t>remain</w:t>
      </w:r>
      <w:r>
        <w:t xml:space="preserve"> eligible to apply for a certificate of </w:t>
      </w:r>
      <w:r>
        <w:t>rehabilitation</w:t>
      </w:r>
      <w:r>
        <w:t xml:space="preserve"> </w:t>
      </w:r>
      <w:r>
        <w:t>even if subsequently</w:t>
      </w:r>
      <w:r>
        <w:t xml:space="preserve"> </w:t>
      </w:r>
      <w:r>
        <w:t>incarcerat</w:t>
      </w:r>
      <w:r>
        <w:t>ed</w:t>
      </w:r>
      <w:r>
        <w:t xml:space="preserve">.  </w:t>
      </w:r>
      <w:r>
        <w:t xml:space="preserve">We assume </w:t>
      </w:r>
      <w:r>
        <w:t>without deciding</w:t>
      </w:r>
      <w:r>
        <w:t xml:space="preserve"> </w:t>
      </w:r>
      <w:r>
        <w:t xml:space="preserve">that </w:t>
      </w:r>
      <w:r>
        <w:t xml:space="preserve">Chatman is correct </w:t>
      </w:r>
      <w:r>
        <w:t xml:space="preserve">regarding the similarly situated nature of </w:t>
      </w:r>
      <w:r>
        <w:t>the</w:t>
      </w:r>
      <w:r>
        <w:t>se</w:t>
      </w:r>
      <w:r>
        <w:t xml:space="preserve"> two groups, so we </w:t>
      </w:r>
      <w:r>
        <w:t xml:space="preserve">may </w:t>
      </w:r>
      <w:r>
        <w:t xml:space="preserve">consider the </w:t>
      </w:r>
      <w:r>
        <w:t xml:space="preserve">more fundamental </w:t>
      </w:r>
      <w:r>
        <w:t xml:space="preserve">question of </w:t>
      </w:r>
      <w:r>
        <w:t xml:space="preserve">whether </w:t>
      </w:r>
      <w:r>
        <w:t>section</w:t>
      </w:r>
      <w:r>
        <w:t xml:space="preserve"> </w:t>
      </w:r>
      <w:r>
        <w:t>4852</w:t>
      </w:r>
      <w:r>
        <w:t>.01</w:t>
      </w:r>
      <w:r>
        <w:t>’s</w:t>
      </w:r>
      <w:r>
        <w:t xml:space="preserve"> unequal</w:t>
      </w:r>
      <w:r>
        <w:t xml:space="preserve"> treatment of </w:t>
      </w:r>
      <w:r>
        <w:t>the groups</w:t>
      </w:r>
      <w:r>
        <w:t xml:space="preserve"> </w:t>
      </w:r>
      <w:r>
        <w:t>bear</w:t>
      </w:r>
      <w:r>
        <w:t>s</w:t>
      </w:r>
      <w:r>
        <w:t xml:space="preserve"> </w:t>
      </w:r>
      <w:r>
        <w:t>a</w:t>
      </w:r>
      <w:r>
        <w:t xml:space="preserve"> </w:t>
      </w:r>
      <w:r>
        <w:t>rational relationship</w:t>
      </w:r>
      <w:r>
        <w:t xml:space="preserve"> to a legitimate state purpose.</w:t>
      </w:r>
      <w:r>
        <w:t xml:space="preserve"> </w:t>
      </w:r>
      <w:r>
        <w:t xml:space="preserve"> </w:t>
      </w:r>
      <w:r>
        <w:t xml:space="preserve">What the </w:t>
      </w:r>
      <w:r>
        <w:t>Attorney General</w:t>
      </w:r>
      <w:r>
        <w:t xml:space="preserve"> </w:t>
      </w:r>
      <w:r>
        <w:t xml:space="preserve">maintains is </w:t>
      </w:r>
      <w:r>
        <w:t xml:space="preserve">that the </w:t>
      </w:r>
      <w:r>
        <w:t xml:space="preserve">answer to this question is straightforward:  the </w:t>
      </w:r>
      <w:r>
        <w:t>current statutory scheme is rational</w:t>
      </w:r>
      <w:r>
        <w:t>, among other reasons,</w:t>
      </w:r>
      <w:r>
        <w:t xml:space="preserve"> because it “conserves judicial resources by reserving certificate of [rehabilitation] proceedings to only those former </w:t>
      </w:r>
      <w:r>
        <w:t>felons</w:t>
      </w:r>
      <w:r>
        <w:t xml:space="preserve"> who are likely to be able to demonstrate rehabilitation.”  </w:t>
      </w:r>
    </w:p>
    <w:p w:rsidR="00DF255D" w:rsidRDefault="00F83D06" w:rsidP="00ED7FE2">
      <w:pPr>
        <w:tabs>
          <w:tab w:val="left" w:pos="1440"/>
        </w:tabs>
        <w:spacing w:line="480" w:lineRule="atLeast"/>
        <w:ind w:firstLine="720"/>
      </w:pPr>
      <w:r w:rsidRPr="00A56B8C">
        <w:t xml:space="preserve"> </w:t>
      </w:r>
      <w:r>
        <w:t>The Legislature’s decision to provide certificates of rehabilitation</w:t>
      </w:r>
      <w:r>
        <w:t xml:space="preserve"> to former probationers and former prisoners serves the laudable goal of decreasing the negative effects of felony convictions for those convicted felons who have achieved rehabilitation.  </w:t>
      </w:r>
      <w:r>
        <w:t>However laudable the goal, p</w:t>
      </w:r>
      <w:r>
        <w:t>rocessing</w:t>
      </w:r>
      <w:r>
        <w:t xml:space="preserve"> </w:t>
      </w:r>
      <w:r w:rsidRPr="00DF255D">
        <w:t>certificate</w:t>
      </w:r>
      <w:r>
        <w:t>s</w:t>
      </w:r>
      <w:r w:rsidRPr="00DF255D">
        <w:t xml:space="preserve"> of rehabilitatio</w:t>
      </w:r>
      <w:r w:rsidRPr="00DF255D">
        <w:t>n</w:t>
      </w:r>
      <w:r>
        <w:t xml:space="preserve"> –– once conceived as a means of relieving a burden on gubernatorial clemency decisions –– nonetheless </w:t>
      </w:r>
      <w:r w:rsidRPr="00DF255D">
        <w:t xml:space="preserve">requires the expenditure of significant </w:t>
      </w:r>
      <w:r w:rsidRPr="00DF255D">
        <w:lastRenderedPageBreak/>
        <w:t xml:space="preserve">resources. </w:t>
      </w:r>
      <w:r>
        <w:t xml:space="preserve"> </w:t>
      </w:r>
      <w:r w:rsidRPr="00DF255D">
        <w:t>The Penal Code provides eligible petitioners access to rehabilitative services and counsel during th</w:t>
      </w:r>
      <w:r w:rsidRPr="00DF255D">
        <w:t xml:space="preserve">e </w:t>
      </w:r>
      <w:r>
        <w:t>five</w:t>
      </w:r>
      <w:r w:rsidRPr="00DF255D">
        <w:t>-year period of rehabilitation and appointed counsel for the certificate of rehabilitation proceedings.</w:t>
      </w:r>
      <w:r>
        <w:t xml:space="preserve">  (§ 4852.03</w:t>
      </w:r>
      <w:r>
        <w:t>, subd. (a)</w:t>
      </w:r>
      <w:r>
        <w:t>;</w:t>
      </w:r>
      <w:r>
        <w:t xml:space="preserve"> § 4852.04;</w:t>
      </w:r>
      <w:r>
        <w:t xml:space="preserve"> § 4852.08</w:t>
      </w:r>
      <w:r>
        <w:t>.</w:t>
      </w:r>
      <w:r>
        <w:t>)</w:t>
      </w:r>
      <w:r w:rsidRPr="00DF255D">
        <w:t xml:space="preserve">  The trial court must determine whether the petitioner has “</w:t>
      </w:r>
      <w:r>
        <w:t xml:space="preserve">demonstrated </w:t>
      </w:r>
      <w:r w:rsidRPr="00DF255D">
        <w:t>by his or her course of co</w:t>
      </w:r>
      <w:r w:rsidRPr="00DF255D">
        <w:t>nduct his or her rehabilitation and his or her fitness to exercise all of the civil and political rights of citizenship</w:t>
      </w:r>
      <w:r>
        <w:t>.</w:t>
      </w:r>
      <w:r w:rsidRPr="00DF255D">
        <w:t>”  (§ 4852.13</w:t>
      </w:r>
      <w:r>
        <w:t>, subd. (a)</w:t>
      </w:r>
      <w:r w:rsidRPr="00DF255D">
        <w:t xml:space="preserve">.)  To </w:t>
      </w:r>
      <w:r>
        <w:t>assist</w:t>
      </w:r>
      <w:r w:rsidRPr="00DF255D">
        <w:t xml:space="preserve"> </w:t>
      </w:r>
      <w:r w:rsidRPr="00DF255D">
        <w:t>in th</w:t>
      </w:r>
      <w:r>
        <w:t>is determination</w:t>
      </w:r>
      <w:r>
        <w:t>,</w:t>
      </w:r>
      <w:r w:rsidRPr="00DF255D">
        <w:t xml:space="preserve"> the court may order testimony and the production of evidence at the governm</w:t>
      </w:r>
      <w:r w:rsidRPr="00DF255D">
        <w:t>ent’s expense and</w:t>
      </w:r>
      <w:r>
        <w:t xml:space="preserve"> may</w:t>
      </w:r>
      <w:r w:rsidRPr="00DF255D">
        <w:t xml:space="preserve"> require the district attorney to perform an investigation.</w:t>
      </w:r>
      <w:r>
        <w:t xml:space="preserve">  (§ 4852.1</w:t>
      </w:r>
      <w:r>
        <w:t>, subd. (a)</w:t>
      </w:r>
      <w:r>
        <w:t>; § 4852.12</w:t>
      </w:r>
      <w:r>
        <w:t>, subd. (a)</w:t>
      </w:r>
      <w:r>
        <w:t>.)</w:t>
      </w:r>
      <w:r w:rsidRPr="00DF255D">
        <w:t xml:space="preserve">  And once a certificate of rehabilitation has been granted, the certificate is immediately forwarded to the governor’s office</w:t>
      </w:r>
      <w:r>
        <w:t>, wh</w:t>
      </w:r>
      <w:r>
        <w:t>ich</w:t>
      </w:r>
      <w:r w:rsidRPr="00DF255D">
        <w:t xml:space="preserve"> then evaluates the petitioner for a pardon.</w:t>
      </w:r>
      <w:r>
        <w:t xml:space="preserve">  (§ 4852.</w:t>
      </w:r>
      <w:r>
        <w:t>14</w:t>
      </w:r>
      <w:r>
        <w:t>; § 4852.16</w:t>
      </w:r>
      <w:r>
        <w:t>.)</w:t>
      </w:r>
      <w:r w:rsidRPr="00DF255D">
        <w:t xml:space="preserve">  </w:t>
      </w:r>
      <w:r>
        <w:t xml:space="preserve">Irrespective of the outcome relative to any individual </w:t>
      </w:r>
      <w:r>
        <w:t>petitioner</w:t>
      </w:r>
      <w:r>
        <w:t>, this sequence</w:t>
      </w:r>
      <w:r w:rsidRPr="00DF255D">
        <w:t xml:space="preserve"> involves the expenditure of significant judicial and executive</w:t>
      </w:r>
      <w:r>
        <w:t xml:space="preserve"> </w:t>
      </w:r>
      <w:r w:rsidRPr="00DF255D">
        <w:t>branch resources.</w:t>
      </w:r>
    </w:p>
    <w:p w:rsidR="00BD3CBB" w:rsidRDefault="00F83D06" w:rsidP="00477306">
      <w:pPr>
        <w:tabs>
          <w:tab w:val="left" w:pos="1440"/>
        </w:tabs>
        <w:spacing w:line="480" w:lineRule="atLeast"/>
        <w:ind w:firstLine="720"/>
      </w:pPr>
      <w:r>
        <w:t>Preserving</w:t>
      </w:r>
      <w:r>
        <w:t xml:space="preserve"> the gover</w:t>
      </w:r>
      <w:r>
        <w:t>nment’s financial integrity and resources is a legitimate state interest</w:t>
      </w:r>
      <w:r>
        <w:t>.  (</w:t>
      </w:r>
      <w:r>
        <w:t xml:space="preserve">See </w:t>
      </w:r>
      <w:r w:rsidRPr="00272330">
        <w:rPr>
          <w:i/>
        </w:rPr>
        <w:t xml:space="preserve">Ortwein v. Schwab </w:t>
      </w:r>
      <w:r w:rsidRPr="008059AE">
        <w:t>(1973) 410 U.S. 656, 660 [</w:t>
      </w:r>
      <w:r>
        <w:t>holding appellate filing fee of $25 was rationally related to offsetting court system’</w:t>
      </w:r>
      <w:r>
        <w:t>s</w:t>
      </w:r>
      <w:r>
        <w:t xml:space="preserve"> costs</w:t>
      </w:r>
      <w:r>
        <w:t>];</w:t>
      </w:r>
      <w:r w:rsidRPr="00816CF3">
        <w:t xml:space="preserve"> </w:t>
      </w:r>
      <w:r w:rsidRPr="008059AE">
        <w:rPr>
          <w:i/>
        </w:rPr>
        <w:t xml:space="preserve">American Bank &amp; Trust Co. v. </w:t>
      </w:r>
      <w:r w:rsidRPr="008059AE">
        <w:rPr>
          <w:i/>
        </w:rPr>
        <w:t>Community Hospital</w:t>
      </w:r>
      <w:r>
        <w:t xml:space="preserve"> (1984) 36 Cal.3d 359, 374 [</w:t>
      </w:r>
      <w:r>
        <w:t>holding that</w:t>
      </w:r>
      <w:r>
        <w:t xml:space="preserve"> </w:t>
      </w:r>
      <w:r>
        <w:t>“</w:t>
      </w:r>
      <w:r>
        <w:t>administrative costs</w:t>
      </w:r>
      <w:r>
        <w:t>”</w:t>
      </w:r>
      <w:r w:rsidRPr="00816CF3">
        <w:t xml:space="preserve"> rationale </w:t>
      </w:r>
      <w:r>
        <w:t>defeats equal protection claim against</w:t>
      </w:r>
      <w:r w:rsidRPr="00816CF3">
        <w:t xml:space="preserve"> statute authorizing periodic payment procedure </w:t>
      </w:r>
      <w:r>
        <w:t>for medical malpractice victims</w:t>
      </w:r>
      <w:r>
        <w:t>]</w:t>
      </w:r>
      <w:r>
        <w:t>.</w:t>
      </w:r>
      <w:r>
        <w:t xml:space="preserve">)  </w:t>
      </w:r>
      <w:r>
        <w:t xml:space="preserve">Moreover, equal </w:t>
      </w:r>
      <w:r>
        <w:t>protection does not requir</w:t>
      </w:r>
      <w:r>
        <w:t xml:space="preserve">e a perfect fit between a statute’s means and </w:t>
      </w:r>
      <w:r>
        <w:t xml:space="preserve">the legitimate state </w:t>
      </w:r>
      <w:r>
        <w:t>ends</w:t>
      </w:r>
      <w:r>
        <w:t xml:space="preserve"> those means can serve</w:t>
      </w:r>
      <w:r>
        <w:t>.</w:t>
      </w:r>
      <w:r>
        <w:t xml:space="preserve">  (</w:t>
      </w:r>
      <w:r w:rsidRPr="006746DC">
        <w:rPr>
          <w:i/>
        </w:rPr>
        <w:t>Johnson</w:t>
      </w:r>
      <w:r>
        <w:t xml:space="preserve">, </w:t>
      </w:r>
      <w:r w:rsidRPr="00FC7F64">
        <w:rPr>
          <w:i/>
        </w:rPr>
        <w:t>supra</w:t>
      </w:r>
      <w:r>
        <w:t>, 60 Cal.4th at p. 887 [“ ‘</w:t>
      </w:r>
      <w:r w:rsidRPr="00CA0E71">
        <w:t xml:space="preserve">A classification is not arbitrary or irrational simply because there is an </w:t>
      </w:r>
      <w:r>
        <w:t>“</w:t>
      </w:r>
      <w:r w:rsidRPr="00CA0E71">
        <w:t>imperfect fit between means and ends</w:t>
      </w:r>
      <w:r>
        <w:t>” ’</w:t>
      </w:r>
      <w:r w:rsidRPr="00CA0E71">
        <w:t xml:space="preserve"> </w:t>
      </w:r>
      <w:r>
        <w:t>[c</w:t>
      </w:r>
      <w:r>
        <w:t>itation], or ‘</w:t>
      </w:r>
      <w:r w:rsidRPr="00CA0E71">
        <w:t xml:space="preserve">because it may be </w:t>
      </w:r>
      <w:r>
        <w:t>“</w:t>
      </w:r>
      <w:r w:rsidRPr="00CA0E71">
        <w:t>to some extent both underinclusive and overinclusive</w:t>
      </w:r>
      <w:r>
        <w:t>” ’ [</w:t>
      </w:r>
      <w:r>
        <w:t>C</w:t>
      </w:r>
      <w:r>
        <w:t>itation]</w:t>
      </w:r>
      <w:r>
        <w:t>.</w:t>
      </w:r>
      <w:r>
        <w:t xml:space="preserve">”].)  </w:t>
      </w:r>
      <w:r>
        <w:t xml:space="preserve">What we require is for </w:t>
      </w:r>
      <w:r>
        <w:t xml:space="preserve">the relationship between means and ends </w:t>
      </w:r>
      <w:r>
        <w:t xml:space="preserve">to </w:t>
      </w:r>
      <w:r>
        <w:t xml:space="preserve">be rational.  (See </w:t>
      </w:r>
      <w:r w:rsidRPr="007D3BF3">
        <w:rPr>
          <w:i/>
        </w:rPr>
        <w:t>id.</w:t>
      </w:r>
      <w:r>
        <w:t xml:space="preserve"> at p. 898 [“</w:t>
      </w:r>
      <w:r>
        <w:t>[W]</w:t>
      </w:r>
      <w:r>
        <w:t xml:space="preserve">hile the Legislature may </w:t>
      </w:r>
      <w:r>
        <w:lastRenderedPageBreak/>
        <w:t xml:space="preserve">rationally address a </w:t>
      </w:r>
      <w:r>
        <w:t xml:space="preserve">problem </w:t>
      </w:r>
      <w:r>
        <w:rPr>
          <w:rStyle w:val="cohighlightpoints"/>
        </w:rPr>
        <w:t>‘ “in less than comprehensive fashion by ‘striking the evil where it is felt most’</w:t>
      </w:r>
      <w:r>
        <w:t xml:space="preserve"> [citation], its decision as to where to </w:t>
      </w:r>
      <w:r>
        <w:t>‘</w:t>
      </w:r>
      <w:r>
        <w:t>strike</w:t>
      </w:r>
      <w:r>
        <w:t>’</w:t>
      </w:r>
      <w:r>
        <w:t xml:space="preserve"> must have a rational basis in light of the legislative objectives” ’ ”].)  </w:t>
      </w:r>
    </w:p>
    <w:p w:rsidR="00CD6E4A" w:rsidRDefault="00F83D06" w:rsidP="00477306">
      <w:pPr>
        <w:tabs>
          <w:tab w:val="left" w:pos="1440"/>
        </w:tabs>
        <w:spacing w:line="480" w:lineRule="atLeast"/>
        <w:ind w:firstLine="720"/>
      </w:pPr>
      <w:r>
        <w:t>On the other hand,</w:t>
      </w:r>
      <w:r>
        <w:t xml:space="preserve"> </w:t>
      </w:r>
      <w:r>
        <w:t xml:space="preserve">an </w:t>
      </w:r>
      <w:r>
        <w:t xml:space="preserve">entirely </w:t>
      </w:r>
      <w:r w:rsidRPr="00E47588">
        <w:t>arbitrary</w:t>
      </w:r>
      <w:r>
        <w:rPr>
          <w:i/>
        </w:rPr>
        <w:t xml:space="preserve"> </w:t>
      </w:r>
      <w:r>
        <w:t>decision to withhold a benefit from one subset of people</w:t>
      </w:r>
      <w:r>
        <w:t xml:space="preserve">, devoid of any </w:t>
      </w:r>
      <w:r>
        <w:t>conceivable degree of coherent justification,</w:t>
      </w:r>
      <w:r>
        <w:t xml:space="preserve"> might not pass rational basis review merely because it decreases the expenditure of resources.</w:t>
      </w:r>
      <w:r>
        <w:t xml:space="preserve">  (Cf. </w:t>
      </w:r>
      <w:r w:rsidRPr="008059AE">
        <w:rPr>
          <w:i/>
        </w:rPr>
        <w:t>Plyler v. Doe</w:t>
      </w:r>
      <w:r w:rsidRPr="00EF6ABB">
        <w:t xml:space="preserve"> (1982) 457 U.S. 202, 2</w:t>
      </w:r>
      <w:r w:rsidRPr="00EF6ABB">
        <w:t>27 [</w:t>
      </w:r>
      <w:r>
        <w:t>holding, albeit in an intermediate scrutiny context, that “</w:t>
      </w:r>
      <w:r w:rsidRPr="00EF6ABB">
        <w:t>a concern for the preservation of resources standing alone can hardly justify the classification used in allocating those resources</w:t>
      </w:r>
      <w:r>
        <w:t>”</w:t>
      </w:r>
      <w:r w:rsidRPr="00EF6ABB">
        <w:t>]</w:t>
      </w:r>
      <w:r>
        <w:t>.)</w:t>
      </w:r>
      <w:r>
        <w:t xml:space="preserve">  </w:t>
      </w:r>
      <w:r w:rsidRPr="004F3E93">
        <w:t xml:space="preserve">The question then is whether </w:t>
      </w:r>
      <w:r>
        <w:t>the classification at issue</w:t>
      </w:r>
      <w:r>
        <w:t xml:space="preserve"> in this case</w:t>
      </w:r>
      <w:r>
        <w:t>, which</w:t>
      </w:r>
      <w:r>
        <w:t xml:space="preserve"> </w:t>
      </w:r>
      <w:r>
        <w:t>bars</w:t>
      </w:r>
      <w:r w:rsidRPr="004F3E93">
        <w:t xml:space="preserve"> subsequently incarcerated former probationers from certificate of rehabilitation relief</w:t>
      </w:r>
      <w:r>
        <w:t>,</w:t>
      </w:r>
      <w:r>
        <w:t xml:space="preserve"> </w:t>
      </w:r>
      <w:r w:rsidRPr="004F3E93">
        <w:t>is</w:t>
      </w:r>
      <w:r>
        <w:t xml:space="preserve"> a</w:t>
      </w:r>
      <w:r w:rsidRPr="004F3E93">
        <w:t xml:space="preserve"> rational</w:t>
      </w:r>
      <w:r>
        <w:t xml:space="preserve"> means of preserving</w:t>
      </w:r>
      <w:r w:rsidRPr="004F3E93">
        <w:t xml:space="preserve"> government resources.  </w:t>
      </w:r>
    </w:p>
    <w:p w:rsidR="00770B9B" w:rsidRDefault="00F83D06" w:rsidP="004232BC">
      <w:pPr>
        <w:tabs>
          <w:tab w:val="left" w:pos="1440"/>
        </w:tabs>
        <w:spacing w:line="480" w:lineRule="atLeast"/>
        <w:ind w:firstLine="720"/>
      </w:pPr>
      <w:r>
        <w:t xml:space="preserve">We answer yes.  </w:t>
      </w:r>
      <w:r>
        <w:t>The Legislature</w:t>
      </w:r>
      <w:r>
        <w:t xml:space="preserve"> has chosen to</w:t>
      </w:r>
      <w:r>
        <w:t xml:space="preserve"> </w:t>
      </w:r>
      <w:r>
        <w:t>extend</w:t>
      </w:r>
      <w:r>
        <w:t xml:space="preserve"> certificate of rehabilitation relief</w:t>
      </w:r>
      <w:r>
        <w:t xml:space="preserve"> to only a subset of former probationers based on rational distinctions</w:t>
      </w:r>
      <w:r>
        <w:t xml:space="preserve"> </w:t>
      </w:r>
      <w:r>
        <w:t xml:space="preserve">between </w:t>
      </w:r>
      <w:r>
        <w:t>subsequently incar</w:t>
      </w:r>
      <w:r>
        <w:t>cerated former probationers and</w:t>
      </w:r>
      <w:r w:rsidRPr="00F77F6A">
        <w:t xml:space="preserve"> </w:t>
      </w:r>
      <w:r>
        <w:t xml:space="preserve">other convicted felons.  First of all, former prisoners have a higher </w:t>
      </w:r>
      <w:r>
        <w:t>relative need for c</w:t>
      </w:r>
      <w:r>
        <w:t>ertif</w:t>
      </w:r>
      <w:r>
        <w:t>icate of rehabilitation relief</w:t>
      </w:r>
      <w:r>
        <w:t xml:space="preserve"> than former </w:t>
      </w:r>
      <w:r>
        <w:t>probationers</w:t>
      </w:r>
      <w:r>
        <w:t>.</w:t>
      </w:r>
      <w:r>
        <w:t xml:space="preserve"> </w:t>
      </w:r>
      <w:r>
        <w:t xml:space="preserve"> </w:t>
      </w:r>
      <w:r>
        <w:t>Former probationers who have successfully completed the</w:t>
      </w:r>
      <w:r>
        <w:t>ir</w:t>
      </w:r>
      <w:r>
        <w:t xml:space="preserve"> terms of probation have a right to dismissal of their conviction under section 1203.4.  (</w:t>
      </w:r>
      <w:r>
        <w:t>§ 1203.4(a)(1).</w:t>
      </w:r>
      <w:r>
        <w:t>)  Such a dismissal does not el</w:t>
      </w:r>
      <w:r>
        <w:t>iminate all of the negative consequences of the former probationer’s conviction — for example, as Chatman contends here, former probationers</w:t>
      </w:r>
      <w:r>
        <w:t xml:space="preserve"> who do not obtain a certificate of rehabilitation have more difficulty in obtaining a community care license </w:t>
      </w:r>
      <w:r>
        <w:t xml:space="preserve">— but section 1203.4 certainly provides at least some relief from the consequences of conviction.  (See </w:t>
      </w:r>
      <w:r>
        <w:t>Lab</w:t>
      </w:r>
      <w:r>
        <w:t>.</w:t>
      </w:r>
      <w:r>
        <w:t xml:space="preserve"> </w:t>
      </w:r>
      <w:r>
        <w:t xml:space="preserve">Code, </w:t>
      </w:r>
      <w:r>
        <w:t>§ 432.7</w:t>
      </w:r>
      <w:r>
        <w:t>, subd. (a)(1)</w:t>
      </w:r>
      <w:r>
        <w:t xml:space="preserve"> [prohibiting employers from asking about convictions dismissed under section 1203.4]; Bus. &amp; Prof. </w:t>
      </w:r>
      <w:r>
        <w:t xml:space="preserve">Code, </w:t>
      </w:r>
      <w:r>
        <w:t>§ 480, subd. (</w:t>
      </w:r>
      <w:r>
        <w:t xml:space="preserve">c) [prohibiting denial of </w:t>
      </w:r>
      <w:r>
        <w:t>application for license under the</w:t>
      </w:r>
      <w:r>
        <w:t xml:space="preserve"> Business and Professions Code solely on the basis of a </w:t>
      </w:r>
      <w:r>
        <w:lastRenderedPageBreak/>
        <w:t>conviction dismissed under section 1203.4]</w:t>
      </w:r>
      <w:r>
        <w:t xml:space="preserve">.)  </w:t>
      </w:r>
      <w:r>
        <w:t xml:space="preserve">Contrasting with what’s </w:t>
      </w:r>
      <w:r>
        <w:t>available to former probationers</w:t>
      </w:r>
      <w:r>
        <w:t xml:space="preserve">, </w:t>
      </w:r>
      <w:r>
        <w:t xml:space="preserve">relief under </w:t>
      </w:r>
      <w:r>
        <w:t>s</w:t>
      </w:r>
      <w:r>
        <w:t>ection 1203.4 is not av</w:t>
      </w:r>
      <w:r>
        <w:t>ailable to former prisoners, who are instead limited to seeking relief through the certificate of rehabilitation process.  The Legislature rationally could have taken into account former probationers’ lower relative need for certificate of rehabilitation r</w:t>
      </w:r>
      <w:r>
        <w:t xml:space="preserve">elief when determining </w:t>
      </w:r>
      <w:r>
        <w:t xml:space="preserve">which group of </w:t>
      </w:r>
      <w:r>
        <w:t xml:space="preserve">petitioners </w:t>
      </w:r>
      <w:r>
        <w:t xml:space="preserve">to disqualify </w:t>
      </w:r>
      <w:r>
        <w:t xml:space="preserve">from such relief </w:t>
      </w:r>
      <w:r>
        <w:t>for the sake of preserving government resources.</w:t>
      </w:r>
      <w:r>
        <w:t xml:space="preserve"> </w:t>
      </w:r>
    </w:p>
    <w:p w:rsidR="004232BC" w:rsidRDefault="00F83D06" w:rsidP="00FF4541">
      <w:pPr>
        <w:tabs>
          <w:tab w:val="left" w:pos="1440"/>
        </w:tabs>
        <w:spacing w:line="480" w:lineRule="atLeast"/>
        <w:ind w:firstLine="720"/>
      </w:pPr>
      <w:r>
        <w:t xml:space="preserve">Second, </w:t>
      </w:r>
      <w:r>
        <w:t xml:space="preserve">the timeline by which former probationers obtained the ability to seek certificates of rehabilitation and the larger </w:t>
      </w:r>
      <w:r>
        <w:t xml:space="preserve">population of former probationers also distinguish </w:t>
      </w:r>
      <w:r>
        <w:t xml:space="preserve">former probationers </w:t>
      </w:r>
      <w:r>
        <w:t>from former prisoners</w:t>
      </w:r>
      <w:r>
        <w:t>.  T</w:t>
      </w:r>
      <w:r>
        <w:t>he Legislature created</w:t>
      </w:r>
      <w:r>
        <w:t xml:space="preserve"> certificate</w:t>
      </w:r>
      <w:r>
        <w:t>s</w:t>
      </w:r>
      <w:r>
        <w:t xml:space="preserve"> of rehabilitation</w:t>
      </w:r>
      <w:r>
        <w:t xml:space="preserve"> in 1943, but </w:t>
      </w:r>
      <w:r>
        <w:t>only for</w:t>
      </w:r>
      <w:r>
        <w:t xml:space="preserve"> former prisoners.  (Stats. 1943, ch. 400, § 1, p. 1922.)  In 1976, the Legislature e</w:t>
      </w:r>
      <w:r>
        <w:t xml:space="preserve">xtended </w:t>
      </w:r>
      <w:r>
        <w:t xml:space="preserve">access to </w:t>
      </w:r>
      <w:r>
        <w:t>certificates of rehabilitation to former probationers, but only those who are not subsequently incarcerated.  (Stats. 1976, ch. 434, § 2, p. 1111.)  The cost associated with the Legislature’s decision to extend the benefit of certificates</w:t>
      </w:r>
      <w:r>
        <w:t xml:space="preserve"> of rehabilitation to an entirely new group of convicted felons </w:t>
      </w:r>
      <w:r>
        <w:t xml:space="preserve">rationally </w:t>
      </w:r>
      <w:r>
        <w:t xml:space="preserve">could have driven a decision </w:t>
      </w:r>
      <w:r>
        <w:t>limiting</w:t>
      </w:r>
      <w:r>
        <w:t xml:space="preserve"> the expansion of the benefit to </w:t>
      </w:r>
      <w:r>
        <w:t>only a subset of former probationers</w:t>
      </w:r>
      <w:r>
        <w:t xml:space="preserve"> –– a subset at least marginally more likely to </w:t>
      </w:r>
      <w:r>
        <w:t>achieve rehabilitation</w:t>
      </w:r>
      <w:r>
        <w:t>.</w:t>
      </w:r>
      <w:r>
        <w:t xml:space="preserve">  </w:t>
      </w:r>
      <w:r>
        <w:t>Th</w:t>
      </w:r>
      <w:r>
        <w:t>is limited extension</w:t>
      </w:r>
      <w:r>
        <w:t xml:space="preserve"> accomplished the goal of increasing the number of people who can receive relief from the effects of their convictions</w:t>
      </w:r>
      <w:r>
        <w:t>, while avoiding</w:t>
      </w:r>
      <w:r>
        <w:t>, in a manner not inconsistent with rationality,</w:t>
      </w:r>
      <w:r>
        <w:t xml:space="preserve"> high costs by not extending that relief to all former</w:t>
      </w:r>
      <w:r>
        <w:t xml:space="preserve"> probationers.  </w:t>
      </w:r>
    </w:p>
    <w:p w:rsidR="004232BC" w:rsidRDefault="00F83D06" w:rsidP="009F6DB6">
      <w:pPr>
        <w:tabs>
          <w:tab w:val="left" w:pos="1440"/>
        </w:tabs>
        <w:spacing w:line="480" w:lineRule="atLeast"/>
        <w:ind w:firstLine="720"/>
      </w:pPr>
      <w:r>
        <w:t xml:space="preserve">The legislative history for the 1976 bill and a predecessor bill provide at least some indication that this cost concern </w:t>
      </w:r>
      <w:r>
        <w:t>figured in legislative deliberations</w:t>
      </w:r>
      <w:r>
        <w:t xml:space="preserve">.  Two years </w:t>
      </w:r>
      <w:r>
        <w:t>before former probationers not subsequently incarcerated gained acces</w:t>
      </w:r>
      <w:r>
        <w:t xml:space="preserve">s to </w:t>
      </w:r>
      <w:r>
        <w:t>certificate</w:t>
      </w:r>
      <w:r>
        <w:t>s</w:t>
      </w:r>
      <w:r>
        <w:t xml:space="preserve"> of rehabilitation, the </w:t>
      </w:r>
      <w:r>
        <w:t xml:space="preserve">Legislature </w:t>
      </w:r>
      <w:r>
        <w:t>enacted a bill extending this</w:t>
      </w:r>
      <w:r>
        <w:t xml:space="preserve"> </w:t>
      </w:r>
      <w:r>
        <w:t xml:space="preserve">benefit </w:t>
      </w:r>
      <w:r>
        <w:t xml:space="preserve">to </w:t>
      </w:r>
      <w:r w:rsidRPr="006C6381">
        <w:rPr>
          <w:i/>
        </w:rPr>
        <w:t>all</w:t>
      </w:r>
      <w:r>
        <w:t xml:space="preserve"> former probationers.  (Stats. 1974, ch. 1365, § 1.5, p. 2955).  But that bill </w:t>
      </w:r>
      <w:r>
        <w:lastRenderedPageBreak/>
        <w:t xml:space="preserve">never became law because the governor vetoed a companion Senate Bill. </w:t>
      </w:r>
      <w:r>
        <w:t xml:space="preserve"> (Stats. 1974, ch. 1365, § 10, p. 29</w:t>
      </w:r>
      <w:r>
        <w:t>58</w:t>
      </w:r>
      <w:r>
        <w:t xml:space="preserve"> [expressly conditioning the Assembly Bill’s effect on passage of Senate Bill].)  While vetoing the Senate Bill, the governor made the following statement:  “This bill would add considerable unnecessary cost to the sta</w:t>
      </w:r>
      <w:r>
        <w:t>te because of the required processing of requests for certificates of rehabilitation and subsequent Governor’s pardons by probationers.  [¶]  The provisions of Section 1203.4 of the Penal Code permit the court to enter a not guilty plea upon the successful</w:t>
      </w:r>
      <w:r>
        <w:t xml:space="preserve"> completion of probation by an individual and dismiss the information.  This is a much simpler method than the costly and time-consuming processing of certificates of rehabilitation and pardons which is used in the case of persons who have been committed t</w:t>
      </w:r>
      <w:r>
        <w:t>o state prison and who have subsequently become law-abiding citizens of our community.”  (</w:t>
      </w:r>
      <w:r>
        <w:t xml:space="preserve">Governor’s </w:t>
      </w:r>
      <w:r>
        <w:t>v</w:t>
      </w:r>
      <w:r>
        <w:t xml:space="preserve">eto </w:t>
      </w:r>
      <w:r>
        <w:t>m</w:t>
      </w:r>
      <w:r>
        <w:t>essage to Sen. on Sen. Bill No. 2222 (Sept. 27, 1974) 6 Sen. J. (1973-1974 2d Ex. Sess.) p. 14786.</w:t>
      </w:r>
      <w:r>
        <w:t>)  The Legislature then, in 1976, extended the righ</w:t>
      </w:r>
      <w:r>
        <w:t>t to obtain certificates of rehabilitation to former probationers, but only those not subsequently incarcerated.  (Stats. 1976, ch. 434, § 2, p. 1111.)  Although not explicit in this history, costs were likely on the mind of the Legislature when it selecti</w:t>
      </w:r>
      <w:r>
        <w:t>vely extended the right to obtain certificates of rehabilitation to</w:t>
      </w:r>
      <w:r>
        <w:t xml:space="preserve"> some</w:t>
      </w:r>
      <w:r>
        <w:t xml:space="preserve"> former probationers.</w:t>
      </w:r>
      <w:r>
        <w:t xml:space="preserve">  (</w:t>
      </w:r>
      <w:r>
        <w:t xml:space="preserve">See also </w:t>
      </w:r>
      <w:r>
        <w:t>Cal. Adult Authority, Enrolled Bill Rep. on Assem. Bill No. 2403 (1975-1976 Re</w:t>
      </w:r>
      <w:r>
        <w:t>g</w:t>
      </w:r>
      <w:r>
        <w:t xml:space="preserve">. Sess.) July 1, 1976, pp. 2-3 </w:t>
      </w:r>
      <w:r>
        <w:t>[</w:t>
      </w:r>
      <w:r>
        <w:t>recommending governor veto of</w:t>
      </w:r>
      <w:r>
        <w:t xml:space="preserve"> the 1976</w:t>
      </w:r>
      <w:r>
        <w:t xml:space="preserve"> b</w:t>
      </w:r>
      <w:r>
        <w:t xml:space="preserve">ill extending certificate of rehabilitation to former probationers </w:t>
      </w:r>
      <w:r>
        <w:t xml:space="preserve">not subsequently incarcerated </w:t>
      </w:r>
      <w:r>
        <w:t xml:space="preserve">because </w:t>
      </w:r>
      <w:r>
        <w:t>“</w:t>
      </w:r>
      <w:r>
        <w:t>[t]</w:t>
      </w:r>
      <w:r>
        <w:t>he measure greatly expands the eligibility for obtaining certificates of rehabilitation and pardon by including persons who have accusatory pleadin</w:t>
      </w:r>
      <w:r>
        <w:t>gs dismissed and persons convicted of a felony</w:t>
      </w:r>
      <w:r>
        <w:t xml:space="preserve">, but not sent to state prison. . . . </w:t>
      </w:r>
      <w:r>
        <w:t xml:space="preserve">Increased workload generated by this </w:t>
      </w:r>
      <w:r>
        <w:t>expansion</w:t>
      </w:r>
      <w:r>
        <w:t xml:space="preserve"> is unknown,</w:t>
      </w:r>
      <w:r>
        <w:t xml:space="preserve"> </w:t>
      </w:r>
      <w:r>
        <w:t>but could include many persons from the county level who would become eligible to file with the respective counti</w:t>
      </w:r>
      <w:r>
        <w:t xml:space="preserve">es and the Governor’s </w:t>
      </w:r>
      <w:r>
        <w:lastRenderedPageBreak/>
        <w:t>Office, a petition for a certificate of rehabilitation and pardon.”].)</w:t>
      </w:r>
      <w:r>
        <w:t xml:space="preserve"> </w:t>
      </w:r>
      <w:r>
        <w:t xml:space="preserve"> </w:t>
      </w:r>
      <w:r>
        <w:t>We do not imply that</w:t>
      </w:r>
      <w:r>
        <w:t xml:space="preserve"> </w:t>
      </w:r>
      <w:r>
        <w:t xml:space="preserve">rational basis review requires the Legislature </w:t>
      </w:r>
      <w:r>
        <w:t xml:space="preserve">to rely </w:t>
      </w:r>
      <w:r>
        <w:t xml:space="preserve">on </w:t>
      </w:r>
      <w:r>
        <w:t>the rational basis we discuss here</w:t>
      </w:r>
      <w:r>
        <w:t>.</w:t>
      </w:r>
      <w:r>
        <w:t xml:space="preserve">  </w:t>
      </w:r>
      <w:r>
        <w:t>But we find it relevant that administrative co</w:t>
      </w:r>
      <w:r>
        <w:t xml:space="preserve">sts may have been one driving force for the limitation on </w:t>
      </w:r>
      <w:r>
        <w:t xml:space="preserve">subsequently incarcerated former probationers. </w:t>
      </w:r>
    </w:p>
    <w:p w:rsidR="00770B9B" w:rsidRDefault="00F83D06" w:rsidP="00FB17DF">
      <w:pPr>
        <w:tabs>
          <w:tab w:val="left" w:pos="1440"/>
        </w:tabs>
        <w:spacing w:line="480" w:lineRule="atLeast"/>
        <w:ind w:firstLine="720"/>
      </w:pPr>
      <w:r>
        <w:t>Such c</w:t>
      </w:r>
      <w:r>
        <w:t>oncern</w:t>
      </w:r>
      <w:r>
        <w:t>s</w:t>
      </w:r>
      <w:r>
        <w:t xml:space="preserve"> over </w:t>
      </w:r>
      <w:r>
        <w:t>preservation of resources</w:t>
      </w:r>
      <w:r>
        <w:t xml:space="preserve"> </w:t>
      </w:r>
      <w:r>
        <w:t>proved</w:t>
      </w:r>
      <w:r>
        <w:t xml:space="preserve"> prescient.  Probation is currently the most</w:t>
      </w:r>
      <w:r>
        <w:t xml:space="preserve"> </w:t>
      </w:r>
      <w:r>
        <w:t>used criminal sentencing tool</w:t>
      </w:r>
      <w:r>
        <w:t xml:space="preserve"> for felony convictions</w:t>
      </w:r>
      <w:r>
        <w:t xml:space="preserve"> i</w:t>
      </w:r>
      <w:r>
        <w:t xml:space="preserve">n California.  In 2014, for example, California courts sentenced approximately </w:t>
      </w:r>
      <w:r>
        <w:t>59.</w:t>
      </w:r>
      <w:r>
        <w:t>5</w:t>
      </w:r>
      <w:r>
        <w:t xml:space="preserve"> percent of convicted felons to probation or probation with jail</w:t>
      </w:r>
      <w:r>
        <w:t xml:space="preserve">, </w:t>
      </w:r>
      <w:r>
        <w:t xml:space="preserve">and only </w:t>
      </w:r>
      <w:r>
        <w:t>22.7</w:t>
      </w:r>
      <w:r>
        <w:t xml:space="preserve"> percent to </w:t>
      </w:r>
      <w:r>
        <w:t xml:space="preserve">confinement </w:t>
      </w:r>
      <w:r>
        <w:t xml:space="preserve">in prison or jail </w:t>
      </w:r>
      <w:r>
        <w:t>alone.  (</w:t>
      </w:r>
      <w:r>
        <w:t xml:space="preserve">See </w:t>
      </w:r>
      <w:r>
        <w:t>Criminal Justice Statistics Center</w:t>
      </w:r>
      <w:r>
        <w:t>,</w:t>
      </w:r>
      <w:r>
        <w:t xml:space="preserve"> </w:t>
      </w:r>
      <w:r w:rsidRPr="00527CCD">
        <w:rPr>
          <w:i/>
        </w:rPr>
        <w:t>Cri</w:t>
      </w:r>
      <w:r w:rsidRPr="00527CCD">
        <w:rPr>
          <w:i/>
        </w:rPr>
        <w:t>me in California</w:t>
      </w:r>
      <w:r>
        <w:t xml:space="preserve"> (2014) Cal. Dept. of Justice, pp. 51 </w:t>
      </w:r>
      <w:r>
        <w:t>&lt;</w:t>
      </w:r>
      <w:r w:rsidRPr="007B5121">
        <w:t>https://</w:t>
      </w:r>
      <w:r>
        <w:br/>
      </w:r>
      <w:r w:rsidRPr="007B5121">
        <w:t>oag.ca.gov/sites/all/files/agweb/pdfs/cjsc/</w:t>
      </w:r>
      <w:r>
        <w:t>publications/candd/cd14/cd14.pdf</w:t>
      </w:r>
      <w:r>
        <w:t xml:space="preserve">&gt; </w:t>
      </w:r>
      <w:r>
        <w:t xml:space="preserve">[as of </w:t>
      </w:r>
      <w:r>
        <w:t>Feb. 1</w:t>
      </w:r>
      <w:r>
        <w:t>, 201</w:t>
      </w:r>
      <w:r>
        <w:t>8</w:t>
      </w:r>
      <w:r>
        <w:t>].</w:t>
      </w:r>
      <w:r>
        <w:t xml:space="preserve">)  </w:t>
      </w:r>
      <w:r>
        <w:t>In the same year, approximately 244,122 felons were on active probation</w:t>
      </w:r>
      <w:r>
        <w:t>.</w:t>
      </w:r>
      <w:r>
        <w:t xml:space="preserve"> </w:t>
      </w:r>
      <w:r>
        <w:t xml:space="preserve"> </w:t>
      </w:r>
      <w:r>
        <w:t>(</w:t>
      </w:r>
      <w:r>
        <w:rPr>
          <w:i/>
        </w:rPr>
        <w:t>I</w:t>
      </w:r>
      <w:r>
        <w:rPr>
          <w:i/>
        </w:rPr>
        <w:t>d.</w:t>
      </w:r>
      <w:r>
        <w:t xml:space="preserve"> at p. 54.)  In contrast, </w:t>
      </w:r>
      <w:r>
        <w:t>prisons and jails</w:t>
      </w:r>
      <w:r>
        <w:t xml:space="preserve"> together</w:t>
      </w:r>
      <w:r>
        <w:t xml:space="preserve"> had an average daily population of</w:t>
      </w:r>
      <w:r>
        <w:t xml:space="preserve"> </w:t>
      </w:r>
      <w:r>
        <w:t>165,025</w:t>
      </w:r>
      <w:r>
        <w:t>.</w:t>
      </w:r>
      <w:r>
        <w:t xml:space="preserve"> </w:t>
      </w:r>
      <w:r>
        <w:t xml:space="preserve"> </w:t>
      </w:r>
      <w:r>
        <w:t xml:space="preserve">(See </w:t>
      </w:r>
      <w:r>
        <w:t xml:space="preserve">CDCR Office of Research, </w:t>
      </w:r>
      <w:r w:rsidRPr="00527CCD">
        <w:rPr>
          <w:i/>
        </w:rPr>
        <w:t>Fall 2014 Population Projections</w:t>
      </w:r>
      <w:r>
        <w:t xml:space="preserve"> (Nov. 2014) Cal</w:t>
      </w:r>
      <w:r>
        <w:t>.</w:t>
      </w:r>
      <w:r>
        <w:t xml:space="preserve"> Dept. of Cor</w:t>
      </w:r>
      <w:r>
        <w:t>rections and Rehabilitation, p. </w:t>
      </w:r>
      <w:r>
        <w:t>9</w:t>
      </w:r>
      <w:r>
        <w:t xml:space="preserve"> </w:t>
      </w:r>
      <w:r>
        <w:t>&lt;</w:t>
      </w:r>
      <w:r w:rsidRPr="00CC07E6">
        <w:t>http://www.cdcr.ca.gov/Reports_</w:t>
      </w:r>
      <w:r w:rsidRPr="00CC07E6">
        <w:t>Research/Offender_Information_Services_</w:t>
      </w:r>
      <w:r>
        <w:br/>
      </w:r>
      <w:r w:rsidRPr="00CC07E6">
        <w:t>Branch/Projections/F14Pub.pdf</w:t>
      </w:r>
      <w:r>
        <w:t>&gt;</w:t>
      </w:r>
      <w:r>
        <w:t xml:space="preserve"> [as of </w:t>
      </w:r>
      <w:r>
        <w:t>Feb. 1</w:t>
      </w:r>
      <w:r>
        <w:t>, 201</w:t>
      </w:r>
      <w:r>
        <w:t>8</w:t>
      </w:r>
      <w:r>
        <w:t>]</w:t>
      </w:r>
      <w:r>
        <w:t xml:space="preserve"> [in 2014, 135,484 adults in institutions]; </w:t>
      </w:r>
      <w:r>
        <w:t xml:space="preserve">Cal. </w:t>
      </w:r>
      <w:r>
        <w:t xml:space="preserve">Board of State and Community Corrections, </w:t>
      </w:r>
      <w:r>
        <w:rPr>
          <w:i/>
        </w:rPr>
        <w:t>Jail Profile Survey: Fourth Quarter Calendar Year 2014 Survey Results</w:t>
      </w:r>
      <w:r>
        <w:t xml:space="preserve"> (</w:t>
      </w:r>
      <w:r>
        <w:t>4th</w:t>
      </w:r>
      <w:r>
        <w:t xml:space="preserve"> Quarter </w:t>
      </w:r>
      <w:r>
        <w:t>2014)</w:t>
      </w:r>
      <w:r w:rsidRPr="000B5716">
        <w:t xml:space="preserve"> </w:t>
      </w:r>
      <w:r>
        <w:t>p. 2</w:t>
      </w:r>
      <w:r>
        <w:t xml:space="preserve"> &lt;</w:t>
      </w:r>
      <w:r w:rsidRPr="00CC07E6">
        <w:t>http://www.bscc.ca.gov/downloads/2014_4th_Qtr_JPS_Full_Report.pdf</w:t>
      </w:r>
      <w:r>
        <w:t xml:space="preserve">&gt; [as of </w:t>
      </w:r>
      <w:r>
        <w:t>Feb. 1</w:t>
      </w:r>
      <w:r>
        <w:t>, 201</w:t>
      </w:r>
      <w:r>
        <w:t>8</w:t>
      </w:r>
      <w:r>
        <w:t>]</w:t>
      </w:r>
      <w:r>
        <w:t xml:space="preserve"> [in 2014, 25,005 sentenced males and 4,536 sentenced females in county jails</w:t>
      </w:r>
      <w:r>
        <w:t>]</w:t>
      </w:r>
      <w:r>
        <w:t>.</w:t>
      </w:r>
      <w:r>
        <w:t>)  These data</w:t>
      </w:r>
      <w:r>
        <w:t xml:space="preserve"> are </w:t>
      </w:r>
      <w:r>
        <w:t xml:space="preserve">at least </w:t>
      </w:r>
      <w:r>
        <w:t xml:space="preserve">consistent with </w:t>
      </w:r>
      <w:r>
        <w:t xml:space="preserve">the conclusion that </w:t>
      </w:r>
      <w:r>
        <w:t>m</w:t>
      </w:r>
      <w:r>
        <w:t>ore</w:t>
      </w:r>
      <w:r>
        <w:t xml:space="preserve"> former probationers </w:t>
      </w:r>
      <w:r>
        <w:t>exist in California than</w:t>
      </w:r>
      <w:r>
        <w:t xml:space="preserve"> former prisoners.  The larger number of former probationers creates a higher relative burden on judicial and </w:t>
      </w:r>
      <w:r>
        <w:t>executive</w:t>
      </w:r>
      <w:r>
        <w:t xml:space="preserve"> </w:t>
      </w:r>
      <w:r>
        <w:lastRenderedPageBreak/>
        <w:t>branch</w:t>
      </w:r>
      <w:r>
        <w:t xml:space="preserve"> resources that the Legislature rationally could have sought to decrease by limiting </w:t>
      </w:r>
      <w:r>
        <w:t>former probationers’ access to certificates of rehabilitation.</w:t>
      </w:r>
      <w:r>
        <w:rPr>
          <w:rStyle w:val="FootnoteReference"/>
        </w:rPr>
        <w:footnoteReference w:id="4"/>
      </w:r>
    </w:p>
    <w:p w:rsidR="007A2F0E" w:rsidRDefault="00F83D06" w:rsidP="0041259B">
      <w:pPr>
        <w:tabs>
          <w:tab w:val="left" w:pos="1440"/>
        </w:tabs>
        <w:spacing w:line="480" w:lineRule="atLeast"/>
        <w:ind w:firstLine="720"/>
      </w:pPr>
      <w:r>
        <w:t>Not only</w:t>
      </w:r>
      <w:r>
        <w:t xml:space="preserve"> was it within the realm of the term “rational”</w:t>
      </w:r>
      <w:r>
        <w:t xml:space="preserve"> </w:t>
      </w:r>
      <w:r>
        <w:t xml:space="preserve">for the Legislature to limit the number of former probationers who have access to certificates of rehabilitation, but </w:t>
      </w:r>
      <w:r>
        <w:t>the</w:t>
      </w:r>
      <w:r>
        <w:t xml:space="preserve"> statutory</w:t>
      </w:r>
      <w:r>
        <w:t xml:space="preserve"> fram</w:t>
      </w:r>
      <w:r>
        <w:t>ework taking account of</w:t>
      </w:r>
      <w:r>
        <w:t xml:space="preserve"> subsequent incarceration </w:t>
      </w:r>
      <w:r>
        <w:t xml:space="preserve">was </w:t>
      </w:r>
      <w:r>
        <w:t>also rational.</w:t>
      </w:r>
      <w:r>
        <w:t xml:space="preserve"> </w:t>
      </w:r>
      <w:r>
        <w:t xml:space="preserve"> </w:t>
      </w:r>
      <w:r>
        <w:t>A</w:t>
      </w:r>
      <w:r>
        <w:t xml:space="preserve">s </w:t>
      </w:r>
      <w:r>
        <w:t>legislators</w:t>
      </w:r>
      <w:r w:rsidRPr="00543234">
        <w:t xml:space="preserve"> </w:t>
      </w:r>
      <w:r>
        <w:t>grasped the resource implications of extending eligibility for certificates</w:t>
      </w:r>
      <w:r>
        <w:t xml:space="preserve"> of rehabilitation</w:t>
      </w:r>
      <w:r>
        <w:t xml:space="preserve">, they </w:t>
      </w:r>
      <w:r>
        <w:t>conceivably</w:t>
      </w:r>
      <w:r w:rsidRPr="00543234">
        <w:t xml:space="preserve"> recognized the value of a scheme to manage demand for </w:t>
      </w:r>
      <w:r>
        <w:t>such c</w:t>
      </w:r>
      <w:r>
        <w:t>ertificates</w:t>
      </w:r>
      <w:r>
        <w:t>.  Through section 4852.01’</w:t>
      </w:r>
      <w:r w:rsidRPr="00543234">
        <w:t>s bar on eligibility f</w:t>
      </w:r>
      <w:r>
        <w:t xml:space="preserve">or subsequently incarcerated former </w:t>
      </w:r>
      <w:r w:rsidRPr="00543234">
        <w:t xml:space="preserve">probationers, the Legislature </w:t>
      </w:r>
      <w:r>
        <w:t>extended</w:t>
      </w:r>
      <w:r w:rsidRPr="00543234">
        <w:t xml:space="preserve"> the possibility of obtaining a certificate of rehabilitation only to those former probationers </w:t>
      </w:r>
      <w:r>
        <w:t>that could rationally be s</w:t>
      </w:r>
      <w:r>
        <w:t xml:space="preserve">een as showing </w:t>
      </w:r>
      <w:r w:rsidRPr="00543234">
        <w:t>the mo</w:t>
      </w:r>
      <w:r>
        <w:t>st promise for rehabilitation.</w:t>
      </w:r>
      <w:r>
        <w:t xml:space="preserve">  </w:t>
      </w:r>
      <w:r>
        <w:t>I</w:t>
      </w:r>
      <w:r>
        <w:t xml:space="preserve">ncarceration may result from a conviction representing </w:t>
      </w:r>
      <w:r>
        <w:t xml:space="preserve">a probationer’s </w:t>
      </w:r>
      <w:r>
        <w:t xml:space="preserve">recidivist behavior, or may </w:t>
      </w:r>
      <w:r>
        <w:t>result from</w:t>
      </w:r>
      <w:r>
        <w:t xml:space="preserve"> </w:t>
      </w:r>
      <w:r>
        <w:t xml:space="preserve">activity that has </w:t>
      </w:r>
      <w:r>
        <w:t xml:space="preserve">little or </w:t>
      </w:r>
      <w:r>
        <w:t>no bearing on the former probationer</w:t>
      </w:r>
      <w:r>
        <w:t>’</w:t>
      </w:r>
      <w:r>
        <w:t>s</w:t>
      </w:r>
      <w:r>
        <w:t xml:space="preserve"> ultimate capacity for</w:t>
      </w:r>
      <w:r>
        <w:t xml:space="preserve"> rehabilitation</w:t>
      </w:r>
      <w:r>
        <w:t xml:space="preserve">.  But </w:t>
      </w:r>
      <w:r>
        <w:t xml:space="preserve">it </w:t>
      </w:r>
      <w:r>
        <w:t>would have been at least</w:t>
      </w:r>
      <w:r>
        <w:t xml:space="preserve"> </w:t>
      </w:r>
      <w:r>
        <w:t xml:space="preserve">rational </w:t>
      </w:r>
      <w:r>
        <w:t xml:space="preserve">for the Legislature to </w:t>
      </w:r>
      <w:r>
        <w:t xml:space="preserve">presume that subsequently incarcerated former probationers are less likely to rehabilitate </w:t>
      </w:r>
      <w:r>
        <w:t xml:space="preserve">than those who avoid subsequent incarceration.  </w:t>
      </w:r>
      <w:r>
        <w:t>And</w:t>
      </w:r>
      <w:r>
        <w:t xml:space="preserve"> </w:t>
      </w:r>
      <w:r>
        <w:t>it is a simple matter for court</w:t>
      </w:r>
      <w:r>
        <w:t xml:space="preserve">s to </w:t>
      </w:r>
      <w:r>
        <w:t>determin</w:t>
      </w:r>
      <w:r>
        <w:t>e</w:t>
      </w:r>
      <w:r>
        <w:t xml:space="preserve"> whether a petitioner for a certificate of rehabilitation </w:t>
      </w:r>
      <w:r>
        <w:lastRenderedPageBreak/>
        <w:t>has been subsequently incarcerated</w:t>
      </w:r>
      <w:r>
        <w:t xml:space="preserve">.  </w:t>
      </w:r>
      <w:r>
        <w:t xml:space="preserve">Although not a perfect proxy for rehabilitation, the “subsequent incarceration” bar at least bears a rational connection to rehabilitation and </w:t>
      </w:r>
      <w:r>
        <w:t xml:space="preserve">the </w:t>
      </w:r>
      <w:r>
        <w:t>preservation of resources</w:t>
      </w:r>
      <w:r>
        <w:t xml:space="preserve">.  </w:t>
      </w:r>
    </w:p>
    <w:p w:rsidR="0097243B" w:rsidRDefault="00F83D06" w:rsidP="00D039F6">
      <w:pPr>
        <w:tabs>
          <w:tab w:val="left" w:pos="1440"/>
        </w:tabs>
        <w:spacing w:line="480" w:lineRule="atLeast"/>
        <w:ind w:firstLine="720"/>
      </w:pPr>
      <w:r>
        <w:t>S</w:t>
      </w:r>
      <w:r>
        <w:t xml:space="preserve">ection 4852.01’s eligibility criteria </w:t>
      </w:r>
      <w:r>
        <w:t>might</w:t>
      </w:r>
      <w:r>
        <w:t xml:space="preserve"> not reflect the </w:t>
      </w:r>
      <w:r>
        <w:t xml:space="preserve">ideal </w:t>
      </w:r>
      <w:r>
        <w:t>rehabilitative system</w:t>
      </w:r>
      <w:r>
        <w:t xml:space="preserve">.  </w:t>
      </w:r>
      <w:r>
        <w:t xml:space="preserve">But we cannot </w:t>
      </w:r>
      <w:r>
        <w:t>cast aside</w:t>
      </w:r>
      <w:r>
        <w:t xml:space="preserve"> </w:t>
      </w:r>
      <w:r>
        <w:t>the deferential nature of our inquiry</w:t>
      </w:r>
      <w:r>
        <w:t>.</w:t>
      </w:r>
      <w:r>
        <w:t xml:space="preserve">  (</w:t>
      </w:r>
      <w:r>
        <w:rPr>
          <w:i/>
        </w:rPr>
        <w:t xml:space="preserve">People v. </w:t>
      </w:r>
      <w:r w:rsidRPr="009A06F9">
        <w:rPr>
          <w:i/>
        </w:rPr>
        <w:t>Turnage</w:t>
      </w:r>
      <w:r>
        <w:t xml:space="preserve">, </w:t>
      </w:r>
      <w:r w:rsidRPr="009A06F9">
        <w:rPr>
          <w:i/>
        </w:rPr>
        <w:t>supra</w:t>
      </w:r>
      <w:r>
        <w:t xml:space="preserve">, 55 Cal.4th at p. 77.)  </w:t>
      </w:r>
      <w:r>
        <w:t>T</w:t>
      </w:r>
      <w:r>
        <w:t xml:space="preserve">he question we must </w:t>
      </w:r>
      <w:r>
        <w:t xml:space="preserve">resolve in this case is </w:t>
      </w:r>
      <w:r>
        <w:t>whether the Legislature’s choices survive rational basis scrutiny</w:t>
      </w:r>
      <w:r>
        <w:t xml:space="preserve">.  When we analyze this question, </w:t>
      </w:r>
      <w:r>
        <w:t xml:space="preserve">we </w:t>
      </w:r>
      <w:r>
        <w:t xml:space="preserve">treat the </w:t>
      </w:r>
      <w:r>
        <w:t xml:space="preserve">statute’s potential </w:t>
      </w:r>
      <w:r>
        <w:t xml:space="preserve">logic and assumptions far more permissively than with other </w:t>
      </w:r>
      <w:r>
        <w:t>standards</w:t>
      </w:r>
      <w:r>
        <w:t xml:space="preserve"> of constitutional or regulator</w:t>
      </w:r>
      <w:r>
        <w:t>y review.  (</w:t>
      </w:r>
      <w:r>
        <w:rPr>
          <w:i/>
        </w:rPr>
        <w:t>Ibid.</w:t>
      </w:r>
      <w:r>
        <w:t xml:space="preserve"> [“When conducting rational basis review, we must accept any gross generalizations and rough accommodations that the Legislature seems to have made.”]</w:t>
      </w:r>
      <w:r>
        <w:t xml:space="preserve">; </w:t>
      </w:r>
      <w:r>
        <w:rPr>
          <w:i/>
        </w:rPr>
        <w:t>Johnson</w:t>
      </w:r>
      <w:r w:rsidRPr="00A56151">
        <w:t>,</w:t>
      </w:r>
      <w:r>
        <w:rPr>
          <w:i/>
        </w:rPr>
        <w:t xml:space="preserve"> </w:t>
      </w:r>
      <w:r w:rsidRPr="00A56151">
        <w:rPr>
          <w:i/>
        </w:rPr>
        <w:t>supra</w:t>
      </w:r>
      <w:r>
        <w:t>,</w:t>
      </w:r>
      <w:r>
        <w:rPr>
          <w:i/>
        </w:rPr>
        <w:t xml:space="preserve"> </w:t>
      </w:r>
      <w:r>
        <w:t>60 Cal.4th at p. 887 [“</w:t>
      </w:r>
      <w:r>
        <w:t>[T]</w:t>
      </w:r>
      <w:r>
        <w:t xml:space="preserve">he Legislature is afforded considerable </w:t>
      </w:r>
      <w:r>
        <w:t>latitude in defining and setting the consequences of criminal offenses</w:t>
      </w:r>
      <w:r>
        <w:t>.</w:t>
      </w:r>
      <w:r>
        <w:t>”]</w:t>
      </w:r>
      <w:r>
        <w:t xml:space="preserve">.)  </w:t>
      </w:r>
      <w:r>
        <w:t xml:space="preserve">Under this permissive standard, </w:t>
      </w:r>
      <w:r>
        <w:t>denying</w:t>
      </w:r>
      <w:r>
        <w:t xml:space="preserve"> subsequently incarcerated former probationers certificate</w:t>
      </w:r>
      <w:r>
        <w:t>s</w:t>
      </w:r>
      <w:r>
        <w:t xml:space="preserve"> of </w:t>
      </w:r>
      <w:r>
        <w:t>rehabilitation</w:t>
      </w:r>
      <w:r>
        <w:t xml:space="preserve"> </w:t>
      </w:r>
      <w:r>
        <w:t>is</w:t>
      </w:r>
      <w:r>
        <w:t xml:space="preserve"> sufficiently </w:t>
      </w:r>
      <w:r>
        <w:t xml:space="preserve">grounded in distinctions from </w:t>
      </w:r>
      <w:r>
        <w:t>other classes of</w:t>
      </w:r>
      <w:r>
        <w:t xml:space="preserve"> convicted felons</w:t>
      </w:r>
      <w:r>
        <w:t xml:space="preserve"> that it can be considered</w:t>
      </w:r>
      <w:r>
        <w:t xml:space="preserve"> a rational </w:t>
      </w:r>
      <w:r>
        <w:t xml:space="preserve">manner of </w:t>
      </w:r>
      <w:r>
        <w:t xml:space="preserve">providing some former probationers a valuable rehabilitative tool in the face of </w:t>
      </w:r>
      <w:r>
        <w:t>scarce resources</w:t>
      </w:r>
      <w:r>
        <w:t xml:space="preserve">.  </w:t>
      </w:r>
    </w:p>
    <w:p w:rsidR="000C6783" w:rsidRDefault="00F83D06" w:rsidP="00DF13D8">
      <w:pPr>
        <w:tabs>
          <w:tab w:val="left" w:pos="1440"/>
        </w:tabs>
        <w:spacing w:line="480" w:lineRule="atLeast"/>
        <w:ind w:firstLine="720"/>
      </w:pPr>
      <w:r>
        <w:t xml:space="preserve">The rationality of this distribution is further supported by the </w:t>
      </w:r>
      <w:r>
        <w:t>existence of alternatives</w:t>
      </w:r>
      <w:r>
        <w:t xml:space="preserve"> to section 1203.4 dismissal potentially available to</w:t>
      </w:r>
      <w:r>
        <w:t xml:space="preserve"> </w:t>
      </w:r>
      <w:r>
        <w:t>Chatman</w:t>
      </w:r>
      <w:r>
        <w:t xml:space="preserve"> </w:t>
      </w:r>
      <w:r>
        <w:t xml:space="preserve">and </w:t>
      </w:r>
      <w:r>
        <w:t>other</w:t>
      </w:r>
      <w:r>
        <w:t>s</w:t>
      </w:r>
      <w:r>
        <w:t xml:space="preserve"> </w:t>
      </w:r>
      <w:r>
        <w:t>in his position</w:t>
      </w:r>
      <w:r>
        <w:t xml:space="preserve">.  </w:t>
      </w:r>
      <w:r>
        <w:t>S</w:t>
      </w:r>
      <w:r>
        <w:t xml:space="preserve">ubsequently incarcerated former probationers </w:t>
      </w:r>
      <w:r>
        <w:t xml:space="preserve">continue to </w:t>
      </w:r>
      <w:r>
        <w:t>remain</w:t>
      </w:r>
      <w:r>
        <w:t xml:space="preserve"> </w:t>
      </w:r>
      <w:r>
        <w:t>eligible for executive pardons</w:t>
      </w:r>
      <w:r>
        <w:t>, and</w:t>
      </w:r>
      <w:r>
        <w:t xml:space="preserve"> </w:t>
      </w:r>
      <w:r>
        <w:t xml:space="preserve">the Penal Code </w:t>
      </w:r>
      <w:r>
        <w:t>makes clear that</w:t>
      </w:r>
      <w:r>
        <w:t xml:space="preserve"> </w:t>
      </w:r>
      <w:r>
        <w:t>certificate</w:t>
      </w:r>
      <w:r>
        <w:t>s</w:t>
      </w:r>
      <w:r>
        <w:t xml:space="preserve"> of rehabilitation </w:t>
      </w:r>
      <w:r>
        <w:t>a</w:t>
      </w:r>
      <w:r>
        <w:t>re meant to serve as</w:t>
      </w:r>
      <w:r>
        <w:t xml:space="preserve"> “an additional, but not an exclusive, procedure for the restoration </w:t>
      </w:r>
      <w:r>
        <w:t>of</w:t>
      </w:r>
      <w:r>
        <w:t xml:space="preserve"> rights and applications for pardon.”  </w:t>
      </w:r>
      <w:r>
        <w:t>(</w:t>
      </w:r>
      <w:r w:rsidRPr="002E2DA2">
        <w:t>§</w:t>
      </w:r>
      <w:r>
        <w:t> </w:t>
      </w:r>
      <w:r>
        <w:t>4852.19.)</w:t>
      </w:r>
      <w:r>
        <w:t xml:space="preserve">  There may be other statutory avenues to obtain the particular real-world benefit the subsequently incarcerated former probationer hopes to obtain.</w:t>
      </w:r>
      <w:r>
        <w:t xml:space="preserve">  </w:t>
      </w:r>
      <w:r>
        <w:t>In the context of the community care license that Chatman seeks,</w:t>
      </w:r>
      <w:r>
        <w:t xml:space="preserve"> for example,</w:t>
      </w:r>
      <w:r>
        <w:t xml:space="preserve"> </w:t>
      </w:r>
      <w:r>
        <w:t>the</w:t>
      </w:r>
      <w:r>
        <w:t xml:space="preserve"> </w:t>
      </w:r>
      <w:r>
        <w:lastRenderedPageBreak/>
        <w:t>Department of Social Ser</w:t>
      </w:r>
      <w:r>
        <w:t xml:space="preserve">vices </w:t>
      </w:r>
      <w:r>
        <w:t xml:space="preserve">can </w:t>
      </w:r>
      <w:r>
        <w:t>“</w:t>
      </w:r>
      <w:r w:rsidRPr="0003524A">
        <w:t xml:space="preserve">grant an exemption </w:t>
      </w:r>
      <w:r>
        <w:t>regarding the conviction </w:t>
      </w:r>
      <w:r>
        <w:t>.</w:t>
      </w:r>
      <w:r>
        <w:t> </w:t>
      </w:r>
      <w:r>
        <w:t>. .</w:t>
      </w:r>
      <w:r w:rsidRPr="0003524A">
        <w:t xml:space="preserve"> if the employee or prospective employee has</w:t>
      </w:r>
      <w:r>
        <w:t xml:space="preserve"> received a certificate of rehabilitation.”  (Health &amp; Saf</w:t>
      </w:r>
      <w:r>
        <w:t>.</w:t>
      </w:r>
      <w:r>
        <w:t xml:space="preserve"> </w:t>
      </w:r>
      <w:r>
        <w:t xml:space="preserve">Code, </w:t>
      </w:r>
      <w:r w:rsidRPr="002E2DA2">
        <w:t>§</w:t>
      </w:r>
      <w:r>
        <w:t xml:space="preserve"> 1522, subd. (g)(1)(A)(ii).)  But that same provision also allows the </w:t>
      </w:r>
      <w:r>
        <w:t>Department of S</w:t>
      </w:r>
      <w:r>
        <w:t>ocial Services to</w:t>
      </w:r>
      <w:r>
        <w:t xml:space="preserve"> “grant an exemption regarding the conviction . . . if the employee or prospective employee has</w:t>
      </w:r>
      <w:r w:rsidRPr="0003524A">
        <w:t xml:space="preserve"> been rehabilitated as provided in Section 4852.03 of the Penal Code, has maintained the conduct required in Section 4852.05 of the Penal Code f</w:t>
      </w:r>
      <w:r w:rsidRPr="0003524A">
        <w:t>or at least 10 years, and has the recommendation of the district attorney representing the</w:t>
      </w:r>
      <w:r>
        <w:t xml:space="preserve"> employee</w:t>
      </w:r>
      <w:r>
        <w:t>’</w:t>
      </w:r>
      <w:r>
        <w:t xml:space="preserve">s county of residence.”  </w:t>
      </w:r>
      <w:r w:rsidRPr="00C46ACE">
        <w:t>(</w:t>
      </w:r>
      <w:r>
        <w:rPr>
          <w:i/>
        </w:rPr>
        <w:t>Ibid.</w:t>
      </w:r>
      <w:r w:rsidRPr="00C46ACE">
        <w:t>)</w:t>
      </w:r>
      <w:r>
        <w:t xml:space="preserve">  </w:t>
      </w:r>
      <w:r>
        <w:t xml:space="preserve">This </w:t>
      </w:r>
      <w:r>
        <w:t>alternative pathway</w:t>
      </w:r>
      <w:r>
        <w:t xml:space="preserve"> </w:t>
      </w:r>
      <w:r>
        <w:t xml:space="preserve">features </w:t>
      </w:r>
      <w:r>
        <w:t>a few</w:t>
      </w:r>
      <w:r>
        <w:t xml:space="preserve"> of the</w:t>
      </w:r>
      <w:r>
        <w:t xml:space="preserve"> same</w:t>
      </w:r>
      <w:r>
        <w:t xml:space="preserve"> requirements </w:t>
      </w:r>
      <w:r>
        <w:t>as</w:t>
      </w:r>
      <w:r>
        <w:t xml:space="preserve"> a certificate of rehabilitation</w:t>
      </w:r>
      <w:r>
        <w:t>,</w:t>
      </w:r>
      <w:r>
        <w:t xml:space="preserve"> but is</w:t>
      </w:r>
      <w:r>
        <w:t xml:space="preserve"> </w:t>
      </w:r>
      <w:r>
        <w:t>available to</w:t>
      </w:r>
      <w:r>
        <w:t xml:space="preserve"> </w:t>
      </w:r>
      <w:r>
        <w:t>p</w:t>
      </w:r>
      <w:r>
        <w:t>ersons</w:t>
      </w:r>
      <w:r>
        <w:t xml:space="preserve"> </w:t>
      </w:r>
      <w:r>
        <w:t xml:space="preserve">seeking </w:t>
      </w:r>
      <w:r>
        <w:t>a community care license</w:t>
      </w:r>
      <w:r>
        <w:t xml:space="preserve"> without having obtained a</w:t>
      </w:r>
      <w:r>
        <w:t xml:space="preserve"> certificate of rehabilitation.  </w:t>
      </w:r>
      <w:r>
        <w:t xml:space="preserve">The </w:t>
      </w:r>
      <w:r>
        <w:t>eligibility criteria</w:t>
      </w:r>
      <w:r>
        <w:t xml:space="preserve"> in section 4852.01</w:t>
      </w:r>
      <w:r>
        <w:t xml:space="preserve"> </w:t>
      </w:r>
      <w:r>
        <w:t>seem to reflect</w:t>
      </w:r>
      <w:r>
        <w:t xml:space="preserve"> a rational assumption </w:t>
      </w:r>
      <w:r>
        <w:t>that</w:t>
      </w:r>
      <w:r>
        <w:t xml:space="preserve"> creating situation-specific additional exceptions for subsequently incarcerated former probationers is a more cost-effective solution than allowing all</w:t>
      </w:r>
      <w:r>
        <w:t xml:space="preserve"> subsequently incarcerated former probationers</w:t>
      </w:r>
      <w:r>
        <w:t xml:space="preserve"> access to certificate</w:t>
      </w:r>
      <w:r>
        <w:t>s</w:t>
      </w:r>
      <w:r>
        <w:t xml:space="preserve"> of rehabilitation</w:t>
      </w:r>
      <w:r>
        <w:t>.</w:t>
      </w:r>
      <w:r>
        <w:t xml:space="preserve">  </w:t>
      </w:r>
    </w:p>
    <w:p w:rsidR="007B6F0D" w:rsidRDefault="00F83D06" w:rsidP="004D313A">
      <w:pPr>
        <w:tabs>
          <w:tab w:val="left" w:pos="1440"/>
        </w:tabs>
        <w:spacing w:line="480" w:lineRule="atLeast"/>
        <w:ind w:firstLine="720"/>
      </w:pPr>
      <w:r>
        <w:t>Chatman compa</w:t>
      </w:r>
      <w:r>
        <w:t xml:space="preserve">res the distinction </w:t>
      </w:r>
      <w:r>
        <w:t>at the heart of</w:t>
      </w:r>
      <w:r>
        <w:t xml:space="preserve"> section 4852.01</w:t>
      </w:r>
      <w:r>
        <w:t xml:space="preserve"> </w:t>
      </w:r>
      <w:r>
        <w:t xml:space="preserve">to the one we invalidated in </w:t>
      </w:r>
      <w:r w:rsidRPr="0044597E">
        <w:rPr>
          <w:i/>
        </w:rPr>
        <w:t>Newland v. Board of Governor</w:t>
      </w:r>
      <w:r>
        <w:t>s (1977) 19 Cal.3d 705</w:t>
      </w:r>
      <w:r>
        <w:t xml:space="preserve"> (</w:t>
      </w:r>
      <w:r w:rsidRPr="00FB19D3">
        <w:rPr>
          <w:i/>
        </w:rPr>
        <w:t>Newland</w:t>
      </w:r>
      <w:r>
        <w:t>)</w:t>
      </w:r>
      <w:r>
        <w:t xml:space="preserve">.  </w:t>
      </w:r>
      <w:r>
        <w:t xml:space="preserve">The Court of Appeal relied heavily on </w:t>
      </w:r>
      <w:r w:rsidRPr="00FB19D3">
        <w:rPr>
          <w:i/>
        </w:rPr>
        <w:t>Newland</w:t>
      </w:r>
      <w:r>
        <w:t xml:space="preserve"> as well.  </w:t>
      </w:r>
      <w:r>
        <w:t>The plaintiff in that case</w:t>
      </w:r>
      <w:r>
        <w:t>,</w:t>
      </w:r>
      <w:r>
        <w:t xml:space="preserve"> </w:t>
      </w:r>
      <w:r>
        <w:t>William Newland</w:t>
      </w:r>
      <w:r>
        <w:t>,</w:t>
      </w:r>
      <w:r>
        <w:t xml:space="preserve"> </w:t>
      </w:r>
      <w:r>
        <w:t xml:space="preserve">had </w:t>
      </w:r>
      <w:r>
        <w:t>applied</w:t>
      </w:r>
      <w:r>
        <w:t xml:space="preserve"> for a </w:t>
      </w:r>
      <w:r>
        <w:t>teaching</w:t>
      </w:r>
      <w:r>
        <w:t xml:space="preserve"> credent</w:t>
      </w:r>
      <w:r>
        <w:t xml:space="preserve">ial.  </w:t>
      </w:r>
      <w:r>
        <w:t xml:space="preserve">His </w:t>
      </w:r>
      <w:r>
        <w:t>application was</w:t>
      </w:r>
      <w:r>
        <w:t xml:space="preserve"> denied </w:t>
      </w:r>
      <w:r>
        <w:t xml:space="preserve">because </w:t>
      </w:r>
      <w:r>
        <w:t xml:space="preserve">he </w:t>
      </w:r>
      <w:r>
        <w:t xml:space="preserve">had </w:t>
      </w:r>
      <w:r>
        <w:t xml:space="preserve">seven </w:t>
      </w:r>
      <w:r>
        <w:t>years earlier</w:t>
      </w:r>
      <w:r>
        <w:t xml:space="preserve"> been </w:t>
      </w:r>
      <w:r>
        <w:t xml:space="preserve">convicted of misdemeanor lewd conduct in </w:t>
      </w:r>
      <w:r>
        <w:t>violation of section 647, subdivision (a)</w:t>
      </w:r>
      <w:r>
        <w:t xml:space="preserve">, and </w:t>
      </w:r>
      <w:r>
        <w:t>“</w:t>
      </w:r>
      <w:r w:rsidRPr="00DF13D8">
        <w:t xml:space="preserve">section 13220.16 of the Education Code barred issuance of a credential </w:t>
      </w:r>
      <w:r w:rsidRPr="00DF13D8">
        <w:t xml:space="preserve">to anyone convicted of </w:t>
      </w:r>
      <w:r>
        <w:t xml:space="preserve">. . . </w:t>
      </w:r>
      <w:r w:rsidRPr="00DF13D8">
        <w:t>violations of Penal Co</w:t>
      </w:r>
      <w:r>
        <w:t>de section 647, subdivision (a).”  (</w:t>
      </w:r>
      <w:r w:rsidRPr="00DF13D8">
        <w:rPr>
          <w:i/>
        </w:rPr>
        <w:t>Id.</w:t>
      </w:r>
      <w:r>
        <w:t xml:space="preserve"> at p. 707.)  </w:t>
      </w:r>
      <w:r>
        <w:t>B</w:t>
      </w:r>
      <w:r>
        <w:t xml:space="preserve">efore </w:t>
      </w:r>
      <w:r>
        <w:t xml:space="preserve">Newland’s appeal of that denial was </w:t>
      </w:r>
      <w:r>
        <w:t>resolved</w:t>
      </w:r>
      <w:r>
        <w:t xml:space="preserve">, the Legislature amended </w:t>
      </w:r>
      <w:r w:rsidRPr="00DF13D8">
        <w:t xml:space="preserve">section 13220.16 </w:t>
      </w:r>
      <w:r>
        <w:t>“</w:t>
      </w:r>
      <w:r w:rsidRPr="00DF13D8">
        <w:t xml:space="preserve">to remove the bar for anyone found fit to teach provided </w:t>
      </w:r>
      <w:r w:rsidRPr="00DF13D8">
        <w:t>he met three conditions:</w:t>
      </w:r>
      <w:r>
        <w:t xml:space="preserve"> </w:t>
      </w:r>
      <w:r w:rsidRPr="00DF13D8">
        <w:t xml:space="preserve"> he had applied for or obtained a certificate of </w:t>
      </w:r>
      <w:r w:rsidRPr="00DF13D8">
        <w:lastRenderedPageBreak/>
        <w:t>rehabilitation under Penal Code section 4852.01, his probation had been terminated, and the information or accusation had been dismissed under Penal Code section 1203.4.</w:t>
      </w:r>
      <w:r>
        <w:t>”  (</w:t>
      </w:r>
      <w:r w:rsidRPr="00DF13D8">
        <w:rPr>
          <w:i/>
        </w:rPr>
        <w:t>Ibid.</w:t>
      </w:r>
      <w:r>
        <w:t>)  N</w:t>
      </w:r>
      <w:r>
        <w:t xml:space="preserve">ewland satisfied the second and third of those conditions.  But he could not satisfy the first </w:t>
      </w:r>
      <w:r>
        <w:t xml:space="preserve">condition </w:t>
      </w:r>
      <w:r>
        <w:t xml:space="preserve">because certificates of rehabilitation were only available to those convicted of felonies, and Newland had been convicted of a misdemeanor.  </w:t>
      </w:r>
    </w:p>
    <w:p w:rsidR="009250B7" w:rsidRDefault="00F83D06" w:rsidP="009250B7">
      <w:pPr>
        <w:tabs>
          <w:tab w:val="left" w:pos="1440"/>
        </w:tabs>
        <w:spacing w:line="480" w:lineRule="atLeast"/>
        <w:ind w:firstLine="720"/>
      </w:pPr>
      <w:r>
        <w:t xml:space="preserve">Once the </w:t>
      </w:r>
      <w:r>
        <w:t>statute was amended, the Attorney General did “not attempt to suggest any rational basis for the challenged classification.”  (</w:t>
      </w:r>
      <w:r>
        <w:rPr>
          <w:i/>
        </w:rPr>
        <w:t>Newland</w:t>
      </w:r>
      <w:r>
        <w:t xml:space="preserve">, </w:t>
      </w:r>
      <w:r>
        <w:rPr>
          <w:i/>
        </w:rPr>
        <w:t>supra</w:t>
      </w:r>
      <w:r>
        <w:t>, 19 Cal.3d</w:t>
      </w:r>
      <w:r>
        <w:t xml:space="preserve"> at p. 71</w:t>
      </w:r>
      <w:r>
        <w:t>3</w:t>
      </w:r>
      <w:r>
        <w:t>.)  To the contrary</w:t>
      </w:r>
      <w:r>
        <w:t xml:space="preserve">: </w:t>
      </w:r>
      <w:r>
        <w:t xml:space="preserve"> </w:t>
      </w:r>
      <w:r>
        <w:t xml:space="preserve">the </w:t>
      </w:r>
      <w:r>
        <w:t>Attorney General “virtually concede[d] that if Education Code sectio</w:t>
      </w:r>
      <w:r>
        <w:t>n 13220.16 and Penal Code section 4852.01 together work to deny misdemeanants relief available to felons, that discrimination renders either or both statutes unconstitutional.”  (</w:t>
      </w:r>
      <w:r>
        <w:rPr>
          <w:i/>
        </w:rPr>
        <w:t>Ibid.</w:t>
      </w:r>
      <w:r>
        <w:t xml:space="preserve">)  The Attorney General </w:t>
      </w:r>
      <w:r>
        <w:t>made this argument</w:t>
      </w:r>
      <w:r>
        <w:t xml:space="preserve"> in order to “propose[] that </w:t>
      </w:r>
      <w:r w:rsidRPr="003666B9">
        <w:t>w</w:t>
      </w:r>
      <w:r w:rsidRPr="003666B9">
        <w:t>e construe Penal Code section 4852.01 to permit a convicted misdemeanant who is affected by section 13220.16 to petition for a certificate of rehabilitation</w:t>
      </w:r>
      <w:r>
        <w:t>,” based on</w:t>
      </w:r>
      <w:r>
        <w:t xml:space="preserve"> “the principle ‘that a statute which is reasonably susceptible o</w:t>
      </w:r>
      <w:r>
        <w:t>f</w:t>
      </w:r>
      <w:r>
        <w:t xml:space="preserve"> two constructions shou</w:t>
      </w:r>
      <w:r>
        <w:t>ld be interpreted so as to render it constitutional.’ ”  (</w:t>
      </w:r>
      <w:r w:rsidRPr="007B6F0D">
        <w:rPr>
          <w:i/>
        </w:rPr>
        <w:t>Ibid.</w:t>
      </w:r>
      <w:r>
        <w:t xml:space="preserve">)  </w:t>
      </w:r>
      <w:r>
        <w:t>Although we did not</w:t>
      </w:r>
      <w:r>
        <w:t xml:space="preserve"> use that principle to</w:t>
      </w:r>
      <w:r>
        <w:t xml:space="preserve"> resolve the case</w:t>
      </w:r>
      <w:r>
        <w:t xml:space="preserve">, </w:t>
      </w:r>
      <w:r>
        <w:t>we</w:t>
      </w:r>
      <w:r>
        <w:t xml:space="preserve"> </w:t>
      </w:r>
      <w:r>
        <w:t>acknowledged</w:t>
      </w:r>
      <w:r>
        <w:t xml:space="preserve"> that </w:t>
      </w:r>
      <w:r>
        <w:t>the statutory scheme’s</w:t>
      </w:r>
      <w:r>
        <w:t xml:space="preserve"> exclusion of misdemeanants may have been inadvertent.  (See </w:t>
      </w:r>
      <w:r>
        <w:rPr>
          <w:i/>
        </w:rPr>
        <w:t>id.</w:t>
      </w:r>
      <w:r>
        <w:rPr>
          <w:i/>
        </w:rPr>
        <w:t xml:space="preserve"> </w:t>
      </w:r>
      <w:r>
        <w:t>at p. 712 [</w:t>
      </w:r>
      <w:r>
        <w:t>“</w:t>
      </w:r>
      <w:r>
        <w:t>[T]</w:t>
      </w:r>
      <w:r>
        <w:t>he Legi</w:t>
      </w:r>
      <w:r>
        <w:t>slature’s insistence in amended section</w:t>
      </w:r>
      <w:r>
        <w:t xml:space="preserve"> 13220.16</w:t>
      </w:r>
      <w:r>
        <w:t xml:space="preserve"> that all persons seeking relief under subdivision (b) of that statute apply for certificates of rehabilitation may simply be a case of legislative oversight</w:t>
      </w:r>
      <w:r>
        <w:t xml:space="preserve"> </w:t>
      </w:r>
      <w:r>
        <w:t>—</w:t>
      </w:r>
      <w:r>
        <w:t xml:space="preserve"> </w:t>
      </w:r>
      <w:r>
        <w:t>a failure to realize that this requirement would</w:t>
      </w:r>
      <w:r>
        <w:t xml:space="preserve"> block any relief to a misdemeanant.”</w:t>
      </w:r>
      <w:r>
        <w:t xml:space="preserve">].) </w:t>
      </w:r>
      <w:r>
        <w:t xml:space="preserve"> </w:t>
      </w:r>
      <w:r>
        <w:t>But w</w:t>
      </w:r>
      <w:r>
        <w:t xml:space="preserve">hatever the </w:t>
      </w:r>
      <w:r>
        <w:t>explanation</w:t>
      </w:r>
      <w:r>
        <w:t xml:space="preserve"> </w:t>
      </w:r>
      <w:r>
        <w:t>for</w:t>
      </w:r>
      <w:r>
        <w:t xml:space="preserve"> that legislative choice, we </w:t>
      </w:r>
      <w:r>
        <w:t>reasoned that</w:t>
      </w:r>
      <w:r>
        <w:t xml:space="preserve"> </w:t>
      </w:r>
      <w:r>
        <w:t>“[t]he Legislature could not possibly or sensibly have concluded that misdemeanants, as opposed to felons, constitute a class of particular</w:t>
      </w:r>
      <w:r>
        <w:t>ly incorrigible offenders who are beyond hope of rehabilitation.”  (</w:t>
      </w:r>
      <w:r w:rsidRPr="00A82B83">
        <w:rPr>
          <w:i/>
        </w:rPr>
        <w:t>I</w:t>
      </w:r>
      <w:r>
        <w:rPr>
          <w:i/>
        </w:rPr>
        <w:t>bid.</w:t>
      </w:r>
      <w:r>
        <w:t xml:space="preserve">)  </w:t>
      </w:r>
      <w:r>
        <w:t>So</w:t>
      </w:r>
      <w:r>
        <w:t xml:space="preserve"> we </w:t>
      </w:r>
      <w:r>
        <w:t xml:space="preserve">held that the statute was unconstitutional.  (See </w:t>
      </w:r>
      <w:r w:rsidRPr="00C96D93">
        <w:rPr>
          <w:i/>
        </w:rPr>
        <w:t>id.</w:t>
      </w:r>
      <w:r>
        <w:t xml:space="preserve"> at p. 713 [</w:t>
      </w:r>
      <w:r>
        <w:t>“</w:t>
      </w:r>
      <w:r>
        <w:t>[W]</w:t>
      </w:r>
      <w:r>
        <w:t xml:space="preserve">hether the </w:t>
      </w:r>
      <w:r>
        <w:lastRenderedPageBreak/>
        <w:t>result of oversight or intention, the statutory classification discriminating against misdemea</w:t>
      </w:r>
      <w:r>
        <w:t>nants, lacking a rational relationship to the legislative goals, denies misdemeanants the equal protection of the laws</w:t>
      </w:r>
      <w:r>
        <w:t>.</w:t>
      </w:r>
      <w:r>
        <w:t xml:space="preserve">”].)  </w:t>
      </w:r>
    </w:p>
    <w:p w:rsidR="002E55D4" w:rsidRDefault="00F83D06" w:rsidP="005F4039">
      <w:pPr>
        <w:tabs>
          <w:tab w:val="left" w:pos="1440"/>
        </w:tabs>
        <w:spacing w:line="480" w:lineRule="atLeast"/>
        <w:ind w:firstLine="720"/>
      </w:pPr>
      <w:r>
        <w:t xml:space="preserve">The </w:t>
      </w:r>
      <w:r>
        <w:t>requirements</w:t>
      </w:r>
      <w:r>
        <w:t xml:space="preserve"> invalidated in </w:t>
      </w:r>
      <w:r w:rsidRPr="00DF13D8">
        <w:rPr>
          <w:i/>
        </w:rPr>
        <w:t>Newland</w:t>
      </w:r>
      <w:r>
        <w:t xml:space="preserve"> </w:t>
      </w:r>
      <w:r>
        <w:t xml:space="preserve">— </w:t>
      </w:r>
      <w:r>
        <w:t xml:space="preserve">for </w:t>
      </w:r>
      <w:r>
        <w:t xml:space="preserve">which the Attorney General </w:t>
      </w:r>
      <w:r>
        <w:t>never</w:t>
      </w:r>
      <w:r>
        <w:t xml:space="preserve"> </w:t>
      </w:r>
      <w:r>
        <w:t xml:space="preserve">tried to offer </w:t>
      </w:r>
      <w:r>
        <w:t>a rational basi</w:t>
      </w:r>
      <w:r>
        <w:t xml:space="preserve">s, </w:t>
      </w:r>
      <w:r>
        <w:t xml:space="preserve">and which </w:t>
      </w:r>
      <w:r>
        <w:t>we descr</w:t>
      </w:r>
      <w:r>
        <w:t>ibed as</w:t>
      </w:r>
      <w:r>
        <w:t xml:space="preserve"> so </w:t>
      </w:r>
      <w:r>
        <w:t>illogical</w:t>
      </w:r>
      <w:r>
        <w:t xml:space="preserve"> </w:t>
      </w:r>
      <w:r>
        <w:t xml:space="preserve">that </w:t>
      </w:r>
      <w:r>
        <w:t>the</w:t>
      </w:r>
      <w:r>
        <w:t xml:space="preserve"> nature of the</w:t>
      </w:r>
      <w:r>
        <w:t xml:space="preserve">ir </w:t>
      </w:r>
      <w:r>
        <w:t>operation</w:t>
      </w:r>
      <w:r>
        <w:t xml:space="preserve"> </w:t>
      </w:r>
      <w:r>
        <w:t>appeared</w:t>
      </w:r>
      <w:r>
        <w:t xml:space="preserve"> </w:t>
      </w:r>
      <w:r>
        <w:t xml:space="preserve">inadvertent </w:t>
      </w:r>
      <w:r>
        <w:t xml:space="preserve">— </w:t>
      </w:r>
      <w:r>
        <w:t>were</w:t>
      </w:r>
      <w:r>
        <w:t xml:space="preserve"> not as minimally rational as section 4852.01</w:t>
      </w:r>
      <w:r>
        <w:t>’s eligibility criteria</w:t>
      </w:r>
      <w:r>
        <w:t xml:space="preserve">.  </w:t>
      </w:r>
      <w:r>
        <w:t xml:space="preserve">The statute </w:t>
      </w:r>
      <w:r>
        <w:t xml:space="preserve">at issue </w:t>
      </w:r>
      <w:r>
        <w:t>in</w:t>
      </w:r>
      <w:r>
        <w:t xml:space="preserve"> </w:t>
      </w:r>
      <w:r w:rsidRPr="009250B7">
        <w:rPr>
          <w:i/>
        </w:rPr>
        <w:t>Newland</w:t>
      </w:r>
      <w:r>
        <w:t xml:space="preserve"> </w:t>
      </w:r>
      <w:r>
        <w:t xml:space="preserve">barred </w:t>
      </w:r>
      <w:r>
        <w:t xml:space="preserve">misdemeanants from </w:t>
      </w:r>
      <w:r>
        <w:t>teaching</w:t>
      </w:r>
      <w:r>
        <w:t xml:space="preserve"> while </w:t>
      </w:r>
      <w:r>
        <w:t>creating</w:t>
      </w:r>
      <w:r>
        <w:t xml:space="preserve"> </w:t>
      </w:r>
      <w:r>
        <w:t>an</w:t>
      </w:r>
      <w:r>
        <w:t xml:space="preserve"> </w:t>
      </w:r>
      <w:r>
        <w:t>exemption</w:t>
      </w:r>
      <w:r>
        <w:t xml:space="preserve"> </w:t>
      </w:r>
      <w:r>
        <w:t xml:space="preserve">that </w:t>
      </w:r>
      <w:r>
        <w:t>permitted</w:t>
      </w:r>
      <w:r>
        <w:t xml:space="preserve"> felons to </w:t>
      </w:r>
      <w:r>
        <w:t>teach</w:t>
      </w:r>
      <w:r>
        <w:t xml:space="preserve">, simply because one of the requirements for </w:t>
      </w:r>
      <w:r>
        <w:t xml:space="preserve">triggering </w:t>
      </w:r>
      <w:r>
        <w:t>the</w:t>
      </w:r>
      <w:r>
        <w:t xml:space="preserve"> exemption</w:t>
      </w:r>
      <w:r>
        <w:t xml:space="preserve"> </w:t>
      </w:r>
      <w:r>
        <w:t xml:space="preserve">— </w:t>
      </w:r>
      <w:r>
        <w:t xml:space="preserve">a certificate of rehabilitation </w:t>
      </w:r>
      <w:r>
        <w:t xml:space="preserve">— </w:t>
      </w:r>
      <w:r>
        <w:t xml:space="preserve">was </w:t>
      </w:r>
      <w:r>
        <w:t>only available to felons</w:t>
      </w:r>
      <w:r>
        <w:t xml:space="preserve">. </w:t>
      </w:r>
      <w:r>
        <w:t xml:space="preserve"> </w:t>
      </w:r>
      <w:r>
        <w:t>W</w:t>
      </w:r>
      <w:r>
        <w:t xml:space="preserve">e explained </w:t>
      </w:r>
      <w:r>
        <w:t>t</w:t>
      </w:r>
      <w:r>
        <w:t>hat “[t]his statutory discrimination against misdemeanants can claim no rational</w:t>
      </w:r>
      <w:r>
        <w:t xml:space="preserve"> relationship to the protective purpose of section 13220.16.”  </w:t>
      </w:r>
      <w:r>
        <w:t>(</w:t>
      </w:r>
      <w:r w:rsidRPr="007B6F0D">
        <w:rPr>
          <w:i/>
        </w:rPr>
        <w:t>Newland</w:t>
      </w:r>
      <w:r>
        <w:t xml:space="preserve">, </w:t>
      </w:r>
      <w:r w:rsidRPr="007B6F0D">
        <w:rPr>
          <w:i/>
        </w:rPr>
        <w:t>supra</w:t>
      </w:r>
      <w:r>
        <w:t xml:space="preserve">, 19 Cal.3d at </w:t>
      </w:r>
      <w:r>
        <w:t xml:space="preserve">p. </w:t>
      </w:r>
      <w:r>
        <w:t>712</w:t>
      </w:r>
      <w:r>
        <w:t xml:space="preserve">.) </w:t>
      </w:r>
      <w:r>
        <w:t xml:space="preserve"> </w:t>
      </w:r>
      <w:r>
        <w:t>W</w:t>
      </w:r>
      <w:r>
        <w:t>hereas</w:t>
      </w:r>
      <w:r>
        <w:t xml:space="preserve"> </w:t>
      </w:r>
      <w:r>
        <w:t xml:space="preserve">Newland </w:t>
      </w:r>
      <w:r>
        <w:t>could have obtained</w:t>
      </w:r>
      <w:r>
        <w:t xml:space="preserve"> a </w:t>
      </w:r>
      <w:r>
        <w:t xml:space="preserve">teaching </w:t>
      </w:r>
      <w:r>
        <w:t xml:space="preserve">credential </w:t>
      </w:r>
      <w:r>
        <w:t xml:space="preserve">if he had </w:t>
      </w:r>
      <w:r>
        <w:t xml:space="preserve">simply </w:t>
      </w:r>
      <w:r>
        <w:t xml:space="preserve">been </w:t>
      </w:r>
      <w:r>
        <w:t>convicted of</w:t>
      </w:r>
      <w:r>
        <w:t xml:space="preserve"> a </w:t>
      </w:r>
      <w:r>
        <w:t>felony</w:t>
      </w:r>
      <w:r>
        <w:t>,</w:t>
      </w:r>
      <w:r>
        <w:t xml:space="preserve"> not a </w:t>
      </w:r>
      <w:r>
        <w:t>misdemeanor</w:t>
      </w:r>
      <w:r>
        <w:t xml:space="preserve"> — </w:t>
      </w:r>
      <w:r>
        <w:t>in other words, if he had been</w:t>
      </w:r>
      <w:r>
        <w:t xml:space="preserve"> convicted of a more serious offense</w:t>
      </w:r>
      <w:r>
        <w:t xml:space="preserve"> — </w:t>
      </w:r>
      <w:r>
        <w:t>Chatman</w:t>
      </w:r>
      <w:r>
        <w:t>’s</w:t>
      </w:r>
      <w:r>
        <w:t xml:space="preserve"> ineligibility reflects </w:t>
      </w:r>
      <w:r>
        <w:t>his</w:t>
      </w:r>
      <w:r>
        <w:t xml:space="preserve"> own</w:t>
      </w:r>
      <w:r>
        <w:t xml:space="preserve"> response to the</w:t>
      </w:r>
      <w:r>
        <w:t xml:space="preserve"> </w:t>
      </w:r>
      <w:r>
        <w:t xml:space="preserve">unique </w:t>
      </w:r>
      <w:r>
        <w:t xml:space="preserve">opportunities he received </w:t>
      </w:r>
      <w:r>
        <w:t>after he was sentenced to probation</w:t>
      </w:r>
      <w:r>
        <w:t xml:space="preserve">.  </w:t>
      </w:r>
      <w:r>
        <w:t>Chatman</w:t>
      </w:r>
      <w:r>
        <w:t xml:space="preserve"> was</w:t>
      </w:r>
      <w:r>
        <w:t xml:space="preserve"> </w:t>
      </w:r>
      <w:r>
        <w:t>eligible</w:t>
      </w:r>
      <w:r>
        <w:t xml:space="preserve"> </w:t>
      </w:r>
      <w:r>
        <w:t xml:space="preserve">for a </w:t>
      </w:r>
      <w:r>
        <w:t xml:space="preserve">certificate of rehabilitation </w:t>
      </w:r>
      <w:r>
        <w:t xml:space="preserve">up until </w:t>
      </w:r>
      <w:r>
        <w:t xml:space="preserve">he was incarcerated </w:t>
      </w:r>
      <w:r>
        <w:t>for</w:t>
      </w:r>
      <w:r>
        <w:t xml:space="preserve"> driving under the influence </w:t>
      </w:r>
      <w:r>
        <w:t xml:space="preserve">after </w:t>
      </w:r>
      <w:r>
        <w:t xml:space="preserve">a court </w:t>
      </w:r>
      <w:r>
        <w:t xml:space="preserve">had </w:t>
      </w:r>
      <w:r>
        <w:t xml:space="preserve">dismissed his </w:t>
      </w:r>
      <w:r>
        <w:t xml:space="preserve">robbery </w:t>
      </w:r>
      <w:r>
        <w:t>conviction</w:t>
      </w:r>
      <w:r>
        <w:t>, thus showing less promise for rehabilitation under the metric devised by the Legislature</w:t>
      </w:r>
      <w:r>
        <w:t>.</w:t>
      </w:r>
      <w:r>
        <w:t xml:space="preserve">  Until</w:t>
      </w:r>
      <w:r>
        <w:t xml:space="preserve"> </w:t>
      </w:r>
      <w:r>
        <w:t>that</w:t>
      </w:r>
      <w:r>
        <w:t xml:space="preserve"> </w:t>
      </w:r>
      <w:r>
        <w:t>moment</w:t>
      </w:r>
      <w:r>
        <w:t xml:space="preserve">, </w:t>
      </w:r>
      <w:r>
        <w:t>he had the</w:t>
      </w:r>
      <w:r>
        <w:t xml:space="preserve"> very</w:t>
      </w:r>
      <w:r>
        <w:t xml:space="preserve"> same eligibility as other felons.  </w:t>
      </w:r>
    </w:p>
    <w:p w:rsidR="002176DA" w:rsidRDefault="00F83D06" w:rsidP="007D3BF3">
      <w:pPr>
        <w:tabs>
          <w:tab w:val="left" w:pos="720"/>
          <w:tab w:val="left" w:pos="1440"/>
        </w:tabs>
        <w:spacing w:line="480" w:lineRule="atLeast"/>
      </w:pPr>
      <w:r>
        <w:tab/>
      </w:r>
      <w:r>
        <w:t xml:space="preserve">The statute at issue here –– despite any limitations in the persuasive appeal of its underlying policy justification –– </w:t>
      </w:r>
      <w:r>
        <w:t xml:space="preserve">sits </w:t>
      </w:r>
      <w:r>
        <w:t>in a different category</w:t>
      </w:r>
      <w:r>
        <w:t xml:space="preserve"> </w:t>
      </w:r>
      <w:r>
        <w:t xml:space="preserve">in comparison to </w:t>
      </w:r>
      <w:r>
        <w:t xml:space="preserve">the statute in </w:t>
      </w:r>
      <w:r>
        <w:rPr>
          <w:i/>
        </w:rPr>
        <w:t>Newland</w:t>
      </w:r>
      <w:r>
        <w:t xml:space="preserve">.  </w:t>
      </w:r>
      <w:r>
        <w:t>The distinctions made in s</w:t>
      </w:r>
      <w:r>
        <w:t>ection 4852.01’s eligibility criteria a</w:t>
      </w:r>
      <w:r>
        <w:t xml:space="preserve">re </w:t>
      </w:r>
      <w:r>
        <w:t xml:space="preserve">rationally related to the legitimate government purpose of </w:t>
      </w:r>
      <w:r>
        <w:t>preserv</w:t>
      </w:r>
      <w:r>
        <w:t>ing government resources by</w:t>
      </w:r>
      <w:r>
        <w:t xml:space="preserve"> providing certificate of rehabilitation resources </w:t>
      </w:r>
      <w:r>
        <w:t xml:space="preserve">only </w:t>
      </w:r>
      <w:r>
        <w:t>to</w:t>
      </w:r>
      <w:r>
        <w:t xml:space="preserve"> former prisoners (who</w:t>
      </w:r>
      <w:r>
        <w:t xml:space="preserve"> </w:t>
      </w:r>
      <w:r>
        <w:t>have a greater</w:t>
      </w:r>
      <w:r>
        <w:t xml:space="preserve"> relative need for such relief </w:t>
      </w:r>
      <w:r>
        <w:t xml:space="preserve">and a smaller </w:t>
      </w:r>
      <w:r>
        <w:lastRenderedPageBreak/>
        <w:t>population than form</w:t>
      </w:r>
      <w:r>
        <w:t>er probationers)</w:t>
      </w:r>
      <w:r>
        <w:t xml:space="preserve"> and</w:t>
      </w:r>
      <w:r>
        <w:t xml:space="preserve"> </w:t>
      </w:r>
      <w:r>
        <w:t>former probationers</w:t>
      </w:r>
      <w:r>
        <w:t xml:space="preserve"> not subsequently incarcerated (</w:t>
      </w:r>
      <w:r>
        <w:t>who</w:t>
      </w:r>
      <w:r>
        <w:t xml:space="preserve"> presumably</w:t>
      </w:r>
      <w:r>
        <w:t xml:space="preserve"> show </w:t>
      </w:r>
      <w:r>
        <w:t>greater</w:t>
      </w:r>
      <w:r>
        <w:t xml:space="preserve"> promise for rehabilitation</w:t>
      </w:r>
      <w:r>
        <w:t xml:space="preserve"> than subsequently incarcerated former probationers</w:t>
      </w:r>
      <w:r>
        <w:t xml:space="preserve">).  </w:t>
      </w:r>
      <w:r>
        <w:t>The unequal</w:t>
      </w:r>
      <w:r>
        <w:t xml:space="preserve"> treatment </w:t>
      </w:r>
      <w:r>
        <w:t xml:space="preserve">challenged in this case </w:t>
      </w:r>
      <w:r>
        <w:t xml:space="preserve">begins only if </w:t>
      </w:r>
      <w:r>
        <w:t>a felon</w:t>
      </w:r>
      <w:r>
        <w:t xml:space="preserve"> </w:t>
      </w:r>
      <w:r>
        <w:t>reoffe</w:t>
      </w:r>
      <w:r>
        <w:t>nd</w:t>
      </w:r>
      <w:r>
        <w:t>s</w:t>
      </w:r>
      <w:r>
        <w:t xml:space="preserve"> after </w:t>
      </w:r>
      <w:r>
        <w:t xml:space="preserve">completing his or her </w:t>
      </w:r>
      <w:r>
        <w:t>probation</w:t>
      </w:r>
      <w:r>
        <w:t xml:space="preserve">.  </w:t>
      </w:r>
      <w:r>
        <w:t xml:space="preserve">At that point, the Legislature </w:t>
      </w:r>
      <w:r>
        <w:t>has a rational basis to</w:t>
      </w:r>
      <w:r>
        <w:t xml:space="preserve"> conclude that </w:t>
      </w:r>
      <w:r>
        <w:t>resources are better allocated</w:t>
      </w:r>
      <w:r>
        <w:t xml:space="preserve"> to former prisoners than former probationers</w:t>
      </w:r>
      <w:r>
        <w:t xml:space="preserve">.  </w:t>
      </w:r>
      <w:r>
        <w:t>T</w:t>
      </w:r>
      <w:r>
        <w:t xml:space="preserve">hose </w:t>
      </w:r>
      <w:r>
        <w:t xml:space="preserve">former probationers </w:t>
      </w:r>
      <w:r>
        <w:t xml:space="preserve">must turn to other pathways to relief, </w:t>
      </w:r>
      <w:r>
        <w:t xml:space="preserve">such as </w:t>
      </w:r>
      <w:r>
        <w:t xml:space="preserve">an executive pardon </w:t>
      </w:r>
      <w:r>
        <w:t xml:space="preserve">or </w:t>
      </w:r>
      <w:r>
        <w:t>a different</w:t>
      </w:r>
      <w:r>
        <w:t xml:space="preserve"> </w:t>
      </w:r>
      <w:r>
        <w:t>statutory exemption</w:t>
      </w:r>
      <w:r>
        <w:t xml:space="preserve">. </w:t>
      </w:r>
      <w:r>
        <w:t xml:space="preserve"> </w:t>
      </w:r>
    </w:p>
    <w:p w:rsidR="007B6F0D" w:rsidRDefault="00F83D06" w:rsidP="00CB47A4">
      <w:pPr>
        <w:tabs>
          <w:tab w:val="left" w:pos="1440"/>
        </w:tabs>
        <w:spacing w:line="480" w:lineRule="atLeast"/>
        <w:ind w:firstLine="720"/>
      </w:pPr>
      <w:r>
        <w:t xml:space="preserve">Chatman </w:t>
      </w:r>
      <w:r>
        <w:t>emphasize</w:t>
      </w:r>
      <w:r>
        <w:t>s in his briefing</w:t>
      </w:r>
      <w:r>
        <w:t xml:space="preserve"> </w:t>
      </w:r>
      <w:r>
        <w:t>that rehabilitation “is a fundamental value in our justice system</w:t>
      </w:r>
      <w:r>
        <w:t>,</w:t>
      </w:r>
      <w:r>
        <w:t xml:space="preserve">” and the “arbitrary technical bar” at issue in this </w:t>
      </w:r>
      <w:r>
        <w:t xml:space="preserve">case </w:t>
      </w:r>
      <w:r>
        <w:t xml:space="preserve">unfairly </w:t>
      </w:r>
      <w:r>
        <w:t xml:space="preserve">denies </w:t>
      </w:r>
      <w:r>
        <w:t xml:space="preserve">hundreds of </w:t>
      </w:r>
      <w:r>
        <w:t>former probationers</w:t>
      </w:r>
      <w:r>
        <w:t xml:space="preserve"> </w:t>
      </w:r>
      <w:r>
        <w:t xml:space="preserve">“a chance for the </w:t>
      </w:r>
      <w:r>
        <w:t xml:space="preserve">court to consider their efforts </w:t>
      </w:r>
      <w:r>
        <w:t xml:space="preserve">at </w:t>
      </w:r>
      <w:r>
        <w:t xml:space="preserve">bettering themselves and their community.”  </w:t>
      </w:r>
      <w:r>
        <w:t xml:space="preserve">Surely </w:t>
      </w:r>
      <w:r>
        <w:t xml:space="preserve">much of that </w:t>
      </w:r>
      <w:r>
        <w:t xml:space="preserve">is </w:t>
      </w:r>
      <w:r>
        <w:t>true at some level.</w:t>
      </w:r>
      <w:r>
        <w:t xml:space="preserve">  </w:t>
      </w:r>
      <w:r>
        <w:t>F</w:t>
      </w:r>
      <w:r>
        <w:t>elons</w:t>
      </w:r>
      <w:r>
        <w:t xml:space="preserve"> </w:t>
      </w:r>
      <w:r>
        <w:t>endeavoring</w:t>
      </w:r>
      <w:r>
        <w:t xml:space="preserve"> to improve their lives</w:t>
      </w:r>
      <w:r>
        <w:t xml:space="preserve"> </w:t>
      </w:r>
      <w:r>
        <w:t xml:space="preserve">no doubt </w:t>
      </w:r>
      <w:r>
        <w:t xml:space="preserve">deserve </w:t>
      </w:r>
      <w:r>
        <w:t>a</w:t>
      </w:r>
      <w:r>
        <w:t xml:space="preserve"> measure of </w:t>
      </w:r>
      <w:r>
        <w:t>mercy</w:t>
      </w:r>
      <w:r>
        <w:t xml:space="preserve"> — </w:t>
      </w:r>
      <w:r>
        <w:t xml:space="preserve">and we are </w:t>
      </w:r>
      <w:r>
        <w:t>sens</w:t>
      </w:r>
      <w:r>
        <w:t>itive to</w:t>
      </w:r>
      <w:r>
        <w:t xml:space="preserve"> the</w:t>
      </w:r>
      <w:r>
        <w:t xml:space="preserve"> </w:t>
      </w:r>
      <w:r>
        <w:t xml:space="preserve">increasingly </w:t>
      </w:r>
      <w:r>
        <w:t xml:space="preserve">troubling </w:t>
      </w:r>
      <w:r>
        <w:t>fact that the law imposes</w:t>
      </w:r>
      <w:r>
        <w:t xml:space="preserve"> </w:t>
      </w:r>
      <w:r>
        <w:t>severe consequences on felony convicts long after they have served their sentence</w:t>
      </w:r>
      <w:r>
        <w:t>.  (</w:t>
      </w:r>
      <w:r>
        <w:t>See</w:t>
      </w:r>
      <w:r>
        <w:t>, e.g.,</w:t>
      </w:r>
      <w:r>
        <w:t xml:space="preserve"> </w:t>
      </w:r>
      <w:r w:rsidRPr="00E6647A">
        <w:rPr>
          <w:i/>
        </w:rPr>
        <w:t>Packingham v. North Carolina</w:t>
      </w:r>
      <w:r>
        <w:t xml:space="preserve"> (2017) __ U.S. __ [137 S.Ct. 1730, 1737] [noting the “troubling” fact</w:t>
      </w:r>
      <w:r>
        <w:t xml:space="preserve"> that</w:t>
      </w:r>
      <w:r>
        <w:t xml:space="preserve"> a</w:t>
      </w:r>
      <w:r>
        <w:t xml:space="preserve"> </w:t>
      </w:r>
      <w:r>
        <w:t>North Carolina</w:t>
      </w:r>
      <w:r>
        <w:t xml:space="preserve"> statute concerning social media access for registered sex offenders </w:t>
      </w:r>
      <w:r>
        <w:t>“impose[d]</w:t>
      </w:r>
      <w:r w:rsidRPr="00127588">
        <w:t xml:space="preserve"> severe restrict</w:t>
      </w:r>
      <w:r>
        <w:t>ions on persons who already ha[d] served their sentence and [we]re</w:t>
      </w:r>
      <w:r w:rsidRPr="00127588">
        <w:t xml:space="preserve"> no longer subject to the supervision of the criminal justice system</w:t>
      </w:r>
      <w:r>
        <w:t>”</w:t>
      </w:r>
      <w:r>
        <w:t xml:space="preserve">]; </w:t>
      </w:r>
      <w:r w:rsidRPr="00AF719B">
        <w:rPr>
          <w:i/>
        </w:rPr>
        <w:t>In re J.C.</w:t>
      </w:r>
      <w:r>
        <w:t xml:space="preserve"> (2017) 13 Cal.App.5th 1201, 1211</w:t>
      </w:r>
      <w:r>
        <w:t xml:space="preserve"> [noting the “substantial — even harsh and severe” nature of many non-penal consequences </w:t>
      </w:r>
      <w:r>
        <w:t>of a</w:t>
      </w:r>
      <w:r>
        <w:t xml:space="preserve"> felony conviction]</w:t>
      </w:r>
      <w:r>
        <w:t xml:space="preserve">.) </w:t>
      </w:r>
      <w:r>
        <w:t xml:space="preserve"> But our role in this case</w:t>
      </w:r>
      <w:r>
        <w:t xml:space="preserve"> </w:t>
      </w:r>
      <w:r>
        <w:t xml:space="preserve">is </w:t>
      </w:r>
      <w:r>
        <w:t xml:space="preserve">to </w:t>
      </w:r>
      <w:r>
        <w:t xml:space="preserve">review </w:t>
      </w:r>
      <w:r>
        <w:t xml:space="preserve">the rationality of the statutes at issue, not </w:t>
      </w:r>
      <w:r>
        <w:t>measur</w:t>
      </w:r>
      <w:r>
        <w:t xml:space="preserve">e </w:t>
      </w:r>
      <w:r>
        <w:t>thei</w:t>
      </w:r>
      <w:r>
        <w:t>r</w:t>
      </w:r>
      <w:r>
        <w:t xml:space="preserve"> fairness</w:t>
      </w:r>
      <w:r>
        <w:t xml:space="preserve"> or </w:t>
      </w:r>
      <w:r>
        <w:t>wisdom</w:t>
      </w:r>
      <w:r>
        <w:t xml:space="preserve">.  </w:t>
      </w:r>
      <w:r>
        <w:t>Th</w:t>
      </w:r>
      <w:r>
        <w:t>e Legislature may ultimately revisit</w:t>
      </w:r>
      <w:r>
        <w:t xml:space="preserve"> the statutory framework</w:t>
      </w:r>
      <w:r>
        <w:t xml:space="preserve">, </w:t>
      </w:r>
      <w:r>
        <w:t xml:space="preserve">especially in light of recent </w:t>
      </w:r>
      <w:r>
        <w:t>legislation that updates the certificate of rehabilitation scheme</w:t>
      </w:r>
      <w:r>
        <w:t xml:space="preserve"> </w:t>
      </w:r>
      <w:r>
        <w:t>to deal with</w:t>
      </w:r>
      <w:r>
        <w:t xml:space="preserve"> felons </w:t>
      </w:r>
      <w:r>
        <w:t>imprisoned</w:t>
      </w:r>
      <w:r>
        <w:t xml:space="preserve"> in county jail under the </w:t>
      </w:r>
      <w:r>
        <w:lastRenderedPageBreak/>
        <w:t xml:space="preserve">state’s </w:t>
      </w:r>
      <w:r w:rsidRPr="00BA67EA">
        <w:t>Publ</w:t>
      </w:r>
      <w:r>
        <w:t>ic Sa</w:t>
      </w:r>
      <w:r>
        <w:t>fety Realignment initiative.</w:t>
      </w:r>
      <w:r>
        <w:rPr>
          <w:rStyle w:val="FootnoteReference"/>
        </w:rPr>
        <w:footnoteReference w:id="5"/>
      </w:r>
      <w:r>
        <w:t xml:space="preserve">  </w:t>
      </w:r>
      <w:r>
        <w:t xml:space="preserve">Yet </w:t>
      </w:r>
      <w:r>
        <w:t>e</w:t>
      </w:r>
      <w:r>
        <w:t xml:space="preserve">ven if </w:t>
      </w:r>
      <w:r>
        <w:t xml:space="preserve">the Legislature could have chosen to enact a more sensible or judicious </w:t>
      </w:r>
      <w:r>
        <w:t xml:space="preserve">statutory </w:t>
      </w:r>
      <w:r>
        <w:t>scheme</w:t>
      </w:r>
      <w:r>
        <w:t xml:space="preserve"> than the one </w:t>
      </w:r>
      <w:r>
        <w:t>in place today</w:t>
      </w:r>
      <w:r>
        <w:t xml:space="preserve">, </w:t>
      </w:r>
      <w:r>
        <w:t>section 4852.01’s</w:t>
      </w:r>
      <w:r>
        <w:t xml:space="preserve"> </w:t>
      </w:r>
      <w:r>
        <w:t>current</w:t>
      </w:r>
      <w:r>
        <w:t xml:space="preserve"> eligibility </w:t>
      </w:r>
      <w:r>
        <w:t>criteria</w:t>
      </w:r>
      <w:r>
        <w:t xml:space="preserve"> </w:t>
      </w:r>
      <w:r>
        <w:t xml:space="preserve">are constitutional </w:t>
      </w:r>
      <w:r>
        <w:t xml:space="preserve">because </w:t>
      </w:r>
      <w:r>
        <w:t>t</w:t>
      </w:r>
      <w:r>
        <w:t xml:space="preserve">hey </w:t>
      </w:r>
      <w:r>
        <w:t xml:space="preserve">rationally serve a legitimate </w:t>
      </w:r>
      <w:r>
        <w:t xml:space="preserve">government </w:t>
      </w:r>
      <w:r>
        <w:t>purpose.</w:t>
      </w:r>
    </w:p>
    <w:p w:rsidR="00E86E9D" w:rsidRDefault="00F83D06">
      <w:r>
        <w:br w:type="page"/>
      </w:r>
    </w:p>
    <w:p w:rsidR="00C1268F" w:rsidRDefault="00F83D06" w:rsidP="00C1268F">
      <w:pPr>
        <w:tabs>
          <w:tab w:val="left" w:pos="1440"/>
        </w:tabs>
        <w:spacing w:line="480" w:lineRule="atLeast"/>
        <w:jc w:val="center"/>
      </w:pPr>
      <w:r>
        <w:lastRenderedPageBreak/>
        <w:t>V.</w:t>
      </w:r>
    </w:p>
    <w:p w:rsidR="002D3451" w:rsidRDefault="00F83D06">
      <w:pPr>
        <w:tabs>
          <w:tab w:val="left" w:pos="1440"/>
        </w:tabs>
        <w:spacing w:line="480" w:lineRule="atLeast"/>
        <w:ind w:firstLine="720"/>
      </w:pPr>
      <w:r>
        <w:t>The Legislature enacted a scheme providing</w:t>
      </w:r>
      <w:r>
        <w:t xml:space="preserve"> relief to former </w:t>
      </w:r>
      <w:r>
        <w:t>prisoners.  It enacted a different, and more restrictive</w:t>
      </w:r>
      <w:r>
        <w:t>,</w:t>
      </w:r>
      <w:r>
        <w:t xml:space="preserve"> scheme to govern former probationers’ access to certificates of rehabilitation –– a</w:t>
      </w:r>
      <w:r>
        <w:t xml:space="preserve"> scheme applying to individuals who had an alternative process for mitigating the longer-term consequences of their felony convictions.  </w:t>
      </w:r>
      <w:r w:rsidRPr="00220D4C">
        <w:t xml:space="preserve">In doing so, legislators weighed the broad class of problems associated with the administrative resources necessary to </w:t>
      </w:r>
      <w:r w:rsidRPr="00220D4C">
        <w:t>adjudicate eligibility for certificates of rehabilitation</w:t>
      </w:r>
      <w:r>
        <w:t xml:space="preserve"> and</w:t>
      </w:r>
      <w:r w:rsidRPr="00220D4C">
        <w:t xml:space="preserve"> could have rationally determined that preservation of government resources </w:t>
      </w:r>
      <w:r>
        <w:t>required the</w:t>
      </w:r>
      <w:r w:rsidRPr="00220D4C">
        <w:t xml:space="preserve"> extension of certific</w:t>
      </w:r>
      <w:r>
        <w:t xml:space="preserve">ates of rehabilitation </w:t>
      </w:r>
      <w:r>
        <w:t xml:space="preserve">to </w:t>
      </w:r>
      <w:r>
        <w:t xml:space="preserve">only </w:t>
      </w:r>
      <w:r>
        <w:t>those</w:t>
      </w:r>
      <w:r w:rsidRPr="00220D4C">
        <w:t xml:space="preserve"> convicted felons </w:t>
      </w:r>
      <w:r>
        <w:t>with</w:t>
      </w:r>
      <w:r w:rsidRPr="00220D4C">
        <w:t xml:space="preserve"> the highest relative need </w:t>
      </w:r>
      <w:r w:rsidRPr="00220D4C">
        <w:t xml:space="preserve">and </w:t>
      </w:r>
      <w:r>
        <w:t>those that</w:t>
      </w:r>
      <w:r w:rsidRPr="00220D4C">
        <w:t xml:space="preserve"> might sensibly be </w:t>
      </w:r>
      <w:r>
        <w:t>understood to show</w:t>
      </w:r>
      <w:r w:rsidRPr="00220D4C">
        <w:t xml:space="preserve"> the mo</w:t>
      </w:r>
      <w:r>
        <w:t>st promise for rehabilitation</w:t>
      </w:r>
      <w:r>
        <w:t xml:space="preserve"> — former prisoners and former probationers</w:t>
      </w:r>
      <w:r>
        <w:t xml:space="preserve"> not subsequently incarcerated</w:t>
      </w:r>
      <w:r>
        <w:t>.</w:t>
      </w:r>
      <w:r>
        <w:t xml:space="preserve">  </w:t>
      </w:r>
      <w:r>
        <w:t xml:space="preserve">That this choice is within the permissible bounds of rational basis review is </w:t>
      </w:r>
      <w:r>
        <w:t xml:space="preserve">further </w:t>
      </w:r>
      <w:r>
        <w:t>evinced</w:t>
      </w:r>
      <w:r>
        <w:t xml:space="preserve"> by the fact that </w:t>
      </w:r>
      <w:r>
        <w:t>former probationers outnumber former prisoners</w:t>
      </w:r>
      <w:r>
        <w:t>, and thus would create a larger burden on state resources</w:t>
      </w:r>
      <w:r>
        <w:t xml:space="preserve">.  Former probationers </w:t>
      </w:r>
      <w:r>
        <w:t>remain</w:t>
      </w:r>
      <w:r>
        <w:t xml:space="preserve"> eligible for </w:t>
      </w:r>
      <w:r>
        <w:t xml:space="preserve">other statutory exemptions </w:t>
      </w:r>
      <w:r>
        <w:t>as well as</w:t>
      </w:r>
      <w:r>
        <w:t xml:space="preserve"> </w:t>
      </w:r>
      <w:r>
        <w:t xml:space="preserve">for </w:t>
      </w:r>
      <w:r>
        <w:t xml:space="preserve">pardons, and they </w:t>
      </w:r>
      <w:r>
        <w:t>remain</w:t>
      </w:r>
      <w:r>
        <w:t xml:space="preserve"> eligible for certificate</w:t>
      </w:r>
      <w:r>
        <w:t>s of rehabilitation</w:t>
      </w:r>
      <w:r>
        <w:t xml:space="preserve"> too</w:t>
      </w:r>
      <w:r>
        <w:t xml:space="preserve"> </w:t>
      </w:r>
      <w:r>
        <w:t>if they avoid subsequent</w:t>
      </w:r>
      <w:r>
        <w:t xml:space="preserve"> incarcerat</w:t>
      </w:r>
      <w:r>
        <w:t>ion</w:t>
      </w:r>
      <w:r>
        <w:t xml:space="preserve">.  </w:t>
      </w:r>
      <w:r>
        <w:t>Because s</w:t>
      </w:r>
      <w:r>
        <w:t>ection 4852.01’s eligibility criteria</w:t>
      </w:r>
      <w:r>
        <w:t xml:space="preserve"> </w:t>
      </w:r>
      <w:r>
        <w:t xml:space="preserve">therefore </w:t>
      </w:r>
      <w:r>
        <w:t xml:space="preserve">serve </w:t>
      </w:r>
      <w:r>
        <w:t>a</w:t>
      </w:r>
      <w:r>
        <w:t xml:space="preserve"> legitimate </w:t>
      </w:r>
      <w:r>
        <w:t xml:space="preserve">government </w:t>
      </w:r>
      <w:r>
        <w:t>purpose</w:t>
      </w:r>
      <w:r>
        <w:t>,</w:t>
      </w:r>
      <w:r>
        <w:t xml:space="preserve"> </w:t>
      </w:r>
      <w:r>
        <w:t xml:space="preserve">those criteria </w:t>
      </w:r>
      <w:r>
        <w:t xml:space="preserve">are minimally rational enough to </w:t>
      </w:r>
      <w:r>
        <w:t xml:space="preserve">withstand rational basis scrutiny. </w:t>
      </w:r>
      <w:r>
        <w:t xml:space="preserve"> </w:t>
      </w:r>
      <w:r>
        <w:t xml:space="preserve">Accordingly, </w:t>
      </w:r>
      <w:r>
        <w:t xml:space="preserve">we </w:t>
      </w:r>
      <w:r w:rsidRPr="006E2174">
        <w:t>reverse</w:t>
      </w:r>
      <w:r>
        <w:t xml:space="preserve"> the ju</w:t>
      </w:r>
      <w:r>
        <w:t xml:space="preserve">dgment of the Court of Appeal. </w:t>
      </w:r>
    </w:p>
    <w:p w:rsidR="00CE7044" w:rsidRPr="00F76E9F" w:rsidRDefault="00F83D06" w:rsidP="00626FD4">
      <w:pPr>
        <w:tabs>
          <w:tab w:val="left" w:pos="1440"/>
        </w:tabs>
        <w:spacing w:line="120" w:lineRule="atLeast"/>
        <w:ind w:firstLine="720"/>
        <w:rPr>
          <w:b/>
          <w:smallCaps/>
        </w:rPr>
      </w:pPr>
      <w:r>
        <w:tab/>
      </w:r>
      <w:r>
        <w:tab/>
      </w:r>
      <w:r>
        <w:tab/>
      </w:r>
      <w:r>
        <w:tab/>
      </w:r>
      <w:r>
        <w:tab/>
      </w:r>
      <w:r>
        <w:tab/>
      </w:r>
      <w:r>
        <w:tab/>
      </w:r>
      <w:r>
        <w:tab/>
      </w:r>
      <w:r w:rsidRPr="00F76E9F">
        <w:rPr>
          <w:b/>
          <w:smallCaps/>
        </w:rPr>
        <w:t>C</w:t>
      </w:r>
      <w:r w:rsidR="007C519B">
        <w:rPr>
          <w:b/>
          <w:smallCaps/>
        </w:rPr>
        <w:t>UÉLLAR</w:t>
      </w:r>
      <w:r w:rsidRPr="00F76E9F">
        <w:rPr>
          <w:b/>
          <w:smallCaps/>
        </w:rPr>
        <w:t>, J.</w:t>
      </w:r>
    </w:p>
    <w:p w:rsidR="004A79F8" w:rsidRDefault="00F83D06" w:rsidP="0022203E">
      <w:pPr>
        <w:tabs>
          <w:tab w:val="left" w:pos="1440"/>
        </w:tabs>
        <w:rPr>
          <w:b/>
          <w:smallCaps/>
        </w:rPr>
      </w:pPr>
      <w:r>
        <w:rPr>
          <w:b/>
          <w:smallCaps/>
        </w:rPr>
        <w:t>W</w:t>
      </w:r>
      <w:r w:rsidR="007C519B">
        <w:rPr>
          <w:b/>
          <w:smallCaps/>
        </w:rPr>
        <w:t>E</w:t>
      </w:r>
      <w:r>
        <w:rPr>
          <w:b/>
          <w:smallCaps/>
        </w:rPr>
        <w:t xml:space="preserve"> C</w:t>
      </w:r>
      <w:r w:rsidR="007C519B">
        <w:rPr>
          <w:b/>
          <w:smallCaps/>
        </w:rPr>
        <w:t>ONCUR</w:t>
      </w:r>
      <w:r>
        <w:rPr>
          <w:b/>
          <w:smallCaps/>
        </w:rPr>
        <w:t xml:space="preserve">:  </w:t>
      </w:r>
      <w:r>
        <w:rPr>
          <w:b/>
          <w:smallCaps/>
        </w:rPr>
        <w:t>C</w:t>
      </w:r>
      <w:r w:rsidR="007C519B">
        <w:rPr>
          <w:b/>
          <w:smallCaps/>
        </w:rPr>
        <w:t>ANTIL-SAKAUYE</w:t>
      </w:r>
      <w:r>
        <w:rPr>
          <w:b/>
          <w:smallCaps/>
        </w:rPr>
        <w:t>, C. J.</w:t>
      </w:r>
    </w:p>
    <w:p w:rsidR="004A79F8" w:rsidRDefault="00F83D06" w:rsidP="0022203E">
      <w:pPr>
        <w:tabs>
          <w:tab w:val="left" w:pos="1440"/>
        </w:tabs>
        <w:rPr>
          <w:b/>
          <w:smallCaps/>
        </w:rPr>
      </w:pPr>
      <w:r>
        <w:rPr>
          <w:b/>
          <w:smallCaps/>
        </w:rPr>
        <w:tab/>
      </w:r>
      <w:r w:rsidR="007C519B">
        <w:rPr>
          <w:b/>
          <w:smallCaps/>
        </w:rPr>
        <w:t xml:space="preserve">       </w:t>
      </w:r>
      <w:r>
        <w:rPr>
          <w:b/>
          <w:smallCaps/>
        </w:rPr>
        <w:t>C</w:t>
      </w:r>
      <w:r w:rsidR="007C519B">
        <w:rPr>
          <w:b/>
          <w:smallCaps/>
        </w:rPr>
        <w:t>HIN</w:t>
      </w:r>
      <w:r>
        <w:rPr>
          <w:b/>
          <w:smallCaps/>
        </w:rPr>
        <w:t>, J.</w:t>
      </w:r>
    </w:p>
    <w:p w:rsidR="000145AB" w:rsidRDefault="00F83D06" w:rsidP="007C519B">
      <w:pPr>
        <w:tabs>
          <w:tab w:val="left" w:pos="1440"/>
        </w:tabs>
        <w:rPr>
          <w:b/>
          <w:smallCaps/>
        </w:rPr>
      </w:pPr>
      <w:r>
        <w:rPr>
          <w:b/>
          <w:smallCaps/>
        </w:rPr>
        <w:tab/>
        <w:t xml:space="preserve">   </w:t>
      </w:r>
      <w:r w:rsidR="007C519B">
        <w:rPr>
          <w:b/>
          <w:smallCaps/>
        </w:rPr>
        <w:t xml:space="preserve">    </w:t>
      </w:r>
      <w:r>
        <w:rPr>
          <w:b/>
          <w:smallCaps/>
        </w:rPr>
        <w:t>C</w:t>
      </w:r>
      <w:r w:rsidR="007C519B">
        <w:rPr>
          <w:b/>
          <w:smallCaps/>
        </w:rPr>
        <w:t>ORRIGAN</w:t>
      </w:r>
      <w:r>
        <w:rPr>
          <w:b/>
          <w:smallCaps/>
        </w:rPr>
        <w:t>, J.</w:t>
      </w:r>
      <w:r>
        <w:rPr>
          <w:b/>
          <w:smallCaps/>
        </w:rPr>
        <w:br/>
      </w:r>
      <w:r w:rsidR="007C519B">
        <w:rPr>
          <w:b/>
          <w:smallCaps/>
        </w:rPr>
        <w:t xml:space="preserve">                                   </w:t>
      </w:r>
      <w:r>
        <w:rPr>
          <w:b/>
          <w:smallCaps/>
        </w:rPr>
        <w:t>L</w:t>
      </w:r>
      <w:r w:rsidR="007C519B">
        <w:rPr>
          <w:b/>
          <w:smallCaps/>
        </w:rPr>
        <w:t>IU</w:t>
      </w:r>
      <w:r>
        <w:rPr>
          <w:b/>
          <w:smallCaps/>
        </w:rPr>
        <w:t>, J.</w:t>
      </w:r>
    </w:p>
    <w:p w:rsidR="004A79F8" w:rsidRDefault="00F83D06" w:rsidP="0022203E">
      <w:pPr>
        <w:tabs>
          <w:tab w:val="left" w:pos="1440"/>
        </w:tabs>
        <w:rPr>
          <w:b/>
          <w:smallCaps/>
        </w:rPr>
      </w:pPr>
      <w:r>
        <w:rPr>
          <w:b/>
          <w:smallCaps/>
        </w:rPr>
        <w:t xml:space="preserve">                              </w:t>
      </w:r>
      <w:r w:rsidR="007C519B">
        <w:rPr>
          <w:b/>
          <w:smallCaps/>
        </w:rPr>
        <w:t xml:space="preserve">     </w:t>
      </w:r>
      <w:r>
        <w:rPr>
          <w:b/>
          <w:smallCaps/>
        </w:rPr>
        <w:t>K</w:t>
      </w:r>
      <w:r w:rsidR="007C519B">
        <w:rPr>
          <w:b/>
          <w:smallCaps/>
        </w:rPr>
        <w:t>RUGER</w:t>
      </w:r>
      <w:r>
        <w:rPr>
          <w:b/>
          <w:smallCaps/>
        </w:rPr>
        <w:t>, J.</w:t>
      </w:r>
    </w:p>
    <w:p w:rsidR="00F83D06" w:rsidRDefault="00F83D06" w:rsidP="000145AB">
      <w:pPr>
        <w:tabs>
          <w:tab w:val="left" w:pos="1440"/>
        </w:tabs>
        <w:rPr>
          <w:rStyle w:val="FootnoteReference"/>
          <w:b w:val="0"/>
          <w:smallCaps/>
        </w:rPr>
        <w:sectPr w:rsidR="00F83D06" w:rsidSect="00AA38A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r>
        <w:rPr>
          <w:b/>
          <w:smallCaps/>
        </w:rPr>
        <w:t xml:space="preserve">                              </w:t>
      </w:r>
      <w:r w:rsidR="007C519B">
        <w:rPr>
          <w:b/>
          <w:smallCaps/>
        </w:rPr>
        <w:t xml:space="preserve">    </w:t>
      </w:r>
      <w:r>
        <w:rPr>
          <w:b/>
          <w:smallCaps/>
        </w:rPr>
        <w:t>M</w:t>
      </w:r>
      <w:r w:rsidR="007C519B">
        <w:rPr>
          <w:b/>
          <w:smallCaps/>
        </w:rPr>
        <w:t>URRAY</w:t>
      </w:r>
      <w:r>
        <w:rPr>
          <w:b/>
          <w:smallCaps/>
        </w:rPr>
        <w:t xml:space="preserve">, J. </w:t>
      </w:r>
      <w:r>
        <w:rPr>
          <w:rStyle w:val="FootnoteReference"/>
          <w:b w:val="0"/>
          <w:smallCaps/>
        </w:rPr>
        <w:footnoteReference w:customMarkFollows="1" w:id="6"/>
        <w:t>*</w:t>
      </w:r>
    </w:p>
    <w:p w:rsidR="00F83D06" w:rsidRDefault="00F83D06" w:rsidP="00F83D06">
      <w:pPr>
        <w:rPr>
          <w:i/>
          <w:sz w:val="20"/>
        </w:rPr>
      </w:pPr>
      <w:r>
        <w:rPr>
          <w:i/>
          <w:sz w:val="20"/>
        </w:rPr>
        <w:t>See next page for addresses and telephone numbers for counsel who argued in Supreme Court.</w:t>
      </w:r>
    </w:p>
    <w:p w:rsidR="00F83D06" w:rsidRDefault="00F83D06" w:rsidP="00F83D06">
      <w:pPr>
        <w:rPr>
          <w:i/>
          <w:sz w:val="20"/>
        </w:rPr>
      </w:pPr>
    </w:p>
    <w:p w:rsidR="00F83D06" w:rsidRPr="003F43D4" w:rsidRDefault="00F83D06" w:rsidP="00F83D06">
      <w:pPr>
        <w:rPr>
          <w:bCs/>
          <w:i/>
          <w:sz w:val="20"/>
        </w:rPr>
      </w:pPr>
      <w:r>
        <w:rPr>
          <w:b/>
          <w:sz w:val="20"/>
        </w:rPr>
        <w:t>Name of Opinion</w:t>
      </w:r>
      <w:r>
        <w:rPr>
          <w:sz w:val="20"/>
        </w:rPr>
        <w:t xml:space="preserve"> People v. Chatman</w:t>
      </w:r>
    </w:p>
    <w:p w:rsidR="00F83D06" w:rsidRDefault="00F83D06" w:rsidP="00F83D06">
      <w:pPr>
        <w:rPr>
          <w:b/>
          <w:sz w:val="20"/>
        </w:rPr>
      </w:pPr>
      <w:r>
        <w:rPr>
          <w:b/>
          <w:sz w:val="20"/>
        </w:rPr>
        <w:t>__________________________________________________________________________________</w:t>
      </w:r>
    </w:p>
    <w:p w:rsidR="00F83D06" w:rsidRDefault="00F83D06" w:rsidP="00F83D06">
      <w:pPr>
        <w:rPr>
          <w:b/>
          <w:sz w:val="20"/>
        </w:rPr>
      </w:pPr>
    </w:p>
    <w:p w:rsidR="00F83D06" w:rsidRDefault="00F83D06" w:rsidP="00F83D06">
      <w:pPr>
        <w:rPr>
          <w:bCs/>
          <w:sz w:val="20"/>
        </w:rPr>
      </w:pPr>
      <w:r>
        <w:rPr>
          <w:b/>
          <w:sz w:val="20"/>
        </w:rPr>
        <w:t>Unpublished Opinion</w:t>
      </w:r>
    </w:p>
    <w:p w:rsidR="00F83D06" w:rsidRDefault="00F83D06" w:rsidP="00F83D06">
      <w:pPr>
        <w:rPr>
          <w:sz w:val="20"/>
        </w:rPr>
      </w:pPr>
      <w:r>
        <w:rPr>
          <w:b/>
          <w:sz w:val="20"/>
        </w:rPr>
        <w:t>Original Appeal</w:t>
      </w:r>
    </w:p>
    <w:p w:rsidR="00F83D06" w:rsidRDefault="00F83D06" w:rsidP="00F83D06">
      <w:pPr>
        <w:rPr>
          <w:b/>
          <w:sz w:val="20"/>
        </w:rPr>
      </w:pPr>
      <w:r>
        <w:rPr>
          <w:b/>
          <w:sz w:val="20"/>
        </w:rPr>
        <w:t>Original Proceeding</w:t>
      </w:r>
    </w:p>
    <w:p w:rsidR="00F83D06" w:rsidRPr="003F43D4" w:rsidRDefault="00F83D06" w:rsidP="00F83D06">
      <w:pPr>
        <w:rPr>
          <w:sz w:val="20"/>
        </w:rPr>
      </w:pPr>
      <w:r>
        <w:rPr>
          <w:b/>
          <w:sz w:val="20"/>
        </w:rPr>
        <w:t>Review Granted</w:t>
      </w:r>
      <w:r>
        <w:rPr>
          <w:sz w:val="20"/>
        </w:rPr>
        <w:t xml:space="preserve"> XXX 2 Cal.App.5th 561</w:t>
      </w:r>
    </w:p>
    <w:p w:rsidR="00F83D06" w:rsidRDefault="00F83D06" w:rsidP="00F83D06">
      <w:pPr>
        <w:rPr>
          <w:b/>
          <w:sz w:val="20"/>
        </w:rPr>
      </w:pPr>
      <w:r>
        <w:rPr>
          <w:b/>
          <w:sz w:val="20"/>
        </w:rPr>
        <w:t>Rehearing Granted</w:t>
      </w:r>
    </w:p>
    <w:p w:rsidR="00F83D06" w:rsidRDefault="00F83D06" w:rsidP="00F83D06">
      <w:pPr>
        <w:rPr>
          <w:b/>
          <w:sz w:val="20"/>
        </w:rPr>
      </w:pPr>
    </w:p>
    <w:p w:rsidR="00F83D06" w:rsidRDefault="00F83D06" w:rsidP="00F83D06">
      <w:pPr>
        <w:rPr>
          <w:b/>
          <w:sz w:val="20"/>
        </w:rPr>
      </w:pPr>
      <w:r>
        <w:rPr>
          <w:b/>
          <w:sz w:val="20"/>
        </w:rPr>
        <w:t>__________________________________________________________________________________</w:t>
      </w:r>
    </w:p>
    <w:p w:rsidR="00F83D06" w:rsidRDefault="00F83D06" w:rsidP="00F83D06">
      <w:pPr>
        <w:rPr>
          <w:b/>
          <w:sz w:val="20"/>
        </w:rPr>
      </w:pPr>
    </w:p>
    <w:p w:rsidR="00F83D06" w:rsidRPr="003F43D4" w:rsidRDefault="00F83D06" w:rsidP="00F83D06">
      <w:pPr>
        <w:rPr>
          <w:bCs/>
          <w:sz w:val="20"/>
        </w:rPr>
      </w:pPr>
      <w:r>
        <w:rPr>
          <w:b/>
          <w:sz w:val="20"/>
        </w:rPr>
        <w:t>Opinion No.</w:t>
      </w:r>
      <w:r>
        <w:rPr>
          <w:sz w:val="20"/>
        </w:rPr>
        <w:t xml:space="preserve"> S237374</w:t>
      </w:r>
    </w:p>
    <w:p w:rsidR="00F83D06" w:rsidRPr="003F43D4" w:rsidRDefault="00F83D06" w:rsidP="00F83D06">
      <w:pPr>
        <w:rPr>
          <w:bCs/>
          <w:sz w:val="20"/>
        </w:rPr>
      </w:pPr>
      <w:r>
        <w:rPr>
          <w:b/>
          <w:sz w:val="20"/>
        </w:rPr>
        <w:t>Date Filed:</w:t>
      </w:r>
      <w:r>
        <w:rPr>
          <w:sz w:val="20"/>
        </w:rPr>
        <w:t xml:space="preserve"> February 1, 2018</w:t>
      </w:r>
    </w:p>
    <w:p w:rsidR="00F83D06" w:rsidRDefault="00F83D06" w:rsidP="00F83D06">
      <w:pPr>
        <w:rPr>
          <w:b/>
          <w:sz w:val="20"/>
        </w:rPr>
      </w:pPr>
      <w:r>
        <w:rPr>
          <w:b/>
          <w:sz w:val="20"/>
        </w:rPr>
        <w:t>__________________________________________________________________________________</w:t>
      </w:r>
    </w:p>
    <w:p w:rsidR="00F83D06" w:rsidRDefault="00F83D06" w:rsidP="00F83D06">
      <w:pPr>
        <w:rPr>
          <w:b/>
          <w:sz w:val="20"/>
        </w:rPr>
      </w:pPr>
    </w:p>
    <w:p w:rsidR="00F83D06" w:rsidRPr="003F43D4" w:rsidRDefault="00F83D06" w:rsidP="00F83D06">
      <w:pPr>
        <w:rPr>
          <w:bCs/>
          <w:sz w:val="20"/>
        </w:rPr>
      </w:pPr>
      <w:r>
        <w:rPr>
          <w:b/>
          <w:sz w:val="20"/>
        </w:rPr>
        <w:t>Court:</w:t>
      </w:r>
      <w:r>
        <w:rPr>
          <w:sz w:val="20"/>
        </w:rPr>
        <w:t xml:space="preserve"> Superior</w:t>
      </w:r>
    </w:p>
    <w:p w:rsidR="00F83D06" w:rsidRPr="003F43D4" w:rsidRDefault="00F83D06" w:rsidP="00F83D06">
      <w:pPr>
        <w:rPr>
          <w:bCs/>
          <w:sz w:val="20"/>
        </w:rPr>
      </w:pPr>
      <w:r>
        <w:rPr>
          <w:b/>
          <w:sz w:val="20"/>
        </w:rPr>
        <w:t>County:</w:t>
      </w:r>
      <w:r>
        <w:rPr>
          <w:sz w:val="20"/>
        </w:rPr>
        <w:t xml:space="preserve"> Alameda</w:t>
      </w:r>
    </w:p>
    <w:p w:rsidR="00F83D06" w:rsidRPr="003F43D4" w:rsidRDefault="00F83D06" w:rsidP="00F83D06">
      <w:pPr>
        <w:ind w:left="720" w:hanging="720"/>
        <w:rPr>
          <w:bCs/>
          <w:sz w:val="20"/>
        </w:rPr>
      </w:pPr>
      <w:r>
        <w:rPr>
          <w:b/>
          <w:sz w:val="20"/>
        </w:rPr>
        <w:t>Judge:</w:t>
      </w:r>
      <w:r>
        <w:rPr>
          <w:sz w:val="20"/>
        </w:rPr>
        <w:t xml:space="preserve"> Paul A. DeLucchi</w:t>
      </w:r>
    </w:p>
    <w:p w:rsidR="00F83D06" w:rsidRDefault="00F83D06" w:rsidP="00F83D06">
      <w:pPr>
        <w:rPr>
          <w:b/>
          <w:sz w:val="20"/>
        </w:rPr>
      </w:pPr>
    </w:p>
    <w:p w:rsidR="00F83D06" w:rsidRDefault="00F83D06" w:rsidP="00F83D06">
      <w:pPr>
        <w:rPr>
          <w:b/>
          <w:sz w:val="20"/>
        </w:rPr>
      </w:pPr>
      <w:r>
        <w:rPr>
          <w:b/>
          <w:sz w:val="20"/>
        </w:rPr>
        <w:t>__________________________________________________________________________________</w:t>
      </w:r>
    </w:p>
    <w:p w:rsidR="00F83D06" w:rsidRDefault="00F83D06" w:rsidP="00F83D06">
      <w:pPr>
        <w:rPr>
          <w:b/>
          <w:sz w:val="20"/>
        </w:rPr>
      </w:pPr>
    </w:p>
    <w:p w:rsidR="00F83D06" w:rsidRDefault="00F83D06" w:rsidP="00F83D06">
      <w:pPr>
        <w:rPr>
          <w:b/>
          <w:sz w:val="20"/>
        </w:rPr>
      </w:pPr>
      <w:r>
        <w:rPr>
          <w:b/>
          <w:sz w:val="20"/>
        </w:rPr>
        <w:t>Counsel:</w:t>
      </w:r>
    </w:p>
    <w:p w:rsidR="00F83D06" w:rsidRDefault="00F83D06" w:rsidP="00F83D06">
      <w:pPr>
        <w:rPr>
          <w:b/>
          <w:sz w:val="20"/>
        </w:rPr>
      </w:pPr>
    </w:p>
    <w:p w:rsidR="00F83D06" w:rsidRPr="003F43D4" w:rsidRDefault="00F83D06" w:rsidP="00F83D06">
      <w:pPr>
        <w:rPr>
          <w:sz w:val="20"/>
        </w:rPr>
      </w:pPr>
      <w:r>
        <w:rPr>
          <w:sz w:val="20"/>
        </w:rPr>
        <w:t>David Reagan for Defendant and Appellant.</w:t>
      </w:r>
    </w:p>
    <w:p w:rsidR="00F83D06" w:rsidRDefault="00F83D06" w:rsidP="00F83D06">
      <w:pPr>
        <w:rPr>
          <w:b/>
          <w:sz w:val="20"/>
        </w:rPr>
      </w:pPr>
    </w:p>
    <w:p w:rsidR="00F83D06" w:rsidRPr="0043098D" w:rsidRDefault="00F83D06" w:rsidP="00F83D06">
      <w:pPr>
        <w:rPr>
          <w:sz w:val="20"/>
        </w:rPr>
      </w:pPr>
      <w:r>
        <w:rPr>
          <w:sz w:val="20"/>
        </w:rPr>
        <w:t>Kamala D. Harris and Xavier Becerra, Attorneys General, Gerald A. Engler, Chief Assistant Attorney General, Jeffrey M. Laurence, Assistant Attorney General, Seth K. Schalit, Kevin Kiley, Donna M. Provenzano, Laurence K. Sullivan and Catherine A. Rivlin, Deputy Attorneys General, for Plaintiff and Respondent.</w:t>
      </w:r>
    </w:p>
    <w:p w:rsidR="00F83D06" w:rsidRPr="0049484B" w:rsidRDefault="00F83D06" w:rsidP="00F83D06">
      <w:pPr>
        <w:rPr>
          <w:sz w:val="20"/>
        </w:rPr>
      </w:pPr>
    </w:p>
    <w:p w:rsidR="00F83D06" w:rsidRDefault="00F83D06" w:rsidP="00F83D06">
      <w:pPr>
        <w:rPr>
          <w:b/>
          <w:sz w:val="20"/>
        </w:rPr>
      </w:pPr>
    </w:p>
    <w:p w:rsidR="00F83D06" w:rsidRDefault="00F83D06" w:rsidP="00F83D06">
      <w:pPr>
        <w:rPr>
          <w:b/>
          <w:sz w:val="20"/>
        </w:rPr>
      </w:pPr>
    </w:p>
    <w:p w:rsidR="00F83D06" w:rsidRDefault="00F83D06" w:rsidP="00F83D06">
      <w:pPr>
        <w:rPr>
          <w:b/>
          <w:sz w:val="20"/>
        </w:rPr>
      </w:pPr>
    </w:p>
    <w:p w:rsidR="00F83D06" w:rsidRDefault="00F83D06" w:rsidP="00F83D06">
      <w:pPr>
        <w:rPr>
          <w:b/>
          <w:sz w:val="20"/>
        </w:rPr>
      </w:pPr>
    </w:p>
    <w:p w:rsidR="00F83D06" w:rsidRDefault="00F83D06" w:rsidP="00F83D06">
      <w:pPr>
        <w:rPr>
          <w:b/>
          <w:sz w:val="20"/>
        </w:rPr>
      </w:pPr>
      <w:r>
        <w:rPr>
          <w:b/>
          <w:sz w:val="20"/>
        </w:rPr>
        <w:br w:type="page"/>
      </w:r>
    </w:p>
    <w:p w:rsidR="00F83D06" w:rsidRDefault="00F83D06" w:rsidP="00F83D06">
      <w:pPr>
        <w:rPr>
          <w:b/>
          <w:sz w:val="20"/>
        </w:rPr>
      </w:pPr>
    </w:p>
    <w:p w:rsidR="00F83D06" w:rsidRDefault="00F83D06" w:rsidP="00F83D06">
      <w:pPr>
        <w:rPr>
          <w:b/>
          <w:sz w:val="20"/>
        </w:rPr>
      </w:pPr>
    </w:p>
    <w:p w:rsidR="00F83D06" w:rsidRDefault="00F83D06" w:rsidP="00F83D06">
      <w:pPr>
        <w:rPr>
          <w:b/>
          <w:sz w:val="20"/>
        </w:rPr>
      </w:pPr>
    </w:p>
    <w:p w:rsidR="00F83D06" w:rsidRDefault="00F83D06" w:rsidP="00F83D06">
      <w:pPr>
        <w:rPr>
          <w:b/>
          <w:sz w:val="20"/>
        </w:rPr>
      </w:pPr>
      <w:r>
        <w:rPr>
          <w:b/>
          <w:sz w:val="20"/>
        </w:rPr>
        <w:t>Counsel who argued in Supreme Court (not intended for publication with opinion):</w:t>
      </w:r>
    </w:p>
    <w:p w:rsidR="00F83D06" w:rsidRDefault="00F83D06" w:rsidP="00F83D06">
      <w:pPr>
        <w:rPr>
          <w:b/>
          <w:sz w:val="20"/>
        </w:rPr>
      </w:pPr>
    </w:p>
    <w:p w:rsidR="00F83D06" w:rsidRDefault="00F83D06" w:rsidP="00F83D06">
      <w:pPr>
        <w:rPr>
          <w:sz w:val="20"/>
        </w:rPr>
      </w:pPr>
      <w:r>
        <w:rPr>
          <w:sz w:val="20"/>
        </w:rPr>
        <w:t>David Reagan</w:t>
      </w:r>
    </w:p>
    <w:p w:rsidR="00F83D06" w:rsidRDefault="00F83D06" w:rsidP="00F83D06">
      <w:pPr>
        <w:rPr>
          <w:sz w:val="20"/>
        </w:rPr>
      </w:pPr>
      <w:r>
        <w:rPr>
          <w:sz w:val="20"/>
        </w:rPr>
        <w:t>725 Washington Street, Suite 200</w:t>
      </w:r>
    </w:p>
    <w:p w:rsidR="00F83D06" w:rsidRDefault="00F83D06" w:rsidP="00F83D06">
      <w:pPr>
        <w:rPr>
          <w:sz w:val="20"/>
        </w:rPr>
      </w:pPr>
      <w:r>
        <w:rPr>
          <w:sz w:val="20"/>
        </w:rPr>
        <w:t>Oakland, CA  94607</w:t>
      </w:r>
    </w:p>
    <w:p w:rsidR="00F83D06" w:rsidRDefault="00F83D06" w:rsidP="00F83D06">
      <w:pPr>
        <w:rPr>
          <w:sz w:val="20"/>
        </w:rPr>
      </w:pPr>
      <w:r>
        <w:rPr>
          <w:sz w:val="20"/>
        </w:rPr>
        <w:t>(510) 506-9061</w:t>
      </w:r>
    </w:p>
    <w:p w:rsidR="00F83D06" w:rsidRDefault="00F83D06" w:rsidP="00F83D06">
      <w:pPr>
        <w:rPr>
          <w:sz w:val="20"/>
        </w:rPr>
      </w:pPr>
    </w:p>
    <w:p w:rsidR="00F83D06" w:rsidRDefault="00F83D06" w:rsidP="00F83D06">
      <w:pPr>
        <w:rPr>
          <w:sz w:val="20"/>
        </w:rPr>
      </w:pPr>
      <w:r>
        <w:rPr>
          <w:sz w:val="20"/>
        </w:rPr>
        <w:t>Catherine A. Rivlin</w:t>
      </w:r>
    </w:p>
    <w:p w:rsidR="00F83D06" w:rsidRDefault="00F83D06" w:rsidP="00F83D06">
      <w:pPr>
        <w:rPr>
          <w:sz w:val="20"/>
        </w:rPr>
      </w:pPr>
      <w:r>
        <w:rPr>
          <w:sz w:val="20"/>
        </w:rPr>
        <w:t>Deputy Attorney General</w:t>
      </w:r>
    </w:p>
    <w:p w:rsidR="00F83D06" w:rsidRDefault="00F83D06" w:rsidP="00F83D06">
      <w:pPr>
        <w:rPr>
          <w:sz w:val="20"/>
        </w:rPr>
      </w:pPr>
      <w:r>
        <w:rPr>
          <w:sz w:val="20"/>
        </w:rPr>
        <w:t>455 Golden Gate Avenue, Suite 11000</w:t>
      </w:r>
    </w:p>
    <w:p w:rsidR="00F83D06" w:rsidRDefault="00F83D06" w:rsidP="00F83D06">
      <w:pPr>
        <w:rPr>
          <w:sz w:val="20"/>
        </w:rPr>
      </w:pPr>
      <w:r>
        <w:rPr>
          <w:sz w:val="20"/>
        </w:rPr>
        <w:t>San Francisco, CA  94102-7004</w:t>
      </w:r>
    </w:p>
    <w:p w:rsidR="00F83D06" w:rsidRDefault="00F83D06" w:rsidP="00F83D06">
      <w:pPr>
        <w:rPr>
          <w:b/>
          <w:sz w:val="20"/>
        </w:rPr>
      </w:pPr>
      <w:r>
        <w:rPr>
          <w:sz w:val="20"/>
        </w:rPr>
        <w:t>(415) 703-5977</w:t>
      </w:r>
    </w:p>
    <w:p w:rsidR="00BB2A85" w:rsidRDefault="00F83D06" w:rsidP="000145AB">
      <w:pPr>
        <w:tabs>
          <w:tab w:val="left" w:pos="1440"/>
        </w:tabs>
        <w:rPr>
          <w:b/>
          <w:caps/>
        </w:rPr>
      </w:pPr>
    </w:p>
    <w:sectPr w:rsidR="00BB2A85">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D06">
      <w:r>
        <w:separator/>
      </w:r>
    </w:p>
  </w:endnote>
  <w:endnote w:type="continuationSeparator" w:id="0">
    <w:p w:rsidR="00000000" w:rsidRDefault="00F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6" w:rsidRDefault="00F83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422" w:rsidRDefault="00F83D06">
    <w:pPr>
      <w:pStyle w:val="Footer"/>
      <w:jc w:val="center"/>
    </w:pPr>
    <w:r>
      <w:fldChar w:fldCharType="begin"/>
    </w:r>
    <w:r>
      <w:instrText>PAGE</w:instrText>
    </w:r>
    <w:r>
      <w:fldChar w:fldCharType="separate"/>
    </w:r>
    <w:r>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6" w:rsidRDefault="00F83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4BC" w:rsidRDefault="00F83D06">
      <w:r>
        <w:separator/>
      </w:r>
    </w:p>
  </w:footnote>
  <w:footnote w:type="continuationSeparator" w:id="0">
    <w:p w:rsidR="008344BC" w:rsidRDefault="00F83D06">
      <w:pPr>
        <w:rPr>
          <w:sz w:val="22"/>
        </w:rPr>
      </w:pPr>
      <w:r>
        <w:rPr>
          <w:sz w:val="22"/>
        </w:rPr>
        <w:continuationSeparator/>
      </w:r>
    </w:p>
    <w:p w:rsidR="008344BC" w:rsidRDefault="00F83D06">
      <w:pPr>
        <w:rPr>
          <w:sz w:val="22"/>
        </w:rPr>
      </w:pPr>
    </w:p>
    <w:p w:rsidR="008344BC" w:rsidRDefault="00F83D06">
      <w:pPr>
        <w:rPr>
          <w:i/>
          <w:sz w:val="20"/>
        </w:rPr>
      </w:pPr>
      <w:r>
        <w:rPr>
          <w:i/>
          <w:sz w:val="20"/>
        </w:rPr>
        <w:t>(footnote continued from previous page)</w:t>
      </w:r>
    </w:p>
    <w:p w:rsidR="008344BC" w:rsidRDefault="00F83D06">
      <w:pPr>
        <w:rPr>
          <w:sz w:val="22"/>
        </w:rPr>
      </w:pPr>
    </w:p>
  </w:footnote>
  <w:footnote w:type="continuationNotice" w:id="1">
    <w:p w:rsidR="008344BC" w:rsidRDefault="00F83D06">
      <w:pPr>
        <w:rPr>
          <w:i/>
          <w:sz w:val="22"/>
        </w:rPr>
      </w:pPr>
    </w:p>
    <w:p w:rsidR="008344BC" w:rsidRDefault="00F83D06">
      <w:pPr>
        <w:jc w:val="right"/>
        <w:rPr>
          <w:i/>
          <w:sz w:val="20"/>
        </w:rPr>
      </w:pPr>
      <w:r>
        <w:rPr>
          <w:i/>
          <w:sz w:val="20"/>
        </w:rPr>
        <w:t>(footnote continued on next page)</w:t>
      </w:r>
    </w:p>
  </w:footnote>
  <w:footnote w:id="2">
    <w:p w:rsidR="00C20422" w:rsidRDefault="00F83D06" w:rsidP="00C51115">
      <w:pPr>
        <w:pStyle w:val="FootnoteText"/>
        <w:spacing w:after="120"/>
      </w:pPr>
      <w:r>
        <w:rPr>
          <w:rStyle w:val="FootnoteReference"/>
        </w:rPr>
        <w:footnoteRef/>
      </w:r>
      <w:r>
        <w:t xml:space="preserve"> </w:t>
      </w:r>
      <w:r>
        <w:tab/>
        <w:t xml:space="preserve">All unlabeled statutory references are to the Penal Code.  </w:t>
      </w:r>
    </w:p>
  </w:footnote>
  <w:footnote w:id="3">
    <w:p w:rsidR="00C20422" w:rsidRDefault="00F83D06" w:rsidP="00A5218A">
      <w:pPr>
        <w:pStyle w:val="FootnoteText"/>
        <w:spacing w:after="120"/>
      </w:pPr>
      <w:r w:rsidRPr="00ED489D">
        <w:rPr>
          <w:rStyle w:val="FootnoteReference"/>
        </w:rPr>
        <w:footnoteRef/>
      </w:r>
      <w:r w:rsidRPr="00ED489D">
        <w:t xml:space="preserve"> </w:t>
      </w:r>
      <w:r w:rsidRPr="00ED489D">
        <w:tab/>
        <w:t xml:space="preserve">Even if Chatman </w:t>
      </w:r>
      <w:r>
        <w:t xml:space="preserve">had </w:t>
      </w:r>
      <w:r>
        <w:t>satisfied the criteria for this exemption</w:t>
      </w:r>
      <w:r w:rsidRPr="00ED489D">
        <w:t>, he would have face</w:t>
      </w:r>
      <w:r>
        <w:t>d a second</w:t>
      </w:r>
      <w:r w:rsidRPr="00ED489D">
        <w:t xml:space="preserve"> statutory hurdle.  </w:t>
      </w:r>
      <w:r>
        <w:t>The Department of Social Services is barred from granting a community care license to applicants who were convicted of certain crimes, including robbery.  (See Healt</w:t>
      </w:r>
      <w:r>
        <w:t xml:space="preserve">h &amp; Saf. </w:t>
      </w:r>
      <w:r>
        <w:t xml:space="preserve">Code, </w:t>
      </w:r>
      <w:r w:rsidRPr="002E2DA2">
        <w:t>§</w:t>
      </w:r>
      <w:r>
        <w:t xml:space="preserve"> 1522, subd. (g)(1)(A)(i).)  But “the </w:t>
      </w:r>
      <w:r>
        <w:t xml:space="preserve">department </w:t>
      </w:r>
      <w:r>
        <w:t>may grant an exemption” (</w:t>
      </w:r>
      <w:r w:rsidRPr="002230AF">
        <w:rPr>
          <w:i/>
        </w:rPr>
        <w:t>i</w:t>
      </w:r>
      <w:r>
        <w:rPr>
          <w:i/>
        </w:rPr>
        <w:t>d</w:t>
      </w:r>
      <w:r w:rsidRPr="002230AF">
        <w:rPr>
          <w:i/>
        </w:rPr>
        <w:t>.</w:t>
      </w:r>
      <w:r>
        <w:t>, subd. (g)(1)(A)(ii)</w:t>
      </w:r>
      <w:r>
        <w:t>) to that bar for “[a]ny felony in which the defendant inflicts great bodily injury on any person” or “uses a firearm” (</w:t>
      </w:r>
      <w:r>
        <w:t xml:space="preserve">Pen. Code, </w:t>
      </w:r>
      <w:r w:rsidRPr="002E2DA2">
        <w:t>§</w:t>
      </w:r>
      <w:r>
        <w:t> 667.5, su</w:t>
      </w:r>
      <w:r>
        <w:t>bd. (c)</w:t>
      </w:r>
      <w:r>
        <w:t>(8)</w:t>
      </w:r>
      <w:r>
        <w:t>)</w:t>
      </w:r>
      <w:r>
        <w:t>.</w:t>
      </w:r>
      <w:r>
        <w:t xml:space="preserve">  Felons who committed robbery using a firearm or involving great bodily harm to a victim thus have a pathway to obtaining a community care license, while felons who committed other forms of robbery do not.  This unequal treatment of different </w:t>
      </w:r>
      <w:r>
        <w:t xml:space="preserve">types of robbery was held unconstitutional in </w:t>
      </w:r>
      <w:r w:rsidRPr="00B8557F">
        <w:rPr>
          <w:i/>
        </w:rPr>
        <w:t>Doe v. Saenz</w:t>
      </w:r>
      <w:r>
        <w:t xml:space="preserve"> (2006) 140 Cal.App.4th 960</w:t>
      </w:r>
      <w:r>
        <w:t>, 989-993</w:t>
      </w:r>
      <w:r>
        <w:t>.  Chatman’s robbery conviction did not involve use of a firearm or great bodily harm to a victim.  But the constitutionality of Health and Safety Code section 15</w:t>
      </w:r>
      <w:r>
        <w:t>22 is not before us in this case, so we do not address it.</w:t>
      </w:r>
    </w:p>
  </w:footnote>
  <w:footnote w:id="4">
    <w:p w:rsidR="00C20422" w:rsidRPr="006C6381" w:rsidRDefault="00F83D06" w:rsidP="004232BC">
      <w:pPr>
        <w:pStyle w:val="FootnoteText"/>
      </w:pPr>
      <w:r>
        <w:rPr>
          <w:rStyle w:val="FootnoteReference"/>
        </w:rPr>
        <w:footnoteRef/>
      </w:r>
      <w:r>
        <w:t xml:space="preserve"> </w:t>
      </w:r>
      <w:r>
        <w:tab/>
      </w:r>
      <w:r>
        <w:t>To be sure, we are not aware of the 1976 Legislature expressing any expectations about the modern ratio of former probationers and former prisoners.  But this does not affect the current rationa</w:t>
      </w:r>
      <w:r>
        <w:t xml:space="preserve">lity of the scheme because the Legislature modified section 4852.01 in 2014 and 2015 and took no action to modify the bar on subsequently incarcerated former probationers.  (See </w:t>
      </w:r>
      <w:r w:rsidRPr="00DF7CF2">
        <w:t>Stats.</w:t>
      </w:r>
      <w:r>
        <w:t xml:space="preserve"> 2014, c</w:t>
      </w:r>
      <w:r>
        <w:t>h</w:t>
      </w:r>
      <w:r>
        <w:t>. 280</w:t>
      </w:r>
      <w:r>
        <w:t>, § 3</w:t>
      </w:r>
      <w:r>
        <w:t xml:space="preserve">; </w:t>
      </w:r>
      <w:r w:rsidRPr="00DF7CF2">
        <w:t>Stats.</w:t>
      </w:r>
      <w:r>
        <w:t xml:space="preserve"> </w:t>
      </w:r>
      <w:r w:rsidRPr="00DF7CF2">
        <w:t>2015, c</w:t>
      </w:r>
      <w:r>
        <w:t>h</w:t>
      </w:r>
      <w:r w:rsidRPr="00DF7CF2">
        <w:t>. 378, § 6</w:t>
      </w:r>
      <w:r>
        <w:t xml:space="preserve">.)  Moreover, even if the ratio differed in 1976, the addition of former probationers represented a substantial increase in the number of potential certificate of rehabilitation </w:t>
      </w:r>
      <w:r>
        <w:t xml:space="preserve">petitioners </w:t>
      </w:r>
      <w:r>
        <w:t>that rationally could have caused the Legislature to look for ways</w:t>
      </w:r>
      <w:r>
        <w:t xml:space="preserve"> of limiting costs.  (See </w:t>
      </w:r>
      <w:r>
        <w:t xml:space="preserve">Adult Authority Chairman Raymond C. Brown, letter to Herbert E. Ellingwood, Legal Affairs Secretary in Governor’s Office, re Assem. Bill No. 3265 (1973-1974 Reg. Sess.) Sept. 4, 1974 </w:t>
      </w:r>
      <w:r>
        <w:t>[stating that there were “[t]hirty-five thousan</w:t>
      </w:r>
      <w:r>
        <w:t>d (approximate) felony probation grants per year”].)</w:t>
      </w:r>
    </w:p>
  </w:footnote>
  <w:footnote w:id="5">
    <w:p w:rsidR="00C20422" w:rsidRDefault="00F83D06" w:rsidP="008059AE">
      <w:pPr>
        <w:tabs>
          <w:tab w:val="left" w:pos="720"/>
          <w:tab w:val="left" w:pos="1440"/>
        </w:tabs>
        <w:spacing w:after="120"/>
      </w:pPr>
      <w:r>
        <w:rPr>
          <w:rStyle w:val="FootnoteReference"/>
        </w:rPr>
        <w:footnoteRef/>
      </w:r>
      <w:r>
        <w:t xml:space="preserve"> </w:t>
      </w:r>
      <w:r>
        <w:tab/>
        <w:t>Regarding this legislation, Chatm</w:t>
      </w:r>
      <w:bookmarkStart w:id="10" w:name="_GoBack"/>
      <w:bookmarkEnd w:id="10"/>
      <w:r>
        <w:t xml:space="preserve">an’s answer brief in this court contains a claim “in the alternative” that </w:t>
      </w:r>
      <w:r>
        <w:t xml:space="preserve">the 2013 enactment of section 1203.41 rendered </w:t>
      </w:r>
      <w:r>
        <w:t>section 4852.01 unconstitutional.  Section 12</w:t>
      </w:r>
      <w:r>
        <w:t xml:space="preserve">03.41 allows for felons imprisoned in county jail to move for dismissal of their convictions.  Although section 1203.41 bears similarities to section 1203.4, </w:t>
      </w:r>
      <w:r>
        <w:t xml:space="preserve">a </w:t>
      </w:r>
      <w:r>
        <w:t xml:space="preserve">2016 amendment to section 4852.01 </w:t>
      </w:r>
      <w:r>
        <w:t xml:space="preserve">nonetheless </w:t>
      </w:r>
      <w:r>
        <w:t xml:space="preserve">clarified </w:t>
      </w:r>
      <w:r>
        <w:t xml:space="preserve">that </w:t>
      </w:r>
      <w:r>
        <w:t>felon</w:t>
      </w:r>
      <w:r>
        <w:t>s</w:t>
      </w:r>
      <w:r>
        <w:t xml:space="preserve"> whose </w:t>
      </w:r>
      <w:r>
        <w:t>convictions were dismi</w:t>
      </w:r>
      <w:r>
        <w:t>ssed under section 1203.41 are eligible for certificates of rehabilitation even if they are subsequently incarcerated.  (See Stats. 2015, ch. 378</w:t>
      </w:r>
      <w:r>
        <w:t>,</w:t>
      </w:r>
      <w:r>
        <w:t xml:space="preserve"> </w:t>
      </w:r>
      <w:r w:rsidRPr="002E2DA2">
        <w:t>§</w:t>
      </w:r>
      <w:r>
        <w:t xml:space="preserve"> 6.)  Neither the trial court nor the Court of Appeal addressed this claim about section 1203.41 dismissal</w:t>
      </w:r>
      <w:r>
        <w:t>,</w:t>
      </w:r>
      <w:r>
        <w:t xml:space="preserve"> </w:t>
      </w:r>
      <w:r>
        <w:t xml:space="preserve">because Chatman never mentioned the claim until his answer brief in this court.  We have previously declined to address new claims related to a statute’s amendment that were not raised until the answer brief in this court.  (See </w:t>
      </w:r>
      <w:r w:rsidRPr="00216C25">
        <w:rPr>
          <w:i/>
        </w:rPr>
        <w:t>People v. Brown</w:t>
      </w:r>
      <w:r>
        <w:t xml:space="preserve"> (2012) 54 C</w:t>
      </w:r>
      <w:r>
        <w:t>al.4th 314, 322</w:t>
      </w:r>
      <w:r>
        <w:t>,</w:t>
      </w:r>
      <w:r>
        <w:t xml:space="preserve"> fn. 11.)  As in </w:t>
      </w:r>
      <w:r w:rsidRPr="0044653E">
        <w:rPr>
          <w:i/>
        </w:rPr>
        <w:t>Brown</w:t>
      </w:r>
      <w:r>
        <w:t xml:space="preserve">, “[t]his new claim is not properly before us, and we </w:t>
      </w:r>
      <w:r>
        <w:t xml:space="preserve">do </w:t>
      </w:r>
      <w:r>
        <w:t>not address it.”  (</w:t>
      </w:r>
      <w:r>
        <w:rPr>
          <w:i/>
        </w:rPr>
        <w:t>Ibid.</w:t>
      </w:r>
      <w:r>
        <w:t>)</w:t>
      </w:r>
    </w:p>
  </w:footnote>
  <w:footnote w:id="6">
    <w:p w:rsidR="000145AB" w:rsidRDefault="00F83D06" w:rsidP="000145AB">
      <w:pPr>
        <w:rPr>
          <w:szCs w:val="26"/>
        </w:rPr>
      </w:pPr>
      <w:r>
        <w:rPr>
          <w:rStyle w:val="FootnoteReference"/>
        </w:rPr>
        <w:t>*</w:t>
      </w:r>
      <w:r>
        <w:t xml:space="preserve"> </w:t>
      </w:r>
      <w:r>
        <w:tab/>
      </w:r>
      <w:r>
        <w:rPr>
          <w:szCs w:val="26"/>
        </w:rPr>
        <w:t xml:space="preserve">Associate Justice of the Court of Appeal, Third Appellate District, assigned by the Chief Justice pursuant to article VI, section 6 </w:t>
      </w:r>
      <w:r>
        <w:rPr>
          <w:szCs w:val="26"/>
        </w:rPr>
        <w:t>of the California Constitution.</w:t>
      </w:r>
    </w:p>
    <w:p w:rsidR="000145AB" w:rsidRDefault="00F83D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6" w:rsidRDefault="00F83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6" w:rsidRDefault="00F83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C46" w:rsidRDefault="00F83D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03" w:rsidRDefault="00F8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E38AF"/>
    <w:multiLevelType w:val="hybridMultilevel"/>
    <w:tmpl w:val="B0DA0BE4"/>
    <w:lvl w:ilvl="0" w:tplc="7DD0F8A6">
      <w:start w:val="1"/>
      <w:numFmt w:val="decimal"/>
      <w:lvlText w:val="(%1)"/>
      <w:lvlJc w:val="left"/>
      <w:pPr>
        <w:ind w:left="1080" w:hanging="360"/>
      </w:pPr>
      <w:rPr>
        <w:rFonts w:hint="default"/>
      </w:rPr>
    </w:lvl>
    <w:lvl w:ilvl="1" w:tplc="8E0ABF0A" w:tentative="1">
      <w:start w:val="1"/>
      <w:numFmt w:val="lowerLetter"/>
      <w:lvlText w:val="%2."/>
      <w:lvlJc w:val="left"/>
      <w:pPr>
        <w:ind w:left="1800" w:hanging="360"/>
      </w:pPr>
    </w:lvl>
    <w:lvl w:ilvl="2" w:tplc="64521C96" w:tentative="1">
      <w:start w:val="1"/>
      <w:numFmt w:val="lowerRoman"/>
      <w:lvlText w:val="%3."/>
      <w:lvlJc w:val="right"/>
      <w:pPr>
        <w:ind w:left="2520" w:hanging="180"/>
      </w:pPr>
    </w:lvl>
    <w:lvl w:ilvl="3" w:tplc="0A7482B8" w:tentative="1">
      <w:start w:val="1"/>
      <w:numFmt w:val="decimal"/>
      <w:lvlText w:val="%4."/>
      <w:lvlJc w:val="left"/>
      <w:pPr>
        <w:ind w:left="3240" w:hanging="360"/>
      </w:pPr>
    </w:lvl>
    <w:lvl w:ilvl="4" w:tplc="3DA0918C" w:tentative="1">
      <w:start w:val="1"/>
      <w:numFmt w:val="lowerLetter"/>
      <w:lvlText w:val="%5."/>
      <w:lvlJc w:val="left"/>
      <w:pPr>
        <w:ind w:left="3960" w:hanging="360"/>
      </w:pPr>
    </w:lvl>
    <w:lvl w:ilvl="5" w:tplc="52920A86" w:tentative="1">
      <w:start w:val="1"/>
      <w:numFmt w:val="lowerRoman"/>
      <w:lvlText w:val="%6."/>
      <w:lvlJc w:val="right"/>
      <w:pPr>
        <w:ind w:left="4680" w:hanging="180"/>
      </w:pPr>
    </w:lvl>
    <w:lvl w:ilvl="6" w:tplc="07B28D3A" w:tentative="1">
      <w:start w:val="1"/>
      <w:numFmt w:val="decimal"/>
      <w:lvlText w:val="%7."/>
      <w:lvlJc w:val="left"/>
      <w:pPr>
        <w:ind w:left="5400" w:hanging="360"/>
      </w:pPr>
    </w:lvl>
    <w:lvl w:ilvl="7" w:tplc="916A2424" w:tentative="1">
      <w:start w:val="1"/>
      <w:numFmt w:val="lowerLetter"/>
      <w:lvlText w:val="%8."/>
      <w:lvlJc w:val="left"/>
      <w:pPr>
        <w:ind w:left="6120" w:hanging="360"/>
      </w:pPr>
    </w:lvl>
    <w:lvl w:ilvl="8" w:tplc="DA1295BC"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4BE"/>
    <w:rsid w:val="00242A4B"/>
    <w:rsid w:val="007C519B"/>
    <w:rsid w:val="007D04BE"/>
    <w:rsid w:val="00F8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AF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A38AF"/>
    <w:rPr>
      <w:sz w:val="26"/>
    </w:rPr>
  </w:style>
  <w:style w:type="paragraph" w:styleId="Heading1">
    <w:name w:val="heading 1"/>
    <w:basedOn w:val="Normal"/>
    <w:next w:val="Normal"/>
    <w:qFormat/>
    <w:rsid w:val="00AA38AF"/>
    <w:pPr>
      <w:keepNext/>
      <w:spacing w:line="480" w:lineRule="atLeast"/>
      <w:jc w:val="center"/>
      <w:outlineLvl w:val="0"/>
    </w:pPr>
    <w:rPr>
      <w:b/>
      <w:smallCaps/>
    </w:rPr>
  </w:style>
  <w:style w:type="paragraph" w:styleId="Heading2">
    <w:name w:val="heading 2"/>
    <w:basedOn w:val="Normal"/>
    <w:next w:val="Normal"/>
    <w:qFormat/>
    <w:rsid w:val="00AA38AF"/>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AA38AF"/>
    <w:pPr>
      <w:keepNext/>
      <w:tabs>
        <w:tab w:val="left" w:pos="1584"/>
      </w:tabs>
      <w:spacing w:before="240" w:line="240" w:lineRule="atLeast"/>
      <w:ind w:left="1584" w:hanging="432"/>
      <w:outlineLvl w:val="2"/>
    </w:pPr>
    <w:rPr>
      <w:i/>
    </w:rPr>
  </w:style>
  <w:style w:type="paragraph" w:styleId="Heading4">
    <w:name w:val="heading 4"/>
    <w:basedOn w:val="Normal"/>
    <w:qFormat/>
    <w:rsid w:val="00AA38AF"/>
    <w:pPr>
      <w:keepNext/>
      <w:tabs>
        <w:tab w:val="left" w:pos="2016"/>
      </w:tabs>
      <w:spacing w:before="240" w:line="240" w:lineRule="atLeast"/>
      <w:ind w:left="2016" w:hanging="432"/>
      <w:outlineLvl w:val="3"/>
    </w:pPr>
    <w:rPr>
      <w:i/>
    </w:rPr>
  </w:style>
  <w:style w:type="paragraph" w:styleId="Heading5">
    <w:name w:val="heading 5"/>
    <w:basedOn w:val="Normal"/>
    <w:qFormat/>
    <w:rsid w:val="00AA38AF"/>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A38AF"/>
    <w:pPr>
      <w:ind w:left="720"/>
    </w:pPr>
  </w:style>
  <w:style w:type="paragraph" w:styleId="Footer">
    <w:name w:val="footer"/>
    <w:basedOn w:val="Normal"/>
    <w:link w:val="FooterChar"/>
    <w:rsid w:val="00AA38AF"/>
    <w:pPr>
      <w:tabs>
        <w:tab w:val="center" w:pos="4320"/>
        <w:tab w:val="right" w:pos="8640"/>
      </w:tabs>
    </w:pPr>
  </w:style>
  <w:style w:type="paragraph" w:styleId="Header">
    <w:name w:val="header"/>
    <w:basedOn w:val="Normal"/>
    <w:link w:val="HeaderChar"/>
    <w:rsid w:val="00AA38AF"/>
    <w:pPr>
      <w:tabs>
        <w:tab w:val="center" w:pos="4320"/>
        <w:tab w:val="right" w:pos="8640"/>
      </w:tabs>
    </w:pPr>
  </w:style>
  <w:style w:type="character" w:styleId="FootnoteReference">
    <w:name w:val="footnote reference"/>
    <w:semiHidden/>
    <w:rsid w:val="00AA38AF"/>
    <w:rPr>
      <w:b/>
      <w:position w:val="6"/>
      <w:sz w:val="20"/>
    </w:rPr>
  </w:style>
  <w:style w:type="paragraph" w:styleId="FootnoteText">
    <w:name w:val="footnote text"/>
    <w:basedOn w:val="Normal"/>
    <w:link w:val="FootnoteTextChar"/>
    <w:semiHidden/>
    <w:rsid w:val="00AA38AF"/>
  </w:style>
  <w:style w:type="paragraph" w:customStyle="1" w:styleId="Title1">
    <w:name w:val="Title1"/>
    <w:basedOn w:val="Normal"/>
    <w:rsid w:val="00AA38AF"/>
    <w:pPr>
      <w:tabs>
        <w:tab w:val="left" w:pos="5760"/>
        <w:tab w:val="left" w:pos="6480"/>
      </w:tabs>
      <w:spacing w:line="240" w:lineRule="atLeast"/>
    </w:pPr>
  </w:style>
  <w:style w:type="paragraph" w:customStyle="1" w:styleId="Recommend">
    <w:name w:val="Recommend"/>
    <w:basedOn w:val="Normal"/>
    <w:rsid w:val="00AA38AF"/>
  </w:style>
  <w:style w:type="paragraph" w:customStyle="1" w:styleId="Summary">
    <w:name w:val="Summary"/>
    <w:basedOn w:val="Normal"/>
    <w:rsid w:val="00AA38AF"/>
    <w:pPr>
      <w:ind w:left="2160" w:hanging="2160"/>
    </w:pPr>
  </w:style>
  <w:style w:type="paragraph" w:customStyle="1" w:styleId="Text">
    <w:name w:val="Text"/>
    <w:basedOn w:val="Normal"/>
    <w:rsid w:val="00AA38AF"/>
    <w:pPr>
      <w:tabs>
        <w:tab w:val="left" w:pos="720"/>
        <w:tab w:val="left" w:pos="1440"/>
        <w:tab w:val="left" w:pos="2160"/>
        <w:tab w:val="center" w:pos="4320"/>
      </w:tabs>
      <w:spacing w:line="480" w:lineRule="atLeast"/>
      <w:ind w:firstLine="540"/>
    </w:pPr>
  </w:style>
  <w:style w:type="paragraph" w:styleId="Date">
    <w:name w:val="Date"/>
    <w:basedOn w:val="Normal"/>
    <w:semiHidden/>
    <w:rsid w:val="00AA38AF"/>
    <w:pPr>
      <w:jc w:val="right"/>
    </w:pPr>
  </w:style>
  <w:style w:type="character" w:styleId="PageNumber">
    <w:name w:val="page number"/>
    <w:basedOn w:val="DefaultParagraphFont"/>
    <w:semiHidden/>
    <w:rsid w:val="00AA38AF"/>
  </w:style>
  <w:style w:type="paragraph" w:customStyle="1" w:styleId="subject">
    <w:name w:val="subject"/>
    <w:basedOn w:val="Normal"/>
    <w:rsid w:val="00AA38AF"/>
    <w:pPr>
      <w:tabs>
        <w:tab w:val="left" w:pos="1008"/>
      </w:tabs>
      <w:ind w:left="990" w:hanging="990"/>
    </w:pPr>
    <w:rPr>
      <w:b/>
    </w:rPr>
  </w:style>
  <w:style w:type="paragraph" w:customStyle="1" w:styleId="Titles">
    <w:name w:val="Titles"/>
    <w:basedOn w:val="Normal"/>
    <w:rsid w:val="00AA38AF"/>
    <w:pPr>
      <w:tabs>
        <w:tab w:val="left" w:pos="2160"/>
      </w:tabs>
      <w:ind w:left="2160" w:hanging="2160"/>
    </w:pPr>
    <w:rPr>
      <w:b/>
    </w:rPr>
  </w:style>
  <w:style w:type="paragraph" w:styleId="TOAHeading">
    <w:name w:val="toa heading"/>
    <w:basedOn w:val="Normal"/>
    <w:next w:val="Normal"/>
    <w:semiHidden/>
    <w:rsid w:val="00AA38AF"/>
    <w:pPr>
      <w:spacing w:before="120"/>
    </w:pPr>
    <w:rPr>
      <w:b/>
    </w:rPr>
  </w:style>
  <w:style w:type="paragraph" w:styleId="TOC1">
    <w:name w:val="toc 1"/>
    <w:basedOn w:val="Normal"/>
    <w:next w:val="Normal"/>
    <w:autoRedefine/>
    <w:semiHidden/>
    <w:rsid w:val="00AA38AF"/>
  </w:style>
  <w:style w:type="paragraph" w:styleId="TOC2">
    <w:name w:val="toc 2"/>
    <w:basedOn w:val="Normal"/>
    <w:next w:val="Normal"/>
    <w:autoRedefine/>
    <w:semiHidden/>
    <w:rsid w:val="00AA38AF"/>
    <w:pPr>
      <w:ind w:left="259"/>
    </w:pPr>
  </w:style>
  <w:style w:type="paragraph" w:styleId="TOC3">
    <w:name w:val="toc 3"/>
    <w:basedOn w:val="Normal"/>
    <w:next w:val="Normal"/>
    <w:autoRedefine/>
    <w:semiHidden/>
    <w:rsid w:val="00AA38AF"/>
    <w:pPr>
      <w:ind w:left="520"/>
    </w:pPr>
  </w:style>
  <w:style w:type="paragraph" w:styleId="TOC4">
    <w:name w:val="toc 4"/>
    <w:basedOn w:val="Normal"/>
    <w:next w:val="Normal"/>
    <w:autoRedefine/>
    <w:semiHidden/>
    <w:rsid w:val="00AA38AF"/>
    <w:pPr>
      <w:ind w:left="780"/>
    </w:pPr>
  </w:style>
  <w:style w:type="paragraph" w:styleId="TOC5">
    <w:name w:val="toc 5"/>
    <w:basedOn w:val="Normal"/>
    <w:next w:val="Normal"/>
    <w:autoRedefine/>
    <w:semiHidden/>
    <w:rsid w:val="00AA38AF"/>
    <w:pPr>
      <w:ind w:left="1040"/>
    </w:pPr>
  </w:style>
  <w:style w:type="paragraph" w:styleId="TOC6">
    <w:name w:val="toc 6"/>
    <w:basedOn w:val="Normal"/>
    <w:next w:val="Normal"/>
    <w:autoRedefine/>
    <w:semiHidden/>
    <w:rsid w:val="00AA38AF"/>
    <w:pPr>
      <w:ind w:left="1300"/>
    </w:pPr>
  </w:style>
  <w:style w:type="paragraph" w:styleId="TOC7">
    <w:name w:val="toc 7"/>
    <w:basedOn w:val="Normal"/>
    <w:next w:val="Normal"/>
    <w:autoRedefine/>
    <w:semiHidden/>
    <w:rsid w:val="00AA38AF"/>
    <w:pPr>
      <w:ind w:left="1560"/>
    </w:pPr>
  </w:style>
  <w:style w:type="paragraph" w:styleId="TOC8">
    <w:name w:val="toc 8"/>
    <w:basedOn w:val="Normal"/>
    <w:next w:val="Normal"/>
    <w:autoRedefine/>
    <w:semiHidden/>
    <w:rsid w:val="00AA38AF"/>
    <w:pPr>
      <w:ind w:left="1820"/>
    </w:pPr>
  </w:style>
  <w:style w:type="paragraph" w:styleId="TOC9">
    <w:name w:val="toc 9"/>
    <w:basedOn w:val="Normal"/>
    <w:next w:val="Normal"/>
    <w:autoRedefine/>
    <w:semiHidden/>
    <w:rsid w:val="00AA38AF"/>
    <w:pPr>
      <w:ind w:left="2080"/>
    </w:pPr>
  </w:style>
  <w:style w:type="paragraph" w:customStyle="1" w:styleId="Contents">
    <w:name w:val="Contents"/>
    <w:basedOn w:val="Normal"/>
    <w:rsid w:val="00AA38AF"/>
    <w:pPr>
      <w:jc w:val="center"/>
    </w:pPr>
    <w:rPr>
      <w:b/>
      <w:spacing w:val="100"/>
    </w:rPr>
  </w:style>
  <w:style w:type="character" w:styleId="Hyperlink">
    <w:name w:val="Hyperlink"/>
    <w:uiPriority w:val="99"/>
    <w:semiHidden/>
    <w:unhideWhenUsed/>
    <w:rsid w:val="00CF26D2"/>
    <w:rPr>
      <w:color w:val="0000FF"/>
      <w:u w:val="single"/>
    </w:rPr>
  </w:style>
  <w:style w:type="character" w:customStyle="1" w:styleId="cosearchterm">
    <w:name w:val="co_searchterm"/>
    <w:basedOn w:val="DefaultParagraphFont"/>
    <w:rsid w:val="004E78FF"/>
  </w:style>
  <w:style w:type="character" w:styleId="Emphasis">
    <w:name w:val="Emphasis"/>
    <w:uiPriority w:val="20"/>
    <w:qFormat/>
    <w:rsid w:val="004E78FF"/>
    <w:rPr>
      <w:i/>
      <w:iCs/>
    </w:rPr>
  </w:style>
  <w:style w:type="character" w:customStyle="1" w:styleId="costarpage">
    <w:name w:val="co_starpage"/>
    <w:basedOn w:val="DefaultParagraphFont"/>
    <w:rsid w:val="004E78FF"/>
  </w:style>
  <w:style w:type="character" w:customStyle="1" w:styleId="cohighlightpoints">
    <w:name w:val="co_highlightpoints"/>
    <w:basedOn w:val="DefaultParagraphFont"/>
    <w:rsid w:val="004E78FF"/>
  </w:style>
  <w:style w:type="character" w:styleId="CommentReference">
    <w:name w:val="annotation reference"/>
    <w:uiPriority w:val="99"/>
    <w:semiHidden/>
    <w:unhideWhenUsed/>
    <w:rsid w:val="00DA02BC"/>
    <w:rPr>
      <w:sz w:val="18"/>
      <w:szCs w:val="18"/>
    </w:rPr>
  </w:style>
  <w:style w:type="paragraph" w:styleId="CommentText">
    <w:name w:val="annotation text"/>
    <w:basedOn w:val="Normal"/>
    <w:link w:val="CommentTextChar"/>
    <w:uiPriority w:val="99"/>
    <w:unhideWhenUsed/>
    <w:rsid w:val="00DA02BC"/>
    <w:rPr>
      <w:sz w:val="24"/>
      <w:szCs w:val="24"/>
    </w:rPr>
  </w:style>
  <w:style w:type="character" w:customStyle="1" w:styleId="CommentTextChar">
    <w:name w:val="Comment Text Char"/>
    <w:link w:val="CommentText"/>
    <w:uiPriority w:val="99"/>
    <w:rsid w:val="00DA02BC"/>
    <w:rPr>
      <w:sz w:val="24"/>
      <w:szCs w:val="24"/>
    </w:rPr>
  </w:style>
  <w:style w:type="paragraph" w:styleId="CommentSubject">
    <w:name w:val="annotation subject"/>
    <w:basedOn w:val="CommentText"/>
    <w:next w:val="CommentText"/>
    <w:link w:val="CommentSubjectChar"/>
    <w:uiPriority w:val="99"/>
    <w:semiHidden/>
    <w:unhideWhenUsed/>
    <w:rsid w:val="00DA02BC"/>
    <w:rPr>
      <w:b/>
      <w:bCs/>
    </w:rPr>
  </w:style>
  <w:style w:type="character" w:customStyle="1" w:styleId="CommentSubjectChar">
    <w:name w:val="Comment Subject Char"/>
    <w:link w:val="CommentSubject"/>
    <w:uiPriority w:val="99"/>
    <w:semiHidden/>
    <w:rsid w:val="00DA02BC"/>
    <w:rPr>
      <w:b/>
      <w:bCs/>
      <w:sz w:val="24"/>
      <w:szCs w:val="24"/>
    </w:rPr>
  </w:style>
  <w:style w:type="paragraph" w:styleId="BalloonText">
    <w:name w:val="Balloon Text"/>
    <w:basedOn w:val="Normal"/>
    <w:link w:val="BalloonTextChar"/>
    <w:uiPriority w:val="99"/>
    <w:semiHidden/>
    <w:unhideWhenUsed/>
    <w:rsid w:val="00DA02BC"/>
    <w:rPr>
      <w:sz w:val="18"/>
      <w:szCs w:val="18"/>
    </w:rPr>
  </w:style>
  <w:style w:type="character" w:customStyle="1" w:styleId="BalloonTextChar">
    <w:name w:val="Balloon Text Char"/>
    <w:link w:val="BalloonText"/>
    <w:uiPriority w:val="99"/>
    <w:semiHidden/>
    <w:rsid w:val="00DA02BC"/>
    <w:rPr>
      <w:sz w:val="18"/>
      <w:szCs w:val="18"/>
    </w:rPr>
  </w:style>
  <w:style w:type="paragraph" w:customStyle="1" w:styleId="ColorfulList-Accent11">
    <w:name w:val="Colorful List - Accent 11"/>
    <w:basedOn w:val="Normal"/>
    <w:uiPriority w:val="34"/>
    <w:rsid w:val="00326554"/>
    <w:pPr>
      <w:tabs>
        <w:tab w:val="left" w:pos="720"/>
      </w:tabs>
      <w:spacing w:line="480" w:lineRule="atLeast"/>
      <w:ind w:left="720"/>
      <w:contextualSpacing/>
    </w:pPr>
    <w:rPr>
      <w:rFonts w:eastAsia="Calibri"/>
      <w:szCs w:val="24"/>
    </w:rPr>
  </w:style>
  <w:style w:type="character" w:customStyle="1" w:styleId="FootnoteTextChar">
    <w:name w:val="Footnote Text Char"/>
    <w:link w:val="FootnoteText"/>
    <w:semiHidden/>
    <w:rsid w:val="00C51115"/>
    <w:rPr>
      <w:sz w:val="26"/>
    </w:rPr>
  </w:style>
  <w:style w:type="character" w:styleId="FollowedHyperlink">
    <w:name w:val="FollowedHyperlink"/>
    <w:uiPriority w:val="99"/>
    <w:semiHidden/>
    <w:unhideWhenUsed/>
    <w:rsid w:val="007D3BF3"/>
    <w:rPr>
      <w:color w:val="800080"/>
      <w:u w:val="single"/>
    </w:rPr>
  </w:style>
  <w:style w:type="paragraph" w:customStyle="1" w:styleId="ColorfulShading-Accent11">
    <w:name w:val="Colorful Shading - Accent 11"/>
    <w:hidden/>
    <w:uiPriority w:val="99"/>
    <w:semiHidden/>
    <w:rsid w:val="006E0951"/>
    <w:rPr>
      <w:sz w:val="26"/>
    </w:rPr>
  </w:style>
  <w:style w:type="paragraph" w:styleId="Revision">
    <w:name w:val="Revision"/>
    <w:hidden/>
    <w:uiPriority w:val="71"/>
    <w:rsid w:val="007D3335"/>
    <w:rPr>
      <w:sz w:val="26"/>
    </w:rPr>
  </w:style>
  <w:style w:type="character" w:customStyle="1" w:styleId="HeaderChar">
    <w:name w:val="Header Char"/>
    <w:basedOn w:val="DefaultParagraphFont"/>
    <w:link w:val="Header"/>
    <w:rsid w:val="00F83D06"/>
    <w:rPr>
      <w:sz w:val="26"/>
    </w:rPr>
  </w:style>
  <w:style w:type="character" w:customStyle="1" w:styleId="FooterChar">
    <w:name w:val="Footer Char"/>
    <w:basedOn w:val="DefaultParagraphFont"/>
    <w:link w:val="Footer"/>
    <w:rsid w:val="00F83D0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7238</Words>
  <Characters>41977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49117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2018-01-31T19:39:00Z</dcterms:created>
  <dcterms:modified xsi:type="dcterms:W3CDTF">2018-01-31T19:45:00Z</dcterms:modified>
</cp:coreProperties>
</file>