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FBE" w:rsidRPr="004F5068" w:rsidRDefault="004F5068">
      <w:pPr>
        <w:rPr>
          <w:sz w:val="20"/>
        </w:rPr>
      </w:pPr>
      <w:r>
        <w:rPr>
          <w:sz w:val="20"/>
        </w:rPr>
        <w:t>Filed 2/1/18</w:t>
      </w:r>
    </w:p>
    <w:p w:rsidR="00B36FBE" w:rsidRDefault="005A7AF0">
      <w:pPr>
        <w:jc w:val="center"/>
      </w:pPr>
    </w:p>
    <w:p w:rsidR="00B36FBE" w:rsidRDefault="005A7AF0">
      <w:pPr>
        <w:jc w:val="center"/>
      </w:pPr>
    </w:p>
    <w:p w:rsidR="00B36FBE" w:rsidRDefault="005A7AF0">
      <w:pPr>
        <w:jc w:val="center"/>
      </w:pPr>
    </w:p>
    <w:p w:rsidR="00B36FBE" w:rsidRDefault="005A7AF0">
      <w:pPr>
        <w:jc w:val="center"/>
        <w:rPr>
          <w:sz w:val="36"/>
        </w:rPr>
      </w:pPr>
      <w:r>
        <w:rPr>
          <w:b/>
          <w:sz w:val="36"/>
        </w:rPr>
        <w:t>IN THE SUPREME COURT OF CALIFORNIA</w:t>
      </w:r>
    </w:p>
    <w:p w:rsidR="00B36FBE" w:rsidRDefault="005A7AF0">
      <w:pPr>
        <w:jc w:val="center"/>
      </w:pPr>
    </w:p>
    <w:p w:rsidR="00B36FBE" w:rsidRDefault="005A7AF0">
      <w:pPr>
        <w:jc w:val="center"/>
      </w:pPr>
    </w:p>
    <w:p w:rsidR="00B36FBE" w:rsidRDefault="005A7AF0">
      <w:pPr>
        <w:jc w:val="center"/>
      </w:pPr>
    </w:p>
    <w:p w:rsidR="00B36FBE" w:rsidRDefault="005A7AF0">
      <w:pPr>
        <w:tabs>
          <w:tab w:val="left" w:pos="4680"/>
          <w:tab w:val="center" w:pos="7200"/>
        </w:tabs>
        <w:spacing w:line="240" w:lineRule="atLeast"/>
      </w:pPr>
      <w:bookmarkStart w:id="0" w:name="plaintiff"/>
      <w:bookmarkEnd w:id="0"/>
      <w:r>
        <w:t>THE PEOPLE,</w:t>
      </w:r>
      <w:r>
        <w:tab/>
        <w:t>)</w:t>
      </w:r>
    </w:p>
    <w:p w:rsidR="00B36FBE" w:rsidRDefault="005A7AF0">
      <w:pPr>
        <w:tabs>
          <w:tab w:val="left" w:pos="1440"/>
          <w:tab w:val="left" w:pos="4680"/>
          <w:tab w:val="center" w:pos="7200"/>
        </w:tabs>
        <w:spacing w:line="240" w:lineRule="atLeast"/>
      </w:pPr>
      <w:r>
        <w:tab/>
      </w:r>
      <w:r>
        <w:tab/>
        <w:t>)</w:t>
      </w:r>
    </w:p>
    <w:p w:rsidR="00B36FBE" w:rsidRDefault="005A7AF0">
      <w:pPr>
        <w:tabs>
          <w:tab w:val="left" w:pos="1440"/>
          <w:tab w:val="left" w:pos="4680"/>
          <w:tab w:val="center" w:pos="7200"/>
        </w:tabs>
        <w:spacing w:line="240" w:lineRule="atLeast"/>
      </w:pPr>
      <w:r>
        <w:tab/>
      </w:r>
      <w:bookmarkStart w:id="1" w:name="LD"/>
      <w:bookmarkEnd w:id="1"/>
      <w:r>
        <w:t>Petitioner</w:t>
      </w:r>
      <w:r>
        <w:t>,</w:t>
      </w:r>
      <w:r>
        <w:tab/>
        <w:t>)</w:t>
      </w:r>
    </w:p>
    <w:p w:rsidR="00B36FBE" w:rsidRDefault="005A7AF0">
      <w:pPr>
        <w:tabs>
          <w:tab w:val="left" w:pos="1440"/>
          <w:tab w:val="left" w:pos="4680"/>
          <w:tab w:val="center" w:pos="7200"/>
        </w:tabs>
        <w:spacing w:line="240" w:lineRule="atLeast"/>
      </w:pPr>
      <w:r>
        <w:tab/>
      </w:r>
      <w:r>
        <w:tab/>
        <w:t>)</w:t>
      </w:r>
      <w:r>
        <w:tab/>
      </w:r>
      <w:r>
        <w:t>S241231</w:t>
      </w:r>
    </w:p>
    <w:p w:rsidR="00B36FBE" w:rsidRDefault="005A7AF0">
      <w:pPr>
        <w:tabs>
          <w:tab w:val="left" w:pos="1440"/>
          <w:tab w:val="left" w:pos="4680"/>
          <w:tab w:val="center" w:pos="7200"/>
        </w:tabs>
        <w:spacing w:line="240" w:lineRule="atLeast"/>
      </w:pPr>
      <w:r>
        <w:tab/>
        <w:t>v.</w:t>
      </w:r>
      <w:r>
        <w:tab/>
        <w:t>)</w:t>
      </w:r>
    </w:p>
    <w:p w:rsidR="00B36FBE" w:rsidRDefault="005A7AF0">
      <w:pPr>
        <w:tabs>
          <w:tab w:val="left" w:pos="1440"/>
          <w:tab w:val="left" w:pos="4680"/>
          <w:tab w:val="center" w:pos="7200"/>
        </w:tabs>
        <w:spacing w:line="240" w:lineRule="atLeast"/>
      </w:pPr>
      <w:r>
        <w:tab/>
      </w:r>
      <w:r>
        <w:tab/>
        <w:t>)</w:t>
      </w:r>
      <w:r>
        <w:tab/>
      </w:r>
      <w:bookmarkStart w:id="2" w:name="appealnum"/>
      <w:bookmarkEnd w:id="2"/>
      <w:proofErr w:type="spellStart"/>
      <w:r>
        <w:t>Ct.App</w:t>
      </w:r>
      <w:proofErr w:type="spellEnd"/>
      <w:r>
        <w:t>. 4/2</w:t>
      </w:r>
      <w:r>
        <w:t xml:space="preserve"> </w:t>
      </w:r>
      <w:r w:rsidRPr="00883642">
        <w:rPr>
          <w:szCs w:val="26"/>
        </w:rPr>
        <w:t>E067296</w:t>
      </w:r>
    </w:p>
    <w:p w:rsidR="00B36FBE" w:rsidRDefault="005A7AF0">
      <w:pPr>
        <w:tabs>
          <w:tab w:val="left" w:pos="4680"/>
          <w:tab w:val="center" w:pos="7200"/>
        </w:tabs>
        <w:spacing w:line="240" w:lineRule="atLeast"/>
      </w:pPr>
      <w:bookmarkStart w:id="3" w:name="defendant"/>
      <w:bookmarkEnd w:id="3"/>
      <w:r>
        <w:t>THE SUPERIOR COURT OF RIVERSIDE</w:t>
      </w:r>
      <w:r>
        <w:tab/>
        <w:t>)</w:t>
      </w:r>
    </w:p>
    <w:p w:rsidR="008E1A43" w:rsidRDefault="005A7AF0" w:rsidP="008E1A43">
      <w:pPr>
        <w:tabs>
          <w:tab w:val="left" w:pos="1440"/>
          <w:tab w:val="left" w:pos="4680"/>
          <w:tab w:val="center" w:pos="7200"/>
        </w:tabs>
        <w:spacing w:line="240" w:lineRule="atLeast"/>
      </w:pPr>
      <w:r>
        <w:t>COUNTY,</w:t>
      </w:r>
      <w:r>
        <w:tab/>
      </w:r>
      <w:r>
        <w:tab/>
        <w:t>)</w:t>
      </w:r>
    </w:p>
    <w:p w:rsidR="00B36FBE" w:rsidRDefault="005A7AF0" w:rsidP="008E1A43">
      <w:pPr>
        <w:tabs>
          <w:tab w:val="left" w:pos="4680"/>
          <w:tab w:val="center" w:pos="7200"/>
        </w:tabs>
        <w:spacing w:line="240" w:lineRule="atLeast"/>
        <w:ind w:left="720" w:hanging="720"/>
      </w:pPr>
      <w:r>
        <w:tab/>
      </w:r>
      <w:r>
        <w:tab/>
        <w:t>)</w:t>
      </w:r>
      <w:r>
        <w:tab/>
      </w:r>
      <w:bookmarkStart w:id="4" w:name="county"/>
      <w:bookmarkEnd w:id="4"/>
      <w:r>
        <w:t>Riverside</w:t>
      </w:r>
      <w:r>
        <w:t xml:space="preserve"> County</w:t>
      </w:r>
    </w:p>
    <w:p w:rsidR="00B36FBE" w:rsidRDefault="005A7AF0">
      <w:pPr>
        <w:tabs>
          <w:tab w:val="left" w:pos="1440"/>
          <w:tab w:val="left" w:pos="4680"/>
          <w:tab w:val="center" w:pos="7200"/>
        </w:tabs>
        <w:spacing w:line="240" w:lineRule="atLeast"/>
      </w:pPr>
      <w:r>
        <w:tab/>
      </w:r>
      <w:bookmarkStart w:id="5" w:name="VD"/>
      <w:bookmarkEnd w:id="5"/>
      <w:r>
        <w:t>Respondent;</w:t>
      </w:r>
      <w:r>
        <w:tab/>
        <w:t>)</w:t>
      </w:r>
      <w:r>
        <w:tab/>
      </w:r>
      <w:bookmarkStart w:id="6" w:name="supernum"/>
      <w:bookmarkEnd w:id="6"/>
      <w:r>
        <w:t>Super</w:t>
      </w:r>
      <w:proofErr w:type="gramStart"/>
      <w:r>
        <w:t xml:space="preserve">. </w:t>
      </w:r>
      <w:proofErr w:type="gramEnd"/>
      <w:r>
        <w:t xml:space="preserve">Ct. No. </w:t>
      </w:r>
      <w:r w:rsidRPr="00883642">
        <w:rPr>
          <w:szCs w:val="26"/>
        </w:rPr>
        <w:t>RIF1601012</w:t>
      </w:r>
    </w:p>
    <w:p w:rsidR="008E1A43" w:rsidRDefault="005A7AF0" w:rsidP="008E1A43">
      <w:pPr>
        <w:tabs>
          <w:tab w:val="left" w:pos="1440"/>
          <w:tab w:val="left" w:pos="4680"/>
          <w:tab w:val="center" w:pos="7200"/>
        </w:tabs>
        <w:spacing w:line="240" w:lineRule="atLeast"/>
      </w:pPr>
      <w:r>
        <w:tab/>
      </w:r>
      <w:r>
        <w:tab/>
        <w:t>)</w:t>
      </w:r>
    </w:p>
    <w:p w:rsidR="008E1A43" w:rsidRDefault="005A7AF0" w:rsidP="008E1A43">
      <w:pPr>
        <w:tabs>
          <w:tab w:val="left" w:pos="1440"/>
          <w:tab w:val="left" w:pos="4680"/>
          <w:tab w:val="center" w:pos="7200"/>
        </w:tabs>
        <w:spacing w:line="240" w:lineRule="atLeast"/>
      </w:pPr>
      <w:r w:rsidRPr="00883642">
        <w:rPr>
          <w:szCs w:val="26"/>
        </w:rPr>
        <w:t xml:space="preserve">PABLO ULLISSES LARA, </w:t>
      </w:r>
      <w:r w:rsidRPr="00883642">
        <w:rPr>
          <w:szCs w:val="26"/>
        </w:rPr>
        <w:t>JR.,</w:t>
      </w:r>
      <w:r>
        <w:tab/>
        <w:t>)</w:t>
      </w:r>
    </w:p>
    <w:p w:rsidR="008E1A43" w:rsidRDefault="005A7AF0" w:rsidP="008E1A43">
      <w:pPr>
        <w:tabs>
          <w:tab w:val="left" w:pos="1440"/>
          <w:tab w:val="left" w:pos="4680"/>
          <w:tab w:val="center" w:pos="7200"/>
        </w:tabs>
        <w:spacing w:line="240" w:lineRule="atLeast"/>
      </w:pPr>
      <w:r>
        <w:tab/>
      </w:r>
      <w:r>
        <w:tab/>
        <w:t>)</w:t>
      </w:r>
    </w:p>
    <w:p w:rsidR="008E1A43" w:rsidRDefault="005A7AF0" w:rsidP="008E1A43">
      <w:pPr>
        <w:tabs>
          <w:tab w:val="left" w:pos="1440"/>
          <w:tab w:val="left" w:pos="4680"/>
          <w:tab w:val="center" w:pos="7200"/>
        </w:tabs>
        <w:spacing w:line="240" w:lineRule="atLeast"/>
      </w:pPr>
      <w:r>
        <w:tab/>
        <w:t>Real Party in Interest.</w:t>
      </w:r>
      <w:r>
        <w:tab/>
        <w:t>)</w:t>
      </w:r>
    </w:p>
    <w:p w:rsidR="00B36FBE" w:rsidRDefault="005A7AF0">
      <w:pPr>
        <w:tabs>
          <w:tab w:val="left" w:leader="underscore" w:pos="4680"/>
        </w:tabs>
        <w:spacing w:line="240" w:lineRule="atLeast"/>
        <w:rPr>
          <w:u w:val="single"/>
        </w:rPr>
      </w:pPr>
      <w:r>
        <w:tab/>
        <w:t>)</w:t>
      </w:r>
    </w:p>
    <w:p w:rsidR="00B36FBE" w:rsidRDefault="005A7AF0">
      <w:pPr>
        <w:tabs>
          <w:tab w:val="left" w:pos="1440"/>
          <w:tab w:val="left" w:pos="4680"/>
          <w:tab w:val="center" w:pos="7200"/>
        </w:tabs>
        <w:spacing w:line="480" w:lineRule="atLeast"/>
      </w:pPr>
    </w:p>
    <w:p w:rsidR="00927BFE" w:rsidRDefault="005A7AF0" w:rsidP="00927BFE">
      <w:pPr>
        <w:tabs>
          <w:tab w:val="left" w:pos="1440"/>
        </w:tabs>
        <w:spacing w:line="480" w:lineRule="atLeast"/>
        <w:ind w:firstLine="720"/>
      </w:pPr>
      <w:bookmarkStart w:id="7" w:name="mainstory"/>
      <w:bookmarkEnd w:id="7"/>
      <w:r>
        <w:t xml:space="preserve">Real party in interest, Pablo </w:t>
      </w:r>
      <w:proofErr w:type="spellStart"/>
      <w:r>
        <w:t>Ullisses</w:t>
      </w:r>
      <w:proofErr w:type="spellEnd"/>
      <w:r>
        <w:t xml:space="preserve"> Lara, Jr. (hereafter, defendant), </w:t>
      </w:r>
      <w:proofErr w:type="gramStart"/>
      <w:r>
        <w:t>was charged</w:t>
      </w:r>
      <w:proofErr w:type="gramEnd"/>
      <w:r>
        <w:t xml:space="preserve"> in criminal (or adult) court </w:t>
      </w:r>
      <w:r>
        <w:t>with</w:t>
      </w:r>
      <w:r>
        <w:t xml:space="preserve"> s</w:t>
      </w:r>
      <w:r>
        <w:t>ex</w:t>
      </w:r>
      <w:r>
        <w:t xml:space="preserve"> crimes </w:t>
      </w:r>
      <w:r>
        <w:t>allegedly committed in 2014 and 2015</w:t>
      </w:r>
      <w:r>
        <w:t xml:space="preserve"> </w:t>
      </w:r>
      <w:r>
        <w:t>when he was 14</w:t>
      </w:r>
      <w:r>
        <w:t xml:space="preserve"> and 15 </w:t>
      </w:r>
      <w:r>
        <w:t>years old.</w:t>
      </w:r>
      <w:r>
        <w:rPr>
          <w:rStyle w:val="FootnoteReference"/>
        </w:rPr>
        <w:footnoteReference w:id="2"/>
      </w:r>
      <w:r>
        <w:t xml:space="preserve">  The law</w:t>
      </w:r>
      <w:r>
        <w:t xml:space="preserve"> then</w:t>
      </w:r>
      <w:r>
        <w:t xml:space="preserve"> in effect permitted the prosecutor to charge the case directly in adult court.  In November 2016, after </w:t>
      </w:r>
      <w:r>
        <w:t xml:space="preserve">the charges </w:t>
      </w:r>
      <w:proofErr w:type="gramStart"/>
      <w:r>
        <w:t>were filed</w:t>
      </w:r>
      <w:proofErr w:type="gramEnd"/>
      <w:r>
        <w:t>, the electorate passed Proposition 57, the “Public Safety and Rehabilitation Act of 2016” (Prop</w:t>
      </w:r>
      <w:r>
        <w:t>osition</w:t>
      </w:r>
      <w:r>
        <w:t xml:space="preserve"> 57).  Proposition 57 prohibits prosecutors from charging juveniles with crimes directly in adult court.  Instead, they must commence the action in juvenile court.  If the prosecution wishes to try the </w:t>
      </w:r>
      <w:r>
        <w:lastRenderedPageBreak/>
        <w:t xml:space="preserve">juvenile as an adult, the juvenile court must conduct </w:t>
      </w:r>
      <w:r>
        <w:t xml:space="preserve">what we will call a “transfer hearing” to determine whether the </w:t>
      </w:r>
      <w:r>
        <w:t>matter</w:t>
      </w:r>
      <w:r>
        <w:t xml:space="preserve"> should </w:t>
      </w:r>
      <w:r>
        <w:t xml:space="preserve">remain in </w:t>
      </w:r>
      <w:r>
        <w:t>juvenile</w:t>
      </w:r>
      <w:r>
        <w:t xml:space="preserve"> court</w:t>
      </w:r>
      <w:r>
        <w:t xml:space="preserve"> or </w:t>
      </w:r>
      <w:proofErr w:type="gramStart"/>
      <w:r>
        <w:t>be transferred</w:t>
      </w:r>
      <w:proofErr w:type="gramEnd"/>
      <w:r>
        <w:t xml:space="preserve"> to adult court.  Only if the juvenile court transfers the matter to adult court can the juvenile </w:t>
      </w:r>
      <w:proofErr w:type="gramStart"/>
      <w:r>
        <w:t>be tried</w:t>
      </w:r>
      <w:proofErr w:type="gramEnd"/>
      <w:r>
        <w:t xml:space="preserve"> and sentenced as an adult.  (</w:t>
      </w:r>
      <w:r>
        <w:t xml:space="preserve">See </w:t>
      </w:r>
      <w:proofErr w:type="spellStart"/>
      <w:r>
        <w:t>Welf</w:t>
      </w:r>
      <w:proofErr w:type="spellEnd"/>
      <w:proofErr w:type="gramStart"/>
      <w:r>
        <w:t xml:space="preserve">. </w:t>
      </w:r>
      <w:proofErr w:type="gramEnd"/>
      <w:r>
        <w:t>&amp; Inst. Code, § 707, subd</w:t>
      </w:r>
      <w:proofErr w:type="gramStart"/>
      <w:r>
        <w:t xml:space="preserve">. </w:t>
      </w:r>
      <w:proofErr w:type="gramEnd"/>
      <w:r>
        <w:t>(a).)</w:t>
      </w:r>
      <w:r>
        <w:rPr>
          <w:rStyle w:val="FootnoteReference"/>
        </w:rPr>
        <w:footnoteReference w:id="3"/>
      </w:r>
    </w:p>
    <w:p w:rsidR="00927BFE" w:rsidRDefault="005A7AF0" w:rsidP="00BE12E1">
      <w:pPr>
        <w:tabs>
          <w:tab w:val="left" w:pos="1440"/>
        </w:tabs>
        <w:spacing w:line="480" w:lineRule="atLeast"/>
        <w:ind w:firstLine="720"/>
      </w:pPr>
      <w:r>
        <w:t xml:space="preserve">We must decide whether this part of Proposition 57 applies retroactively to benefit defendant.  In </w:t>
      </w:r>
      <w:r w:rsidRPr="009968F5">
        <w:rPr>
          <w:i/>
        </w:rPr>
        <w:t>In re Estrada</w:t>
      </w:r>
      <w:r>
        <w:t xml:space="preserve"> (1965) 63 Cal.2d 740 (</w:t>
      </w:r>
      <w:r w:rsidRPr="00E5169C">
        <w:rPr>
          <w:i/>
        </w:rPr>
        <w:t>Estrada</w:t>
      </w:r>
      <w:r>
        <w:t>), we held that a statute that reduce</w:t>
      </w:r>
      <w:r>
        <w:t>d</w:t>
      </w:r>
      <w:r>
        <w:t xml:space="preserve"> the punishment for a crime </w:t>
      </w:r>
      <w:r>
        <w:t>appl</w:t>
      </w:r>
      <w:r>
        <w:t>ied</w:t>
      </w:r>
      <w:r>
        <w:t xml:space="preserve"> retroactive</w:t>
      </w:r>
      <w:r>
        <w:t>ly</w:t>
      </w:r>
      <w:r>
        <w:t xml:space="preserve"> to any case in which the judgment </w:t>
      </w:r>
      <w:r>
        <w:t>wa</w:t>
      </w:r>
      <w:r>
        <w:t>s not final before the statute t</w:t>
      </w:r>
      <w:r>
        <w:t>ook</w:t>
      </w:r>
      <w:r>
        <w:t xml:space="preserve"> effect.  In </w:t>
      </w:r>
      <w:r w:rsidRPr="009968F5">
        <w:rPr>
          <w:i/>
        </w:rPr>
        <w:t>People v. Francis</w:t>
      </w:r>
      <w:r>
        <w:t xml:space="preserve"> (1969) 71 Cal.2d 66 (</w:t>
      </w:r>
      <w:r w:rsidRPr="000F6AF1">
        <w:rPr>
          <w:i/>
        </w:rPr>
        <w:t>Francis</w:t>
      </w:r>
      <w:r>
        <w:t xml:space="preserve">), we applied </w:t>
      </w:r>
      <w:r w:rsidRPr="00E5169C">
        <w:rPr>
          <w:i/>
        </w:rPr>
        <w:t>Estrada</w:t>
      </w:r>
      <w:r>
        <w:t xml:space="preserve"> to a statute that merely made a </w:t>
      </w:r>
      <w:r w:rsidRPr="00D7676F">
        <w:t>reduced punishment possible.</w:t>
      </w:r>
      <w:r>
        <w:t xml:space="preserve">  </w:t>
      </w:r>
      <w:r w:rsidRPr="009968F5">
        <w:rPr>
          <w:i/>
        </w:rPr>
        <w:t>Estrada</w:t>
      </w:r>
      <w:r>
        <w:t xml:space="preserve"> is not directly </w:t>
      </w:r>
      <w:r>
        <w:t xml:space="preserve">on point; Proposition 57 does not reduce the punishment for a crime.  But its rationale does apply.  The possibility of </w:t>
      </w:r>
      <w:proofErr w:type="gramStart"/>
      <w:r>
        <w:t>being treated</w:t>
      </w:r>
      <w:proofErr w:type="gramEnd"/>
      <w:r>
        <w:t xml:space="preserve"> </w:t>
      </w:r>
      <w:r>
        <w:t>as a juvenile in juvenile court</w:t>
      </w:r>
      <w:r>
        <w:t>—where rehabilitation is the goal</w:t>
      </w:r>
      <w:r>
        <w:t>—</w:t>
      </w:r>
      <w:r>
        <w:t xml:space="preserve">rather than being </w:t>
      </w:r>
      <w:r>
        <w:t>tried and sentenced as an adult</w:t>
      </w:r>
      <w:r>
        <w:t xml:space="preserve"> can res</w:t>
      </w:r>
      <w:r>
        <w:t xml:space="preserve">ult in dramatically different and more lenient treatment.  Therefore, Proposition 57 reduces the possible punishment for a class of persons, </w:t>
      </w:r>
      <w:r>
        <w:t xml:space="preserve">namely </w:t>
      </w:r>
      <w:r>
        <w:t xml:space="preserve">juveniles.  For this reason, </w:t>
      </w:r>
      <w:r w:rsidRPr="00E5169C">
        <w:rPr>
          <w:i/>
        </w:rPr>
        <w:t>Estrada</w:t>
      </w:r>
      <w:r>
        <w:t xml:space="preserve">’s </w:t>
      </w:r>
      <w:r>
        <w:t>inference</w:t>
      </w:r>
      <w:r>
        <w:t xml:space="preserve"> of retroactivity applies.  As nothing in Proposition 57’s t</w:t>
      </w:r>
      <w:r>
        <w:t>ext or ballot materials rebut</w:t>
      </w:r>
      <w:r>
        <w:t>s</w:t>
      </w:r>
      <w:r>
        <w:t xml:space="preserve"> this </w:t>
      </w:r>
      <w:r>
        <w:t>inference</w:t>
      </w:r>
      <w:r>
        <w:t xml:space="preserve">, </w:t>
      </w:r>
      <w:r>
        <w:t xml:space="preserve">we conclude </w:t>
      </w:r>
      <w:r>
        <w:t xml:space="preserve">this part of Proposition 57 applies to all juveniles charged </w:t>
      </w:r>
      <w:r>
        <w:t xml:space="preserve">directly </w:t>
      </w:r>
      <w:r>
        <w:t>in adult court whose judgment was not final at the time it was enacted.</w:t>
      </w:r>
    </w:p>
    <w:p w:rsidR="00927BFE" w:rsidRDefault="005A7AF0" w:rsidP="00927BFE">
      <w:pPr>
        <w:tabs>
          <w:tab w:val="left" w:pos="1440"/>
        </w:tabs>
        <w:spacing w:line="480" w:lineRule="atLeast"/>
        <w:ind w:firstLine="720"/>
      </w:pPr>
      <w:r>
        <w:t>Because the Court of Appeal reached a similar result, a</w:t>
      </w:r>
      <w:r>
        <w:t>lthough for</w:t>
      </w:r>
      <w:r>
        <w:t xml:space="preserve"> different reasons, </w:t>
      </w:r>
      <w:r>
        <w:t>we affirm the judgment.</w:t>
      </w:r>
    </w:p>
    <w:p w:rsidR="00927BFE" w:rsidRDefault="005A7AF0" w:rsidP="00927BFE">
      <w:pPr>
        <w:pStyle w:val="Heading1"/>
      </w:pPr>
      <w:r>
        <w:t>I.  Procedural History</w:t>
      </w:r>
    </w:p>
    <w:p w:rsidR="00836947" w:rsidRDefault="005A7AF0" w:rsidP="00927BFE">
      <w:pPr>
        <w:tabs>
          <w:tab w:val="left" w:pos="1440"/>
        </w:tabs>
        <w:spacing w:line="480" w:lineRule="atLeast"/>
        <w:ind w:firstLine="720"/>
      </w:pPr>
      <w:r>
        <w:t>On June</w:t>
      </w:r>
      <w:r>
        <w:t xml:space="preserve"> 10, 2016, the Riverside County District Attorney filed an information in adult court charging defendant with kidnapping for rape, oral </w:t>
      </w:r>
      <w:r>
        <w:lastRenderedPageBreak/>
        <w:t>copulation, and sodomy; forcible or</w:t>
      </w:r>
      <w:r>
        <w:t xml:space="preserve">al copulation with a child under 14 years </w:t>
      </w:r>
      <w:r>
        <w:t>of age;</w:t>
      </w:r>
      <w:r>
        <w:t xml:space="preserve"> and two counts of forcible sodomy</w:t>
      </w:r>
      <w:r>
        <w:t xml:space="preserve">.  Defendant has not yet </w:t>
      </w:r>
      <w:proofErr w:type="gramStart"/>
      <w:r>
        <w:t>been tried</w:t>
      </w:r>
      <w:proofErr w:type="gramEnd"/>
      <w:r>
        <w:t xml:space="preserve">, but the charges </w:t>
      </w:r>
      <w:r>
        <w:t>a</w:t>
      </w:r>
      <w:r>
        <w:t xml:space="preserve">re based on sex crimes defendant allegedly committed against a girl who was seven and eight years old </w:t>
      </w:r>
      <w:r>
        <w:t>when the crimes o</w:t>
      </w:r>
      <w:r>
        <w:t>ccurred</w:t>
      </w:r>
      <w:r>
        <w:t>.</w:t>
      </w:r>
    </w:p>
    <w:p w:rsidR="004857E1" w:rsidRDefault="005A7AF0" w:rsidP="00927BFE">
      <w:pPr>
        <w:tabs>
          <w:tab w:val="left" w:pos="1440"/>
        </w:tabs>
        <w:spacing w:line="480" w:lineRule="atLeast"/>
        <w:ind w:firstLine="720"/>
      </w:pPr>
      <w:r>
        <w:t>On November 8, 2016, the electorate passed Propositi</w:t>
      </w:r>
      <w:r>
        <w:t>o</w:t>
      </w:r>
      <w:r>
        <w:t>n 57</w:t>
      </w:r>
      <w:r>
        <w:t>, and i</w:t>
      </w:r>
      <w:r>
        <w:t xml:space="preserve">t </w:t>
      </w:r>
      <w:r>
        <w:t>took effect</w:t>
      </w:r>
      <w:r>
        <w:t xml:space="preserve"> the next day.  (Cal. Const., art. II, § 10, subd</w:t>
      </w:r>
      <w:proofErr w:type="gramStart"/>
      <w:r>
        <w:t xml:space="preserve">. </w:t>
      </w:r>
      <w:proofErr w:type="gramEnd"/>
      <w:r>
        <w:t>(a).)</w:t>
      </w:r>
      <w:r>
        <w:t xml:space="preserve">  On November 16, 2016, defendant requested the matter </w:t>
      </w:r>
      <w:proofErr w:type="gramStart"/>
      <w:r>
        <w:t>be transferred</w:t>
      </w:r>
      <w:proofErr w:type="gramEnd"/>
      <w:r>
        <w:t xml:space="preserve"> to juvenile court for a “fitness hearing” pursuant to Proposition 57.  After a hearing, </w:t>
      </w:r>
      <w:r>
        <w:t xml:space="preserve">on November 29, 2016, </w:t>
      </w:r>
      <w:r>
        <w:t>the trial court granted the motion, holding that Proposition 57 applies retr</w:t>
      </w:r>
      <w:r>
        <w:t xml:space="preserve">oactively to this case.  It issued a short stay to permit the People to seek writ review </w:t>
      </w:r>
      <w:r>
        <w:t>i</w:t>
      </w:r>
      <w:r>
        <w:t>n the Court of Appeal.</w:t>
      </w:r>
    </w:p>
    <w:p w:rsidR="00927BFE" w:rsidRDefault="005A7AF0" w:rsidP="00927BFE">
      <w:pPr>
        <w:tabs>
          <w:tab w:val="left" w:pos="1440"/>
        </w:tabs>
        <w:spacing w:line="480" w:lineRule="atLeast"/>
        <w:ind w:firstLine="720"/>
      </w:pPr>
      <w:r>
        <w:t>Three days later, the People filed the instant writ petition</w:t>
      </w:r>
      <w:r>
        <w:t xml:space="preserve"> in the Court of Appeal </w:t>
      </w:r>
      <w:r>
        <w:t>challenging the trial c</w:t>
      </w:r>
      <w:r>
        <w:t>ourt’s order and seeking a</w:t>
      </w:r>
      <w:r>
        <w:t>n addition</w:t>
      </w:r>
      <w:r>
        <w:t>al</w:t>
      </w:r>
      <w:r>
        <w:t xml:space="preserve"> stay.  </w:t>
      </w:r>
      <w:r>
        <w:t xml:space="preserve">On March 13, 2017, </w:t>
      </w:r>
      <w:r>
        <w:t xml:space="preserve">the Court of Appeal issued an opinion denying the petition. </w:t>
      </w:r>
      <w:r w:rsidRPr="00A36916">
        <w:t xml:space="preserve"> </w:t>
      </w:r>
      <w:r>
        <w:t>(</w:t>
      </w:r>
      <w:r w:rsidRPr="008B292B">
        <w:rPr>
          <w:i/>
        </w:rPr>
        <w:t>People v. Superior Court (Lara)</w:t>
      </w:r>
      <w:r>
        <w:t xml:space="preserve"> (2017) 9 Cal.</w:t>
      </w:r>
      <w:r>
        <w:t>App</w:t>
      </w:r>
      <w:r>
        <w:t>.</w:t>
      </w:r>
      <w:r>
        <w:t>5th</w:t>
      </w:r>
      <w:r>
        <w:t xml:space="preserve"> 753</w:t>
      </w:r>
      <w:r>
        <w:t xml:space="preserve"> (</w:t>
      </w:r>
      <w:r w:rsidRPr="00C030A2">
        <w:rPr>
          <w:i/>
        </w:rPr>
        <w:t>Lara</w:t>
      </w:r>
      <w:r>
        <w:t>)</w:t>
      </w:r>
      <w:r>
        <w:t>.)</w:t>
      </w:r>
      <w:r>
        <w:t xml:space="preserve"> </w:t>
      </w:r>
      <w:r>
        <w:t xml:space="preserve"> </w:t>
      </w:r>
      <w:r>
        <w:t xml:space="preserve">It </w:t>
      </w:r>
      <w:r>
        <w:t>concluded</w:t>
      </w:r>
      <w:r>
        <w:t xml:space="preserve"> </w:t>
      </w:r>
      <w:r>
        <w:t>that</w:t>
      </w:r>
      <w:r w:rsidRPr="00476951">
        <w:t xml:space="preserve"> </w:t>
      </w:r>
      <w:r>
        <w:t xml:space="preserve">Proposition 57 </w:t>
      </w:r>
      <w:r>
        <w:t>does not apply</w:t>
      </w:r>
      <w:r>
        <w:t xml:space="preserve"> retroactively</w:t>
      </w:r>
      <w:r>
        <w:t xml:space="preserve"> under</w:t>
      </w:r>
      <w:r>
        <w:t xml:space="preserve"> the rationale of</w:t>
      </w:r>
      <w:r>
        <w:t xml:space="preserve"> </w:t>
      </w:r>
      <w:r w:rsidRPr="00FA1129">
        <w:rPr>
          <w:i/>
        </w:rPr>
        <w:t>Estrada</w:t>
      </w:r>
      <w:r>
        <w:t xml:space="preserve">, </w:t>
      </w:r>
      <w:r>
        <w:rPr>
          <w:i/>
        </w:rPr>
        <w:t>supr</w:t>
      </w:r>
      <w:r>
        <w:rPr>
          <w:i/>
        </w:rPr>
        <w:t>a</w:t>
      </w:r>
      <w:r>
        <w:t>, 63 Cal.2d 740.  But it also concluded that, applied prospectively, Proposition 57 entitles defendant to a fitness hearing.</w:t>
      </w:r>
    </w:p>
    <w:p w:rsidR="00EB0CBA" w:rsidRDefault="005A7AF0" w:rsidP="00927BFE">
      <w:pPr>
        <w:tabs>
          <w:tab w:val="left" w:pos="1440"/>
        </w:tabs>
        <w:spacing w:line="480" w:lineRule="atLeast"/>
        <w:ind w:firstLine="720"/>
      </w:pPr>
      <w:r>
        <w:t>In the meantime, because the trial court stay expired and the Court of Appeal did not issue its own stay, matters continued at the</w:t>
      </w:r>
      <w:r>
        <w:t xml:space="preserve"> trial court level.  The trial court suspended proceedings in the adult court</w:t>
      </w:r>
      <w:r>
        <w:t xml:space="preserve"> </w:t>
      </w:r>
      <w:r>
        <w:t xml:space="preserve">and ordered defendant released from custody unless </w:t>
      </w:r>
      <w:r>
        <w:t>the People commenced a juvenile</w:t>
      </w:r>
      <w:r>
        <w:t xml:space="preserve"> </w:t>
      </w:r>
      <w:r>
        <w:t xml:space="preserve">court proceeding within 48 hours.  The next day, the People filed a petition in juvenile court </w:t>
      </w:r>
      <w:r>
        <w:t>alleging defendant committed the crimes already charged in adult</w:t>
      </w:r>
      <w:r>
        <w:t xml:space="preserve"> court and requesting a hearing to transfer the matter back to adult court.  The juvenile court held the hearing </w:t>
      </w:r>
      <w:r>
        <w:t>but</w:t>
      </w:r>
      <w:r>
        <w:t xml:space="preserve"> denied the People’s request to transfer the matter back to adult court.  </w:t>
      </w:r>
      <w:r>
        <w:lastRenderedPageBreak/>
        <w:t xml:space="preserve">A </w:t>
      </w:r>
      <w:r>
        <w:t xml:space="preserve">contested jurisdictional hearing </w:t>
      </w:r>
      <w:proofErr w:type="gramStart"/>
      <w:r>
        <w:t>was scheduled</w:t>
      </w:r>
      <w:proofErr w:type="gramEnd"/>
      <w:r>
        <w:t xml:space="preserve"> in juvenile court for April 20, 2017.</w:t>
      </w:r>
    </w:p>
    <w:p w:rsidR="00927BFE" w:rsidRDefault="005A7AF0" w:rsidP="00927BFE">
      <w:pPr>
        <w:tabs>
          <w:tab w:val="left" w:pos="1440"/>
        </w:tabs>
        <w:spacing w:line="480" w:lineRule="atLeast"/>
        <w:ind w:firstLine="720"/>
      </w:pPr>
      <w:r>
        <w:t>The People filed a petition for review and requested a stay.  On April 19, 2017, we stayed all further proceedings in the juvenile and adult courts pending further order o</w:t>
      </w:r>
      <w:r>
        <w:t>f this court.  Later, we granted the petition for review</w:t>
      </w:r>
      <w:r>
        <w:t xml:space="preserve"> to decide whether P</w:t>
      </w:r>
      <w:r>
        <w:t xml:space="preserve">roposition 57’s </w:t>
      </w:r>
      <w:r>
        <w:t>juvenile</w:t>
      </w:r>
      <w:r>
        <w:t xml:space="preserve"> </w:t>
      </w:r>
      <w:r>
        <w:t xml:space="preserve">law </w:t>
      </w:r>
      <w:r>
        <w:t xml:space="preserve">provisions </w:t>
      </w:r>
      <w:r>
        <w:t xml:space="preserve">apply retroactively to cases </w:t>
      </w:r>
      <w:r>
        <w:t>filed</w:t>
      </w:r>
      <w:r>
        <w:t xml:space="preserve"> in a</w:t>
      </w:r>
      <w:r>
        <w:t>dult court</w:t>
      </w:r>
      <w:r>
        <w:t xml:space="preserve"> before </w:t>
      </w:r>
      <w:r>
        <w:t>it took effect.</w:t>
      </w:r>
      <w:r>
        <w:rPr>
          <w:rStyle w:val="FootnoteReference"/>
        </w:rPr>
        <w:footnoteReference w:id="4"/>
      </w:r>
    </w:p>
    <w:p w:rsidR="00927BFE" w:rsidRDefault="005A7AF0" w:rsidP="00927BFE">
      <w:pPr>
        <w:pStyle w:val="Heading1"/>
      </w:pPr>
      <w:r>
        <w:t>II.  Discussion</w:t>
      </w:r>
    </w:p>
    <w:p w:rsidR="00927BFE" w:rsidRDefault="005A7AF0" w:rsidP="00927BFE">
      <w:pPr>
        <w:pStyle w:val="Heading2"/>
      </w:pPr>
      <w:r>
        <w:t>A.  Background</w:t>
      </w:r>
    </w:p>
    <w:p w:rsidR="00927BFE" w:rsidRDefault="005A7AF0" w:rsidP="00927BFE">
      <w:pPr>
        <w:tabs>
          <w:tab w:val="left" w:pos="1440"/>
        </w:tabs>
        <w:spacing w:line="480" w:lineRule="atLeast"/>
        <w:ind w:firstLine="720"/>
      </w:pPr>
      <w:r>
        <w:t xml:space="preserve">“Historically, a child could </w:t>
      </w:r>
      <w:proofErr w:type="gramStart"/>
      <w:r>
        <w:t xml:space="preserve">be </w:t>
      </w:r>
      <w:r>
        <w:t>tried</w:t>
      </w:r>
      <w:proofErr w:type="gramEnd"/>
      <w:r>
        <w:t xml:space="preserve"> in criminal court only after a judicial determination, before jeopardy attached, that he or she was unfit to be dealt with under juvenile court law.  Since 1975 the procedural requirements for fitness hearings have been established by section 707.”  </w:t>
      </w:r>
      <w:r>
        <w:t>(</w:t>
      </w:r>
      <w:r w:rsidRPr="009F702F">
        <w:rPr>
          <w:i/>
        </w:rPr>
        <w:t>Juan G. v Superior Court</w:t>
      </w:r>
      <w:r>
        <w:t xml:space="preserve"> (2012) 209 Cal.App.</w:t>
      </w:r>
      <w:r>
        <w:t>4th</w:t>
      </w:r>
      <w:r>
        <w:t xml:space="preserve"> 1480, 1488.)  The general rule used to be that “any individual less than 18 years of age who violates the criminal law comes within the jurisdiction of the juvenile court,</w:t>
      </w:r>
      <w:r>
        <w:t xml:space="preserve"> </w:t>
      </w:r>
      <w:r>
        <w:t>which may adjudge such an individua</w:t>
      </w:r>
      <w:r>
        <w:t>l a ward of the court.”  (</w:t>
      </w:r>
      <w:proofErr w:type="spellStart"/>
      <w:r w:rsidRPr="008E5C6C">
        <w:rPr>
          <w:i/>
        </w:rPr>
        <w:t>Manduley</w:t>
      </w:r>
      <w:proofErr w:type="spellEnd"/>
      <w:r w:rsidRPr="008E5C6C">
        <w:rPr>
          <w:i/>
        </w:rPr>
        <w:t xml:space="preserve"> v. Superior Court </w:t>
      </w:r>
      <w:r>
        <w:t>(2002) 27 Cal.</w:t>
      </w:r>
      <w:r>
        <w:t>4th</w:t>
      </w:r>
      <w:r>
        <w:t xml:space="preserve"> 537, 548</w:t>
      </w:r>
      <w:r>
        <w:t>, fn. omitted</w:t>
      </w:r>
      <w:r>
        <w:t>.)</w:t>
      </w:r>
    </w:p>
    <w:p w:rsidR="00927BFE" w:rsidRDefault="005A7AF0" w:rsidP="00927BFE">
      <w:pPr>
        <w:tabs>
          <w:tab w:val="left" w:pos="1440"/>
        </w:tabs>
        <w:spacing w:line="480" w:lineRule="atLeast"/>
        <w:ind w:firstLine="720"/>
      </w:pPr>
      <w:r>
        <w:t>Amendments to former sections 602 and 707 in 1999 and 2000, some by initiative, changed this historical rule.  Under the changes, in specified circumstances, pro</w:t>
      </w:r>
      <w:r>
        <w:t xml:space="preserve">secutors </w:t>
      </w:r>
      <w:proofErr w:type="gramStart"/>
      <w:r>
        <w:t>were permitted</w:t>
      </w:r>
      <w:proofErr w:type="gramEnd"/>
      <w:r>
        <w:t>, and sometimes required, to file charges against a juvenile directly in criminal court, where the juvenile would be treated as an adult.  (</w:t>
      </w:r>
      <w:proofErr w:type="spellStart"/>
      <w:r w:rsidRPr="00B469B2">
        <w:rPr>
          <w:i/>
        </w:rPr>
        <w:t>Manduley</w:t>
      </w:r>
      <w:proofErr w:type="spellEnd"/>
      <w:r w:rsidRPr="00B469B2">
        <w:rPr>
          <w:i/>
        </w:rPr>
        <w:t xml:space="preserve"> v. Superior Court</w:t>
      </w:r>
      <w:r>
        <w:t xml:space="preserve">, </w:t>
      </w:r>
      <w:r>
        <w:rPr>
          <w:i/>
        </w:rPr>
        <w:t>supra</w:t>
      </w:r>
      <w:r>
        <w:t>, 27 Cal.</w:t>
      </w:r>
      <w:r>
        <w:t>4th</w:t>
      </w:r>
      <w:r>
        <w:t xml:space="preserve"> at pp. 548-</w:t>
      </w:r>
      <w:r>
        <w:lastRenderedPageBreak/>
        <w:t xml:space="preserve">551; </w:t>
      </w:r>
      <w:r w:rsidRPr="00B469B2">
        <w:rPr>
          <w:i/>
        </w:rPr>
        <w:t>Juan G. v. Superior Court</w:t>
      </w:r>
      <w:r>
        <w:t xml:space="preserve">, </w:t>
      </w:r>
      <w:r>
        <w:rPr>
          <w:i/>
        </w:rPr>
        <w:t>supr</w:t>
      </w:r>
      <w:r>
        <w:rPr>
          <w:i/>
        </w:rPr>
        <w:t>a</w:t>
      </w:r>
      <w:r>
        <w:t>, 209 Cal.App.</w:t>
      </w:r>
      <w:r>
        <w:t>4th</w:t>
      </w:r>
      <w:r>
        <w:t xml:space="preserve"> at pp. 1488-1490</w:t>
      </w:r>
      <w:r>
        <w:t>.</w:t>
      </w:r>
      <w:r>
        <w:t>)  These provisions were in effect when the prosecution filed the charges against defendant directly in criminal court.</w:t>
      </w:r>
    </w:p>
    <w:p w:rsidR="00927BFE" w:rsidRDefault="005A7AF0" w:rsidP="00E026D6">
      <w:pPr>
        <w:tabs>
          <w:tab w:val="left" w:pos="1440"/>
        </w:tabs>
        <w:spacing w:line="480" w:lineRule="atLeast"/>
        <w:ind w:firstLine="720"/>
      </w:pPr>
      <w:r>
        <w:t xml:space="preserve">Proposition 57 changed the procedure again, and largely returned California to the historical rule. </w:t>
      </w:r>
      <w:r>
        <w:t xml:space="preserve"> </w:t>
      </w:r>
      <w:r>
        <w:t>“</w:t>
      </w:r>
      <w:r>
        <w:t xml:space="preserve">Among other provisions, Proposition 57 amended the Welfare and Institutions Code </w:t>
      </w:r>
      <w:proofErr w:type="gramStart"/>
      <w:r>
        <w:t>so as to</w:t>
      </w:r>
      <w:proofErr w:type="gramEnd"/>
      <w:r>
        <w:t xml:space="preserve"> eliminate direct filing by prosecutors.  Certain categories of </w:t>
      </w:r>
      <w:proofErr w:type="gramStart"/>
      <w:r>
        <w:t>minors .</w:t>
      </w:r>
      <w:proofErr w:type="gramEnd"/>
      <w:r>
        <w:t xml:space="preserve"> . . can still </w:t>
      </w:r>
      <w:proofErr w:type="gramStart"/>
      <w:r>
        <w:t>be tried</w:t>
      </w:r>
      <w:proofErr w:type="gramEnd"/>
      <w:r>
        <w:t xml:space="preserve"> in criminal court, but only after a juvenile court judge conducts a t</w:t>
      </w:r>
      <w:r>
        <w:t>ransfer hearing to consider various factors such as the minor’s maturity, degree of criminal sophistication, prior delinquent history, and whether the minor can be rehabilitated.  (</w:t>
      </w:r>
      <w:proofErr w:type="spellStart"/>
      <w:r>
        <w:t>Welf</w:t>
      </w:r>
      <w:proofErr w:type="spellEnd"/>
      <w:proofErr w:type="gramStart"/>
      <w:r>
        <w:t xml:space="preserve">. </w:t>
      </w:r>
      <w:proofErr w:type="gramEnd"/>
      <w:r>
        <w:t>&amp; Inst. Code, § 707, subd</w:t>
      </w:r>
      <w:proofErr w:type="gramStart"/>
      <w:r>
        <w:t xml:space="preserve">. </w:t>
      </w:r>
      <w:proofErr w:type="gramEnd"/>
      <w:r>
        <w:t>(a)(1).)”  (</w:t>
      </w:r>
      <w:r w:rsidRPr="00DF51E7">
        <w:rPr>
          <w:i/>
        </w:rPr>
        <w:t>People v. Vela</w:t>
      </w:r>
      <w:r>
        <w:t xml:space="preserve"> (2017) 11 Cal.A</w:t>
      </w:r>
      <w:r>
        <w:t>pp.</w:t>
      </w:r>
      <w:r>
        <w:t>5th</w:t>
      </w:r>
      <w:r>
        <w:t xml:space="preserve"> 68, 72, review granted July 12, 2017, S242298 (</w:t>
      </w:r>
      <w:r w:rsidRPr="00B469B2">
        <w:rPr>
          <w:i/>
        </w:rPr>
        <w:t>Vela</w:t>
      </w:r>
      <w:r>
        <w:t>)</w:t>
      </w:r>
      <w:r>
        <w:t>.)</w:t>
      </w:r>
      <w:r>
        <w:rPr>
          <w:rStyle w:val="FootnoteReference"/>
        </w:rPr>
        <w:footnoteReference w:id="5"/>
      </w:r>
    </w:p>
    <w:p w:rsidR="009B5D09" w:rsidRDefault="005A7AF0" w:rsidP="00927BFE">
      <w:pPr>
        <w:tabs>
          <w:tab w:val="left" w:pos="5760"/>
        </w:tabs>
        <w:spacing w:line="480" w:lineRule="atLeast"/>
        <w:ind w:firstLine="720"/>
      </w:pPr>
      <w:r>
        <w:t>We must decide</w:t>
      </w:r>
      <w:r>
        <w:t xml:space="preserve"> whether this requirement of a transfer hearing before a juvenile can </w:t>
      </w:r>
      <w:proofErr w:type="gramStart"/>
      <w:r>
        <w:t>be tr</w:t>
      </w:r>
      <w:r>
        <w:t>i</w:t>
      </w:r>
      <w:r>
        <w:t>ed</w:t>
      </w:r>
      <w:proofErr w:type="gramEnd"/>
      <w:r>
        <w:t xml:space="preserve"> as an adult applies to defendant even though he had already been charged in adult court before Propo</w:t>
      </w:r>
      <w:r>
        <w:t xml:space="preserve">sition 57 </w:t>
      </w:r>
      <w:r>
        <w:t>took effect</w:t>
      </w:r>
      <w:r>
        <w:t xml:space="preserve">.  The question has potentially major consequences for juveniles like defendant.  While a person convicted of serious crimes in adult court can </w:t>
      </w:r>
      <w:proofErr w:type="gramStart"/>
      <w:r>
        <w:t>be punished</w:t>
      </w:r>
      <w:proofErr w:type="gramEnd"/>
      <w:r>
        <w:t xml:space="preserve"> by a long prison sentence, juveniles are generally treated quite differently, w</w:t>
      </w:r>
      <w:r>
        <w:t>ith re</w:t>
      </w:r>
      <w:r>
        <w:t>habilitation</w:t>
      </w:r>
      <w:r>
        <w:t xml:space="preserve"> as</w:t>
      </w:r>
      <w:r>
        <w:t xml:space="preserve"> the goal.</w:t>
      </w:r>
    </w:p>
    <w:p w:rsidR="00927BFE" w:rsidRDefault="005A7AF0" w:rsidP="00927BFE">
      <w:pPr>
        <w:tabs>
          <w:tab w:val="left" w:pos="5760"/>
        </w:tabs>
        <w:spacing w:line="480" w:lineRule="atLeast"/>
        <w:ind w:firstLine="720"/>
      </w:pPr>
      <w:r>
        <w:t xml:space="preserve">The </w:t>
      </w:r>
      <w:r w:rsidRPr="006072FA">
        <w:rPr>
          <w:i/>
        </w:rPr>
        <w:t>Vela</w:t>
      </w:r>
      <w:r>
        <w:t xml:space="preserve"> court summarized</w:t>
      </w:r>
      <w:r>
        <w:t xml:space="preserve"> the </w:t>
      </w:r>
      <w:r>
        <w:t>procedures in the</w:t>
      </w:r>
      <w:r>
        <w:t xml:space="preserve"> juvenile court</w:t>
      </w:r>
      <w:r>
        <w:t xml:space="preserve"> system.  </w:t>
      </w:r>
      <w:r>
        <w:t xml:space="preserve">“Generally, any person under the age of 18 who is charged with violating a law is considered a ‘minor.’  (See § 602.)  A ‘juvenile court’ is a separate, civil division </w:t>
      </w:r>
      <w:r>
        <w:lastRenderedPageBreak/>
        <w:t>of the superior court.  (§ 246.)  A prosecutor charges a minor with an offense by filing</w:t>
      </w:r>
      <w:r>
        <w:t xml:space="preserve"> a juvenile petition, rather than a criminal complaint.  (See §§ 653.7, 655.)  Minors ‘admit’ or ‘deny’ an offense, rather than plead ‘guilty’ or ‘not guilty.’  (§ 702.3.)  There are no ‘trials,’ per se, in juvenile court, rather there is a ‘jurisdictional</w:t>
      </w:r>
      <w:r>
        <w:t xml:space="preserve"> hearing’ presided over by a juvenile court judge.  (§ 602.)  The jurisdictional hearing is equivalent to a ‘bench trial’ in a criminal court.  (See Cal. Rules of Court, rule 5.780.)  Although a juvenile court judge adjudicates alleged law violations, ther</w:t>
      </w:r>
      <w:r>
        <w:t xml:space="preserve">e are no ‘conviction[s]’ in juvenile court.  (§ 203.)  Rather, </w:t>
      </w:r>
      <w:r>
        <w:t>the juvenile court determines—</w:t>
      </w:r>
      <w:r>
        <w:t>under the familiar beyond the reasonable doubt standard and under</w:t>
      </w:r>
      <w:r>
        <w:t xml:space="preserve"> the ordinary rules of evidence</w:t>
      </w:r>
      <w:r>
        <w:t>—whether the allegations are ‘true’ and if the minor comes within i</w:t>
      </w:r>
      <w:r>
        <w:t>ts jurisdiction.  (See § 602 et seq.)</w:t>
      </w:r>
    </w:p>
    <w:p w:rsidR="00927BFE" w:rsidRDefault="005A7AF0" w:rsidP="00927BFE">
      <w:pPr>
        <w:tabs>
          <w:tab w:val="left" w:pos="5760"/>
        </w:tabs>
        <w:spacing w:line="480" w:lineRule="atLeast"/>
        <w:ind w:firstLine="720"/>
      </w:pPr>
      <w:r>
        <w:t>“There is no ‘sentence</w:t>
      </w:r>
      <w:r>
        <w:t>,</w:t>
      </w:r>
      <w:r>
        <w:t xml:space="preserve">’ per se, in juvenile court.  Rather, a judge can impose a wide variety of rehabilitation alternatives after conducting a ‘dispositional hearing,’ which is equivalent to a sentencing hearing in a criminal court.  (§ 725.5; </w:t>
      </w:r>
      <w:r w:rsidRPr="00F777CA">
        <w:rPr>
          <w:i/>
        </w:rPr>
        <w:t>In re Devin J.</w:t>
      </w:r>
      <w:r>
        <w:t xml:space="preserve"> (1984) 155 Cal.App</w:t>
      </w:r>
      <w:r>
        <w:t>.3d 1096, 1100</w:t>
      </w:r>
      <w:r>
        <w:t xml:space="preserve"> [202 </w:t>
      </w:r>
      <w:proofErr w:type="spellStart"/>
      <w:r>
        <w:t>Cal.Rptr</w:t>
      </w:r>
      <w:proofErr w:type="spellEnd"/>
      <w:proofErr w:type="gramStart"/>
      <w:r>
        <w:t xml:space="preserve">. </w:t>
      </w:r>
      <w:proofErr w:type="gramEnd"/>
      <w:r>
        <w:t>543]</w:t>
      </w:r>
      <w:r>
        <w:t xml:space="preserve">.)  In the more serious cases, a juvenile court can ‘commit’ a minor to juvenile hall or to the Division of Juvenile Justice (DJJ), formerly known as the California Youth Authority (CYA).  </w:t>
      </w:r>
      <w:proofErr w:type="gramStart"/>
      <w:r>
        <w:t>In order to</w:t>
      </w:r>
      <w:proofErr w:type="gramEnd"/>
      <w:r>
        <w:t xml:space="preserve"> commit a minor to the</w:t>
      </w:r>
      <w:r>
        <w:t xml:space="preserve"> DJJ, the record must show that less restrictive alternatives would be ineffective or inappropriate.  (</w:t>
      </w:r>
      <w:r w:rsidRPr="00A62FF9">
        <w:rPr>
          <w:i/>
        </w:rPr>
        <w:t xml:space="preserve">In re </w:t>
      </w:r>
      <w:proofErr w:type="spellStart"/>
      <w:r w:rsidRPr="00A62FF9">
        <w:rPr>
          <w:i/>
        </w:rPr>
        <w:t>Teofilio</w:t>
      </w:r>
      <w:proofErr w:type="spellEnd"/>
      <w:r w:rsidRPr="00A62FF9">
        <w:rPr>
          <w:i/>
        </w:rPr>
        <w:t xml:space="preserve"> A.</w:t>
      </w:r>
      <w:r>
        <w:t xml:space="preserve"> (1989) 210 Cal.App.3d 571, 576</w:t>
      </w:r>
      <w:r>
        <w:t xml:space="preserve"> [258 </w:t>
      </w:r>
      <w:proofErr w:type="spellStart"/>
      <w:r>
        <w:t>Cal.Rptr</w:t>
      </w:r>
      <w:proofErr w:type="spellEnd"/>
      <w:proofErr w:type="gramStart"/>
      <w:r>
        <w:t xml:space="preserve">. </w:t>
      </w:r>
      <w:proofErr w:type="gramEnd"/>
      <w:r>
        <w:t>540]</w:t>
      </w:r>
      <w:r>
        <w:t>.)  The DJJ, rather than the court, sets a parole consideration date.  DJJ commitment</w:t>
      </w:r>
      <w:r>
        <w:t xml:space="preserve">s can range from one year or less for </w:t>
      </w:r>
      <w:proofErr w:type="spellStart"/>
      <w:r>
        <w:t>nonserious</w:t>
      </w:r>
      <w:proofErr w:type="spellEnd"/>
      <w:r>
        <w:t xml:space="preserve"> offenses, and up to seven years for the most serious offenses, including murder.  (See Cal. Code </w:t>
      </w:r>
      <w:proofErr w:type="spellStart"/>
      <w:r>
        <w:t>Regs</w:t>
      </w:r>
      <w:proofErr w:type="spellEnd"/>
      <w:r>
        <w:t>., tit</w:t>
      </w:r>
      <w:proofErr w:type="gramStart"/>
      <w:r>
        <w:t xml:space="preserve">. </w:t>
      </w:r>
      <w:proofErr w:type="gramEnd"/>
      <w:r>
        <w:t xml:space="preserve">15, §§ 4951-4957.)  A minor committed to DJJ must generally </w:t>
      </w:r>
      <w:proofErr w:type="gramStart"/>
      <w:r>
        <w:t>be discharged</w:t>
      </w:r>
      <w:proofErr w:type="gramEnd"/>
      <w:r>
        <w:t xml:space="preserve"> no later than 23 years o</w:t>
      </w:r>
      <w:r>
        <w:t>f age.  (§ 607, subd</w:t>
      </w:r>
      <w:proofErr w:type="gramStart"/>
      <w:r>
        <w:t xml:space="preserve">. </w:t>
      </w:r>
      <w:proofErr w:type="gramEnd"/>
      <w:r>
        <w:t>(f).)”  (</w:t>
      </w:r>
      <w:r w:rsidRPr="00CB3CEB">
        <w:rPr>
          <w:i/>
        </w:rPr>
        <w:t>Vela</w:t>
      </w:r>
      <w:r>
        <w:t xml:space="preserve">, </w:t>
      </w:r>
      <w:r>
        <w:rPr>
          <w:i/>
        </w:rPr>
        <w:t>supra</w:t>
      </w:r>
      <w:r>
        <w:t>, 11 Cal.App.</w:t>
      </w:r>
      <w:r>
        <w:t>5th</w:t>
      </w:r>
      <w:r>
        <w:t xml:space="preserve"> at pp. 73-74, rev.gr.)</w:t>
      </w:r>
    </w:p>
    <w:p w:rsidR="00927BFE" w:rsidRDefault="005A7AF0" w:rsidP="00927BFE">
      <w:pPr>
        <w:tabs>
          <w:tab w:val="left" w:pos="5760"/>
        </w:tabs>
        <w:spacing w:line="480" w:lineRule="atLeast"/>
        <w:ind w:firstLine="720"/>
      </w:pPr>
      <w:r>
        <w:t xml:space="preserve">With this background in mind, we </w:t>
      </w:r>
      <w:r>
        <w:t xml:space="preserve">now consider whether defendant </w:t>
      </w:r>
      <w:r>
        <w:t>properly received</w:t>
      </w:r>
      <w:r>
        <w:t xml:space="preserve"> the benefit of Proposition 57.</w:t>
      </w:r>
    </w:p>
    <w:p w:rsidR="00927BFE" w:rsidRPr="00CB3CEB" w:rsidRDefault="005A7AF0" w:rsidP="00927BFE">
      <w:pPr>
        <w:pStyle w:val="Heading2"/>
      </w:pPr>
      <w:r>
        <w:lastRenderedPageBreak/>
        <w:t>B.  Whether Proposition 57 Applies to Defendant</w:t>
      </w:r>
    </w:p>
    <w:p w:rsidR="00927BFE" w:rsidRDefault="005A7AF0" w:rsidP="00927BFE">
      <w:pPr>
        <w:tabs>
          <w:tab w:val="left" w:pos="5760"/>
        </w:tabs>
        <w:spacing w:line="480" w:lineRule="atLeast"/>
        <w:ind w:firstLine="720"/>
      </w:pPr>
      <w:r w:rsidRPr="00487620">
        <w:t>“The Legislat</w:t>
      </w:r>
      <w:r w:rsidRPr="00487620">
        <w:t>ure ordinarily makes laws that will apply to events that will occur in the</w:t>
      </w:r>
      <w:r>
        <w:t xml:space="preserve"> future.  Accordingly, there is a presumption that laws apply prospectively rather than retroactively.  But this presumption against retroactivity is a canon of statutory interpretat</w:t>
      </w:r>
      <w:r>
        <w:t>ion rather than a constitutional mandate.  (</w:t>
      </w:r>
      <w:proofErr w:type="spellStart"/>
      <w:r w:rsidRPr="0037627C">
        <w:rPr>
          <w:i/>
        </w:rPr>
        <w:t>Evangelatos</w:t>
      </w:r>
      <w:proofErr w:type="spellEnd"/>
      <w:r w:rsidRPr="0037627C">
        <w:rPr>
          <w:i/>
        </w:rPr>
        <w:t xml:space="preserve"> v. Superior Court</w:t>
      </w:r>
      <w:r>
        <w:t xml:space="preserve"> (1988) 44 Cal.3d 1188, 1224</w:t>
      </w:r>
      <w:r>
        <w:t xml:space="preserve"> [246 </w:t>
      </w:r>
      <w:proofErr w:type="spellStart"/>
      <w:r>
        <w:t>Cal.Rptr</w:t>
      </w:r>
      <w:proofErr w:type="spellEnd"/>
      <w:proofErr w:type="gramStart"/>
      <w:r>
        <w:t xml:space="preserve">. </w:t>
      </w:r>
      <w:proofErr w:type="gramEnd"/>
      <w:r>
        <w:t>629, 753 P.2d 585]</w:t>
      </w:r>
      <w:r>
        <w:t xml:space="preserve">.)  Therefore, the Legislature can ordinarily enact laws that apply retroactively, either explicitly or by implication.  </w:t>
      </w:r>
      <w:r>
        <w:t>(</w:t>
      </w:r>
      <w:r w:rsidRPr="0037627C">
        <w:rPr>
          <w:i/>
        </w:rPr>
        <w:t>Tapia v. Superior Court</w:t>
      </w:r>
      <w:r>
        <w:t xml:space="preserve"> (1991) 53 Cal.3d 282, 311</w:t>
      </w:r>
      <w:r>
        <w:t xml:space="preserve"> [279 </w:t>
      </w:r>
      <w:proofErr w:type="spellStart"/>
      <w:r>
        <w:t>Cal.Rptr</w:t>
      </w:r>
      <w:proofErr w:type="spellEnd"/>
      <w:proofErr w:type="gramStart"/>
      <w:r>
        <w:t xml:space="preserve">. </w:t>
      </w:r>
      <w:proofErr w:type="gramEnd"/>
      <w:r>
        <w:t>592, 807 P.2d 434]</w:t>
      </w:r>
      <w:r>
        <w:t xml:space="preserve"> (dis. opn</w:t>
      </w:r>
      <w:proofErr w:type="gramStart"/>
      <w:r>
        <w:t xml:space="preserve">. </w:t>
      </w:r>
      <w:proofErr w:type="gramEnd"/>
      <w:r>
        <w:t xml:space="preserve">of Mosk, J.).)  </w:t>
      </w:r>
      <w:proofErr w:type="gramStart"/>
      <w:r>
        <w:t>In order to</w:t>
      </w:r>
      <w:proofErr w:type="gramEnd"/>
      <w:r>
        <w:t xml:space="preserve"> determine if a law is meant to apply retroactively, the role of a court is to determine the intent of the Legislature, or in the cas</w:t>
      </w:r>
      <w:r>
        <w:t>e of a ballot measure, the intent of the electorate.  (</w:t>
      </w:r>
      <w:r w:rsidRPr="0037627C">
        <w:rPr>
          <w:i/>
        </w:rPr>
        <w:t>People v. Conley</w:t>
      </w:r>
      <w:r>
        <w:t xml:space="preserve"> (2016) 63 Cal.</w:t>
      </w:r>
      <w:r>
        <w:t>4th</w:t>
      </w:r>
      <w:r>
        <w:t xml:space="preserve"> 646, 659</w:t>
      </w:r>
      <w:r>
        <w:t xml:space="preserve"> [203 Cal.Rptr.3d 622, 373 P.3d 435]</w:t>
      </w:r>
      <w:r>
        <w:t>.)”  (</w:t>
      </w:r>
      <w:r w:rsidRPr="0037627C">
        <w:rPr>
          <w:i/>
        </w:rPr>
        <w:t>Vela</w:t>
      </w:r>
      <w:r>
        <w:t xml:space="preserve">, </w:t>
      </w:r>
      <w:r>
        <w:rPr>
          <w:i/>
        </w:rPr>
        <w:t>supra</w:t>
      </w:r>
      <w:r>
        <w:t>, 11 Cal.App.</w:t>
      </w:r>
      <w:r>
        <w:t>5th</w:t>
      </w:r>
      <w:r>
        <w:t xml:space="preserve"> at pp. 72-73, rev.gr.)</w:t>
      </w:r>
    </w:p>
    <w:p w:rsidR="00927BFE" w:rsidRDefault="005A7AF0" w:rsidP="00927BFE">
      <w:pPr>
        <w:tabs>
          <w:tab w:val="left" w:pos="5760"/>
        </w:tabs>
        <w:spacing w:line="480" w:lineRule="atLeast"/>
        <w:ind w:firstLine="720"/>
      </w:pPr>
      <w:r>
        <w:t xml:space="preserve">In </w:t>
      </w:r>
      <w:r w:rsidRPr="0037627C">
        <w:rPr>
          <w:i/>
        </w:rPr>
        <w:t>Estrada</w:t>
      </w:r>
      <w:r>
        <w:t xml:space="preserve">, </w:t>
      </w:r>
      <w:r>
        <w:rPr>
          <w:i/>
        </w:rPr>
        <w:t>supra</w:t>
      </w:r>
      <w:r>
        <w:t>, 63 Cal.2d 740, we considered statutes that mit</w:t>
      </w:r>
      <w:r>
        <w:t>igated the punishment for the crime of escape without force or violence.  The statute</w:t>
      </w:r>
      <w:r>
        <w:t xml:space="preserve">s </w:t>
      </w:r>
      <w:proofErr w:type="gramStart"/>
      <w:r>
        <w:t>were</w:t>
      </w:r>
      <w:r>
        <w:t xml:space="preserve"> enacted</w:t>
      </w:r>
      <w:proofErr w:type="gramEnd"/>
      <w:r>
        <w:t xml:space="preserve"> after the petitioner committed the offense</w:t>
      </w:r>
      <w:r>
        <w:t xml:space="preserve"> but before he was sentenced</w:t>
      </w:r>
      <w:r>
        <w:t xml:space="preserve">.  We held </w:t>
      </w:r>
      <w:r>
        <w:t>that</w:t>
      </w:r>
      <w:r>
        <w:t xml:space="preserve"> the petitioner was “entitled to the ameliorating benefits” of the new </w:t>
      </w:r>
      <w:r>
        <w:t>statute</w:t>
      </w:r>
      <w:r>
        <w:t>s</w:t>
      </w:r>
      <w:r>
        <w:t>.  (</w:t>
      </w:r>
      <w:r>
        <w:rPr>
          <w:i/>
        </w:rPr>
        <w:t>Id</w:t>
      </w:r>
      <w:r>
        <w:t xml:space="preserve">. at p. 744.)  “When the Legislature amends a statute </w:t>
      </w:r>
      <w:proofErr w:type="gramStart"/>
      <w:r>
        <w:t>so as to</w:t>
      </w:r>
      <w:proofErr w:type="gramEnd"/>
      <w:r>
        <w:t xml:space="preserve"> lessen the punishment it has obviously</w:t>
      </w:r>
      <w:r>
        <w:t xml:space="preserve"> expressly</w:t>
      </w:r>
      <w:r>
        <w:t xml:space="preserve"> determined that its former penalty was too severe and that a lighter punishment is proper as punishment for the commission of the </w:t>
      </w:r>
      <w:r>
        <w:t>prohibited act.  It is an inevitable inference that the Legislature must have intended that the new statute imposing the new lighter penalty now deemed to be sufficient should apply to every case to which it constitutionally could apply.  The amendatory ac</w:t>
      </w:r>
      <w:r>
        <w:t>t imposing the lighter punishment can be applied constitutionally to acts committed before its passage provided the judgment convicting the defendant of the act is not final.”  (</w:t>
      </w:r>
      <w:r>
        <w:rPr>
          <w:i/>
        </w:rPr>
        <w:t>Id</w:t>
      </w:r>
      <w:r>
        <w:t>. at p. 745.)</w:t>
      </w:r>
    </w:p>
    <w:p w:rsidR="00927BFE" w:rsidRDefault="005A7AF0" w:rsidP="00927BFE">
      <w:pPr>
        <w:tabs>
          <w:tab w:val="left" w:pos="5760"/>
        </w:tabs>
        <w:spacing w:line="480" w:lineRule="atLeast"/>
        <w:ind w:firstLine="720"/>
      </w:pPr>
      <w:r>
        <w:lastRenderedPageBreak/>
        <w:t xml:space="preserve">In </w:t>
      </w:r>
      <w:r w:rsidRPr="006A3B2F">
        <w:rPr>
          <w:i/>
        </w:rPr>
        <w:t>Francis</w:t>
      </w:r>
      <w:r>
        <w:t xml:space="preserve">, </w:t>
      </w:r>
      <w:r>
        <w:rPr>
          <w:i/>
        </w:rPr>
        <w:t>supra</w:t>
      </w:r>
      <w:r>
        <w:t xml:space="preserve">, 71 Cal.2d 66, the Legislature modified the </w:t>
      </w:r>
      <w:r>
        <w:t xml:space="preserve">punishment for possession of marijuana, which had been a straight felony, to permit it to </w:t>
      </w:r>
      <w:proofErr w:type="gramStart"/>
      <w:r>
        <w:t>be treated</w:t>
      </w:r>
      <w:proofErr w:type="gramEnd"/>
      <w:r>
        <w:t xml:space="preserve"> as a misdemeanor.  Relying on </w:t>
      </w:r>
      <w:r w:rsidRPr="00365F4D">
        <w:rPr>
          <w:i/>
        </w:rPr>
        <w:t>Estrada</w:t>
      </w:r>
      <w:r>
        <w:t xml:space="preserve">, </w:t>
      </w:r>
      <w:r w:rsidRPr="0046618E">
        <w:rPr>
          <w:i/>
        </w:rPr>
        <w:t>supra</w:t>
      </w:r>
      <w:r>
        <w:t>, 63 Cal.2d 740, w</w:t>
      </w:r>
      <w:r w:rsidRPr="00365F4D">
        <w:t>e</w:t>
      </w:r>
      <w:r>
        <w:t xml:space="preserve"> held that this statutory change also applied retroactively to persons whose judgments were </w:t>
      </w:r>
      <w:r>
        <w:t xml:space="preserve">not yet final.  “Here, unlike </w:t>
      </w:r>
      <w:r w:rsidRPr="00365F4D">
        <w:rPr>
          <w:i/>
        </w:rPr>
        <w:t>Estrada</w:t>
      </w:r>
      <w:r>
        <w:t>, the amendment does not revoke one penalty and provide for a lesser one but rather vests in the trial court discretion to impose either the same penalty as under the former law or a lesser penalty.”  (</w:t>
      </w:r>
      <w:r>
        <w:rPr>
          <w:i/>
        </w:rPr>
        <w:t>Francis</w:t>
      </w:r>
      <w:r>
        <w:t>, at p. 76</w:t>
      </w:r>
      <w:r>
        <w:t xml:space="preserve">.)  Despite this difference, we found an inference </w:t>
      </w:r>
      <w:r>
        <w:t xml:space="preserve">that </w:t>
      </w:r>
      <w:r>
        <w:t xml:space="preserve">the Legislature intended retroactive application “because the Legislature has determined that the former penalty provisions may have been too severe in some cases and that the sentencing judge should </w:t>
      </w:r>
      <w:r>
        <w:t>be given wider latitude in tailoring the sentence to fit the particular circumstances.”  (</w:t>
      </w:r>
      <w:r w:rsidRPr="00365F4D">
        <w:rPr>
          <w:i/>
        </w:rPr>
        <w:t>Ibid</w:t>
      </w:r>
      <w:r>
        <w:t>.)</w:t>
      </w:r>
    </w:p>
    <w:p w:rsidR="00311A1B" w:rsidRDefault="005A7AF0" w:rsidP="00927BFE">
      <w:pPr>
        <w:tabs>
          <w:tab w:val="left" w:pos="5760"/>
        </w:tabs>
        <w:spacing w:line="480" w:lineRule="atLeast"/>
        <w:ind w:firstLine="720"/>
      </w:pPr>
      <w:r>
        <w:t xml:space="preserve">We recently summarized </w:t>
      </w:r>
      <w:r w:rsidRPr="00311A1B">
        <w:rPr>
          <w:i/>
        </w:rPr>
        <w:t>Estrada</w:t>
      </w:r>
      <w:r>
        <w:t>’s</w:t>
      </w:r>
      <w:r>
        <w:t xml:space="preserve"> meaning.  “The </w:t>
      </w:r>
      <w:r w:rsidRPr="00311A1B">
        <w:rPr>
          <w:i/>
        </w:rPr>
        <w:t>Estrada</w:t>
      </w:r>
      <w:r>
        <w:t xml:space="preserve"> rule rests on an inference that, in the absence of contrary indications, a legislative body ordinarily </w:t>
      </w:r>
      <w:r>
        <w:t>intends for ameliorative changes to the criminal law to extend as broadly as possible, distinguishing only as necessary between sentences that are final and sentences that are not.”  (</w:t>
      </w:r>
      <w:r>
        <w:rPr>
          <w:i/>
        </w:rPr>
        <w:t>People v. Conley</w:t>
      </w:r>
      <w:r w:rsidRPr="0046618E">
        <w:t>,</w:t>
      </w:r>
      <w:r>
        <w:rPr>
          <w:i/>
        </w:rPr>
        <w:t xml:space="preserve"> supra</w:t>
      </w:r>
      <w:r w:rsidRPr="0046618E">
        <w:t>,</w:t>
      </w:r>
      <w:r>
        <w:t xml:space="preserve"> </w:t>
      </w:r>
      <w:r>
        <w:t>63 Cal.</w:t>
      </w:r>
      <w:r>
        <w:t>4th</w:t>
      </w:r>
      <w:r>
        <w:t xml:space="preserve"> </w:t>
      </w:r>
      <w:r>
        <w:t>at p.</w:t>
      </w:r>
      <w:r>
        <w:t xml:space="preserve"> 657 (</w:t>
      </w:r>
      <w:r w:rsidRPr="00311A1B">
        <w:rPr>
          <w:i/>
        </w:rPr>
        <w:t>Conley</w:t>
      </w:r>
      <w:r>
        <w:t>)</w:t>
      </w:r>
      <w:r>
        <w:t xml:space="preserve">; see </w:t>
      </w:r>
      <w:r w:rsidRPr="00B47C24">
        <w:rPr>
          <w:i/>
        </w:rPr>
        <w:t>People v. Wr</w:t>
      </w:r>
      <w:r w:rsidRPr="00B47C24">
        <w:rPr>
          <w:i/>
        </w:rPr>
        <w:t>ight</w:t>
      </w:r>
      <w:r>
        <w:t xml:space="preserve"> (2006) 40 Cal.</w:t>
      </w:r>
      <w:r>
        <w:t>4th</w:t>
      </w:r>
      <w:r>
        <w:t xml:space="preserve"> 81, 94-95 [</w:t>
      </w:r>
      <w:r w:rsidRPr="00B47C24">
        <w:rPr>
          <w:i/>
        </w:rPr>
        <w:t>Estrada</w:t>
      </w:r>
      <w:r>
        <w:t>’s inference of retroactivity applies to a newly enacted defense].)</w:t>
      </w:r>
      <w:r>
        <w:rPr>
          <w:rStyle w:val="FootnoteReference"/>
        </w:rPr>
        <w:footnoteReference w:id="6"/>
      </w:r>
    </w:p>
    <w:p w:rsidR="00927BFE" w:rsidRDefault="005A7AF0" w:rsidP="00927BFE">
      <w:pPr>
        <w:tabs>
          <w:tab w:val="left" w:pos="5760"/>
        </w:tabs>
        <w:spacing w:line="480" w:lineRule="atLeast"/>
        <w:ind w:firstLine="720"/>
      </w:pPr>
      <w:r>
        <w:t>Prop</w:t>
      </w:r>
      <w:r>
        <w:t>osition 57’s effect is different</w:t>
      </w:r>
      <w:r>
        <w:t xml:space="preserve"> from the statutory changes in </w:t>
      </w:r>
      <w:r w:rsidRPr="00365F4D">
        <w:rPr>
          <w:i/>
        </w:rPr>
        <w:t>Estrada</w:t>
      </w:r>
      <w:r>
        <w:t xml:space="preserve">, </w:t>
      </w:r>
      <w:r>
        <w:rPr>
          <w:i/>
        </w:rPr>
        <w:t>supra</w:t>
      </w:r>
      <w:r>
        <w:t xml:space="preserve">, 63 Cal.2d 740, and </w:t>
      </w:r>
      <w:r w:rsidRPr="00365F4D">
        <w:rPr>
          <w:i/>
        </w:rPr>
        <w:t>Francis</w:t>
      </w:r>
      <w:r>
        <w:t xml:space="preserve">, </w:t>
      </w:r>
      <w:r>
        <w:rPr>
          <w:i/>
        </w:rPr>
        <w:t>supra</w:t>
      </w:r>
      <w:r>
        <w:t xml:space="preserve">, 71 Cal.2d 66.  Proposition 57 did not ameliorate the punishment, or possible punishment, for a </w:t>
      </w:r>
      <w:proofErr w:type="gramStart"/>
      <w:r>
        <w:t>particular crime</w:t>
      </w:r>
      <w:proofErr w:type="gramEnd"/>
      <w:r>
        <w:t xml:space="preserve">; rather, </w:t>
      </w:r>
      <w:r>
        <w:lastRenderedPageBreak/>
        <w:t xml:space="preserve">it ameliorated the possible punishment for a class of persons, </w:t>
      </w:r>
      <w:r>
        <w:t xml:space="preserve">namely </w:t>
      </w:r>
      <w:r>
        <w:t xml:space="preserve">juveniles.  But the same </w:t>
      </w:r>
      <w:r>
        <w:t>inference</w:t>
      </w:r>
      <w:r>
        <w:t xml:space="preserve"> of retroactivity should appl</w:t>
      </w:r>
      <w:r>
        <w:t>y.</w:t>
      </w:r>
    </w:p>
    <w:p w:rsidR="00927BFE" w:rsidRPr="00AE1B3A" w:rsidRDefault="005A7AF0" w:rsidP="00927BFE">
      <w:pPr>
        <w:tabs>
          <w:tab w:val="left" w:pos="5760"/>
        </w:tabs>
        <w:spacing w:line="480" w:lineRule="atLeast"/>
        <w:ind w:firstLine="720"/>
      </w:pPr>
      <w:r>
        <w:t xml:space="preserve">In </w:t>
      </w:r>
      <w:r w:rsidRPr="00AE1B3A">
        <w:rPr>
          <w:i/>
        </w:rPr>
        <w:t>Vela</w:t>
      </w:r>
      <w:r>
        <w:t xml:space="preserve">, </w:t>
      </w:r>
      <w:r>
        <w:rPr>
          <w:i/>
        </w:rPr>
        <w:t>supra</w:t>
      </w:r>
      <w:r>
        <w:t>, 11 Cal.App.</w:t>
      </w:r>
      <w:r>
        <w:t>5th</w:t>
      </w:r>
      <w:r>
        <w:t xml:space="preserve"> 68, </w:t>
      </w:r>
      <w:r>
        <w:t xml:space="preserve">review granted, </w:t>
      </w:r>
      <w:r>
        <w:t xml:space="preserve">the defendant </w:t>
      </w:r>
      <w:proofErr w:type="gramStart"/>
      <w:r>
        <w:t>was charged</w:t>
      </w:r>
      <w:proofErr w:type="gramEnd"/>
      <w:r>
        <w:t xml:space="preserve"> and tried as an adult for crimes, including murder, committed when he was 16 years old.  His case was pending on appeal when Proposition 57 </w:t>
      </w:r>
      <w:proofErr w:type="gramStart"/>
      <w:r>
        <w:t>was enacted</w:t>
      </w:r>
      <w:proofErr w:type="gramEnd"/>
      <w:r>
        <w:t>.  The court concluded th</w:t>
      </w:r>
      <w:r>
        <w:t xml:space="preserve">at </w:t>
      </w:r>
      <w:r w:rsidRPr="00AE1B3A">
        <w:rPr>
          <w:i/>
        </w:rPr>
        <w:t>Estrada</w:t>
      </w:r>
      <w:r>
        <w:t xml:space="preserve">’s rationale applied, and the defendant </w:t>
      </w:r>
      <w:proofErr w:type="gramStart"/>
      <w:r>
        <w:t>was entitled</w:t>
      </w:r>
      <w:proofErr w:type="gramEnd"/>
      <w:r>
        <w:t xml:space="preserve"> to a transfer hearing.</w:t>
      </w:r>
    </w:p>
    <w:p w:rsidR="00927BFE" w:rsidRDefault="005A7AF0" w:rsidP="00927BFE">
      <w:pPr>
        <w:tabs>
          <w:tab w:val="left" w:pos="5760"/>
        </w:tabs>
        <w:spacing w:line="480" w:lineRule="atLeast"/>
        <w:ind w:firstLine="720"/>
      </w:pPr>
      <w:r>
        <w:t>“Here, for a minor accused of a crime, it is a potential ‘ameliorating benefit’ to have a neutral judge, rather than a district attorney, determine that he or she is unfi</w:t>
      </w:r>
      <w:r>
        <w:t>t for rehabilitation within the juvenile justice system.  While a district attorney has an obligation to be objective and impartial, the duty of that position is also to act as a zealous advocate.  (</w:t>
      </w:r>
      <w:r w:rsidRPr="001E0EE7">
        <w:rPr>
          <w:i/>
        </w:rPr>
        <w:t>People v. Eubanks</w:t>
      </w:r>
      <w:r>
        <w:t xml:space="preserve"> (1996) 14 Cal.</w:t>
      </w:r>
      <w:r>
        <w:t>4th</w:t>
      </w:r>
      <w:r>
        <w:t xml:space="preserve"> 580, 590</w:t>
      </w:r>
      <w:r>
        <w:t xml:space="preserve"> [59 Cal.Rptr</w:t>
      </w:r>
      <w:r>
        <w:t>.2d 200, 927 P.2d 310]</w:t>
      </w:r>
      <w:r>
        <w:t xml:space="preserve">.)  And the impact of the decision to prosecute a minor in criminal court rather than juvenile court can spell the difference between a 16-year-old minor such as Vela </w:t>
      </w:r>
      <w:proofErr w:type="gramStart"/>
      <w:r>
        <w:t>being sentenced</w:t>
      </w:r>
      <w:proofErr w:type="gramEnd"/>
      <w:r>
        <w:t xml:space="preserve"> to prison for 72 years to life, or a discharge from</w:t>
      </w:r>
      <w:r>
        <w:t xml:space="preserve"> the DJJ’s custody at a maximum of 23 years of age.  After the passage of Proposition 57, a juvenile court judge can only make that irrevocable decision after receiving a probation report and after conducting a full hearing considering the minor’s prior hi</w:t>
      </w:r>
      <w:r>
        <w:t>story, the circumstances of the offense, and several other factors relating to his or her youth and immaturity.  (§ 707, subd</w:t>
      </w:r>
      <w:proofErr w:type="gramStart"/>
      <w:r>
        <w:t xml:space="preserve">. </w:t>
      </w:r>
      <w:proofErr w:type="gramEnd"/>
      <w:r>
        <w:t>(a).)</w:t>
      </w:r>
    </w:p>
    <w:p w:rsidR="00927BFE" w:rsidRDefault="005A7AF0" w:rsidP="00927BFE">
      <w:pPr>
        <w:tabs>
          <w:tab w:val="left" w:pos="5760"/>
        </w:tabs>
        <w:spacing w:line="480" w:lineRule="atLeast"/>
        <w:ind w:firstLine="720"/>
      </w:pPr>
      <w:r>
        <w:t xml:space="preserve">“Applying the reasoning of </w:t>
      </w:r>
      <w:r w:rsidRPr="00D26CD8">
        <w:rPr>
          <w:i/>
        </w:rPr>
        <w:t>Estrada</w:t>
      </w:r>
      <w:r>
        <w:t>, we find that by its approval of Proposition 57</w:t>
      </w:r>
      <w:proofErr w:type="gramStart"/>
      <w:r>
        <w:t>,</w:t>
      </w:r>
      <w:r>
        <w:t xml:space="preserve"> .</w:t>
      </w:r>
      <w:proofErr w:type="gramEnd"/>
      <w:r>
        <w:t> . . the electorate has ‘expressly det</w:t>
      </w:r>
      <w:r>
        <w:t>ermined’ that the former system of direct filing was ‘too severe.’  (</w:t>
      </w:r>
      <w:r w:rsidRPr="0023616B">
        <w:rPr>
          <w:i/>
        </w:rPr>
        <w:t>Estrada</w:t>
      </w:r>
      <w:r>
        <w:t xml:space="preserve">, </w:t>
      </w:r>
      <w:r>
        <w:rPr>
          <w:i/>
        </w:rPr>
        <w:t>supra</w:t>
      </w:r>
      <w:r>
        <w:t>, 63 Cal.2d at p. 745.)  Further, we find an ‘inevitable inference’ that the electorate ‘must have intended’ that the potential ‘ameliorating benefits’ of rehabilitation (ra</w:t>
      </w:r>
      <w:r>
        <w:t xml:space="preserve">ther than punishment), which now extend to every eligible minor, must now also ‘apply to every case to </w:t>
      </w:r>
      <w:r>
        <w:lastRenderedPageBreak/>
        <w:t>which it constitutionally could apply.’  (</w:t>
      </w:r>
      <w:r w:rsidRPr="0023616B">
        <w:rPr>
          <w:i/>
        </w:rPr>
        <w:t>Estrada</w:t>
      </w:r>
      <w:r>
        <w:t>, at pp. 744-745.)”  (</w:t>
      </w:r>
      <w:r w:rsidRPr="0023616B">
        <w:rPr>
          <w:i/>
        </w:rPr>
        <w:t>Vela</w:t>
      </w:r>
      <w:r>
        <w:t xml:space="preserve">, </w:t>
      </w:r>
      <w:r>
        <w:rPr>
          <w:i/>
        </w:rPr>
        <w:t>supra</w:t>
      </w:r>
      <w:r>
        <w:t>, 11 Cal.App.</w:t>
      </w:r>
      <w:r>
        <w:t>5th</w:t>
      </w:r>
      <w:r>
        <w:t xml:space="preserve"> at pp. 77-78, rev.gr.)</w:t>
      </w:r>
    </w:p>
    <w:p w:rsidR="00927BFE" w:rsidRDefault="005A7AF0" w:rsidP="00927BFE">
      <w:pPr>
        <w:tabs>
          <w:tab w:val="left" w:pos="5760"/>
        </w:tabs>
        <w:spacing w:line="480" w:lineRule="atLeast"/>
        <w:ind w:firstLine="720"/>
      </w:pPr>
      <w:r w:rsidRPr="003F24AB">
        <w:rPr>
          <w:i/>
        </w:rPr>
        <w:t>Vela</w:t>
      </w:r>
      <w:r>
        <w:t xml:space="preserve"> also cited </w:t>
      </w:r>
      <w:r w:rsidRPr="003F24AB">
        <w:rPr>
          <w:i/>
        </w:rPr>
        <w:t>Francis</w:t>
      </w:r>
      <w:r>
        <w:t xml:space="preserve">, </w:t>
      </w:r>
      <w:r>
        <w:rPr>
          <w:i/>
        </w:rPr>
        <w:t>supra</w:t>
      </w:r>
      <w:r>
        <w:t>,</w:t>
      </w:r>
      <w:r>
        <w:t xml:space="preserve"> 71 Cal.2d 66.  “Here, the electorate has taken away from prosecutors the discretion to directly file cases against minors in </w:t>
      </w:r>
      <w:r>
        <w:t xml:space="preserve">criminal courts.  </w:t>
      </w:r>
      <w:proofErr w:type="gramStart"/>
      <w:r>
        <w:t>As a result</w:t>
      </w:r>
      <w:proofErr w:type="gramEnd"/>
      <w:r>
        <w:t>—</w:t>
      </w:r>
      <w:r>
        <w:t xml:space="preserve">similar to the discretion of a judge to reduce a crime from a felony to a misdemeanor </w:t>
      </w:r>
      <w:r w:rsidRPr="003F24AB">
        <w:rPr>
          <w:i/>
        </w:rPr>
        <w:t>in some cases</w:t>
      </w:r>
      <w:r>
        <w:t>—</w:t>
      </w:r>
      <w:r>
        <w:t xml:space="preserve">a juvenile court judge can now exercise his or her discretion </w:t>
      </w:r>
      <w:r w:rsidRPr="003F24AB">
        <w:rPr>
          <w:i/>
        </w:rPr>
        <w:t>in some cases</w:t>
      </w:r>
      <w:r>
        <w:t xml:space="preserve"> and determine that a minor should remain in the juvenile justice system rather than face prosecution and sentencing in the criminal courts.  For those minors who remain in the juve</w:t>
      </w:r>
      <w:r>
        <w:t xml:space="preserve">nile court, with its primary emphasis on rehabilitation rather than punishment, the potential effect of that ‘ameliorating benefit’ is analogous to the potential reduction in a criminal defendant’s sentence as in </w:t>
      </w:r>
      <w:r w:rsidRPr="003F24AB">
        <w:rPr>
          <w:i/>
        </w:rPr>
        <w:t>Estrada</w:t>
      </w:r>
      <w:r>
        <w:t xml:space="preserve"> and </w:t>
      </w:r>
      <w:r w:rsidRPr="003F24AB">
        <w:rPr>
          <w:i/>
        </w:rPr>
        <w:t>Francis</w:t>
      </w:r>
      <w:r>
        <w:t>.”  (</w:t>
      </w:r>
      <w:r w:rsidRPr="003F24AB">
        <w:rPr>
          <w:i/>
        </w:rPr>
        <w:t>Vela</w:t>
      </w:r>
      <w:r>
        <w:t xml:space="preserve">, </w:t>
      </w:r>
      <w:r>
        <w:rPr>
          <w:i/>
        </w:rPr>
        <w:t>supra</w:t>
      </w:r>
      <w:r>
        <w:t>, 11 Cal</w:t>
      </w:r>
      <w:r>
        <w:t>.App.</w:t>
      </w:r>
      <w:r>
        <w:t>5th</w:t>
      </w:r>
      <w:r>
        <w:t xml:space="preserve"> at p. 80, rev.gr.)</w:t>
      </w:r>
    </w:p>
    <w:p w:rsidR="00927BFE" w:rsidRDefault="005A7AF0" w:rsidP="00927BFE">
      <w:pPr>
        <w:tabs>
          <w:tab w:val="left" w:pos="5760"/>
        </w:tabs>
        <w:spacing w:line="480" w:lineRule="atLeast"/>
        <w:ind w:firstLine="720"/>
      </w:pPr>
      <w:r>
        <w:t xml:space="preserve">We agree with </w:t>
      </w:r>
      <w:r w:rsidRPr="001E1E83">
        <w:rPr>
          <w:i/>
        </w:rPr>
        <w:t>Vela</w:t>
      </w:r>
      <w:r>
        <w:t xml:space="preserve"> that</w:t>
      </w:r>
      <w:r>
        <w:t xml:space="preserve"> </w:t>
      </w:r>
      <w:r w:rsidRPr="0004673B">
        <w:rPr>
          <w:i/>
        </w:rPr>
        <w:t>Estrada</w:t>
      </w:r>
      <w:r>
        <w:t>’s inference of retroact</w:t>
      </w:r>
      <w:r>
        <w:t>i</w:t>
      </w:r>
      <w:r>
        <w:t>vity</w:t>
      </w:r>
      <w:r>
        <w:t xml:space="preserve"> applies here.  Proposition 57 is</w:t>
      </w:r>
      <w:r>
        <w:t xml:space="preserve"> an “ameliorati</w:t>
      </w:r>
      <w:r>
        <w:t>ve</w:t>
      </w:r>
      <w:r>
        <w:t xml:space="preserve"> </w:t>
      </w:r>
      <w:proofErr w:type="gramStart"/>
      <w:r>
        <w:t>change[</w:t>
      </w:r>
      <w:proofErr w:type="gramEnd"/>
      <w:r>
        <w:t>] to the criminal law” that we infer the legislative body intended “to extend as broadly as possible.”  (</w:t>
      </w:r>
      <w:r w:rsidRPr="002E5E93">
        <w:rPr>
          <w:i/>
        </w:rPr>
        <w:t>Conley</w:t>
      </w:r>
      <w:r>
        <w:t xml:space="preserve">, </w:t>
      </w:r>
      <w:r>
        <w:rPr>
          <w:i/>
        </w:rPr>
        <w:t>supra</w:t>
      </w:r>
      <w:r>
        <w:t>, 63 Cal.</w:t>
      </w:r>
      <w:r>
        <w:t>4th</w:t>
      </w:r>
      <w:r>
        <w:t xml:space="preserve"> at p. 657.)  </w:t>
      </w:r>
      <w:r>
        <w:t>N</w:t>
      </w:r>
      <w:r>
        <w:t>othing in Proposition</w:t>
      </w:r>
      <w:r>
        <w:t xml:space="preserve"> 57</w:t>
      </w:r>
      <w:r>
        <w:t xml:space="preserve"> </w:t>
      </w:r>
      <w:r>
        <w:t xml:space="preserve">itself or the ballot materials </w:t>
      </w:r>
      <w:r>
        <w:t>rebut</w:t>
      </w:r>
      <w:r>
        <w:t>s</w:t>
      </w:r>
      <w:r>
        <w:t xml:space="preserve"> this </w:t>
      </w:r>
      <w:r>
        <w:t>inference</w:t>
      </w:r>
      <w:r>
        <w:t xml:space="preserve">.  The parties cite different materials to support the argument </w:t>
      </w:r>
      <w:r>
        <w:t xml:space="preserve">that </w:t>
      </w:r>
      <w:r>
        <w:t>the electorate either did or did not intend a retroactive application.</w:t>
      </w:r>
      <w:r>
        <w:t xml:space="preserve">  They are inconclusive.  Proposition 57 and the ballot materials are silent on the question.  But some hint</w:t>
      </w:r>
      <w:r>
        <w:t xml:space="preserve">s can </w:t>
      </w:r>
      <w:proofErr w:type="gramStart"/>
      <w:r>
        <w:t>be gleaned</w:t>
      </w:r>
      <w:proofErr w:type="gramEnd"/>
      <w:r>
        <w:t xml:space="preserve"> as to electoral</w:t>
      </w:r>
      <w:r>
        <w:t xml:space="preserve"> intent.  One stated purpose of the act is to “[s]top the revolving door of crime by emphasizing rehabilitation, esp</w:t>
      </w:r>
      <w:r>
        <w:t>ecially for juveniles.”  (Voter Information Guide, Gen. Elec. (Nov. 8, 2016) text of Prop</w:t>
      </w:r>
      <w:proofErr w:type="gramStart"/>
      <w:r>
        <w:t xml:space="preserve">. </w:t>
      </w:r>
      <w:proofErr w:type="gramEnd"/>
      <w:r>
        <w:t xml:space="preserve">57, p. 141.)  Proposition </w:t>
      </w:r>
      <w:r>
        <w:t xml:space="preserve">57 </w:t>
      </w:r>
      <w:r>
        <w:t>also provides that the “act shall be liberally construed to effectuate its purposes.”  (</w:t>
      </w:r>
      <w:r>
        <w:rPr>
          <w:i/>
        </w:rPr>
        <w:t>Id</w:t>
      </w:r>
      <w:r>
        <w:t xml:space="preserve">., p. 146.)  These provisions </w:t>
      </w:r>
      <w:r>
        <w:t>are not alone de</w:t>
      </w:r>
      <w:r>
        <w:t>cisive, but they</w:t>
      </w:r>
      <w:r>
        <w:t xml:space="preserve"> support the conclusion that </w:t>
      </w:r>
      <w:r w:rsidRPr="00F41465">
        <w:rPr>
          <w:i/>
        </w:rPr>
        <w:t>Estrada</w:t>
      </w:r>
      <w:r>
        <w:t xml:space="preserve">’s </w:t>
      </w:r>
      <w:r>
        <w:t xml:space="preserve">inference of </w:t>
      </w:r>
      <w:r>
        <w:t xml:space="preserve">retroactivity </w:t>
      </w:r>
      <w:proofErr w:type="gramStart"/>
      <w:r>
        <w:t>is not rebutted</w:t>
      </w:r>
      <w:proofErr w:type="gramEnd"/>
      <w:r>
        <w:t>.</w:t>
      </w:r>
    </w:p>
    <w:p w:rsidR="00927BFE" w:rsidRDefault="005A7AF0" w:rsidP="00927BFE">
      <w:pPr>
        <w:tabs>
          <w:tab w:val="left" w:pos="5760"/>
        </w:tabs>
        <w:spacing w:line="480" w:lineRule="atLeast"/>
        <w:ind w:firstLine="720"/>
      </w:pPr>
      <w:r>
        <w:lastRenderedPageBreak/>
        <w:t xml:space="preserve">After finding that the defendant </w:t>
      </w:r>
      <w:proofErr w:type="gramStart"/>
      <w:r>
        <w:t>was entitled</w:t>
      </w:r>
      <w:proofErr w:type="gramEnd"/>
      <w:r>
        <w:t xml:space="preserve"> to a transfer hearing, the </w:t>
      </w:r>
      <w:r w:rsidRPr="000859EB">
        <w:rPr>
          <w:i/>
        </w:rPr>
        <w:t>Vela</w:t>
      </w:r>
      <w:r>
        <w:t xml:space="preserve"> court considered the remedy.  It began by noting that the “jury’s convictions, </w:t>
      </w:r>
      <w:r>
        <w:t>as well as its true findings as to the sentencing enhancements, will remain in place.  Nothing is to be gained by having</w:t>
      </w:r>
      <w:r>
        <w:t xml:space="preserve"> a ‘jurisdictional hearing,’ or</w:t>
      </w:r>
      <w:r>
        <w:t xml:space="preserve"> effectively a second trial</w:t>
      </w:r>
      <w:r>
        <w:t>,</w:t>
      </w:r>
      <w:r>
        <w:t xml:space="preserve"> in the juvenile court.”  (</w:t>
      </w:r>
      <w:r w:rsidRPr="00EE1933">
        <w:rPr>
          <w:i/>
        </w:rPr>
        <w:t>Vela</w:t>
      </w:r>
      <w:r>
        <w:t xml:space="preserve">, </w:t>
      </w:r>
      <w:r>
        <w:rPr>
          <w:i/>
        </w:rPr>
        <w:t>supra</w:t>
      </w:r>
      <w:r>
        <w:t>, 11 Cal.App.</w:t>
      </w:r>
      <w:r>
        <w:t>5th</w:t>
      </w:r>
      <w:r>
        <w:t xml:space="preserve"> at p. 81, rev.gr.)  No</w:t>
      </w:r>
      <w:r>
        <w:t xml:space="preserve">ting that an </w:t>
      </w:r>
      <w:r>
        <w:t>“</w:t>
      </w:r>
      <w:r>
        <w:t xml:space="preserve">appellate court </w:t>
      </w:r>
      <w:r>
        <w:t>‘</w:t>
      </w:r>
      <w:r>
        <w:t xml:space="preserve">may, if proper, remand the cause to the trial court for such further proceedings as may </w:t>
      </w:r>
      <w:r>
        <w:t xml:space="preserve">be just under the </w:t>
      </w:r>
      <w:proofErr w:type="gramStart"/>
      <w:r>
        <w:t>circumstances</w:t>
      </w:r>
      <w:r>
        <w:t>[</w:t>
      </w:r>
      <w:proofErr w:type="gramEnd"/>
      <w:r>
        <w:t>]</w:t>
      </w:r>
      <w:r>
        <w:t>’</w:t>
      </w:r>
      <w:r>
        <w:t xml:space="preserve"> (Pen. Code, § 1260),</w:t>
      </w:r>
      <w:r>
        <w:t>”</w:t>
      </w:r>
      <w:r>
        <w:t xml:space="preserve"> the co</w:t>
      </w:r>
      <w:r>
        <w:t>urt ordered a limited remand.  (</w:t>
      </w:r>
      <w:r w:rsidRPr="002C7D6C">
        <w:rPr>
          <w:i/>
        </w:rPr>
        <w:t>Id</w:t>
      </w:r>
      <w:r>
        <w:t xml:space="preserve">. at p. </w:t>
      </w:r>
      <w:r>
        <w:t>81.)</w:t>
      </w:r>
    </w:p>
    <w:p w:rsidR="00927BFE" w:rsidRDefault="005A7AF0" w:rsidP="00AE64CD">
      <w:pPr>
        <w:tabs>
          <w:tab w:val="left" w:pos="5760"/>
        </w:tabs>
        <w:spacing w:line="480" w:lineRule="atLeast"/>
        <w:ind w:firstLine="720"/>
      </w:pPr>
      <w:r>
        <w:t xml:space="preserve">Specifically, the </w:t>
      </w:r>
      <w:r w:rsidRPr="00EE1933">
        <w:rPr>
          <w:i/>
        </w:rPr>
        <w:t>Vela</w:t>
      </w:r>
      <w:r>
        <w:t xml:space="preserve"> court ordered as follows</w:t>
      </w:r>
      <w:proofErr w:type="gramStart"/>
      <w:r>
        <w:t>:  “</w:t>
      </w:r>
      <w:proofErr w:type="gramEnd"/>
      <w:r>
        <w:t>Here, under the</w:t>
      </w:r>
      <w:r>
        <w:t>se</w:t>
      </w:r>
      <w:r>
        <w:t xml:space="preserve"> circumstances, Vela’s conviction and sentence are conditionally reversed and we order the juvenile court to conduct a juvenile transfer hearing.  (§ 707.)  When conducting the transfer hearing, the juvenile co</w:t>
      </w:r>
      <w:r>
        <w:t>urt shall, to the extent possible, treat the matter as though the prosecutor had originally filed a juvenile petition in juvenile court and had then moved to transfer Vela’s cause to a court of criminal jurisdiction.  (§ 707, subd</w:t>
      </w:r>
      <w:proofErr w:type="gramStart"/>
      <w:r>
        <w:t xml:space="preserve">. </w:t>
      </w:r>
      <w:proofErr w:type="gramEnd"/>
      <w:r>
        <w:t>(a)(1).)  If, after cond</w:t>
      </w:r>
      <w:r>
        <w:t xml:space="preserve">ucting the juvenile transfer hearing, the court determines that it would have transferred Vela to a court of criminal jurisdiction because he is ‘not a fit and proper subject to </w:t>
      </w:r>
      <w:proofErr w:type="gramStart"/>
      <w:r>
        <w:t>be dealt</w:t>
      </w:r>
      <w:proofErr w:type="gramEnd"/>
      <w:r>
        <w:t xml:space="preserve"> with under the juvenile court law,’ then Vela’s convictions and sente</w:t>
      </w:r>
      <w:r>
        <w:t>nce are to be reinstated.  (§ 707.1, subd</w:t>
      </w:r>
      <w:proofErr w:type="gramStart"/>
      <w:r>
        <w:t xml:space="preserve">. </w:t>
      </w:r>
      <w:proofErr w:type="gramEnd"/>
      <w:r>
        <w:t xml:space="preserve">(a).)  On the other hand, if the juvenile court finds that it would </w:t>
      </w:r>
      <w:r w:rsidRPr="00C74966">
        <w:rPr>
          <w:i/>
        </w:rPr>
        <w:t>not</w:t>
      </w:r>
      <w:r>
        <w:t xml:space="preserve"> have transferred Vela to a court of criminal jurisdiction, then it shall treat Vela’s convictions as juvenile adjudications and impose an app</w:t>
      </w:r>
      <w:r>
        <w:t>ropriate ‘disposition’ within its discretion.”  (</w:t>
      </w:r>
      <w:r w:rsidRPr="00C74966">
        <w:rPr>
          <w:i/>
        </w:rPr>
        <w:t>Vela</w:t>
      </w:r>
      <w:r>
        <w:t xml:space="preserve">, </w:t>
      </w:r>
      <w:r>
        <w:rPr>
          <w:i/>
        </w:rPr>
        <w:t>supra</w:t>
      </w:r>
      <w:r>
        <w:t>, 11 Cal.App.</w:t>
      </w:r>
      <w:r>
        <w:t>5th</w:t>
      </w:r>
      <w:r>
        <w:t xml:space="preserve"> at p. 82, rev.gr.)</w:t>
      </w:r>
    </w:p>
    <w:p w:rsidR="00927BFE" w:rsidRDefault="005A7AF0" w:rsidP="00927BFE">
      <w:pPr>
        <w:tabs>
          <w:tab w:val="left" w:pos="5760"/>
        </w:tabs>
        <w:spacing w:line="480" w:lineRule="atLeast"/>
        <w:ind w:firstLine="720"/>
      </w:pPr>
      <w:r>
        <w:t xml:space="preserve">With one exception, other Courts of Appeal, including the Court of Appeal in this case, have rejected </w:t>
      </w:r>
      <w:r w:rsidRPr="0089155C">
        <w:rPr>
          <w:i/>
        </w:rPr>
        <w:t>Estrada</w:t>
      </w:r>
      <w:r>
        <w:t>’s application, although two, including the Court o</w:t>
      </w:r>
      <w:r>
        <w:t xml:space="preserve">f Appeal in this case, have granted the same relief under the theory that the defendant </w:t>
      </w:r>
      <w:proofErr w:type="gramStart"/>
      <w:r>
        <w:t>is entitled</w:t>
      </w:r>
      <w:proofErr w:type="gramEnd"/>
      <w:r>
        <w:t xml:space="preserve"> to a transfer hearing even applying Proposition 57 prospectively.  (</w:t>
      </w:r>
      <w:r w:rsidRPr="00661153">
        <w:rPr>
          <w:i/>
        </w:rPr>
        <w:t>People v. Suarez</w:t>
      </w:r>
      <w:r>
        <w:t xml:space="preserve"> (</w:t>
      </w:r>
      <w:r>
        <w:t>2017</w:t>
      </w:r>
      <w:r>
        <w:t xml:space="preserve">) </w:t>
      </w:r>
      <w:r>
        <w:t xml:space="preserve">17 </w:t>
      </w:r>
      <w:r>
        <w:t>Cal.App.</w:t>
      </w:r>
      <w:r>
        <w:t>5th</w:t>
      </w:r>
      <w:r>
        <w:t xml:space="preserve"> </w:t>
      </w:r>
      <w:r>
        <w:t>1272</w:t>
      </w:r>
      <w:r>
        <w:t xml:space="preserve"> [holding, over a </w:t>
      </w:r>
      <w:r>
        <w:lastRenderedPageBreak/>
        <w:t xml:space="preserve">dissent, that </w:t>
      </w:r>
      <w:r w:rsidRPr="00AE58CC">
        <w:rPr>
          <w:i/>
        </w:rPr>
        <w:t>Estrada</w:t>
      </w:r>
      <w:r>
        <w:t xml:space="preserve"> does </w:t>
      </w:r>
      <w:r>
        <w:t xml:space="preserve">not apply, and the defendant is not entitled to a transfer hearing]; </w:t>
      </w:r>
      <w:r w:rsidRPr="00661153">
        <w:rPr>
          <w:i/>
        </w:rPr>
        <w:t>People v. Brewer</w:t>
      </w:r>
      <w:r>
        <w:t xml:space="preserve"> (</w:t>
      </w:r>
      <w:r>
        <w:t>2017</w:t>
      </w:r>
      <w:r>
        <w:t xml:space="preserve">) </w:t>
      </w:r>
      <w:r>
        <w:t>17</w:t>
      </w:r>
      <w:r>
        <w:t xml:space="preserve"> Cal.App.</w:t>
      </w:r>
      <w:r>
        <w:t>5th</w:t>
      </w:r>
      <w:r>
        <w:t xml:space="preserve"> </w:t>
      </w:r>
      <w:r>
        <w:t xml:space="preserve">471 </w:t>
      </w:r>
      <w:r>
        <w:t xml:space="preserve">[holding, over a dissent, that </w:t>
      </w:r>
      <w:r w:rsidRPr="00AE58CC">
        <w:rPr>
          <w:i/>
        </w:rPr>
        <w:t>Estrada</w:t>
      </w:r>
      <w:r>
        <w:t xml:space="preserve"> does not apply, and the defendant is not entitled to a transfer hearing]; </w:t>
      </w:r>
      <w:r w:rsidRPr="00661153">
        <w:rPr>
          <w:i/>
        </w:rPr>
        <w:t>People v. Navarra</w:t>
      </w:r>
      <w:r>
        <w:t xml:space="preserve"> (2017) 16 Cal</w:t>
      </w:r>
      <w:r>
        <w:t>.App.</w:t>
      </w:r>
      <w:r>
        <w:t>5th</w:t>
      </w:r>
      <w:r>
        <w:t xml:space="preserve"> 17</w:t>
      </w:r>
      <w:r>
        <w:t>3</w:t>
      </w:r>
      <w:r>
        <w:t xml:space="preserve"> [holding that </w:t>
      </w:r>
      <w:r w:rsidRPr="00AE58CC">
        <w:rPr>
          <w:i/>
        </w:rPr>
        <w:t>Estrada</w:t>
      </w:r>
      <w:r>
        <w:t xml:space="preserve"> does not apply, and the defendant is not entitled to a transfer hearing]</w:t>
      </w:r>
      <w:r>
        <w:t>, rev</w:t>
      </w:r>
      <w:r>
        <w:t>iew granted</w:t>
      </w:r>
      <w:r>
        <w:t xml:space="preserve"> </w:t>
      </w:r>
      <w:r>
        <w:t>January</w:t>
      </w:r>
      <w:r>
        <w:t xml:space="preserve"> 24, 2018, S245513</w:t>
      </w:r>
      <w:r>
        <w:t>;</w:t>
      </w:r>
      <w:r>
        <w:t xml:space="preserve"> </w:t>
      </w:r>
      <w:r w:rsidRPr="000859EB">
        <w:rPr>
          <w:i/>
        </w:rPr>
        <w:t>People v. Superior Court (Walker)</w:t>
      </w:r>
      <w:r>
        <w:t xml:space="preserve"> (2017) 12 Cal.App.</w:t>
      </w:r>
      <w:r>
        <w:t>5th</w:t>
      </w:r>
      <w:r>
        <w:t xml:space="preserve"> 687 [</w:t>
      </w:r>
      <w:r>
        <w:t xml:space="preserve">holding that </w:t>
      </w:r>
      <w:r w:rsidRPr="00AE58CC">
        <w:rPr>
          <w:i/>
        </w:rPr>
        <w:t>Estrada</w:t>
      </w:r>
      <w:r>
        <w:t xml:space="preserve"> does not apply, and the</w:t>
      </w:r>
      <w:r>
        <w:t xml:space="preserve"> defendant is not entitled to a transfer hearing], </w:t>
      </w:r>
      <w:r>
        <w:t>rev</w:t>
      </w:r>
      <w:r>
        <w:t>iew granted September</w:t>
      </w:r>
      <w:r>
        <w:t xml:space="preserve"> 13, 2</w:t>
      </w:r>
      <w:r>
        <w:t xml:space="preserve">017, S243072; </w:t>
      </w:r>
      <w:r w:rsidRPr="000859EB">
        <w:rPr>
          <w:i/>
        </w:rPr>
        <w:t>People v. Marquez</w:t>
      </w:r>
      <w:r>
        <w:t xml:space="preserve"> (2017) 11 Cal.App.</w:t>
      </w:r>
      <w:r>
        <w:t>5th</w:t>
      </w:r>
      <w:r>
        <w:t xml:space="preserve"> 816 [</w:t>
      </w:r>
      <w:r>
        <w:t xml:space="preserve">holding that </w:t>
      </w:r>
      <w:r w:rsidRPr="00AE58CC">
        <w:rPr>
          <w:i/>
        </w:rPr>
        <w:t>Estrada</w:t>
      </w:r>
      <w:r>
        <w:t xml:space="preserve"> does not apply, and the defendant is not entitled to a transfer hearing], </w:t>
      </w:r>
      <w:r>
        <w:t>review granted</w:t>
      </w:r>
      <w:r>
        <w:t xml:space="preserve"> July 26, 2017, S242660; </w:t>
      </w:r>
      <w:r w:rsidRPr="000859EB">
        <w:rPr>
          <w:i/>
        </w:rPr>
        <w:t>People v. Mendoza</w:t>
      </w:r>
      <w:r>
        <w:t xml:space="preserve"> (2017) 10 Cal.App.</w:t>
      </w:r>
      <w:r>
        <w:t>5th</w:t>
      </w:r>
      <w:r>
        <w:t xml:space="preserve"> 327 [</w:t>
      </w:r>
      <w:r>
        <w:t xml:space="preserve">holding that </w:t>
      </w:r>
      <w:r w:rsidRPr="00AE58CC">
        <w:rPr>
          <w:i/>
        </w:rPr>
        <w:t>Estrada</w:t>
      </w:r>
      <w:r>
        <w:t xml:space="preserve"> does not apply, and the defendant is not entitled to a transfer hearing], </w:t>
      </w:r>
      <w:r>
        <w:t xml:space="preserve">review granted </w:t>
      </w:r>
      <w:r>
        <w:t xml:space="preserve">July 12, 2017, S241647; </w:t>
      </w:r>
      <w:r w:rsidRPr="000859EB">
        <w:rPr>
          <w:i/>
        </w:rPr>
        <w:t xml:space="preserve">People v. </w:t>
      </w:r>
      <w:r>
        <w:rPr>
          <w:i/>
        </w:rPr>
        <w:t>Cervantes</w:t>
      </w:r>
      <w:r>
        <w:t xml:space="preserve"> (2017) 9 Cal.App.</w:t>
      </w:r>
      <w:r>
        <w:t>5th</w:t>
      </w:r>
      <w:r>
        <w:t xml:space="preserve"> </w:t>
      </w:r>
      <w:r>
        <w:t>569</w:t>
      </w:r>
      <w:r>
        <w:t xml:space="preserve"> [</w:t>
      </w:r>
      <w:r>
        <w:t>holdin</w:t>
      </w:r>
      <w:r>
        <w:t xml:space="preserve">g that </w:t>
      </w:r>
      <w:r w:rsidRPr="00AE58CC">
        <w:rPr>
          <w:i/>
        </w:rPr>
        <w:t>Estrada</w:t>
      </w:r>
      <w:r>
        <w:t xml:space="preserve"> does not apply but, applying Proposition 57 prospectively, the defendant is entitled to a transfer hearing], </w:t>
      </w:r>
      <w:r>
        <w:t>review granted</w:t>
      </w:r>
      <w:r>
        <w:t xml:space="preserve"> May 17, 2017, S241</w:t>
      </w:r>
      <w:r>
        <w:t>323</w:t>
      </w:r>
      <w:r>
        <w:t xml:space="preserve">.)  The exception is </w:t>
      </w:r>
      <w:r w:rsidRPr="0004673B">
        <w:rPr>
          <w:i/>
        </w:rPr>
        <w:t>People v. Pineda</w:t>
      </w:r>
      <w:r>
        <w:t xml:space="preserve"> (2017) 14 Cal.App.</w:t>
      </w:r>
      <w:r>
        <w:t>5th</w:t>
      </w:r>
      <w:r>
        <w:t xml:space="preserve"> 469, review granted December 13, 201</w:t>
      </w:r>
      <w:r>
        <w:t>7, S244451</w:t>
      </w:r>
      <w:r>
        <w:t xml:space="preserve">, which, over a dissent, agreed with </w:t>
      </w:r>
      <w:r w:rsidRPr="0089155C">
        <w:rPr>
          <w:i/>
        </w:rPr>
        <w:t>Vela</w:t>
      </w:r>
      <w:r>
        <w:t xml:space="preserve">, </w:t>
      </w:r>
      <w:r>
        <w:rPr>
          <w:i/>
        </w:rPr>
        <w:t>supra</w:t>
      </w:r>
      <w:r>
        <w:t>, 11 Cal.App.</w:t>
      </w:r>
      <w:r>
        <w:t>5th</w:t>
      </w:r>
      <w:r>
        <w:t xml:space="preserve"> 6</w:t>
      </w:r>
      <w:r>
        <w:t>8, review granted.</w:t>
      </w:r>
    </w:p>
    <w:p w:rsidR="00927BFE" w:rsidRDefault="005A7AF0" w:rsidP="00927BFE">
      <w:pPr>
        <w:tabs>
          <w:tab w:val="left" w:pos="5760"/>
        </w:tabs>
        <w:spacing w:line="480" w:lineRule="atLeast"/>
        <w:ind w:firstLine="720"/>
      </w:pPr>
      <w:r>
        <w:t xml:space="preserve">The </w:t>
      </w:r>
      <w:r>
        <w:t>courts</w:t>
      </w:r>
      <w:r>
        <w:t xml:space="preserve"> finding </w:t>
      </w:r>
      <w:r w:rsidRPr="001F6A10">
        <w:rPr>
          <w:i/>
        </w:rPr>
        <w:t>Estrada</w:t>
      </w:r>
      <w:r>
        <w:t xml:space="preserve"> inapplicable generally believed that a recent decision from this court precluded them from concluding otherwise.  (</w:t>
      </w:r>
      <w:r w:rsidRPr="00935098">
        <w:rPr>
          <w:i/>
        </w:rPr>
        <w:t>People v. Brown</w:t>
      </w:r>
      <w:r>
        <w:t xml:space="preserve">, </w:t>
      </w:r>
      <w:r>
        <w:rPr>
          <w:i/>
        </w:rPr>
        <w:t>su</w:t>
      </w:r>
      <w:r>
        <w:rPr>
          <w:i/>
        </w:rPr>
        <w:t>pra</w:t>
      </w:r>
      <w:r>
        <w:t xml:space="preserve">, </w:t>
      </w:r>
      <w:r>
        <w:t>54 Cal.</w:t>
      </w:r>
      <w:r>
        <w:t>4th</w:t>
      </w:r>
      <w:r>
        <w:t xml:space="preserve"> 314 (</w:t>
      </w:r>
      <w:r w:rsidRPr="00935098">
        <w:rPr>
          <w:i/>
        </w:rPr>
        <w:t>Brown</w:t>
      </w:r>
      <w:r>
        <w:t xml:space="preserve">).)  In </w:t>
      </w:r>
      <w:r w:rsidRPr="000D3F16">
        <w:rPr>
          <w:i/>
        </w:rPr>
        <w:t>Brown</w:t>
      </w:r>
      <w:r>
        <w:t>, we refused to give retroactive effect to a statute that temporarily increased the rate at which prisoners in local c</w:t>
      </w:r>
      <w:r>
        <w:t>ustody could earn conduct</w:t>
      </w:r>
      <w:r>
        <w:t xml:space="preserve"> credit</w:t>
      </w:r>
      <w:r>
        <w:t>s</w:t>
      </w:r>
      <w:r>
        <w:t xml:space="preserve"> against their sentences for good behavior.  As we explained, “[c]</w:t>
      </w:r>
      <w:proofErr w:type="spellStart"/>
      <w:r>
        <w:t>onduct</w:t>
      </w:r>
      <w:proofErr w:type="spellEnd"/>
      <w:r>
        <w:t xml:space="preserve"> credits encourage prisoners to conform to prison regulations, to refrain from criminal and assaultive conduct, and to participate in work and other rehabilitative activities.”  (</w:t>
      </w:r>
      <w:r>
        <w:rPr>
          <w:i/>
        </w:rPr>
        <w:t>Id</w:t>
      </w:r>
      <w:r>
        <w:t>. a</w:t>
      </w:r>
      <w:r>
        <w:t xml:space="preserve">t p. 317.)  We rejected the argument that, under </w:t>
      </w:r>
      <w:r w:rsidRPr="000F6AF1">
        <w:rPr>
          <w:i/>
        </w:rPr>
        <w:t>Estrada</w:t>
      </w:r>
      <w:r>
        <w:t xml:space="preserve">, the temporary increase in the ability to earn conduct credits </w:t>
      </w:r>
      <w:r>
        <w:lastRenderedPageBreak/>
        <w:t>applied retroactively.  We explained that the statutory change did “not alter the penalty for any crime; a prisoner who earns no conduct</w:t>
      </w:r>
      <w:r>
        <w:t xml:space="preserve"> credits serves the full sentence originally imposed.  Instead of addressing punishment for past criminal conduct, the statute addresses </w:t>
      </w:r>
      <w:r w:rsidRPr="00E75ADF">
        <w:rPr>
          <w:i/>
        </w:rPr>
        <w:t>future conduct</w:t>
      </w:r>
      <w:r>
        <w:t xml:space="preserve"> in a custodial setting by providing increased incentives for good behavior.”  (</w:t>
      </w:r>
      <w:r>
        <w:rPr>
          <w:i/>
        </w:rPr>
        <w:t>Id</w:t>
      </w:r>
      <w:r>
        <w:t>. at p. 325.)</w:t>
      </w:r>
    </w:p>
    <w:p w:rsidR="00927BFE" w:rsidRDefault="005A7AF0" w:rsidP="00927BFE">
      <w:pPr>
        <w:tabs>
          <w:tab w:val="left" w:pos="5760"/>
        </w:tabs>
        <w:spacing w:line="480" w:lineRule="atLeast"/>
        <w:ind w:firstLine="720"/>
      </w:pPr>
      <w:r>
        <w:t xml:space="preserve">We agree </w:t>
      </w:r>
      <w:r>
        <w:t xml:space="preserve">with the </w:t>
      </w:r>
      <w:r w:rsidRPr="00E75ADF">
        <w:rPr>
          <w:i/>
        </w:rPr>
        <w:t>Vela</w:t>
      </w:r>
      <w:r>
        <w:t xml:space="preserve"> court’s distinction of </w:t>
      </w:r>
      <w:r w:rsidRPr="00E75ADF">
        <w:rPr>
          <w:i/>
        </w:rPr>
        <w:t>Brown</w:t>
      </w:r>
      <w:r>
        <w:t xml:space="preserve">, </w:t>
      </w:r>
      <w:r>
        <w:rPr>
          <w:i/>
        </w:rPr>
        <w:t>supra</w:t>
      </w:r>
      <w:r>
        <w:t>, 54 Cal.</w:t>
      </w:r>
      <w:r>
        <w:t>4th</w:t>
      </w:r>
      <w:r>
        <w:t xml:space="preserve"> 314.  “But under Proposition 57, a transfer hearing conducted by a juvenile court judge does not address future conduct or provide incentives for good behavior as in </w:t>
      </w:r>
      <w:r w:rsidRPr="009C16DC">
        <w:rPr>
          <w:i/>
        </w:rPr>
        <w:t>Brown</w:t>
      </w:r>
      <w:r>
        <w:t>.  Rather, the potentia</w:t>
      </w:r>
      <w:r>
        <w:t xml:space="preserve">l benefit of a juvenile transfer hearing is that it may, in fact, dramatically alter a minor’s effective sentence or ‘juvenile disposition’ for past criminal conduct.  Thus, just as the Supreme Court reasoned in </w:t>
      </w:r>
      <w:r w:rsidRPr="009C16DC">
        <w:rPr>
          <w:i/>
        </w:rPr>
        <w:t>Estrada</w:t>
      </w:r>
      <w:r>
        <w:t xml:space="preserve"> and </w:t>
      </w:r>
      <w:r w:rsidRPr="009C16DC">
        <w:rPr>
          <w:i/>
        </w:rPr>
        <w:t>Francis</w:t>
      </w:r>
      <w:r>
        <w:t>, we infer that the elect</w:t>
      </w:r>
      <w:r>
        <w:t>orate intended the possible ameliorating benefits of Proposition 57 to apply to every minor to whom it may constitutionally apply, including Vela.”  (</w:t>
      </w:r>
      <w:r w:rsidRPr="009C16DC">
        <w:rPr>
          <w:i/>
        </w:rPr>
        <w:t>Vela</w:t>
      </w:r>
      <w:r>
        <w:t xml:space="preserve">, </w:t>
      </w:r>
      <w:r>
        <w:rPr>
          <w:i/>
        </w:rPr>
        <w:t>supra</w:t>
      </w:r>
      <w:r>
        <w:t>, 11 Cal.App.</w:t>
      </w:r>
      <w:r>
        <w:t>5th</w:t>
      </w:r>
      <w:r>
        <w:t xml:space="preserve"> at p. 81, rev.gr.)</w:t>
      </w:r>
    </w:p>
    <w:p w:rsidR="00927BFE" w:rsidRDefault="005A7AF0" w:rsidP="00927BFE">
      <w:pPr>
        <w:tabs>
          <w:tab w:val="left" w:pos="5760"/>
        </w:tabs>
        <w:spacing w:line="480" w:lineRule="atLeast"/>
        <w:ind w:firstLine="720"/>
      </w:pPr>
      <w:r>
        <w:t>In</w:t>
      </w:r>
      <w:r>
        <w:t xml:space="preserve"> </w:t>
      </w:r>
      <w:proofErr w:type="gramStart"/>
      <w:r>
        <w:t>language</w:t>
      </w:r>
      <w:proofErr w:type="gramEnd"/>
      <w:r>
        <w:t xml:space="preserve"> the People and</w:t>
      </w:r>
      <w:r>
        <w:t xml:space="preserve"> some of the Courts of Appeal cit</w:t>
      </w:r>
      <w:r>
        <w:t xml:space="preserve">e, we “note[d] the limited role </w:t>
      </w:r>
      <w:r w:rsidRPr="000F6AF1">
        <w:rPr>
          <w:i/>
        </w:rPr>
        <w:t>Estrada</w:t>
      </w:r>
      <w:r>
        <w:t xml:space="preserve"> properly plays in our jurisprudence of prospective versus retrospective operation.”  (</w:t>
      </w:r>
      <w:r w:rsidRPr="000F6AF1">
        <w:rPr>
          <w:i/>
        </w:rPr>
        <w:t>Brown</w:t>
      </w:r>
      <w:r>
        <w:t xml:space="preserve">, </w:t>
      </w:r>
      <w:r>
        <w:rPr>
          <w:i/>
        </w:rPr>
        <w:t>supra</w:t>
      </w:r>
      <w:r>
        <w:t>, 54 Cal.</w:t>
      </w:r>
      <w:r>
        <w:t>4th</w:t>
      </w:r>
      <w:r>
        <w:t xml:space="preserve"> at p. 324.)  We said that “</w:t>
      </w:r>
      <w:r w:rsidRPr="000F6AF1">
        <w:rPr>
          <w:i/>
        </w:rPr>
        <w:t>Estrada</w:t>
      </w:r>
      <w:r>
        <w:t xml:space="preserve"> is today properly understood, not as weakening or modifying the defaul</w:t>
      </w:r>
      <w:r>
        <w:t>t rule of prospective operation codified in [Penal Code] section 3, but rather as informing the rule’s application in a specific context by articulating the reasonable presumption that a legislative act mitigating the punishment for a particular criminal o</w:t>
      </w:r>
      <w:r>
        <w:t>ffense is intended to apply to all nonfinal judgments.”  (</w:t>
      </w:r>
      <w:r w:rsidRPr="00CC4B7A">
        <w:rPr>
          <w:i/>
        </w:rPr>
        <w:t>Ibid</w:t>
      </w:r>
      <w:r>
        <w:t xml:space="preserve">.)  However, we did not mean to state, and could not have held as binding precedent, that under no other circumstances, no matter how </w:t>
      </w:r>
      <w:proofErr w:type="gramStart"/>
      <w:r>
        <w:t>similar to</w:t>
      </w:r>
      <w:proofErr w:type="gramEnd"/>
      <w:r>
        <w:t xml:space="preserve"> </w:t>
      </w:r>
      <w:r w:rsidRPr="00217C4F">
        <w:rPr>
          <w:i/>
        </w:rPr>
        <w:t>Estrada</w:t>
      </w:r>
      <w:r>
        <w:t>,</w:t>
      </w:r>
      <w:r>
        <w:t xml:space="preserve"> and how different from </w:t>
      </w:r>
      <w:r w:rsidRPr="009E06D6">
        <w:rPr>
          <w:i/>
        </w:rPr>
        <w:t>Brown</w:t>
      </w:r>
      <w:r>
        <w:t>,</w:t>
      </w:r>
      <w:r>
        <w:t xml:space="preserve"> could</w:t>
      </w:r>
      <w:r>
        <w:t xml:space="preserve"> </w:t>
      </w:r>
      <w:r w:rsidRPr="00CC4B7A">
        <w:rPr>
          <w:i/>
        </w:rPr>
        <w:t>Estr</w:t>
      </w:r>
      <w:r w:rsidRPr="00CC4B7A">
        <w:rPr>
          <w:i/>
        </w:rPr>
        <w:t>ada</w:t>
      </w:r>
      <w:r>
        <w:t>’s</w:t>
      </w:r>
      <w:r>
        <w:t xml:space="preserve"> </w:t>
      </w:r>
      <w:r>
        <w:t>inference</w:t>
      </w:r>
      <w:r>
        <w:t xml:space="preserve"> in favor of retroactivity apply.</w:t>
      </w:r>
    </w:p>
    <w:p w:rsidR="00927BFE" w:rsidRDefault="005A7AF0" w:rsidP="00927BFE">
      <w:pPr>
        <w:tabs>
          <w:tab w:val="left" w:pos="5760"/>
        </w:tabs>
        <w:spacing w:line="480" w:lineRule="atLeast"/>
        <w:ind w:firstLine="720"/>
      </w:pPr>
      <w:r>
        <w:t xml:space="preserve">Indeed, in </w:t>
      </w:r>
      <w:r w:rsidRPr="00CC4B7A">
        <w:rPr>
          <w:i/>
        </w:rPr>
        <w:t>Brown</w:t>
      </w:r>
      <w:r>
        <w:t xml:space="preserve"> itself</w:t>
      </w:r>
      <w:r>
        <w:t xml:space="preserve">, we went on to explain that the statute at issue—involving credits for future behavior—is not “analogous” to the </w:t>
      </w:r>
      <w:r w:rsidRPr="00CC4B7A">
        <w:rPr>
          <w:i/>
        </w:rPr>
        <w:t>Estrada</w:t>
      </w:r>
      <w:r>
        <w:t xml:space="preserve"> situation, </w:t>
      </w:r>
      <w:r>
        <w:lastRenderedPageBreak/>
        <w:t xml:space="preserve">and </w:t>
      </w:r>
      <w:r w:rsidRPr="00CC4B7A">
        <w:rPr>
          <w:i/>
        </w:rPr>
        <w:t>Estrada</w:t>
      </w:r>
      <w:r>
        <w:t>’s “logic” does not apply.  (</w:t>
      </w:r>
      <w:r w:rsidRPr="00CC4B7A">
        <w:rPr>
          <w:i/>
        </w:rPr>
        <w:t>Brown</w:t>
      </w:r>
      <w:r>
        <w:t xml:space="preserve">, </w:t>
      </w:r>
      <w:r>
        <w:rPr>
          <w:i/>
        </w:rPr>
        <w:t>supra</w:t>
      </w:r>
      <w:r>
        <w:t>, 54 Cal.</w:t>
      </w:r>
      <w:r>
        <w:t>4th</w:t>
      </w:r>
      <w:r>
        <w:t xml:space="preserve"> at p. 325.)  Here, however, the provisions of Proposition 57 at issue </w:t>
      </w:r>
      <w:r w:rsidRPr="00CC4B7A">
        <w:rPr>
          <w:i/>
        </w:rPr>
        <w:t>are</w:t>
      </w:r>
      <w:r>
        <w:t xml:space="preserve"> analogous to the </w:t>
      </w:r>
      <w:r w:rsidRPr="00CC4B7A">
        <w:rPr>
          <w:i/>
        </w:rPr>
        <w:t>Estrada</w:t>
      </w:r>
      <w:r>
        <w:t xml:space="preserve"> situation, and </w:t>
      </w:r>
      <w:r w:rsidRPr="00CC4B7A">
        <w:rPr>
          <w:i/>
        </w:rPr>
        <w:t>Estrada</w:t>
      </w:r>
      <w:r>
        <w:t xml:space="preserve">’s logic </w:t>
      </w:r>
      <w:r w:rsidRPr="00CC4B7A">
        <w:rPr>
          <w:i/>
        </w:rPr>
        <w:t>does</w:t>
      </w:r>
      <w:r>
        <w:t xml:space="preserve"> apply.  </w:t>
      </w:r>
      <w:r w:rsidRPr="00217C4F">
        <w:rPr>
          <w:i/>
        </w:rPr>
        <w:t>Brown</w:t>
      </w:r>
      <w:r>
        <w:t xml:space="preserve"> presents no impediment to invoking </w:t>
      </w:r>
      <w:r w:rsidRPr="00217C4F">
        <w:rPr>
          <w:i/>
        </w:rPr>
        <w:t>Estrada</w:t>
      </w:r>
      <w:r>
        <w:t xml:space="preserve">’s </w:t>
      </w:r>
      <w:r>
        <w:t>inference</w:t>
      </w:r>
      <w:r>
        <w:t xml:space="preserve"> in this case.</w:t>
      </w:r>
    </w:p>
    <w:p w:rsidR="00561878" w:rsidRDefault="005A7AF0" w:rsidP="00561878">
      <w:pPr>
        <w:tabs>
          <w:tab w:val="left" w:pos="5760"/>
        </w:tabs>
        <w:spacing w:line="480" w:lineRule="atLeast"/>
        <w:ind w:firstLine="720"/>
      </w:pPr>
      <w:r>
        <w:t xml:space="preserve">The People also </w:t>
      </w:r>
      <w:r>
        <w:t>cite</w:t>
      </w:r>
      <w:r>
        <w:t xml:space="preserve"> </w:t>
      </w:r>
      <w:r w:rsidRPr="002E5E93">
        <w:rPr>
          <w:i/>
        </w:rPr>
        <w:t>Conley</w:t>
      </w:r>
      <w:r>
        <w:t xml:space="preserve">, </w:t>
      </w:r>
      <w:r>
        <w:rPr>
          <w:i/>
        </w:rPr>
        <w:t>supra</w:t>
      </w:r>
      <w:r>
        <w:t>, 63 Cal.</w:t>
      </w:r>
      <w:r>
        <w:t>4th</w:t>
      </w:r>
      <w:r>
        <w:t xml:space="preserve"> 646.  In that case, we considered</w:t>
      </w:r>
      <w:r>
        <w:t xml:space="preserve"> the “Three Strikes Reform Act of 2012 (Reform Act or Act) (Prop</w:t>
      </w:r>
      <w:proofErr w:type="gramStart"/>
      <w:r>
        <w:t xml:space="preserve">. </w:t>
      </w:r>
      <w:proofErr w:type="gramEnd"/>
      <w:r>
        <w:t>36, as approved by voters, Gen. Elec. (Nov. 6, 2012</w:t>
      </w:r>
      <w:r>
        <w:t>)), which amended the law to reduce the punishment prescribed for certain third</w:t>
      </w:r>
      <w:r>
        <w:t xml:space="preserve"> strike defendants.”</w:t>
      </w:r>
      <w:r>
        <w:t xml:space="preserve">  (</w:t>
      </w:r>
      <w:r>
        <w:rPr>
          <w:i/>
        </w:rPr>
        <w:t>Id</w:t>
      </w:r>
      <w:r>
        <w:t xml:space="preserve">. at p. 651.)  We found </w:t>
      </w:r>
      <w:r w:rsidRPr="00561878">
        <w:rPr>
          <w:i/>
        </w:rPr>
        <w:t>Estrada</w:t>
      </w:r>
      <w:r>
        <w:t xml:space="preserve">’s </w:t>
      </w:r>
      <w:r>
        <w:t>inference of retroactivity</w:t>
      </w:r>
      <w:r>
        <w:t xml:space="preserve"> inapplicable.  But that was because the legislation contained </w:t>
      </w:r>
      <w:r w:rsidRPr="00D12A6B">
        <w:rPr>
          <w:i/>
        </w:rPr>
        <w:t>its own retroactivity provision</w:t>
      </w:r>
      <w:r>
        <w:t>.  It permitted persons sentenced under the Three Strikes law, including thos</w:t>
      </w:r>
      <w:r>
        <w:t>e whose jud</w:t>
      </w:r>
      <w:r>
        <w:t>g</w:t>
      </w:r>
      <w:r>
        <w:t xml:space="preserve">ments were final, to </w:t>
      </w:r>
      <w:r>
        <w:t>seek resentencing</w:t>
      </w:r>
      <w:r>
        <w:t xml:space="preserve"> and a reduced sentence</w:t>
      </w:r>
      <w:r>
        <w:t>, but subject to</w:t>
      </w:r>
      <w:r>
        <w:t xml:space="preserve"> certain conditions.  (</w:t>
      </w:r>
      <w:r>
        <w:rPr>
          <w:i/>
        </w:rPr>
        <w:t>Id</w:t>
      </w:r>
      <w:r>
        <w:t>. at pp. 651-652</w:t>
      </w:r>
      <w:r>
        <w:t>, citing Pen</w:t>
      </w:r>
      <w:proofErr w:type="gramStart"/>
      <w:r>
        <w:t xml:space="preserve">. </w:t>
      </w:r>
      <w:proofErr w:type="gramEnd"/>
      <w:r>
        <w:t>Code, § 1170.126</w:t>
      </w:r>
      <w:r>
        <w:t>.)  Accordingly, we held that persons already sentenced, including those whose judgments were no</w:t>
      </w:r>
      <w:r>
        <w:t xml:space="preserve">t final, were not “entitled to </w:t>
      </w:r>
      <w:r w:rsidRPr="00561878">
        <w:rPr>
          <w:i/>
        </w:rPr>
        <w:t>automatic</w:t>
      </w:r>
      <w:r>
        <w:t xml:space="preserve"> resentencing” without regard to the conditions.  (</w:t>
      </w:r>
      <w:r>
        <w:rPr>
          <w:i/>
        </w:rPr>
        <w:t>Id</w:t>
      </w:r>
      <w:r>
        <w:t>. at pp. 655-656.)</w:t>
      </w:r>
    </w:p>
    <w:p w:rsidR="00561878" w:rsidRPr="000F2F00" w:rsidRDefault="005A7AF0" w:rsidP="00561878">
      <w:pPr>
        <w:tabs>
          <w:tab w:val="left" w:pos="5760"/>
        </w:tabs>
        <w:spacing w:line="480" w:lineRule="atLeast"/>
        <w:ind w:firstLine="720"/>
      </w:pPr>
      <w:r>
        <w:t>We explained that “</w:t>
      </w:r>
      <w:r>
        <w:t>the Legislature (or here, the electorate) may choose to modify, limit, or entirely forbid the retroactive application of amel</w:t>
      </w:r>
      <w:r>
        <w:t>iorative criminal law amendments if it so chooses.</w:t>
      </w:r>
      <w:r>
        <w:t>”  (</w:t>
      </w:r>
      <w:r w:rsidRPr="00D12A6B">
        <w:rPr>
          <w:i/>
        </w:rPr>
        <w:t>Conley</w:t>
      </w:r>
      <w:r>
        <w:t xml:space="preserve">, </w:t>
      </w:r>
      <w:r>
        <w:rPr>
          <w:i/>
        </w:rPr>
        <w:t>supra</w:t>
      </w:r>
      <w:r>
        <w:t>, 63 Cal.</w:t>
      </w:r>
      <w:r>
        <w:t>4th</w:t>
      </w:r>
      <w:r>
        <w:t xml:space="preserve"> at p. 656.)</w:t>
      </w:r>
      <w:r>
        <w:t xml:space="preserve">  </w:t>
      </w:r>
      <w:r w:rsidRPr="005508FD">
        <w:rPr>
          <w:i/>
        </w:rPr>
        <w:t>Estrada</w:t>
      </w:r>
      <w:r>
        <w:t xml:space="preserve"> “</w:t>
      </w:r>
      <w:r>
        <w:t>does not govern when the stat</w:t>
      </w:r>
      <w:r>
        <w:t>ute at issue includes a ‘saving</w:t>
      </w:r>
      <w:r>
        <w:t xml:space="preserve"> clause’ </w:t>
      </w:r>
      <w:proofErr w:type="gramStart"/>
      <w:r>
        <w:t>providing that</w:t>
      </w:r>
      <w:proofErr w:type="gramEnd"/>
      <w:r>
        <w:t xml:space="preserve"> the amendment should be applied only prospectively.”</w:t>
      </w:r>
      <w:r>
        <w:t xml:space="preserve">  (</w:t>
      </w:r>
      <w:r w:rsidRPr="005508FD">
        <w:rPr>
          <w:i/>
        </w:rPr>
        <w:t>Conley</w:t>
      </w:r>
      <w:r>
        <w:t xml:space="preserve">, at p. </w:t>
      </w:r>
      <w:r>
        <w:t>656.)</w:t>
      </w:r>
      <w:r>
        <w:t xml:space="preserve">  “[U]</w:t>
      </w:r>
      <w:proofErr w:type="spellStart"/>
      <w:r>
        <w:t>nlike</w:t>
      </w:r>
      <w:proofErr w:type="spellEnd"/>
      <w:r>
        <w:t xml:space="preserve"> the statute at issue in </w:t>
      </w:r>
      <w:r w:rsidRPr="00D12A6B">
        <w:rPr>
          <w:i/>
        </w:rPr>
        <w:t>Estrada</w:t>
      </w:r>
      <w:r>
        <w:t xml:space="preserve">, </w:t>
      </w:r>
      <w:r>
        <w:rPr>
          <w:i/>
        </w:rPr>
        <w:t>supra</w:t>
      </w:r>
      <w:r>
        <w:t xml:space="preserve">, </w:t>
      </w:r>
      <w:r>
        <w:t>63</w:t>
      </w:r>
      <w:r>
        <w:t xml:space="preserve"> Cal.2d 740</w:t>
      </w:r>
      <w:r>
        <w:t>,</w:t>
      </w:r>
      <w:r>
        <w:t xml:space="preserve"> the Reform Act is not silent on the question of retroactivity.  Rather, the Act expressly addresses the question in [Penal Code] section 1170.126, the sole purpose of which is to exten</w:t>
      </w:r>
      <w:r>
        <w:t>d the benefits of the Act retroactively</w:t>
      </w:r>
      <w:r>
        <w:t>.”  (</w:t>
      </w:r>
      <w:r>
        <w:rPr>
          <w:i/>
        </w:rPr>
        <w:t>Id</w:t>
      </w:r>
      <w:r>
        <w:t xml:space="preserve">. at p. 657.)  “[T]he voters adopted a different approach [than that in </w:t>
      </w:r>
      <w:r w:rsidRPr="000F2F00">
        <w:rPr>
          <w:i/>
        </w:rPr>
        <w:t>Estrada</w:t>
      </w:r>
      <w:r>
        <w:t>].  They took the extraordinary step of extending the</w:t>
      </w:r>
      <w:r>
        <w:t xml:space="preserve"> retroactive</w:t>
      </w:r>
      <w:r>
        <w:t xml:space="preserve"> benefits of the Act beyond the bounds contemplated by </w:t>
      </w:r>
      <w:r w:rsidRPr="000F2F00">
        <w:rPr>
          <w:i/>
        </w:rPr>
        <w:lastRenderedPageBreak/>
        <w:t>Estrada</w:t>
      </w:r>
      <w:r>
        <w:t>—</w:t>
      </w:r>
      <w:r>
        <w:t>inc</w:t>
      </w:r>
      <w:r>
        <w:t xml:space="preserve">luding even prisoners serving </w:t>
      </w:r>
      <w:r w:rsidRPr="000F2F00">
        <w:rPr>
          <w:i/>
        </w:rPr>
        <w:t>final</w:t>
      </w:r>
      <w:r>
        <w:t xml:space="preserve"> sentences within the Act’s ameliorative reach—but subject to a special procedural mechanism for the recall of sentences already imposed.”  (</w:t>
      </w:r>
      <w:r>
        <w:rPr>
          <w:i/>
        </w:rPr>
        <w:t>Id</w:t>
      </w:r>
      <w:r>
        <w:t xml:space="preserve">. at pp. 657-658.)  </w:t>
      </w:r>
      <w:r>
        <w:t>In short, b</w:t>
      </w:r>
      <w:r>
        <w:t>ecause the legislation contained its own retroa</w:t>
      </w:r>
      <w:r>
        <w:t xml:space="preserve">ctivity provision, we did not apply </w:t>
      </w:r>
      <w:r w:rsidRPr="000F2F00">
        <w:rPr>
          <w:i/>
        </w:rPr>
        <w:t>Estrada</w:t>
      </w:r>
      <w:r>
        <w:t xml:space="preserve">’s different kind of retroactivity.  </w:t>
      </w:r>
      <w:r>
        <w:t xml:space="preserve">In this respect, </w:t>
      </w:r>
      <w:r>
        <w:t>Proposition 57 is like</w:t>
      </w:r>
      <w:r>
        <w:t xml:space="preserve"> the legislation in</w:t>
      </w:r>
      <w:r>
        <w:t xml:space="preserve"> </w:t>
      </w:r>
      <w:r w:rsidRPr="000F2F00">
        <w:rPr>
          <w:i/>
        </w:rPr>
        <w:t>Estrada</w:t>
      </w:r>
      <w:r>
        <w:t xml:space="preserve">, not </w:t>
      </w:r>
      <w:r w:rsidRPr="000F2F00">
        <w:rPr>
          <w:i/>
        </w:rPr>
        <w:t>Conley</w:t>
      </w:r>
      <w:r>
        <w:t>.</w:t>
      </w:r>
    </w:p>
    <w:p w:rsidR="008B26CD" w:rsidRDefault="005A7AF0" w:rsidP="0092564B">
      <w:pPr>
        <w:tabs>
          <w:tab w:val="left" w:pos="1440"/>
        </w:tabs>
        <w:spacing w:line="480" w:lineRule="atLeast"/>
        <w:ind w:firstLine="720"/>
      </w:pPr>
      <w:r>
        <w:t xml:space="preserve">One Court of Appeal cited the complexity inherent in providing a transfer hearing to juveniles </w:t>
      </w:r>
      <w:r>
        <w:t>whose cases are already pending in adult court as another reason to deny such a hearing.  (</w:t>
      </w:r>
      <w:r w:rsidRPr="00217C4F">
        <w:rPr>
          <w:i/>
        </w:rPr>
        <w:t>People v. Superior Court (Walker)</w:t>
      </w:r>
      <w:r>
        <w:t xml:space="preserve">, </w:t>
      </w:r>
      <w:r>
        <w:rPr>
          <w:i/>
        </w:rPr>
        <w:t>supra</w:t>
      </w:r>
      <w:r>
        <w:t>, 12 Cal.App.</w:t>
      </w:r>
      <w:r>
        <w:t>5th</w:t>
      </w:r>
      <w:r>
        <w:t xml:space="preserve"> at pp. 704-705 &amp; fn. 20</w:t>
      </w:r>
      <w:r>
        <w:t>, rev.gr.</w:t>
      </w:r>
      <w:r>
        <w:t>)</w:t>
      </w:r>
      <w:r>
        <w:t xml:space="preserve">  The People echo that argument in this case. </w:t>
      </w:r>
      <w:r>
        <w:t xml:space="preserve"> </w:t>
      </w:r>
      <w:r>
        <w:t>As examples of the complexit</w:t>
      </w:r>
      <w:r>
        <w:t xml:space="preserve">y, </w:t>
      </w:r>
      <w:r>
        <w:t xml:space="preserve">the </w:t>
      </w:r>
      <w:r w:rsidRPr="008B26CD">
        <w:rPr>
          <w:i/>
        </w:rPr>
        <w:t>Walker</w:t>
      </w:r>
      <w:r>
        <w:t xml:space="preserve"> court cited the remed</w:t>
      </w:r>
      <w:r>
        <w:t>y</w:t>
      </w:r>
      <w:r>
        <w:t xml:space="preserve"> provided in </w:t>
      </w:r>
      <w:r w:rsidRPr="00217C4F">
        <w:rPr>
          <w:i/>
        </w:rPr>
        <w:t>Vela</w:t>
      </w:r>
      <w:r>
        <w:t xml:space="preserve">, </w:t>
      </w:r>
      <w:r>
        <w:rPr>
          <w:i/>
        </w:rPr>
        <w:t>supra</w:t>
      </w:r>
      <w:r>
        <w:t>, 11 Cal.App.</w:t>
      </w:r>
      <w:r>
        <w:t>5th</w:t>
      </w:r>
      <w:r>
        <w:t xml:space="preserve"> 68, review granted</w:t>
      </w:r>
      <w:r>
        <w:t>,</w:t>
      </w:r>
      <w:r>
        <w:t xml:space="preserve"> which we have discussed,</w:t>
      </w:r>
      <w:r>
        <w:t xml:space="preserve"> and</w:t>
      </w:r>
      <w:r>
        <w:t xml:space="preserve"> in</w:t>
      </w:r>
      <w:r>
        <w:t xml:space="preserve"> </w:t>
      </w:r>
      <w:r w:rsidRPr="008B26CD">
        <w:rPr>
          <w:i/>
        </w:rPr>
        <w:t>People v. Cervantes</w:t>
      </w:r>
      <w:r>
        <w:t xml:space="preserve">, </w:t>
      </w:r>
      <w:r>
        <w:rPr>
          <w:i/>
        </w:rPr>
        <w:t>supra</w:t>
      </w:r>
      <w:r>
        <w:t xml:space="preserve">, </w:t>
      </w:r>
      <w:r>
        <w:t>9 Cal.App.</w:t>
      </w:r>
      <w:r>
        <w:t>5th</w:t>
      </w:r>
      <w:r>
        <w:t xml:space="preserve"> </w:t>
      </w:r>
      <w:r>
        <w:t>at page 621</w:t>
      </w:r>
      <w:r>
        <w:t>, review granted</w:t>
      </w:r>
      <w:r>
        <w:t xml:space="preserve">, which was </w:t>
      </w:r>
      <w:proofErr w:type="gramStart"/>
      <w:r>
        <w:t>similar to</w:t>
      </w:r>
      <w:proofErr w:type="gramEnd"/>
      <w:r>
        <w:t xml:space="preserve"> the </w:t>
      </w:r>
      <w:r w:rsidRPr="00EF5A11">
        <w:rPr>
          <w:i/>
        </w:rPr>
        <w:t>Vela</w:t>
      </w:r>
      <w:r>
        <w:t xml:space="preserve"> remedy as adapted to the precise situation.</w:t>
      </w:r>
    </w:p>
    <w:p w:rsidR="00927BFE" w:rsidRDefault="005A7AF0" w:rsidP="0092564B">
      <w:pPr>
        <w:tabs>
          <w:tab w:val="left" w:pos="1440"/>
        </w:tabs>
        <w:spacing w:line="480" w:lineRule="atLeast"/>
        <w:ind w:firstLine="720"/>
      </w:pPr>
      <w:r>
        <w:t xml:space="preserve">We agree the appropriate remedy </w:t>
      </w:r>
      <w:r>
        <w:t>can be</w:t>
      </w:r>
      <w:r>
        <w:t xml:space="preserve"> somewhat complex.</w:t>
      </w:r>
      <w:r>
        <w:t xml:space="preserve">  But complexity is inherent when juveniles are to </w:t>
      </w:r>
      <w:proofErr w:type="gramStart"/>
      <w:r>
        <w:t>be treated</w:t>
      </w:r>
      <w:proofErr w:type="gramEnd"/>
      <w:r>
        <w:t xml:space="preserve"> as adults.  Th</w:t>
      </w:r>
      <w:r>
        <w:t>e procedure Proposition 57 imposes—filing the matter first in juvenile court, r</w:t>
      </w:r>
      <w:r>
        <w:t>equesting and conducting a transfer hearing, then transferring the matter to adult court—is far more complex than the procedure for adults</w:t>
      </w:r>
      <w:r>
        <w:t>—</w:t>
      </w:r>
      <w:r>
        <w:t>simply fil</w:t>
      </w:r>
      <w:r>
        <w:t>ing</w:t>
      </w:r>
      <w:r>
        <w:t xml:space="preserve"> the case in adult court.</w:t>
      </w:r>
      <w:r>
        <w:t xml:space="preserve">  Moreover, the remedy</w:t>
      </w:r>
      <w:r>
        <w:t xml:space="preserve"> that</w:t>
      </w:r>
      <w:r>
        <w:t xml:space="preserve"> Penal Code section 1170.17 provides </w:t>
      </w:r>
      <w:r>
        <w:t>for</w:t>
      </w:r>
      <w:r>
        <w:t xml:space="preserve"> juveniles c</w:t>
      </w:r>
      <w:r>
        <w:t>harged directly in adult court bu</w:t>
      </w:r>
      <w:r>
        <w:t>t convict</w:t>
      </w:r>
      <w:r>
        <w:t>ed only of some lesser charge—</w:t>
      </w:r>
      <w:r>
        <w:t>discussed in the next paragraph—</w:t>
      </w:r>
      <w:r>
        <w:t>is rather complex.</w:t>
      </w:r>
      <w:r>
        <w:t xml:space="preserve">  But we believe </w:t>
      </w:r>
      <w:r>
        <w:t xml:space="preserve">remedies </w:t>
      </w:r>
      <w:r>
        <w:t xml:space="preserve">like those </w:t>
      </w:r>
      <w:r>
        <w:t xml:space="preserve">provided in </w:t>
      </w:r>
      <w:r w:rsidRPr="00A563B4">
        <w:rPr>
          <w:i/>
        </w:rPr>
        <w:t>Vela</w:t>
      </w:r>
      <w:r>
        <w:t xml:space="preserve"> and </w:t>
      </w:r>
      <w:r w:rsidRPr="004155EC">
        <w:rPr>
          <w:i/>
        </w:rPr>
        <w:t>Cervantes</w:t>
      </w:r>
      <w:r>
        <w:t xml:space="preserve"> are readily understandable, and the courts involved can implement </w:t>
      </w:r>
      <w:r>
        <w:t>them without undue difficulty.  The</w:t>
      </w:r>
      <w:r>
        <w:t xml:space="preserve"> potential complexity in providing juveniles charged directly in adult court with a transfer hearing</w:t>
      </w:r>
      <w:r>
        <w:t xml:space="preserve"> is no reason to deny</w:t>
      </w:r>
      <w:r>
        <w:t xml:space="preserve"> the</w:t>
      </w:r>
      <w:r>
        <w:t xml:space="preserve"> hearing.</w:t>
      </w:r>
    </w:p>
    <w:p w:rsidR="006F3ACA" w:rsidRDefault="005A7AF0" w:rsidP="006F3ACA">
      <w:pPr>
        <w:tabs>
          <w:tab w:val="left" w:pos="5760"/>
        </w:tabs>
        <w:spacing w:line="480" w:lineRule="atLeast"/>
        <w:ind w:firstLine="720"/>
      </w:pPr>
      <w:r>
        <w:lastRenderedPageBreak/>
        <w:t>Amicus curiae San Diego County District Attorney</w:t>
      </w:r>
      <w:r>
        <w:t xml:space="preserve"> cites</w:t>
      </w:r>
      <w:r>
        <w:t xml:space="preserve"> Penal Code section 1170.17, whi</w:t>
      </w:r>
      <w:r>
        <w:t xml:space="preserve">ch Proposition 57 left unaffected, </w:t>
      </w:r>
      <w:r>
        <w:t>to support its argument that the proposition does not apply</w:t>
      </w:r>
      <w:r>
        <w:t xml:space="preserve"> retroactively.  </w:t>
      </w:r>
      <w:r>
        <w:t>S</w:t>
      </w:r>
      <w:r>
        <w:t>ection</w:t>
      </w:r>
      <w:r>
        <w:t xml:space="preserve"> 1170.17</w:t>
      </w:r>
      <w:r>
        <w:t xml:space="preserve"> provided protection to juveniles who </w:t>
      </w:r>
      <w:proofErr w:type="gramStart"/>
      <w:r>
        <w:t>were properly charged</w:t>
      </w:r>
      <w:proofErr w:type="gramEnd"/>
      <w:r>
        <w:t xml:space="preserve"> directly in adult court but then convicted only of a charge or charges</w:t>
      </w:r>
      <w:r>
        <w:t xml:space="preserve"> that would not permit or require</w:t>
      </w:r>
      <w:r>
        <w:t xml:space="preserve"> such direct</w:t>
      </w:r>
      <w:r>
        <w:t xml:space="preserve"> filing</w:t>
      </w:r>
      <w:r>
        <w:t>, or possibly not permit treatment as an adult at all</w:t>
      </w:r>
      <w:r>
        <w:t>.  Generally, when that happens, section 1170.17 requires the trial court either to have the juvenile treated as a juvenile (if the conviction is for a crime that does not permit treatment as an adult) (Pen</w:t>
      </w:r>
      <w:proofErr w:type="gramStart"/>
      <w:r>
        <w:t xml:space="preserve">. </w:t>
      </w:r>
      <w:proofErr w:type="gramEnd"/>
      <w:r>
        <w:t>Code, § 1170.17, subd</w:t>
      </w:r>
      <w:proofErr w:type="gramStart"/>
      <w:r>
        <w:t xml:space="preserve">. </w:t>
      </w:r>
      <w:proofErr w:type="gramEnd"/>
      <w:r>
        <w:t xml:space="preserve">(d); see </w:t>
      </w:r>
      <w:r w:rsidRPr="003E46B9">
        <w:rPr>
          <w:i/>
        </w:rPr>
        <w:t>id</w:t>
      </w:r>
      <w:r>
        <w:t xml:space="preserve">., § 1170.19, </w:t>
      </w:r>
      <w:r>
        <w:t>subd</w:t>
      </w:r>
      <w:proofErr w:type="gramStart"/>
      <w:r>
        <w:t xml:space="preserve">. </w:t>
      </w:r>
      <w:proofErr w:type="gramEnd"/>
      <w:r>
        <w:t xml:space="preserve">(b)), or to hold a hearing, </w:t>
      </w:r>
      <w:proofErr w:type="gramStart"/>
      <w:r>
        <w:t>similar to</w:t>
      </w:r>
      <w:proofErr w:type="gramEnd"/>
      <w:r>
        <w:t xml:space="preserve"> a fitness hearing, to determine whether the juvenile should continue to be treated as an adult (Pen. Code, § 1170.17, </w:t>
      </w:r>
      <w:proofErr w:type="spellStart"/>
      <w:r>
        <w:t>subds</w:t>
      </w:r>
      <w:proofErr w:type="spellEnd"/>
      <w:proofErr w:type="gramStart"/>
      <w:r>
        <w:t xml:space="preserve">. </w:t>
      </w:r>
      <w:proofErr w:type="gramEnd"/>
      <w:r>
        <w:t xml:space="preserve">(b), (c)).  Amicus curiae argues that, because today no charge may </w:t>
      </w:r>
      <w:proofErr w:type="gramStart"/>
      <w:r>
        <w:t>be filed</w:t>
      </w:r>
      <w:proofErr w:type="gramEnd"/>
      <w:r>
        <w:t xml:space="preserve"> directly i</w:t>
      </w:r>
      <w:r>
        <w:t>n adult court, persons like defendant, who were not convicted before Proposition 57 took effect, will always receive the equivalent of a fitness hearing (or automatic treatment as a juvenile)</w:t>
      </w:r>
      <w:r>
        <w:t xml:space="preserve">.  By leaving this provision intact, amicus curiae further </w:t>
      </w:r>
      <w:proofErr w:type="gramStart"/>
      <w:r>
        <w:t>argues</w:t>
      </w:r>
      <w:proofErr w:type="gramEnd"/>
      <w:r>
        <w:t>, the voters intended not to apply Proposition 57 retroactively</w:t>
      </w:r>
      <w:r>
        <w:t>.</w:t>
      </w:r>
    </w:p>
    <w:p w:rsidR="00727839" w:rsidRDefault="005A7AF0" w:rsidP="006F3ACA">
      <w:pPr>
        <w:tabs>
          <w:tab w:val="left" w:pos="5760"/>
        </w:tabs>
        <w:spacing w:line="480" w:lineRule="atLeast"/>
        <w:ind w:firstLine="720"/>
      </w:pPr>
      <w:r>
        <w:t xml:space="preserve">We need not decide how Penal Code section 1170.17 might apply post-Proposition 57, for its continuing existence does not </w:t>
      </w:r>
      <w:r>
        <w:t xml:space="preserve">overcome the inference of retroactivity.  That section </w:t>
      </w:r>
      <w:proofErr w:type="gramStart"/>
      <w:r>
        <w:t>was drafted</w:t>
      </w:r>
      <w:proofErr w:type="gramEnd"/>
      <w:r>
        <w:t xml:space="preserve"> for</w:t>
      </w:r>
      <w:r>
        <w:t xml:space="preserve"> a</w:t>
      </w:r>
      <w:r>
        <w:t xml:space="preserve"> different procedural posture than Proposition 57 and is a poor fit both textually and practically for a Proposition 57 remedy.  Textually, subdivision (c) of section 1170.17</w:t>
      </w:r>
      <w:r>
        <w:t xml:space="preserve"> applies to juveniles whose convictions and age make them subject to a “rebuttab</w:t>
      </w:r>
      <w:r>
        <w:t xml:space="preserve">le presumption” of juvenile-court fitness.  But as amended by Proposition 57, </w:t>
      </w:r>
      <w:r>
        <w:t xml:space="preserve">Welfare and Institutions Code section </w:t>
      </w:r>
      <w:r>
        <w:t>707 no longer establishes any such rebuttable presumption of fitness, thus suggesting the voters did not intend hearings under Penal Code se</w:t>
      </w:r>
      <w:r>
        <w:t xml:space="preserve">ction 1170.17 to replace Proposition 57 transfer hearings.  Moreover, as a practical matter, postponing juvenile court proceedings until </w:t>
      </w:r>
      <w:r w:rsidRPr="00727839">
        <w:rPr>
          <w:i/>
        </w:rPr>
        <w:t>after</w:t>
      </w:r>
      <w:r>
        <w:t xml:space="preserve"> the juvenile has </w:t>
      </w:r>
      <w:proofErr w:type="gramStart"/>
      <w:r>
        <w:t>been convicted</w:t>
      </w:r>
      <w:proofErr w:type="gramEnd"/>
      <w:r>
        <w:t xml:space="preserve"> </w:t>
      </w:r>
      <w:r>
        <w:lastRenderedPageBreak/>
        <w:t>in adult court, as</w:t>
      </w:r>
      <w:r>
        <w:t xml:space="preserve"> occurs</w:t>
      </w:r>
      <w:r>
        <w:t xml:space="preserve"> under Penal Code section 1170.17, would entail conducti</w:t>
      </w:r>
      <w:r>
        <w:t>ng jury trials that will, in some cases, then be obviated by proceedings in the juvenile court.  That the voters intended to create such a wasteful system is unlikely.</w:t>
      </w:r>
    </w:p>
    <w:p w:rsidR="006F3ACA" w:rsidRPr="006C579F" w:rsidRDefault="005A7AF0" w:rsidP="006F3ACA">
      <w:pPr>
        <w:tabs>
          <w:tab w:val="left" w:pos="5760"/>
        </w:tabs>
        <w:spacing w:line="480" w:lineRule="atLeast"/>
        <w:ind w:firstLine="720"/>
      </w:pPr>
      <w:r>
        <w:t xml:space="preserve">Additionally, in two respects, Penal Code section 1170.17 is far </w:t>
      </w:r>
      <w:r>
        <w:t>less favorable to juven</w:t>
      </w:r>
      <w:r>
        <w:t>iles than</w:t>
      </w:r>
      <w:r>
        <w:t xml:space="preserve"> Proposition 57.  </w:t>
      </w:r>
      <w:r>
        <w:t>First, u</w:t>
      </w:r>
      <w:r>
        <w:t xml:space="preserve">nder Penal Code section 1170.17, the juvenile </w:t>
      </w:r>
      <w:r>
        <w:t>is</w:t>
      </w:r>
      <w:r>
        <w:t xml:space="preserve"> treated as an adult at least until conviction in adult court and, depending on the exact nature of the ultimate conviction, even then would continue to be treated as an adu</w:t>
      </w:r>
      <w:r>
        <w:t xml:space="preserve">lt unless and until the court ordered juvenile treatment; under Proposition 57, the juvenile is initially treated as a juvenile and can be treated as an adult only </w:t>
      </w:r>
      <w:proofErr w:type="gramStart"/>
      <w:r>
        <w:t>if and when</w:t>
      </w:r>
      <w:proofErr w:type="gramEnd"/>
      <w:r>
        <w:t xml:space="preserve"> a court transfers the matter to adult court.  </w:t>
      </w:r>
      <w:r>
        <w:t>Second, under amicus curiae’s inte</w:t>
      </w:r>
      <w:r>
        <w:t>rpretation of Penal Code section 1170.17</w:t>
      </w:r>
      <w:r>
        <w:t xml:space="preserve">, a juvenile who </w:t>
      </w:r>
      <w:proofErr w:type="gramStart"/>
      <w:r>
        <w:t xml:space="preserve">was </w:t>
      </w:r>
      <w:r w:rsidRPr="00763F6B">
        <w:rPr>
          <w:i/>
        </w:rPr>
        <w:t>convicted</w:t>
      </w:r>
      <w:proofErr w:type="gramEnd"/>
      <w:r>
        <w:t xml:space="preserve"> before Proposition 57 took effect can </w:t>
      </w:r>
      <w:r w:rsidRPr="00763F6B">
        <w:rPr>
          <w:i/>
        </w:rPr>
        <w:t>never</w:t>
      </w:r>
      <w:r>
        <w:t xml:space="preserve"> benefit from </w:t>
      </w:r>
      <w:r>
        <w:t>that section</w:t>
      </w:r>
      <w:r>
        <w:t xml:space="preserve">.  Nothing in that section’s continuing existence rebuts </w:t>
      </w:r>
      <w:r w:rsidRPr="006F3ACA">
        <w:rPr>
          <w:i/>
        </w:rPr>
        <w:t>Estrada</w:t>
      </w:r>
      <w:r>
        <w:t xml:space="preserve">’s </w:t>
      </w:r>
      <w:r>
        <w:t>inference</w:t>
      </w:r>
      <w:r>
        <w:t xml:space="preserve"> of retroactivity.</w:t>
      </w:r>
    </w:p>
    <w:p w:rsidR="00927BFE" w:rsidRDefault="005A7AF0" w:rsidP="00927BFE">
      <w:pPr>
        <w:tabs>
          <w:tab w:val="left" w:pos="5760"/>
        </w:tabs>
        <w:spacing w:line="480" w:lineRule="atLeast"/>
        <w:ind w:firstLine="720"/>
      </w:pPr>
      <w:r>
        <w:t>For these reasons, we</w:t>
      </w:r>
      <w:r>
        <w:t xml:space="preserve"> conclude that defendant </w:t>
      </w:r>
      <w:r>
        <w:t>properly received the benefit of Proposition 57</w:t>
      </w:r>
      <w:r>
        <w:t>.</w:t>
      </w:r>
    </w:p>
    <w:p w:rsidR="00927BFE" w:rsidRDefault="005A7AF0" w:rsidP="00927BFE">
      <w:pPr>
        <w:pStyle w:val="Heading1"/>
      </w:pPr>
      <w:r>
        <w:t xml:space="preserve">III. </w:t>
      </w:r>
      <w:r>
        <w:t xml:space="preserve"> </w:t>
      </w:r>
      <w:r>
        <w:t>Conclusion</w:t>
      </w:r>
    </w:p>
    <w:p w:rsidR="00DB0631" w:rsidRDefault="005A7AF0" w:rsidP="00927BFE">
      <w:pPr>
        <w:tabs>
          <w:tab w:val="left" w:pos="5760"/>
        </w:tabs>
        <w:spacing w:line="480" w:lineRule="atLeast"/>
        <w:ind w:firstLine="720"/>
      </w:pPr>
      <w:r>
        <w:t>T</w:t>
      </w:r>
      <w:r>
        <w:t xml:space="preserve">he Court of Appeal erred in rejecting the application of </w:t>
      </w:r>
      <w:r w:rsidRPr="00856E20">
        <w:rPr>
          <w:i/>
        </w:rPr>
        <w:t>Estrada</w:t>
      </w:r>
      <w:r>
        <w:t xml:space="preserve">, </w:t>
      </w:r>
      <w:r>
        <w:rPr>
          <w:i/>
        </w:rPr>
        <w:t>supra</w:t>
      </w:r>
      <w:r>
        <w:t xml:space="preserve">, 63 Cal.2d 740, </w:t>
      </w:r>
      <w:r>
        <w:t xml:space="preserve">but </w:t>
      </w:r>
      <w:r>
        <w:t>it reached the correct result.  Accordingly, we affirm its judgment</w:t>
      </w:r>
      <w:r>
        <w:t>, alt</w:t>
      </w:r>
      <w:r>
        <w:t xml:space="preserve">hough not its reasoning, </w:t>
      </w:r>
      <w:r>
        <w:t>and</w:t>
      </w:r>
      <w:r>
        <w:t xml:space="preserve"> lift the stay we</w:t>
      </w:r>
      <w:r>
        <w:t xml:space="preserve"> </w:t>
      </w:r>
      <w:r>
        <w:t>previously</w:t>
      </w:r>
      <w:r>
        <w:t xml:space="preserve"> imposed.</w:t>
      </w:r>
    </w:p>
    <w:p w:rsidR="00F0706B" w:rsidRDefault="005A7AF0">
      <w:r>
        <w:br w:type="page"/>
      </w:r>
    </w:p>
    <w:p w:rsidR="00927BFE" w:rsidRDefault="005A7AF0" w:rsidP="00927BFE">
      <w:pPr>
        <w:tabs>
          <w:tab w:val="left" w:pos="5760"/>
        </w:tabs>
        <w:spacing w:line="480" w:lineRule="atLeast"/>
        <w:ind w:firstLine="720"/>
      </w:pPr>
      <w:r>
        <w:lastRenderedPageBreak/>
        <w:t xml:space="preserve">We also disapprove </w:t>
      </w:r>
      <w:r>
        <w:t>the Court of Appeal’s</w:t>
      </w:r>
      <w:r>
        <w:t xml:space="preserve"> opinion </w:t>
      </w:r>
      <w:r>
        <w:t xml:space="preserve">in this case </w:t>
      </w:r>
      <w:r>
        <w:t>(</w:t>
      </w:r>
      <w:r w:rsidRPr="00856E20">
        <w:rPr>
          <w:i/>
        </w:rPr>
        <w:t xml:space="preserve">People v. </w:t>
      </w:r>
      <w:r>
        <w:rPr>
          <w:i/>
        </w:rPr>
        <w:t>Superior Court (Lara)</w:t>
      </w:r>
      <w:r>
        <w:t xml:space="preserve">, </w:t>
      </w:r>
      <w:r>
        <w:rPr>
          <w:i/>
        </w:rPr>
        <w:t>supra</w:t>
      </w:r>
      <w:r>
        <w:t>, 9 Cal.App.</w:t>
      </w:r>
      <w:r>
        <w:t>5th</w:t>
      </w:r>
      <w:r>
        <w:t xml:space="preserve"> </w:t>
      </w:r>
      <w:r>
        <w:t>753</w:t>
      </w:r>
      <w:r>
        <w:t>), and the opinions in</w:t>
      </w:r>
      <w:r w:rsidRPr="005508FD">
        <w:rPr>
          <w:i/>
        </w:rPr>
        <w:t xml:space="preserve"> </w:t>
      </w:r>
      <w:r w:rsidRPr="00661153">
        <w:rPr>
          <w:i/>
        </w:rPr>
        <w:t>People v. Suarez</w:t>
      </w:r>
      <w:r>
        <w:t xml:space="preserve">, </w:t>
      </w:r>
      <w:r>
        <w:rPr>
          <w:i/>
        </w:rPr>
        <w:t>supra</w:t>
      </w:r>
      <w:r>
        <w:t xml:space="preserve">, 17 Cal.App.5th 1272; </w:t>
      </w:r>
      <w:r w:rsidRPr="00661153">
        <w:rPr>
          <w:i/>
        </w:rPr>
        <w:t>People v. Brewer</w:t>
      </w:r>
      <w:r>
        <w:t xml:space="preserve">, </w:t>
      </w:r>
      <w:r>
        <w:rPr>
          <w:i/>
        </w:rPr>
        <w:t>supra</w:t>
      </w:r>
      <w:r>
        <w:t xml:space="preserve">, 17 Cal.App.5th 471; </w:t>
      </w:r>
      <w:r w:rsidRPr="00661153">
        <w:rPr>
          <w:i/>
        </w:rPr>
        <w:t>People v. Navarra</w:t>
      </w:r>
      <w:r>
        <w:t xml:space="preserve">, </w:t>
      </w:r>
      <w:r>
        <w:rPr>
          <w:i/>
        </w:rPr>
        <w:t>supra</w:t>
      </w:r>
      <w:r>
        <w:t>, 16 Cal.App.5th 173, review granted</w:t>
      </w:r>
      <w:r>
        <w:t>;</w:t>
      </w:r>
      <w:r>
        <w:t xml:space="preserve"> </w:t>
      </w:r>
      <w:r w:rsidRPr="00856E20">
        <w:rPr>
          <w:i/>
        </w:rPr>
        <w:t>People v. Superior Court (Walker)</w:t>
      </w:r>
      <w:r>
        <w:t xml:space="preserve">, </w:t>
      </w:r>
      <w:r>
        <w:rPr>
          <w:i/>
        </w:rPr>
        <w:t>supra</w:t>
      </w:r>
      <w:r>
        <w:t>, 12 Cal.App.</w:t>
      </w:r>
      <w:r>
        <w:t>5th</w:t>
      </w:r>
      <w:r>
        <w:t xml:space="preserve"> 687, review granted; </w:t>
      </w:r>
      <w:r w:rsidRPr="00856E20">
        <w:rPr>
          <w:i/>
        </w:rPr>
        <w:t>People v. Marquez</w:t>
      </w:r>
      <w:r>
        <w:t xml:space="preserve">, </w:t>
      </w:r>
      <w:r>
        <w:rPr>
          <w:i/>
        </w:rPr>
        <w:t>supra</w:t>
      </w:r>
      <w:r>
        <w:t>, 11 Cal.App.</w:t>
      </w:r>
      <w:r>
        <w:t>5th</w:t>
      </w:r>
      <w:r>
        <w:t xml:space="preserve"> 816, re</w:t>
      </w:r>
      <w:r>
        <w:t xml:space="preserve">view granted; </w:t>
      </w:r>
      <w:r w:rsidRPr="00856E20">
        <w:rPr>
          <w:i/>
        </w:rPr>
        <w:t>People v. Mendoza</w:t>
      </w:r>
      <w:r>
        <w:t xml:space="preserve">, </w:t>
      </w:r>
      <w:r>
        <w:rPr>
          <w:i/>
        </w:rPr>
        <w:t>supra</w:t>
      </w:r>
      <w:r>
        <w:t>, 10 Cal.App.</w:t>
      </w:r>
      <w:r>
        <w:t>5th</w:t>
      </w:r>
      <w:r>
        <w:t xml:space="preserve"> 327, review granted; and </w:t>
      </w:r>
      <w:r w:rsidRPr="00856E20">
        <w:rPr>
          <w:i/>
        </w:rPr>
        <w:t xml:space="preserve">People v. </w:t>
      </w:r>
      <w:r>
        <w:rPr>
          <w:i/>
        </w:rPr>
        <w:t>Cervantes</w:t>
      </w:r>
      <w:r>
        <w:t xml:space="preserve">, </w:t>
      </w:r>
      <w:r>
        <w:rPr>
          <w:i/>
        </w:rPr>
        <w:t>supra</w:t>
      </w:r>
      <w:r>
        <w:t>, 9 Cal.App.</w:t>
      </w:r>
      <w:r>
        <w:t>5th</w:t>
      </w:r>
      <w:r>
        <w:rPr>
          <w:vertAlign w:val="superscript"/>
        </w:rPr>
        <w:t xml:space="preserve"> </w:t>
      </w:r>
      <w:r>
        <w:t>569</w:t>
      </w:r>
      <w:r>
        <w:t>, review granted, to the extent they are inconsistent with this opinion.</w:t>
      </w:r>
    </w:p>
    <w:p w:rsidR="00C3348D" w:rsidRPr="005A7AF0" w:rsidRDefault="005A7AF0" w:rsidP="00C3348D">
      <w:pPr>
        <w:keepNext/>
        <w:keepLines/>
        <w:tabs>
          <w:tab w:val="left" w:pos="5580"/>
          <w:tab w:val="left" w:pos="5760"/>
        </w:tabs>
        <w:spacing w:before="120" w:line="480" w:lineRule="atLeast"/>
        <w:ind w:firstLine="720"/>
        <w:rPr>
          <w:b/>
          <w:caps/>
        </w:rPr>
      </w:pPr>
      <w:r>
        <w:tab/>
      </w:r>
      <w:r w:rsidRPr="007A74A7">
        <w:rPr>
          <w:caps/>
        </w:rPr>
        <w:tab/>
      </w:r>
      <w:r w:rsidRPr="005A7AF0">
        <w:rPr>
          <w:b/>
          <w:caps/>
        </w:rPr>
        <w:t>C</w:t>
      </w:r>
      <w:r w:rsidRPr="005A7AF0">
        <w:rPr>
          <w:b/>
          <w:caps/>
        </w:rPr>
        <w:t>hin, j.</w:t>
      </w:r>
    </w:p>
    <w:p w:rsidR="00C3348D" w:rsidRPr="005A7AF0" w:rsidRDefault="005A7AF0" w:rsidP="00C3348D">
      <w:pPr>
        <w:keepNext/>
        <w:keepLines/>
        <w:tabs>
          <w:tab w:val="left" w:pos="1440"/>
        </w:tabs>
        <w:spacing w:line="480" w:lineRule="atLeast"/>
        <w:rPr>
          <w:b/>
          <w:caps/>
        </w:rPr>
      </w:pPr>
      <w:r w:rsidRPr="005A7AF0">
        <w:rPr>
          <w:b/>
          <w:caps/>
        </w:rPr>
        <w:t>We Concur:</w:t>
      </w:r>
    </w:p>
    <w:p w:rsidR="00C3348D" w:rsidRPr="005A7AF0" w:rsidRDefault="005A7AF0" w:rsidP="00C3348D">
      <w:pPr>
        <w:keepNext/>
        <w:keepLines/>
        <w:tabs>
          <w:tab w:val="left" w:pos="1440"/>
        </w:tabs>
        <w:rPr>
          <w:b/>
          <w:caps/>
        </w:rPr>
      </w:pPr>
    </w:p>
    <w:p w:rsidR="00C3348D" w:rsidRPr="005A7AF0" w:rsidRDefault="005A7AF0" w:rsidP="00C3348D">
      <w:pPr>
        <w:keepNext/>
        <w:keepLines/>
        <w:tabs>
          <w:tab w:val="left" w:pos="1440"/>
        </w:tabs>
        <w:rPr>
          <w:b/>
          <w:caps/>
        </w:rPr>
      </w:pPr>
      <w:r w:rsidRPr="005A7AF0">
        <w:rPr>
          <w:b/>
          <w:caps/>
        </w:rPr>
        <w:t>C</w:t>
      </w:r>
      <w:r w:rsidRPr="005A7AF0">
        <w:rPr>
          <w:b/>
          <w:caps/>
        </w:rPr>
        <w:t>antil-sakauye, c.j.</w:t>
      </w:r>
    </w:p>
    <w:p w:rsidR="00C3348D" w:rsidRPr="005A7AF0" w:rsidRDefault="005A7AF0" w:rsidP="00C3348D">
      <w:pPr>
        <w:keepNext/>
        <w:keepLines/>
        <w:tabs>
          <w:tab w:val="left" w:pos="1440"/>
        </w:tabs>
        <w:rPr>
          <w:b/>
          <w:caps/>
        </w:rPr>
      </w:pPr>
      <w:r w:rsidRPr="005A7AF0">
        <w:rPr>
          <w:b/>
          <w:caps/>
        </w:rPr>
        <w:t>C</w:t>
      </w:r>
      <w:r w:rsidRPr="005A7AF0">
        <w:rPr>
          <w:b/>
          <w:caps/>
        </w:rPr>
        <w:t>orrigan, j.</w:t>
      </w:r>
    </w:p>
    <w:p w:rsidR="00C3348D" w:rsidRPr="005A7AF0" w:rsidRDefault="005A7AF0" w:rsidP="00C3348D">
      <w:pPr>
        <w:keepNext/>
        <w:keepLines/>
        <w:tabs>
          <w:tab w:val="left" w:pos="1440"/>
        </w:tabs>
        <w:rPr>
          <w:b/>
          <w:caps/>
        </w:rPr>
      </w:pPr>
      <w:r w:rsidRPr="005A7AF0">
        <w:rPr>
          <w:b/>
          <w:caps/>
        </w:rPr>
        <w:t>L</w:t>
      </w:r>
      <w:r w:rsidRPr="005A7AF0">
        <w:rPr>
          <w:b/>
          <w:caps/>
        </w:rPr>
        <w:t>iu, j.</w:t>
      </w:r>
    </w:p>
    <w:p w:rsidR="00C3348D" w:rsidRPr="005A7AF0" w:rsidRDefault="005A7AF0" w:rsidP="00C3348D">
      <w:pPr>
        <w:keepNext/>
        <w:keepLines/>
        <w:tabs>
          <w:tab w:val="left" w:pos="1440"/>
        </w:tabs>
        <w:rPr>
          <w:b/>
          <w:caps/>
        </w:rPr>
      </w:pPr>
      <w:r w:rsidRPr="005A7AF0">
        <w:rPr>
          <w:rFonts w:ascii="Times New Roman Bold" w:hAnsi="Times New Roman Bold"/>
          <w:b/>
          <w:caps/>
        </w:rPr>
        <w:t>C</w:t>
      </w:r>
      <w:r w:rsidRPr="005A7AF0">
        <w:rPr>
          <w:rFonts w:ascii="Times New Roman Bold" w:hAnsi="Times New Roman Bold"/>
          <w:b/>
          <w:caps/>
        </w:rPr>
        <w:t>uéllar, j.</w:t>
      </w:r>
    </w:p>
    <w:p w:rsidR="00C3348D" w:rsidRPr="005A7AF0" w:rsidRDefault="005A7AF0" w:rsidP="00C3348D">
      <w:pPr>
        <w:keepNext/>
        <w:keepLines/>
        <w:tabs>
          <w:tab w:val="left" w:pos="1440"/>
        </w:tabs>
        <w:rPr>
          <w:b/>
          <w:caps/>
        </w:rPr>
      </w:pPr>
      <w:r w:rsidRPr="005A7AF0">
        <w:rPr>
          <w:b/>
          <w:caps/>
        </w:rPr>
        <w:t>K</w:t>
      </w:r>
      <w:r w:rsidRPr="005A7AF0">
        <w:rPr>
          <w:b/>
          <w:caps/>
        </w:rPr>
        <w:t>ruger, j.</w:t>
      </w:r>
    </w:p>
    <w:p w:rsidR="00C3348D" w:rsidRPr="005A7AF0" w:rsidRDefault="005A7AF0" w:rsidP="00C3348D">
      <w:pPr>
        <w:keepNext/>
        <w:keepLines/>
        <w:tabs>
          <w:tab w:val="left" w:pos="1440"/>
        </w:tabs>
        <w:rPr>
          <w:b/>
          <w:caps/>
        </w:rPr>
      </w:pPr>
      <w:r w:rsidRPr="005A7AF0">
        <w:rPr>
          <w:rFonts w:ascii="Times New Roman Bold" w:hAnsi="Times New Roman Bold"/>
          <w:b/>
          <w:caps/>
        </w:rPr>
        <w:t>Robie</w:t>
      </w:r>
      <w:r w:rsidRPr="005A7AF0">
        <w:rPr>
          <w:b/>
          <w:caps/>
        </w:rPr>
        <w:t>, J.*</w:t>
      </w:r>
    </w:p>
    <w:p w:rsidR="00927BFE" w:rsidRPr="00356B7A" w:rsidRDefault="005A7AF0" w:rsidP="00C3348D">
      <w:pPr>
        <w:tabs>
          <w:tab w:val="left" w:pos="5760"/>
        </w:tabs>
        <w:spacing w:line="480" w:lineRule="atLeast"/>
        <w:rPr>
          <w:rFonts w:ascii="Times New Roman Bold" w:hAnsi="Times New Roman Bold"/>
          <w:b/>
          <w:smallCaps/>
        </w:rPr>
      </w:pPr>
    </w:p>
    <w:p w:rsidR="00C3348D" w:rsidRDefault="005A7AF0" w:rsidP="00C3348D">
      <w:pPr>
        <w:tabs>
          <w:tab w:val="left" w:pos="5760"/>
        </w:tabs>
        <w:spacing w:line="480" w:lineRule="atLeast"/>
        <w:rPr>
          <w:smallCaps/>
        </w:rPr>
      </w:pPr>
    </w:p>
    <w:p w:rsidR="00C3348D" w:rsidRDefault="005A7AF0" w:rsidP="00C3348D">
      <w:pPr>
        <w:tabs>
          <w:tab w:val="left" w:pos="5760"/>
        </w:tabs>
        <w:spacing w:line="480" w:lineRule="atLeast"/>
        <w:rPr>
          <w:smallCaps/>
        </w:rPr>
      </w:pPr>
    </w:p>
    <w:p w:rsidR="00C3348D" w:rsidRDefault="005A7AF0" w:rsidP="00C3348D">
      <w:pPr>
        <w:tabs>
          <w:tab w:val="left" w:pos="5760"/>
        </w:tabs>
        <w:spacing w:line="480" w:lineRule="atLeast"/>
        <w:rPr>
          <w:smallCaps/>
        </w:rPr>
      </w:pPr>
    </w:p>
    <w:p w:rsidR="00C3348D" w:rsidRDefault="005A7AF0" w:rsidP="00C3348D">
      <w:pPr>
        <w:tabs>
          <w:tab w:val="left" w:pos="5760"/>
        </w:tabs>
        <w:spacing w:line="480" w:lineRule="atLeast"/>
        <w:rPr>
          <w:smallCaps/>
        </w:rPr>
      </w:pPr>
    </w:p>
    <w:p w:rsidR="00C3348D" w:rsidRDefault="005A7AF0" w:rsidP="00C3348D">
      <w:pPr>
        <w:tabs>
          <w:tab w:val="left" w:pos="5760"/>
        </w:tabs>
        <w:spacing w:line="480" w:lineRule="atLeast"/>
        <w:rPr>
          <w:smallCaps/>
        </w:rPr>
      </w:pPr>
    </w:p>
    <w:p w:rsidR="00B35A1F" w:rsidRDefault="005A7AF0" w:rsidP="00C3348D">
      <w:pPr>
        <w:tabs>
          <w:tab w:val="left" w:pos="5760"/>
        </w:tabs>
        <w:spacing w:line="480" w:lineRule="atLeast"/>
        <w:rPr>
          <w:smallCaps/>
        </w:rPr>
      </w:pPr>
    </w:p>
    <w:p w:rsidR="00B35A1F" w:rsidRDefault="005A7AF0" w:rsidP="00C3348D">
      <w:pPr>
        <w:tabs>
          <w:tab w:val="left" w:pos="5760"/>
        </w:tabs>
        <w:spacing w:line="480" w:lineRule="atLeast"/>
        <w:rPr>
          <w:smallCaps/>
        </w:rPr>
      </w:pPr>
    </w:p>
    <w:p w:rsidR="00B35A1F" w:rsidRDefault="005A7AF0" w:rsidP="00C3348D">
      <w:pPr>
        <w:tabs>
          <w:tab w:val="left" w:pos="5760"/>
        </w:tabs>
        <w:spacing w:line="480" w:lineRule="atLeast"/>
        <w:rPr>
          <w:smallCaps/>
        </w:rPr>
      </w:pPr>
    </w:p>
    <w:p w:rsidR="00C3348D" w:rsidRDefault="005A7AF0" w:rsidP="00C3348D">
      <w:pPr>
        <w:tabs>
          <w:tab w:val="left" w:pos="5760"/>
        </w:tabs>
        <w:spacing w:line="480" w:lineRule="atLeast"/>
        <w:rPr>
          <w:smallCaps/>
        </w:rPr>
      </w:pPr>
      <w:r>
        <w:rPr>
          <w:smallCaps/>
        </w:rPr>
        <w:t>___</w:t>
      </w:r>
      <w:r>
        <w:rPr>
          <w:smallCaps/>
        </w:rPr>
        <w:t>_____________________________</w:t>
      </w:r>
    </w:p>
    <w:p w:rsidR="005A7AF0" w:rsidRDefault="005A7AF0" w:rsidP="00C3348D">
      <w:pPr>
        <w:sectPr w:rsidR="005A7AF0">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sectPr>
      </w:pPr>
      <w:r>
        <w:t xml:space="preserve">* </w:t>
      </w:r>
      <w:r w:rsidRPr="00F1572A">
        <w:t>Associate Justice of the Court of Appeal, Third Appellate District, assigned by the Chief Justice pursuant to article VI, section 6 of the California Constitution.</w:t>
      </w:r>
    </w:p>
    <w:p w:rsidR="005A7AF0" w:rsidRDefault="005A7AF0" w:rsidP="005A7AF0">
      <w:pPr>
        <w:rPr>
          <w:i/>
          <w:sz w:val="20"/>
        </w:rPr>
      </w:pPr>
      <w:r>
        <w:rPr>
          <w:i/>
          <w:sz w:val="20"/>
        </w:rPr>
        <w:lastRenderedPageBreak/>
        <w:t>See next page for addresses and telephone numbers for counsel who argued in Supreme Court.</w:t>
      </w:r>
    </w:p>
    <w:p w:rsidR="005A7AF0" w:rsidRDefault="005A7AF0" w:rsidP="005A7AF0">
      <w:pPr>
        <w:rPr>
          <w:i/>
          <w:sz w:val="20"/>
        </w:rPr>
      </w:pPr>
    </w:p>
    <w:p w:rsidR="005A7AF0" w:rsidRPr="00E53509" w:rsidRDefault="005A7AF0" w:rsidP="005A7AF0">
      <w:pPr>
        <w:rPr>
          <w:bCs/>
          <w:i/>
          <w:sz w:val="20"/>
        </w:rPr>
      </w:pPr>
      <w:r>
        <w:rPr>
          <w:b/>
          <w:sz w:val="20"/>
        </w:rPr>
        <w:t>Name of Opinion</w:t>
      </w:r>
      <w:r>
        <w:rPr>
          <w:sz w:val="20"/>
        </w:rPr>
        <w:t xml:space="preserve"> People v. Superior Court (Lara)</w:t>
      </w:r>
    </w:p>
    <w:p w:rsidR="005A7AF0" w:rsidRDefault="005A7AF0" w:rsidP="005A7AF0">
      <w:pPr>
        <w:rPr>
          <w:b/>
          <w:sz w:val="20"/>
        </w:rPr>
      </w:pPr>
      <w:r>
        <w:rPr>
          <w:b/>
          <w:sz w:val="20"/>
        </w:rPr>
        <w:t>__________________________________________________________________________________</w:t>
      </w:r>
    </w:p>
    <w:p w:rsidR="005A7AF0" w:rsidRDefault="005A7AF0" w:rsidP="005A7AF0">
      <w:pPr>
        <w:rPr>
          <w:b/>
          <w:sz w:val="20"/>
        </w:rPr>
      </w:pPr>
    </w:p>
    <w:p w:rsidR="005A7AF0" w:rsidRDefault="005A7AF0" w:rsidP="005A7AF0">
      <w:pPr>
        <w:rPr>
          <w:bCs/>
          <w:sz w:val="20"/>
        </w:rPr>
      </w:pPr>
      <w:r>
        <w:rPr>
          <w:b/>
          <w:sz w:val="20"/>
        </w:rPr>
        <w:t>Unpublished Opinion</w:t>
      </w:r>
    </w:p>
    <w:p w:rsidR="005A7AF0" w:rsidRDefault="005A7AF0" w:rsidP="005A7AF0">
      <w:pPr>
        <w:rPr>
          <w:sz w:val="20"/>
        </w:rPr>
      </w:pPr>
      <w:r>
        <w:rPr>
          <w:b/>
          <w:sz w:val="20"/>
        </w:rPr>
        <w:t>Original Appeal</w:t>
      </w:r>
    </w:p>
    <w:p w:rsidR="005A7AF0" w:rsidRDefault="005A7AF0" w:rsidP="005A7AF0">
      <w:pPr>
        <w:rPr>
          <w:b/>
          <w:sz w:val="20"/>
        </w:rPr>
      </w:pPr>
      <w:r>
        <w:rPr>
          <w:b/>
          <w:sz w:val="20"/>
        </w:rPr>
        <w:t>Original Proceeding</w:t>
      </w:r>
    </w:p>
    <w:p w:rsidR="005A7AF0" w:rsidRPr="00E53509" w:rsidRDefault="005A7AF0" w:rsidP="005A7AF0">
      <w:pPr>
        <w:rPr>
          <w:sz w:val="20"/>
        </w:rPr>
      </w:pPr>
      <w:r>
        <w:rPr>
          <w:b/>
          <w:sz w:val="20"/>
        </w:rPr>
        <w:t>Review Granted</w:t>
      </w:r>
      <w:r>
        <w:rPr>
          <w:sz w:val="20"/>
        </w:rPr>
        <w:t xml:space="preserve"> XXX 9 Cal.App.5th 753</w:t>
      </w:r>
    </w:p>
    <w:p w:rsidR="005A7AF0" w:rsidRDefault="005A7AF0" w:rsidP="005A7AF0">
      <w:pPr>
        <w:rPr>
          <w:b/>
          <w:sz w:val="20"/>
        </w:rPr>
      </w:pPr>
      <w:r>
        <w:rPr>
          <w:b/>
          <w:sz w:val="20"/>
        </w:rPr>
        <w:t>Rehearing Granted</w:t>
      </w:r>
    </w:p>
    <w:p w:rsidR="005A7AF0" w:rsidRDefault="005A7AF0" w:rsidP="005A7AF0">
      <w:pPr>
        <w:rPr>
          <w:b/>
          <w:sz w:val="20"/>
        </w:rPr>
      </w:pPr>
    </w:p>
    <w:p w:rsidR="005A7AF0" w:rsidRDefault="005A7AF0" w:rsidP="005A7AF0">
      <w:pPr>
        <w:rPr>
          <w:b/>
          <w:sz w:val="20"/>
        </w:rPr>
      </w:pPr>
      <w:r>
        <w:rPr>
          <w:b/>
          <w:sz w:val="20"/>
        </w:rPr>
        <w:t>__________________________________________________________________________________</w:t>
      </w:r>
    </w:p>
    <w:p w:rsidR="005A7AF0" w:rsidRDefault="005A7AF0" w:rsidP="005A7AF0">
      <w:pPr>
        <w:rPr>
          <w:b/>
          <w:sz w:val="20"/>
        </w:rPr>
      </w:pPr>
    </w:p>
    <w:p w:rsidR="005A7AF0" w:rsidRPr="00E53509" w:rsidRDefault="005A7AF0" w:rsidP="005A7AF0">
      <w:pPr>
        <w:rPr>
          <w:bCs/>
          <w:sz w:val="20"/>
        </w:rPr>
      </w:pPr>
      <w:r>
        <w:rPr>
          <w:b/>
          <w:sz w:val="20"/>
        </w:rPr>
        <w:t xml:space="preserve">Opinion </w:t>
      </w:r>
      <w:proofErr w:type="gramStart"/>
      <w:r>
        <w:rPr>
          <w:b/>
          <w:sz w:val="20"/>
        </w:rPr>
        <w:t>No.</w:t>
      </w:r>
      <w:r>
        <w:rPr>
          <w:sz w:val="20"/>
        </w:rPr>
        <w:t>S</w:t>
      </w:r>
      <w:proofErr w:type="gramEnd"/>
      <w:r>
        <w:rPr>
          <w:sz w:val="20"/>
        </w:rPr>
        <w:t>241231</w:t>
      </w:r>
    </w:p>
    <w:p w:rsidR="005A7AF0" w:rsidRPr="00E53509" w:rsidRDefault="005A7AF0" w:rsidP="005A7AF0">
      <w:pPr>
        <w:rPr>
          <w:bCs/>
          <w:sz w:val="20"/>
        </w:rPr>
      </w:pPr>
      <w:r>
        <w:rPr>
          <w:b/>
          <w:sz w:val="20"/>
        </w:rPr>
        <w:t>Date Filed:</w:t>
      </w:r>
      <w:r>
        <w:rPr>
          <w:sz w:val="20"/>
        </w:rPr>
        <w:t xml:space="preserve"> February 1, 2018</w:t>
      </w:r>
    </w:p>
    <w:p w:rsidR="005A7AF0" w:rsidRDefault="005A7AF0" w:rsidP="005A7AF0">
      <w:pPr>
        <w:rPr>
          <w:b/>
          <w:sz w:val="20"/>
        </w:rPr>
      </w:pPr>
      <w:r>
        <w:rPr>
          <w:b/>
          <w:sz w:val="20"/>
        </w:rPr>
        <w:t>__________________________________________________________________________________</w:t>
      </w:r>
    </w:p>
    <w:p w:rsidR="005A7AF0" w:rsidRDefault="005A7AF0" w:rsidP="005A7AF0">
      <w:pPr>
        <w:rPr>
          <w:b/>
          <w:sz w:val="20"/>
        </w:rPr>
      </w:pPr>
    </w:p>
    <w:p w:rsidR="005A7AF0" w:rsidRPr="00E53509" w:rsidRDefault="005A7AF0" w:rsidP="005A7AF0">
      <w:pPr>
        <w:rPr>
          <w:bCs/>
          <w:sz w:val="20"/>
        </w:rPr>
      </w:pPr>
      <w:r>
        <w:rPr>
          <w:b/>
          <w:sz w:val="20"/>
        </w:rPr>
        <w:t>Court:</w:t>
      </w:r>
      <w:r>
        <w:rPr>
          <w:sz w:val="20"/>
        </w:rPr>
        <w:t xml:space="preserve"> Superior</w:t>
      </w:r>
    </w:p>
    <w:p w:rsidR="005A7AF0" w:rsidRPr="00E53509" w:rsidRDefault="005A7AF0" w:rsidP="005A7AF0">
      <w:pPr>
        <w:rPr>
          <w:bCs/>
          <w:sz w:val="20"/>
        </w:rPr>
      </w:pPr>
      <w:r>
        <w:rPr>
          <w:b/>
          <w:sz w:val="20"/>
        </w:rPr>
        <w:t>County:</w:t>
      </w:r>
      <w:r>
        <w:rPr>
          <w:sz w:val="20"/>
        </w:rPr>
        <w:t xml:space="preserve"> Riverside</w:t>
      </w:r>
    </w:p>
    <w:p w:rsidR="005A7AF0" w:rsidRPr="00E53509" w:rsidRDefault="005A7AF0" w:rsidP="005A7AF0">
      <w:pPr>
        <w:ind w:left="720" w:hanging="720"/>
        <w:rPr>
          <w:bCs/>
          <w:sz w:val="20"/>
        </w:rPr>
      </w:pPr>
      <w:r>
        <w:rPr>
          <w:b/>
          <w:sz w:val="20"/>
        </w:rPr>
        <w:t>Judge:</w:t>
      </w:r>
      <w:r>
        <w:rPr>
          <w:sz w:val="20"/>
        </w:rPr>
        <w:t xml:space="preserve"> Richard Todd Fields</w:t>
      </w:r>
    </w:p>
    <w:p w:rsidR="005A7AF0" w:rsidRDefault="005A7AF0" w:rsidP="005A7AF0">
      <w:pPr>
        <w:rPr>
          <w:b/>
          <w:sz w:val="20"/>
        </w:rPr>
      </w:pPr>
    </w:p>
    <w:p w:rsidR="005A7AF0" w:rsidRDefault="005A7AF0" w:rsidP="005A7AF0">
      <w:pPr>
        <w:rPr>
          <w:b/>
          <w:sz w:val="20"/>
        </w:rPr>
      </w:pPr>
      <w:r>
        <w:rPr>
          <w:b/>
          <w:sz w:val="20"/>
        </w:rPr>
        <w:t>__________________________________________________________________________________</w:t>
      </w:r>
    </w:p>
    <w:p w:rsidR="005A7AF0" w:rsidRDefault="005A7AF0" w:rsidP="005A7AF0">
      <w:pPr>
        <w:rPr>
          <w:b/>
          <w:sz w:val="20"/>
        </w:rPr>
      </w:pPr>
    </w:p>
    <w:p w:rsidR="005A7AF0" w:rsidRDefault="005A7AF0" w:rsidP="005A7AF0">
      <w:pPr>
        <w:rPr>
          <w:b/>
          <w:sz w:val="20"/>
        </w:rPr>
      </w:pPr>
      <w:r>
        <w:rPr>
          <w:b/>
          <w:sz w:val="20"/>
        </w:rPr>
        <w:t>Counsel:</w:t>
      </w:r>
    </w:p>
    <w:p w:rsidR="005A7AF0" w:rsidRDefault="005A7AF0" w:rsidP="005A7AF0">
      <w:pPr>
        <w:rPr>
          <w:b/>
          <w:sz w:val="20"/>
        </w:rPr>
      </w:pPr>
    </w:p>
    <w:p w:rsidR="005A7AF0" w:rsidRDefault="005A7AF0" w:rsidP="005A7AF0">
      <w:pPr>
        <w:rPr>
          <w:sz w:val="20"/>
        </w:rPr>
      </w:pPr>
      <w:r>
        <w:rPr>
          <w:sz w:val="20"/>
        </w:rPr>
        <w:t xml:space="preserve">Michael A. </w:t>
      </w:r>
      <w:proofErr w:type="spellStart"/>
      <w:r>
        <w:rPr>
          <w:sz w:val="20"/>
        </w:rPr>
        <w:t>Hestrin</w:t>
      </w:r>
      <w:proofErr w:type="spellEnd"/>
      <w:r>
        <w:rPr>
          <w:sz w:val="20"/>
        </w:rPr>
        <w:t xml:space="preserve">, District Attorney, Elaina </w:t>
      </w:r>
      <w:proofErr w:type="spellStart"/>
      <w:r>
        <w:rPr>
          <w:sz w:val="20"/>
        </w:rPr>
        <w:t>Gambera</w:t>
      </w:r>
      <w:proofErr w:type="spellEnd"/>
      <w:r>
        <w:rPr>
          <w:sz w:val="20"/>
        </w:rPr>
        <w:t xml:space="preserve"> Bentley, Assistant District Attorney, Kelli M. Catlett, Ivy B. Fitzpatrick and Donald W. </w:t>
      </w:r>
      <w:proofErr w:type="spellStart"/>
      <w:r>
        <w:rPr>
          <w:sz w:val="20"/>
        </w:rPr>
        <w:t>Ostertag</w:t>
      </w:r>
      <w:proofErr w:type="spellEnd"/>
      <w:r>
        <w:rPr>
          <w:sz w:val="20"/>
        </w:rPr>
        <w:t>, Deputy District Attorneys, for Petitioner.</w:t>
      </w:r>
    </w:p>
    <w:p w:rsidR="005A7AF0" w:rsidRDefault="005A7AF0" w:rsidP="005A7AF0">
      <w:pPr>
        <w:rPr>
          <w:sz w:val="20"/>
        </w:rPr>
      </w:pPr>
    </w:p>
    <w:p w:rsidR="005A7AF0" w:rsidRDefault="005A7AF0" w:rsidP="005A7AF0">
      <w:pPr>
        <w:rPr>
          <w:sz w:val="20"/>
        </w:rPr>
      </w:pPr>
      <w:r>
        <w:rPr>
          <w:sz w:val="20"/>
        </w:rPr>
        <w:t>Summer Stephan, District Attorney (San Diego), Mark A. Amador, Linh Lam and Peter J. Cross, Deputy District Attorneys, for San Diego County District Attorney as Amicus Curiae on behalf of Petitioner.</w:t>
      </w:r>
    </w:p>
    <w:p w:rsidR="005A7AF0" w:rsidRDefault="005A7AF0" w:rsidP="005A7AF0">
      <w:pPr>
        <w:rPr>
          <w:sz w:val="20"/>
        </w:rPr>
      </w:pPr>
    </w:p>
    <w:p w:rsidR="005A7AF0" w:rsidRDefault="005A7AF0" w:rsidP="005A7AF0">
      <w:pPr>
        <w:rPr>
          <w:sz w:val="20"/>
        </w:rPr>
      </w:pPr>
      <w:r>
        <w:rPr>
          <w:sz w:val="20"/>
        </w:rPr>
        <w:t>No appearance for Respondent.</w:t>
      </w:r>
    </w:p>
    <w:p w:rsidR="005A7AF0" w:rsidRDefault="005A7AF0" w:rsidP="005A7AF0">
      <w:pPr>
        <w:rPr>
          <w:sz w:val="20"/>
        </w:rPr>
      </w:pPr>
    </w:p>
    <w:p w:rsidR="005A7AF0" w:rsidRPr="00AC1EF1" w:rsidRDefault="005A7AF0" w:rsidP="005A7AF0">
      <w:pPr>
        <w:rPr>
          <w:sz w:val="20"/>
        </w:rPr>
      </w:pPr>
      <w:r>
        <w:rPr>
          <w:sz w:val="20"/>
        </w:rPr>
        <w:t>Steven S. Mitchell; Steven L. Harmon, Public Defender, and Laura Arnold, Deputy Public Defender, for Real Party in Interest.</w:t>
      </w:r>
    </w:p>
    <w:p w:rsidR="005A7AF0" w:rsidRDefault="005A7AF0" w:rsidP="005A7AF0">
      <w:pPr>
        <w:rPr>
          <w:b/>
          <w:sz w:val="20"/>
        </w:rPr>
      </w:pPr>
    </w:p>
    <w:p w:rsidR="005A7AF0" w:rsidRPr="00E53509" w:rsidRDefault="005A7AF0" w:rsidP="005A7AF0">
      <w:pPr>
        <w:rPr>
          <w:sz w:val="20"/>
        </w:rPr>
      </w:pPr>
      <w:r>
        <w:rPr>
          <w:sz w:val="20"/>
        </w:rPr>
        <w:t xml:space="preserve">Rourke Frances Stacy, Public Defender (Los Angeles); Richard L. </w:t>
      </w:r>
      <w:proofErr w:type="spellStart"/>
      <w:r>
        <w:rPr>
          <w:sz w:val="20"/>
        </w:rPr>
        <w:t>Braucher</w:t>
      </w:r>
      <w:proofErr w:type="spellEnd"/>
      <w:r>
        <w:rPr>
          <w:sz w:val="20"/>
        </w:rPr>
        <w:t>, Susan Lynn Burrell and David John Briggs for Los Angeles County Public Defender and Pacific Juvenile Defender Center as Amici Curiae on behalf of Real Party in Interest.</w:t>
      </w:r>
    </w:p>
    <w:p w:rsidR="005A7AF0" w:rsidRDefault="005A7AF0" w:rsidP="005A7AF0">
      <w:pPr>
        <w:rPr>
          <w:b/>
          <w:sz w:val="20"/>
        </w:rPr>
      </w:pPr>
    </w:p>
    <w:p w:rsidR="005A7AF0" w:rsidRDefault="005A7AF0" w:rsidP="005A7AF0">
      <w:pPr>
        <w:rPr>
          <w:b/>
          <w:sz w:val="20"/>
        </w:rPr>
      </w:pPr>
    </w:p>
    <w:p w:rsidR="005A7AF0" w:rsidRDefault="005A7AF0" w:rsidP="005A7AF0">
      <w:pPr>
        <w:rPr>
          <w:b/>
          <w:sz w:val="20"/>
        </w:rPr>
      </w:pPr>
    </w:p>
    <w:p w:rsidR="005A7AF0" w:rsidRDefault="005A7AF0" w:rsidP="005A7AF0">
      <w:pPr>
        <w:rPr>
          <w:b/>
          <w:sz w:val="20"/>
        </w:rPr>
      </w:pPr>
    </w:p>
    <w:p w:rsidR="005A7AF0" w:rsidRDefault="005A7AF0" w:rsidP="005A7AF0">
      <w:pPr>
        <w:rPr>
          <w:b/>
          <w:sz w:val="20"/>
        </w:rPr>
      </w:pPr>
    </w:p>
    <w:p w:rsidR="005A7AF0" w:rsidRDefault="005A7AF0" w:rsidP="005A7AF0">
      <w:pPr>
        <w:rPr>
          <w:b/>
          <w:sz w:val="20"/>
        </w:rPr>
      </w:pPr>
      <w:r>
        <w:rPr>
          <w:b/>
          <w:sz w:val="20"/>
        </w:rPr>
        <w:br w:type="page"/>
      </w:r>
    </w:p>
    <w:p w:rsidR="005A7AF0" w:rsidRDefault="005A7AF0" w:rsidP="005A7AF0">
      <w:pPr>
        <w:rPr>
          <w:b/>
          <w:sz w:val="20"/>
        </w:rPr>
      </w:pPr>
    </w:p>
    <w:p w:rsidR="005A7AF0" w:rsidRDefault="005A7AF0" w:rsidP="005A7AF0">
      <w:pPr>
        <w:rPr>
          <w:b/>
          <w:sz w:val="20"/>
        </w:rPr>
      </w:pPr>
    </w:p>
    <w:p w:rsidR="005A7AF0" w:rsidRDefault="005A7AF0" w:rsidP="005A7AF0">
      <w:pPr>
        <w:rPr>
          <w:b/>
          <w:sz w:val="20"/>
        </w:rPr>
      </w:pPr>
    </w:p>
    <w:p w:rsidR="005A7AF0" w:rsidRDefault="005A7AF0" w:rsidP="005A7AF0">
      <w:pPr>
        <w:rPr>
          <w:b/>
          <w:sz w:val="20"/>
        </w:rPr>
      </w:pPr>
      <w:r>
        <w:rPr>
          <w:b/>
          <w:sz w:val="20"/>
        </w:rPr>
        <w:t>Counsel who argued in Supreme Court (not intended for publication with opinion):</w:t>
      </w:r>
    </w:p>
    <w:p w:rsidR="005A7AF0" w:rsidRDefault="005A7AF0" w:rsidP="005A7AF0">
      <w:pPr>
        <w:rPr>
          <w:b/>
          <w:sz w:val="20"/>
        </w:rPr>
      </w:pPr>
    </w:p>
    <w:p w:rsidR="005A7AF0" w:rsidRDefault="005A7AF0" w:rsidP="005A7AF0">
      <w:pPr>
        <w:rPr>
          <w:sz w:val="20"/>
        </w:rPr>
      </w:pPr>
      <w:r>
        <w:rPr>
          <w:sz w:val="20"/>
        </w:rPr>
        <w:t xml:space="preserve">Donald W. </w:t>
      </w:r>
      <w:proofErr w:type="spellStart"/>
      <w:r>
        <w:rPr>
          <w:sz w:val="20"/>
        </w:rPr>
        <w:t>Ostertag</w:t>
      </w:r>
      <w:proofErr w:type="spellEnd"/>
    </w:p>
    <w:p w:rsidR="005A7AF0" w:rsidRDefault="005A7AF0" w:rsidP="005A7AF0">
      <w:pPr>
        <w:rPr>
          <w:sz w:val="20"/>
        </w:rPr>
      </w:pPr>
      <w:r>
        <w:rPr>
          <w:sz w:val="20"/>
        </w:rPr>
        <w:t>Deputy District Attorney</w:t>
      </w:r>
    </w:p>
    <w:p w:rsidR="005A7AF0" w:rsidRDefault="005A7AF0" w:rsidP="005A7AF0">
      <w:pPr>
        <w:rPr>
          <w:sz w:val="20"/>
        </w:rPr>
      </w:pPr>
      <w:r>
        <w:rPr>
          <w:sz w:val="20"/>
        </w:rPr>
        <w:t>3960 Orange Street</w:t>
      </w:r>
    </w:p>
    <w:p w:rsidR="005A7AF0" w:rsidRDefault="005A7AF0" w:rsidP="005A7AF0">
      <w:pPr>
        <w:rPr>
          <w:sz w:val="20"/>
        </w:rPr>
      </w:pPr>
      <w:r>
        <w:rPr>
          <w:sz w:val="20"/>
        </w:rPr>
        <w:t>Riverside, CA  92501</w:t>
      </w:r>
    </w:p>
    <w:p w:rsidR="005A7AF0" w:rsidRDefault="005A7AF0" w:rsidP="005A7AF0">
      <w:pPr>
        <w:rPr>
          <w:sz w:val="20"/>
        </w:rPr>
      </w:pPr>
      <w:r>
        <w:rPr>
          <w:sz w:val="20"/>
        </w:rPr>
        <w:t>(951) 955-0870</w:t>
      </w:r>
    </w:p>
    <w:p w:rsidR="005A7AF0" w:rsidRDefault="005A7AF0" w:rsidP="005A7AF0">
      <w:pPr>
        <w:rPr>
          <w:sz w:val="20"/>
        </w:rPr>
      </w:pPr>
    </w:p>
    <w:p w:rsidR="005A7AF0" w:rsidRDefault="005A7AF0" w:rsidP="005A7AF0">
      <w:pPr>
        <w:rPr>
          <w:sz w:val="20"/>
        </w:rPr>
      </w:pPr>
      <w:r>
        <w:rPr>
          <w:sz w:val="20"/>
        </w:rPr>
        <w:t>Laura Arnold</w:t>
      </w:r>
    </w:p>
    <w:p w:rsidR="005A7AF0" w:rsidRDefault="005A7AF0" w:rsidP="005A7AF0">
      <w:pPr>
        <w:rPr>
          <w:sz w:val="20"/>
        </w:rPr>
      </w:pPr>
      <w:r>
        <w:rPr>
          <w:sz w:val="20"/>
        </w:rPr>
        <w:t>Deputy Public Defender</w:t>
      </w:r>
    </w:p>
    <w:p w:rsidR="005A7AF0" w:rsidRDefault="005A7AF0" w:rsidP="005A7AF0">
      <w:pPr>
        <w:rPr>
          <w:sz w:val="20"/>
        </w:rPr>
      </w:pPr>
      <w:r>
        <w:rPr>
          <w:sz w:val="20"/>
        </w:rPr>
        <w:t>4200 Orange Street</w:t>
      </w:r>
    </w:p>
    <w:p w:rsidR="005A7AF0" w:rsidRDefault="005A7AF0" w:rsidP="005A7AF0">
      <w:pPr>
        <w:rPr>
          <w:sz w:val="20"/>
        </w:rPr>
      </w:pPr>
      <w:r>
        <w:rPr>
          <w:sz w:val="20"/>
        </w:rPr>
        <w:t>Riverside, CA  92501</w:t>
      </w:r>
    </w:p>
    <w:p w:rsidR="005A7AF0" w:rsidRDefault="005A7AF0" w:rsidP="005A7AF0">
      <w:pPr>
        <w:rPr>
          <w:sz w:val="20"/>
        </w:rPr>
      </w:pPr>
      <w:r>
        <w:rPr>
          <w:sz w:val="20"/>
        </w:rPr>
        <w:t>(951) 304-5600</w:t>
      </w:r>
    </w:p>
    <w:p w:rsidR="00C3348D" w:rsidRDefault="005A7AF0" w:rsidP="00C3348D">
      <w:bookmarkStart w:id="8" w:name="_GoBack"/>
      <w:bookmarkEnd w:id="8"/>
    </w:p>
    <w:sectPr w:rsidR="00C3348D">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A7AF0">
      <w:r>
        <w:separator/>
      </w:r>
    </w:p>
  </w:endnote>
  <w:endnote w:type="continuationSeparator" w:id="0">
    <w:p w:rsidR="00000000" w:rsidRDefault="005A7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 w:name="Calibri">
    <w:altName w:val="Arial"/>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387" w:rsidRDefault="005A7A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FBE" w:rsidRDefault="005A7AF0">
    <w:pPr>
      <w:pStyle w:val="Footer"/>
      <w:jc w:val="center"/>
    </w:pPr>
    <w:r>
      <w:fldChar w:fldCharType="begin"/>
    </w:r>
    <w:r>
      <w:instrText>PAGE</w:instrText>
    </w:r>
    <w:r>
      <w:fldChar w:fldCharType="separate"/>
    </w:r>
    <w:r>
      <w:rPr>
        <w:noProof/>
      </w:rPr>
      <w:t>16</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387" w:rsidRDefault="005A7AF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50C" w:rsidRDefault="005A7AF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50C" w:rsidRDefault="005A7AF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50C" w:rsidRDefault="005A7A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F78" w:rsidRDefault="005A7AF0">
      <w:r>
        <w:separator/>
      </w:r>
    </w:p>
  </w:footnote>
  <w:footnote w:type="continuationSeparator" w:id="0">
    <w:p w:rsidR="00704F78" w:rsidRDefault="005A7AF0">
      <w:pPr>
        <w:rPr>
          <w:sz w:val="22"/>
        </w:rPr>
      </w:pPr>
      <w:r>
        <w:rPr>
          <w:sz w:val="22"/>
        </w:rPr>
        <w:continuationSeparator/>
      </w:r>
    </w:p>
    <w:p w:rsidR="00704F78" w:rsidRDefault="005A7AF0">
      <w:pPr>
        <w:rPr>
          <w:sz w:val="22"/>
        </w:rPr>
      </w:pPr>
    </w:p>
    <w:p w:rsidR="00704F78" w:rsidRDefault="005A7AF0">
      <w:pPr>
        <w:rPr>
          <w:i/>
          <w:sz w:val="20"/>
        </w:rPr>
      </w:pPr>
      <w:r>
        <w:rPr>
          <w:i/>
          <w:sz w:val="20"/>
        </w:rPr>
        <w:t>(footnote continued from previous page)</w:t>
      </w:r>
    </w:p>
    <w:p w:rsidR="00704F78" w:rsidRDefault="005A7AF0">
      <w:pPr>
        <w:rPr>
          <w:sz w:val="22"/>
        </w:rPr>
      </w:pPr>
    </w:p>
  </w:footnote>
  <w:footnote w:type="continuationNotice" w:id="1">
    <w:p w:rsidR="00704F78" w:rsidRDefault="005A7AF0">
      <w:pPr>
        <w:rPr>
          <w:i/>
          <w:sz w:val="22"/>
        </w:rPr>
      </w:pPr>
    </w:p>
    <w:p w:rsidR="00704F78" w:rsidRDefault="005A7AF0">
      <w:pPr>
        <w:jc w:val="right"/>
        <w:rPr>
          <w:i/>
          <w:sz w:val="20"/>
        </w:rPr>
      </w:pPr>
      <w:r>
        <w:rPr>
          <w:i/>
          <w:sz w:val="20"/>
        </w:rPr>
        <w:t xml:space="preserve">(footnote </w:t>
      </w:r>
      <w:proofErr w:type="gramStart"/>
      <w:r>
        <w:rPr>
          <w:i/>
          <w:sz w:val="20"/>
        </w:rPr>
        <w:t>continued on</w:t>
      </w:r>
      <w:proofErr w:type="gramEnd"/>
      <w:r>
        <w:rPr>
          <w:i/>
          <w:sz w:val="20"/>
        </w:rPr>
        <w:t xml:space="preserve"> next page)</w:t>
      </w:r>
    </w:p>
  </w:footnote>
  <w:footnote w:id="2">
    <w:p w:rsidR="00927BFE" w:rsidRDefault="005A7AF0" w:rsidP="00927BFE">
      <w:pPr>
        <w:pStyle w:val="FootnoteText"/>
      </w:pPr>
      <w:r>
        <w:rPr>
          <w:rStyle w:val="FootnoteReference"/>
        </w:rPr>
        <w:footnoteRef/>
      </w:r>
      <w:r>
        <w:t xml:space="preserve"> </w:t>
      </w:r>
      <w:r>
        <w:tab/>
      </w:r>
      <w:r>
        <w:t xml:space="preserve">We will use the terms “adult court” and “criminal court” interchangeably to refer to the court system for adults and juveniles who </w:t>
      </w:r>
      <w:proofErr w:type="gramStart"/>
      <w:r>
        <w:t>are tried</w:t>
      </w:r>
      <w:proofErr w:type="gramEnd"/>
      <w:r>
        <w:t xml:space="preserve"> as adults, and to distinguish that system from the juvenile court system, where most juvenile </w:t>
      </w:r>
      <w:r>
        <w:t xml:space="preserve">matters </w:t>
      </w:r>
      <w:r>
        <w:t xml:space="preserve">are </w:t>
      </w:r>
      <w:r>
        <w:t>handled</w:t>
      </w:r>
      <w:r>
        <w:t>.</w:t>
      </w:r>
    </w:p>
  </w:footnote>
  <w:footnote w:id="3">
    <w:p w:rsidR="00927BFE" w:rsidRDefault="005A7AF0" w:rsidP="00927BFE">
      <w:pPr>
        <w:pStyle w:val="FootnoteText"/>
      </w:pPr>
      <w:r>
        <w:rPr>
          <w:rStyle w:val="FootnoteReference"/>
        </w:rPr>
        <w:footnoteRef/>
      </w:r>
      <w:r>
        <w:t xml:space="preserve"> </w:t>
      </w:r>
      <w:r>
        <w:tab/>
        <w:t>All further statutory citations are to the Welfare and Institutions Code unless otherwise indicated.</w:t>
      </w:r>
    </w:p>
  </w:footnote>
  <w:footnote w:id="4">
    <w:p w:rsidR="002A4CE3" w:rsidRPr="00C030A2" w:rsidRDefault="005A7AF0">
      <w:pPr>
        <w:pStyle w:val="FootnoteText"/>
      </w:pPr>
      <w:r>
        <w:rPr>
          <w:rStyle w:val="FootnoteReference"/>
        </w:rPr>
        <w:footnoteRef/>
      </w:r>
      <w:r>
        <w:t xml:space="preserve"> </w:t>
      </w:r>
      <w:r>
        <w:tab/>
        <w:t>The Court of Appeal issued its</w:t>
      </w:r>
      <w:r>
        <w:t xml:space="preserve"> </w:t>
      </w:r>
      <w:r>
        <w:t>opinion, which it believed established the law of the case, after receiving an informal response but without issuing a</w:t>
      </w:r>
      <w:r>
        <w:t>n order to sh</w:t>
      </w:r>
      <w:r>
        <w:t>ow cause or holding oral argument.  (</w:t>
      </w:r>
      <w:r w:rsidRPr="00C030A2">
        <w:rPr>
          <w:i/>
        </w:rPr>
        <w:t>Lara</w:t>
      </w:r>
      <w:r>
        <w:t xml:space="preserve">, </w:t>
      </w:r>
      <w:r>
        <w:rPr>
          <w:i/>
        </w:rPr>
        <w:t>supra</w:t>
      </w:r>
      <w:r>
        <w:t>, 9 Cal.App.</w:t>
      </w:r>
      <w:r>
        <w:t>5th</w:t>
      </w:r>
      <w:r>
        <w:t xml:space="preserve"> at pp. 757-773</w:t>
      </w:r>
      <w:r>
        <w:t xml:space="preserve">.)  The </w:t>
      </w:r>
      <w:r>
        <w:t xml:space="preserve">People’s </w:t>
      </w:r>
      <w:r>
        <w:t xml:space="preserve">petition for review </w:t>
      </w:r>
      <w:proofErr w:type="gramStart"/>
      <w:r>
        <w:t>was limited</w:t>
      </w:r>
      <w:proofErr w:type="gramEnd"/>
      <w:r>
        <w:t xml:space="preserve"> to the merits and </w:t>
      </w:r>
      <w:r>
        <w:t xml:space="preserve">did not </w:t>
      </w:r>
      <w:r>
        <w:t>raise the procedural question</w:t>
      </w:r>
      <w:r>
        <w:t xml:space="preserve">.  Accordingly, we express no opinion regarding the </w:t>
      </w:r>
      <w:r>
        <w:t>propriety</w:t>
      </w:r>
      <w:r>
        <w:t xml:space="preserve"> of this procedure.</w:t>
      </w:r>
    </w:p>
  </w:footnote>
  <w:footnote w:id="5">
    <w:p w:rsidR="00927BFE" w:rsidRPr="006174E0" w:rsidRDefault="005A7AF0" w:rsidP="00927BFE">
      <w:pPr>
        <w:pStyle w:val="FootnoteText"/>
      </w:pPr>
      <w:r>
        <w:rPr>
          <w:rStyle w:val="FootnoteReference"/>
        </w:rPr>
        <w:footnoteRef/>
      </w:r>
      <w:r>
        <w:t xml:space="preserve"> </w:t>
      </w:r>
      <w:r>
        <w:tab/>
        <w:t xml:space="preserve">The hearing to determine whether a juvenile may </w:t>
      </w:r>
      <w:proofErr w:type="gramStart"/>
      <w:r>
        <w:t>be treated</w:t>
      </w:r>
      <w:proofErr w:type="gramEnd"/>
      <w:r>
        <w:t xml:space="preserve"> as an adult used to be called a “fitness hearing.”  (E.g., </w:t>
      </w:r>
      <w:proofErr w:type="spellStart"/>
      <w:r w:rsidRPr="00682CBD">
        <w:rPr>
          <w:i/>
        </w:rPr>
        <w:t>Manduley</w:t>
      </w:r>
      <w:proofErr w:type="spellEnd"/>
      <w:r w:rsidRPr="00682CBD">
        <w:rPr>
          <w:i/>
        </w:rPr>
        <w:t xml:space="preserve"> v. Superior Court</w:t>
      </w:r>
      <w:r>
        <w:t xml:space="preserve">, </w:t>
      </w:r>
      <w:r>
        <w:rPr>
          <w:i/>
        </w:rPr>
        <w:t>supra</w:t>
      </w:r>
      <w:r>
        <w:t>, 27 Cal.</w:t>
      </w:r>
      <w:r>
        <w:t>4th</w:t>
      </w:r>
      <w:r>
        <w:t xml:space="preserve"> at p. 546.)  However, the current section 707,</w:t>
      </w:r>
      <w:r>
        <w:t xml:space="preserve"> subdivision (a)(1),</w:t>
      </w:r>
      <w:r>
        <w:t xml:space="preserve"> as</w:t>
      </w:r>
      <w:r>
        <w:t xml:space="preserve"> amended by Proposition 57, refers to a “motion to transfer” the juvenile to adult court.  Accordingly, like some of the Courts of Appeal, we will call the hearing under the current statute a “transfer hearing.”</w:t>
      </w:r>
    </w:p>
  </w:footnote>
  <w:footnote w:id="6">
    <w:p w:rsidR="007C7BD9" w:rsidRPr="007C7BD9" w:rsidRDefault="005A7AF0">
      <w:pPr>
        <w:pStyle w:val="FootnoteText"/>
      </w:pPr>
      <w:r>
        <w:rPr>
          <w:rStyle w:val="FootnoteReference"/>
        </w:rPr>
        <w:footnoteRef/>
      </w:r>
      <w:r>
        <w:t xml:space="preserve"> </w:t>
      </w:r>
      <w:r>
        <w:tab/>
        <w:t xml:space="preserve">We have occasionally referred to </w:t>
      </w:r>
      <w:r w:rsidRPr="007C7BD9">
        <w:rPr>
          <w:i/>
        </w:rPr>
        <w:t>Estrada</w:t>
      </w:r>
      <w:r>
        <w:t xml:space="preserve"> </w:t>
      </w:r>
      <w:r>
        <w:t xml:space="preserve">as </w:t>
      </w:r>
      <w:r>
        <w:t xml:space="preserve">reflecting </w:t>
      </w:r>
      <w:r>
        <w:t xml:space="preserve">a “presumption.”  (E.g., </w:t>
      </w:r>
      <w:r w:rsidRPr="007C7BD9">
        <w:rPr>
          <w:i/>
        </w:rPr>
        <w:t>People v. Conley</w:t>
      </w:r>
      <w:r>
        <w:t xml:space="preserve">, </w:t>
      </w:r>
      <w:r>
        <w:rPr>
          <w:i/>
        </w:rPr>
        <w:t>supra</w:t>
      </w:r>
      <w:r>
        <w:t xml:space="preserve">, 63 Cal.4th at p. 656; </w:t>
      </w:r>
      <w:r w:rsidRPr="007C7BD9">
        <w:rPr>
          <w:i/>
        </w:rPr>
        <w:t>People v. Brown</w:t>
      </w:r>
      <w:r>
        <w:t xml:space="preserve"> (2012) 54 Cal.4th 314, 324.)  </w:t>
      </w:r>
      <w:r>
        <w:t xml:space="preserve">We meant this to convey that ordinarily it is reasonable to infer for purposes of statutory construction the Legislature </w:t>
      </w:r>
      <w:r>
        <w:t>intended</w:t>
      </w:r>
      <w:r>
        <w:t xml:space="preserve"> a reduction in punishment to apply retroactively</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387" w:rsidRDefault="005A7A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387" w:rsidRDefault="005A7A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387" w:rsidRDefault="005A7A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50C" w:rsidRDefault="005A7A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50C" w:rsidRDefault="005A7AF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50C" w:rsidRDefault="005A7A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printFractionalCharacterWidth/>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068"/>
    <w:rsid w:val="004F5068"/>
    <w:rsid w:val="005A7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D41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rPr>
  </w:style>
  <w:style w:type="paragraph" w:styleId="Heading1">
    <w:name w:val="heading 1"/>
    <w:basedOn w:val="Normal"/>
    <w:next w:val="Normal"/>
    <w:link w:val="Heading1Char"/>
    <w:qFormat/>
    <w:pPr>
      <w:keepNext/>
      <w:spacing w:line="480" w:lineRule="atLeast"/>
      <w:jc w:val="center"/>
      <w:outlineLvl w:val="0"/>
    </w:pPr>
    <w:rPr>
      <w:b/>
      <w:smallCaps/>
    </w:rPr>
  </w:style>
  <w:style w:type="paragraph" w:styleId="Heading2">
    <w:name w:val="heading 2"/>
    <w:basedOn w:val="Normal"/>
    <w:next w:val="Normal"/>
    <w:link w:val="Heading2Char"/>
    <w:qFormat/>
    <w:pPr>
      <w:keepNext/>
      <w:tabs>
        <w:tab w:val="left" w:pos="1152"/>
      </w:tabs>
      <w:spacing w:before="240" w:line="240" w:lineRule="atLeast"/>
      <w:ind w:left="1152" w:hanging="432"/>
      <w:outlineLvl w:val="1"/>
    </w:pPr>
    <w:rPr>
      <w:b/>
    </w:rPr>
  </w:style>
  <w:style w:type="paragraph" w:styleId="Heading3">
    <w:name w:val="heading 3"/>
    <w:basedOn w:val="Normal"/>
    <w:next w:val="NormalIndent"/>
    <w:qFormat/>
    <w:pPr>
      <w:keepNext/>
      <w:tabs>
        <w:tab w:val="left" w:pos="1584"/>
      </w:tabs>
      <w:spacing w:before="240" w:line="240" w:lineRule="atLeast"/>
      <w:ind w:left="1584" w:hanging="432"/>
      <w:outlineLvl w:val="2"/>
    </w:pPr>
    <w:rPr>
      <w:i/>
    </w:rPr>
  </w:style>
  <w:style w:type="paragraph" w:styleId="Heading4">
    <w:name w:val="heading 4"/>
    <w:basedOn w:val="Normal"/>
    <w:qFormat/>
    <w:pPr>
      <w:keepNext/>
      <w:tabs>
        <w:tab w:val="left" w:pos="2016"/>
      </w:tabs>
      <w:spacing w:before="240" w:line="240" w:lineRule="atLeast"/>
      <w:ind w:left="2016" w:hanging="432"/>
      <w:outlineLvl w:val="3"/>
    </w:pPr>
    <w:rPr>
      <w:i/>
    </w:rPr>
  </w:style>
  <w:style w:type="paragraph" w:styleId="Heading5">
    <w:name w:val="heading 5"/>
    <w:basedOn w:val="Normal"/>
    <w:qFormat/>
    <w:pPr>
      <w:keepNext/>
      <w:tabs>
        <w:tab w:val="left" w:pos="2448"/>
      </w:tabs>
      <w:spacing w:before="240" w:line="240" w:lineRule="atLeast"/>
      <w:ind w:left="2448" w:hanging="432"/>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FootnoteReference">
    <w:name w:val="footnote reference"/>
    <w:basedOn w:val="DefaultParagraphFont"/>
    <w:semiHidden/>
    <w:rPr>
      <w:b/>
      <w:position w:val="6"/>
      <w:sz w:val="20"/>
    </w:rPr>
  </w:style>
  <w:style w:type="paragraph" w:styleId="FootnoteText">
    <w:name w:val="footnote text"/>
    <w:basedOn w:val="Normal"/>
    <w:link w:val="FootnoteTextChar"/>
    <w:semiHidden/>
  </w:style>
  <w:style w:type="paragraph" w:customStyle="1" w:styleId="Title1">
    <w:name w:val="Title1"/>
    <w:basedOn w:val="Normal"/>
    <w:pPr>
      <w:tabs>
        <w:tab w:val="left" w:pos="5760"/>
        <w:tab w:val="left" w:pos="6480"/>
      </w:tabs>
      <w:spacing w:line="240" w:lineRule="atLeast"/>
    </w:pPr>
  </w:style>
  <w:style w:type="paragraph" w:customStyle="1" w:styleId="Recommend">
    <w:name w:val="Recommend"/>
    <w:basedOn w:val="Normal"/>
  </w:style>
  <w:style w:type="paragraph" w:customStyle="1" w:styleId="Summary">
    <w:name w:val="Summary"/>
    <w:basedOn w:val="Normal"/>
    <w:pPr>
      <w:ind w:left="2160" w:hanging="2160"/>
    </w:pPr>
  </w:style>
  <w:style w:type="paragraph" w:customStyle="1" w:styleId="Text">
    <w:name w:val="Text"/>
    <w:basedOn w:val="Normal"/>
    <w:pPr>
      <w:tabs>
        <w:tab w:val="left" w:pos="720"/>
        <w:tab w:val="left" w:pos="1440"/>
        <w:tab w:val="left" w:pos="2160"/>
        <w:tab w:val="center" w:pos="4320"/>
      </w:tabs>
      <w:spacing w:line="480" w:lineRule="atLeast"/>
      <w:ind w:firstLine="540"/>
    </w:pPr>
  </w:style>
  <w:style w:type="paragraph" w:styleId="Date">
    <w:name w:val="Date"/>
    <w:basedOn w:val="Normal"/>
    <w:semiHidden/>
    <w:pPr>
      <w:jc w:val="right"/>
    </w:pPr>
  </w:style>
  <w:style w:type="character" w:styleId="PageNumber">
    <w:name w:val="page number"/>
    <w:basedOn w:val="DefaultParagraphFont"/>
    <w:semiHidden/>
  </w:style>
  <w:style w:type="paragraph" w:customStyle="1" w:styleId="subject">
    <w:name w:val="subject"/>
    <w:basedOn w:val="Normal"/>
    <w:pPr>
      <w:tabs>
        <w:tab w:val="left" w:pos="1008"/>
      </w:tabs>
      <w:ind w:left="990" w:hanging="990"/>
    </w:pPr>
    <w:rPr>
      <w:b/>
    </w:rPr>
  </w:style>
  <w:style w:type="paragraph" w:customStyle="1" w:styleId="Titles">
    <w:name w:val="Titles"/>
    <w:basedOn w:val="Normal"/>
    <w:pPr>
      <w:tabs>
        <w:tab w:val="left" w:pos="2160"/>
      </w:tabs>
      <w:ind w:left="2160" w:hanging="2160"/>
    </w:pPr>
    <w:rPr>
      <w:b/>
    </w:rPr>
  </w:style>
  <w:style w:type="paragraph" w:styleId="TOAHeading">
    <w:name w:val="toa heading"/>
    <w:basedOn w:val="Normal"/>
    <w:next w:val="Normal"/>
    <w:semiHidden/>
    <w:pPr>
      <w:spacing w:before="120"/>
    </w:pPr>
    <w:rPr>
      <w:b/>
    </w:rPr>
  </w:style>
  <w:style w:type="paragraph" w:styleId="TOC1">
    <w:name w:val="toc 1"/>
    <w:basedOn w:val="Normal"/>
    <w:next w:val="Normal"/>
    <w:autoRedefine/>
    <w:semiHidden/>
  </w:style>
  <w:style w:type="paragraph" w:styleId="TOC2">
    <w:name w:val="toc 2"/>
    <w:basedOn w:val="Normal"/>
    <w:next w:val="Normal"/>
    <w:autoRedefine/>
    <w:semiHidden/>
    <w:pPr>
      <w:ind w:left="259"/>
    </w:pPr>
  </w:style>
  <w:style w:type="paragraph" w:styleId="TOC3">
    <w:name w:val="toc 3"/>
    <w:basedOn w:val="Normal"/>
    <w:next w:val="Normal"/>
    <w:autoRedefine/>
    <w:semiHidden/>
    <w:pPr>
      <w:ind w:left="520"/>
    </w:pPr>
  </w:style>
  <w:style w:type="paragraph" w:styleId="TOC4">
    <w:name w:val="toc 4"/>
    <w:basedOn w:val="Normal"/>
    <w:next w:val="Normal"/>
    <w:autoRedefine/>
    <w:semiHidden/>
    <w:pPr>
      <w:ind w:left="780"/>
    </w:pPr>
  </w:style>
  <w:style w:type="paragraph" w:styleId="TOC5">
    <w:name w:val="toc 5"/>
    <w:basedOn w:val="Normal"/>
    <w:next w:val="Normal"/>
    <w:autoRedefine/>
    <w:semiHidden/>
    <w:pPr>
      <w:ind w:left="1040"/>
    </w:pPr>
  </w:style>
  <w:style w:type="paragraph" w:styleId="TOC6">
    <w:name w:val="toc 6"/>
    <w:basedOn w:val="Normal"/>
    <w:next w:val="Normal"/>
    <w:autoRedefine/>
    <w:semiHidden/>
    <w:pPr>
      <w:ind w:left="1300"/>
    </w:p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Contents">
    <w:name w:val="Contents"/>
    <w:basedOn w:val="Normal"/>
    <w:pPr>
      <w:jc w:val="center"/>
    </w:pPr>
    <w:rPr>
      <w:b/>
      <w:spacing w:val="100"/>
    </w:rPr>
  </w:style>
  <w:style w:type="character" w:customStyle="1" w:styleId="Heading1Char">
    <w:name w:val="Heading 1 Char"/>
    <w:basedOn w:val="DefaultParagraphFont"/>
    <w:link w:val="Heading1"/>
    <w:rsid w:val="00927BFE"/>
    <w:rPr>
      <w:b/>
      <w:smallCaps/>
      <w:sz w:val="26"/>
    </w:rPr>
  </w:style>
  <w:style w:type="character" w:customStyle="1" w:styleId="Heading2Char">
    <w:name w:val="Heading 2 Char"/>
    <w:basedOn w:val="DefaultParagraphFont"/>
    <w:link w:val="Heading2"/>
    <w:rsid w:val="00927BFE"/>
    <w:rPr>
      <w:b/>
      <w:sz w:val="26"/>
    </w:rPr>
  </w:style>
  <w:style w:type="character" w:customStyle="1" w:styleId="FootnoteTextChar">
    <w:name w:val="Footnote Text Char"/>
    <w:basedOn w:val="DefaultParagraphFont"/>
    <w:link w:val="FootnoteText"/>
    <w:semiHidden/>
    <w:rsid w:val="00927BFE"/>
    <w:rPr>
      <w:sz w:val="26"/>
    </w:rPr>
  </w:style>
  <w:style w:type="paragraph" w:styleId="ListParagraph">
    <w:name w:val="List Paragraph"/>
    <w:basedOn w:val="Normal"/>
    <w:uiPriority w:val="34"/>
    <w:qFormat/>
    <w:rsid w:val="00C3348D"/>
    <w:pPr>
      <w:ind w:left="720"/>
      <w:contextualSpacing/>
    </w:pPr>
  </w:style>
  <w:style w:type="character" w:customStyle="1" w:styleId="HeaderChar">
    <w:name w:val="Header Char"/>
    <w:basedOn w:val="DefaultParagraphFont"/>
    <w:link w:val="Header"/>
    <w:rsid w:val="005A7AF0"/>
    <w:rPr>
      <w:sz w:val="26"/>
    </w:rPr>
  </w:style>
  <w:style w:type="character" w:customStyle="1" w:styleId="FooterChar">
    <w:name w:val="Footer Char"/>
    <w:basedOn w:val="DefaultParagraphFont"/>
    <w:link w:val="Footer"/>
    <w:rsid w:val="005A7AF0"/>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5399</Words>
  <Characters>29117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New majority calendar template</vt:lpstr>
    </vt:vector>
  </TitlesOfParts>
  <Company/>
  <LinksUpToDate>false</LinksUpToDate>
  <CharactersWithSpaces>34448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2018-01-31T20:02:00Z</dcterms:created>
  <dcterms:modified xsi:type="dcterms:W3CDTF">2018-01-31T20:03:00Z</dcterms:modified>
</cp:coreProperties>
</file>