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D4B6D" w:rsidRPr="00E17546" w:rsidP="009E612D">
      <w:pPr>
        <w:pStyle w:val="Heading1"/>
        <w:rPr>
          <w:sz w:val="36"/>
          <w:szCs w:val="36"/>
        </w:rPr>
      </w:pPr>
      <w:r w:rsidRPr="00E17546">
        <w:rPr>
          <w:sz w:val="36"/>
          <w:szCs w:val="36"/>
        </w:rPr>
        <w:t>IN THE SUPREME COURT OF CALIFORNIA</w:t>
      </w:r>
    </w:p>
    <w:p w:rsidR="004D4B6D" w:rsidP="004D4B6D">
      <w:pPr>
        <w:tabs>
          <w:tab w:val="left" w:pos="720"/>
          <w:tab w:val="left" w:pos="1440"/>
        </w:tabs>
        <w:spacing w:after="0"/>
        <w:jc w:val="center"/>
        <w:rPr>
          <w:caps/>
        </w:rPr>
      </w:pPr>
    </w:p>
    <w:p w:rsidR="004D4B6D" w:rsidP="004D4B6D">
      <w:pPr>
        <w:tabs>
          <w:tab w:val="left" w:pos="720"/>
          <w:tab w:val="left" w:pos="1440"/>
        </w:tabs>
        <w:spacing w:after="0"/>
        <w:jc w:val="center"/>
        <w:rPr>
          <w:caps/>
        </w:rPr>
      </w:pPr>
      <w:r>
        <w:rPr>
          <w:caps/>
        </w:rPr>
        <w:t>THE PEOPLE</w:t>
      </w:r>
      <w:r w:rsidR="00815AF9">
        <w:rPr>
          <w:caps/>
        </w:rPr>
        <w:t>,</w:t>
      </w:r>
    </w:p>
    <w:p w:rsidR="004D4B6D" w:rsidRPr="004D4B6D" w:rsidP="004D4B6D">
      <w:pPr>
        <w:tabs>
          <w:tab w:val="left" w:pos="720"/>
          <w:tab w:val="left" w:pos="1440"/>
        </w:tabs>
        <w:spacing w:after="0"/>
        <w:jc w:val="center"/>
      </w:pPr>
      <w:r w:rsidRPr="004D4B6D">
        <w:t>Plaintiff and Respondent</w:t>
      </w:r>
      <w:r w:rsidR="00815AF9">
        <w:t>,</w:t>
      </w:r>
    </w:p>
    <w:p w:rsidR="004D4B6D" w:rsidRPr="004D4B6D" w:rsidP="004D4B6D">
      <w:pPr>
        <w:tabs>
          <w:tab w:val="left" w:pos="720"/>
          <w:tab w:val="left" w:pos="1440"/>
        </w:tabs>
        <w:spacing w:after="0"/>
        <w:jc w:val="center"/>
      </w:pPr>
      <w:r w:rsidRPr="004D4B6D">
        <w:t>v.</w:t>
      </w:r>
    </w:p>
    <w:p w:rsidR="004D4B6D" w:rsidP="004D4B6D">
      <w:pPr>
        <w:tabs>
          <w:tab w:val="left" w:pos="720"/>
          <w:tab w:val="left" w:pos="1440"/>
        </w:tabs>
        <w:spacing w:after="0"/>
        <w:jc w:val="center"/>
        <w:rPr>
          <w:caps/>
        </w:rPr>
      </w:pPr>
      <w:r>
        <w:rPr>
          <w:caps/>
        </w:rPr>
        <w:t>CRISTIAN RENTERIA</w:t>
      </w:r>
      <w:r w:rsidR="00815AF9">
        <w:rPr>
          <w:caps/>
        </w:rPr>
        <w:t>,</w:t>
      </w:r>
    </w:p>
    <w:p w:rsidR="004D4B6D" w:rsidRPr="004D4B6D" w:rsidP="004D4B6D">
      <w:pPr>
        <w:tabs>
          <w:tab w:val="left" w:pos="720"/>
          <w:tab w:val="left" w:pos="1440"/>
        </w:tabs>
        <w:spacing w:after="0"/>
        <w:jc w:val="center"/>
      </w:pPr>
      <w:r w:rsidRPr="004D4B6D">
        <w:t>Defendant and Appellant.</w:t>
      </w:r>
    </w:p>
    <w:p w:rsidR="004D4B6D" w:rsidP="004D4B6D">
      <w:pPr>
        <w:tabs>
          <w:tab w:val="left" w:pos="720"/>
          <w:tab w:val="left" w:pos="1440"/>
        </w:tabs>
        <w:spacing w:after="0"/>
        <w:jc w:val="center"/>
        <w:rPr>
          <w:caps/>
        </w:rPr>
      </w:pPr>
    </w:p>
    <w:p w:rsidR="004D4B6D" w:rsidP="004D4B6D">
      <w:pPr>
        <w:tabs>
          <w:tab w:val="left" w:pos="720"/>
          <w:tab w:val="left" w:pos="1440"/>
        </w:tabs>
        <w:spacing w:after="0"/>
        <w:jc w:val="center"/>
        <w:rPr>
          <w:caps/>
        </w:rPr>
      </w:pPr>
      <w:r>
        <w:rPr>
          <w:caps/>
        </w:rPr>
        <w:t>S266854</w:t>
      </w:r>
    </w:p>
    <w:p w:rsidR="004D4B6D" w:rsidP="004D4B6D">
      <w:pPr>
        <w:tabs>
          <w:tab w:val="left" w:pos="720"/>
          <w:tab w:val="left" w:pos="1440"/>
        </w:tabs>
        <w:spacing w:after="0"/>
        <w:jc w:val="center"/>
        <w:rPr>
          <w:caps/>
        </w:rPr>
      </w:pPr>
    </w:p>
    <w:p w:rsidR="004D4B6D" w:rsidRPr="004D4B6D" w:rsidP="004D4B6D">
      <w:pPr>
        <w:tabs>
          <w:tab w:val="left" w:pos="720"/>
          <w:tab w:val="left" w:pos="1440"/>
        </w:tabs>
        <w:spacing w:after="0"/>
        <w:jc w:val="center"/>
      </w:pPr>
      <w:r w:rsidRPr="004D4B6D">
        <w:t>Fifth Appellate District</w:t>
      </w:r>
    </w:p>
    <w:p w:rsidR="004D4B6D" w:rsidP="004D4B6D">
      <w:pPr>
        <w:tabs>
          <w:tab w:val="left" w:pos="720"/>
          <w:tab w:val="left" w:pos="1440"/>
        </w:tabs>
        <w:spacing w:after="0"/>
        <w:jc w:val="center"/>
        <w:rPr>
          <w:caps/>
        </w:rPr>
      </w:pPr>
      <w:r>
        <w:rPr>
          <w:caps/>
        </w:rPr>
        <w:t>F076973</w:t>
      </w:r>
    </w:p>
    <w:p w:rsidR="004D4B6D" w:rsidP="004D4B6D">
      <w:pPr>
        <w:tabs>
          <w:tab w:val="left" w:pos="720"/>
          <w:tab w:val="left" w:pos="1440"/>
        </w:tabs>
        <w:spacing w:after="0"/>
        <w:jc w:val="center"/>
        <w:rPr>
          <w:caps/>
        </w:rPr>
      </w:pPr>
    </w:p>
    <w:p w:rsidR="004D4B6D" w:rsidRPr="004D4B6D" w:rsidP="004D4B6D">
      <w:pPr>
        <w:tabs>
          <w:tab w:val="left" w:pos="720"/>
          <w:tab w:val="left" w:pos="1440"/>
        </w:tabs>
        <w:spacing w:after="0"/>
        <w:jc w:val="center"/>
      </w:pPr>
      <w:r w:rsidRPr="004D4B6D">
        <w:t>Tulare County Superior Court</w:t>
      </w:r>
    </w:p>
    <w:p w:rsidR="004D4B6D" w:rsidP="004D4B6D">
      <w:pPr>
        <w:tabs>
          <w:tab w:val="left" w:pos="720"/>
          <w:tab w:val="left" w:pos="1440"/>
        </w:tabs>
        <w:spacing w:after="0"/>
        <w:jc w:val="center"/>
        <w:rPr>
          <w:caps/>
        </w:rPr>
      </w:pPr>
      <w:r>
        <w:rPr>
          <w:caps/>
        </w:rPr>
        <w:t>VCF304654</w:t>
      </w:r>
    </w:p>
    <w:p w:rsidR="004D4B6D" w:rsidP="004D4B6D">
      <w:pPr>
        <w:pBdr>
          <w:bottom w:val="single" w:sz="4" w:space="1" w:color="auto"/>
        </w:pBdr>
        <w:tabs>
          <w:tab w:val="left" w:pos="720"/>
          <w:tab w:val="left" w:pos="1440"/>
        </w:tabs>
        <w:spacing w:after="0"/>
        <w:jc w:val="center"/>
        <w:rPr>
          <w:caps/>
        </w:rPr>
      </w:pPr>
    </w:p>
    <w:p w:rsidR="004D4B6D" w:rsidP="004D4B6D">
      <w:pPr>
        <w:tabs>
          <w:tab w:val="left" w:pos="720"/>
          <w:tab w:val="left" w:pos="1440"/>
        </w:tabs>
        <w:spacing w:after="0"/>
        <w:jc w:val="center"/>
        <w:rPr>
          <w:caps/>
        </w:rPr>
      </w:pPr>
    </w:p>
    <w:p w:rsidR="004D4B6D" w:rsidP="004D4B6D">
      <w:pPr>
        <w:tabs>
          <w:tab w:val="left" w:pos="720"/>
          <w:tab w:val="left" w:pos="1440"/>
        </w:tabs>
        <w:spacing w:after="0"/>
        <w:jc w:val="center"/>
        <w:rPr>
          <w:caps/>
        </w:rPr>
      </w:pPr>
      <w:r>
        <w:rPr>
          <w:caps/>
        </w:rPr>
        <w:t>A</w:t>
      </w:r>
      <w:r>
        <w:t>ugust 25</w:t>
      </w:r>
      <w:r>
        <w:rPr>
          <w:caps/>
        </w:rPr>
        <w:t>, 2022</w:t>
      </w:r>
    </w:p>
    <w:p w:rsidR="004D4B6D" w:rsidP="004D4B6D">
      <w:pPr>
        <w:tabs>
          <w:tab w:val="left" w:pos="720"/>
          <w:tab w:val="left" w:pos="1440"/>
        </w:tabs>
        <w:spacing w:after="0"/>
        <w:jc w:val="center"/>
        <w:rPr>
          <w:caps/>
        </w:rPr>
      </w:pPr>
    </w:p>
    <w:p w:rsidR="004D4B6D" w:rsidRPr="004D4B6D" w:rsidP="003B3488">
      <w:pPr>
        <w:tabs>
          <w:tab w:val="left" w:pos="720"/>
          <w:tab w:val="left" w:pos="1440"/>
        </w:tabs>
        <w:spacing w:after="0"/>
        <w:jc w:val="left"/>
      </w:pPr>
      <w:r w:rsidRPr="004D4B6D">
        <w:t xml:space="preserve">Justice Kruger authored the opinion of the Court, in which </w:t>
      </w:r>
      <w:r w:rsidR="00672FC4">
        <w:t xml:space="preserve">Chief Justice Cantil-Sakauye and Justices Corrigan, Liu, Groban, Jenkins, and Guerrero </w:t>
      </w:r>
      <w:r w:rsidRPr="004D4B6D">
        <w:t>concurred.</w:t>
      </w:r>
    </w:p>
    <w:p w:rsidR="004D4B6D" w:rsidRPr="004D4B6D" w:rsidP="004D4B6D">
      <w:pPr>
        <w:pBdr>
          <w:bottom w:val="single" w:sz="4" w:space="1" w:color="auto"/>
        </w:pBdr>
        <w:tabs>
          <w:tab w:val="left" w:pos="720"/>
          <w:tab w:val="left" w:pos="1440"/>
        </w:tabs>
        <w:spacing w:line="480" w:lineRule="atLeast"/>
        <w:jc w:val="left"/>
        <w:rPr>
          <w:caps/>
        </w:rPr>
      </w:pPr>
      <w:bookmarkStart w:id="0" w:name="Return"/>
      <w:bookmarkEnd w:id="0"/>
    </w:p>
    <w:p w:rsidR="00CE5499">
      <w:pPr>
        <w:spacing w:after="0" w:line="240" w:lineRule="auto"/>
        <w:jc w:val="left"/>
        <w:rPr>
          <w:b/>
          <w:caps/>
        </w:rPr>
        <w:sectPr w:rsidSect="00CE549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0"/>
          <w:cols w:space="720"/>
          <w:titlePg/>
          <w:docGrid w:linePitch="367"/>
        </w:sectPr>
      </w:pPr>
    </w:p>
    <w:p w:rsidR="004D4B6D" w:rsidRPr="004D4B6D" w:rsidP="004D4B6D">
      <w:pPr>
        <w:tabs>
          <w:tab w:val="left" w:pos="720"/>
          <w:tab w:val="left" w:pos="1440"/>
        </w:tabs>
        <w:jc w:val="center"/>
        <w:rPr>
          <w:bCs/>
          <w:caps/>
        </w:rPr>
      </w:pPr>
      <w:r w:rsidRPr="004D4B6D">
        <w:rPr>
          <w:bCs/>
          <w:caps/>
        </w:rPr>
        <w:t xml:space="preserve">PEOPLE </w:t>
      </w:r>
      <w:r w:rsidR="008019B9">
        <w:rPr>
          <w:bCs/>
        </w:rPr>
        <w:t>v.</w:t>
      </w:r>
      <w:r w:rsidRPr="004D4B6D">
        <w:rPr>
          <w:bCs/>
          <w:caps/>
        </w:rPr>
        <w:t xml:space="preserve"> RENTERIA</w:t>
      </w:r>
    </w:p>
    <w:p w:rsidR="004D4B6D" w:rsidRPr="004D4B6D" w:rsidP="004D4B6D">
      <w:pPr>
        <w:tabs>
          <w:tab w:val="left" w:pos="720"/>
          <w:tab w:val="left" w:pos="1440"/>
        </w:tabs>
        <w:jc w:val="center"/>
        <w:rPr>
          <w:bCs/>
          <w:caps/>
        </w:rPr>
      </w:pPr>
      <w:r w:rsidRPr="004D4B6D">
        <w:rPr>
          <w:bCs/>
          <w:caps/>
        </w:rPr>
        <w:t>S266854</w:t>
      </w:r>
    </w:p>
    <w:p w:rsidR="004D4B6D" w:rsidP="004D4B6D">
      <w:pPr>
        <w:tabs>
          <w:tab w:val="left" w:pos="720"/>
          <w:tab w:val="left" w:pos="1440"/>
        </w:tabs>
        <w:jc w:val="center"/>
        <w:rPr>
          <w:b/>
          <w:caps/>
        </w:rPr>
      </w:pPr>
    </w:p>
    <w:p w:rsidR="004D4B6D" w:rsidP="004D4B6D">
      <w:pPr>
        <w:tabs>
          <w:tab w:val="left" w:pos="720"/>
          <w:tab w:val="left" w:pos="1440"/>
        </w:tabs>
        <w:spacing w:after="0"/>
        <w:jc w:val="center"/>
      </w:pPr>
      <w:r w:rsidRPr="004D4B6D">
        <w:t>Opinion of the Court by Kruger, J.</w:t>
      </w:r>
    </w:p>
    <w:p w:rsidR="00166E11" w:rsidRPr="004D4B6D" w:rsidP="004D4B6D">
      <w:pPr>
        <w:tabs>
          <w:tab w:val="left" w:pos="720"/>
          <w:tab w:val="left" w:pos="1440"/>
        </w:tabs>
        <w:spacing w:after="0"/>
        <w:jc w:val="center"/>
      </w:pPr>
    </w:p>
    <w:p w:rsidR="00032556" w:rsidP="00F81B89">
      <w:pPr>
        <w:tabs>
          <w:tab w:val="left" w:pos="720"/>
          <w:tab w:val="left" w:pos="1440"/>
        </w:tabs>
        <w:ind w:firstLine="720"/>
      </w:pPr>
      <w:r w:rsidRPr="004D4B6D">
        <w:t xml:space="preserve">Late one </w:t>
      </w:r>
      <w:r w:rsidR="001A2D53">
        <w:t xml:space="preserve">August </w:t>
      </w:r>
      <w:r w:rsidRPr="004D4B6D">
        <w:t xml:space="preserve">night, Cristian Renteria walked </w:t>
      </w:r>
      <w:r w:rsidRPr="004D4B6D" w:rsidR="00C117A1">
        <w:t>t</w:t>
      </w:r>
      <w:r w:rsidRPr="004D4B6D">
        <w:t xml:space="preserve">hrough a neighborhood </w:t>
      </w:r>
      <w:r w:rsidRPr="004D4B6D" w:rsidR="00192237">
        <w:t xml:space="preserve">in Tulare </w:t>
      </w:r>
      <w:r w:rsidRPr="004D4B6D">
        <w:t>and fired a gun at a hous</w:t>
      </w:r>
      <w:r w:rsidRPr="004D4B6D" w:rsidR="00C117A1">
        <w:t>e</w:t>
      </w:r>
      <w:r w:rsidRPr="004D4B6D" w:rsidR="00192237">
        <w:t>.</w:t>
      </w:r>
      <w:r w:rsidRPr="004D4B6D" w:rsidR="00E37EAC">
        <w:t xml:space="preserve">  </w:t>
      </w:r>
      <w:r w:rsidRPr="004D4B6D" w:rsidR="00192237">
        <w:t>Then, a</w:t>
      </w:r>
      <w:r w:rsidRPr="004D4B6D" w:rsidR="00150999">
        <w:t xml:space="preserve">fter </w:t>
      </w:r>
      <w:r w:rsidRPr="004D4B6D" w:rsidR="00C117A1">
        <w:t xml:space="preserve">a dog barked next door, </w:t>
      </w:r>
      <w:r w:rsidRPr="004D4B6D" w:rsidR="00192237">
        <w:t xml:space="preserve">Renteria </w:t>
      </w:r>
      <w:r w:rsidRPr="004D4B6D" w:rsidR="00C117A1">
        <w:t xml:space="preserve">fired </w:t>
      </w:r>
      <w:r w:rsidRPr="004D4B6D" w:rsidR="00192237">
        <w:t xml:space="preserve">the </w:t>
      </w:r>
      <w:r w:rsidRPr="004D4B6D" w:rsidR="00C117A1">
        <w:t>gun at that house, too.</w:t>
      </w:r>
      <w:r w:rsidRPr="004D4B6D" w:rsidR="00013DCD">
        <w:t xml:space="preserve">  For this episode</w:t>
      </w:r>
      <w:r w:rsidRPr="004D4B6D" w:rsidR="009C0C30">
        <w:t> </w:t>
      </w:r>
      <w:r w:rsidRPr="004D4B6D" w:rsidR="00013DCD">
        <w:t>—</w:t>
      </w:r>
      <w:r w:rsidRPr="004D4B6D" w:rsidR="002702A2">
        <w:t xml:space="preserve"> </w:t>
      </w:r>
      <w:r w:rsidRPr="004D4B6D" w:rsidR="00013DCD">
        <w:t xml:space="preserve">which fortunately </w:t>
      </w:r>
      <w:r w:rsidRPr="004D4B6D" w:rsidR="003C3005">
        <w:t>did not result in any injuries</w:t>
      </w:r>
      <w:r w:rsidRPr="004D4B6D" w:rsidR="009C0C30">
        <w:t> </w:t>
      </w:r>
      <w:r w:rsidRPr="004D4B6D" w:rsidR="00013DCD">
        <w:t xml:space="preserve">— a </w:t>
      </w:r>
      <w:r w:rsidRPr="004D4B6D" w:rsidR="00CC2987">
        <w:t xml:space="preserve">jury convicted </w:t>
      </w:r>
      <w:r w:rsidRPr="004D4B6D" w:rsidR="00013DCD">
        <w:t xml:space="preserve">Renteria </w:t>
      </w:r>
      <w:r w:rsidRPr="004D4B6D" w:rsidR="00F237B2">
        <w:t xml:space="preserve">of </w:t>
      </w:r>
      <w:r w:rsidRPr="004D4B6D" w:rsidR="00C53980">
        <w:t xml:space="preserve">two counts of </w:t>
      </w:r>
      <w:r w:rsidRPr="004D4B6D" w:rsidR="009700F5">
        <w:t xml:space="preserve">shooting at </w:t>
      </w:r>
      <w:r w:rsidRPr="004D4B6D" w:rsidR="00C53980">
        <w:t xml:space="preserve">an </w:t>
      </w:r>
      <w:r w:rsidRPr="004D4B6D" w:rsidR="009700F5">
        <w:t xml:space="preserve">inhabited </w:t>
      </w:r>
      <w:r w:rsidRPr="004D4B6D" w:rsidR="00C53980">
        <w:t>dwelling</w:t>
      </w:r>
      <w:r w:rsidRPr="004D4B6D" w:rsidR="006B0715">
        <w:t>.  (Pe</w:t>
      </w:r>
      <w:r w:rsidRPr="004D4B6D" w:rsidR="00D56EDE">
        <w:t>n.</w:t>
      </w:r>
      <w:r w:rsidRPr="004D4B6D" w:rsidR="006B0715">
        <w:t xml:space="preserve"> Code</w:t>
      </w:r>
      <w:r w:rsidRPr="004D4B6D" w:rsidR="009C0C30">
        <w:t>,</w:t>
      </w:r>
      <w:r w:rsidRPr="004D4B6D" w:rsidR="006B0715">
        <w:t xml:space="preserve"> § 246.)  </w:t>
      </w:r>
      <w:r w:rsidRPr="004D4B6D" w:rsidR="0045659F">
        <w:t>That offense is ordinarily punishable by no more than seven years of imprisonment.  (</w:t>
      </w:r>
      <w:r w:rsidRPr="004D4B6D" w:rsidR="0045659F">
        <w:rPr>
          <w:i/>
          <w:iCs/>
        </w:rPr>
        <w:t>Ibid</w:t>
      </w:r>
      <w:r w:rsidRPr="004D4B6D" w:rsidR="0045659F">
        <w:t xml:space="preserve">.)  </w:t>
      </w:r>
      <w:r w:rsidRPr="004D4B6D" w:rsidR="002056E8">
        <w:t xml:space="preserve">But </w:t>
      </w:r>
      <w:r w:rsidRPr="004D4B6D" w:rsidR="00150999">
        <w:t>the prosecution alleged</w:t>
      </w:r>
      <w:r w:rsidR="002B1E0F">
        <w:t xml:space="preserve"> </w:t>
      </w:r>
      <w:r w:rsidRPr="004D4B6D" w:rsidR="00150999">
        <w:t>that Renteria</w:t>
      </w:r>
      <w:r w:rsidRPr="004D4B6D" w:rsidR="00047239">
        <w:t xml:space="preserve"> </w:t>
      </w:r>
      <w:r w:rsidRPr="004D4B6D" w:rsidR="003C0C55">
        <w:t xml:space="preserve">was subject to </w:t>
      </w:r>
      <w:r w:rsidR="002B1E0F">
        <w:t xml:space="preserve">indeterminate life terms </w:t>
      </w:r>
      <w:r w:rsidRPr="004D4B6D" w:rsidR="000A4B3F">
        <w:t xml:space="preserve">for </w:t>
      </w:r>
      <w:r w:rsidR="00273FB6">
        <w:t xml:space="preserve">the </w:t>
      </w:r>
      <w:r w:rsidRPr="004D4B6D" w:rsidR="000A4B3F">
        <w:t xml:space="preserve">shootings </w:t>
      </w:r>
      <w:r w:rsidR="00F81B89">
        <w:t xml:space="preserve">because </w:t>
      </w:r>
      <w:r w:rsidR="00273FB6">
        <w:t xml:space="preserve">he </w:t>
      </w:r>
      <w:r w:rsidRPr="004D4B6D" w:rsidR="00F81B89">
        <w:t>committed the crimes “for the benefit of . . . any criminal street gang, with the specific intent to promote, further, or assist in any criminal conduct by gang members.”  (</w:t>
      </w:r>
      <w:r w:rsidRPr="004D4B6D" w:rsidR="00F81B89">
        <w:rPr>
          <w:i/>
          <w:iCs/>
        </w:rPr>
        <w:t>Id</w:t>
      </w:r>
      <w:r w:rsidRPr="004D4B6D" w:rsidR="00F81B89">
        <w:t xml:space="preserve">., </w:t>
      </w:r>
      <w:r w:rsidR="0022312C">
        <w:t>former </w:t>
      </w:r>
      <w:r w:rsidRPr="004D4B6D" w:rsidR="00F81B89">
        <w:t>§ 186.22</w:t>
      </w:r>
      <w:r w:rsidR="00F929E9">
        <w:t xml:space="preserve">, subdivision </w:t>
      </w:r>
      <w:r w:rsidRPr="004D4B6D" w:rsidR="00F81B89">
        <w:t xml:space="preserve">(b)(4).) </w:t>
      </w:r>
      <w:r w:rsidR="00DC53F9">
        <w:t xml:space="preserve"> </w:t>
      </w:r>
      <w:r w:rsidR="00F81B89">
        <w:t xml:space="preserve">While </w:t>
      </w:r>
      <w:r w:rsidR="002D2C97">
        <w:t>Renteria</w:t>
      </w:r>
      <w:r w:rsidR="00B14E66">
        <w:t xml:space="preserve"> was a </w:t>
      </w:r>
      <w:r w:rsidR="00B575BA">
        <w:t xml:space="preserve">gang member, </w:t>
      </w:r>
      <w:r w:rsidR="004C5336">
        <w:t xml:space="preserve">there was no evidence he was accompanied by any other </w:t>
      </w:r>
      <w:r w:rsidR="002D2C97">
        <w:t>gang members at the time of the shooting</w:t>
      </w:r>
      <w:r w:rsidR="00B14E66">
        <w:t>.</w:t>
      </w:r>
      <w:r w:rsidR="004C5336">
        <w:t xml:space="preserve">  </w:t>
      </w:r>
      <w:r w:rsidR="00B14E66">
        <w:t>T</w:t>
      </w:r>
      <w:r w:rsidR="002D2C97">
        <w:t xml:space="preserve">he jury </w:t>
      </w:r>
      <w:r w:rsidR="00A66E7B">
        <w:t xml:space="preserve">nonetheless </w:t>
      </w:r>
      <w:r w:rsidR="002D2C97">
        <w:t xml:space="preserve">found </w:t>
      </w:r>
      <w:r>
        <w:t xml:space="preserve">the </w:t>
      </w:r>
      <w:r w:rsidR="00010BBC">
        <w:t xml:space="preserve">gang </w:t>
      </w:r>
      <w:r>
        <w:t>allegation true</w:t>
      </w:r>
      <w:r w:rsidR="002B1E0F">
        <w:t xml:space="preserve">, and </w:t>
      </w:r>
      <w:r w:rsidRPr="004D4B6D" w:rsidR="002121F7">
        <w:t xml:space="preserve">Renteria </w:t>
      </w:r>
      <w:r w:rsidRPr="004D4B6D" w:rsidR="00AF5A16">
        <w:t>was sentenced to</w:t>
      </w:r>
      <w:r w:rsidRPr="004D4B6D" w:rsidR="009F6577">
        <w:t xml:space="preserve"> </w:t>
      </w:r>
      <w:r w:rsidRPr="004D4B6D" w:rsidR="00E81CFA">
        <w:t xml:space="preserve">two </w:t>
      </w:r>
      <w:r w:rsidRPr="004D4B6D" w:rsidR="009F6577">
        <w:t>indeterminate term</w:t>
      </w:r>
      <w:r w:rsidRPr="004D4B6D" w:rsidR="00E81CFA">
        <w:t xml:space="preserve">s of </w:t>
      </w:r>
      <w:r w:rsidR="000B4A6C">
        <w:t xml:space="preserve">life </w:t>
      </w:r>
      <w:r w:rsidRPr="004D4B6D" w:rsidR="00E81CFA">
        <w:t>imprisonment</w:t>
      </w:r>
      <w:r w:rsidRPr="004D4B6D" w:rsidR="009F6577">
        <w:t>.</w:t>
      </w:r>
      <w:r w:rsidRPr="004D4B6D" w:rsidR="009C0C30">
        <w:t xml:space="preserve">  </w:t>
      </w:r>
    </w:p>
    <w:p w:rsidR="009F351B" w:rsidRPr="004D4B6D" w:rsidP="002D2C97">
      <w:pPr>
        <w:tabs>
          <w:tab w:val="left" w:pos="720"/>
          <w:tab w:val="left" w:pos="1440"/>
        </w:tabs>
        <w:ind w:firstLine="720"/>
      </w:pPr>
      <w:r w:rsidRPr="004D4B6D">
        <w:t>Renteria challenge</w:t>
      </w:r>
      <w:r w:rsidRPr="004D4B6D" w:rsidR="0020048E">
        <w:t>d</w:t>
      </w:r>
      <w:r w:rsidRPr="004D4B6D">
        <w:t xml:space="preserve"> the </w:t>
      </w:r>
      <w:r w:rsidRPr="004D4B6D" w:rsidR="00E150E8">
        <w:t xml:space="preserve">gang </w:t>
      </w:r>
      <w:r w:rsidR="00F315DA">
        <w:t>penalt</w:t>
      </w:r>
      <w:r w:rsidR="00BB1E0D">
        <w:t>ies</w:t>
      </w:r>
      <w:r w:rsidRPr="004D4B6D">
        <w:t xml:space="preserve"> as unsupported by the evidence</w:t>
      </w:r>
      <w:r w:rsidRPr="004D4B6D" w:rsidR="0020048E">
        <w:t>, but the Court of Appeal affirmed</w:t>
      </w:r>
      <w:r w:rsidRPr="004D4B6D" w:rsidR="00E65673">
        <w:t xml:space="preserve">, relying on </w:t>
      </w:r>
      <w:r w:rsidR="000B4A6C">
        <w:t xml:space="preserve">an expert’s </w:t>
      </w:r>
      <w:r w:rsidRPr="004D4B6D" w:rsidR="00E65673">
        <w:t xml:space="preserve">testimony </w:t>
      </w:r>
      <w:r w:rsidRPr="004D4B6D" w:rsidR="009D3C33">
        <w:t xml:space="preserve">that </w:t>
      </w:r>
      <w:r w:rsidRPr="004D4B6D" w:rsidR="00BD03AD">
        <w:t xml:space="preserve">a gang member’s </w:t>
      </w:r>
      <w:r w:rsidRPr="004D4B6D" w:rsidR="00130AF6">
        <w:t xml:space="preserve">acts of violence </w:t>
      </w:r>
      <w:r w:rsidR="000A5B16">
        <w:t xml:space="preserve">both </w:t>
      </w:r>
      <w:r w:rsidRPr="004D4B6D" w:rsidR="001F3482">
        <w:t xml:space="preserve">benefit </w:t>
      </w:r>
      <w:r w:rsidR="000A5B16">
        <w:t xml:space="preserve">the gang </w:t>
      </w:r>
      <w:r w:rsidRPr="004D4B6D" w:rsidR="0013189C">
        <w:t xml:space="preserve">and promote </w:t>
      </w:r>
      <w:r w:rsidR="00F65712">
        <w:t xml:space="preserve">its </w:t>
      </w:r>
      <w:r w:rsidR="00CC2E94">
        <w:t xml:space="preserve">members’ </w:t>
      </w:r>
      <w:r w:rsidR="00F65712">
        <w:t xml:space="preserve">criminal activities </w:t>
      </w:r>
      <w:r w:rsidRPr="004D4B6D" w:rsidR="00BD03AD">
        <w:t xml:space="preserve">by enhancing </w:t>
      </w:r>
      <w:r w:rsidR="006E7842">
        <w:t>the gang’s</w:t>
      </w:r>
      <w:r w:rsidRPr="004D4B6D" w:rsidR="00BD03AD">
        <w:t xml:space="preserve"> reputation</w:t>
      </w:r>
      <w:r w:rsidRPr="004D4B6D" w:rsidR="005503C7">
        <w:t xml:space="preserve"> </w:t>
      </w:r>
      <w:r w:rsidRPr="004D4B6D" w:rsidR="00BA59FF">
        <w:t xml:space="preserve">for violence </w:t>
      </w:r>
      <w:r w:rsidRPr="004D4B6D" w:rsidR="005503C7">
        <w:t>in the community</w:t>
      </w:r>
      <w:r w:rsidRPr="004D4B6D" w:rsidR="00BD03AD">
        <w:t>.</w:t>
      </w:r>
    </w:p>
    <w:p w:rsidR="00565470" w:rsidP="00B457E2">
      <w:pPr>
        <w:tabs>
          <w:tab w:val="left" w:pos="720"/>
          <w:tab w:val="left" w:pos="1440"/>
        </w:tabs>
        <w:ind w:firstLine="720"/>
      </w:pPr>
      <w:r>
        <w:t>W</w:t>
      </w:r>
      <w:r w:rsidRPr="004D4B6D" w:rsidR="00A420B0">
        <w:t xml:space="preserve">e </w:t>
      </w:r>
      <w:r w:rsidR="006E2FBE">
        <w:t xml:space="preserve">granted review to </w:t>
      </w:r>
      <w:r w:rsidR="000B4A6C">
        <w:t xml:space="preserve">address </w:t>
      </w:r>
      <w:r w:rsidR="006E2FBE">
        <w:t xml:space="preserve">the </w:t>
      </w:r>
      <w:r w:rsidR="00B457E2">
        <w:t xml:space="preserve">showing the prosecution must make to establish that </w:t>
      </w:r>
      <w:r w:rsidR="00273FB6">
        <w:t xml:space="preserve">Penal Code section 186.22 </w:t>
      </w:r>
      <w:r w:rsidR="00B457E2">
        <w:t xml:space="preserve">gang </w:t>
      </w:r>
      <w:r w:rsidR="00BB1E0D">
        <w:t xml:space="preserve">enhancements or penalties </w:t>
      </w:r>
      <w:r w:rsidR="00B457E2">
        <w:t>appl</w:t>
      </w:r>
      <w:r w:rsidR="00C923F6">
        <w:t>y</w:t>
      </w:r>
      <w:r w:rsidR="00B457E2">
        <w:t xml:space="preserve"> to a crime committed by a gang </w:t>
      </w:r>
      <w:r w:rsidR="00B457E2">
        <w:t xml:space="preserve">member </w:t>
      </w:r>
      <w:r w:rsidR="00494844">
        <w:t xml:space="preserve">who </w:t>
      </w:r>
      <w:r w:rsidR="00B457E2">
        <w:t>act</w:t>
      </w:r>
      <w:r w:rsidR="00494844">
        <w:t>s</w:t>
      </w:r>
      <w:r w:rsidR="00B457E2">
        <w:t xml:space="preserve"> alone.  </w:t>
      </w:r>
      <w:r w:rsidR="006E2FBE">
        <w:t>N</w:t>
      </w:r>
      <w:r w:rsidRPr="004D4B6D" w:rsidR="005A1CEB">
        <w:t>ot every crime committed by a</w:t>
      </w:r>
      <w:r w:rsidR="00AA797C">
        <w:t>n individual</w:t>
      </w:r>
      <w:r w:rsidRPr="004D4B6D" w:rsidR="005A1CEB">
        <w:t xml:space="preserve"> gang member is for the gang’s benefit</w:t>
      </w:r>
      <w:r w:rsidR="00193B79">
        <w:t xml:space="preserve"> or to promote criminal conduct by gang members, as </w:t>
      </w:r>
      <w:r w:rsidR="00754AF8">
        <w:t>the gang enhancement statute</w:t>
      </w:r>
      <w:r w:rsidR="00193B79">
        <w:t xml:space="preserve"> requires</w:t>
      </w:r>
      <w:r w:rsidR="0052644C">
        <w:t xml:space="preserve"> in such cases</w:t>
      </w:r>
      <w:r w:rsidRPr="004D4B6D" w:rsidR="005A1CEB">
        <w:t>; gang members can</w:t>
      </w:r>
      <w:r w:rsidR="00C91DE8">
        <w:t xml:space="preserve">, of course, </w:t>
      </w:r>
      <w:r w:rsidRPr="004D4B6D" w:rsidR="005A1CEB">
        <w:t>commit crimes for their own purposes.</w:t>
      </w:r>
      <w:r w:rsidR="0066660E">
        <w:t xml:space="preserve">  W</w:t>
      </w:r>
      <w:r w:rsidR="00C7207E">
        <w:t>ithout more,</w:t>
      </w:r>
      <w:r w:rsidR="00156ED0">
        <w:t xml:space="preserve"> </w:t>
      </w:r>
      <w:r w:rsidRPr="004D4B6D" w:rsidR="00DA75C5">
        <w:t xml:space="preserve">expert testimony about </w:t>
      </w:r>
      <w:r w:rsidRPr="004D4B6D" w:rsidR="00A420B0">
        <w:t xml:space="preserve">the </w:t>
      </w:r>
      <w:r w:rsidRPr="004D4B6D" w:rsidR="00DA75C5">
        <w:t xml:space="preserve">reputational benefits </w:t>
      </w:r>
      <w:r w:rsidRPr="004D4B6D" w:rsidR="00A420B0">
        <w:t xml:space="preserve">of crime </w:t>
      </w:r>
      <w:r w:rsidRPr="004D4B6D" w:rsidR="00DA75C5">
        <w:t xml:space="preserve">does not </w:t>
      </w:r>
      <w:r w:rsidRPr="004D4B6D" w:rsidR="005A1CEB">
        <w:t xml:space="preserve">support an inference </w:t>
      </w:r>
      <w:r w:rsidR="00C3659F">
        <w:t>that a lone gang member</w:t>
      </w:r>
      <w:r>
        <w:t xml:space="preserve"> committed a crime for gang-related </w:t>
      </w:r>
      <w:r w:rsidR="007A04AA">
        <w:t>reasons </w:t>
      </w:r>
      <w:r w:rsidR="00510F77">
        <w:t xml:space="preserve">— </w:t>
      </w:r>
      <w:r>
        <w:t>as opposed to acting from other, more personal motives.</w:t>
      </w:r>
      <w:r w:rsidR="003F3BEF">
        <w:t xml:space="preserve">  Because there was no adequate basis for drawing th</w:t>
      </w:r>
      <w:r w:rsidR="00510F77">
        <w:t>e necessary</w:t>
      </w:r>
      <w:r w:rsidR="003F3BEF">
        <w:t xml:space="preserve"> </w:t>
      </w:r>
      <w:r w:rsidR="00C173F5">
        <w:t xml:space="preserve">inference </w:t>
      </w:r>
      <w:r w:rsidR="001A2D53">
        <w:t xml:space="preserve">about </w:t>
      </w:r>
      <w:r w:rsidR="00FD0627">
        <w:t xml:space="preserve">Renteria’s </w:t>
      </w:r>
      <w:r w:rsidR="001A2D53">
        <w:t>intent</w:t>
      </w:r>
      <w:r w:rsidR="00BB1E0D">
        <w:t xml:space="preserve"> in this case</w:t>
      </w:r>
      <w:r w:rsidR="00C173F5">
        <w:t>, we reverse the judgment of the Court of Appeal and remand for resentencing.</w:t>
      </w:r>
    </w:p>
    <w:p w:rsidR="006F7E13" w:rsidRPr="004D4B6D" w:rsidP="004D4B6D">
      <w:pPr>
        <w:pStyle w:val="Heading1"/>
      </w:pPr>
      <w:r w:rsidRPr="004D4B6D">
        <w:t>I.</w:t>
      </w:r>
    </w:p>
    <w:p w:rsidR="006F7E13" w:rsidRPr="004D4B6D" w:rsidP="007C5B02">
      <w:pPr>
        <w:tabs>
          <w:tab w:val="left" w:pos="720"/>
          <w:tab w:val="left" w:pos="1440"/>
        </w:tabs>
        <w:ind w:firstLine="720"/>
      </w:pPr>
      <w:r>
        <w:t xml:space="preserve">Because this case concerns the sufficiency of the evidence supporting the </w:t>
      </w:r>
      <w:r w:rsidR="009A146B">
        <w:t xml:space="preserve">gang </w:t>
      </w:r>
      <w:r w:rsidR="00BF1DE3">
        <w:t>penalt</w:t>
      </w:r>
      <w:r w:rsidR="00BB1E0D">
        <w:t>ies</w:t>
      </w:r>
      <w:r>
        <w:t xml:space="preserve">, we review the trial evidence in some detail.  Evidence concerning the </w:t>
      </w:r>
      <w:r w:rsidR="00F53DEB">
        <w:t>circumstances of the shooting</w:t>
      </w:r>
      <w:r>
        <w:t>s</w:t>
      </w:r>
      <w:r w:rsidR="00F53DEB">
        <w:t xml:space="preserve"> came largely from the testimony of a neighbor, Anthony A.</w:t>
      </w:r>
      <w:r>
        <w:rPr>
          <w:rStyle w:val="FootnoteReference"/>
        </w:rPr>
        <w:footnoteReference w:id="3"/>
      </w:r>
      <w:r w:rsidR="007F0D60">
        <w:t xml:space="preserve"> </w:t>
      </w:r>
      <w:r w:rsidR="008E4FFB">
        <w:t xml:space="preserve"> </w:t>
      </w:r>
      <w:r w:rsidR="009A5C03">
        <w:t>Earlier o</w:t>
      </w:r>
      <w:r w:rsidR="007A1FE5">
        <w:t>n t</w:t>
      </w:r>
      <w:r w:rsidR="006E1DF7">
        <w:t>he evening of the shooting</w:t>
      </w:r>
      <w:r w:rsidR="00376E88">
        <w:t xml:space="preserve">, </w:t>
      </w:r>
      <w:r w:rsidRPr="004D4B6D" w:rsidR="00861C11">
        <w:t xml:space="preserve">Anthony </w:t>
      </w:r>
      <w:r w:rsidRPr="004D4B6D" w:rsidR="004C5A62">
        <w:t xml:space="preserve">became aware of a group of young men </w:t>
      </w:r>
      <w:r w:rsidRPr="004D4B6D" w:rsidR="002159F1">
        <w:t xml:space="preserve">walking through </w:t>
      </w:r>
      <w:r w:rsidRPr="004D4B6D" w:rsidR="004C5A62">
        <w:t>an empty field near his ho</w:t>
      </w:r>
      <w:r w:rsidRPr="004D4B6D" w:rsidR="002159F1">
        <w:t>use</w:t>
      </w:r>
      <w:r w:rsidRPr="004D4B6D" w:rsidR="00C93AF1">
        <w:t>; he heard some of them yelling “</w:t>
      </w:r>
      <w:r w:rsidRPr="004D4B6D" w:rsidR="00C66FAE">
        <w:t>S</w:t>
      </w:r>
      <w:r w:rsidR="0045522D">
        <w:t>ur</w:t>
      </w:r>
      <w:r w:rsidRPr="004D4B6D" w:rsidR="00C93AF1">
        <w:t xml:space="preserve"> trece</w:t>
      </w:r>
      <w:r w:rsidRPr="004D4B6D" w:rsidR="00C66FAE">
        <w:t>,</w:t>
      </w:r>
      <w:r w:rsidRPr="004D4B6D" w:rsidR="00C93AF1">
        <w:t>”</w:t>
      </w:r>
      <w:r w:rsidRPr="004D4B6D" w:rsidR="00C66FAE">
        <w:t xml:space="preserve"> </w:t>
      </w:r>
      <w:r w:rsidR="00092729">
        <w:t>a gang reference</w:t>
      </w:r>
      <w:r w:rsidRPr="004D4B6D" w:rsidR="00C66FAE">
        <w:t>.</w:t>
      </w:r>
      <w:r w:rsidRPr="004D4B6D" w:rsidR="002159F1">
        <w:t xml:space="preserve"> </w:t>
      </w:r>
      <w:r w:rsidRPr="004D4B6D" w:rsidR="00C66FAE">
        <w:t xml:space="preserve"> </w:t>
      </w:r>
      <w:r w:rsidRPr="004D4B6D" w:rsidR="002159F1">
        <w:t>A</w:t>
      </w:r>
      <w:r w:rsidR="00092729">
        <w:t>nthony</w:t>
      </w:r>
      <w:r w:rsidRPr="004D4B6D" w:rsidR="002159F1">
        <w:t xml:space="preserve"> went outside to tell the young men he did not want any problems</w:t>
      </w:r>
      <w:r w:rsidR="00C26FDE">
        <w:t xml:space="preserve"> </w:t>
      </w:r>
      <w:r w:rsidRPr="004D4B6D" w:rsidR="002159F1">
        <w:t>and recognized Renteria among them</w:t>
      </w:r>
      <w:r w:rsidRPr="004D4B6D" w:rsidR="00FE2932">
        <w:t xml:space="preserve">.  </w:t>
      </w:r>
      <w:r w:rsidRPr="004D4B6D" w:rsidR="00C93AF1">
        <w:t>Renteria</w:t>
      </w:r>
      <w:r w:rsidRPr="004D4B6D" w:rsidR="00F138AB">
        <w:t xml:space="preserve"> </w:t>
      </w:r>
      <w:r w:rsidRPr="004D4B6D" w:rsidR="00FE2932">
        <w:t>told A</w:t>
      </w:r>
      <w:r w:rsidR="00092729">
        <w:t>nthony</w:t>
      </w:r>
      <w:r w:rsidRPr="004D4B6D" w:rsidR="00FE2932">
        <w:t xml:space="preserve"> </w:t>
      </w:r>
      <w:r w:rsidRPr="004D4B6D" w:rsidR="00C93AF1">
        <w:t xml:space="preserve">that a couple of his companions were drunk and he was trying to help them home.  </w:t>
      </w:r>
      <w:r w:rsidR="007C5B02">
        <w:t xml:space="preserve">A </w:t>
      </w:r>
      <w:r w:rsidRPr="004D4B6D" w:rsidR="00F138AB">
        <w:t>“little while</w:t>
      </w:r>
      <w:r w:rsidR="00F55613">
        <w:t>”</w:t>
      </w:r>
      <w:r w:rsidRPr="004D4B6D" w:rsidR="00F138AB">
        <w:t xml:space="preserve"> </w:t>
      </w:r>
      <w:r w:rsidR="006E1DF7">
        <w:t>later</w:t>
      </w:r>
      <w:r w:rsidRPr="004D4B6D" w:rsidR="00F138AB">
        <w:t xml:space="preserve">, </w:t>
      </w:r>
      <w:r w:rsidR="007C5B02">
        <w:t>A</w:t>
      </w:r>
      <w:r w:rsidR="00092729">
        <w:t>nthony</w:t>
      </w:r>
      <w:r w:rsidR="005F1270">
        <w:t xml:space="preserve"> heard </w:t>
      </w:r>
      <w:r w:rsidRPr="004D4B6D" w:rsidR="00F138AB">
        <w:t>a “pop” in the field</w:t>
      </w:r>
      <w:r w:rsidR="005F1270">
        <w:t xml:space="preserve">, </w:t>
      </w:r>
      <w:r w:rsidRPr="004D4B6D" w:rsidR="007C47CE">
        <w:t>went back outside</w:t>
      </w:r>
      <w:r w:rsidR="005F1270">
        <w:t xml:space="preserve">, and saw </w:t>
      </w:r>
      <w:r w:rsidRPr="004D4B6D" w:rsidR="00FA121B">
        <w:t xml:space="preserve">Renteria and </w:t>
      </w:r>
      <w:r w:rsidR="009E612D">
        <w:t xml:space="preserve">a </w:t>
      </w:r>
      <w:r w:rsidRPr="004D4B6D" w:rsidR="00FA121B">
        <w:t xml:space="preserve">person </w:t>
      </w:r>
      <w:r w:rsidR="005F1270">
        <w:t xml:space="preserve">he did not recognize </w:t>
      </w:r>
      <w:r w:rsidRPr="004D4B6D" w:rsidR="00FA121B">
        <w:t>walk past</w:t>
      </w:r>
      <w:r w:rsidRPr="004D4B6D" w:rsidR="009230DC">
        <w:t xml:space="preserve">.  </w:t>
      </w:r>
      <w:r w:rsidRPr="004D4B6D" w:rsidR="00730163">
        <w:t>A</w:t>
      </w:r>
      <w:r w:rsidR="00092729">
        <w:t>nthony</w:t>
      </w:r>
      <w:r w:rsidRPr="004D4B6D" w:rsidR="00AD24F7">
        <w:t xml:space="preserve"> </w:t>
      </w:r>
      <w:r w:rsidRPr="004D4B6D" w:rsidR="00FE513F">
        <w:t>lost sight of the</w:t>
      </w:r>
      <w:r w:rsidRPr="004D4B6D" w:rsidR="00730163">
        <w:t xml:space="preserve"> two</w:t>
      </w:r>
      <w:r w:rsidRPr="004D4B6D" w:rsidR="00FE513F">
        <w:t xml:space="preserve"> for “at least </w:t>
      </w:r>
      <w:r w:rsidRPr="004D4B6D" w:rsidR="00FE513F">
        <w:t>one or two minutes</w:t>
      </w:r>
      <w:r w:rsidRPr="004D4B6D" w:rsidR="00AD24F7">
        <w:t>,</w:t>
      </w:r>
      <w:r w:rsidRPr="004D4B6D" w:rsidR="00FE513F">
        <w:t xml:space="preserve">” </w:t>
      </w:r>
      <w:r w:rsidRPr="004D4B6D" w:rsidR="00AD24F7">
        <w:t xml:space="preserve">and then </w:t>
      </w:r>
      <w:r w:rsidRPr="004D4B6D" w:rsidR="00FE513F">
        <w:t xml:space="preserve">saw Renteria return and shoot at the house of </w:t>
      </w:r>
      <w:r w:rsidRPr="004D4B6D" w:rsidR="00FD5DFB">
        <w:t>A</w:t>
      </w:r>
      <w:r w:rsidR="00092729">
        <w:t>nthony</w:t>
      </w:r>
      <w:r w:rsidRPr="004D4B6D" w:rsidR="00FD5DFB">
        <w:t>’s</w:t>
      </w:r>
      <w:r w:rsidRPr="004D4B6D" w:rsidR="00FE513F">
        <w:t xml:space="preserve"> neighbor Jack D.  </w:t>
      </w:r>
      <w:r w:rsidRPr="004D4B6D" w:rsidR="00730163">
        <w:t>After the first shots, d</w:t>
      </w:r>
      <w:r w:rsidRPr="004D4B6D" w:rsidR="00FE513F">
        <w:t xml:space="preserve">ogs from the house next to </w:t>
      </w:r>
      <w:r w:rsidR="00092729">
        <w:t>Jack</w:t>
      </w:r>
      <w:r w:rsidRPr="004D4B6D" w:rsidR="00FE513F">
        <w:t>’s</w:t>
      </w:r>
      <w:r w:rsidRPr="004D4B6D" w:rsidR="00721495">
        <w:t xml:space="preserve"> </w:t>
      </w:r>
      <w:r w:rsidRPr="004D4B6D" w:rsidR="00FE513F">
        <w:t>began barking</w:t>
      </w:r>
      <w:r w:rsidRPr="004D4B6D" w:rsidR="00730163">
        <w:t>.</w:t>
      </w:r>
      <w:r w:rsidRPr="004D4B6D" w:rsidR="00FE513F">
        <w:t xml:space="preserve"> </w:t>
      </w:r>
      <w:r w:rsidRPr="004D4B6D" w:rsidR="00730163">
        <w:t xml:space="preserve"> </w:t>
      </w:r>
      <w:r w:rsidRPr="004D4B6D" w:rsidR="00FE513F">
        <w:t xml:space="preserve">Renteria </w:t>
      </w:r>
      <w:r w:rsidRPr="004D4B6D" w:rsidR="00730163">
        <w:t xml:space="preserve">then </w:t>
      </w:r>
      <w:r w:rsidRPr="004D4B6D" w:rsidR="00FE513F">
        <w:t xml:space="preserve">shot at </w:t>
      </w:r>
      <w:r w:rsidRPr="004D4B6D" w:rsidR="005D6C4A">
        <w:t xml:space="preserve">that </w:t>
      </w:r>
      <w:r w:rsidRPr="004D4B6D" w:rsidR="00FE513F">
        <w:t>house before</w:t>
      </w:r>
      <w:r w:rsidRPr="004D4B6D" w:rsidR="007A1E49">
        <w:t xml:space="preserve"> </w:t>
      </w:r>
      <w:r w:rsidRPr="004D4B6D" w:rsidR="00E85C48">
        <w:t>sho</w:t>
      </w:r>
      <w:r w:rsidRPr="004D4B6D" w:rsidR="00730163">
        <w:t>o</w:t>
      </w:r>
      <w:r w:rsidRPr="004D4B6D" w:rsidR="00E85C48">
        <w:t>t</w:t>
      </w:r>
      <w:r w:rsidRPr="004D4B6D" w:rsidR="00730163">
        <w:t>ing</w:t>
      </w:r>
      <w:r w:rsidRPr="004D4B6D" w:rsidR="00E85C48">
        <w:t xml:space="preserve"> again at </w:t>
      </w:r>
      <w:r w:rsidR="00092729">
        <w:t>Jack</w:t>
      </w:r>
      <w:r w:rsidRPr="004D4B6D" w:rsidR="007A1E49">
        <w:t>’s</w:t>
      </w:r>
      <w:r w:rsidRPr="004D4B6D" w:rsidR="00E85C48">
        <w:t xml:space="preserve"> </w:t>
      </w:r>
      <w:r w:rsidRPr="004D4B6D" w:rsidR="007A1E49">
        <w:t>and r</w:t>
      </w:r>
      <w:r w:rsidRPr="004D4B6D" w:rsidR="00730163">
        <w:t>unning</w:t>
      </w:r>
      <w:r w:rsidRPr="004D4B6D" w:rsidR="007A1E49">
        <w:t xml:space="preserve"> away.  </w:t>
      </w:r>
    </w:p>
    <w:p w:rsidR="00844ECA" w:rsidP="004D4B6D">
      <w:pPr>
        <w:tabs>
          <w:tab w:val="left" w:pos="720"/>
          <w:tab w:val="left" w:pos="1440"/>
        </w:tabs>
        <w:ind w:firstLine="720"/>
      </w:pPr>
      <w:r w:rsidRPr="004D4B6D">
        <w:t>A few</w:t>
      </w:r>
      <w:r w:rsidRPr="004D4B6D" w:rsidR="00523CDE">
        <w:t xml:space="preserve"> days after the shooti</w:t>
      </w:r>
      <w:r w:rsidRPr="004D4B6D" w:rsidR="00D66A9F">
        <w:t xml:space="preserve">ng, </w:t>
      </w:r>
      <w:r w:rsidRPr="004D4B6D" w:rsidR="00FB2806">
        <w:t>Officer Jacob Adney arrested Renteria</w:t>
      </w:r>
      <w:r w:rsidRPr="004D4B6D" w:rsidR="00D66A9F">
        <w:t xml:space="preserve">.  </w:t>
      </w:r>
      <w:r w:rsidR="00910838">
        <w:t xml:space="preserve">Earlier police contacts with Renteria indicated that he admitted being a </w:t>
      </w:r>
      <w:r w:rsidRPr="004D4B6D" w:rsidR="0045522D">
        <w:t>Sureño</w:t>
      </w:r>
      <w:r>
        <w:rPr>
          <w:rStyle w:val="FootnoteReference"/>
        </w:rPr>
        <w:footnoteReference w:id="4"/>
      </w:r>
      <w:r w:rsidRPr="004D4B6D" w:rsidR="0045522D">
        <w:t xml:space="preserve"> </w:t>
      </w:r>
      <w:r w:rsidR="00910838">
        <w:t xml:space="preserve">gang member </w:t>
      </w:r>
      <w:r w:rsidRPr="004D4B6D" w:rsidR="00910838">
        <w:t>in 2008</w:t>
      </w:r>
      <w:r w:rsidR="00910838">
        <w:t xml:space="preserve">, when he </w:t>
      </w:r>
      <w:r w:rsidRPr="004D4B6D" w:rsidR="00910838">
        <w:t>was in middle school</w:t>
      </w:r>
      <w:r w:rsidR="00910838">
        <w:t xml:space="preserve">, and had been </w:t>
      </w:r>
      <w:r w:rsidRPr="004D4B6D" w:rsidR="009C50F7">
        <w:t xml:space="preserve">detained </w:t>
      </w:r>
      <w:r w:rsidR="009C50F7">
        <w:t xml:space="preserve">in 2011 on suspicion of </w:t>
      </w:r>
      <w:r w:rsidRPr="004D4B6D" w:rsidR="009C50F7">
        <w:t xml:space="preserve">spray painting gang-related graffiti in an abandoned house.  </w:t>
      </w:r>
      <w:r w:rsidR="006A3892">
        <w:t xml:space="preserve">After his 2014 arrest for the current offense, </w:t>
      </w:r>
      <w:r w:rsidRPr="004D4B6D" w:rsidR="00FB2806">
        <w:t>Renteria</w:t>
      </w:r>
      <w:r w:rsidRPr="004D4B6D" w:rsidR="00D66A9F">
        <w:t xml:space="preserve"> </w:t>
      </w:r>
      <w:r w:rsidR="00910838">
        <w:t xml:space="preserve">again </w:t>
      </w:r>
      <w:r w:rsidRPr="004D4B6D" w:rsidR="006C46EB">
        <w:t xml:space="preserve">admitted </w:t>
      </w:r>
      <w:r w:rsidR="0045522D">
        <w:t xml:space="preserve">belonging to </w:t>
      </w:r>
      <w:r w:rsidRPr="004D4B6D" w:rsidR="006C46EB">
        <w:t xml:space="preserve">a </w:t>
      </w:r>
      <w:r w:rsidRPr="004D4B6D" w:rsidR="00654966">
        <w:t xml:space="preserve">Sureño </w:t>
      </w:r>
      <w:r w:rsidRPr="004D4B6D" w:rsidR="006C46EB">
        <w:t>gang</w:t>
      </w:r>
      <w:r w:rsidRPr="004D4B6D" w:rsidR="000F3567">
        <w:t>.</w:t>
      </w:r>
      <w:r w:rsidRPr="004D4B6D" w:rsidR="006C46EB">
        <w:t xml:space="preserve"> </w:t>
      </w:r>
      <w:r w:rsidRPr="004D4B6D" w:rsidR="000F3567">
        <w:t xml:space="preserve"> </w:t>
      </w:r>
      <w:r w:rsidRPr="004D4B6D" w:rsidR="001D49DE">
        <w:t xml:space="preserve">Renteria </w:t>
      </w:r>
      <w:r w:rsidR="00D57F62">
        <w:t xml:space="preserve">also </w:t>
      </w:r>
      <w:r w:rsidRPr="004D4B6D" w:rsidR="001D49DE">
        <w:t xml:space="preserve">acknowledged that </w:t>
      </w:r>
      <w:r w:rsidR="00D57F62">
        <w:t xml:space="preserve">earlier the day of the shooting </w:t>
      </w:r>
      <w:r w:rsidRPr="004D4B6D" w:rsidR="001D49DE">
        <w:t xml:space="preserve">he </w:t>
      </w:r>
      <w:r w:rsidRPr="004D4B6D" w:rsidR="002E51C1">
        <w:t xml:space="preserve">had </w:t>
      </w:r>
      <w:r w:rsidRPr="004D4B6D" w:rsidR="00D66A9F">
        <w:t xml:space="preserve">been </w:t>
      </w:r>
      <w:r w:rsidRPr="004D4B6D" w:rsidR="001D49DE">
        <w:t>“hit up”</w:t>
      </w:r>
      <w:r w:rsidRPr="004D4B6D" w:rsidR="0082219F">
        <w:t> </w:t>
      </w:r>
      <w:r w:rsidRPr="004D4B6D" w:rsidR="00984CE7">
        <w:t>—</w:t>
      </w:r>
      <w:r w:rsidRPr="004D4B6D" w:rsidR="00D102F1">
        <w:t xml:space="preserve"> </w:t>
      </w:r>
      <w:r w:rsidRPr="004D4B6D" w:rsidR="002E51C1">
        <w:t>s</w:t>
      </w:r>
      <w:r w:rsidRPr="004D4B6D" w:rsidR="001D49DE">
        <w:t>omeone ask</w:t>
      </w:r>
      <w:r w:rsidRPr="004D4B6D" w:rsidR="000F3567">
        <w:t>ed</w:t>
      </w:r>
      <w:r w:rsidRPr="004D4B6D" w:rsidR="001D49DE">
        <w:t xml:space="preserve"> </w:t>
      </w:r>
      <w:r w:rsidRPr="004D4B6D" w:rsidR="000E1AE7">
        <w:t>w</w:t>
      </w:r>
      <w:r w:rsidRPr="004D4B6D" w:rsidR="001D49DE">
        <w:t xml:space="preserve">here he was from, </w:t>
      </w:r>
      <w:r w:rsidRPr="004D4B6D" w:rsidR="000F3567">
        <w:t>a question understood to be a gang challenge</w:t>
      </w:r>
      <w:r w:rsidR="00152168">
        <w:t xml:space="preserve">. </w:t>
      </w:r>
      <w:r w:rsidR="00816FBB">
        <w:t xml:space="preserve"> </w:t>
      </w:r>
      <w:r w:rsidR="00152168">
        <w:t>W</w:t>
      </w:r>
      <w:r w:rsidRPr="004D4B6D" w:rsidR="000F3567">
        <w:t xml:space="preserve">hen </w:t>
      </w:r>
      <w:r w:rsidRPr="004D4B6D" w:rsidR="000E1AE7">
        <w:t>Renteria</w:t>
      </w:r>
      <w:r w:rsidRPr="004D4B6D" w:rsidR="000F3567">
        <w:t xml:space="preserve"> </w:t>
      </w:r>
      <w:r w:rsidRPr="004D4B6D" w:rsidR="001D49DE">
        <w:t>heard</w:t>
      </w:r>
      <w:r w:rsidRPr="004D4B6D" w:rsidR="005B3A14">
        <w:t xml:space="preserve"> what sounded</w:t>
      </w:r>
      <w:r w:rsidRPr="004D4B6D" w:rsidR="001D49DE">
        <w:t xml:space="preserve"> like a shotgun</w:t>
      </w:r>
      <w:r w:rsidRPr="004D4B6D" w:rsidR="00D102F1">
        <w:t xml:space="preserve"> being racked</w:t>
      </w:r>
      <w:r w:rsidRPr="004D4B6D" w:rsidR="001365A9">
        <w:t>,</w:t>
      </w:r>
      <w:r w:rsidRPr="004D4B6D" w:rsidR="001D49DE">
        <w:t xml:space="preserve"> </w:t>
      </w:r>
      <w:r w:rsidRPr="004D4B6D" w:rsidR="000F3567">
        <w:t>he</w:t>
      </w:r>
      <w:r w:rsidRPr="004D4B6D" w:rsidR="001D49DE">
        <w:t xml:space="preserve"> ran.  </w:t>
      </w:r>
      <w:r w:rsidRPr="004D4B6D" w:rsidR="00984CE7">
        <w:t>Renteria</w:t>
      </w:r>
      <w:r w:rsidRPr="004D4B6D" w:rsidR="001B2A48">
        <w:t xml:space="preserve"> assumed </w:t>
      </w:r>
      <w:r w:rsidRPr="004D4B6D" w:rsidR="00604C1E">
        <w:t>Northern</w:t>
      </w:r>
      <w:r w:rsidR="00910838">
        <w:t xml:space="preserve"> gang memb</w:t>
      </w:r>
      <w:r w:rsidRPr="004D4B6D" w:rsidR="00604C1E">
        <w:t xml:space="preserve">ers were </w:t>
      </w:r>
      <w:r w:rsidRPr="004D4B6D" w:rsidR="00B65392">
        <w:t>responsible</w:t>
      </w:r>
      <w:r w:rsidRPr="004D4B6D" w:rsidR="001B2A48">
        <w:t xml:space="preserve">.  </w:t>
      </w:r>
    </w:p>
    <w:p w:rsidR="006B31E1" w:rsidP="004D4B6D">
      <w:pPr>
        <w:tabs>
          <w:tab w:val="left" w:pos="720"/>
          <w:tab w:val="left" w:pos="1440"/>
        </w:tabs>
        <w:ind w:firstLine="720"/>
      </w:pPr>
      <w:r>
        <w:t xml:space="preserve">Jack </w:t>
      </w:r>
      <w:r w:rsidRPr="004D4B6D">
        <w:t>D</w:t>
      </w:r>
      <w:r>
        <w:t>.</w:t>
      </w:r>
      <w:r w:rsidRPr="004D4B6D">
        <w:t xml:space="preserve"> testified that he liv</w:t>
      </w:r>
      <w:r w:rsidR="00A275CC">
        <w:t>ed</w:t>
      </w:r>
      <w:r w:rsidRPr="004D4B6D">
        <w:t xml:space="preserve"> with his wife and four grandsons</w:t>
      </w:r>
      <w:r>
        <w:t xml:space="preserve"> and that </w:t>
      </w:r>
      <w:r w:rsidRPr="004D4B6D">
        <w:t xml:space="preserve">neither his children nor grandchildren were involved </w:t>
      </w:r>
      <w:r>
        <w:t>in</w:t>
      </w:r>
      <w:r w:rsidRPr="004D4B6D">
        <w:t xml:space="preserve"> any gangs.  </w:t>
      </w:r>
      <w:r>
        <w:t xml:space="preserve">An officer </w:t>
      </w:r>
      <w:r w:rsidRPr="004D4B6D">
        <w:t>investigat</w:t>
      </w:r>
      <w:r>
        <w:t>ing</w:t>
      </w:r>
      <w:r w:rsidRPr="004D4B6D">
        <w:t xml:space="preserve"> the shooting</w:t>
      </w:r>
      <w:r>
        <w:t xml:space="preserve"> </w:t>
      </w:r>
      <w:r w:rsidR="00A275CC">
        <w:t>noticed</w:t>
      </w:r>
      <w:r>
        <w:t xml:space="preserve"> </w:t>
      </w:r>
      <w:r w:rsidRPr="004D4B6D">
        <w:t xml:space="preserve">bullet holes in </w:t>
      </w:r>
      <w:r w:rsidR="00A275CC">
        <w:t>Jack</w:t>
      </w:r>
      <w:r w:rsidRPr="004D4B6D">
        <w:t xml:space="preserve">’s garage door and opened it to see if anyone </w:t>
      </w:r>
      <w:r>
        <w:t>was</w:t>
      </w:r>
      <w:r w:rsidRPr="004D4B6D">
        <w:t xml:space="preserve"> injured.  No one was inside, but </w:t>
      </w:r>
      <w:r>
        <w:t xml:space="preserve">the officer </w:t>
      </w:r>
      <w:r w:rsidRPr="004D4B6D">
        <w:t xml:space="preserve">saw a sawed-off shotgun in the garage.  </w:t>
      </w:r>
    </w:p>
    <w:p w:rsidR="0008011A" w:rsidRPr="004D4B6D">
      <w:pPr>
        <w:tabs>
          <w:tab w:val="left" w:pos="720"/>
          <w:tab w:val="left" w:pos="1440"/>
        </w:tabs>
        <w:ind w:firstLine="720"/>
      </w:pPr>
      <w:r w:rsidRPr="004D4B6D">
        <w:t xml:space="preserve">Officer Adney testified as </w:t>
      </w:r>
      <w:r w:rsidR="001B77C7">
        <w:t xml:space="preserve">a </w:t>
      </w:r>
      <w:r w:rsidRPr="004D4B6D">
        <w:t xml:space="preserve">gang expert. </w:t>
      </w:r>
      <w:r w:rsidR="001C1A3C">
        <w:t xml:space="preserve"> He</w:t>
      </w:r>
      <w:r w:rsidRPr="004D4B6D">
        <w:t xml:space="preserve"> </w:t>
      </w:r>
      <w:r w:rsidR="001C1A3C">
        <w:t xml:space="preserve">explained </w:t>
      </w:r>
      <w:r w:rsidRPr="004D4B6D" w:rsidR="006D03D4">
        <w:t>that i</w:t>
      </w:r>
      <w:r w:rsidRPr="004D4B6D" w:rsidR="00447D5E">
        <w:t>n gang culture, respect is everything</w:t>
      </w:r>
      <w:r w:rsidR="006E47B0">
        <w:t xml:space="preserve"> and that g</w:t>
      </w:r>
      <w:r w:rsidRPr="004D4B6D" w:rsidR="00851453">
        <w:t xml:space="preserve">ang members are expected to retaliate if they are </w:t>
      </w:r>
      <w:r w:rsidRPr="004D4B6D" w:rsidR="00E85C48">
        <w:t>the</w:t>
      </w:r>
      <w:r w:rsidRPr="004D4B6D" w:rsidR="00851453">
        <w:t xml:space="preserve"> victim of a </w:t>
      </w:r>
      <w:r w:rsidRPr="004D4B6D" w:rsidR="00851453">
        <w:t>crime</w:t>
      </w:r>
      <w:r w:rsidRPr="004D4B6D" w:rsidR="00A57522">
        <w:t xml:space="preserve">, otherwise </w:t>
      </w:r>
      <w:r w:rsidRPr="004D4B6D" w:rsidR="00851453">
        <w:t xml:space="preserve">they lose their </w:t>
      </w:r>
      <w:r w:rsidRPr="004D4B6D" w:rsidR="00024A13">
        <w:t>respect</w:t>
      </w:r>
      <w:r w:rsidRPr="004D4B6D" w:rsidR="00851453">
        <w:t xml:space="preserve">.  Officer Adney </w:t>
      </w:r>
      <w:r w:rsidR="001C1A3C">
        <w:t xml:space="preserve">believed </w:t>
      </w:r>
      <w:r w:rsidRPr="004D4B6D" w:rsidR="00C21D54">
        <w:t>that</w:t>
      </w:r>
      <w:r w:rsidRPr="004D4B6D" w:rsidR="00851453">
        <w:t xml:space="preserve"> </w:t>
      </w:r>
      <w:r w:rsidRPr="004D4B6D" w:rsidR="00654966">
        <w:t>a crime committed by a gang member would benefit or promote the gang</w:t>
      </w:r>
      <w:r w:rsidR="00A275CC">
        <w:t>,</w:t>
      </w:r>
      <w:r w:rsidRPr="004D4B6D" w:rsidR="00654966">
        <w:t xml:space="preserve"> even if the victim were not a rival gang member, </w:t>
      </w:r>
      <w:r w:rsidRPr="004D4B6D" w:rsidR="0043277B">
        <w:t>because people would see a gang crime</w:t>
      </w:r>
      <w:r w:rsidRPr="004D4B6D" w:rsidR="006D03D4">
        <w:t xml:space="preserve"> </w:t>
      </w:r>
      <w:r w:rsidRPr="004D4B6D" w:rsidR="0043277B">
        <w:t xml:space="preserve">in the news </w:t>
      </w:r>
      <w:r w:rsidRPr="004D4B6D" w:rsidR="00024A13">
        <w:t xml:space="preserve">and would </w:t>
      </w:r>
      <w:r w:rsidRPr="004D4B6D" w:rsidR="006E663D">
        <w:t xml:space="preserve">be reluctant to cooperate with the police or testify against the gang.  </w:t>
      </w:r>
      <w:r w:rsidRPr="004D4B6D" w:rsidR="008F5F97">
        <w:t xml:space="preserve">Officer Adney </w:t>
      </w:r>
      <w:r w:rsidR="009B5F87">
        <w:t xml:space="preserve">said </w:t>
      </w:r>
      <w:r w:rsidRPr="004D4B6D" w:rsidR="004E5982">
        <w:t xml:space="preserve">that </w:t>
      </w:r>
      <w:r w:rsidRPr="004D4B6D" w:rsidR="008F5F97">
        <w:t>unless gang members identify their gang during a crime</w:t>
      </w:r>
      <w:r w:rsidRPr="004D4B6D" w:rsidR="004E5982">
        <w:t>, “[t]here’s really no way</w:t>
      </w:r>
      <w:r w:rsidRPr="004D4B6D" w:rsidR="006D5FDE">
        <w:t> </w:t>
      </w:r>
      <w:r w:rsidRPr="004D4B6D" w:rsidR="004E5982">
        <w:t>— it’s kind of hard to know which gang</w:t>
      </w:r>
      <w:r w:rsidRPr="004D4B6D" w:rsidR="000400A5">
        <w:t> </w:t>
      </w:r>
      <w:r w:rsidRPr="004D4B6D" w:rsidR="004E5982">
        <w:t xml:space="preserve">— if it is a gang, which gang is responsible.” </w:t>
      </w:r>
    </w:p>
    <w:p w:rsidR="006E3853">
      <w:pPr>
        <w:tabs>
          <w:tab w:val="left" w:pos="720"/>
          <w:tab w:val="left" w:pos="1440"/>
        </w:tabs>
        <w:ind w:firstLine="720"/>
      </w:pPr>
      <w:r>
        <w:t xml:space="preserve">Officer Adney </w:t>
      </w:r>
      <w:r w:rsidRPr="004D4B6D">
        <w:t>explained that Northerners are rivals of Southerners and the two groups typically fight over territory.</w:t>
      </w:r>
      <w:r w:rsidR="0084353A">
        <w:t xml:space="preserve">  </w:t>
      </w:r>
      <w:r w:rsidR="002F4D18">
        <w:t xml:space="preserve">But </w:t>
      </w:r>
      <w:r w:rsidR="0084353A">
        <w:t xml:space="preserve">unlike </w:t>
      </w:r>
      <w:r w:rsidR="002F4D18">
        <w:t xml:space="preserve">in </w:t>
      </w:r>
      <w:r w:rsidR="0084353A">
        <w:t xml:space="preserve">other regions where </w:t>
      </w:r>
      <w:r w:rsidRPr="0084353A" w:rsidR="0084353A">
        <w:t>gangs control specific territory with defined boundaries</w:t>
      </w:r>
      <w:r w:rsidR="0084353A">
        <w:t xml:space="preserve">, in </w:t>
      </w:r>
      <w:r w:rsidRPr="0084353A" w:rsidR="0084353A">
        <w:t>Tulare County</w:t>
      </w:r>
      <w:r w:rsidR="0084353A">
        <w:t xml:space="preserve"> </w:t>
      </w:r>
      <w:r w:rsidRPr="0084353A" w:rsidR="0084353A">
        <w:t>a gang member’s turf “is simply where that person lives at that time.”</w:t>
      </w:r>
      <w:r w:rsidRPr="004D4B6D">
        <w:t xml:space="preserve">  Southerners identify with the number 13</w:t>
      </w:r>
      <w:r>
        <w:t xml:space="preserve"> and</w:t>
      </w:r>
      <w:r w:rsidRPr="004D4B6D">
        <w:t xml:space="preserve"> the words </w:t>
      </w:r>
      <w:r w:rsidR="003E2809">
        <w:t xml:space="preserve">Anthony </w:t>
      </w:r>
      <w:r w:rsidRPr="004D4B6D">
        <w:t xml:space="preserve">heard — “sur” and “trece” — mean “south” and “13” in Spanish.  </w:t>
      </w:r>
      <w:r w:rsidRPr="004D4B6D" w:rsidR="004F56D7">
        <w:t>T</w:t>
      </w:r>
      <w:r w:rsidRPr="004D4B6D" w:rsidR="00880476">
        <w:t xml:space="preserve">he prosecutor tried to elicit Officer Adney’s </w:t>
      </w:r>
      <w:r w:rsidRPr="004D4B6D" w:rsidR="00A11837">
        <w:t xml:space="preserve">opinion </w:t>
      </w:r>
      <w:r w:rsidRPr="004D4B6D" w:rsidR="00880476">
        <w:t xml:space="preserve">that some of </w:t>
      </w:r>
      <w:r w:rsidR="00286D46">
        <w:t>Ja</w:t>
      </w:r>
      <w:r w:rsidR="003E2809">
        <w:t>c</w:t>
      </w:r>
      <w:r w:rsidR="00286D46">
        <w:t>k</w:t>
      </w:r>
      <w:r w:rsidRPr="004D4B6D" w:rsidR="00880476">
        <w:t>’s grandsons were Northerners</w:t>
      </w:r>
      <w:r w:rsidR="00457120">
        <w:t xml:space="preserve">, but that opinion was not forthcoming.  </w:t>
      </w:r>
      <w:r w:rsidRPr="004D4B6D" w:rsidR="00A11837">
        <w:t xml:space="preserve">Officer Adney </w:t>
      </w:r>
      <w:r w:rsidR="00770D40">
        <w:t xml:space="preserve">instead </w:t>
      </w:r>
      <w:r w:rsidR="00084A54">
        <w:t xml:space="preserve">testified </w:t>
      </w:r>
      <w:r w:rsidR="00457120">
        <w:t xml:space="preserve">to </w:t>
      </w:r>
      <w:r w:rsidR="00BA0E86">
        <w:t xml:space="preserve">a different connection:  </w:t>
      </w:r>
      <w:r w:rsidRPr="004D4B6D" w:rsidR="00A11837">
        <w:t xml:space="preserve">that </w:t>
      </w:r>
      <w:r w:rsidR="009B5F87">
        <w:t xml:space="preserve">a man named </w:t>
      </w:r>
      <w:r w:rsidRPr="004D4B6D" w:rsidR="00A11837">
        <w:t>Robert P</w:t>
      </w:r>
      <w:r w:rsidR="00286D46">
        <w:t>.</w:t>
      </w:r>
      <w:r w:rsidRPr="004D4B6D" w:rsidR="00A11837">
        <w:t xml:space="preserve"> </w:t>
      </w:r>
      <w:r w:rsidRPr="004D4B6D" w:rsidR="008D2F32">
        <w:t xml:space="preserve">did not live with </w:t>
      </w:r>
      <w:r w:rsidR="00286D46">
        <w:t>Jack</w:t>
      </w:r>
      <w:r w:rsidRPr="004D4B6D" w:rsidR="008D2F32">
        <w:t xml:space="preserve"> but was</w:t>
      </w:r>
      <w:r w:rsidRPr="004D4B6D" w:rsidR="00A11837">
        <w:t xml:space="preserve"> </w:t>
      </w:r>
      <w:r w:rsidRPr="004D4B6D" w:rsidR="00311DCE">
        <w:t xml:space="preserve">“associated” with </w:t>
      </w:r>
      <w:r w:rsidRPr="004D4B6D" w:rsidR="008D2F32">
        <w:t xml:space="preserve">the </w:t>
      </w:r>
      <w:r w:rsidRPr="004D4B6D" w:rsidR="00311DCE">
        <w:t xml:space="preserve">residence and that </w:t>
      </w:r>
      <w:r w:rsidR="00084A54">
        <w:t>Adney</w:t>
      </w:r>
      <w:r w:rsidRPr="004D4B6D" w:rsidR="00311DCE">
        <w:t xml:space="preserve"> had personally seen </w:t>
      </w:r>
      <w:r w:rsidR="00286D46">
        <w:t>Robert</w:t>
      </w:r>
      <w:r w:rsidRPr="004D4B6D" w:rsidR="00311DCE">
        <w:t xml:space="preserve"> </w:t>
      </w:r>
      <w:r w:rsidRPr="004D4B6D" w:rsidR="004F56D7">
        <w:t xml:space="preserve">in the company of </w:t>
      </w:r>
      <w:r w:rsidRPr="004D4B6D" w:rsidR="00311DCE">
        <w:t>Northern</w:t>
      </w:r>
      <w:r w:rsidRPr="004D4B6D" w:rsidR="004F56D7">
        <w:t>ers.</w:t>
      </w:r>
      <w:r w:rsidR="00CC7D62">
        <w:t xml:space="preserve">  </w:t>
      </w:r>
      <w:r w:rsidRPr="004D4B6D" w:rsidR="00D60ADD">
        <w:t xml:space="preserve">Officer Adney </w:t>
      </w:r>
      <w:r w:rsidR="004C63B8">
        <w:t xml:space="preserve">opined </w:t>
      </w:r>
      <w:r w:rsidRPr="004D4B6D" w:rsidR="00D60ADD">
        <w:t>that a</w:t>
      </w:r>
      <w:r w:rsidR="00CC7D62">
        <w:t xml:space="preserve"> </w:t>
      </w:r>
      <w:r w:rsidR="006B31E1">
        <w:t xml:space="preserve">person </w:t>
      </w:r>
      <w:r w:rsidR="00CC7D62">
        <w:t>who had been threatened by Northerners and who shot at the houses while yelling “Sur trece” would be showing that he was retaliating</w:t>
      </w:r>
      <w:r w:rsidR="00471087">
        <w:t>, thus elevating his own status in the gang and</w:t>
      </w:r>
      <w:r w:rsidRPr="004D4B6D" w:rsidR="00D60ADD">
        <w:t xml:space="preserve"> </w:t>
      </w:r>
      <w:r w:rsidR="00F20458">
        <w:t xml:space="preserve">enhancing </w:t>
      </w:r>
      <w:r w:rsidR="00471087">
        <w:t xml:space="preserve">the gang’s status and ability to intimidate residents of the neighborhood. </w:t>
      </w:r>
    </w:p>
    <w:p w:rsidR="00C816D9" w:rsidRPr="004D4B6D" w:rsidP="004D4B6D">
      <w:pPr>
        <w:tabs>
          <w:tab w:val="left" w:pos="720"/>
          <w:tab w:val="left" w:pos="1440"/>
        </w:tabs>
        <w:ind w:firstLine="720"/>
      </w:pPr>
      <w:r w:rsidRPr="004D4B6D">
        <w:t xml:space="preserve">The jury found the gang </w:t>
      </w:r>
      <w:r w:rsidR="00BF1DE3">
        <w:t>allegation</w:t>
      </w:r>
      <w:r w:rsidRPr="004D4B6D" w:rsidR="00BF1DE3">
        <w:t xml:space="preserve"> </w:t>
      </w:r>
      <w:r w:rsidRPr="004D4B6D">
        <w:t xml:space="preserve">true for both counts </w:t>
      </w:r>
      <w:r w:rsidRPr="004D4B6D" w:rsidR="000F7066">
        <w:t>of shooting an inhabited dwelling</w:t>
      </w:r>
      <w:r w:rsidRPr="004D4B6D" w:rsidR="006D5FDE">
        <w:t> </w:t>
      </w:r>
      <w:r w:rsidRPr="004D4B6D">
        <w:t xml:space="preserve">— </w:t>
      </w:r>
      <w:r w:rsidRPr="004D4B6D" w:rsidR="00A75E0E">
        <w:t xml:space="preserve">that is, both for </w:t>
      </w:r>
      <w:r w:rsidRPr="004D4B6D">
        <w:t xml:space="preserve">shooting at </w:t>
      </w:r>
      <w:r w:rsidR="00286D46">
        <w:t>Jack</w:t>
      </w:r>
      <w:r w:rsidRPr="004D4B6D">
        <w:t xml:space="preserve">’s house and </w:t>
      </w:r>
      <w:r w:rsidRPr="004D4B6D" w:rsidR="00A75E0E">
        <w:t xml:space="preserve">for </w:t>
      </w:r>
      <w:r w:rsidRPr="004D4B6D">
        <w:t xml:space="preserve">shooting at </w:t>
      </w:r>
      <w:r w:rsidR="005548D4">
        <w:t>the</w:t>
      </w:r>
      <w:r w:rsidRPr="004D4B6D">
        <w:t xml:space="preserve"> house </w:t>
      </w:r>
      <w:r w:rsidR="005548D4">
        <w:t>next door</w:t>
      </w:r>
      <w:r w:rsidR="00570422">
        <w:t xml:space="preserve"> with the </w:t>
      </w:r>
      <w:r w:rsidR="00570422">
        <w:t>barking dogs</w:t>
      </w:r>
      <w:r w:rsidRPr="004D4B6D">
        <w:t>.</w:t>
      </w:r>
      <w:r>
        <w:rPr>
          <w:rStyle w:val="FootnoteReference"/>
        </w:rPr>
        <w:footnoteReference w:id="5"/>
      </w:r>
      <w:r w:rsidRPr="004D4B6D" w:rsidR="000A1431">
        <w:t xml:space="preserve">  On each count Renteria received a sentence of three years under </w:t>
      </w:r>
      <w:r w:rsidRPr="004D4B6D" w:rsidR="00E04644">
        <w:t xml:space="preserve">Penal Code </w:t>
      </w:r>
      <w:r w:rsidRPr="004D4B6D" w:rsidR="000A1431">
        <w:t>section 246</w:t>
      </w:r>
      <w:r w:rsidRPr="004D4B6D" w:rsidR="0082219F">
        <w:t xml:space="preserve"> and was </w:t>
      </w:r>
      <w:r w:rsidR="003F5C33">
        <w:t xml:space="preserve">subject to </w:t>
      </w:r>
      <w:r w:rsidRPr="004D4B6D" w:rsidR="006E5BAC">
        <w:t xml:space="preserve">a 15-year-to-life </w:t>
      </w:r>
      <w:r w:rsidRPr="004D4B6D" w:rsidR="00E52194">
        <w:t xml:space="preserve">gang </w:t>
      </w:r>
      <w:r w:rsidR="00C74C1C">
        <w:t>penalty</w:t>
      </w:r>
      <w:r w:rsidRPr="004D4B6D" w:rsidR="006E5BAC">
        <w:t xml:space="preserve"> under </w:t>
      </w:r>
      <w:r w:rsidR="00AF54E4">
        <w:t xml:space="preserve">Penal Code </w:t>
      </w:r>
      <w:r w:rsidRPr="004D4B6D" w:rsidR="000A1431">
        <w:t>section 186.22</w:t>
      </w:r>
      <w:r w:rsidR="00F929E9">
        <w:t xml:space="preserve">, subdivision </w:t>
      </w:r>
      <w:r w:rsidRPr="004D4B6D" w:rsidR="000A1431">
        <w:t>(b)(4)</w:t>
      </w:r>
      <w:r w:rsidRPr="004D4B6D" w:rsidR="00B97B9F">
        <w:t>(B)</w:t>
      </w:r>
      <w:r w:rsidR="00184572">
        <w:t>.</w:t>
      </w:r>
      <w:r>
        <w:rPr>
          <w:rStyle w:val="FootnoteReference"/>
        </w:rPr>
        <w:footnoteReference w:id="6"/>
      </w:r>
      <w:r w:rsidR="00184572">
        <w:t xml:space="preserve">  </w:t>
      </w:r>
      <w:r w:rsidR="002A155F">
        <w:t>The gang</w:t>
      </w:r>
      <w:r w:rsidR="00DC4DA8">
        <w:t xml:space="preserve"> </w:t>
      </w:r>
      <w:r w:rsidR="00C74C1C">
        <w:t>penalty</w:t>
      </w:r>
      <w:r w:rsidR="00DC4DA8">
        <w:t xml:space="preserve"> in turn rendered Renteria </w:t>
      </w:r>
      <w:r w:rsidRPr="004D4B6D" w:rsidR="0013189C">
        <w:t>eligible</w:t>
      </w:r>
      <w:r w:rsidRPr="004D4B6D" w:rsidR="003C4A70">
        <w:t xml:space="preserve"> for </w:t>
      </w:r>
      <w:r w:rsidRPr="004D4B6D" w:rsidR="006E5BAC">
        <w:t xml:space="preserve">a </w:t>
      </w:r>
      <w:r w:rsidRPr="004D4B6D" w:rsidR="003C4A70">
        <w:t xml:space="preserve">20-year </w:t>
      </w:r>
      <w:r w:rsidR="00C74C1C">
        <w:t xml:space="preserve">sentence </w:t>
      </w:r>
      <w:r w:rsidRPr="004D4B6D" w:rsidR="006E5BAC">
        <w:t>enhancement for personally and intentionally discharging a firearm</w:t>
      </w:r>
      <w:r w:rsidR="008B2A0F">
        <w:t xml:space="preserve"> in the commission of a felony punishable by life imprisonment</w:t>
      </w:r>
      <w:r w:rsidRPr="004D4B6D" w:rsidR="003C4A70">
        <w:t>.</w:t>
      </w:r>
      <w:r w:rsidRPr="004D4B6D" w:rsidR="006E5BAC">
        <w:t xml:space="preserve"> </w:t>
      </w:r>
      <w:r w:rsidRPr="004D4B6D" w:rsidR="003C4A70">
        <w:t xml:space="preserve"> </w:t>
      </w:r>
      <w:r w:rsidRPr="004D4B6D" w:rsidR="006E5BAC">
        <w:t>(</w:t>
      </w:r>
      <w:r w:rsidRPr="004D4B6D" w:rsidR="003C4A70">
        <w:t xml:space="preserve">See </w:t>
      </w:r>
      <w:r w:rsidRPr="004D4B6D" w:rsidR="006E5BAC">
        <w:t>Pen. Code, §</w:t>
      </w:r>
      <w:r w:rsidRPr="004D4B6D" w:rsidR="006D5FDE">
        <w:t> </w:t>
      </w:r>
      <w:r w:rsidRPr="004D4B6D" w:rsidR="000A1431">
        <w:t>12022.53, subds. (a)(17), (c)</w:t>
      </w:r>
      <w:r w:rsidRPr="004D4B6D" w:rsidR="003C4A70">
        <w:t>.</w:t>
      </w:r>
      <w:r w:rsidRPr="004D4B6D" w:rsidR="000A1431">
        <w:t>)</w:t>
      </w:r>
      <w:r w:rsidRPr="004D4B6D" w:rsidR="006E5BAC">
        <w:t xml:space="preserve"> </w:t>
      </w:r>
      <w:r w:rsidRPr="004D4B6D" w:rsidR="003C4A70">
        <w:t xml:space="preserve"> </w:t>
      </w:r>
      <w:r w:rsidR="00286D46">
        <w:t xml:space="preserve">The court sentenced </w:t>
      </w:r>
      <w:r w:rsidRPr="004D4B6D" w:rsidR="006E5BAC">
        <w:t>Renteria to two consecutive terms of 23 years to life</w:t>
      </w:r>
      <w:r w:rsidRPr="004D4B6D" w:rsidR="000A1431">
        <w:t xml:space="preserve">.  </w:t>
      </w:r>
    </w:p>
    <w:p w:rsidR="001D1694" w:rsidP="00344345">
      <w:pPr>
        <w:tabs>
          <w:tab w:val="left" w:pos="720"/>
          <w:tab w:val="left" w:pos="1440"/>
        </w:tabs>
        <w:ind w:firstLine="720"/>
      </w:pPr>
      <w:bookmarkStart w:id="3" w:name="_Hlk110324904"/>
      <w:r>
        <w:t xml:space="preserve">On appeal, </w:t>
      </w:r>
      <w:r w:rsidRPr="004D4B6D" w:rsidR="003E1E4E">
        <w:t>Renteria</w:t>
      </w:r>
      <w:r>
        <w:t xml:space="preserve"> argued, among other things, that there was insufficient evidence to support </w:t>
      </w:r>
      <w:r w:rsidRPr="004D4B6D" w:rsidR="003E1E4E">
        <w:t xml:space="preserve">the gang </w:t>
      </w:r>
      <w:r w:rsidR="00C74C1C">
        <w:t>allegations</w:t>
      </w:r>
      <w:r w:rsidRPr="004D4B6D" w:rsidR="003E1E4E">
        <w:t xml:space="preserve">.  </w:t>
      </w:r>
      <w:r w:rsidRPr="004D4B6D" w:rsidR="00EB6A15">
        <w:t>A</w:t>
      </w:r>
      <w:r w:rsidRPr="004D4B6D" w:rsidR="003E1E4E">
        <w:t xml:space="preserve"> divided </w:t>
      </w:r>
      <w:r w:rsidRPr="004D4B6D" w:rsidR="002A07D9">
        <w:t xml:space="preserve">Court of Appeal </w:t>
      </w:r>
      <w:r w:rsidRPr="004D4B6D" w:rsidR="00EB6A15">
        <w:t>rejected th</w:t>
      </w:r>
      <w:r w:rsidR="006E6D90">
        <w:t>is</w:t>
      </w:r>
      <w:r w:rsidRPr="004D4B6D" w:rsidR="00EB6A15">
        <w:t xml:space="preserve"> challenge and affirmed the </w:t>
      </w:r>
      <w:r w:rsidRPr="006E6D90" w:rsidR="007C2E51">
        <w:t xml:space="preserve">gang </w:t>
      </w:r>
      <w:r w:rsidR="00C74C1C">
        <w:t>penalt</w:t>
      </w:r>
      <w:r w:rsidR="008904E0">
        <w:t>ies.</w:t>
      </w:r>
      <w:r w:rsidRPr="004D4B6D" w:rsidR="002A07D9">
        <w:t xml:space="preserve">  </w:t>
      </w:r>
      <w:bookmarkEnd w:id="3"/>
      <w:r w:rsidRPr="004D4B6D" w:rsidR="002A07D9">
        <w:t>(</w:t>
      </w:r>
      <w:r w:rsidRPr="00677FED" w:rsidR="008E326C">
        <w:rPr>
          <w:i/>
          <w:iCs/>
        </w:rPr>
        <w:t>People v. Renteria</w:t>
      </w:r>
      <w:r w:rsidR="008E326C">
        <w:t xml:space="preserve"> (Jan. 5, 2021, F076973) </w:t>
      </w:r>
      <w:r w:rsidR="00286D46">
        <w:t>[nonpub. opn.]</w:t>
      </w:r>
      <w:r w:rsidRPr="004D4B6D" w:rsidR="002A07D9">
        <w:t xml:space="preserve">.)  </w:t>
      </w:r>
      <w:r w:rsidR="00ED0ABE">
        <w:t>A</w:t>
      </w:r>
      <w:r w:rsidRPr="004D4B6D" w:rsidR="000234A3">
        <w:t xml:space="preserve">lthough the majority </w:t>
      </w:r>
      <w:r w:rsidRPr="004D4B6D" w:rsidR="0081303F">
        <w:t xml:space="preserve">opinion noted that an unidentified companion may have been with Renteria </w:t>
      </w:r>
      <w:r w:rsidR="002C4AAF">
        <w:t xml:space="preserve">at the time of </w:t>
      </w:r>
      <w:r w:rsidR="009E612D">
        <w:t xml:space="preserve">the </w:t>
      </w:r>
      <w:r w:rsidR="002C4AAF">
        <w:t>shootings</w:t>
      </w:r>
      <w:r w:rsidRPr="004D4B6D" w:rsidR="0081303F">
        <w:t xml:space="preserve">, </w:t>
      </w:r>
      <w:r w:rsidR="007C43A9">
        <w:t xml:space="preserve">the court </w:t>
      </w:r>
      <w:r w:rsidRPr="004D4B6D" w:rsidR="0081303F">
        <w:t xml:space="preserve">assumed that Renteria </w:t>
      </w:r>
      <w:r w:rsidR="00FD16F6">
        <w:t xml:space="preserve">was not acting in association with or at the direction of </w:t>
      </w:r>
      <w:r w:rsidR="008904E0">
        <w:t>another gang member</w:t>
      </w:r>
      <w:r w:rsidRPr="004D4B6D" w:rsidR="0081303F">
        <w:t>.</w:t>
      </w:r>
      <w:r w:rsidR="00F461F4">
        <w:t xml:space="preserve">  </w:t>
      </w:r>
      <w:r w:rsidR="00770658">
        <w:t xml:space="preserve">The court nonetheless determined there was sufficient evidence </w:t>
      </w:r>
      <w:r>
        <w:t>to satisfy both prongs of the gang enhancement statute</w:t>
      </w:r>
      <w:r w:rsidR="00754AF8">
        <w:t xml:space="preserve">, Penal Code </w:t>
      </w:r>
      <w:r w:rsidR="00FB614F">
        <w:t xml:space="preserve">section </w:t>
      </w:r>
      <w:r w:rsidR="00754AF8">
        <w:t>186.22</w:t>
      </w:r>
      <w:r w:rsidR="00FB614F">
        <w:t xml:space="preserve">, subdivision </w:t>
      </w:r>
      <w:r w:rsidR="00754AF8">
        <w:t>(b) (section 186.22(b)</w:t>
      </w:r>
      <w:r w:rsidR="00C520FB">
        <w:t>)</w:t>
      </w:r>
      <w:r>
        <w:t>.</w:t>
      </w:r>
      <w:r>
        <w:rPr>
          <w:rStyle w:val="FootnoteReference"/>
        </w:rPr>
        <w:footnoteReference w:id="7"/>
      </w:r>
    </w:p>
    <w:p w:rsidR="008C1D88" w:rsidP="001D1694">
      <w:pPr>
        <w:tabs>
          <w:tab w:val="left" w:pos="720"/>
          <w:tab w:val="left" w:pos="1440"/>
        </w:tabs>
        <w:ind w:firstLine="720"/>
      </w:pPr>
      <w:r>
        <w:t xml:space="preserve">As evidence </w:t>
      </w:r>
      <w:r w:rsidR="009E7994">
        <w:t xml:space="preserve">the shootings were </w:t>
      </w:r>
      <w:r w:rsidR="002F347E">
        <w:t xml:space="preserve">committed </w:t>
      </w:r>
      <w:r w:rsidR="003F16F7">
        <w:t>“</w:t>
      </w:r>
      <w:r w:rsidR="002F347E">
        <w:t>for the benefit</w:t>
      </w:r>
      <w:r w:rsidR="003F16F7">
        <w:t>”</w:t>
      </w:r>
      <w:r w:rsidR="002F347E">
        <w:t xml:space="preserve"> of </w:t>
      </w:r>
      <w:r w:rsidR="00F67877">
        <w:t xml:space="preserve">the </w:t>
      </w:r>
      <w:r w:rsidRPr="004D4B6D" w:rsidR="00F67877">
        <w:t xml:space="preserve">Sureño </w:t>
      </w:r>
      <w:r w:rsidR="00F67877">
        <w:t>gang</w:t>
      </w:r>
      <w:r w:rsidR="003F16F7">
        <w:t xml:space="preserve"> (§</w:t>
      </w:r>
      <w:r w:rsidR="001C173D">
        <w:t> </w:t>
      </w:r>
      <w:r w:rsidR="003F16F7">
        <w:t>186.22(b</w:t>
      </w:r>
      <w:r>
        <w:t>)),</w:t>
      </w:r>
      <w:r w:rsidR="00344345">
        <w:t xml:space="preserve"> </w:t>
      </w:r>
      <w:r>
        <w:t>t</w:t>
      </w:r>
      <w:r w:rsidR="00344345">
        <w:t xml:space="preserve">he court </w:t>
      </w:r>
      <w:r w:rsidR="00456C6F">
        <w:t xml:space="preserve">cited </w:t>
      </w:r>
      <w:r w:rsidRPr="004D4B6D" w:rsidR="00445DF9">
        <w:t xml:space="preserve">Officer Adney’s testimony that the </w:t>
      </w:r>
      <w:r w:rsidRPr="004D4B6D" w:rsidR="00EB6A15">
        <w:t xml:space="preserve">shootings </w:t>
      </w:r>
      <w:r w:rsidRPr="004D4B6D" w:rsidR="00445DF9">
        <w:t xml:space="preserve">would benefit the gang, even if </w:t>
      </w:r>
      <w:r w:rsidRPr="004D4B6D" w:rsidR="00EB6A15">
        <w:t xml:space="preserve">the shootings had </w:t>
      </w:r>
      <w:r w:rsidRPr="004D4B6D" w:rsidR="00445DF9">
        <w:t xml:space="preserve">not </w:t>
      </w:r>
      <w:r w:rsidRPr="004D4B6D" w:rsidR="00EB6A15">
        <w:t xml:space="preserve">been </w:t>
      </w:r>
      <w:r w:rsidRPr="004D4B6D" w:rsidR="00445DF9">
        <w:t>committed against rival gang members</w:t>
      </w:r>
      <w:r w:rsidR="00B5139D">
        <w:t>.</w:t>
      </w:r>
      <w:r w:rsidR="008A7A78">
        <w:t xml:space="preserve">  It further cited</w:t>
      </w:r>
      <w:r w:rsidRPr="004D4B6D" w:rsidR="0004439F">
        <w:t xml:space="preserve"> evidence </w:t>
      </w:r>
      <w:r w:rsidR="008A7A78">
        <w:t xml:space="preserve">that </w:t>
      </w:r>
      <w:r w:rsidR="0093327D">
        <w:t xml:space="preserve">Jack’s </w:t>
      </w:r>
      <w:r w:rsidRPr="004D4B6D" w:rsidR="0004439F">
        <w:t>house had “at least some link to Norteños</w:t>
      </w:r>
      <w:r w:rsidR="00E46376">
        <w:t>, even if it was not a hotbed of rival gang activity</w:t>
      </w:r>
      <w:r w:rsidRPr="004D4B6D" w:rsidR="0004439F">
        <w:t>”; Renteria</w:t>
      </w:r>
      <w:r w:rsidRPr="004D4B6D" w:rsidR="00523CDE">
        <w:t>’s</w:t>
      </w:r>
      <w:r w:rsidRPr="004D4B6D" w:rsidR="0004439F">
        <w:t xml:space="preserve"> statement to Officer Adney that he thought he had been “</w:t>
      </w:r>
      <w:r w:rsidRPr="004D4B6D" w:rsidR="006E2C35">
        <w:t> ‘</w:t>
      </w:r>
      <w:r w:rsidRPr="004D4B6D" w:rsidR="0004439F">
        <w:t>hit up</w:t>
      </w:r>
      <w:r w:rsidRPr="004D4B6D" w:rsidR="006E2C35">
        <w:t>’ </w:t>
      </w:r>
      <w:r w:rsidRPr="004D4B6D" w:rsidR="0004439F">
        <w:t>” by Northerners</w:t>
      </w:r>
      <w:r w:rsidRPr="004D4B6D" w:rsidR="001271F1">
        <w:t>; and A</w:t>
      </w:r>
      <w:r w:rsidR="0093327D">
        <w:t>nthony</w:t>
      </w:r>
      <w:r w:rsidRPr="004D4B6D" w:rsidR="001271F1">
        <w:t>’s testimony that he was tired of “</w:t>
      </w:r>
      <w:r w:rsidRPr="004D4B6D" w:rsidR="006E2C35">
        <w:t> ‘</w:t>
      </w:r>
      <w:r w:rsidRPr="004D4B6D" w:rsidR="001271F1">
        <w:t>issues</w:t>
      </w:r>
      <w:r w:rsidRPr="004D4B6D" w:rsidR="006E2C35">
        <w:t>’ </w:t>
      </w:r>
      <w:r w:rsidRPr="004D4B6D" w:rsidR="001271F1">
        <w:t>” in the neighborhood</w:t>
      </w:r>
      <w:r>
        <w:t>.</w:t>
      </w:r>
    </w:p>
    <w:p w:rsidR="00E32C08" w:rsidRPr="004D4B6D" w:rsidP="001B440B">
      <w:pPr>
        <w:tabs>
          <w:tab w:val="left" w:pos="720"/>
          <w:tab w:val="left" w:pos="1440"/>
        </w:tabs>
        <w:ind w:firstLine="720"/>
      </w:pPr>
      <w:r>
        <w:t>A</w:t>
      </w:r>
      <w:r w:rsidR="003B4E6A">
        <w:t>s</w:t>
      </w:r>
      <w:r>
        <w:t xml:space="preserve"> for</w:t>
      </w:r>
      <w:r w:rsidR="00D026CA">
        <w:t xml:space="preserve"> </w:t>
      </w:r>
      <w:r w:rsidRPr="004D4B6D" w:rsidR="00D10655">
        <w:t xml:space="preserve">Renteria’s </w:t>
      </w:r>
      <w:r w:rsidR="003F16F7">
        <w:t>“</w:t>
      </w:r>
      <w:r w:rsidRPr="004D4B6D" w:rsidR="00D10655">
        <w:t xml:space="preserve">intent </w:t>
      </w:r>
      <w:r w:rsidRPr="004D4B6D" w:rsidR="00045572">
        <w:t>to promote, f</w:t>
      </w:r>
      <w:r w:rsidR="00112DA8">
        <w:t>urther</w:t>
      </w:r>
      <w:r w:rsidRPr="004D4B6D" w:rsidR="00045572">
        <w:t>, or assist</w:t>
      </w:r>
      <w:r>
        <w:t>”</w:t>
      </w:r>
      <w:r w:rsidRPr="004D4B6D" w:rsidR="00045572">
        <w:t xml:space="preserve"> the </w:t>
      </w:r>
      <w:r w:rsidR="005E5D15">
        <w:t>“</w:t>
      </w:r>
      <w:r w:rsidRPr="004D4B6D" w:rsidR="00045572">
        <w:t xml:space="preserve">criminal conduct </w:t>
      </w:r>
      <w:r w:rsidR="00112DA8">
        <w:t>by</w:t>
      </w:r>
      <w:r w:rsidRPr="004D4B6D" w:rsidR="00045572">
        <w:t xml:space="preserve"> gang members</w:t>
      </w:r>
      <w:r w:rsidR="005E5D15">
        <w:t>”</w:t>
      </w:r>
      <w:r>
        <w:t xml:space="preserve"> </w:t>
      </w:r>
      <w:r w:rsidR="003F16F7">
        <w:t>(§</w:t>
      </w:r>
      <w:r w:rsidR="001C173D">
        <w:t> </w:t>
      </w:r>
      <w:r w:rsidR="003F16F7">
        <w:t>186.22(b))</w:t>
      </w:r>
      <w:r w:rsidR="0065573D">
        <w:t>,</w:t>
      </w:r>
      <w:r w:rsidR="003F16F7">
        <w:t xml:space="preserve"> </w:t>
      </w:r>
      <w:r w:rsidR="003B4E6A">
        <w:t>t</w:t>
      </w:r>
      <w:r w:rsidRPr="004D4B6D" w:rsidR="00523CDE">
        <w:t>he cour</w:t>
      </w:r>
      <w:r w:rsidR="005E5D15">
        <w:t xml:space="preserve">t cited </w:t>
      </w:r>
      <w:r w:rsidR="005E5D15">
        <w:rPr>
          <w:i/>
          <w:iCs/>
        </w:rPr>
        <w:t>People v. Hill</w:t>
      </w:r>
      <w:r w:rsidR="005E5D15">
        <w:t xml:space="preserve"> (2006) 142 Cal.App.4th 770</w:t>
      </w:r>
      <w:r w:rsidR="004D2CD4">
        <w:t>, 774</w:t>
      </w:r>
      <w:r w:rsidR="005E5D15">
        <w:t xml:space="preserve"> for the proposition </w:t>
      </w:r>
      <w:r w:rsidR="00E26540">
        <w:t xml:space="preserve">that Renteria’s intent to promote </w:t>
      </w:r>
      <w:r w:rsidRPr="005611FA" w:rsidR="00E26540">
        <w:t>his own</w:t>
      </w:r>
      <w:r w:rsidR="00E26540">
        <w:t xml:space="preserve"> criminal conduct, in the form of the current offenses, sufficed.</w:t>
      </w:r>
      <w:r w:rsidR="00C00FBC">
        <w:t xml:space="preserve">  </w:t>
      </w:r>
      <w:r w:rsidR="00A34722">
        <w:t>But a</w:t>
      </w:r>
      <w:r w:rsidR="00106C37">
        <w:t>cknowledg</w:t>
      </w:r>
      <w:r w:rsidR="003452C9">
        <w:t>ing</w:t>
      </w:r>
      <w:r w:rsidR="00106C37">
        <w:t xml:space="preserve"> a</w:t>
      </w:r>
      <w:r w:rsidR="00394600">
        <w:t xml:space="preserve">nother court’s admonition that </w:t>
      </w:r>
      <w:r w:rsidRPr="005611FA" w:rsidR="005611FA">
        <w:t xml:space="preserve">the charged offense and gang membership alone </w:t>
      </w:r>
      <w:r w:rsidR="00394600">
        <w:t>are</w:t>
      </w:r>
      <w:r w:rsidRPr="005611FA" w:rsidR="005611FA">
        <w:t xml:space="preserve"> insufficient to </w:t>
      </w:r>
      <w:r w:rsidR="00106C37">
        <w:t>satisfy</w:t>
      </w:r>
      <w:r w:rsidR="00394600">
        <w:t xml:space="preserve"> this aspect of the </w:t>
      </w:r>
      <w:r w:rsidRPr="005611FA" w:rsidR="005611FA">
        <w:t>gang enhancement</w:t>
      </w:r>
      <w:r w:rsidR="00C74C1C">
        <w:t xml:space="preserve"> statute</w:t>
      </w:r>
      <w:r w:rsidR="00330AEF">
        <w:t>, the court</w:t>
      </w:r>
      <w:r w:rsidR="00394600">
        <w:t xml:space="preserve"> </w:t>
      </w:r>
      <w:r w:rsidR="00A34722">
        <w:t>went on to explain why</w:t>
      </w:r>
      <w:r w:rsidR="00394600">
        <w:t xml:space="preserve"> </w:t>
      </w:r>
      <w:r w:rsidR="0019245A">
        <w:t xml:space="preserve">the evidence showed </w:t>
      </w:r>
      <w:r w:rsidR="008C1D88">
        <w:t>more than that.  The court cited</w:t>
      </w:r>
      <w:r w:rsidR="00A34722">
        <w:t xml:space="preserve"> </w:t>
      </w:r>
      <w:r w:rsidR="008C1D88">
        <w:t xml:space="preserve">Officer Adney’s testimony that </w:t>
      </w:r>
      <w:r w:rsidRPr="004D4B6D" w:rsidR="00595EFA">
        <w:t>a Sureño who is a victim of a crime is required to respond</w:t>
      </w:r>
      <w:r w:rsidR="006706BE">
        <w:t xml:space="preserve">; that “[s]howing one is willing to put in work for the gang and be violent elevates that person’s status within the gang and the status of the gang as a whole”; and </w:t>
      </w:r>
      <w:r w:rsidR="005E285F">
        <w:t>“[i]ntimidation of witnesses and the community increases the gang’s control of territory.”  Here, the court reasoned, a reasonable jury could infer that Renteria intended for the shootings to intimidate rival gang members and neighborhood residents, “thus facilitating future crimes committed by himself and his fellow gang members.”  A</w:t>
      </w:r>
      <w:r w:rsidRPr="004D4B6D" w:rsidR="00595EFA">
        <w:t xml:space="preserve"> </w:t>
      </w:r>
      <w:r w:rsidRPr="004D4B6D" w:rsidR="00820442">
        <w:t xml:space="preserve">jury could </w:t>
      </w:r>
      <w:r w:rsidR="00B00FD6">
        <w:t xml:space="preserve">also </w:t>
      </w:r>
      <w:r w:rsidRPr="004D4B6D" w:rsidR="00820442">
        <w:t xml:space="preserve">infer that shooting </w:t>
      </w:r>
      <w:r w:rsidR="0093327D">
        <w:t>Jack</w:t>
      </w:r>
      <w:r w:rsidRPr="004D4B6D" w:rsidR="00820442">
        <w:t>’s house was retaliation for getting “</w:t>
      </w:r>
      <w:r w:rsidRPr="004D4B6D" w:rsidR="006E2C35">
        <w:t> ‘</w:t>
      </w:r>
      <w:r w:rsidRPr="004D4B6D" w:rsidR="00820442">
        <w:t>hit up</w:t>
      </w:r>
      <w:r w:rsidR="00920E97">
        <w:t>,</w:t>
      </w:r>
      <w:r w:rsidRPr="004D4B6D" w:rsidR="006E2C35">
        <w:t>’ </w:t>
      </w:r>
      <w:r w:rsidRPr="004D4B6D" w:rsidR="00820442">
        <w:t>”</w:t>
      </w:r>
      <w:r w:rsidR="00920E97">
        <w:t xml:space="preserve"> and was meant “as a means of recouping respect” for Renteria and for the gang.</w:t>
      </w:r>
      <w:r w:rsidR="0037610F">
        <w:t xml:space="preserve">  </w:t>
      </w:r>
      <w:r w:rsidR="005E285F">
        <w:t>Finally</w:t>
      </w:r>
      <w:r w:rsidR="00B10CCD">
        <w:t xml:space="preserve">, the jury could conclude </w:t>
      </w:r>
      <w:r w:rsidRPr="004D4B6D" w:rsidR="00604C1E">
        <w:t xml:space="preserve">that </w:t>
      </w:r>
      <w:r w:rsidR="00D03605">
        <w:t xml:space="preserve">Renteria shot at the house </w:t>
      </w:r>
      <w:r w:rsidR="005548D4">
        <w:t xml:space="preserve">next door </w:t>
      </w:r>
      <w:r w:rsidRPr="004D4B6D" w:rsidR="00820442">
        <w:t>to intimidate possible witnesses, quiet the dogs</w:t>
      </w:r>
      <w:r w:rsidRPr="004D4B6D">
        <w:t>,</w:t>
      </w:r>
      <w:r w:rsidRPr="004D4B6D" w:rsidR="00820442">
        <w:t xml:space="preserve"> and facilitate escape, “thereby furthering his gang’s reputation and control of contested territory, and his own gang-motivated </w:t>
      </w:r>
      <w:r w:rsidRPr="004D4B6D" w:rsidR="00A92CB0">
        <w:t xml:space="preserve">criminal </w:t>
      </w:r>
      <w:r w:rsidRPr="004D4B6D" w:rsidR="00820442">
        <w:t>conduct.”</w:t>
      </w:r>
      <w:r w:rsidRPr="004D4B6D" w:rsidR="00A92CB0">
        <w:t xml:space="preserve">  </w:t>
      </w:r>
    </w:p>
    <w:p w:rsidR="002A07D9" w:rsidRPr="004D4B6D" w:rsidP="004D4B6D">
      <w:pPr>
        <w:tabs>
          <w:tab w:val="left" w:pos="720"/>
          <w:tab w:val="left" w:pos="1440"/>
        </w:tabs>
        <w:ind w:firstLine="720"/>
      </w:pPr>
      <w:r w:rsidRPr="004D4B6D">
        <w:t xml:space="preserve">Justice Smith wrote a partial dissent.  </w:t>
      </w:r>
      <w:r w:rsidRPr="004D4B6D" w:rsidR="00122ACE">
        <w:t>(</w:t>
      </w:r>
      <w:r w:rsidRPr="004D4B6D" w:rsidR="00122ACE">
        <w:rPr>
          <w:i/>
          <w:iCs/>
        </w:rPr>
        <w:t>People v. Renteria</w:t>
      </w:r>
      <w:r w:rsidRPr="004D4B6D" w:rsidR="00122ACE">
        <w:t>,</w:t>
      </w:r>
      <w:r w:rsidRPr="004D4B6D" w:rsidR="00122ACE">
        <w:rPr>
          <w:i/>
          <w:iCs/>
        </w:rPr>
        <w:t xml:space="preserve"> supra</w:t>
      </w:r>
      <w:r w:rsidRPr="004D4B6D" w:rsidR="00122ACE">
        <w:t xml:space="preserve">, </w:t>
      </w:r>
      <w:r w:rsidR="00122ACE">
        <w:t xml:space="preserve">F076973 </w:t>
      </w:r>
      <w:r w:rsidRPr="004D4B6D" w:rsidR="00122ACE">
        <w:t>(conc. &amp; dis. opn. of Smith, J.).)</w:t>
      </w:r>
      <w:r w:rsidR="00122ACE">
        <w:t xml:space="preserve">  Justice Smith </w:t>
      </w:r>
      <w:r w:rsidRPr="004D4B6D" w:rsidR="00297D9B">
        <w:t>noted</w:t>
      </w:r>
      <w:r w:rsidR="0052644C">
        <w:t>, among other things,</w:t>
      </w:r>
      <w:r w:rsidRPr="004D4B6D" w:rsidR="00297D9B">
        <w:t xml:space="preserve"> that the record did not support the conclusion that the shooter had shouted “Sur trece” at the time of the shooting.  </w:t>
      </w:r>
      <w:r w:rsidRPr="004D4B6D">
        <w:t>It was</w:t>
      </w:r>
      <w:r w:rsidRPr="004D4B6D" w:rsidR="00313FEF">
        <w:t>, however,</w:t>
      </w:r>
      <w:r w:rsidRPr="004D4B6D">
        <w:t xml:space="preserve"> </w:t>
      </w:r>
      <w:r w:rsidRPr="004D4B6D" w:rsidR="005378C1">
        <w:t xml:space="preserve">based on that </w:t>
      </w:r>
      <w:r w:rsidRPr="004D4B6D" w:rsidR="006C12DD">
        <w:t xml:space="preserve">incorrect </w:t>
      </w:r>
      <w:r w:rsidRPr="004D4B6D" w:rsidR="005378C1">
        <w:t>assumption</w:t>
      </w:r>
      <w:r w:rsidRPr="004D4B6D">
        <w:t xml:space="preserve"> that Officer Adney </w:t>
      </w:r>
      <w:r w:rsidRPr="004D4B6D" w:rsidR="005378C1">
        <w:t>opined that the shootings benefited the Sureño gang.</w:t>
      </w:r>
      <w:r w:rsidR="00122ACE">
        <w:t xml:space="preserve">  Without that unsupported assumption, Justice Smith concluded, Adney’s opinion was “ultimately irrelevant and of no help to the jury</w:t>
      </w:r>
      <w:r w:rsidR="00D30771">
        <w:t xml:space="preserve">,” leaving insufficient evidence to support the gang </w:t>
      </w:r>
      <w:r w:rsidR="00F315DA">
        <w:t>penalt</w:t>
      </w:r>
      <w:r w:rsidR="0083593E">
        <w:t>ies</w:t>
      </w:r>
      <w:r w:rsidR="00D30771">
        <w:t>.</w:t>
      </w:r>
      <w:r w:rsidRPr="004D4B6D" w:rsidR="005378C1">
        <w:t xml:space="preserve">  </w:t>
      </w:r>
    </w:p>
    <w:p w:rsidR="00107991" w:rsidRPr="004D4B6D" w:rsidP="004D4B6D">
      <w:pPr>
        <w:tabs>
          <w:tab w:val="left" w:pos="720"/>
          <w:tab w:val="left" w:pos="1440"/>
        </w:tabs>
        <w:ind w:firstLine="720"/>
      </w:pPr>
      <w:r>
        <w:t xml:space="preserve">After </w:t>
      </w:r>
      <w:r w:rsidR="00401D82">
        <w:t xml:space="preserve">we granted review </w:t>
      </w:r>
      <w:r w:rsidR="00155641">
        <w:t>in this case</w:t>
      </w:r>
      <w:r w:rsidR="00401D82">
        <w:t xml:space="preserve">, </w:t>
      </w:r>
      <w:r>
        <w:t>t</w:t>
      </w:r>
      <w:r>
        <w:t xml:space="preserve">he Legislature </w:t>
      </w:r>
      <w:r w:rsidR="00EA527A">
        <w:t xml:space="preserve">enacted Assembly Bill </w:t>
      </w:r>
      <w:r w:rsidR="00112DA8">
        <w:t>No. </w:t>
      </w:r>
      <w:r w:rsidR="00EA527A">
        <w:t>333</w:t>
      </w:r>
      <w:r w:rsidR="001B236C">
        <w:t xml:space="preserve"> (2021</w:t>
      </w:r>
      <w:r w:rsidRPr="00C32EB5" w:rsidR="001B236C">
        <w:t>–</w:t>
      </w:r>
      <w:r w:rsidR="001B236C">
        <w:t>2022 Reg. Sess.)</w:t>
      </w:r>
      <w:r w:rsidR="00EA527A">
        <w:t>, which</w:t>
      </w:r>
      <w:r w:rsidR="00BB2B91">
        <w:t xml:space="preserve"> narrowed the scope of section 186.22</w:t>
      </w:r>
      <w:r w:rsidR="00414AB9">
        <w:t>(b)</w:t>
      </w:r>
      <w:r w:rsidR="00BB2B91">
        <w:t xml:space="preserve"> </w:t>
      </w:r>
      <w:r w:rsidR="00D40E96">
        <w:t>enhancement</w:t>
      </w:r>
      <w:r w:rsidR="003521BD">
        <w:t xml:space="preserve"> provision</w:t>
      </w:r>
      <w:r w:rsidR="00D40E96">
        <w:t xml:space="preserve">s </w:t>
      </w:r>
      <w:r w:rsidR="00BB2B91">
        <w:t xml:space="preserve">in </w:t>
      </w:r>
      <w:r w:rsidR="00DA03B9">
        <w:t xml:space="preserve">several </w:t>
      </w:r>
      <w:r w:rsidR="00BB2B91">
        <w:t>respects.  (Assem. Bill No</w:t>
      </w:r>
      <w:r w:rsidR="00112DA8">
        <w:t>. </w:t>
      </w:r>
      <w:r w:rsidR="00BB2B91">
        <w:t>333 (2021</w:t>
      </w:r>
      <w:r w:rsidRPr="00C32EB5" w:rsidR="00BB2B91">
        <w:t>–</w:t>
      </w:r>
      <w:r w:rsidR="00BB2B91">
        <w:t>2022 Reg. Sess.)</w:t>
      </w:r>
      <w:r w:rsidR="00112DA8">
        <w:t xml:space="preserve"> (Assembly Bill 333); see Stats. 2021, ch. 699, § 3</w:t>
      </w:r>
      <w:r w:rsidR="00FB5986">
        <w:t>.)</w:t>
      </w:r>
      <w:r>
        <w:rPr>
          <w:rStyle w:val="FootnoteReference"/>
        </w:rPr>
        <w:footnoteReference w:id="8"/>
      </w:r>
      <w:r w:rsidR="00BB2B91">
        <w:t xml:space="preserve">  </w:t>
      </w:r>
      <w:r w:rsidR="00216F07">
        <w:t xml:space="preserve">Although the parties agree Assembly Bill 333 applies retroactively </w:t>
      </w:r>
      <w:r w:rsidR="00EF759A">
        <w:t xml:space="preserve">to nonfinal </w:t>
      </w:r>
      <w:bookmarkStart w:id="4" w:name="_Hlk109302432"/>
      <w:r w:rsidR="00EF759A">
        <w:t>cases</w:t>
      </w:r>
      <w:r w:rsidR="00216F07">
        <w:t xml:space="preserve">, </w:t>
      </w:r>
      <w:bookmarkEnd w:id="4"/>
      <w:r w:rsidR="00216F07">
        <w:t xml:space="preserve">they disagree about the </w:t>
      </w:r>
      <w:r w:rsidRPr="00465C22" w:rsidR="00465C22">
        <w:t>effect</w:t>
      </w:r>
      <w:r w:rsidR="006738A0">
        <w:t xml:space="preserve"> of</w:t>
      </w:r>
      <w:r w:rsidR="00845878">
        <w:t xml:space="preserve"> </w:t>
      </w:r>
      <w:r w:rsidR="00AD1311">
        <w:t>Assembly Bill 333</w:t>
      </w:r>
      <w:r w:rsidR="003B76BF">
        <w:t xml:space="preserve"> on the gang </w:t>
      </w:r>
      <w:r w:rsidR="00F315DA">
        <w:t>penalt</w:t>
      </w:r>
      <w:r w:rsidR="00D20390">
        <w:t>ies</w:t>
      </w:r>
      <w:r w:rsidR="00F315DA">
        <w:t xml:space="preserve"> </w:t>
      </w:r>
      <w:r w:rsidR="00852098">
        <w:t>imposed on Renteria</w:t>
      </w:r>
      <w:r w:rsidR="004373D1">
        <w:t xml:space="preserve"> in this matter</w:t>
      </w:r>
      <w:r w:rsidR="006E11D1">
        <w:t>.  W</w:t>
      </w:r>
      <w:r w:rsidR="00A87E33">
        <w:t>e</w:t>
      </w:r>
      <w:r w:rsidR="006738A0">
        <w:t xml:space="preserve"> </w:t>
      </w:r>
      <w:r w:rsidR="00A87E33">
        <w:t xml:space="preserve">do not resolve this dispute </w:t>
      </w:r>
      <w:r w:rsidR="00465C22">
        <w:t xml:space="preserve">because </w:t>
      </w:r>
      <w:r w:rsidRPr="00465C22" w:rsidR="00465C22">
        <w:t xml:space="preserve">we conclude the evidence was not sufficient to sustain the </w:t>
      </w:r>
      <w:r w:rsidR="0020073A">
        <w:t>gang penalties</w:t>
      </w:r>
      <w:r w:rsidRPr="00465C22" w:rsidR="0020073A">
        <w:t xml:space="preserve"> </w:t>
      </w:r>
      <w:r w:rsidR="00073905">
        <w:t xml:space="preserve">even </w:t>
      </w:r>
      <w:r w:rsidRPr="00465C22" w:rsidR="00465C22">
        <w:t>under the law in effect at the time</w:t>
      </w:r>
      <w:r w:rsidR="00A87E33">
        <w:t xml:space="preserve"> of Renteria’s trial</w:t>
      </w:r>
      <w:r>
        <w:t xml:space="preserve">.  </w:t>
      </w:r>
    </w:p>
    <w:p w:rsidR="00B603FC" w:rsidRPr="004D4B6D" w:rsidP="004D4B6D">
      <w:pPr>
        <w:pStyle w:val="Heading1"/>
      </w:pPr>
      <w:r w:rsidRPr="004D4B6D">
        <w:t>II.</w:t>
      </w:r>
    </w:p>
    <w:p w:rsidR="002C2FB6" w:rsidRPr="004D4B6D" w:rsidP="004D4B6D">
      <w:pPr>
        <w:tabs>
          <w:tab w:val="left" w:pos="720"/>
          <w:tab w:val="left" w:pos="1440"/>
        </w:tabs>
      </w:pPr>
      <w:r w:rsidRPr="004D4B6D">
        <w:tab/>
        <w:t xml:space="preserve">The </w:t>
      </w:r>
      <w:r w:rsidRPr="004D4B6D" w:rsidR="0056533D">
        <w:t>gang</w:t>
      </w:r>
      <w:r w:rsidRPr="004D4B6D" w:rsidR="00F32CC3">
        <w:t xml:space="preserve"> enhancement </w:t>
      </w:r>
      <w:r w:rsidR="00E136F3">
        <w:t xml:space="preserve">statute </w:t>
      </w:r>
      <w:r w:rsidRPr="004D4B6D" w:rsidR="00F32CC3">
        <w:t xml:space="preserve">was enacted </w:t>
      </w:r>
      <w:r w:rsidRPr="004D4B6D" w:rsidR="00A21B59">
        <w:t xml:space="preserve">in 1988 </w:t>
      </w:r>
      <w:r w:rsidRPr="004D4B6D">
        <w:t xml:space="preserve">as part of the </w:t>
      </w:r>
      <w:r w:rsidRPr="004D4B6D" w:rsidR="00AC3F69">
        <w:t>Street Terrorism Enforcement and Prevention Act</w:t>
      </w:r>
      <w:r w:rsidRPr="004D4B6D" w:rsidR="00A942C7">
        <w:t xml:space="preserve"> (STEP Act</w:t>
      </w:r>
      <w:r w:rsidR="00F64327">
        <w:t>, or Act</w:t>
      </w:r>
      <w:r w:rsidRPr="004D4B6D" w:rsidR="00A942C7">
        <w:t>)</w:t>
      </w:r>
      <w:r w:rsidRPr="004D4B6D" w:rsidR="00AC3F69">
        <w:t xml:space="preserve">. </w:t>
      </w:r>
      <w:r w:rsidRPr="004D4B6D">
        <w:t xml:space="preserve"> </w:t>
      </w:r>
      <w:r w:rsidRPr="004D4B6D" w:rsidR="00AC3F69">
        <w:t>(</w:t>
      </w:r>
      <w:r w:rsidRPr="004D4B6D" w:rsidR="0062661D">
        <w:t xml:space="preserve">Pen. Code, </w:t>
      </w:r>
      <w:r w:rsidRPr="004D4B6D">
        <w:t>§</w:t>
      </w:r>
      <w:r w:rsidRPr="004D4B6D" w:rsidR="00E76FA5">
        <w:t> </w:t>
      </w:r>
      <w:r w:rsidRPr="004D4B6D">
        <w:t>186.20 et seq.</w:t>
      </w:r>
      <w:r w:rsidRPr="004D4B6D" w:rsidR="0062661D">
        <w:t xml:space="preserve">; see </w:t>
      </w:r>
      <w:r w:rsidRPr="004D4B6D" w:rsidR="0062661D">
        <w:rPr>
          <w:i/>
          <w:iCs/>
        </w:rPr>
        <w:t>People v. Gardeley</w:t>
      </w:r>
      <w:r w:rsidRPr="004D4B6D" w:rsidR="0062661D">
        <w:t xml:space="preserve"> (1996) 14 Cal.4th 605, 609.</w:t>
      </w:r>
      <w:r w:rsidRPr="004D4B6D">
        <w:t>)</w:t>
      </w:r>
      <w:r w:rsidRPr="004D4B6D" w:rsidR="00E76FA5">
        <w:t xml:space="preserve">  </w:t>
      </w:r>
      <w:r w:rsidRPr="004D4B6D" w:rsidR="00BC1D75">
        <w:t xml:space="preserve">Finding </w:t>
      </w:r>
      <w:r w:rsidRPr="004D4B6D" w:rsidR="00E76FA5">
        <w:t>that crimes committed by members of violent street gangs</w:t>
      </w:r>
      <w:r w:rsidR="00BF5DA9">
        <w:t xml:space="preserve"> “</w:t>
      </w:r>
      <w:r w:rsidRPr="004D4B6D" w:rsidR="00E76FA5">
        <w:t>present a clear and present danger to public order and safety</w:t>
      </w:r>
      <w:r w:rsidRPr="004D4B6D" w:rsidR="003927BC">
        <w:t>,</w:t>
      </w:r>
      <w:r w:rsidRPr="004D4B6D" w:rsidR="00E76FA5">
        <w:t xml:space="preserve">” </w:t>
      </w:r>
      <w:r w:rsidRPr="004D4B6D" w:rsidR="003927BC">
        <w:t>t</w:t>
      </w:r>
      <w:r w:rsidRPr="004D4B6D" w:rsidR="00BC1D75">
        <w:t xml:space="preserve">he </w:t>
      </w:r>
      <w:r w:rsidR="00F663B1">
        <w:t xml:space="preserve">Legislature </w:t>
      </w:r>
      <w:r w:rsidR="00651D93">
        <w:t xml:space="preserve">aimed to </w:t>
      </w:r>
      <w:r w:rsidRPr="004D4B6D" w:rsidR="003927BC">
        <w:t>eradicat</w:t>
      </w:r>
      <w:r w:rsidRPr="004D4B6D" w:rsidR="001A4C2B">
        <w:t>e</w:t>
      </w:r>
      <w:r w:rsidRPr="004D4B6D" w:rsidR="003927BC">
        <w:t xml:space="preserve"> </w:t>
      </w:r>
      <w:r w:rsidRPr="004D4B6D" w:rsidR="00BC1D75">
        <w:t xml:space="preserve">criminal </w:t>
      </w:r>
      <w:r w:rsidRPr="004D4B6D" w:rsidR="003927BC">
        <w:t xml:space="preserve">gang </w:t>
      </w:r>
      <w:r w:rsidRPr="004D4B6D" w:rsidR="00BC1D75">
        <w:t>activity “</w:t>
      </w:r>
      <w:r w:rsidRPr="004D4B6D" w:rsidR="00AC3F69">
        <w:t>by focusing upon patterns of criminal gang activity and upon the organized nature of street gangs, which together, are the chief source of terror created by street gangs.</w:t>
      </w:r>
      <w:r w:rsidRPr="004D4B6D" w:rsidR="00BC1D75">
        <w:t xml:space="preserve">”  </w:t>
      </w:r>
      <w:r w:rsidRPr="004D4B6D" w:rsidR="003927BC">
        <w:t>(</w:t>
      </w:r>
      <w:r w:rsidRPr="004D4B6D" w:rsidR="00657617">
        <w:t xml:space="preserve">Pen. Code, </w:t>
      </w:r>
      <w:r w:rsidRPr="004D4B6D" w:rsidR="003927BC">
        <w:t>§ 186.21.)</w:t>
      </w:r>
    </w:p>
    <w:p w:rsidR="00B73DC8" w:rsidRPr="004D4B6D" w:rsidP="004D4B6D">
      <w:pPr>
        <w:tabs>
          <w:tab w:val="left" w:pos="720"/>
          <w:tab w:val="left" w:pos="1440"/>
        </w:tabs>
      </w:pPr>
      <w:r w:rsidRPr="004D4B6D">
        <w:tab/>
      </w:r>
      <w:r w:rsidRPr="004D4B6D" w:rsidR="00FD21AB">
        <w:t xml:space="preserve">The </w:t>
      </w:r>
      <w:r w:rsidR="00357BFB">
        <w:t xml:space="preserve">gang enhancement </w:t>
      </w:r>
      <w:r w:rsidR="00C24CC5">
        <w:t xml:space="preserve">provisions </w:t>
      </w:r>
      <w:r w:rsidR="00922802">
        <w:t>provide</w:t>
      </w:r>
      <w:r w:rsidR="00357BFB">
        <w:t xml:space="preserve"> one of two primary means by which the STEP Act punishes </w:t>
      </w:r>
      <w:r w:rsidRPr="004D4B6D" w:rsidR="00050242">
        <w:t xml:space="preserve">criminal </w:t>
      </w:r>
      <w:r w:rsidRPr="004D4B6D" w:rsidR="00B2608B">
        <w:t xml:space="preserve">gang activity.  </w:t>
      </w:r>
      <w:r w:rsidR="00456B5B">
        <w:t xml:space="preserve">The first, codified in </w:t>
      </w:r>
      <w:r w:rsidRPr="004D4B6D" w:rsidR="00645745">
        <w:t>P</w:t>
      </w:r>
      <w:r w:rsidRPr="004D4B6D" w:rsidR="00F32CC3">
        <w:t xml:space="preserve">enal Code </w:t>
      </w:r>
      <w:r w:rsidRPr="004D4B6D">
        <w:t>s</w:t>
      </w:r>
      <w:r w:rsidRPr="004D4B6D" w:rsidR="00B2608B">
        <w:t xml:space="preserve">ection 186.22, subdivision (a) </w:t>
      </w:r>
      <w:r w:rsidRPr="004D4B6D" w:rsidR="00F85DCE">
        <w:t>(section 186.22(a))</w:t>
      </w:r>
      <w:r w:rsidRPr="004D4B6D" w:rsidR="000D498B">
        <w:t xml:space="preserve">, </w:t>
      </w:r>
      <w:r w:rsidR="00B16F78">
        <w:t xml:space="preserve">consists of </w:t>
      </w:r>
      <w:r w:rsidRPr="004D4B6D" w:rsidR="00B2608B">
        <w:t>“a substantive offense</w:t>
      </w:r>
      <w:r w:rsidRPr="004D4B6D" w:rsidR="00A46668">
        <w:t xml:space="preserve">” </w:t>
      </w:r>
      <w:r w:rsidR="00B16F78">
        <w:t xml:space="preserve">punishing </w:t>
      </w:r>
      <w:r w:rsidRPr="004D4B6D" w:rsidR="00B2608B">
        <w:t>“</w:t>
      </w:r>
      <w:r w:rsidRPr="004D4B6D" w:rsidR="00A46668">
        <w:t> ‘</w:t>
      </w:r>
      <w:r w:rsidRPr="004D4B6D" w:rsidR="00B2608B">
        <w:t>[a]ny person who actively participates in any criminal street gang with knowledge that its members engage in or have engaged in a pattern of criminal gang activity, and who willfully promotes, furthers, or assists in any felonious criminal conduct by members of that gang</w:t>
      </w:r>
      <w:r w:rsidRPr="004D4B6D" w:rsidR="008D2F32">
        <w:t> </w:t>
      </w:r>
      <w:r w:rsidRPr="004D4B6D" w:rsidR="00A46668">
        <w:t>. . .</w:t>
      </w:r>
      <w:r w:rsidRPr="004D4B6D" w:rsidR="008D2F32">
        <w:t> </w:t>
      </w:r>
      <w:r w:rsidRPr="004D4B6D" w:rsidR="00B2608B">
        <w:t>.</w:t>
      </w:r>
      <w:r w:rsidRPr="004D4B6D" w:rsidR="00A46668">
        <w:t>’ </w:t>
      </w:r>
      <w:r w:rsidRPr="004D4B6D" w:rsidR="00B2608B">
        <w:t>”</w:t>
      </w:r>
      <w:r w:rsidRPr="004D4B6D" w:rsidR="00A46668">
        <w:t xml:space="preserve">  </w:t>
      </w:r>
      <w:r w:rsidRPr="004D4B6D" w:rsidR="00B2608B">
        <w:t>(</w:t>
      </w:r>
      <w:r w:rsidRPr="004D4B6D" w:rsidR="00B2608B">
        <w:rPr>
          <w:i/>
          <w:iCs/>
        </w:rPr>
        <w:t>People v. Rodriguez</w:t>
      </w:r>
      <w:r w:rsidRPr="004D4B6D" w:rsidR="00B2608B">
        <w:t xml:space="preserve"> (2012) 55 Cal.4th 1125, 1130</w:t>
      </w:r>
      <w:r w:rsidRPr="004D4B6D" w:rsidR="00766C81">
        <w:t xml:space="preserve"> </w:t>
      </w:r>
      <w:r w:rsidRPr="004D4B6D" w:rsidR="00AF7084">
        <w:t>(plur</w:t>
      </w:r>
      <w:r w:rsidRPr="004D4B6D" w:rsidR="006D5FDE">
        <w:t>.</w:t>
      </w:r>
      <w:r w:rsidRPr="004D4B6D" w:rsidR="00AF7084">
        <w:t xml:space="preserve"> opn.)</w:t>
      </w:r>
      <w:r w:rsidR="009B250C">
        <w:t xml:space="preserve"> </w:t>
      </w:r>
      <w:r w:rsidRPr="004D4B6D" w:rsidR="009B250C">
        <w:t>(</w:t>
      </w:r>
      <w:r w:rsidRPr="004D4B6D" w:rsidR="009B250C">
        <w:rPr>
          <w:i/>
          <w:iCs/>
        </w:rPr>
        <w:t>Rodriguez</w:t>
      </w:r>
      <w:r w:rsidRPr="004D4B6D" w:rsidR="009B250C">
        <w:t>)</w:t>
      </w:r>
      <w:r w:rsidRPr="004D4B6D">
        <w:t xml:space="preserve">, </w:t>
      </w:r>
      <w:r w:rsidRPr="004D4B6D" w:rsidR="00A46668">
        <w:t xml:space="preserve">quoting </w:t>
      </w:r>
      <w:r w:rsidRPr="004D4B6D" w:rsidR="00761A56">
        <w:t>§ </w:t>
      </w:r>
      <w:r w:rsidRPr="004D4B6D" w:rsidR="00A46668">
        <w:t>186.22(a)</w:t>
      </w:r>
      <w:r w:rsidRPr="004D4B6D" w:rsidR="00B2608B">
        <w:t xml:space="preserve">.) </w:t>
      </w:r>
      <w:r w:rsidRPr="004D4B6D" w:rsidR="00A46668">
        <w:t xml:space="preserve"> </w:t>
      </w:r>
      <w:r w:rsidR="003A28DF">
        <w:t>The gang enhancement</w:t>
      </w:r>
      <w:r w:rsidR="00922802">
        <w:t xml:space="preserve"> provisions</w:t>
      </w:r>
      <w:r w:rsidR="003A28DF">
        <w:t xml:space="preserve">, by contrast, codified in </w:t>
      </w:r>
      <w:r w:rsidR="00116A2D">
        <w:t>section 186.22(b)</w:t>
      </w:r>
      <w:r w:rsidR="000B13A7">
        <w:t>,</w:t>
      </w:r>
      <w:r w:rsidR="00116A2D">
        <w:t xml:space="preserve"> prescribe </w:t>
      </w:r>
      <w:r w:rsidRPr="004D4B6D" w:rsidR="003927BC">
        <w:t>sentenc</w:t>
      </w:r>
      <w:r w:rsidRPr="004D4B6D" w:rsidR="000C4F92">
        <w:t>e</w:t>
      </w:r>
      <w:r w:rsidRPr="004D4B6D" w:rsidR="003927BC">
        <w:t xml:space="preserve"> enhancements </w:t>
      </w:r>
      <w:r w:rsidR="00F315DA">
        <w:t xml:space="preserve">or alternate penalties </w:t>
      </w:r>
      <w:r w:rsidR="001C44C0">
        <w:t xml:space="preserve">of varying length </w:t>
      </w:r>
      <w:r w:rsidRPr="004D4B6D" w:rsidR="003927BC">
        <w:t>for “a</w:t>
      </w:r>
      <w:r w:rsidRPr="004D4B6D" w:rsidR="00AC7CE7">
        <w:t>ny</w:t>
      </w:r>
      <w:r w:rsidRPr="004D4B6D" w:rsidR="003927BC">
        <w:t xml:space="preserve"> person who is convicted of a felony committed for the benefit of, at the direction of, or in association with a</w:t>
      </w:r>
      <w:r w:rsidRPr="004D4B6D" w:rsidR="00BD702D">
        <w:t>ny</w:t>
      </w:r>
      <w:r w:rsidRPr="004D4B6D" w:rsidR="003927BC">
        <w:t xml:space="preserve"> criminal street gang, with the specific intent to promote, further, or assist in </w:t>
      </w:r>
      <w:r w:rsidRPr="004D4B6D" w:rsidR="00BD702D">
        <w:t xml:space="preserve">any </w:t>
      </w:r>
      <w:r w:rsidRPr="004D4B6D" w:rsidR="003927BC">
        <w:t>criminal conduct by gang members</w:t>
      </w:r>
      <w:r w:rsidRPr="004D4B6D" w:rsidR="00BD702D">
        <w:t>.</w:t>
      </w:r>
      <w:r w:rsidRPr="004D4B6D" w:rsidR="00826A62">
        <w:t>”</w:t>
      </w:r>
      <w:r w:rsidRPr="004D4B6D" w:rsidR="00BD702D">
        <w:t xml:space="preserve">  </w:t>
      </w:r>
      <w:r w:rsidRPr="004D4B6D" w:rsidR="003927BC">
        <w:t>(§</w:t>
      </w:r>
      <w:r w:rsidRPr="004D4B6D" w:rsidR="000B5AFE">
        <w:t> </w:t>
      </w:r>
      <w:r w:rsidRPr="004D4B6D" w:rsidR="003927BC">
        <w:t>186.22</w:t>
      </w:r>
      <w:r w:rsidRPr="004D4B6D" w:rsidR="00BD702D">
        <w:t>(b)(1)</w:t>
      </w:r>
      <w:r w:rsidRPr="004D4B6D" w:rsidR="0082219F">
        <w:t xml:space="preserve">; see </w:t>
      </w:r>
      <w:r w:rsidRPr="004D4B6D" w:rsidR="0082219F">
        <w:rPr>
          <w:i/>
          <w:iCs/>
        </w:rPr>
        <w:t>id.</w:t>
      </w:r>
      <w:r w:rsidRPr="004D4B6D" w:rsidR="0082219F">
        <w:t>, subd.</w:t>
      </w:r>
      <w:r w:rsidR="0031209B">
        <w:t> </w:t>
      </w:r>
      <w:r w:rsidRPr="004D4B6D" w:rsidR="0082219F">
        <w:t>(b)</w:t>
      </w:r>
      <w:r w:rsidRPr="004D4B6D" w:rsidR="009D3761">
        <w:t>(4)</w:t>
      </w:r>
      <w:r w:rsidRPr="004D4B6D" w:rsidR="00BD702D">
        <w:t>.)</w:t>
      </w:r>
    </w:p>
    <w:p w:rsidR="00B65E72" w:rsidRPr="004D4B6D" w:rsidP="00F43A09">
      <w:pPr>
        <w:tabs>
          <w:tab w:val="left" w:pos="720"/>
          <w:tab w:val="left" w:pos="1440"/>
        </w:tabs>
      </w:pPr>
      <w:r w:rsidRPr="004D4B6D">
        <w:tab/>
      </w:r>
      <w:r w:rsidRPr="004D4B6D" w:rsidR="008A3D56">
        <w:t xml:space="preserve">The </w:t>
      </w:r>
      <w:r w:rsidR="000C057D">
        <w:t xml:space="preserve">substantive offense and enhancement provisions </w:t>
      </w:r>
      <w:r w:rsidRPr="004D4B6D" w:rsidR="008A3D56">
        <w:t>“strike at different things</w:t>
      </w:r>
      <w:r w:rsidRPr="004D4B6D" w:rsidR="00F86C04">
        <w:t>.”  (</w:t>
      </w:r>
      <w:r w:rsidRPr="004D4B6D" w:rsidR="00F86C04">
        <w:rPr>
          <w:i/>
          <w:iCs/>
        </w:rPr>
        <w:t>Rodriguez</w:t>
      </w:r>
      <w:r w:rsidRPr="004D4B6D" w:rsidR="00F86C04">
        <w:t xml:space="preserve">, </w:t>
      </w:r>
      <w:r w:rsidRPr="004D4B6D" w:rsidR="0091487D">
        <w:rPr>
          <w:i/>
          <w:iCs/>
        </w:rPr>
        <w:t>supra</w:t>
      </w:r>
      <w:r w:rsidRPr="004D4B6D" w:rsidR="0091487D">
        <w:t xml:space="preserve">, 55 Cal.4th </w:t>
      </w:r>
      <w:r w:rsidRPr="004D4B6D" w:rsidR="00F86C04">
        <w:t>at p.</w:t>
      </w:r>
      <w:r w:rsidRPr="004D4B6D" w:rsidR="0081303F">
        <w:t> </w:t>
      </w:r>
      <w:r w:rsidRPr="004D4B6D" w:rsidR="00F86C04">
        <w:t>1138 (plur</w:t>
      </w:r>
      <w:r w:rsidRPr="004D4B6D" w:rsidR="006D5FDE">
        <w:t>.</w:t>
      </w:r>
      <w:r w:rsidRPr="004D4B6D" w:rsidR="00F86C04">
        <w:t xml:space="preserve"> opn.).)  </w:t>
      </w:r>
      <w:r w:rsidRPr="004D4B6D" w:rsidR="001F1306">
        <w:t>“</w:t>
      </w:r>
      <w:r w:rsidRPr="004D4B6D" w:rsidR="00AC7CE7">
        <w:t>[</w:t>
      </w:r>
      <w:r w:rsidRPr="004D4B6D" w:rsidR="001F1306">
        <w:t>W</w:t>
      </w:r>
      <w:r w:rsidRPr="004D4B6D" w:rsidR="00AC7CE7">
        <w:t>]</w:t>
      </w:r>
      <w:r w:rsidRPr="004D4B6D" w:rsidR="001F1306">
        <w:t xml:space="preserve">ith section 186.22(a), the Legislature sought to punish gang members who acted </w:t>
      </w:r>
      <w:r w:rsidRPr="004D4B6D" w:rsidR="001F1306">
        <w:rPr>
          <w:i/>
          <w:iCs/>
        </w:rPr>
        <w:t>in concert</w:t>
      </w:r>
      <w:r w:rsidRPr="004D4B6D" w:rsidR="001F1306">
        <w:t xml:space="preserve"> with other gang members in committing a felony regardless of whether such felony was gang related.”  (</w:t>
      </w:r>
      <w:r w:rsidRPr="007A04AA" w:rsidR="00112DA8">
        <w:rPr>
          <w:i/>
          <w:iCs/>
        </w:rPr>
        <w:t>Rodriguez</w:t>
      </w:r>
      <w:r w:rsidR="00112DA8">
        <w:t>, at p. 1138</w:t>
      </w:r>
      <w:r w:rsidRPr="004D4B6D" w:rsidR="001F1306">
        <w:t xml:space="preserve">, citing </w:t>
      </w:r>
      <w:r w:rsidRPr="004D4B6D" w:rsidR="001F1306">
        <w:rPr>
          <w:i/>
          <w:iCs/>
        </w:rPr>
        <w:t>People v. Albillar</w:t>
      </w:r>
      <w:r w:rsidRPr="004D4B6D" w:rsidR="001F1306">
        <w:t xml:space="preserve"> (2010) 51 Cal.4th 47, 55</w:t>
      </w:r>
      <w:r w:rsidR="0051441E">
        <w:t xml:space="preserve"> (</w:t>
      </w:r>
      <w:r w:rsidR="0051441E">
        <w:rPr>
          <w:i/>
          <w:iCs/>
        </w:rPr>
        <w:t>Albillar</w:t>
      </w:r>
      <w:r w:rsidR="0051441E">
        <w:t>)</w:t>
      </w:r>
      <w:r w:rsidRPr="004D4B6D" w:rsidR="001F1306">
        <w:t>.)</w:t>
      </w:r>
      <w:r w:rsidRPr="004D4B6D" w:rsidR="00F64235">
        <w:t xml:space="preserve">  </w:t>
      </w:r>
      <w:r w:rsidR="00866970">
        <w:t xml:space="preserve">Thus, as we held in </w:t>
      </w:r>
      <w:r w:rsidRPr="004D4B6D" w:rsidR="002324D7">
        <w:rPr>
          <w:i/>
          <w:iCs/>
        </w:rPr>
        <w:t>Rodriguez</w:t>
      </w:r>
      <w:r w:rsidR="00866970">
        <w:t>,</w:t>
      </w:r>
      <w:r w:rsidRPr="004D4B6D" w:rsidR="002324D7">
        <w:t xml:space="preserve"> section 186.22(a) does not </w:t>
      </w:r>
      <w:r w:rsidR="00BC574B">
        <w:t xml:space="preserve">reach </w:t>
      </w:r>
      <w:r w:rsidRPr="004D4B6D" w:rsidR="0091487D">
        <w:t>the conduct</w:t>
      </w:r>
      <w:r w:rsidRPr="004D4B6D" w:rsidR="002324D7">
        <w:t xml:space="preserve"> of a gang member acting alone.  (</w:t>
      </w:r>
      <w:r w:rsidRPr="004D4B6D" w:rsidR="002324D7">
        <w:rPr>
          <w:i/>
          <w:iCs/>
        </w:rPr>
        <w:t>Rodriguez</w:t>
      </w:r>
      <w:r w:rsidRPr="004D4B6D" w:rsidR="002324D7">
        <w:t>, at p.</w:t>
      </w:r>
      <w:r w:rsidRPr="004D4B6D" w:rsidR="0091487D">
        <w:t> 1132</w:t>
      </w:r>
      <w:r w:rsidRPr="004D4B6D" w:rsidR="002324D7">
        <w:t xml:space="preserve">.)  </w:t>
      </w:r>
      <w:r w:rsidR="00DF56E6">
        <w:t>T</w:t>
      </w:r>
      <w:r w:rsidRPr="004D4B6D" w:rsidR="00F64235">
        <w:t xml:space="preserve">he enhancements </w:t>
      </w:r>
      <w:r w:rsidR="002245F3">
        <w:t xml:space="preserve">provisions </w:t>
      </w:r>
      <w:r w:rsidRPr="004D4B6D" w:rsidR="00F64235">
        <w:t>prescribed by section 186.22(b) are</w:t>
      </w:r>
      <w:r w:rsidR="00DF56E6">
        <w:t xml:space="preserve">, by contrast, </w:t>
      </w:r>
      <w:r w:rsidRPr="004D4B6D" w:rsidR="00F64235">
        <w:t>designed to punish “gang-related conduct</w:t>
      </w:r>
      <w:r w:rsidR="00EE028F">
        <w:t>.</w:t>
      </w:r>
      <w:r w:rsidRPr="004D4B6D" w:rsidR="00F64235">
        <w:t>”</w:t>
      </w:r>
      <w:r w:rsidR="00DF56E6">
        <w:t xml:space="preserve"> </w:t>
      </w:r>
      <w:r w:rsidR="00362612">
        <w:t xml:space="preserve"> </w:t>
      </w:r>
      <w:r w:rsidRPr="004D4B6D" w:rsidR="00F64235">
        <w:t>(</w:t>
      </w:r>
      <w:r w:rsidRPr="004D4B6D" w:rsidR="0054084B">
        <w:rPr>
          <w:i/>
          <w:iCs/>
        </w:rPr>
        <w:t>Rodriguez</w:t>
      </w:r>
      <w:r w:rsidRPr="004D4B6D" w:rsidR="0054084B">
        <w:t>,</w:t>
      </w:r>
      <w:r w:rsidR="007C3946">
        <w:t xml:space="preserve"> </w:t>
      </w:r>
      <w:r w:rsidRPr="004D4B6D" w:rsidR="00C7219C">
        <w:t>at p.</w:t>
      </w:r>
      <w:r w:rsidRPr="004D4B6D" w:rsidR="0091487D">
        <w:t> </w:t>
      </w:r>
      <w:r w:rsidRPr="004D4B6D" w:rsidR="00C7219C">
        <w:t>1138</w:t>
      </w:r>
      <w:r w:rsidR="0054084B">
        <w:t>.</w:t>
      </w:r>
      <w:r w:rsidRPr="004D4B6D" w:rsidR="00C7219C">
        <w:t>)</w:t>
      </w:r>
      <w:r w:rsidR="00084377">
        <w:t xml:space="preserve"> </w:t>
      </w:r>
      <w:r w:rsidR="00EE028F">
        <w:t xml:space="preserve"> T</w:t>
      </w:r>
      <w:r w:rsidR="00084377">
        <w:t xml:space="preserve">he </w:t>
      </w:r>
      <w:r w:rsidR="00EE028F">
        <w:t xml:space="preserve">Courts of Appeal have uniformly held, and the </w:t>
      </w:r>
      <w:r w:rsidR="00084377">
        <w:t xml:space="preserve">parties </w:t>
      </w:r>
      <w:r w:rsidR="0065269E">
        <w:t>here</w:t>
      </w:r>
      <w:r w:rsidR="00EE028F">
        <w:t xml:space="preserve"> </w:t>
      </w:r>
      <w:r w:rsidR="00782BF2">
        <w:t>agree</w:t>
      </w:r>
      <w:r w:rsidR="00EE028F">
        <w:t xml:space="preserve">, </w:t>
      </w:r>
      <w:r w:rsidR="003324A5">
        <w:t xml:space="preserve">this includes the </w:t>
      </w:r>
      <w:r w:rsidR="00084377">
        <w:t xml:space="preserve">gang-related conduct of </w:t>
      </w:r>
      <w:r w:rsidR="003324A5">
        <w:t>an individual who acts alone</w:t>
      </w:r>
      <w:r w:rsidR="00084377">
        <w:t xml:space="preserve">.  </w:t>
      </w:r>
      <w:r w:rsidRPr="004D4B6D">
        <w:t>(</w:t>
      </w:r>
      <w:r w:rsidRPr="004D4B6D" w:rsidR="002117FD">
        <w:t xml:space="preserve">See </w:t>
      </w:r>
      <w:r w:rsidRPr="00CC5689" w:rsidR="00CC5689">
        <w:rPr>
          <w:i/>
          <w:iCs/>
        </w:rPr>
        <w:t>id.</w:t>
      </w:r>
      <w:r w:rsidRPr="004D4B6D">
        <w:t xml:space="preserve"> at pp.</w:t>
      </w:r>
      <w:r w:rsidRPr="004D4B6D" w:rsidR="000F1526">
        <w:t> </w:t>
      </w:r>
      <w:r w:rsidRPr="004D4B6D">
        <w:t>1138–1139 (plur</w:t>
      </w:r>
      <w:r w:rsidRPr="004D4B6D" w:rsidR="006D5FDE">
        <w:t>.</w:t>
      </w:r>
      <w:r w:rsidRPr="004D4B6D">
        <w:t xml:space="preserve"> opn.); </w:t>
      </w:r>
      <w:r w:rsidRPr="004D4B6D">
        <w:rPr>
          <w:i/>
          <w:iCs/>
        </w:rPr>
        <w:t>id.</w:t>
      </w:r>
      <w:r w:rsidRPr="004D4B6D">
        <w:t xml:space="preserve"> at pp. 1140–1141 (conc. opn. of Baxter, J.)</w:t>
      </w:r>
      <w:r w:rsidR="00F43A09">
        <w:t xml:space="preserve">; </w:t>
      </w:r>
      <w:r w:rsidRPr="00F43A09" w:rsidR="00F43A09">
        <w:rPr>
          <w:i/>
          <w:iCs/>
        </w:rPr>
        <w:t>People v. Rios</w:t>
      </w:r>
      <w:r w:rsidR="00F43A09">
        <w:t xml:space="preserve"> (2013) 222 Cal.App.4th 542, 546; </w:t>
      </w:r>
      <w:r w:rsidRPr="00895DA2" w:rsidR="00F43A09">
        <w:rPr>
          <w:i/>
          <w:iCs/>
        </w:rPr>
        <w:t>People v. Soriano</w:t>
      </w:r>
      <w:r w:rsidR="00F43A09">
        <w:t xml:space="preserve"> (2021) 65 Cal.App.5th 278, 285</w:t>
      </w:r>
      <w:r w:rsidRPr="004D4B6D" w:rsidR="00375635">
        <w:t>.</w:t>
      </w:r>
      <w:r w:rsidRPr="004D4B6D">
        <w:t>)</w:t>
      </w:r>
    </w:p>
    <w:p w:rsidR="004D3D51" w:rsidP="004D4B6D">
      <w:pPr>
        <w:tabs>
          <w:tab w:val="left" w:pos="720"/>
          <w:tab w:val="left" w:pos="1440"/>
        </w:tabs>
      </w:pPr>
      <w:r w:rsidRPr="004D4B6D">
        <w:tab/>
      </w:r>
      <w:r w:rsidR="00C34B76">
        <w:t>O</w:t>
      </w:r>
      <w:r w:rsidRPr="004D4B6D" w:rsidR="00BF1144">
        <w:t xml:space="preserve">ur prior cases addressing </w:t>
      </w:r>
      <w:r w:rsidR="009E35C4">
        <w:t xml:space="preserve">the gang enhancement statute </w:t>
      </w:r>
      <w:r w:rsidR="0081248A">
        <w:t xml:space="preserve">for the most part </w:t>
      </w:r>
      <w:r w:rsidRPr="004D4B6D" w:rsidR="00BF1144">
        <w:t>have</w:t>
      </w:r>
      <w:r w:rsidR="0081248A">
        <w:t xml:space="preserve"> </w:t>
      </w:r>
      <w:r w:rsidR="00BA0032">
        <w:t xml:space="preserve">concerned </w:t>
      </w:r>
      <w:r w:rsidR="00EA1A5D">
        <w:t xml:space="preserve">the conduct of </w:t>
      </w:r>
      <w:r w:rsidR="00F221FF">
        <w:t xml:space="preserve">individuals </w:t>
      </w:r>
      <w:r w:rsidRPr="004D4B6D" w:rsidR="00C27450">
        <w:t>act</w:t>
      </w:r>
      <w:r w:rsidRPr="004D4B6D" w:rsidR="00CE0186">
        <w:t>ing</w:t>
      </w:r>
      <w:r w:rsidRPr="004D4B6D" w:rsidR="00C27450">
        <w:t xml:space="preserve"> </w:t>
      </w:r>
      <w:r w:rsidR="00CE6A09">
        <w:t xml:space="preserve">in concert </w:t>
      </w:r>
      <w:r w:rsidRPr="004D4B6D" w:rsidR="00C27450">
        <w:t>with other</w:t>
      </w:r>
      <w:r w:rsidRPr="004D4B6D" w:rsidR="00BF1144">
        <w:t xml:space="preserve"> gang members</w:t>
      </w:r>
      <w:r w:rsidR="0081248A">
        <w:t>, however</w:t>
      </w:r>
      <w:r w:rsidRPr="004D4B6D" w:rsidR="00C27450">
        <w:t>.</w:t>
      </w:r>
      <w:r w:rsidRPr="004D4B6D" w:rsidR="00A809C7">
        <w:t xml:space="preserve">  </w:t>
      </w:r>
      <w:r w:rsidRPr="004D4B6D" w:rsidR="008D16F6">
        <w:t xml:space="preserve">(E.g., </w:t>
      </w:r>
      <w:r w:rsidRPr="004D4B6D" w:rsidR="008D16F6">
        <w:rPr>
          <w:i/>
          <w:iCs/>
        </w:rPr>
        <w:t>Albillar</w:t>
      </w:r>
      <w:r w:rsidRPr="004D4B6D" w:rsidR="008D16F6">
        <w:t xml:space="preserve">, </w:t>
      </w:r>
      <w:r w:rsidRPr="004D4B6D" w:rsidR="008D16F6">
        <w:rPr>
          <w:i/>
          <w:iCs/>
        </w:rPr>
        <w:t>supra</w:t>
      </w:r>
      <w:r w:rsidRPr="004D4B6D" w:rsidR="008D16F6">
        <w:t>, 51 Cal.4th at p.</w:t>
      </w:r>
      <w:r w:rsidRPr="004D4B6D" w:rsidR="006D5FDE">
        <w:t> </w:t>
      </w:r>
      <w:r w:rsidRPr="004D4B6D" w:rsidR="008D16F6">
        <w:t xml:space="preserve">61; </w:t>
      </w:r>
      <w:r w:rsidRPr="004D4B6D" w:rsidR="008D16F6">
        <w:rPr>
          <w:i/>
          <w:iCs/>
        </w:rPr>
        <w:t>People v. Gardeley</w:t>
      </w:r>
      <w:r w:rsidRPr="004D4B6D" w:rsidR="008D16F6">
        <w:t xml:space="preserve">, </w:t>
      </w:r>
      <w:r w:rsidRPr="004D4B6D" w:rsidR="008D16F6">
        <w:rPr>
          <w:i/>
          <w:iCs/>
        </w:rPr>
        <w:t>supra</w:t>
      </w:r>
      <w:r w:rsidRPr="004D4B6D" w:rsidR="008D16F6">
        <w:t>, 14 Cal.4th at p. 619.)</w:t>
      </w:r>
      <w:r w:rsidR="005E1817">
        <w:t xml:space="preserve">  The distinction is important, because</w:t>
      </w:r>
      <w:r w:rsidR="00152168">
        <w:t>,</w:t>
      </w:r>
      <w:r w:rsidR="005E1817">
        <w:t xml:space="preserve"> </w:t>
      </w:r>
      <w:r w:rsidR="00B05591">
        <w:t xml:space="preserve">as </w:t>
      </w:r>
      <w:r w:rsidR="005E1817">
        <w:t xml:space="preserve">we recognized in </w:t>
      </w:r>
      <w:r w:rsidR="005E1817">
        <w:rPr>
          <w:i/>
          <w:iCs/>
        </w:rPr>
        <w:t>Albillar</w:t>
      </w:r>
      <w:r w:rsidR="005E1817">
        <w:t xml:space="preserve">, </w:t>
      </w:r>
      <w:r w:rsidR="00BC4B18">
        <w:t xml:space="preserve">the joint nature of the alleged conduct frequently affects the type of evidentiary showing </w:t>
      </w:r>
      <w:r w:rsidR="00895DA2">
        <w:t xml:space="preserve">that is sufficient </w:t>
      </w:r>
      <w:r w:rsidR="00BC4B18">
        <w:t>to demonstrate the conduct was gang-related</w:t>
      </w:r>
      <w:r w:rsidR="00B16529">
        <w:t xml:space="preserve"> and committed to promote the criminal activity </w:t>
      </w:r>
      <w:r w:rsidR="00EA1A5D">
        <w:t>of gang members, as section 186.22 requires.</w:t>
      </w:r>
    </w:p>
    <w:p w:rsidR="004F008E" w:rsidP="004D4B6D">
      <w:pPr>
        <w:tabs>
          <w:tab w:val="left" w:pos="720"/>
          <w:tab w:val="left" w:pos="1440"/>
        </w:tabs>
      </w:pPr>
      <w:r>
        <w:tab/>
      </w:r>
      <w:r w:rsidR="00370B2E">
        <w:t xml:space="preserve">The question in </w:t>
      </w:r>
      <w:r w:rsidR="00C8475D">
        <w:rPr>
          <w:i/>
          <w:iCs/>
        </w:rPr>
        <w:t>Alb</w:t>
      </w:r>
      <w:r w:rsidR="00895DA2">
        <w:rPr>
          <w:i/>
          <w:iCs/>
        </w:rPr>
        <w:t xml:space="preserve">illar </w:t>
      </w:r>
      <w:r w:rsidRPr="004D4B6D" w:rsidR="00BF38F3">
        <w:t xml:space="preserve">concerned </w:t>
      </w:r>
      <w:r w:rsidR="00E621A5">
        <w:t xml:space="preserve">the </w:t>
      </w:r>
      <w:r w:rsidR="00B10D4A">
        <w:t xml:space="preserve">sufficiency of the evidence supporting </w:t>
      </w:r>
      <w:r w:rsidR="00946A6C">
        <w:t xml:space="preserve">gang enhancements for </w:t>
      </w:r>
      <w:r w:rsidRPr="004D4B6D" w:rsidR="00BC7FC5">
        <w:t xml:space="preserve">a forcible rape and other </w:t>
      </w:r>
      <w:r w:rsidRPr="004D4B6D" w:rsidR="0024114D">
        <w:t xml:space="preserve">sex offenses </w:t>
      </w:r>
      <w:r w:rsidRPr="004D4B6D" w:rsidR="00BF38F3">
        <w:t xml:space="preserve">perpetrated by gang members acting in concert.  </w:t>
      </w:r>
      <w:r w:rsidR="0053729E">
        <w:t xml:space="preserve">Upholding </w:t>
      </w:r>
      <w:r w:rsidRPr="004D4B6D" w:rsidR="00BF38F3">
        <w:t>the enhance</w:t>
      </w:r>
      <w:r w:rsidR="00B4219A">
        <w:t>d sentences</w:t>
      </w:r>
      <w:r w:rsidR="0053729E">
        <w:t>,</w:t>
      </w:r>
      <w:r w:rsidRPr="004D4B6D" w:rsidR="005E122D">
        <w:t xml:space="preserve"> </w:t>
      </w:r>
      <w:r w:rsidR="0053729E">
        <w:t>w</w:t>
      </w:r>
      <w:r w:rsidRPr="004D4B6D" w:rsidR="005E122D">
        <w:t xml:space="preserve">e explained that the Legislature </w:t>
      </w:r>
      <w:r w:rsidR="001433A2">
        <w:t xml:space="preserve">required the underlying felony be </w:t>
      </w:r>
      <w:r w:rsidRPr="004D4B6D" w:rsidR="00601EC3">
        <w:t xml:space="preserve">committed for the benefit of, at the direction of, or in association with a criminal street gang </w:t>
      </w:r>
      <w:r w:rsidRPr="004D4B6D" w:rsidR="005E122D">
        <w:t xml:space="preserve">“to make it ‘clear that a criminal offense is subject to increased punishment under the STEP Act only if </w:t>
      </w:r>
      <w:r w:rsidRPr="004D4B6D" w:rsidR="00AC7CE7">
        <w:t>the crime</w:t>
      </w:r>
      <w:r w:rsidRPr="004D4B6D" w:rsidR="005E122D">
        <w:t xml:space="preserve"> is “gang related.”</w:t>
      </w:r>
      <w:r w:rsidRPr="004D4B6D" w:rsidR="00601EC3">
        <w:t> </w:t>
      </w:r>
      <w:r w:rsidRPr="004D4B6D" w:rsidR="005E122D">
        <w:t xml:space="preserve">’  [Citation.]  Not every crime committed by gang members is related to a gang.  These crimes, though, were </w:t>
      </w:r>
      <w:r w:rsidRPr="004D4B6D" w:rsidR="00051761">
        <w:t>gang related in two ways:  they were committed in association with the gang, and they were committed for the benefit of the gang.”  (</w:t>
      </w:r>
      <w:r w:rsidRPr="004D4B6D" w:rsidR="00EF1A3D">
        <w:rPr>
          <w:i/>
          <w:iCs/>
        </w:rPr>
        <w:t>Albillar</w:t>
      </w:r>
      <w:r w:rsidRPr="004D4B6D" w:rsidR="00EF1A3D">
        <w:t xml:space="preserve">, </w:t>
      </w:r>
      <w:r w:rsidRPr="004D4B6D" w:rsidR="00EF1A3D">
        <w:rPr>
          <w:i/>
          <w:iCs/>
        </w:rPr>
        <w:t>supra</w:t>
      </w:r>
      <w:r w:rsidRPr="004D4B6D" w:rsidR="00EF1A3D">
        <w:t>, 51 Cal.4th at p. </w:t>
      </w:r>
      <w:r w:rsidRPr="004D4B6D" w:rsidR="00051761">
        <w:t xml:space="preserve">60.)  </w:t>
      </w:r>
      <w:r w:rsidR="001433A2">
        <w:t>W</w:t>
      </w:r>
      <w:r w:rsidRPr="004D4B6D" w:rsidR="00051761">
        <w:t xml:space="preserve">here </w:t>
      </w:r>
      <w:r w:rsidRPr="004D4B6D" w:rsidR="00DA7D9D">
        <w:t>three members of the same gang “actively assisted each other</w:t>
      </w:r>
      <w:r w:rsidR="0009575B">
        <w:t xml:space="preserve">” and, because of their </w:t>
      </w:r>
      <w:r w:rsidRPr="004D4B6D" w:rsidR="00DA7D9D">
        <w:t>common gang membership</w:t>
      </w:r>
      <w:r w:rsidR="001433A2">
        <w:t>,</w:t>
      </w:r>
      <w:r w:rsidRPr="004D4B6D" w:rsidR="00DA7D9D">
        <w:t xml:space="preserve"> </w:t>
      </w:r>
      <w:r w:rsidR="0009575B">
        <w:t>“</w:t>
      </w:r>
      <w:r w:rsidRPr="004D4B6D" w:rsidR="00DA7D9D">
        <w:t>could rely on each other’s cooperation in committing these crimes</w:t>
      </w:r>
      <w:r w:rsidR="0009575B">
        <w:t>,”</w:t>
      </w:r>
      <w:r w:rsidRPr="004D4B6D" w:rsidR="00DA7D9D">
        <w:t xml:space="preserve"> </w:t>
      </w:r>
      <w:r w:rsidR="0009575B">
        <w:t xml:space="preserve">there was sufficient evidence of </w:t>
      </w:r>
      <w:r w:rsidR="001B440B">
        <w:t xml:space="preserve">both </w:t>
      </w:r>
      <w:r w:rsidR="0009575B">
        <w:t xml:space="preserve">association </w:t>
      </w:r>
      <w:r w:rsidR="001B440B">
        <w:t xml:space="preserve">and </w:t>
      </w:r>
      <w:r w:rsidR="00144514">
        <w:t>benefit</w:t>
      </w:r>
      <w:r w:rsidR="003B3488">
        <w:t> </w:t>
      </w:r>
      <w:r w:rsidR="00144514">
        <w:t xml:space="preserve">— in particular, that the gang members </w:t>
      </w:r>
      <w:r w:rsidR="0009575B">
        <w:t>“</w:t>
      </w:r>
      <w:r w:rsidRPr="004D4B6D" w:rsidR="00DA7D9D">
        <w:t xml:space="preserve">would benefit from committing </w:t>
      </w:r>
      <w:r w:rsidR="007C3E02">
        <w:t>[the crimes</w:t>
      </w:r>
      <w:r w:rsidR="00144514">
        <w:t>]</w:t>
      </w:r>
      <w:r w:rsidR="007C3E02">
        <w:t xml:space="preserve"> </w:t>
      </w:r>
      <w:r w:rsidRPr="004D4B6D" w:rsidR="00DA7D9D">
        <w:t>together.”  (</w:t>
      </w:r>
      <w:r w:rsidR="00EF1A3D">
        <w:rPr>
          <w:i/>
          <w:iCs/>
        </w:rPr>
        <w:t xml:space="preserve">Id. </w:t>
      </w:r>
      <w:r w:rsidRPr="004D4B6D" w:rsidR="00E6134A">
        <w:t xml:space="preserve">at </w:t>
      </w:r>
      <w:r w:rsidRPr="004D4B6D" w:rsidR="00DA7D9D">
        <w:t>p.</w:t>
      </w:r>
      <w:r w:rsidRPr="004D4B6D" w:rsidR="00601EC3">
        <w:t> </w:t>
      </w:r>
      <w:r w:rsidRPr="004D4B6D" w:rsidR="00DA7D9D">
        <w:t>62</w:t>
      </w:r>
      <w:r w:rsidRPr="004D4B6D" w:rsidR="008C5E81">
        <w:t xml:space="preserve">.)  </w:t>
      </w:r>
      <w:r w:rsidR="00556F79">
        <w:t xml:space="preserve">On the latter point concerning benefit, we also cited </w:t>
      </w:r>
      <w:r w:rsidRPr="004D4B6D" w:rsidR="003C27CC">
        <w:t xml:space="preserve">expert </w:t>
      </w:r>
      <w:r w:rsidR="0009575B">
        <w:t xml:space="preserve">testimony </w:t>
      </w:r>
      <w:r w:rsidRPr="004D4B6D" w:rsidR="008D16F6">
        <w:t xml:space="preserve">that </w:t>
      </w:r>
      <w:r w:rsidRPr="004D4B6D" w:rsidR="008C5E81">
        <w:t xml:space="preserve">the crimes </w:t>
      </w:r>
      <w:r w:rsidRPr="004D4B6D" w:rsidR="009564B6">
        <w:t xml:space="preserve">bolstered </w:t>
      </w:r>
      <w:r w:rsidRPr="004D4B6D" w:rsidR="008C5E81">
        <w:t>the gang</w:t>
      </w:r>
      <w:r w:rsidRPr="004D4B6D" w:rsidR="008D16F6">
        <w:t>’s reputation as a violent, aggressive gang</w:t>
      </w:r>
      <w:r w:rsidRPr="004D4B6D" w:rsidR="008C5E81">
        <w:t>.  (</w:t>
      </w:r>
      <w:r w:rsidRPr="004D4B6D" w:rsidR="008C5E81">
        <w:rPr>
          <w:i/>
          <w:iCs/>
        </w:rPr>
        <w:t>Id</w:t>
      </w:r>
      <w:r w:rsidRPr="004D4B6D" w:rsidR="008C5E81">
        <w:t xml:space="preserve">. at pp. 62–63.)  </w:t>
      </w:r>
      <w:r w:rsidRPr="004D4B6D" w:rsidR="008D16F6">
        <w:t xml:space="preserve">We </w:t>
      </w:r>
      <w:r w:rsidRPr="004D4B6D" w:rsidR="00C16656">
        <w:t xml:space="preserve">explained </w:t>
      </w:r>
      <w:r w:rsidRPr="004D4B6D" w:rsidR="008D16F6">
        <w:t xml:space="preserve">that “[e]xpert opinion that particular criminal conduct benefited a gang by enhancing its reputation for viciousness can be sufficient to raise the inference that the conduct was ‘committed for the benefit of </w:t>
      </w:r>
      <w:r w:rsidRPr="004D4B6D" w:rsidR="003B7B29">
        <w:t xml:space="preserve">. . . </w:t>
      </w:r>
      <w:r w:rsidRPr="004D4B6D" w:rsidR="008D16F6">
        <w:t>a[] criminal street gang’ within the meaning of section 186.22(b)(1).”  (</w:t>
      </w:r>
      <w:r w:rsidRPr="007A04AA" w:rsidR="00112DA8">
        <w:rPr>
          <w:i/>
          <w:iCs/>
        </w:rPr>
        <w:t>Albillar</w:t>
      </w:r>
      <w:r w:rsidR="00112DA8">
        <w:t>,</w:t>
      </w:r>
      <w:r w:rsidR="00EF1A3D">
        <w:rPr>
          <w:i/>
          <w:iCs/>
        </w:rPr>
        <w:t xml:space="preserve"> </w:t>
      </w:r>
      <w:r w:rsidRPr="004D4B6D" w:rsidR="0018327B">
        <w:t>at p. </w:t>
      </w:r>
      <w:r w:rsidRPr="004D4B6D" w:rsidR="008D16F6">
        <w:t>63.)</w:t>
      </w:r>
    </w:p>
    <w:p w:rsidR="003E12D1" w:rsidRPr="004D4B6D" w:rsidP="004D4B6D">
      <w:pPr>
        <w:tabs>
          <w:tab w:val="left" w:pos="720"/>
          <w:tab w:val="left" w:pos="1440"/>
        </w:tabs>
      </w:pPr>
      <w:r>
        <w:tab/>
      </w:r>
      <w:r w:rsidRPr="004D4B6D" w:rsidR="0039436C">
        <w:t>A</w:t>
      </w:r>
      <w:r w:rsidRPr="004D4B6D">
        <w:t xml:space="preserve">s </w:t>
      </w:r>
      <w:r w:rsidRPr="004D4B6D" w:rsidR="0039436C">
        <w:t xml:space="preserve">for </w:t>
      </w:r>
      <w:r w:rsidRPr="004D4B6D">
        <w:t xml:space="preserve">the </w:t>
      </w:r>
      <w:r w:rsidRPr="004D4B6D" w:rsidR="00E6134A">
        <w:t>second</w:t>
      </w:r>
      <w:r w:rsidRPr="004D4B6D" w:rsidR="00153C9C">
        <w:t xml:space="preserve"> requirement</w:t>
      </w:r>
      <w:r w:rsidRPr="004D4B6D" w:rsidR="00E6134A">
        <w:t xml:space="preserve"> of the enhancement, w</w:t>
      </w:r>
      <w:r w:rsidRPr="004D4B6D" w:rsidR="00C27450">
        <w:t xml:space="preserve">e </w:t>
      </w:r>
      <w:r w:rsidRPr="004D4B6D" w:rsidR="00137D3C">
        <w:t xml:space="preserve">said </w:t>
      </w:r>
      <w:r w:rsidRPr="004D4B6D" w:rsidR="00C27450">
        <w:t>that when the evidence “establishes that the defendant intended to and did commit the charged felony with known members of a gang, the jury may fairly infer that the defendant had the specific intent to promote, further, or assist criminal conduct by those gang members.”  (</w:t>
      </w:r>
      <w:r w:rsidRPr="004D4B6D" w:rsidR="00166253">
        <w:rPr>
          <w:i/>
          <w:iCs/>
        </w:rPr>
        <w:t>Albillar</w:t>
      </w:r>
      <w:r w:rsidRPr="004D4B6D" w:rsidR="00166253">
        <w:t xml:space="preserve">, </w:t>
      </w:r>
      <w:r w:rsidRPr="004D4B6D" w:rsidR="00166253">
        <w:rPr>
          <w:i/>
          <w:iCs/>
        </w:rPr>
        <w:t>supra</w:t>
      </w:r>
      <w:r w:rsidRPr="004D4B6D" w:rsidR="00166253">
        <w:t>, 51 Cal.4th at p. </w:t>
      </w:r>
      <w:r w:rsidRPr="004D4B6D" w:rsidR="00C27450">
        <w:t>68.)</w:t>
      </w:r>
    </w:p>
    <w:p w:rsidR="00C1263B" w:rsidRPr="004D4B6D">
      <w:pPr>
        <w:tabs>
          <w:tab w:val="left" w:pos="720"/>
          <w:tab w:val="left" w:pos="1440"/>
        </w:tabs>
      </w:pPr>
      <w:r w:rsidRPr="004D4B6D">
        <w:tab/>
      </w:r>
      <w:r w:rsidRPr="004D4B6D" w:rsidR="0039436C">
        <w:rPr>
          <w:i/>
          <w:iCs/>
        </w:rPr>
        <w:t>Albillar</w:t>
      </w:r>
      <w:r w:rsidRPr="004D4B6D" w:rsidR="0039436C">
        <w:t xml:space="preserve"> thus established that in cases where multiple gang members were involved in the charged offense, the fact of their joint involvement in a crime often provide</w:t>
      </w:r>
      <w:r w:rsidRPr="004D4B6D" w:rsidR="00E538DD">
        <w:t>s</w:t>
      </w:r>
      <w:r w:rsidRPr="004D4B6D" w:rsidR="0039436C">
        <w:t xml:space="preserve"> sufficient</w:t>
      </w:r>
      <w:r w:rsidR="005D747B">
        <w:t xml:space="preserve"> evidence of association and benefit, as well as </w:t>
      </w:r>
      <w:r w:rsidRPr="004D4B6D" w:rsidR="0039436C">
        <w:t>circumstantial evidence of an intent to promote the criminal activity of other gang members, in connection with the very same criminal offense.</w:t>
      </w:r>
      <w:r w:rsidR="00A219E0">
        <w:t xml:space="preserve"> </w:t>
      </w:r>
      <w:r w:rsidRPr="004D4B6D" w:rsidR="00E538DD">
        <w:t xml:space="preserve"> </w:t>
      </w:r>
      <w:r w:rsidRPr="004D4B6D" w:rsidR="002017DD">
        <w:t>(</w:t>
      </w:r>
      <w:r w:rsidRPr="004D4B6D" w:rsidR="002017DD">
        <w:rPr>
          <w:i/>
          <w:iCs/>
        </w:rPr>
        <w:t>Albillar</w:t>
      </w:r>
      <w:r w:rsidRPr="004D4B6D" w:rsidR="002017DD">
        <w:t xml:space="preserve">, </w:t>
      </w:r>
      <w:r w:rsidRPr="004D4B6D" w:rsidR="002017DD">
        <w:rPr>
          <w:i/>
          <w:iCs/>
        </w:rPr>
        <w:t>supra</w:t>
      </w:r>
      <w:r w:rsidRPr="004D4B6D" w:rsidR="002017DD">
        <w:t xml:space="preserve">, 51 Cal.4th at pp. 60, 68.)  </w:t>
      </w:r>
      <w:r w:rsidR="000108AE">
        <w:t xml:space="preserve">But for reasons </w:t>
      </w:r>
      <w:r w:rsidR="000108AE">
        <w:rPr>
          <w:i/>
          <w:iCs/>
        </w:rPr>
        <w:t>Albillar</w:t>
      </w:r>
      <w:r w:rsidR="000108AE">
        <w:t xml:space="preserve"> makes clear, c</w:t>
      </w:r>
      <w:r w:rsidRPr="004D4B6D" w:rsidR="00EC30A9">
        <w:t>ases involving lone actors pose different problems</w:t>
      </w:r>
      <w:r w:rsidR="003324A5">
        <w:t>.</w:t>
      </w:r>
      <w:r w:rsidRPr="004D4B6D" w:rsidR="00EC30A9">
        <w:t xml:space="preserve">  </w:t>
      </w:r>
      <w:r w:rsidR="003324A5">
        <w:t>Where there is no</w:t>
      </w:r>
      <w:r w:rsidRPr="004D4B6D" w:rsidR="003324A5">
        <w:t xml:space="preserve"> proof the defendant acted in association with or at the direction of the gang</w:t>
      </w:r>
      <w:r w:rsidR="003324A5">
        <w:t xml:space="preserve">, </w:t>
      </w:r>
      <w:r w:rsidRPr="004D4B6D" w:rsidR="00F72864">
        <w:t xml:space="preserve">the prosecution cannot rely on </w:t>
      </w:r>
      <w:r w:rsidRPr="004D4B6D" w:rsidR="00A54872">
        <w:t xml:space="preserve">the </w:t>
      </w:r>
      <w:r w:rsidRPr="004D4B6D" w:rsidR="00447376">
        <w:t>joint nature of the offense to establish either the requisite benefit to the gang or the specific intent to promote the criminal activity of gang members.</w:t>
      </w:r>
      <w:r w:rsidR="00095B1D">
        <w:t xml:space="preserve">  In a lone-actor case, a</w:t>
      </w:r>
      <w:r w:rsidR="002D0375">
        <w:t xml:space="preserve"> different showing is </w:t>
      </w:r>
      <w:r w:rsidR="0052754C">
        <w:t xml:space="preserve">necessary </w:t>
      </w:r>
      <w:r w:rsidR="002D0375">
        <w:t xml:space="preserve">to </w:t>
      </w:r>
      <w:r w:rsidR="0052754C">
        <w:t xml:space="preserve">satisfy </w:t>
      </w:r>
      <w:r w:rsidR="00E14F6B">
        <w:t>the</w:t>
      </w:r>
      <w:r w:rsidR="00276327">
        <w:t>se</w:t>
      </w:r>
      <w:r w:rsidR="00E14F6B">
        <w:t xml:space="preserve"> requirement</w:t>
      </w:r>
      <w:r w:rsidR="00580802">
        <w:t>s.</w:t>
      </w:r>
      <w:r w:rsidR="00D14C64">
        <w:t xml:space="preserve">  </w:t>
      </w:r>
    </w:p>
    <w:p w:rsidR="00CF35BE" w:rsidRPr="004D4B6D" w:rsidP="004D4B6D">
      <w:pPr>
        <w:pStyle w:val="Heading1"/>
      </w:pPr>
      <w:r w:rsidRPr="004D4B6D">
        <w:t>II</w:t>
      </w:r>
      <w:r w:rsidRPr="004D4B6D" w:rsidR="009A6E4D">
        <w:t>I</w:t>
      </w:r>
      <w:r w:rsidRPr="004D4B6D">
        <w:t>.</w:t>
      </w:r>
    </w:p>
    <w:p w:rsidR="00863320" w:rsidRPr="004D4B6D" w:rsidP="0049623C">
      <w:pPr>
        <w:pStyle w:val="Heading2"/>
        <w:tabs>
          <w:tab w:val="clear" w:pos="1152"/>
        </w:tabs>
        <w:ind w:left="0" w:firstLine="18"/>
        <w:jc w:val="center"/>
      </w:pPr>
      <w:r w:rsidRPr="004D4B6D">
        <w:t>A.</w:t>
      </w:r>
    </w:p>
    <w:p w:rsidR="007A00B7" w:rsidP="004D4B6D">
      <w:pPr>
        <w:tabs>
          <w:tab w:val="left" w:pos="720"/>
          <w:tab w:val="left" w:pos="1440"/>
        </w:tabs>
      </w:pPr>
      <w:r w:rsidRPr="004D4B6D">
        <w:tab/>
      </w:r>
      <w:r w:rsidR="00300014">
        <w:t>In considering the nature of that showing, w</w:t>
      </w:r>
      <w:r w:rsidR="007F76E1">
        <w:t xml:space="preserve">e start </w:t>
      </w:r>
      <w:r w:rsidR="007077A5">
        <w:t>with the text</w:t>
      </w:r>
      <w:r w:rsidR="0082606B">
        <w:t xml:space="preserve">.  </w:t>
      </w:r>
      <w:r w:rsidR="002708D8">
        <w:t>S</w:t>
      </w:r>
      <w:r w:rsidRPr="004D4B6D" w:rsidR="009F0790">
        <w:t>ection 186.22(b) set</w:t>
      </w:r>
      <w:r w:rsidRPr="004D4B6D" w:rsidR="00760069">
        <w:t>s</w:t>
      </w:r>
      <w:r w:rsidRPr="004D4B6D" w:rsidR="009F0790">
        <w:t xml:space="preserve"> out </w:t>
      </w:r>
      <w:r w:rsidR="002708D8">
        <w:t xml:space="preserve">what is, in effect, </w:t>
      </w:r>
      <w:r w:rsidRPr="004D4B6D" w:rsidR="000D69CF">
        <w:t>a two</w:t>
      </w:r>
      <w:r w:rsidRPr="004D4B6D" w:rsidR="00780EBD">
        <w:t>-</w:t>
      </w:r>
      <w:r w:rsidRPr="004D4B6D" w:rsidR="000D69CF">
        <w:t>pronged</w:t>
      </w:r>
      <w:r w:rsidRPr="004D4B6D" w:rsidR="00760069">
        <w:t xml:space="preserve"> requirement</w:t>
      </w:r>
      <w:r w:rsidR="003D3133">
        <w:t>:  t</w:t>
      </w:r>
      <w:r w:rsidRPr="004D4B6D" w:rsidR="00760069">
        <w:t xml:space="preserve">he </w:t>
      </w:r>
      <w:r w:rsidRPr="004D4B6D" w:rsidR="000D69CF">
        <w:t>felony</w:t>
      </w:r>
      <w:r w:rsidRPr="004D4B6D" w:rsidR="00760069">
        <w:t xml:space="preserve"> must be committed (1) for the benefit of, at the direction of, or in association with a criminal street gang, and (2) with the specific intent to</w:t>
      </w:r>
      <w:r w:rsidRPr="008B4DF4" w:rsidR="008B4DF4">
        <w:t xml:space="preserve"> </w:t>
      </w:r>
      <w:r w:rsidRPr="004D4B6D" w:rsidR="008B4DF4">
        <w:t>promote, further, or assist in any criminal conduct by gang members</w:t>
      </w:r>
      <w:r w:rsidRPr="004D4B6D" w:rsidR="00760069">
        <w:t xml:space="preserve">.  (§ 186.22(b)(1), (4); </w:t>
      </w:r>
      <w:r w:rsidRPr="004D4B6D" w:rsidR="00760069">
        <w:rPr>
          <w:i/>
          <w:iCs/>
        </w:rPr>
        <w:t>Albillar</w:t>
      </w:r>
      <w:r w:rsidRPr="004D4B6D" w:rsidR="00760069">
        <w:t xml:space="preserve">, </w:t>
      </w:r>
      <w:r w:rsidRPr="004D4B6D" w:rsidR="00760069">
        <w:rPr>
          <w:i/>
          <w:iCs/>
        </w:rPr>
        <w:t>supra</w:t>
      </w:r>
      <w:r w:rsidRPr="004D4B6D" w:rsidR="00760069">
        <w:t>, 51 Cal.4th at p</w:t>
      </w:r>
      <w:r w:rsidRPr="004D4B6D" w:rsidR="000C7ABF">
        <w:t>p</w:t>
      </w:r>
      <w:r w:rsidRPr="004D4B6D" w:rsidR="00760069">
        <w:t>. </w:t>
      </w:r>
      <w:r w:rsidRPr="004D4B6D" w:rsidR="000C7ABF">
        <w:t xml:space="preserve">51, </w:t>
      </w:r>
      <w:r w:rsidRPr="004D4B6D" w:rsidR="00760069">
        <w:t>68</w:t>
      </w:r>
      <w:r w:rsidRPr="004D4B6D" w:rsidR="00CF3A21">
        <w:t>.)</w:t>
      </w:r>
      <w:r>
        <w:rPr>
          <w:rStyle w:val="FootnoteReference"/>
        </w:rPr>
        <w:footnoteReference w:id="9"/>
      </w:r>
    </w:p>
    <w:p w:rsidR="001C0480" w:rsidP="00015CEC">
      <w:pPr>
        <w:tabs>
          <w:tab w:val="left" w:pos="720"/>
          <w:tab w:val="left" w:pos="1440"/>
        </w:tabs>
      </w:pPr>
      <w:r>
        <w:tab/>
      </w:r>
      <w:r w:rsidR="00C21E2D">
        <w:t>We interpret t</w:t>
      </w:r>
      <w:r w:rsidR="0001695E">
        <w:t xml:space="preserve">his two-pronged requirement </w:t>
      </w:r>
      <w:r w:rsidR="00C21E2D">
        <w:t xml:space="preserve">in light of the </w:t>
      </w:r>
      <w:r w:rsidR="00E5154E">
        <w:t xml:space="preserve">constitutional backdrop against which </w:t>
      </w:r>
      <w:r w:rsidR="0001695E">
        <w:t xml:space="preserve">it was </w:t>
      </w:r>
      <w:r w:rsidR="00E5154E">
        <w:t xml:space="preserve">enacted.  </w:t>
      </w:r>
      <w:r w:rsidR="008753EA">
        <w:t xml:space="preserve">Decades before the STEP Act, the United States Supreme Court </w:t>
      </w:r>
      <w:r w:rsidR="00FD6AEB">
        <w:t xml:space="preserve">explained </w:t>
      </w:r>
      <w:r w:rsidR="008753EA">
        <w:t xml:space="preserve">in </w:t>
      </w:r>
      <w:r w:rsidRPr="004D4B6D" w:rsidR="00716350">
        <w:rPr>
          <w:i/>
          <w:iCs/>
        </w:rPr>
        <w:t>Scales v. United States</w:t>
      </w:r>
      <w:r w:rsidRPr="004D4B6D" w:rsidR="00716350">
        <w:t xml:space="preserve"> (1961) 367 U.S. 203</w:t>
      </w:r>
      <w:r w:rsidR="00471790">
        <w:t xml:space="preserve"> (</w:t>
      </w:r>
      <w:r w:rsidRPr="00303790" w:rsidR="00471790">
        <w:rPr>
          <w:i/>
          <w:iCs/>
        </w:rPr>
        <w:t>Scales</w:t>
      </w:r>
      <w:r w:rsidR="00471790">
        <w:t>)</w:t>
      </w:r>
      <w:r w:rsidR="00E5154E">
        <w:t xml:space="preserve"> that the Constitution limits the state’s power to </w:t>
      </w:r>
      <w:r w:rsidR="007E0480">
        <w:t xml:space="preserve">criminalize </w:t>
      </w:r>
      <w:r w:rsidR="0025233B">
        <w:t xml:space="preserve">membership in </w:t>
      </w:r>
      <w:r w:rsidR="00C934DB">
        <w:t xml:space="preserve">particular groups, including groups that engage in </w:t>
      </w:r>
      <w:r w:rsidR="00D1475D">
        <w:t xml:space="preserve">illegal </w:t>
      </w:r>
      <w:r w:rsidR="00C934DB">
        <w:t>activit</w:t>
      </w:r>
      <w:r w:rsidR="00D1475D">
        <w:t>ies</w:t>
      </w:r>
      <w:r w:rsidR="00E5154E">
        <w:t>.</w:t>
      </w:r>
      <w:r w:rsidR="007E0480">
        <w:t xml:space="preserve">  As </w:t>
      </w:r>
      <w:r w:rsidR="007E0480">
        <w:rPr>
          <w:i/>
          <w:iCs/>
        </w:rPr>
        <w:t>Scales</w:t>
      </w:r>
      <w:r w:rsidR="007E0480">
        <w:t xml:space="preserve"> put it:</w:t>
      </w:r>
      <w:r w:rsidR="00AB0F75">
        <w:t xml:space="preserve"> </w:t>
      </w:r>
      <w:r w:rsidR="007E0480">
        <w:t xml:space="preserve"> </w:t>
      </w:r>
      <w:r w:rsidRPr="004D4B6D" w:rsidR="00716350">
        <w:t>“In our jurisprudence guilt is personal, and when the imposition of punishment on a status or on conduct can only be justified by reference to the relationship of that status or conduct to other concededly criminal activity .</w:t>
      </w:r>
      <w:r w:rsidRPr="004D4B6D" w:rsidR="00CF3A21">
        <w:t> </w:t>
      </w:r>
      <w:r w:rsidRPr="004D4B6D" w:rsidR="00716350">
        <w:t>.</w:t>
      </w:r>
      <w:r w:rsidRPr="004D4B6D" w:rsidR="00CF3A21">
        <w:t> </w:t>
      </w:r>
      <w:r w:rsidRPr="004D4B6D" w:rsidR="00716350">
        <w:t>.</w:t>
      </w:r>
      <w:r w:rsidRPr="004D4B6D" w:rsidR="00CF3A21">
        <w:t> </w:t>
      </w:r>
      <w:r w:rsidRPr="004D4B6D" w:rsidR="00716350">
        <w:t>, that relationship must be sufficiently substantial to satisfy the concept of personal guilt in order to withstand attack under the Due Process Clause of the Fifth Amendment.”  (</w:t>
      </w:r>
      <w:r w:rsidRPr="007A04AA" w:rsidR="007A04AA">
        <w:rPr>
          <w:i/>
          <w:iCs/>
        </w:rPr>
        <w:t>Scales</w:t>
      </w:r>
      <w:r w:rsidR="007A04AA">
        <w:t>,</w:t>
      </w:r>
      <w:r w:rsidRPr="004D4B6D" w:rsidR="00A54293">
        <w:t xml:space="preserve"> at pp. </w:t>
      </w:r>
      <w:r w:rsidRPr="004D4B6D" w:rsidR="00716350">
        <w:t>224–225.)</w:t>
      </w:r>
    </w:p>
    <w:p w:rsidR="002E6090" w:rsidP="00EE171E">
      <w:pPr>
        <w:tabs>
          <w:tab w:val="left" w:pos="720"/>
          <w:tab w:val="left" w:pos="1440"/>
        </w:tabs>
      </w:pPr>
      <w:r>
        <w:tab/>
      </w:r>
      <w:r w:rsidR="003E6098">
        <w:t>The Legislature</w:t>
      </w:r>
      <w:r w:rsidR="00015CEC">
        <w:t xml:space="preserve"> was aware </w:t>
      </w:r>
      <w:r w:rsidR="003E6098">
        <w:t xml:space="preserve">of </w:t>
      </w:r>
      <w:r w:rsidR="003E6098">
        <w:rPr>
          <w:i/>
          <w:iCs/>
        </w:rPr>
        <w:t>Scales</w:t>
      </w:r>
      <w:r w:rsidR="00015CEC">
        <w:t xml:space="preserve"> when it </w:t>
      </w:r>
      <w:r w:rsidR="00786407">
        <w:t xml:space="preserve">was drafting </w:t>
      </w:r>
      <w:r w:rsidR="00015CEC">
        <w:t>the STEP Act</w:t>
      </w:r>
      <w:r w:rsidR="0001695E">
        <w:t>.</w:t>
      </w:r>
      <w:r w:rsidR="00AB0F75">
        <w:t xml:space="preserve"> </w:t>
      </w:r>
      <w:r w:rsidR="00015CEC">
        <w:t xml:space="preserve"> (</w:t>
      </w:r>
      <w:r w:rsidR="00E46DD9">
        <w:t>S</w:t>
      </w:r>
      <w:r w:rsidR="00015CEC">
        <w:t xml:space="preserve">ee </w:t>
      </w:r>
      <w:r w:rsidRPr="004D4B6D" w:rsidR="00F066C8">
        <w:rPr>
          <w:i/>
          <w:iCs/>
        </w:rPr>
        <w:t>People v. Cast</w:t>
      </w:r>
      <w:r w:rsidRPr="004D4B6D" w:rsidR="009F39C0">
        <w:rPr>
          <w:i/>
          <w:iCs/>
        </w:rPr>
        <w:t>e</w:t>
      </w:r>
      <w:r w:rsidRPr="004D4B6D" w:rsidR="00F066C8">
        <w:rPr>
          <w:i/>
          <w:iCs/>
        </w:rPr>
        <w:t>n</w:t>
      </w:r>
      <w:r w:rsidRPr="004D4B6D" w:rsidR="009F39C0">
        <w:rPr>
          <w:i/>
          <w:iCs/>
        </w:rPr>
        <w:t>a</w:t>
      </w:r>
      <w:r w:rsidRPr="004D4B6D" w:rsidR="00F066C8">
        <w:rPr>
          <w:i/>
          <w:iCs/>
        </w:rPr>
        <w:t>da</w:t>
      </w:r>
      <w:r w:rsidRPr="004D4B6D" w:rsidR="003F0E69">
        <w:rPr>
          <w:i/>
          <w:iCs/>
        </w:rPr>
        <w:t xml:space="preserve"> </w:t>
      </w:r>
      <w:r w:rsidRPr="004D4B6D" w:rsidR="003F0E69">
        <w:t>(2000)</w:t>
      </w:r>
      <w:r w:rsidRPr="004D4B6D" w:rsidR="00FB146E">
        <w:t xml:space="preserve"> </w:t>
      </w:r>
      <w:r w:rsidRPr="004D4B6D" w:rsidR="00F066C8">
        <w:t xml:space="preserve">23 Cal.4th </w:t>
      </w:r>
      <w:r w:rsidRPr="004D4B6D" w:rsidR="003F0E69">
        <w:t xml:space="preserve">743, </w:t>
      </w:r>
      <w:r w:rsidRPr="004D4B6D" w:rsidR="00F066C8">
        <w:t>749.)</w:t>
      </w:r>
      <w:r w:rsidRPr="004D4B6D" w:rsidR="0050065B">
        <w:t xml:space="preserve">  </w:t>
      </w:r>
      <w:r w:rsidR="00AB0F75">
        <w:t>And w</w:t>
      </w:r>
      <w:r w:rsidR="00AE58D9">
        <w:t xml:space="preserve">ith </w:t>
      </w:r>
      <w:r w:rsidR="00AE58D9">
        <w:rPr>
          <w:i/>
          <w:iCs/>
        </w:rPr>
        <w:t>Scales</w:t>
      </w:r>
      <w:r w:rsidR="00AE58D9">
        <w:t xml:space="preserve"> in mind, the Legislature wrote section 186.22(b) </w:t>
      </w:r>
      <w:r w:rsidR="00067239">
        <w:t xml:space="preserve">in a manner designed to </w:t>
      </w:r>
      <w:r w:rsidRPr="004D4B6D" w:rsidR="00AE58D9">
        <w:t>avoid imposing additional punishment for a given felony based on “mere gang membership.”  (</w:t>
      </w:r>
      <w:r w:rsidRPr="004D4B6D" w:rsidR="00AE58D9">
        <w:rPr>
          <w:i/>
          <w:iCs/>
        </w:rPr>
        <w:t>People v. Gardeley</w:t>
      </w:r>
      <w:r w:rsidRPr="004D4B6D" w:rsidR="00AE58D9">
        <w:t xml:space="preserve">, </w:t>
      </w:r>
      <w:r w:rsidRPr="004D4B6D" w:rsidR="00AE58D9">
        <w:rPr>
          <w:i/>
          <w:iCs/>
        </w:rPr>
        <w:t>supra</w:t>
      </w:r>
      <w:r w:rsidRPr="004D4B6D" w:rsidR="00AE58D9">
        <w:t>, 14 Cal.4th at p. 623.)</w:t>
      </w:r>
      <w:r w:rsidR="009C677E">
        <w:t xml:space="preserve">  </w:t>
      </w:r>
      <w:r w:rsidR="000D5B69">
        <w:t xml:space="preserve">Rather, the Legislature imposed requirements </w:t>
      </w:r>
      <w:r w:rsidR="00E16C9D">
        <w:t xml:space="preserve">intended to </w:t>
      </w:r>
      <w:r w:rsidRPr="004D4B6D" w:rsidR="008E0EF3">
        <w:t>“provide a nexus to gang activity sufficient to alleviate due process concerns</w:t>
      </w:r>
      <w:r w:rsidR="008E0EF3">
        <w:t>.”  (</w:t>
      </w:r>
      <w:r w:rsidRPr="004D4B6D" w:rsidR="008E0EF3">
        <w:rPr>
          <w:i/>
          <w:iCs/>
        </w:rPr>
        <w:t>Rodriguez</w:t>
      </w:r>
      <w:r w:rsidRPr="004D4B6D" w:rsidR="008E0EF3">
        <w:t xml:space="preserve">, </w:t>
      </w:r>
      <w:r w:rsidRPr="004D4B6D" w:rsidR="008E0EF3">
        <w:rPr>
          <w:i/>
          <w:iCs/>
        </w:rPr>
        <w:t>supra</w:t>
      </w:r>
      <w:r w:rsidRPr="004D4B6D" w:rsidR="008E0EF3">
        <w:t>, 55 Cal.4th at p. 1139 (plur. opn.)</w:t>
      </w:r>
      <w:r w:rsidR="0060759D">
        <w:t>.)</w:t>
      </w:r>
    </w:p>
    <w:p w:rsidR="00531ADE" w:rsidP="00EE171E">
      <w:pPr>
        <w:tabs>
          <w:tab w:val="left" w:pos="720"/>
          <w:tab w:val="left" w:pos="1440"/>
        </w:tabs>
      </w:pPr>
      <w:r>
        <w:tab/>
      </w:r>
      <w:r w:rsidR="001A2093">
        <w:t xml:space="preserve">In </w:t>
      </w:r>
      <w:r w:rsidR="0060759D">
        <w:t>cases involving joint activity, the required nexus</w:t>
      </w:r>
      <w:r w:rsidR="00FD74A1">
        <w:t xml:space="preserve"> </w:t>
      </w:r>
      <w:r w:rsidR="001C3460">
        <w:t xml:space="preserve">is generally </w:t>
      </w:r>
      <w:r w:rsidR="00D813E1">
        <w:t xml:space="preserve">shown </w:t>
      </w:r>
      <w:r w:rsidR="00FD74A1">
        <w:t xml:space="preserve">by </w:t>
      </w:r>
      <w:r w:rsidR="001C3460">
        <w:t>proof of criminal conduct</w:t>
      </w:r>
      <w:r w:rsidR="009976EA">
        <w:t xml:space="preserve"> undertaken in concert with other gang members</w:t>
      </w:r>
      <w:r w:rsidR="001C3460">
        <w:t>.</w:t>
      </w:r>
      <w:r w:rsidR="009976EA">
        <w:t xml:space="preserve">  (E.g., </w:t>
      </w:r>
      <w:r w:rsidR="006771FC">
        <w:rPr>
          <w:i/>
          <w:iCs/>
        </w:rPr>
        <w:t xml:space="preserve">People v. </w:t>
      </w:r>
      <w:r w:rsidR="009976EA">
        <w:rPr>
          <w:i/>
          <w:iCs/>
        </w:rPr>
        <w:t>Castaneda</w:t>
      </w:r>
      <w:r w:rsidR="009976EA">
        <w:t xml:space="preserve">, </w:t>
      </w:r>
      <w:r w:rsidR="006771FC">
        <w:rPr>
          <w:i/>
          <w:iCs/>
        </w:rPr>
        <w:t>supra</w:t>
      </w:r>
      <w:r w:rsidR="006771FC">
        <w:t>,</w:t>
      </w:r>
      <w:r w:rsidRPr="006771FC" w:rsidR="006771FC">
        <w:t xml:space="preserve"> </w:t>
      </w:r>
      <w:r w:rsidR="006771FC">
        <w:t xml:space="preserve">23 Cal.4th </w:t>
      </w:r>
      <w:r w:rsidR="009976EA">
        <w:t>at pp.</w:t>
      </w:r>
      <w:r w:rsidR="004B3953">
        <w:t> </w:t>
      </w:r>
      <w:r w:rsidR="009976EA">
        <w:t xml:space="preserve">750–751.)  But </w:t>
      </w:r>
      <w:r w:rsidR="00ED697F">
        <w:t xml:space="preserve">in </w:t>
      </w:r>
      <w:r w:rsidR="00905541">
        <w:t xml:space="preserve">a case involving a lone actor, </w:t>
      </w:r>
      <w:r w:rsidR="008B2099">
        <w:t>operation of the statute turns</w:t>
      </w:r>
      <w:r w:rsidR="001A1A1D">
        <w:t>, at bottom, on th</w:t>
      </w:r>
      <w:r w:rsidR="00035411">
        <w:t xml:space="preserve">e </w:t>
      </w:r>
      <w:r w:rsidR="005A242A">
        <w:t xml:space="preserve">nature of the </w:t>
      </w:r>
      <w:r w:rsidR="00C060D4">
        <w:t xml:space="preserve">individual’s actions and </w:t>
      </w:r>
      <w:r w:rsidR="00981004">
        <w:t xml:space="preserve">reasons for </w:t>
      </w:r>
      <w:r w:rsidR="00035411">
        <w:t>committing the underlying felony</w:t>
      </w:r>
      <w:r w:rsidR="00EE171E">
        <w:t>.  S</w:t>
      </w:r>
      <w:r w:rsidRPr="004D4B6D" w:rsidR="009C677E">
        <w:t xml:space="preserve">pecifically, </w:t>
      </w:r>
      <w:r w:rsidR="00CB0A05">
        <w:t xml:space="preserve">the statute </w:t>
      </w:r>
      <w:r w:rsidR="00EE171E">
        <w:t xml:space="preserve">requires </w:t>
      </w:r>
      <w:r w:rsidRPr="004D4B6D" w:rsidR="009C677E">
        <w:t>proof that the defendant committed the underlying felony (1)</w:t>
      </w:r>
      <w:r w:rsidR="007D4AE9">
        <w:t> </w:t>
      </w:r>
      <w:r w:rsidRPr="004D4B6D" w:rsidR="009C677E">
        <w:t>for the benefit of the gang, and (2) with specific intent to promote, further, or assist the criminal conduct of gang members.</w:t>
      </w:r>
      <w:r>
        <w:t xml:space="preserve"> </w:t>
      </w:r>
      <w:r w:rsidR="00A219E0">
        <w:t xml:space="preserve"> </w:t>
      </w:r>
      <w:r>
        <w:t xml:space="preserve">Insofar as the statute </w:t>
      </w:r>
      <w:r w:rsidRPr="004D4B6D">
        <w:t>“applies when a defendant has personally committed a gang-related felony with the specific intent to aid members of that gang</w:t>
      </w:r>
      <w:r w:rsidR="00533B04">
        <w:t>,</w:t>
      </w:r>
      <w:r w:rsidRPr="004D4B6D">
        <w:t>”</w:t>
      </w:r>
      <w:r w:rsidR="00533B04">
        <w:t xml:space="preserve"> it satisfies the “constitutional requirement of personal guilt.”  </w:t>
      </w:r>
      <w:r w:rsidRPr="004D4B6D">
        <w:t>(</w:t>
      </w:r>
      <w:r w:rsidRPr="004D4B6D">
        <w:rPr>
          <w:i/>
          <w:iCs/>
        </w:rPr>
        <w:t>Albillar</w:t>
      </w:r>
      <w:r w:rsidRPr="004D4B6D">
        <w:t xml:space="preserve">, </w:t>
      </w:r>
      <w:r w:rsidRPr="004D4B6D">
        <w:rPr>
          <w:i/>
          <w:iCs/>
        </w:rPr>
        <w:t>supra</w:t>
      </w:r>
      <w:r w:rsidRPr="004D4B6D">
        <w:t>, 51 Cal.4th at pp. 6</w:t>
      </w:r>
      <w:r w:rsidR="00112DA8">
        <w:t>8, 67</w:t>
      </w:r>
      <w:r w:rsidR="00533B04">
        <w:t>.)</w:t>
      </w:r>
    </w:p>
    <w:p w:rsidR="006E1612" w:rsidP="00A426F2">
      <w:pPr>
        <w:tabs>
          <w:tab w:val="left" w:pos="720"/>
          <w:tab w:val="left" w:pos="1440"/>
        </w:tabs>
      </w:pPr>
      <w:r>
        <w:tab/>
      </w:r>
      <w:r w:rsidR="002F3D9A">
        <w:t>T</w:t>
      </w:r>
      <w:r>
        <w:t xml:space="preserve">wo features of the </w:t>
      </w:r>
      <w:r w:rsidR="00806F64">
        <w:t xml:space="preserve">intent requirement </w:t>
      </w:r>
      <w:r>
        <w:t>are particularly relevant</w:t>
      </w:r>
      <w:r w:rsidR="00F51D65">
        <w:t xml:space="preserve"> in lone-actor prosecutions</w:t>
      </w:r>
      <w:r>
        <w:t xml:space="preserve">.  First, the specific intent to aid </w:t>
      </w:r>
      <w:r w:rsidR="00E56E59">
        <w:t xml:space="preserve">the criminal activities of </w:t>
      </w:r>
      <w:r w:rsidR="006E57AA">
        <w:t xml:space="preserve">a gang’s </w:t>
      </w:r>
      <w:r>
        <w:t xml:space="preserve">members </w:t>
      </w:r>
      <w:r w:rsidR="00C80264">
        <w:t xml:space="preserve">implies </w:t>
      </w:r>
      <w:r w:rsidR="00215DF7">
        <w:t xml:space="preserve">knowledge of the </w:t>
      </w:r>
      <w:r w:rsidR="00A426F2">
        <w:t xml:space="preserve">nature of </w:t>
      </w:r>
      <w:r w:rsidR="00CD793B">
        <w:t xml:space="preserve">at least some of </w:t>
      </w:r>
      <w:r w:rsidR="00A426F2">
        <w:t>those activities.</w:t>
      </w:r>
      <w:r w:rsidRPr="004D4B6D" w:rsidR="00A426F2">
        <w:t xml:space="preserve"> </w:t>
      </w:r>
      <w:r w:rsidR="00A426F2">
        <w:t xml:space="preserve"> (</w:t>
      </w:r>
      <w:r w:rsidRPr="00D16A15" w:rsidR="000B60CF">
        <w:rPr>
          <w:i/>
          <w:iCs/>
        </w:rPr>
        <w:t>People v. Mendoza</w:t>
      </w:r>
      <w:r w:rsidRPr="000B60CF" w:rsidR="000B60CF">
        <w:t xml:space="preserve"> (1998) 18 Cal.4th 1114, 1131 [“One cannot intend to help someone do something without knowing what that person meant to do”]</w:t>
      </w:r>
      <w:r w:rsidR="000B60CF">
        <w:t>; see also</w:t>
      </w:r>
      <w:r w:rsidRPr="000B60CF" w:rsidR="000B60CF">
        <w:t xml:space="preserve"> </w:t>
      </w:r>
      <w:r w:rsidRPr="004D4B6D" w:rsidR="00E93435">
        <w:rPr>
          <w:i/>
          <w:iCs/>
        </w:rPr>
        <w:t>People v. Beeman</w:t>
      </w:r>
      <w:r w:rsidRPr="004D4B6D" w:rsidR="00E93435">
        <w:t xml:space="preserve"> (1984) 35 Cal.3d 547, </w:t>
      </w:r>
      <w:r w:rsidRPr="00E90496" w:rsidR="00E93435">
        <w:t>558 [</w:t>
      </w:r>
      <w:r w:rsidR="00E93435">
        <w:t>to establish “ ‘</w:t>
      </w:r>
      <w:r w:rsidR="007A04AA">
        <w:t> “</w:t>
      </w:r>
      <w:r w:rsidR="00E93435">
        <w:t>guilty knowledge and intent</w:t>
      </w:r>
      <w:r w:rsidR="007A04AA">
        <w:t>” </w:t>
      </w:r>
      <w:r w:rsidR="00E93435">
        <w:t>’ ” with regard to another’s criminal conduct, the defendant must know “t</w:t>
      </w:r>
      <w:r w:rsidRPr="00E90496" w:rsidR="00E93435">
        <w:t xml:space="preserve">he perpetrator’s criminal purpose” </w:t>
      </w:r>
      <w:r w:rsidR="00E93435">
        <w:t xml:space="preserve">and </w:t>
      </w:r>
      <w:r w:rsidRPr="00E90496" w:rsidR="00E93435">
        <w:t>“</w:t>
      </w:r>
      <w:r w:rsidRPr="00303790" w:rsidR="00E93435">
        <w:rPr>
          <w:i/>
          <w:iCs/>
        </w:rPr>
        <w:t>at least realize</w:t>
      </w:r>
      <w:r w:rsidRPr="00E90496" w:rsidR="00E93435">
        <w:t xml:space="preserve"> he or she is aiding</w:t>
      </w:r>
      <w:r w:rsidR="00E93435">
        <w:t xml:space="preserve">” in </w:t>
      </w:r>
      <w:r w:rsidR="000C303C">
        <w:t>the conduct</w:t>
      </w:r>
      <w:r w:rsidR="006E57AA">
        <w:t>]</w:t>
      </w:r>
      <w:r w:rsidRPr="004D4B6D" w:rsidR="00E93435">
        <w:t>.)</w:t>
      </w:r>
      <w:r w:rsidR="00E93435">
        <w:t xml:space="preserve">  </w:t>
      </w:r>
      <w:r w:rsidR="005A242A">
        <w:t xml:space="preserve">As </w:t>
      </w:r>
      <w:r w:rsidRPr="00D16A15" w:rsidR="0061584F">
        <w:rPr>
          <w:i/>
          <w:iCs/>
        </w:rPr>
        <w:t>Scales</w:t>
      </w:r>
      <w:r w:rsidR="0061584F">
        <w:t xml:space="preserve"> </w:t>
      </w:r>
      <w:r w:rsidR="005A242A">
        <w:t xml:space="preserve">holds, </w:t>
      </w:r>
      <w:r w:rsidR="001E65E6">
        <w:t xml:space="preserve">due process requires there be </w:t>
      </w:r>
      <w:r w:rsidR="009C087C">
        <w:t xml:space="preserve">a significant connection between </w:t>
      </w:r>
      <w:r w:rsidR="007B08F3">
        <w:t xml:space="preserve">the defendant’s </w:t>
      </w:r>
      <w:r w:rsidR="009D36EC">
        <w:t xml:space="preserve">“guilty knowledge and intent” </w:t>
      </w:r>
      <w:r w:rsidR="000B60CF">
        <w:t xml:space="preserve">and the criminal conduct </w:t>
      </w:r>
      <w:r w:rsidR="00C4269E">
        <w:t>of the defendant’s associates</w:t>
      </w:r>
      <w:r w:rsidR="00815AF9">
        <w:t> </w:t>
      </w:r>
      <w:r w:rsidR="009D36EC">
        <w:t xml:space="preserve">— </w:t>
      </w:r>
      <w:r w:rsidR="00284295">
        <w:t xml:space="preserve">that is, </w:t>
      </w:r>
      <w:r w:rsidR="00304511">
        <w:t xml:space="preserve">“concrete” and “practical” encouragement </w:t>
      </w:r>
      <w:r w:rsidR="000A0310">
        <w:t xml:space="preserve">of </w:t>
      </w:r>
      <w:r w:rsidR="009E0B0C">
        <w:t>“specifically illegal activities</w:t>
      </w:r>
      <w:r w:rsidR="009C087C">
        <w:t>.</w:t>
      </w:r>
      <w:r w:rsidR="009E0B0C">
        <w:t xml:space="preserve">” </w:t>
      </w:r>
      <w:r w:rsidR="009C087C">
        <w:t xml:space="preserve"> </w:t>
      </w:r>
      <w:r w:rsidR="00E93435">
        <w:t>(</w:t>
      </w:r>
      <w:r w:rsidRPr="004D4B6D" w:rsidR="00304511">
        <w:rPr>
          <w:i/>
          <w:iCs/>
        </w:rPr>
        <w:t>Scales</w:t>
      </w:r>
      <w:r w:rsidR="00304511">
        <w:t xml:space="preserve">, </w:t>
      </w:r>
      <w:r w:rsidRPr="00962F77" w:rsidR="00304511">
        <w:rPr>
          <w:i/>
          <w:iCs/>
        </w:rPr>
        <w:t>supra</w:t>
      </w:r>
      <w:r w:rsidR="00304511">
        <w:t>,</w:t>
      </w:r>
      <w:r w:rsidRPr="004D4B6D" w:rsidR="00304511">
        <w:rPr>
          <w:i/>
          <w:iCs/>
        </w:rPr>
        <w:t xml:space="preserve"> </w:t>
      </w:r>
      <w:r w:rsidRPr="004D4B6D" w:rsidR="00304511">
        <w:t xml:space="preserve">367 U.S. </w:t>
      </w:r>
      <w:r w:rsidR="00304511">
        <w:t>at p. </w:t>
      </w:r>
      <w:r w:rsidRPr="004D4B6D" w:rsidR="00304511">
        <w:t>2</w:t>
      </w:r>
      <w:r w:rsidR="00304511">
        <w:t>27</w:t>
      </w:r>
      <w:r w:rsidR="009C087C">
        <w:t>.</w:t>
      </w:r>
      <w:r w:rsidR="00E93435">
        <w:t>)</w:t>
      </w:r>
      <w:r w:rsidR="009C087C">
        <w:t xml:space="preserve">  </w:t>
      </w:r>
      <w:r w:rsidR="005A242A">
        <w:t xml:space="preserve">Reading the statute against this backdrop, we infer that to satisfy </w:t>
      </w:r>
      <w:r w:rsidRPr="004D4B6D" w:rsidR="00A00316">
        <w:t>th</w:t>
      </w:r>
      <w:r w:rsidR="00C70518">
        <w:t>e second</w:t>
      </w:r>
      <w:r w:rsidRPr="004D4B6D" w:rsidR="00A00316">
        <w:t xml:space="preserve"> prong of</w:t>
      </w:r>
      <w:r w:rsidRPr="004D4B6D" w:rsidR="00B52C23">
        <w:t xml:space="preserve"> the statute</w:t>
      </w:r>
      <w:r w:rsidRPr="004D4B6D" w:rsidR="00107A62">
        <w:t xml:space="preserve">, </w:t>
      </w:r>
      <w:r w:rsidRPr="004D4B6D" w:rsidR="00A61D91">
        <w:t xml:space="preserve">a defendant facing sentence enhancement allegations </w:t>
      </w:r>
      <w:r w:rsidRPr="004D4B6D" w:rsidR="00B52C23">
        <w:t xml:space="preserve">for a gang-related felony </w:t>
      </w:r>
      <w:r w:rsidRPr="004D4B6D" w:rsidR="00A61D91">
        <w:t xml:space="preserve">under section 186.22(b) must </w:t>
      </w:r>
      <w:r w:rsidR="00C060D4">
        <w:t xml:space="preserve">at least </w:t>
      </w:r>
      <w:r w:rsidRPr="004D4B6D" w:rsidR="00A61D91">
        <w:t xml:space="preserve">be aware of </w:t>
      </w:r>
      <w:r w:rsidR="005C1E7A">
        <w:t>the</w:t>
      </w:r>
      <w:r w:rsidR="00B80B47">
        <w:t xml:space="preserve"> type of criminal activit</w:t>
      </w:r>
      <w:r w:rsidR="00795473">
        <w:t>y</w:t>
      </w:r>
      <w:r w:rsidR="00B80B47">
        <w:t xml:space="preserve"> </w:t>
      </w:r>
      <w:r w:rsidR="00D1698B">
        <w:t xml:space="preserve">the </w:t>
      </w:r>
      <w:r w:rsidRPr="004D4B6D" w:rsidR="00B52C23">
        <w:t>gang members</w:t>
      </w:r>
      <w:r w:rsidRPr="004D4B6D" w:rsidR="009059E2">
        <w:t xml:space="preserve"> </w:t>
      </w:r>
      <w:r w:rsidR="00B80B47">
        <w:t>pursue</w:t>
      </w:r>
      <w:r w:rsidR="00F51D65">
        <w:t xml:space="preserve">; without such awareness, the defendant cannot intend to </w:t>
      </w:r>
      <w:r w:rsidRPr="004D4B6D" w:rsidR="00A00316">
        <w:t>aid in</w:t>
      </w:r>
      <w:r w:rsidRPr="004D4B6D" w:rsidR="006F209F">
        <w:t xml:space="preserve"> </w:t>
      </w:r>
      <w:r w:rsidR="00673D05">
        <w:t xml:space="preserve">such </w:t>
      </w:r>
      <w:r w:rsidRPr="004D4B6D" w:rsidR="00F10039">
        <w:t>activit</w:t>
      </w:r>
      <w:r w:rsidR="00795473">
        <w:t>y</w:t>
      </w:r>
      <w:r w:rsidRPr="004D4B6D" w:rsidR="00A71BC5">
        <w:t>.</w:t>
      </w:r>
    </w:p>
    <w:p w:rsidR="00844A79" w:rsidRPr="004D4B6D">
      <w:pPr>
        <w:tabs>
          <w:tab w:val="left" w:pos="720"/>
          <w:tab w:val="left" w:pos="1440"/>
        </w:tabs>
      </w:pPr>
      <w:r>
        <w:tab/>
        <w:t>Second,</w:t>
      </w:r>
      <w:r w:rsidR="00065D44">
        <w:t xml:space="preserve"> </w:t>
      </w:r>
      <w:r w:rsidR="007D5F12">
        <w:t xml:space="preserve">the statute </w:t>
      </w:r>
      <w:r w:rsidRPr="00065D44" w:rsidR="00065D44">
        <w:t xml:space="preserve">refers to </w:t>
      </w:r>
      <w:r w:rsidR="006F24C3">
        <w:t xml:space="preserve">the intent to promote </w:t>
      </w:r>
      <w:r w:rsidRPr="00065D44" w:rsidR="00065D44">
        <w:t xml:space="preserve">“criminal conduct by gang </w:t>
      </w:r>
      <w:r w:rsidRPr="00D16A15" w:rsidR="00065D44">
        <w:rPr>
          <w:i/>
          <w:iCs/>
        </w:rPr>
        <w:t>members</w:t>
      </w:r>
      <w:r w:rsidRPr="00065D44" w:rsidR="00065D44">
        <w:t>” (§</w:t>
      </w:r>
      <w:r w:rsidR="00AD6B79">
        <w:t> </w:t>
      </w:r>
      <w:r w:rsidRPr="00065D44" w:rsidR="00065D44">
        <w:t>186.22(b)</w:t>
      </w:r>
      <w:r w:rsidR="00D4118F">
        <w:t>(1), (4)</w:t>
      </w:r>
      <w:r w:rsidRPr="00065D44" w:rsidR="00065D44">
        <w:t xml:space="preserve">, italics added), the most natural reading of which </w:t>
      </w:r>
      <w:r w:rsidR="006E79A1">
        <w:t xml:space="preserve">means the promotion of </w:t>
      </w:r>
      <w:r w:rsidRPr="00065D44" w:rsidR="00065D44">
        <w:t xml:space="preserve">criminal conduct by more than one </w:t>
      </w:r>
      <w:r w:rsidR="006E57AA">
        <w:t xml:space="preserve">member of the </w:t>
      </w:r>
      <w:r w:rsidRPr="00065D44" w:rsidR="00065D44">
        <w:t xml:space="preserve">gang </w:t>
      </w:r>
      <w:r w:rsidRPr="00065D44" w:rsidR="00ED4418">
        <w:t>(</w:t>
      </w:r>
      <w:r w:rsidR="00ED4418">
        <w:t>c</w:t>
      </w:r>
      <w:r w:rsidRPr="00065D44" w:rsidR="00ED4418">
        <w:t xml:space="preserve">f. </w:t>
      </w:r>
      <w:r w:rsidRPr="00ED4418" w:rsidR="00ED4418">
        <w:rPr>
          <w:i/>
          <w:iCs/>
        </w:rPr>
        <w:t>Rodriguez</w:t>
      </w:r>
      <w:r w:rsidR="00ED4418">
        <w:t xml:space="preserve">, </w:t>
      </w:r>
      <w:r w:rsidR="00ED4418">
        <w:rPr>
          <w:i/>
          <w:iCs/>
        </w:rPr>
        <w:t>supra</w:t>
      </w:r>
      <w:r w:rsidR="00ED4418">
        <w:t>,</w:t>
      </w:r>
      <w:r w:rsidRPr="00065D44" w:rsidR="00ED4418">
        <w:t xml:space="preserve"> 55 Cal.4th </w:t>
      </w:r>
      <w:r w:rsidR="00ED4418">
        <w:t>at p. </w:t>
      </w:r>
      <w:r w:rsidRPr="00065D44" w:rsidR="00ED4418">
        <w:t xml:space="preserve">1133 </w:t>
      </w:r>
      <w:r w:rsidR="001C173D">
        <w:t xml:space="preserve">(plur. opn.) </w:t>
      </w:r>
      <w:r w:rsidRPr="00065D44" w:rsidR="00ED4418">
        <w:t>[giving meaning to the plural use of “members” in section 186.22(a)])</w:t>
      </w:r>
      <w:r w:rsidR="003B3488">
        <w:t> </w:t>
      </w:r>
      <w:r w:rsidR="006E79A1">
        <w:t xml:space="preserve">— </w:t>
      </w:r>
      <w:r w:rsidR="00A3380E">
        <w:t>which</w:t>
      </w:r>
      <w:r w:rsidR="006C375F">
        <w:t xml:space="preserve">, in a lone-actor case, necessarily means </w:t>
      </w:r>
      <w:r w:rsidR="00363A4A">
        <w:t xml:space="preserve">the promotion of conduct other than the </w:t>
      </w:r>
      <w:r w:rsidR="003E2B92">
        <w:t xml:space="preserve">commission of the </w:t>
      </w:r>
      <w:r w:rsidR="00363A4A">
        <w:t>underlying felony</w:t>
      </w:r>
      <w:r w:rsidRPr="00065D44" w:rsidR="00065D44">
        <w:t>.</w:t>
      </w:r>
      <w:r w:rsidR="0013581B">
        <w:t xml:space="preserve">  </w:t>
      </w:r>
      <w:r w:rsidR="006F25EC">
        <w:t>T</w:t>
      </w:r>
      <w:r w:rsidR="00695B99">
        <w:t>h</w:t>
      </w:r>
      <w:r w:rsidR="006F25EC">
        <w:t>is is not to suggest that a</w:t>
      </w:r>
      <w:r w:rsidR="00695B99">
        <w:t xml:space="preserve"> </w:t>
      </w:r>
      <w:r w:rsidR="00B92461">
        <w:t xml:space="preserve">defendant’s </w:t>
      </w:r>
      <w:r w:rsidR="00695B99">
        <w:t xml:space="preserve">current offense is always out of bounds; </w:t>
      </w:r>
      <w:r w:rsidR="00E4671E">
        <w:t>in</w:t>
      </w:r>
      <w:r w:rsidRPr="00065D44" w:rsidR="00065D44">
        <w:t xml:space="preserve"> </w:t>
      </w:r>
      <w:r w:rsidRPr="00ED4418" w:rsidR="00065D44">
        <w:rPr>
          <w:i/>
          <w:iCs/>
        </w:rPr>
        <w:t>Albillar</w:t>
      </w:r>
      <w:r w:rsidRPr="00065D44" w:rsidR="00065D44">
        <w:t xml:space="preserve"> we stated that the gang enhancement statute does not require that “</w:t>
      </w:r>
      <w:r w:rsidR="00ED4418">
        <w:t> </w:t>
      </w:r>
      <w:r w:rsidRPr="00065D44" w:rsidR="00065D44">
        <w:t>‘</w:t>
      </w:r>
      <w:r w:rsidR="00112DA8">
        <w:t> “</w:t>
      </w:r>
      <w:r w:rsidRPr="00065D44" w:rsidR="00065D44">
        <w:t>criminal conduct by gang members</w:t>
      </w:r>
      <w:r w:rsidR="00112DA8">
        <w:t>”</w:t>
      </w:r>
      <w:r w:rsidRPr="00065D44" w:rsidR="00065D44">
        <w:t xml:space="preserve"> be distinct from the charged offense.</w:t>
      </w:r>
      <w:r w:rsidR="00112DA8">
        <w:t>’ </w:t>
      </w:r>
      <w:r w:rsidRPr="00065D44" w:rsidR="00065D44">
        <w:t>”  (</w:t>
      </w:r>
      <w:r w:rsidRPr="00ED4418" w:rsidR="00065D44">
        <w:rPr>
          <w:i/>
          <w:iCs/>
        </w:rPr>
        <w:t>Albillar</w:t>
      </w:r>
      <w:r w:rsidRPr="00065D44" w:rsidR="00065D44">
        <w:t xml:space="preserve">, </w:t>
      </w:r>
      <w:r w:rsidRPr="007A04AA" w:rsidR="00065D44">
        <w:rPr>
          <w:i/>
        </w:rPr>
        <w:t>supra</w:t>
      </w:r>
      <w:r w:rsidRPr="00065D44" w:rsidR="00065D44">
        <w:t>, 51 Cal.4th at p.</w:t>
      </w:r>
      <w:r w:rsidR="00ED4418">
        <w:t> </w:t>
      </w:r>
      <w:r w:rsidRPr="00065D44" w:rsidR="00065D44">
        <w:t xml:space="preserve">66.)  There, however, we addressed a context in which three gang members acted together; the charged offenses thus already involved each defendant assisting the criminal conduct of the other two gang members.  But where, as here, the defendant acts alone, the criminal conduct of multiple gang members is not </w:t>
      </w:r>
      <w:r w:rsidR="00B50C96">
        <w:t xml:space="preserve">at issue.  </w:t>
      </w:r>
      <w:r w:rsidR="003F0297">
        <w:t>Because t</w:t>
      </w:r>
      <w:r w:rsidR="00B50C96">
        <w:t xml:space="preserve">he showing of intent must include the intent to promote criminal activity by </w:t>
      </w:r>
      <w:r w:rsidR="00B92A5C">
        <w:t>others</w:t>
      </w:r>
      <w:r w:rsidR="00B50C96">
        <w:t xml:space="preserve">, </w:t>
      </w:r>
      <w:r w:rsidR="009C2583">
        <w:t>in a lone-actor case</w:t>
      </w:r>
      <w:r w:rsidR="003F0297">
        <w:t xml:space="preserve"> this</w:t>
      </w:r>
      <w:r w:rsidR="009C2583">
        <w:t xml:space="preserve"> </w:t>
      </w:r>
      <w:r w:rsidR="00B50C96">
        <w:t xml:space="preserve">necessarily means an intent to promote criminal activity </w:t>
      </w:r>
      <w:r w:rsidR="00781BBB">
        <w:t xml:space="preserve">other than </w:t>
      </w:r>
      <w:r w:rsidRPr="00065D44" w:rsidR="00065D44">
        <w:t>the charged offense.</w:t>
      </w:r>
      <w:r>
        <w:rPr>
          <w:rStyle w:val="FootnoteReference"/>
        </w:rPr>
        <w:footnoteReference w:id="10"/>
      </w:r>
      <w:r w:rsidRPr="00065D44" w:rsidR="00065D44">
        <w:t xml:space="preserve"> </w:t>
      </w:r>
    </w:p>
    <w:p w:rsidR="00C744F7" w:rsidRPr="004D4B6D" w:rsidP="00303790">
      <w:pPr>
        <w:pStyle w:val="Heading2"/>
        <w:tabs>
          <w:tab w:val="clear" w:pos="1152"/>
        </w:tabs>
        <w:ind w:left="450"/>
        <w:jc w:val="center"/>
        <w:rPr>
          <w:bCs/>
        </w:rPr>
      </w:pPr>
      <w:r w:rsidRPr="004D4B6D">
        <w:rPr>
          <w:bCs/>
        </w:rPr>
        <w:t>B.</w:t>
      </w:r>
    </w:p>
    <w:p w:rsidR="00931EE0" w:rsidP="006346F3">
      <w:pPr>
        <w:tabs>
          <w:tab w:val="left" w:pos="720"/>
          <w:tab w:val="left" w:pos="1440"/>
        </w:tabs>
      </w:pPr>
      <w:r w:rsidRPr="004D4B6D">
        <w:rPr>
          <w:b/>
          <w:bCs/>
        </w:rPr>
        <w:tab/>
      </w:r>
      <w:r w:rsidR="000F27B7">
        <w:t xml:space="preserve">To establish </w:t>
      </w:r>
      <w:r w:rsidR="0078642C">
        <w:t xml:space="preserve">the requisite </w:t>
      </w:r>
      <w:r w:rsidR="000F27B7">
        <w:t xml:space="preserve">intent in </w:t>
      </w:r>
      <w:r w:rsidR="009E132E">
        <w:t xml:space="preserve">a lone-actor case, the prosecution </w:t>
      </w:r>
      <w:r w:rsidR="008C72D6">
        <w:t xml:space="preserve">has </w:t>
      </w:r>
      <w:r w:rsidR="009E132E">
        <w:t>often relie</w:t>
      </w:r>
      <w:r w:rsidR="008C72D6">
        <w:t>d</w:t>
      </w:r>
      <w:r w:rsidR="009E132E">
        <w:t xml:space="preserve"> on expert opinion</w:t>
      </w:r>
      <w:r w:rsidRPr="004D4B6D" w:rsidR="004718A3">
        <w:t xml:space="preserve"> about the potential for </w:t>
      </w:r>
      <w:r w:rsidR="001A4696">
        <w:t xml:space="preserve">a </w:t>
      </w:r>
      <w:r w:rsidR="009E0B0C">
        <w:t>gang member</w:t>
      </w:r>
      <w:r w:rsidR="001A4696">
        <w:t xml:space="preserve">’s </w:t>
      </w:r>
      <w:r w:rsidRPr="004D4B6D" w:rsidR="004718A3">
        <w:t xml:space="preserve">crime to </w:t>
      </w:r>
      <w:r w:rsidR="00B35F5A">
        <w:t xml:space="preserve">benefit the gang by, among other things, </w:t>
      </w:r>
      <w:r w:rsidRPr="004D4B6D" w:rsidR="004718A3">
        <w:t>enhanc</w:t>
      </w:r>
      <w:r w:rsidR="006A7E6C">
        <w:t>ing</w:t>
      </w:r>
      <w:r w:rsidRPr="004D4B6D" w:rsidR="004718A3">
        <w:t xml:space="preserve"> </w:t>
      </w:r>
      <w:r w:rsidR="00662FE0">
        <w:t xml:space="preserve">a </w:t>
      </w:r>
      <w:r w:rsidRPr="004D4B6D" w:rsidR="004718A3">
        <w:t xml:space="preserve">gang’s </w:t>
      </w:r>
      <w:r w:rsidR="00662FE0">
        <w:t xml:space="preserve">reputation for violence </w:t>
      </w:r>
      <w:r w:rsidR="006A7E6C">
        <w:t xml:space="preserve">among </w:t>
      </w:r>
      <w:r w:rsidR="00BE45A3">
        <w:t xml:space="preserve">rival gangs or </w:t>
      </w:r>
      <w:r w:rsidRPr="004D4B6D" w:rsidR="004718A3">
        <w:t>in the community</w:t>
      </w:r>
      <w:r w:rsidR="00BE45A3">
        <w:t xml:space="preserve"> more generally</w:t>
      </w:r>
      <w:r w:rsidRPr="004D4B6D" w:rsidR="004718A3">
        <w:t>.</w:t>
      </w:r>
      <w:r w:rsidR="006D29D5">
        <w:t xml:space="preserve">  </w:t>
      </w:r>
      <w:r w:rsidR="00C03C06">
        <w:t>T</w:t>
      </w:r>
      <w:r>
        <w:t xml:space="preserve">he prosecution </w:t>
      </w:r>
      <w:r w:rsidR="001230DF">
        <w:t xml:space="preserve">has </w:t>
      </w:r>
      <w:r>
        <w:t>typically ask</w:t>
      </w:r>
      <w:r w:rsidR="001230DF">
        <w:t>ed</w:t>
      </w:r>
      <w:r>
        <w:t xml:space="preserve"> the </w:t>
      </w:r>
      <w:r w:rsidR="00622171">
        <w:t xml:space="preserve">jury to infer that the defendant committed the underlying felony in order to </w:t>
      </w:r>
      <w:r w:rsidR="00284B95">
        <w:t xml:space="preserve">reap that </w:t>
      </w:r>
      <w:r w:rsidR="00C03C06">
        <w:t xml:space="preserve">reputational </w:t>
      </w:r>
      <w:r w:rsidR="00284B95">
        <w:t>benefit, and, by enhancing the gang’s reputation, to facilitate members’ future crimes.</w:t>
      </w:r>
    </w:p>
    <w:p w:rsidR="0078407A">
      <w:pPr>
        <w:tabs>
          <w:tab w:val="left" w:pos="720"/>
          <w:tab w:val="left" w:pos="1440"/>
        </w:tabs>
      </w:pPr>
      <w:r>
        <w:tab/>
      </w:r>
      <w:r w:rsidR="000352A1">
        <w:t xml:space="preserve">This </w:t>
      </w:r>
      <w:r w:rsidR="008F11C5">
        <w:t xml:space="preserve">approach </w:t>
      </w:r>
      <w:r w:rsidR="000352A1">
        <w:t>is not without basis</w:t>
      </w:r>
      <w:r w:rsidR="00D7520A">
        <w:t xml:space="preserve"> in case law</w:t>
      </w:r>
      <w:r w:rsidR="000352A1">
        <w:t xml:space="preserve">:  </w:t>
      </w:r>
      <w:r w:rsidR="006D29D5">
        <w:t xml:space="preserve">We cited similar </w:t>
      </w:r>
      <w:r w:rsidR="008C72D6">
        <w:t xml:space="preserve">expert </w:t>
      </w:r>
      <w:r w:rsidR="005F5B44">
        <w:t>opinion</w:t>
      </w:r>
      <w:r w:rsidR="006D29D5">
        <w:t xml:space="preserve"> in </w:t>
      </w:r>
      <w:r w:rsidR="006D29D5">
        <w:rPr>
          <w:i/>
          <w:iCs/>
        </w:rPr>
        <w:t>Albillar</w:t>
      </w:r>
      <w:r w:rsidR="006D29D5">
        <w:t xml:space="preserve"> to support our conclusion </w:t>
      </w:r>
      <w:r w:rsidR="003355CC">
        <w:t xml:space="preserve">that the concerted actions of gang members in that case conferred a </w:t>
      </w:r>
      <w:r w:rsidR="006D29D5">
        <w:t>benefit to the gang.</w:t>
      </w:r>
      <w:r w:rsidR="0072360A">
        <w:t xml:space="preserve">  (</w:t>
      </w:r>
      <w:r w:rsidR="0072360A">
        <w:rPr>
          <w:i/>
          <w:iCs/>
        </w:rPr>
        <w:t>Albillar</w:t>
      </w:r>
      <w:r w:rsidR="0072360A">
        <w:t xml:space="preserve">, </w:t>
      </w:r>
      <w:r w:rsidR="0072360A">
        <w:rPr>
          <w:i/>
          <w:iCs/>
        </w:rPr>
        <w:t>supra</w:t>
      </w:r>
      <w:r w:rsidR="0072360A">
        <w:t>, 51 Cal.4th at p.</w:t>
      </w:r>
      <w:r w:rsidR="00815AF9">
        <w:t> </w:t>
      </w:r>
      <w:r w:rsidR="0072360A">
        <w:t>63</w:t>
      </w:r>
      <w:r w:rsidR="005A4A25">
        <w:t xml:space="preserve">.)  </w:t>
      </w:r>
      <w:r w:rsidR="001230DF">
        <w:t xml:space="preserve">Assembly Bill 333 </w:t>
      </w:r>
      <w:r w:rsidR="00C21E2D">
        <w:t xml:space="preserve">has since </w:t>
      </w:r>
      <w:r w:rsidR="001230DF">
        <w:t xml:space="preserve">placed </w:t>
      </w:r>
      <w:r w:rsidR="009C2F96">
        <w:t xml:space="preserve">clear </w:t>
      </w:r>
      <w:r w:rsidR="001230DF">
        <w:t xml:space="preserve">limits </w:t>
      </w:r>
      <w:r w:rsidR="007A7C8E">
        <w:t xml:space="preserve">on this approach by </w:t>
      </w:r>
      <w:r w:rsidR="001F1585">
        <w:t xml:space="preserve">requiring a </w:t>
      </w:r>
      <w:r w:rsidR="001C1EFE">
        <w:t xml:space="preserve">cognizable “benefit” to </w:t>
      </w:r>
      <w:r w:rsidR="001F1585">
        <w:t xml:space="preserve">be more than </w:t>
      </w:r>
      <w:r w:rsidR="001C1EFE">
        <w:t xml:space="preserve">purely reputational.  (See </w:t>
      </w:r>
      <w:r w:rsidRPr="007A04AA" w:rsidR="001C1EFE">
        <w:t>f</w:t>
      </w:r>
      <w:r w:rsidR="007A04AA">
        <w:t>n. </w:t>
      </w:r>
      <w:r w:rsidR="00FB614F">
        <w:t>6</w:t>
      </w:r>
      <w:r w:rsidRPr="00B9751A" w:rsidR="0012261F">
        <w:t>,</w:t>
      </w:r>
      <w:r w:rsidRPr="00B9751A" w:rsidR="001C1EFE">
        <w:t xml:space="preserve"> </w:t>
      </w:r>
      <w:r w:rsidRPr="00B9751A" w:rsidR="00D556BF">
        <w:rPr>
          <w:i/>
          <w:iCs/>
        </w:rPr>
        <w:t>ante</w:t>
      </w:r>
      <w:r w:rsidR="00D556BF">
        <w:t>.)</w:t>
      </w:r>
      <w:r w:rsidR="000F121B">
        <w:t xml:space="preserve">  But even setting these statutory changes to one side, there have always been limits to </w:t>
      </w:r>
      <w:r w:rsidR="00FF6776">
        <w:t xml:space="preserve">what </w:t>
      </w:r>
      <w:r w:rsidR="004C036E">
        <w:t xml:space="preserve">expert testimony </w:t>
      </w:r>
      <w:r w:rsidR="000F121B">
        <w:t xml:space="preserve">could </w:t>
      </w:r>
      <w:r w:rsidR="004C036E">
        <w:t>show</w:t>
      </w:r>
      <w:r w:rsidR="00644216">
        <w:t xml:space="preserve"> about a defendant’s </w:t>
      </w:r>
      <w:r w:rsidR="00A02D2D">
        <w:t xml:space="preserve">reasons for </w:t>
      </w:r>
      <w:r w:rsidR="00644216">
        <w:t>committing a</w:t>
      </w:r>
      <w:r w:rsidR="0093356A">
        <w:t xml:space="preserve"> crime</w:t>
      </w:r>
      <w:r w:rsidR="004C036E">
        <w:t>.</w:t>
      </w:r>
      <w:r w:rsidR="00931EE0">
        <w:t xml:space="preserve"> </w:t>
      </w:r>
      <w:r w:rsidR="00A219E0">
        <w:t xml:space="preserve"> </w:t>
      </w:r>
      <w:r w:rsidR="00921FD8">
        <w:t>W</w:t>
      </w:r>
      <w:r w:rsidR="00BF26DC">
        <w:t>ithout more, g</w:t>
      </w:r>
      <w:r w:rsidRPr="004D4B6D" w:rsidR="00924740">
        <w:t xml:space="preserve">eneralized </w:t>
      </w:r>
      <w:r w:rsidRPr="004D4B6D" w:rsidR="006531C0">
        <w:t xml:space="preserve">expert opinion that commission of </w:t>
      </w:r>
      <w:r w:rsidR="00A76FB3">
        <w:t xml:space="preserve">a particular </w:t>
      </w:r>
      <w:r w:rsidRPr="004D4B6D" w:rsidR="006531C0">
        <w:t xml:space="preserve">crime </w:t>
      </w:r>
      <w:r w:rsidRPr="004D4B6D" w:rsidR="001A54EF">
        <w:t>enhances the gang’s power in the community by increasing its reputation for violence</w:t>
      </w:r>
      <w:r w:rsidR="001F1585">
        <w:t xml:space="preserve"> </w:t>
      </w:r>
      <w:r w:rsidRPr="004D4B6D" w:rsidR="009A4560">
        <w:t>fall</w:t>
      </w:r>
      <w:r w:rsidRPr="004D4B6D" w:rsidR="00173804">
        <w:t>s</w:t>
      </w:r>
      <w:r w:rsidRPr="004D4B6D" w:rsidR="009A4560">
        <w:t xml:space="preserve"> short</w:t>
      </w:r>
      <w:r w:rsidR="00B4215F">
        <w:t xml:space="preserve"> </w:t>
      </w:r>
      <w:r w:rsidRPr="004D4B6D" w:rsidR="00776FE3">
        <w:t>for at least two reasons</w:t>
      </w:r>
      <w:r w:rsidRPr="004D4B6D" w:rsidR="009A4560">
        <w:t>.</w:t>
      </w:r>
      <w:r>
        <w:t xml:space="preserve">  </w:t>
      </w:r>
    </w:p>
    <w:p w:rsidR="0078407A" w:rsidP="0078407A">
      <w:pPr>
        <w:tabs>
          <w:tab w:val="left" w:pos="720"/>
          <w:tab w:val="left" w:pos="1440"/>
        </w:tabs>
      </w:pPr>
      <w:r>
        <w:tab/>
        <w:t>First,</w:t>
      </w:r>
      <w:r w:rsidRPr="004D4B6D">
        <w:t xml:space="preserve"> </w:t>
      </w:r>
      <w:r w:rsidR="001A6B47">
        <w:t xml:space="preserve">this sort of expert opinion </w:t>
      </w:r>
      <w:r w:rsidRPr="004D4B6D">
        <w:t xml:space="preserve">proves too much.  If </w:t>
      </w:r>
      <w:r w:rsidR="007349B5">
        <w:t xml:space="preserve">generalized </w:t>
      </w:r>
      <w:r w:rsidRPr="004D4B6D">
        <w:t xml:space="preserve">testimony about the reputational benefits of a defendant’s violent crime were, standing alone, sufficient to support an inference that the defendant committed the crime for the benefit of the gang, with specific intent to promote, further, or assist </w:t>
      </w:r>
      <w:r>
        <w:t xml:space="preserve">its members’ </w:t>
      </w:r>
      <w:r w:rsidRPr="004D4B6D">
        <w:t xml:space="preserve">crimes, </w:t>
      </w:r>
      <w:r w:rsidR="0012261F">
        <w:t xml:space="preserve">it </w:t>
      </w:r>
      <w:r w:rsidRPr="004D4B6D">
        <w:t xml:space="preserve">would mean that essentially every violent crime committed by a gang member could be punished more severely under section 186.22(b) purely because of the defendant’s gang membership.  But “our STEP Act does not criminalize mere gang membership,” nor does it impose additional punishment on individuals merely because they happened to belong to a gang </w:t>
      </w:r>
      <w:r w:rsidR="00845101">
        <w:t>when</w:t>
      </w:r>
      <w:r w:rsidRPr="004D4B6D">
        <w:t xml:space="preserve"> they committed a crime.  (</w:t>
      </w:r>
      <w:r w:rsidRPr="004D4B6D">
        <w:rPr>
          <w:i/>
          <w:iCs/>
        </w:rPr>
        <w:t>People v. Gardeley</w:t>
      </w:r>
      <w:r w:rsidRPr="004D4B6D">
        <w:t xml:space="preserve">, </w:t>
      </w:r>
      <w:r w:rsidRPr="004D4B6D">
        <w:rPr>
          <w:i/>
          <w:iCs/>
        </w:rPr>
        <w:t>supra</w:t>
      </w:r>
      <w:r w:rsidRPr="004D4B6D">
        <w:t xml:space="preserve">, 14 Cal.4th at p. 623.)  As </w:t>
      </w:r>
      <w:r w:rsidR="00370ED1">
        <w:t xml:space="preserve">we have </w:t>
      </w:r>
      <w:r w:rsidRPr="004D4B6D">
        <w:t xml:space="preserve">explained above, any other understanding of the reach of the STEP Act would raise significant constitutional concerns the Legislature </w:t>
      </w:r>
      <w:r>
        <w:t xml:space="preserve">consciously </w:t>
      </w:r>
      <w:r w:rsidRPr="004D4B6D">
        <w:t>sought to avoid.  Thus, to “provide a nexus to gang activity sufficient to alleviate due process concerns” (</w:t>
      </w:r>
      <w:r w:rsidRPr="004D4B6D">
        <w:rPr>
          <w:i/>
          <w:iCs/>
        </w:rPr>
        <w:t>Rodriguez</w:t>
      </w:r>
      <w:r w:rsidRPr="004D4B6D">
        <w:t xml:space="preserve">, </w:t>
      </w:r>
      <w:r w:rsidRPr="004D4B6D">
        <w:rPr>
          <w:i/>
          <w:iCs/>
        </w:rPr>
        <w:t>supra</w:t>
      </w:r>
      <w:r w:rsidRPr="004D4B6D">
        <w:t>, 55 Cal.4th at p. 1139 (plur. opn.)), the statute requires a closer connection between the defendant’s crime and the conduct of the gang</w:t>
      </w:r>
      <w:r>
        <w:t xml:space="preserve"> and it</w:t>
      </w:r>
      <w:r w:rsidRPr="004D4B6D">
        <w:t>s members than generalized community reputation testimony can provide.</w:t>
      </w:r>
    </w:p>
    <w:p w:rsidR="00A046CC" w:rsidRPr="004D4B6D" w:rsidP="004D4B6D">
      <w:pPr>
        <w:tabs>
          <w:tab w:val="left" w:pos="720"/>
          <w:tab w:val="left" w:pos="1440"/>
        </w:tabs>
      </w:pPr>
      <w:r>
        <w:tab/>
        <w:t>Second</w:t>
      </w:r>
      <w:r w:rsidRPr="004D4B6D" w:rsidR="009A4560">
        <w:t>,</w:t>
      </w:r>
      <w:r w:rsidRPr="004D4B6D" w:rsidR="00023A62">
        <w:t xml:space="preserve"> </w:t>
      </w:r>
      <w:r w:rsidR="00662FE0">
        <w:t>describing</w:t>
      </w:r>
      <w:r w:rsidRPr="004D4B6D" w:rsidR="00662FE0">
        <w:t xml:space="preserve"> </w:t>
      </w:r>
      <w:r w:rsidRPr="004D4B6D" w:rsidR="00023A62">
        <w:t xml:space="preserve">a benefit to the gang is only part of the equation; </w:t>
      </w:r>
      <w:r w:rsidRPr="004D4B6D" w:rsidR="007C701D">
        <w:t xml:space="preserve">the prosecution must also establish that the defendant </w:t>
      </w:r>
      <w:r w:rsidRPr="004D4B6D" w:rsidR="00D31509">
        <w:t xml:space="preserve">committed </w:t>
      </w:r>
      <w:r w:rsidRPr="004D4B6D" w:rsidR="004C11BA">
        <w:t xml:space="preserve">the underlying </w:t>
      </w:r>
      <w:r w:rsidRPr="004D4B6D" w:rsidR="00D31509">
        <w:t xml:space="preserve">felony </w:t>
      </w:r>
      <w:r w:rsidRPr="004D4B6D" w:rsidR="007C701D">
        <w:t>with the specific intent to promote, further, or assist criminal conduct by other gang members</w:t>
      </w:r>
      <w:r w:rsidRPr="004D4B6D" w:rsidR="00966F53">
        <w:t> </w:t>
      </w:r>
      <w:r w:rsidRPr="004D4B6D" w:rsidR="007C701D">
        <w:t xml:space="preserve">— a requirement we have described as </w:t>
      </w:r>
      <w:r w:rsidR="00527565">
        <w:t xml:space="preserve">knowledge of </w:t>
      </w:r>
      <w:r w:rsidR="00DD6BDB">
        <w:t xml:space="preserve">at least some of </w:t>
      </w:r>
      <w:r w:rsidR="00527565">
        <w:t>the criminal activities of the gang and its members and intent to further th</w:t>
      </w:r>
      <w:r w:rsidR="00E55B2F">
        <w:t>ose activities</w:t>
      </w:r>
      <w:r w:rsidRPr="004D4B6D" w:rsidR="007C701D">
        <w:t>.</w:t>
      </w:r>
      <w:r w:rsidRPr="004D4B6D" w:rsidR="00422CC6">
        <w:t xml:space="preserve">  </w:t>
      </w:r>
      <w:r w:rsidR="00EB0663">
        <w:t>W</w:t>
      </w:r>
      <w:r w:rsidRPr="004D4B6D" w:rsidR="00BB3C19">
        <w:t xml:space="preserve">ithout more, </w:t>
      </w:r>
      <w:r w:rsidR="0099008A">
        <w:t xml:space="preserve">evidence </w:t>
      </w:r>
      <w:r w:rsidRPr="004D4B6D" w:rsidR="00BB3C19">
        <w:t>that</w:t>
      </w:r>
      <w:r w:rsidR="00E71A51">
        <w:t xml:space="preserve"> committing</w:t>
      </w:r>
      <w:r w:rsidRPr="004D4B6D" w:rsidR="00BB3C19">
        <w:t xml:space="preserve"> </w:t>
      </w:r>
      <w:r w:rsidR="00E71A51">
        <w:t xml:space="preserve">a </w:t>
      </w:r>
      <w:r w:rsidRPr="004D4B6D" w:rsidR="00BB3C19">
        <w:t xml:space="preserve">violent crime </w:t>
      </w:r>
      <w:r w:rsidR="00E55B2F">
        <w:t xml:space="preserve">can </w:t>
      </w:r>
      <w:r w:rsidR="007306C9">
        <w:t>enhance</w:t>
      </w:r>
      <w:r w:rsidRPr="004D4B6D" w:rsidR="00BB3C19">
        <w:t xml:space="preserve"> the gang’s reputation </w:t>
      </w:r>
      <w:r w:rsidR="007306C9">
        <w:t xml:space="preserve">for viciousness </w:t>
      </w:r>
      <w:r w:rsidRPr="004D4B6D" w:rsidR="00D41053">
        <w:t xml:space="preserve">in the community </w:t>
      </w:r>
      <w:r w:rsidRPr="004D4B6D" w:rsidR="00BB3C19">
        <w:t xml:space="preserve">does not support an inference that the defendant committed a particular </w:t>
      </w:r>
      <w:r w:rsidR="00275764">
        <w:t xml:space="preserve">violent crime </w:t>
      </w:r>
      <w:r w:rsidR="0086743E">
        <w:t xml:space="preserve">for the </w:t>
      </w:r>
      <w:r w:rsidR="00E55B2F">
        <w:t xml:space="preserve">benefit </w:t>
      </w:r>
      <w:r w:rsidR="0086743E">
        <w:t xml:space="preserve">of </w:t>
      </w:r>
      <w:r w:rsidR="00E55B2F">
        <w:t xml:space="preserve">the gang </w:t>
      </w:r>
      <w:r w:rsidR="0086743E">
        <w:t xml:space="preserve">and </w:t>
      </w:r>
      <w:r w:rsidRPr="004D4B6D" w:rsidR="0086743E">
        <w:t xml:space="preserve">with </w:t>
      </w:r>
      <w:r w:rsidR="0086743E">
        <w:t xml:space="preserve">the intent </w:t>
      </w:r>
      <w:r w:rsidR="00E55B2F">
        <w:t xml:space="preserve">to </w:t>
      </w:r>
      <w:r w:rsidRPr="004D4B6D" w:rsidR="00D41053">
        <w:t xml:space="preserve">facilitate </w:t>
      </w:r>
      <w:r w:rsidR="00BF598F">
        <w:t xml:space="preserve">known </w:t>
      </w:r>
      <w:r w:rsidRPr="004D4B6D" w:rsidR="00D41053">
        <w:t xml:space="preserve">criminal </w:t>
      </w:r>
      <w:r w:rsidRPr="004D4B6D" w:rsidR="00BB3C19">
        <w:t>activity</w:t>
      </w:r>
      <w:r w:rsidRPr="004D4B6D" w:rsidR="001D36BD">
        <w:t xml:space="preserve"> by other gang members</w:t>
      </w:r>
      <w:r w:rsidRPr="004D4B6D" w:rsidR="00BB3C19">
        <w:t>.</w:t>
      </w:r>
    </w:p>
    <w:p w:rsidR="00297593" w:rsidRPr="004D4B6D" w:rsidP="001745E6">
      <w:pPr>
        <w:tabs>
          <w:tab w:val="left" w:pos="720"/>
          <w:tab w:val="left" w:pos="1440"/>
        </w:tabs>
      </w:pPr>
      <w:r w:rsidRPr="004D4B6D">
        <w:tab/>
      </w:r>
      <w:r w:rsidR="00E7708A">
        <w:t xml:space="preserve">None of this is to suggest that prosecutors </w:t>
      </w:r>
      <w:r w:rsidR="008429E4">
        <w:t xml:space="preserve">may not </w:t>
      </w:r>
      <w:r w:rsidR="00E7708A">
        <w:t xml:space="preserve">rely on </w:t>
      </w:r>
      <w:r w:rsidRPr="004D4B6D">
        <w:t xml:space="preserve">expert opinion </w:t>
      </w:r>
      <w:r w:rsidR="00743C55">
        <w:t xml:space="preserve">to </w:t>
      </w:r>
      <w:r w:rsidR="00FE4FC4">
        <w:t xml:space="preserve">connect </w:t>
      </w:r>
      <w:r w:rsidRPr="004D4B6D" w:rsidR="00C65156">
        <w:t xml:space="preserve">the defendant’s crime </w:t>
      </w:r>
      <w:r w:rsidR="00C65156">
        <w:t xml:space="preserve">with </w:t>
      </w:r>
      <w:r w:rsidRPr="004D4B6D" w:rsidR="00C65156">
        <w:t>the conduct of</w:t>
      </w:r>
      <w:r w:rsidR="00C65156">
        <w:t xml:space="preserve"> the</w:t>
      </w:r>
      <w:r w:rsidRPr="004D4B6D" w:rsidR="00C65156">
        <w:t xml:space="preserve"> gang</w:t>
      </w:r>
      <w:r w:rsidR="00C65156">
        <w:t xml:space="preserve"> and it</w:t>
      </w:r>
      <w:r w:rsidRPr="004D4B6D" w:rsidR="00C65156">
        <w:t>s members</w:t>
      </w:r>
      <w:r w:rsidRPr="004D4B6D">
        <w:t xml:space="preserve">; </w:t>
      </w:r>
      <w:r w:rsidR="00E359D1">
        <w:t>to t</w:t>
      </w:r>
      <w:r w:rsidR="008429E4">
        <w:t xml:space="preserve">he contrary, </w:t>
      </w:r>
      <w:r w:rsidRPr="004D4B6D">
        <w:t>we have previously held that “ ‘[e]xpert opinion that particular criminal conduct benefited a gang’ is not only permissible but can be sufficient to support the Penal Code section 186.22, subdivision (b)(1), gang enhancement.”  (</w:t>
      </w:r>
      <w:r w:rsidRPr="004D4B6D">
        <w:rPr>
          <w:i/>
          <w:iCs/>
        </w:rPr>
        <w:t xml:space="preserve">People v. Vang </w:t>
      </w:r>
      <w:r w:rsidRPr="004D4B6D">
        <w:t xml:space="preserve">(2011) 52 Cal.4th 1038, 1048.)  But important limitations apply to </w:t>
      </w:r>
      <w:r w:rsidR="00754AF8">
        <w:t xml:space="preserve">the use of </w:t>
      </w:r>
      <w:r w:rsidRPr="004D4B6D">
        <w:t xml:space="preserve">such </w:t>
      </w:r>
      <w:r w:rsidR="00754AF8">
        <w:t>testimony</w:t>
      </w:r>
      <w:r w:rsidRPr="004D4B6D">
        <w:t>.  Expert opinion, typically guided by hypothetical questions, “ ‘must be rooted in facts shown by the evidence</w:t>
      </w:r>
      <w:r w:rsidR="002C47C4">
        <w:t>.</w:t>
      </w:r>
      <w:r w:rsidRPr="004D4B6D">
        <w:t>’ ”</w:t>
      </w:r>
      <w:r w:rsidR="00112DA8">
        <w:t xml:space="preserve"> </w:t>
      </w:r>
      <w:r w:rsidRPr="004D4B6D">
        <w:t xml:space="preserve"> </w:t>
      </w:r>
      <w:r w:rsidRPr="004D4B6D" w:rsidR="002C47C4">
        <w:t>(</w:t>
      </w:r>
      <w:r w:rsidRPr="004D4B6D" w:rsidR="002C47C4">
        <w:rPr>
          <w:i/>
          <w:iCs/>
        </w:rPr>
        <w:t>Id</w:t>
      </w:r>
      <w:r w:rsidRPr="004D4B6D" w:rsidR="002C47C4">
        <w:t>. at p. 1045</w:t>
      </w:r>
      <w:r w:rsidR="002C47C4">
        <w:t xml:space="preserve">.)  </w:t>
      </w:r>
      <w:r w:rsidR="00754AF8">
        <w:t>T</w:t>
      </w:r>
      <w:r w:rsidR="002C47C4">
        <w:t xml:space="preserve">hey </w:t>
      </w:r>
      <w:r w:rsidRPr="004D4B6D">
        <w:t>“ ‘may not be based “on assumptions of fact without evidentiary support [citation], or on speculative or conjectural factors</w:t>
      </w:r>
      <w:r w:rsidR="002C47C4">
        <w:t>.</w:t>
      </w:r>
      <w:r w:rsidRPr="004D4B6D">
        <w:t>” ’ ”</w:t>
      </w:r>
      <w:r w:rsidR="002C47C4">
        <w:t xml:space="preserve">  (</w:t>
      </w:r>
      <w:r w:rsidR="002C47C4">
        <w:rPr>
          <w:i/>
          <w:iCs/>
        </w:rPr>
        <w:t>Id</w:t>
      </w:r>
      <w:r w:rsidR="002C47C4">
        <w:t>.</w:t>
      </w:r>
      <w:r w:rsidR="00112DA8">
        <w:t xml:space="preserve"> at p. 1046</w:t>
      </w:r>
      <w:r w:rsidR="00684D9B">
        <w:t>.</w:t>
      </w:r>
      <w:r w:rsidR="002C47C4">
        <w:t xml:space="preserve">)  </w:t>
      </w:r>
      <w:r w:rsidRPr="004D4B6D">
        <w:t xml:space="preserve"> </w:t>
      </w:r>
    </w:p>
    <w:p w:rsidR="00D7715C" w:rsidRPr="004D4B6D" w:rsidP="00BB3898">
      <w:pPr>
        <w:tabs>
          <w:tab w:val="left" w:pos="720"/>
          <w:tab w:val="left" w:pos="1440"/>
        </w:tabs>
      </w:pPr>
      <w:r w:rsidRPr="004D4B6D">
        <w:tab/>
      </w:r>
      <w:r w:rsidRPr="004D4B6D" w:rsidR="00452219">
        <w:t xml:space="preserve">The appellate case law </w:t>
      </w:r>
      <w:r w:rsidRPr="004D4B6D">
        <w:t>offer</w:t>
      </w:r>
      <w:r w:rsidRPr="004D4B6D" w:rsidR="00452219">
        <w:t>s</w:t>
      </w:r>
      <w:r w:rsidRPr="004D4B6D">
        <w:t xml:space="preserve"> </w:t>
      </w:r>
      <w:r w:rsidRPr="004D4B6D" w:rsidR="00452219">
        <w:t xml:space="preserve">guidance </w:t>
      </w:r>
      <w:r w:rsidR="002C47C4">
        <w:t xml:space="preserve">about </w:t>
      </w:r>
      <w:r w:rsidRPr="004D4B6D" w:rsidR="00452219">
        <w:t xml:space="preserve">how </w:t>
      </w:r>
      <w:r w:rsidRPr="004D4B6D" w:rsidR="00B817F0">
        <w:t xml:space="preserve">to </w:t>
      </w:r>
      <w:r w:rsidRPr="004D4B6D" w:rsidR="00A75A7C">
        <w:t xml:space="preserve">ensure that </w:t>
      </w:r>
      <w:r w:rsidR="00647152">
        <w:t>expert</w:t>
      </w:r>
      <w:r w:rsidRPr="004D4B6D" w:rsidR="00647152">
        <w:t xml:space="preserve"> </w:t>
      </w:r>
      <w:r w:rsidR="00647152">
        <w:t xml:space="preserve">reputation </w:t>
      </w:r>
      <w:r w:rsidRPr="004D4B6D" w:rsidR="004A75B9">
        <w:t>testimony</w:t>
      </w:r>
      <w:r w:rsidRPr="004D4B6D" w:rsidR="00A75A7C">
        <w:t xml:space="preserve"> is </w:t>
      </w:r>
      <w:r w:rsidR="002C47C4">
        <w:t xml:space="preserve">linked by </w:t>
      </w:r>
      <w:r w:rsidR="003B2745">
        <w:t xml:space="preserve">specific </w:t>
      </w:r>
      <w:r w:rsidR="002C47C4">
        <w:t xml:space="preserve">evidence, rather than speculation or conjecture, to </w:t>
      </w:r>
      <w:r w:rsidRPr="004D4B6D" w:rsidR="00CE3B0D">
        <w:t>a defendant’s</w:t>
      </w:r>
      <w:r w:rsidRPr="004D4B6D" w:rsidR="006943F5">
        <w:t xml:space="preserve"> gang-related goals</w:t>
      </w:r>
      <w:r w:rsidR="00AE2657">
        <w:t xml:space="preserve"> in committing a particular crime</w:t>
      </w:r>
      <w:r w:rsidRPr="004D4B6D" w:rsidR="00452219">
        <w:t xml:space="preserve">.  </w:t>
      </w:r>
      <w:r w:rsidRPr="00552140" w:rsidR="003B2745">
        <w:rPr>
          <w:i/>
          <w:iCs/>
        </w:rPr>
        <w:t>People v. Ochoa</w:t>
      </w:r>
      <w:r w:rsidR="003B2745">
        <w:t xml:space="preserve"> (2009) 179 Cal.App.4th 650 is </w:t>
      </w:r>
      <w:r w:rsidR="001D14AE">
        <w:t>instructive</w:t>
      </w:r>
      <w:r w:rsidR="003B2745">
        <w:t xml:space="preserve">.  There, in a case involving a carjacking, the expert testified that carjacking was a “ ‘signature’ ” crime of gangs generally, and its commission </w:t>
      </w:r>
      <w:r w:rsidR="00EA1CC6">
        <w:t xml:space="preserve">in that case </w:t>
      </w:r>
      <w:r w:rsidR="003B2745">
        <w:t>would elevate the reputation of the defendant’s gang.  (</w:t>
      </w:r>
      <w:r w:rsidR="003B2745">
        <w:rPr>
          <w:i/>
          <w:iCs/>
        </w:rPr>
        <w:t xml:space="preserve">Id. </w:t>
      </w:r>
      <w:r w:rsidR="003B2745">
        <w:t>at p. 655</w:t>
      </w:r>
      <w:r w:rsidR="00684D9B">
        <w:t xml:space="preserve">; </w:t>
      </w:r>
      <w:r w:rsidR="00684D9B">
        <w:rPr>
          <w:i/>
          <w:iCs/>
        </w:rPr>
        <w:t>id.</w:t>
      </w:r>
      <w:r w:rsidR="00684D9B">
        <w:t xml:space="preserve"> at p</w:t>
      </w:r>
      <w:r w:rsidR="00351817">
        <w:t>. </w:t>
      </w:r>
      <w:r w:rsidR="00684D9B">
        <w:t>656</w:t>
      </w:r>
      <w:r w:rsidR="003B2745">
        <w:t xml:space="preserve">.)  The Court of Appeal concluded the expert </w:t>
      </w:r>
      <w:bookmarkStart w:id="5" w:name="_Hlk109000976"/>
      <w:r w:rsidR="00EA1CC6">
        <w:t xml:space="preserve">opinion was based on speculation, however, </w:t>
      </w:r>
      <w:r w:rsidR="003B2745">
        <w:t xml:space="preserve">finding no evidence the </w:t>
      </w:r>
      <w:r w:rsidRPr="009C5C80" w:rsidR="003B2745">
        <w:t xml:space="preserve">defendant </w:t>
      </w:r>
      <w:r w:rsidR="00265F12">
        <w:t>engaged in</w:t>
      </w:r>
      <w:r w:rsidR="003B2745">
        <w:t xml:space="preserve"> a distinctive carjacking style that could be attributed to his gang; no evidence the defendant made his gang affiliation known or later took credit for the crime; no evidence the victim was a gang member or rival</w:t>
      </w:r>
      <w:r w:rsidR="00AA320C">
        <w:t xml:space="preserve">; and </w:t>
      </w:r>
      <w:r w:rsidR="003B2745">
        <w:t xml:space="preserve">no evidence the defendant’s purpose </w:t>
      </w:r>
      <w:r w:rsidR="001D14AE">
        <w:t>involved</w:t>
      </w:r>
      <w:r w:rsidR="003B2745">
        <w:t xml:space="preserve"> retaliation for past gang activity.  (</w:t>
      </w:r>
      <w:r w:rsidR="003B2745">
        <w:rPr>
          <w:i/>
          <w:iCs/>
        </w:rPr>
        <w:t>I</w:t>
      </w:r>
      <w:r w:rsidRPr="00493AF5" w:rsidR="003B2745">
        <w:rPr>
          <w:i/>
          <w:iCs/>
        </w:rPr>
        <w:t>d</w:t>
      </w:r>
      <w:r w:rsidR="003B2745">
        <w:t>. at pp. 662–663.)</w:t>
      </w:r>
      <w:r w:rsidR="00A801B0">
        <w:t xml:space="preserve">  </w:t>
      </w:r>
      <w:r w:rsidR="00EB0BA3">
        <w:t xml:space="preserve">Across cases, appellate courts have relied on similar </w:t>
      </w:r>
      <w:r w:rsidR="00AA320C">
        <w:t>factors</w:t>
      </w:r>
      <w:r w:rsidR="00AC746E">
        <w:t> </w:t>
      </w:r>
      <w:r w:rsidR="00B3140D">
        <w:t xml:space="preserve">— whether </w:t>
      </w:r>
      <w:r w:rsidR="00A801B0">
        <w:t>the defendant’s gang membership was apparent</w:t>
      </w:r>
      <w:r w:rsidR="00F8545B">
        <w:t xml:space="preserve"> to observers</w:t>
      </w:r>
      <w:r w:rsidR="00A801B0">
        <w:t xml:space="preserve">, whether the victim was a gang member or </w:t>
      </w:r>
      <w:r w:rsidR="00AA320C">
        <w:t xml:space="preserve">rival of </w:t>
      </w:r>
      <w:r w:rsidR="0026136F">
        <w:t xml:space="preserve">the </w:t>
      </w:r>
      <w:r w:rsidR="00AA320C">
        <w:t>defendant’s gang</w:t>
      </w:r>
      <w:r w:rsidR="00A801B0">
        <w:t xml:space="preserve">, and whether </w:t>
      </w:r>
      <w:r w:rsidR="00057C71">
        <w:t xml:space="preserve">retaliation for </w:t>
      </w:r>
      <w:r w:rsidR="00A801B0">
        <w:t xml:space="preserve">prior gang activity </w:t>
      </w:r>
      <w:r w:rsidR="00B3140D">
        <w:t xml:space="preserve">or disputes </w:t>
      </w:r>
      <w:r w:rsidR="00A801B0">
        <w:t xml:space="preserve">prompted the </w:t>
      </w:r>
      <w:r w:rsidR="00B3140D">
        <w:t xml:space="preserve">defendant’s </w:t>
      </w:r>
      <w:r w:rsidR="00A801B0">
        <w:t>crime</w:t>
      </w:r>
      <w:r w:rsidR="00AC746E">
        <w:t> </w:t>
      </w:r>
      <w:r w:rsidR="00A801B0">
        <w:t>—</w:t>
      </w:r>
      <w:r w:rsidR="00B3140D">
        <w:t xml:space="preserve"> </w:t>
      </w:r>
      <w:r w:rsidR="00EB0BA3">
        <w:t xml:space="preserve">to </w:t>
      </w:r>
      <w:r w:rsidR="00B90012">
        <w:t>describ</w:t>
      </w:r>
      <w:r w:rsidR="00EB0BA3">
        <w:t>e</w:t>
      </w:r>
      <w:r w:rsidR="00B90012">
        <w:t xml:space="preserve"> </w:t>
      </w:r>
      <w:r w:rsidR="00BB3898">
        <w:t xml:space="preserve">the limits of </w:t>
      </w:r>
      <w:r w:rsidR="0026136F">
        <w:t xml:space="preserve">reputation evidence </w:t>
      </w:r>
      <w:r w:rsidR="00BB3898">
        <w:t xml:space="preserve">and </w:t>
      </w:r>
      <w:r w:rsidR="00B90012">
        <w:t>ensur</w:t>
      </w:r>
      <w:r w:rsidR="00EB0BA3">
        <w:t>e</w:t>
      </w:r>
      <w:r w:rsidR="00B90012">
        <w:t xml:space="preserve"> that </w:t>
      </w:r>
      <w:r w:rsidR="00BB3898">
        <w:t xml:space="preserve">it </w:t>
      </w:r>
      <w:r w:rsidR="0026136F">
        <w:t xml:space="preserve">is </w:t>
      </w:r>
      <w:r w:rsidR="00E6706E">
        <w:t xml:space="preserve">grounded </w:t>
      </w:r>
      <w:r w:rsidR="0026136F">
        <w:t xml:space="preserve">in specific facts </w:t>
      </w:r>
      <w:r w:rsidR="00E6706E">
        <w:t xml:space="preserve">that show the </w:t>
      </w:r>
      <w:r w:rsidR="0026136F">
        <w:t>defendant</w:t>
      </w:r>
      <w:r w:rsidR="00E6706E">
        <w:t xml:space="preserve"> acted on behalf of a gang </w:t>
      </w:r>
      <w:r w:rsidR="00EB0BA3">
        <w:t>rather than</w:t>
      </w:r>
      <w:r w:rsidR="00B90012">
        <w:t xml:space="preserve"> </w:t>
      </w:r>
      <w:r w:rsidR="00E6706E">
        <w:t>for personal reasons</w:t>
      </w:r>
      <w:r w:rsidR="0026136F">
        <w:t xml:space="preserve">. </w:t>
      </w:r>
      <w:r w:rsidR="00816FBB">
        <w:t xml:space="preserve"> </w:t>
      </w:r>
      <w:r w:rsidR="0026136F">
        <w:t>(</w:t>
      </w:r>
      <w:r w:rsidR="00EB0BA3">
        <w:t>E</w:t>
      </w:r>
      <w:r w:rsidR="0026136F">
        <w:t xml:space="preserve">.g., </w:t>
      </w:r>
      <w:r w:rsidRPr="00895DA2" w:rsidR="00207D49">
        <w:rPr>
          <w:i/>
          <w:iCs/>
        </w:rPr>
        <w:t>People v. Soriano</w:t>
      </w:r>
      <w:r w:rsidR="00207D49">
        <w:t xml:space="preserve">, </w:t>
      </w:r>
      <w:r w:rsidRPr="00552140" w:rsidR="00207D49">
        <w:rPr>
          <w:i/>
          <w:iCs/>
        </w:rPr>
        <w:t>supra</w:t>
      </w:r>
      <w:r w:rsidR="00207D49">
        <w:t xml:space="preserve">, 65 Cal.App.5th </w:t>
      </w:r>
      <w:r w:rsidR="0026136F">
        <w:t>at p. </w:t>
      </w:r>
      <w:r w:rsidRPr="004D4B6D" w:rsidR="0026136F">
        <w:t>289</w:t>
      </w:r>
      <w:r w:rsidR="00E6706E">
        <w:t xml:space="preserve">; </w:t>
      </w:r>
      <w:r w:rsidRPr="00B42052" w:rsidR="00E6706E">
        <w:rPr>
          <w:i/>
          <w:iCs/>
        </w:rPr>
        <w:t>People v. Perez</w:t>
      </w:r>
      <w:r w:rsidR="00E6706E">
        <w:t xml:space="preserve"> (2017) 18 Cal.App.5th 598, 609</w:t>
      </w:r>
      <w:r w:rsidR="000635AA">
        <w:t xml:space="preserve">; </w:t>
      </w:r>
      <w:r w:rsidRPr="00B42052" w:rsidR="000635AA">
        <w:rPr>
          <w:i/>
          <w:iCs/>
        </w:rPr>
        <w:t>People v. Ramirez</w:t>
      </w:r>
      <w:r w:rsidR="000635AA">
        <w:t xml:space="preserve"> (2016) 244 Cal.App.4th 800, 819</w:t>
      </w:r>
      <w:r w:rsidR="00265F12">
        <w:t xml:space="preserve">; </w:t>
      </w:r>
      <w:r w:rsidRPr="00B42052" w:rsidR="009923C0">
        <w:rPr>
          <w:i/>
          <w:iCs/>
        </w:rPr>
        <w:t>People v. Rios</w:t>
      </w:r>
      <w:r w:rsidR="00BB3898">
        <w:t xml:space="preserve">, </w:t>
      </w:r>
      <w:r w:rsidRPr="00BB3898" w:rsidR="00BB3898">
        <w:rPr>
          <w:i/>
          <w:iCs/>
        </w:rPr>
        <w:t>supra</w:t>
      </w:r>
      <w:r w:rsidR="00BB3898">
        <w:t>,</w:t>
      </w:r>
      <w:r w:rsidR="009923C0">
        <w:t xml:space="preserve"> 222 Cal.App.4th </w:t>
      </w:r>
      <w:r w:rsidR="00BB3898">
        <w:t>at p. </w:t>
      </w:r>
      <w:r w:rsidR="009923C0">
        <w:t>573</w:t>
      </w:r>
      <w:r w:rsidR="00265F12">
        <w:t>.)</w:t>
      </w:r>
      <w:bookmarkEnd w:id="5"/>
      <w:r>
        <w:rPr>
          <w:rStyle w:val="FootnoteReference"/>
        </w:rPr>
        <w:footnoteReference w:id="11"/>
      </w:r>
      <w:r w:rsidR="00E75F45">
        <w:t xml:space="preserve">  </w:t>
      </w:r>
    </w:p>
    <w:p w:rsidR="009C4898" w:rsidP="00EF2F28">
      <w:pPr>
        <w:tabs>
          <w:tab w:val="left" w:pos="720"/>
          <w:tab w:val="left" w:pos="1440"/>
        </w:tabs>
      </w:pPr>
      <w:r w:rsidRPr="004D4B6D">
        <w:tab/>
      </w:r>
      <w:r w:rsidRPr="004D4B6D" w:rsidR="00416973">
        <w:t xml:space="preserve">Some appellate courts have discerned </w:t>
      </w:r>
      <w:r w:rsidRPr="004D4B6D" w:rsidR="006314A5">
        <w:t xml:space="preserve">in </w:t>
      </w:r>
      <w:r w:rsidRPr="004D4B6D" w:rsidR="006314A5">
        <w:rPr>
          <w:i/>
          <w:iCs/>
        </w:rPr>
        <w:t>Albillar</w:t>
      </w:r>
      <w:r w:rsidRPr="004D4B6D" w:rsidR="006314A5">
        <w:t xml:space="preserve"> </w:t>
      </w:r>
      <w:r w:rsidRPr="004D4B6D" w:rsidR="00416973">
        <w:t xml:space="preserve">a broader authorization to rely on </w:t>
      </w:r>
      <w:r w:rsidRPr="004D4B6D" w:rsidR="00F00B1C">
        <w:t>generalized reputation testimony</w:t>
      </w:r>
      <w:r w:rsidR="00E94870">
        <w:t xml:space="preserve">.  This overreads our opinion in that case; </w:t>
      </w:r>
      <w:r w:rsidRPr="004D4B6D" w:rsidR="00F00B1C">
        <w:rPr>
          <w:i/>
          <w:iCs/>
        </w:rPr>
        <w:t xml:space="preserve">Albillar </w:t>
      </w:r>
      <w:r w:rsidRPr="004D4B6D" w:rsidR="00F00B1C">
        <w:t xml:space="preserve">is best understood in light of </w:t>
      </w:r>
      <w:r w:rsidR="00184E63">
        <w:t>its particular factual context</w:t>
      </w:r>
      <w:r w:rsidRPr="004D4B6D" w:rsidR="000F3017">
        <w:t>.</w:t>
      </w:r>
    </w:p>
    <w:p w:rsidR="006D03BA" w:rsidRPr="004D4B6D" w:rsidP="00EF2F28">
      <w:pPr>
        <w:tabs>
          <w:tab w:val="left" w:pos="720"/>
          <w:tab w:val="left" w:pos="1440"/>
        </w:tabs>
      </w:pPr>
      <w:r>
        <w:tab/>
      </w:r>
      <w:r w:rsidR="008514EC">
        <w:t>W</w:t>
      </w:r>
      <w:r w:rsidRPr="004D4B6D">
        <w:t xml:space="preserve">e </w:t>
      </w:r>
      <w:r>
        <w:t xml:space="preserve">did </w:t>
      </w:r>
      <w:r w:rsidRPr="004D4B6D">
        <w:t xml:space="preserve">state </w:t>
      </w:r>
      <w:r w:rsidR="008514EC">
        <w:t xml:space="preserve">in </w:t>
      </w:r>
      <w:r w:rsidR="008514EC">
        <w:rPr>
          <w:i/>
          <w:iCs/>
        </w:rPr>
        <w:t>Albillar</w:t>
      </w:r>
      <w:r w:rsidR="008514EC">
        <w:t xml:space="preserve"> </w:t>
      </w:r>
      <w:r w:rsidRPr="004D4B6D">
        <w:t>that “[e]xpert opinion that particular criminal conduct benefited a gang by enhancing its reputation for viciousness can be sufficient to raise the inference that the conduct was ‘committed for the benefit of . . . a[] criminal street gang.’ ”  (</w:t>
      </w:r>
      <w:r w:rsidRPr="004D4B6D">
        <w:rPr>
          <w:i/>
          <w:iCs/>
        </w:rPr>
        <w:t>Albillar</w:t>
      </w:r>
      <w:r w:rsidRPr="004D4B6D">
        <w:t xml:space="preserve">, </w:t>
      </w:r>
      <w:r w:rsidRPr="004D4B6D">
        <w:rPr>
          <w:i/>
          <w:iCs/>
        </w:rPr>
        <w:t>supra</w:t>
      </w:r>
      <w:r w:rsidRPr="004D4B6D">
        <w:t xml:space="preserve">, 51 Cal.4th at p. 63.)  </w:t>
      </w:r>
      <w:r w:rsidRPr="004D4B6D" w:rsidR="00406F20">
        <w:t xml:space="preserve">But the </w:t>
      </w:r>
      <w:r w:rsidR="009F50E3">
        <w:t>showing</w:t>
      </w:r>
      <w:r w:rsidRPr="004D4B6D" w:rsidR="00406F20">
        <w:t xml:space="preserve"> in t</w:t>
      </w:r>
      <w:r w:rsidRPr="004D4B6D">
        <w:t xml:space="preserve">hat case included evidence that three gang members </w:t>
      </w:r>
      <w:r w:rsidRPr="004D4B6D" w:rsidR="007C4EBD">
        <w:t xml:space="preserve">together </w:t>
      </w:r>
      <w:r w:rsidRPr="004D4B6D">
        <w:t>raped a young woman in an apartment “ ‘saturated’ ” with their gang paraphernalia (</w:t>
      </w:r>
      <w:r w:rsidRPr="004D4B6D">
        <w:rPr>
          <w:i/>
          <w:iCs/>
        </w:rPr>
        <w:t>id</w:t>
      </w:r>
      <w:r w:rsidRPr="004D4B6D">
        <w:t>. at p. 62) and then attempted to leverage their violence and gang membership when threatening the victim to stop her from reporting their crimes (</w:t>
      </w:r>
      <w:r w:rsidRPr="004D4B6D">
        <w:rPr>
          <w:i/>
          <w:iCs/>
        </w:rPr>
        <w:t>id</w:t>
      </w:r>
      <w:r w:rsidRPr="004D4B6D">
        <w:t>. at p.</w:t>
      </w:r>
      <w:r w:rsidRPr="004D4B6D" w:rsidR="00966F53">
        <w:t> </w:t>
      </w:r>
      <w:r w:rsidRPr="004D4B6D">
        <w:t xml:space="preserve">53).  </w:t>
      </w:r>
      <w:r w:rsidR="004B1F46">
        <w:t xml:space="preserve">Unlike </w:t>
      </w:r>
      <w:r w:rsidRPr="00210B52" w:rsidR="00210B52">
        <w:t>expert testimony about the reputational benefits of crime in genera</w:t>
      </w:r>
      <w:r w:rsidR="0094775A">
        <w:t>l</w:t>
      </w:r>
      <w:r w:rsidR="00C10A16">
        <w:t xml:space="preserve">, </w:t>
      </w:r>
      <w:r w:rsidR="00AC2B39">
        <w:t xml:space="preserve">the evidence in </w:t>
      </w:r>
      <w:r w:rsidRPr="00303790" w:rsidR="00C10A16">
        <w:rPr>
          <w:i/>
          <w:iCs/>
        </w:rPr>
        <w:t>Albillar</w:t>
      </w:r>
      <w:r w:rsidR="00C10A16">
        <w:t xml:space="preserve"> </w:t>
      </w:r>
      <w:r w:rsidR="00AC2B39">
        <w:t xml:space="preserve">demonstrated </w:t>
      </w:r>
      <w:r w:rsidR="00C10A16">
        <w:t xml:space="preserve">a connection </w:t>
      </w:r>
      <w:r w:rsidR="009F50E3">
        <w:t>between the</w:t>
      </w:r>
      <w:r w:rsidR="0094775A">
        <w:t xml:space="preserve"> </w:t>
      </w:r>
      <w:r w:rsidRPr="00E73F61" w:rsidR="0094775A">
        <w:t xml:space="preserve">gang’s reputation for viciousness and the </w:t>
      </w:r>
      <w:r w:rsidRPr="00402602" w:rsidR="0094775A">
        <w:t>specific</w:t>
      </w:r>
      <w:r w:rsidRPr="00E73F61" w:rsidR="0094775A">
        <w:t xml:space="preserve"> ways </w:t>
      </w:r>
      <w:r w:rsidR="00A4685B">
        <w:t xml:space="preserve">the gang </w:t>
      </w:r>
      <w:r w:rsidRPr="00E73F61" w:rsidR="0094775A">
        <w:t>benefit</w:t>
      </w:r>
      <w:r w:rsidR="0094775A">
        <w:t>ed</w:t>
      </w:r>
      <w:r w:rsidRPr="00E73F61" w:rsidR="0094775A">
        <w:t xml:space="preserve"> from that reputation</w:t>
      </w:r>
      <w:r w:rsidR="0094775A">
        <w:t xml:space="preserve">, namely, </w:t>
      </w:r>
      <w:r w:rsidR="00AC2B39">
        <w:t xml:space="preserve">the intimidation of </w:t>
      </w:r>
      <w:r w:rsidR="006F5D46">
        <w:t xml:space="preserve">specific, identifiable </w:t>
      </w:r>
      <w:r w:rsidR="00210B52">
        <w:t>witness</w:t>
      </w:r>
      <w:r w:rsidR="00AC2B39">
        <w:t>es</w:t>
      </w:r>
      <w:r w:rsidR="00210B52">
        <w:t xml:space="preserve"> </w:t>
      </w:r>
      <w:r w:rsidRPr="00210B52" w:rsidR="00210B52">
        <w:t xml:space="preserve">and </w:t>
      </w:r>
      <w:r w:rsidR="0094775A">
        <w:t>the possibility th</w:t>
      </w:r>
      <w:r w:rsidR="00C51BAC">
        <w:t>at</w:t>
      </w:r>
      <w:r w:rsidR="0094775A">
        <w:t xml:space="preserve"> gang members </w:t>
      </w:r>
      <w:r w:rsidR="00EF2F28">
        <w:t>might</w:t>
      </w:r>
      <w:r w:rsidR="0094775A">
        <w:t xml:space="preserve"> </w:t>
      </w:r>
      <w:r w:rsidR="00E73F61">
        <w:t xml:space="preserve">avoid </w:t>
      </w:r>
      <w:r w:rsidRPr="00210B52" w:rsidR="00210B52">
        <w:t xml:space="preserve">prosecution </w:t>
      </w:r>
      <w:r w:rsidR="00EF2F28">
        <w:t>or</w:t>
      </w:r>
      <w:r w:rsidRPr="00210B52" w:rsidR="00210B52">
        <w:t xml:space="preserve"> conviction</w:t>
      </w:r>
      <w:r w:rsidR="0094775A">
        <w:t xml:space="preserve"> for their crimes.</w:t>
      </w:r>
      <w:r w:rsidR="00C10A16">
        <w:t xml:space="preserve">  And </w:t>
      </w:r>
      <w:r w:rsidRPr="00474DE8" w:rsidR="00C10A16">
        <w:rPr>
          <w:i/>
          <w:iCs/>
        </w:rPr>
        <w:t>Albillar</w:t>
      </w:r>
      <w:r w:rsidR="00C10A16">
        <w:t xml:space="preserve"> also highlighted the benefit the gang members derived from acting together (</w:t>
      </w:r>
      <w:r w:rsidRPr="009119C2" w:rsidR="009119C2">
        <w:rPr>
          <w:i/>
          <w:iCs/>
        </w:rPr>
        <w:t>id.</w:t>
      </w:r>
      <w:r w:rsidR="00C10A16">
        <w:t xml:space="preserve"> at p. 62)</w:t>
      </w:r>
      <w:r w:rsidR="00415AEF">
        <w:t xml:space="preserve">, indicating that </w:t>
      </w:r>
      <w:r w:rsidR="00D10AA6">
        <w:t xml:space="preserve">evidence </w:t>
      </w:r>
      <w:r w:rsidR="00C10A16">
        <w:t xml:space="preserve">supporting the </w:t>
      </w:r>
      <w:r w:rsidR="00D10AA6">
        <w:t>association</w:t>
      </w:r>
      <w:r w:rsidR="00530FEE">
        <w:t>al element</w:t>
      </w:r>
      <w:r w:rsidR="00D10AA6">
        <w:t xml:space="preserve"> </w:t>
      </w:r>
      <w:r w:rsidR="00530FEE">
        <w:t xml:space="preserve">of the statute </w:t>
      </w:r>
      <w:r w:rsidR="00D10AA6">
        <w:t xml:space="preserve">provided further </w:t>
      </w:r>
      <w:r w:rsidR="002A5413">
        <w:t xml:space="preserve">circumstantial evidence </w:t>
      </w:r>
      <w:r w:rsidR="00D10AA6">
        <w:t xml:space="preserve">of </w:t>
      </w:r>
      <w:r w:rsidR="00473FF9">
        <w:t>a</w:t>
      </w:r>
      <w:r w:rsidR="00D10AA6">
        <w:t xml:space="preserve"> benefit</w:t>
      </w:r>
      <w:r w:rsidR="00473FF9">
        <w:t xml:space="preserve"> to the gang</w:t>
      </w:r>
      <w:r w:rsidR="00D10AA6">
        <w:t xml:space="preserve">.  </w:t>
      </w:r>
      <w:r w:rsidRPr="004D4B6D">
        <w:rPr>
          <w:i/>
          <w:iCs/>
        </w:rPr>
        <w:t>Albillar</w:t>
      </w:r>
      <w:r w:rsidRPr="004D4B6D">
        <w:t xml:space="preserve"> therefore did not present a situation in which reputation evidence alone satisfied the </w:t>
      </w:r>
      <w:r w:rsidRPr="004D4B6D" w:rsidR="00A52F47">
        <w:t xml:space="preserve">gang enhancement </w:t>
      </w:r>
      <w:r w:rsidRPr="004D4B6D">
        <w:t xml:space="preserve">statute </w:t>
      </w:r>
      <w:r w:rsidRPr="004D4B6D" w:rsidR="007C4EBD">
        <w:t xml:space="preserve">in a case involving a felony committed by a lone actor, </w:t>
      </w:r>
      <w:r w:rsidRPr="004D4B6D">
        <w:t>or where the</w:t>
      </w:r>
      <w:r w:rsidRPr="004D4B6D" w:rsidR="000F0FA2">
        <w:t xml:space="preserve"> jury was left to speculate about the</w:t>
      </w:r>
      <w:r w:rsidRPr="004D4B6D">
        <w:t xml:space="preserve"> target of </w:t>
      </w:r>
      <w:r w:rsidRPr="004D4B6D" w:rsidR="000F0FA2">
        <w:t xml:space="preserve">the </w:t>
      </w:r>
      <w:r w:rsidRPr="004D4B6D">
        <w:t>intimidation by the gang members</w:t>
      </w:r>
      <w:r w:rsidRPr="004D4B6D" w:rsidR="000F0FA2">
        <w:t xml:space="preserve"> or what criminal activity the gang members intended to facilitate</w:t>
      </w:r>
      <w:r w:rsidRPr="004D4B6D">
        <w:t xml:space="preserve">.  </w:t>
      </w:r>
    </w:p>
    <w:p w:rsidR="001A0FEA" w:rsidRPr="004D4B6D" w:rsidP="004D4B6D">
      <w:pPr>
        <w:tabs>
          <w:tab w:val="left" w:pos="720"/>
          <w:tab w:val="left" w:pos="1440"/>
        </w:tabs>
      </w:pPr>
      <w:r w:rsidRPr="004D4B6D">
        <w:tab/>
      </w:r>
      <w:r w:rsidRPr="004D4B6D" w:rsidR="006314A5">
        <w:t xml:space="preserve">Nor do our other cases offer such authorization.  </w:t>
      </w:r>
      <w:r w:rsidRPr="004D4B6D" w:rsidR="00E7380E">
        <w:t xml:space="preserve">In </w:t>
      </w:r>
      <w:r w:rsidRPr="004D4B6D" w:rsidR="00E7380E">
        <w:rPr>
          <w:i/>
          <w:iCs/>
        </w:rPr>
        <w:t>Gardeley</w:t>
      </w:r>
      <w:r w:rsidRPr="004D4B6D" w:rsidR="00E7380E">
        <w:t xml:space="preserve">, we found </w:t>
      </w:r>
      <w:r w:rsidRPr="004D4B6D" w:rsidR="00410690">
        <w:t>evidence supporting the sectio</w:t>
      </w:r>
      <w:r w:rsidRPr="004D4B6D" w:rsidR="003B7B29">
        <w:t xml:space="preserve">n </w:t>
      </w:r>
      <w:r w:rsidRPr="004D4B6D" w:rsidR="000A48B7">
        <w:t>186.22</w:t>
      </w:r>
      <w:r w:rsidRPr="004D4B6D" w:rsidR="00410690">
        <w:t xml:space="preserve">(b) enhancement </w:t>
      </w:r>
      <w:r w:rsidRPr="004D4B6D" w:rsidR="00E7380E">
        <w:t xml:space="preserve">sufficient when </w:t>
      </w:r>
      <w:r w:rsidRPr="004D4B6D" w:rsidR="00410690">
        <w:t xml:space="preserve">expert testimony </w:t>
      </w:r>
      <w:r w:rsidRPr="004D4B6D" w:rsidR="00E7380E">
        <w:t xml:space="preserve">provided a link between the crime committed and intimidation that was relevant to specific gang activities.  </w:t>
      </w:r>
      <w:r w:rsidRPr="004D4B6D" w:rsidR="005A02F9">
        <w:t xml:space="preserve">There, </w:t>
      </w:r>
      <w:r w:rsidRPr="004D4B6D" w:rsidR="000F4966">
        <w:t>gang members assaulted a stranger who entered an area where they were selling cocaine; expert testimony established that the gang’s primary purpose was to sell narcotics and that such violent assaults intimidated residents in the gang’s territory, allowing its members to maintain their drug-dealing stronghold.  (</w:t>
      </w:r>
      <w:r w:rsidRPr="004D4B6D" w:rsidR="000F4966">
        <w:rPr>
          <w:i/>
          <w:iCs/>
        </w:rPr>
        <w:t>People v. Gardeley</w:t>
      </w:r>
      <w:r w:rsidRPr="004D4B6D" w:rsidR="000F4966">
        <w:t xml:space="preserve">, </w:t>
      </w:r>
      <w:r w:rsidRPr="004D4B6D" w:rsidR="000F4966">
        <w:rPr>
          <w:i/>
          <w:iCs/>
        </w:rPr>
        <w:t>supra</w:t>
      </w:r>
      <w:r w:rsidRPr="004D4B6D" w:rsidR="000F4966">
        <w:t>, 14 Cal.4th at pp. 612</w:t>
      </w:r>
      <w:r w:rsidRPr="004D4B6D" w:rsidR="00B33BB5">
        <w:t>–613</w:t>
      </w:r>
      <w:r w:rsidRPr="004D4B6D" w:rsidR="000F4966">
        <w:t>, 619.)</w:t>
      </w:r>
    </w:p>
    <w:p w:rsidR="0049636A" w:rsidRPr="004D4B6D" w:rsidP="004D4B6D">
      <w:pPr>
        <w:tabs>
          <w:tab w:val="left" w:pos="720"/>
          <w:tab w:val="left" w:pos="1440"/>
        </w:tabs>
      </w:pPr>
      <w:r w:rsidRPr="004D4B6D">
        <w:tab/>
      </w:r>
      <w:r w:rsidRPr="004D4B6D" w:rsidR="005951CF">
        <w:t xml:space="preserve">And </w:t>
      </w:r>
      <w:r w:rsidRPr="004D4B6D">
        <w:t xml:space="preserve">in </w:t>
      </w:r>
      <w:r w:rsidRPr="004D4B6D">
        <w:rPr>
          <w:i/>
          <w:iCs/>
        </w:rPr>
        <w:t>People v. Rivera</w:t>
      </w:r>
      <w:r w:rsidRPr="004D4B6D">
        <w:t xml:space="preserve"> (2019) 7 Cal.5th 306, we found evidence sufficient to establish “that Rivera specifically intended the murder </w:t>
      </w:r>
      <w:r w:rsidR="008C278E">
        <w:t>[</w:t>
      </w:r>
      <w:r w:rsidRPr="004D4B6D">
        <w:t>of a police officer] to benefit and promote the gang” when it showed that Rivera was an active gang member, that he participated in and pleaded guilty to offenses related to the gang’s drug trade, that the officer killed had been leading an investigation of the gang’s drug trade, and that the officer had questioned Rivera and searched his home regarding the investigation.  (</w:t>
      </w:r>
      <w:r w:rsidRPr="004D4B6D">
        <w:rPr>
          <w:i/>
          <w:iCs/>
        </w:rPr>
        <w:t>Id</w:t>
      </w:r>
      <w:r w:rsidRPr="004D4B6D">
        <w:t>. at p. 332</w:t>
      </w:r>
      <w:r w:rsidRPr="004D4B6D" w:rsidR="00B33BB5">
        <w:t xml:space="preserve">; see </w:t>
      </w:r>
      <w:r w:rsidRPr="004D4B6D" w:rsidR="00B33BB5">
        <w:rPr>
          <w:i/>
          <w:iCs/>
        </w:rPr>
        <w:t>id.</w:t>
      </w:r>
      <w:r w:rsidRPr="004D4B6D" w:rsidR="00B33BB5">
        <w:t xml:space="preserve"> at pp. 331–332</w:t>
      </w:r>
      <w:r w:rsidRPr="004D4B6D">
        <w:t>.)  These facts not only connected Rivera’s actions to the criminal activities of his gang and its members but also suggested “substantial participation” in those activities that would support an inference of knowledge and intent to facilitate them</w:t>
      </w:r>
      <w:r w:rsidRPr="004D4B6D" w:rsidR="00E7479D">
        <w:t xml:space="preserve"> through the killing of the investigating officer</w:t>
      </w:r>
      <w:r w:rsidRPr="004D4B6D">
        <w:t>.  (</w:t>
      </w:r>
      <w:r w:rsidRPr="004D4B6D">
        <w:rPr>
          <w:i/>
          <w:iCs/>
        </w:rPr>
        <w:t>People v. Johnson</w:t>
      </w:r>
      <w:r w:rsidRPr="004D4B6D">
        <w:t xml:space="preserve"> (2016) 62 Cal.4th 600, 630.)</w:t>
      </w:r>
      <w:r w:rsidRPr="004D4B6D" w:rsidR="0077268A">
        <w:rPr>
          <w:rStyle w:val="FootnoteReference"/>
        </w:rPr>
        <w:t xml:space="preserve"> </w:t>
      </w:r>
    </w:p>
    <w:p w:rsidR="00410690" w:rsidRPr="004D4B6D">
      <w:pPr>
        <w:tabs>
          <w:tab w:val="left" w:pos="720"/>
          <w:tab w:val="left" w:pos="1440"/>
        </w:tabs>
      </w:pPr>
      <w:r w:rsidRPr="004D4B6D">
        <w:tab/>
      </w:r>
      <w:r w:rsidR="00A34BB2">
        <w:t>In the end, a</w:t>
      </w:r>
      <w:r w:rsidRPr="004D4B6D" w:rsidR="00B13F89">
        <w:t xml:space="preserve">ny inference that </w:t>
      </w:r>
      <w:r w:rsidR="006924C3">
        <w:t xml:space="preserve">might otherwise be drawn from testimony that </w:t>
      </w:r>
      <w:r w:rsidRPr="004D4B6D" w:rsidR="00B13F89">
        <w:t>“particular criminal conduct benefited a gang by enhancing its reputation for viciousness” (</w:t>
      </w:r>
      <w:r w:rsidRPr="004D4B6D" w:rsidR="00186DD4">
        <w:rPr>
          <w:i/>
          <w:iCs/>
        </w:rPr>
        <w:t>Albillar</w:t>
      </w:r>
      <w:r w:rsidRPr="004D4B6D" w:rsidR="00186DD4">
        <w:t xml:space="preserve">, </w:t>
      </w:r>
      <w:r w:rsidRPr="004D4B6D" w:rsidR="00186DD4">
        <w:rPr>
          <w:i/>
          <w:iCs/>
        </w:rPr>
        <w:t>supra</w:t>
      </w:r>
      <w:r w:rsidRPr="004D4B6D" w:rsidR="00186DD4">
        <w:t xml:space="preserve">, 51 Cal.4th </w:t>
      </w:r>
      <w:r w:rsidRPr="004D4B6D" w:rsidR="00B13F89">
        <w:t>at p.</w:t>
      </w:r>
      <w:r w:rsidRPr="004D4B6D" w:rsidR="00966F53">
        <w:t> </w:t>
      </w:r>
      <w:r w:rsidRPr="004D4B6D" w:rsidR="00B13F89">
        <w:t xml:space="preserve">63) must be cabined </w:t>
      </w:r>
      <w:r w:rsidR="00F06904">
        <w:t xml:space="preserve">so that </w:t>
      </w:r>
      <w:r w:rsidR="00F25EE3">
        <w:t xml:space="preserve">section 186.22(b) </w:t>
      </w:r>
      <w:r w:rsidR="00057C71">
        <w:t xml:space="preserve">prosecutions </w:t>
      </w:r>
      <w:r w:rsidR="002D2C38">
        <w:t>avoid</w:t>
      </w:r>
      <w:r w:rsidR="00F06904">
        <w:t xml:space="preserve"> </w:t>
      </w:r>
      <w:r w:rsidR="00F25EE3">
        <w:t xml:space="preserve">punishing </w:t>
      </w:r>
      <w:r w:rsidR="002D2C38">
        <w:t xml:space="preserve">mere </w:t>
      </w:r>
      <w:r w:rsidR="00F25EE3">
        <w:t>gang membershi</w:t>
      </w:r>
      <w:r w:rsidR="00F51E15">
        <w:t>p, as opposed to gang-related conduct.</w:t>
      </w:r>
      <w:r w:rsidR="00E704D0">
        <w:t xml:space="preserve">  </w:t>
      </w:r>
      <w:r w:rsidR="000C2258">
        <w:t>I</w:t>
      </w:r>
      <w:r w:rsidR="00A34BB2">
        <w:t xml:space="preserve">n </w:t>
      </w:r>
      <w:r w:rsidRPr="004D4B6D" w:rsidR="009F30E8">
        <w:t xml:space="preserve">a case involving a gang member who has acted alone in the commission of a felony, </w:t>
      </w:r>
      <w:r w:rsidRPr="004D4B6D" w:rsidR="007B3ED2">
        <w:t>t</w:t>
      </w:r>
      <w:r w:rsidRPr="004D4B6D">
        <w:t>he</w:t>
      </w:r>
      <w:r w:rsidR="00647152">
        <w:t>re must be</w:t>
      </w:r>
      <w:r w:rsidRPr="004D4B6D">
        <w:t xml:space="preserve"> </w:t>
      </w:r>
      <w:r w:rsidRPr="004D4B6D" w:rsidR="00DA6CCC">
        <w:t xml:space="preserve">evidence </w:t>
      </w:r>
      <w:r w:rsidRPr="004D4B6D" w:rsidR="00D95CAD">
        <w:t>connect</w:t>
      </w:r>
      <w:r w:rsidR="00647152">
        <w:t>ing</w:t>
      </w:r>
      <w:r w:rsidRPr="004D4B6D" w:rsidR="00DA6CCC">
        <w:t xml:space="preserve"> </w:t>
      </w:r>
      <w:r w:rsidR="009C58AC">
        <w:t xml:space="preserve">testimony about any general </w:t>
      </w:r>
      <w:r w:rsidRPr="004D4B6D" w:rsidR="00DA6CCC">
        <w:t xml:space="preserve">reputational advantage </w:t>
      </w:r>
      <w:r w:rsidR="009C58AC">
        <w:t xml:space="preserve">that might accrue to the gang because of its members’ crimes to the </w:t>
      </w:r>
      <w:r w:rsidRPr="004D4B6D" w:rsidR="00813CBB">
        <w:t xml:space="preserve">defendant’s </w:t>
      </w:r>
      <w:r w:rsidR="009C58AC">
        <w:t>commi</w:t>
      </w:r>
      <w:r w:rsidR="002C0B7D">
        <w:t xml:space="preserve">ssion of </w:t>
      </w:r>
      <w:r w:rsidR="009C58AC">
        <w:t xml:space="preserve">a crime </w:t>
      </w:r>
      <w:r w:rsidR="00647152">
        <w:t xml:space="preserve">on a particular occasion </w:t>
      </w:r>
      <w:r w:rsidR="009C58AC">
        <w:t xml:space="preserve">for the benefit of the gang, and </w:t>
      </w:r>
      <w:r w:rsidR="002C0B7D">
        <w:t xml:space="preserve">with the specific intent </w:t>
      </w:r>
      <w:r w:rsidR="009C58AC">
        <w:t xml:space="preserve">to </w:t>
      </w:r>
      <w:r w:rsidRPr="004D4B6D" w:rsidR="00DA6CCC">
        <w:t xml:space="preserve">promote </w:t>
      </w:r>
      <w:r w:rsidRPr="004D4B6D" w:rsidR="00036FF9">
        <w:t>criminal activities</w:t>
      </w:r>
      <w:r w:rsidRPr="004D4B6D" w:rsidR="00C73B8D">
        <w:t xml:space="preserve"> </w:t>
      </w:r>
      <w:r w:rsidRPr="004D4B6D" w:rsidR="00813CBB">
        <w:t xml:space="preserve">by </w:t>
      </w:r>
      <w:r w:rsidRPr="004D4B6D" w:rsidR="00545F82">
        <w:t xml:space="preserve">the </w:t>
      </w:r>
      <w:r w:rsidRPr="004D4B6D" w:rsidR="00572ADB">
        <w:t>gang’s members</w:t>
      </w:r>
      <w:r w:rsidRPr="004D4B6D" w:rsidR="00501126">
        <w:t xml:space="preserve">.  </w:t>
      </w:r>
    </w:p>
    <w:p w:rsidR="001A2F06" w:rsidRPr="004D4B6D" w:rsidP="004D4B6D">
      <w:pPr>
        <w:pStyle w:val="Heading1"/>
      </w:pPr>
      <w:r w:rsidRPr="004D4B6D">
        <w:t>I</w:t>
      </w:r>
      <w:r w:rsidRPr="004D4B6D" w:rsidR="001A0FEA">
        <w:t>V</w:t>
      </w:r>
      <w:r w:rsidRPr="004D4B6D">
        <w:t>.</w:t>
      </w:r>
    </w:p>
    <w:p w:rsidR="00613574" w:rsidP="000E32B2">
      <w:pPr>
        <w:tabs>
          <w:tab w:val="left" w:pos="720"/>
          <w:tab w:val="left" w:pos="1440"/>
        </w:tabs>
      </w:pPr>
      <w:r w:rsidRPr="004D4B6D">
        <w:tab/>
      </w:r>
      <w:r w:rsidRPr="004D4B6D" w:rsidR="004D0743">
        <w:t xml:space="preserve">With all this in mind, we turn </w:t>
      </w:r>
      <w:r w:rsidRPr="004D4B6D" w:rsidR="00361D02">
        <w:t xml:space="preserve">to the specifics of </w:t>
      </w:r>
      <w:r w:rsidRPr="004D4B6D" w:rsidR="00A14D2E">
        <w:t xml:space="preserve">Renteria’s </w:t>
      </w:r>
      <w:r w:rsidRPr="004D4B6D" w:rsidR="00361D02">
        <w:t xml:space="preserve">challenge </w:t>
      </w:r>
      <w:r w:rsidRPr="004D4B6D" w:rsidR="00A14D2E">
        <w:t xml:space="preserve">to the imposition of gang </w:t>
      </w:r>
      <w:r w:rsidR="002C0B7D">
        <w:t>penalties</w:t>
      </w:r>
      <w:r w:rsidRPr="004D4B6D" w:rsidR="00A14D2E">
        <w:t xml:space="preserve"> for shooting at two inhabited dwellings</w:t>
      </w:r>
      <w:r w:rsidRPr="004D4B6D" w:rsidR="00361D02">
        <w:t xml:space="preserve">.  </w:t>
      </w:r>
      <w:r w:rsidRPr="004D4B6D">
        <w:t>“In considering a challenge to the sufficiency of the evidence to support an enhancement, we review the entire record in the light most favorable to the judgment to determine whether it contains substantial evidence</w:t>
      </w:r>
      <w:r w:rsidRPr="004D4B6D" w:rsidR="00966F53">
        <w:t> </w:t>
      </w:r>
      <w:r w:rsidRPr="004D4B6D">
        <w:t>— that is, evidence that is reasonable, credible, and of solid value</w:t>
      </w:r>
      <w:r w:rsidRPr="004D4B6D" w:rsidR="00966F53">
        <w:t> </w:t>
      </w:r>
      <w:r w:rsidRPr="004D4B6D">
        <w:t>— from which a reasonable trier of fact could find the defendant guilty beyond a reasonable doubt.</w:t>
      </w:r>
      <w:r w:rsidRPr="004D4B6D" w:rsidR="00384B2B">
        <w:t xml:space="preserve">  [Citation.]  We presume every fact in support of the judgment the trier of fact could have reasonably deduced from the evidence.  [Citation.]  If the circumstances reasonably justify the trier of fact’s findings, reversal of the judgment is not warranted simply because the circumstances might also reasonably be reconciled with a contrary finding.  [Citation.]  ‘A reviewing court neither reweighs evidence nor reevaluates a witness’s credibility.’ ”  </w:t>
      </w:r>
      <w:r w:rsidRPr="004D4B6D">
        <w:t>(</w:t>
      </w:r>
      <w:r w:rsidRPr="004D4B6D">
        <w:rPr>
          <w:i/>
          <w:iCs/>
        </w:rPr>
        <w:t>Albillar</w:t>
      </w:r>
      <w:r w:rsidRPr="004D4B6D">
        <w:t xml:space="preserve">, </w:t>
      </w:r>
      <w:r w:rsidRPr="004D4B6D">
        <w:rPr>
          <w:i/>
          <w:iCs/>
        </w:rPr>
        <w:t>supra</w:t>
      </w:r>
      <w:r w:rsidRPr="004D4B6D">
        <w:t>, 51 Cal.4th at p</w:t>
      </w:r>
      <w:r w:rsidRPr="004D4B6D" w:rsidR="00857DA3">
        <w:t>p</w:t>
      </w:r>
      <w:r w:rsidRPr="004D4B6D">
        <w:t>. 59–60.)</w:t>
      </w:r>
      <w:r w:rsidR="000F3013">
        <w:t xml:space="preserve">  </w:t>
      </w:r>
    </w:p>
    <w:p w:rsidR="00013683" w:rsidP="000E32B2">
      <w:pPr>
        <w:tabs>
          <w:tab w:val="left" w:pos="720"/>
          <w:tab w:val="left" w:pos="1440"/>
        </w:tabs>
      </w:pPr>
      <w:r>
        <w:tab/>
      </w:r>
      <w:r w:rsidRPr="000F3013" w:rsidR="000F3013">
        <w:t xml:space="preserve">As </w:t>
      </w:r>
      <w:r w:rsidR="000F3013">
        <w:t xml:space="preserve">this </w:t>
      </w:r>
      <w:r w:rsidR="00041917">
        <w:t>guidance</w:t>
      </w:r>
      <w:r w:rsidR="000F3013">
        <w:t xml:space="preserve"> indicates, and as we reiterated recently, </w:t>
      </w:r>
      <w:r w:rsidRPr="000F3013" w:rsidR="000F3013">
        <w:t xml:space="preserve">sufficiency determinations necessarily take account of </w:t>
      </w:r>
      <w:r w:rsidR="000F3013">
        <w:t xml:space="preserve">the </w:t>
      </w:r>
      <w:r w:rsidRPr="000F3013" w:rsidR="000F3013">
        <w:t>“standard of proof that applied before the trial court” (</w:t>
      </w:r>
      <w:r w:rsidRPr="00303790" w:rsidR="000F3013">
        <w:rPr>
          <w:i/>
          <w:iCs/>
        </w:rPr>
        <w:t>Conservatorship of O.B.</w:t>
      </w:r>
      <w:r w:rsidRPr="000F3013" w:rsidR="000F3013">
        <w:t xml:space="preserve"> (2020) 9 Cal.5th 989</w:t>
      </w:r>
      <w:r w:rsidR="00AC746E">
        <w:t>, 1008</w:t>
      </w:r>
      <w:r w:rsidR="000F3013">
        <w:t xml:space="preserve">); </w:t>
      </w:r>
      <w:r w:rsidR="007A0667">
        <w:t xml:space="preserve">that is why </w:t>
      </w:r>
      <w:r w:rsidR="000F3013">
        <w:t xml:space="preserve">in criminal cases we </w:t>
      </w:r>
      <w:r w:rsidR="007A0667">
        <w:t xml:space="preserve">must </w:t>
      </w:r>
      <w:r w:rsidR="00041917">
        <w:t xml:space="preserve">ensure the record demonstrates </w:t>
      </w:r>
      <w:r w:rsidR="007A0667">
        <w:t xml:space="preserve">substantial </w:t>
      </w:r>
      <w:r w:rsidR="000F3013">
        <w:t xml:space="preserve">evidence to establish </w:t>
      </w:r>
      <w:r w:rsidR="007A0667">
        <w:t xml:space="preserve">guilt </w:t>
      </w:r>
      <w:r w:rsidRPr="000F3013" w:rsidR="000F3013">
        <w:t>beyond a reasonable doubt</w:t>
      </w:r>
      <w:r w:rsidR="007A0667">
        <w:t xml:space="preserve"> (</w:t>
      </w:r>
      <w:r w:rsidRPr="00303790" w:rsidR="007A0667">
        <w:rPr>
          <w:i/>
          <w:iCs/>
        </w:rPr>
        <w:t>i</w:t>
      </w:r>
      <w:r w:rsidR="00AC746E">
        <w:rPr>
          <w:i/>
          <w:iCs/>
        </w:rPr>
        <w:t>bi</w:t>
      </w:r>
      <w:r w:rsidRPr="00303790" w:rsidR="000F3013">
        <w:rPr>
          <w:i/>
          <w:iCs/>
        </w:rPr>
        <w:t>d</w:t>
      </w:r>
      <w:r w:rsidRPr="000F3013" w:rsidR="000F3013">
        <w:t xml:space="preserve">.; see also </w:t>
      </w:r>
      <w:r w:rsidRPr="00303790" w:rsidR="000F3013">
        <w:rPr>
          <w:i/>
          <w:iCs/>
        </w:rPr>
        <w:t>People v. Soriano</w:t>
      </w:r>
      <w:r w:rsidR="005123D3">
        <w:t xml:space="preserve">, </w:t>
      </w:r>
      <w:r w:rsidRPr="002D2C38" w:rsidR="005123D3">
        <w:rPr>
          <w:i/>
          <w:iCs/>
        </w:rPr>
        <w:t>supra</w:t>
      </w:r>
      <w:r w:rsidR="005123D3">
        <w:t>,</w:t>
      </w:r>
      <w:r w:rsidRPr="000F3013" w:rsidR="000F3013">
        <w:t xml:space="preserve"> 65 Cal.App.5th </w:t>
      </w:r>
      <w:r w:rsidR="005123D3">
        <w:t>at p. </w:t>
      </w:r>
      <w:r w:rsidRPr="000F3013" w:rsidR="000F3013">
        <w:t xml:space="preserve">281 [reiterating </w:t>
      </w:r>
      <w:r w:rsidR="007A0667">
        <w:t xml:space="preserve">the standard of proof </w:t>
      </w:r>
      <w:r w:rsidRPr="000F3013" w:rsidR="000F3013">
        <w:t>in reviewing sufficiency of gang enhancement evidence])</w:t>
      </w:r>
      <w:r w:rsidR="007A0667">
        <w:t>.</w:t>
      </w:r>
      <w:r w:rsidRPr="000F3013" w:rsidR="000F3013">
        <w:t xml:space="preserve"> </w:t>
      </w:r>
    </w:p>
    <w:p w:rsidR="00014718" w:rsidRPr="004D4B6D">
      <w:pPr>
        <w:tabs>
          <w:tab w:val="left" w:pos="720"/>
          <w:tab w:val="left" w:pos="1440"/>
        </w:tabs>
      </w:pPr>
      <w:r>
        <w:tab/>
      </w:r>
      <w:r w:rsidR="000B193F">
        <w:t xml:space="preserve">This </w:t>
      </w:r>
      <w:r w:rsidR="00817D7A">
        <w:t xml:space="preserve">was a </w:t>
      </w:r>
      <w:r w:rsidR="007563D1">
        <w:t xml:space="preserve">lone-actor case.  True, </w:t>
      </w:r>
      <w:r w:rsidR="005B45A3">
        <w:t xml:space="preserve">as </w:t>
      </w:r>
      <w:r w:rsidR="007563D1">
        <w:t>the Court of Appeal stated</w:t>
      </w:r>
      <w:r w:rsidR="005B45A3">
        <w:t xml:space="preserve">, </w:t>
      </w:r>
      <w:r w:rsidRPr="003F7E07">
        <w:t>“[i]t is not altogether certain defendant acted alone.”  (</w:t>
      </w:r>
      <w:r w:rsidRPr="00303790">
        <w:rPr>
          <w:i/>
          <w:iCs/>
        </w:rPr>
        <w:t>People v. Renteria</w:t>
      </w:r>
      <w:r w:rsidRPr="003F7E07">
        <w:t xml:space="preserve">, </w:t>
      </w:r>
      <w:r w:rsidRPr="00303790">
        <w:rPr>
          <w:i/>
          <w:iCs/>
        </w:rPr>
        <w:t>supra</w:t>
      </w:r>
      <w:r w:rsidRPr="003F7E07">
        <w:t xml:space="preserve">, </w:t>
      </w:r>
      <w:r w:rsidR="005123D3">
        <w:t>F076973</w:t>
      </w:r>
      <w:r w:rsidRPr="003F7E07">
        <w:t xml:space="preserve">.)  The evidence </w:t>
      </w:r>
      <w:r w:rsidR="000B193F">
        <w:t xml:space="preserve">did </w:t>
      </w:r>
      <w:r w:rsidRPr="003F7E07">
        <w:t xml:space="preserve">indicate that someone was with Renteria when he </w:t>
      </w:r>
      <w:r>
        <w:t xml:space="preserve">shot </w:t>
      </w:r>
      <w:r w:rsidRPr="003F7E07">
        <w:t xml:space="preserve">at </w:t>
      </w:r>
      <w:r w:rsidR="003E2809">
        <w:t>Jack D.</w:t>
      </w:r>
      <w:r w:rsidRPr="003F7E07">
        <w:t>’s house</w:t>
      </w:r>
      <w:r w:rsidR="000B193F">
        <w:t xml:space="preserve">.  But it </w:t>
      </w:r>
      <w:r w:rsidRPr="003F7E07">
        <w:t>did not establish who that person was or whether he or she was a gang member.  The record therefore lacks substantial evidence that Renteria acted with another gang member in committing these offenses</w:t>
      </w:r>
      <w:r w:rsidR="00FB722E">
        <w:t xml:space="preserve">.  So we proceed, for purposes of analyzing the sufficiency of the evidence, on the premise that Renteria </w:t>
      </w:r>
      <w:r w:rsidRPr="003F7E07">
        <w:t>acted alone.</w:t>
      </w:r>
      <w:r>
        <w:rPr>
          <w:rStyle w:val="FootnoteReference"/>
        </w:rPr>
        <w:footnoteReference w:id="12"/>
      </w:r>
    </w:p>
    <w:p w:rsidR="00163BF1" w:rsidRPr="004D4B6D" w:rsidP="004D4B6D">
      <w:pPr>
        <w:tabs>
          <w:tab w:val="left" w:pos="720"/>
          <w:tab w:val="left" w:pos="1440"/>
        </w:tabs>
      </w:pPr>
      <w:r w:rsidRPr="004D4B6D">
        <w:tab/>
      </w:r>
      <w:r w:rsidR="00660FB2">
        <w:t>In f</w:t>
      </w:r>
      <w:r w:rsidR="00014718">
        <w:t xml:space="preserve">inding sufficient evidence to support the gang </w:t>
      </w:r>
      <w:r w:rsidR="002C0B7D">
        <w:t>penalties</w:t>
      </w:r>
      <w:r w:rsidR="00014718">
        <w:t>, t</w:t>
      </w:r>
      <w:r w:rsidRPr="004D4B6D">
        <w:t>he Court of Appeal concluded that Renteria’s actions intimidated the community in a way that both benefited his gang and demonstrated his intent to promote his own future criminal activity and that of other gang members.  The court stated that Renteria’s shootings intimidated rival gang members and neighborhood residents, increased his gang’s control of contested territory, and therefore facilitated future crimes that he and his fellow gang members would commit.  (</w:t>
      </w:r>
      <w:r w:rsidRPr="004D4B6D" w:rsidR="004A5A89">
        <w:rPr>
          <w:i/>
          <w:iCs/>
        </w:rPr>
        <w:t>People v. Renteria</w:t>
      </w:r>
      <w:r w:rsidRPr="004D4B6D" w:rsidR="004A5A89">
        <w:t xml:space="preserve">, </w:t>
      </w:r>
      <w:r w:rsidRPr="004D4B6D" w:rsidR="004A5A89">
        <w:rPr>
          <w:i/>
          <w:iCs/>
        </w:rPr>
        <w:t>supra</w:t>
      </w:r>
      <w:r w:rsidRPr="004D4B6D" w:rsidR="004A5A89">
        <w:t xml:space="preserve">, </w:t>
      </w:r>
      <w:r w:rsidR="004A5A89">
        <w:t>F076973</w:t>
      </w:r>
      <w:r w:rsidRPr="004D4B6D">
        <w:t xml:space="preserve">.)  The Attorney General similarly argues that intimidating witnesses and rivals established Renteria’s intent to facilitate future criminal conduct by other gang members.  </w:t>
      </w:r>
      <w:r w:rsidRPr="004D4B6D" w:rsidR="008F56EA">
        <w:t>A</w:t>
      </w:r>
      <w:r w:rsidRPr="004D4B6D" w:rsidR="00BB5EA3">
        <w:t>nd a</w:t>
      </w:r>
      <w:r w:rsidRPr="004D4B6D" w:rsidR="008F56EA">
        <w:t xml:space="preserve">t trial, </w:t>
      </w:r>
      <w:r w:rsidRPr="004D4B6D" w:rsidR="008A38F4">
        <w:t>the gang expert</w:t>
      </w:r>
      <w:r w:rsidRPr="004D4B6D" w:rsidR="008F56EA">
        <w:t xml:space="preserve"> testified that the Sureño gang benefi</w:t>
      </w:r>
      <w:r w:rsidRPr="004D4B6D" w:rsidR="00EC566F">
        <w:t>ted</w:t>
      </w:r>
      <w:r w:rsidRPr="004D4B6D" w:rsidR="008F56EA">
        <w:t xml:space="preserve"> from violence by its members because </w:t>
      </w:r>
      <w:r w:rsidRPr="004D4B6D" w:rsidR="00665E9C">
        <w:t>the violence</w:t>
      </w:r>
      <w:r w:rsidRPr="004D4B6D" w:rsidR="008F56EA">
        <w:t xml:space="preserve"> intimidate</w:t>
      </w:r>
      <w:r w:rsidRPr="004D4B6D" w:rsidR="00EC566F">
        <w:t>d</w:t>
      </w:r>
      <w:r w:rsidRPr="004D4B6D" w:rsidR="008F56EA">
        <w:t xml:space="preserve"> witnesses and allow</w:t>
      </w:r>
      <w:r w:rsidRPr="004D4B6D" w:rsidR="00EC566F">
        <w:t>ed</w:t>
      </w:r>
      <w:r w:rsidRPr="004D4B6D" w:rsidR="008F56EA">
        <w:t xml:space="preserve"> gang members to continue their “day-to-day gang activity.</w:t>
      </w:r>
      <w:r w:rsidRPr="004D4B6D" w:rsidR="008A38F4">
        <w:t>”</w:t>
      </w:r>
    </w:p>
    <w:p w:rsidR="00030BE4" w:rsidRPr="004D4B6D" w:rsidP="004D4B6D">
      <w:pPr>
        <w:tabs>
          <w:tab w:val="left" w:pos="720"/>
          <w:tab w:val="left" w:pos="1440"/>
        </w:tabs>
      </w:pPr>
      <w:r w:rsidRPr="004D4B6D">
        <w:tab/>
      </w:r>
      <w:r w:rsidRPr="004D4B6D" w:rsidR="00FE5246">
        <w:t>T</w:t>
      </w:r>
      <w:r w:rsidRPr="004D4B6D">
        <w:t xml:space="preserve">he </w:t>
      </w:r>
      <w:r w:rsidRPr="004D4B6D" w:rsidR="00FE5246">
        <w:t xml:space="preserve">first and most fundamental difficulty with </w:t>
      </w:r>
      <w:r w:rsidR="007349B5">
        <w:t xml:space="preserve">prosecution’s case is that </w:t>
      </w:r>
      <w:r w:rsidRPr="00486E58" w:rsidR="00FE5246">
        <w:t>no substantial</w:t>
      </w:r>
      <w:r w:rsidRPr="004D4B6D" w:rsidR="00FE5246">
        <w:t xml:space="preserve"> evidence shows that Renteria intended his </w:t>
      </w:r>
      <w:r w:rsidRPr="004D4B6D">
        <w:t xml:space="preserve">actions to be attributed to his gang.  The Attorney General </w:t>
      </w:r>
      <w:r w:rsidRPr="004D4B6D" w:rsidR="00BA4762">
        <w:t xml:space="preserve">points to evidence that, at some point on the night of the shootings, Renteria associated with a group that </w:t>
      </w:r>
      <w:r w:rsidR="002132A7">
        <w:t>shouted</w:t>
      </w:r>
      <w:r w:rsidRPr="004D4B6D" w:rsidR="002132A7">
        <w:t xml:space="preserve"> </w:t>
      </w:r>
      <w:r w:rsidRPr="004D4B6D">
        <w:t xml:space="preserve">out </w:t>
      </w:r>
      <w:r w:rsidR="002A5E78">
        <w:t>“</w:t>
      </w:r>
      <w:r w:rsidR="001B236C">
        <w:t>S</w:t>
      </w:r>
      <w:r w:rsidR="002A5E78">
        <w:t>ur trece,” a gang slogan</w:t>
      </w:r>
      <w:r w:rsidRPr="004D4B6D">
        <w:t xml:space="preserve">.  </w:t>
      </w:r>
      <w:r w:rsidR="006E4107">
        <w:t>But t</w:t>
      </w:r>
      <w:r w:rsidR="009C4561">
        <w:t>he description of events did not provide substantial evidence that this happened especially close in time to the shootings</w:t>
      </w:r>
      <w:r w:rsidR="006E4107">
        <w:t>, and</w:t>
      </w:r>
      <w:r w:rsidRPr="004D4B6D" w:rsidR="00BA4762">
        <w:t xml:space="preserve"> the record does not support the inference that, by walking along with the group earlier </w:t>
      </w:r>
      <w:r w:rsidR="006E4107">
        <w:t>in</w:t>
      </w:r>
      <w:r w:rsidRPr="004D4B6D" w:rsidR="006E4107">
        <w:t xml:space="preserve"> </w:t>
      </w:r>
      <w:r w:rsidRPr="004D4B6D" w:rsidR="00BA4762">
        <w:t xml:space="preserve">the night, Renteria intended the later shootings to be attributed to the gang.  </w:t>
      </w:r>
      <w:r w:rsidRPr="004D4B6D" w:rsidR="004A5A89">
        <w:t>Although the parties dispute the timing of events, the evidence shows that the group dispersed and</w:t>
      </w:r>
      <w:r w:rsidR="004A5A89">
        <w:t>, according to Anthony A.,</w:t>
      </w:r>
      <w:r w:rsidRPr="004D4B6D" w:rsidR="004A5A89">
        <w:t xml:space="preserve"> it was “a little while” later when Renteria returned and shot at the houses.  </w:t>
      </w:r>
      <w:r w:rsidRPr="004D4B6D">
        <w:t xml:space="preserve">When questioned by </w:t>
      </w:r>
      <w:r w:rsidR="003E2809">
        <w:t>Anthony</w:t>
      </w:r>
      <w:r w:rsidRPr="004D4B6D">
        <w:t xml:space="preserve">, Renteria minimized and distanced himself from the shouting, suggesting those involved were drunk and he was just helping them home.  There was no evidence that Renteria identified himself or his gang during the shooting or took credit for it on behalf of his gang afterwards.  </w:t>
      </w:r>
    </w:p>
    <w:p w:rsidR="00A57350" w:rsidRPr="004D4B6D" w:rsidP="004D4B6D">
      <w:pPr>
        <w:tabs>
          <w:tab w:val="left" w:pos="720"/>
          <w:tab w:val="left" w:pos="1440"/>
        </w:tabs>
      </w:pPr>
      <w:r w:rsidRPr="004D4B6D">
        <w:tab/>
      </w:r>
      <w:r w:rsidRPr="004D4B6D" w:rsidR="008C32DA">
        <w:t xml:space="preserve">Nor does the record support a conclusion that Renteria could have reasonably anticipated the community would </w:t>
      </w:r>
      <w:r w:rsidRPr="004D4B6D" w:rsidR="00974F8B">
        <w:t xml:space="preserve">perceive a </w:t>
      </w:r>
      <w:r w:rsidRPr="004D4B6D" w:rsidR="008C32DA">
        <w:t xml:space="preserve">gang connection.  No </w:t>
      </w:r>
      <w:r w:rsidRPr="004D4B6D">
        <w:t xml:space="preserve">witnesses testified that they believed the shootings were related to </w:t>
      </w:r>
      <w:r w:rsidR="002132A7">
        <w:t>a</w:t>
      </w:r>
      <w:r w:rsidRPr="004D4B6D" w:rsidR="002132A7">
        <w:t xml:space="preserve"> </w:t>
      </w:r>
      <w:r w:rsidRPr="004D4B6D">
        <w:t>Sureño gang or gang rivalry, or that they feared Sureño gang activity.  When the prosecutor asked one neighbor</w:t>
      </w:r>
      <w:r w:rsidR="00EC0907">
        <w:t xml:space="preserve"> </w:t>
      </w:r>
      <w:r w:rsidRPr="004D4B6D">
        <w:t xml:space="preserve">if he </w:t>
      </w:r>
      <w:r w:rsidR="00CC2008">
        <w:t xml:space="preserve">worried </w:t>
      </w:r>
      <w:r w:rsidRPr="004D4B6D">
        <w:t xml:space="preserve">about testifying or feared for his family because of his role in the case, </w:t>
      </w:r>
      <w:r w:rsidR="00EC0907">
        <w:t>th</w:t>
      </w:r>
      <w:r w:rsidR="00045C98">
        <w:t>e</w:t>
      </w:r>
      <w:r w:rsidR="00EC0907">
        <w:t xml:space="preserve"> witness</w:t>
      </w:r>
      <w:r w:rsidRPr="004D4B6D">
        <w:t xml:space="preserve"> denied such concerns</w:t>
      </w:r>
      <w:r w:rsidR="003F7E07">
        <w:t xml:space="preserve">; another neighbor </w:t>
      </w:r>
      <w:r w:rsidRPr="004D4B6D" w:rsidR="003F7E07">
        <w:t>testified that she was frightened by the shooting but did not connect it to gang activity, much less to Renteria’s gang</w:t>
      </w:r>
      <w:r w:rsidRPr="004D4B6D">
        <w:t xml:space="preserve">.  </w:t>
      </w:r>
      <w:r w:rsidR="003E2809">
        <w:t xml:space="preserve">Jack </w:t>
      </w:r>
      <w:r w:rsidRPr="004D4B6D">
        <w:t>D</w:t>
      </w:r>
      <w:r w:rsidR="003E2809">
        <w:t>.</w:t>
      </w:r>
      <w:r w:rsidRPr="004D4B6D">
        <w:t xml:space="preserve"> </w:t>
      </w:r>
      <w:r w:rsidRPr="004D4B6D" w:rsidR="00CC2008">
        <w:t xml:space="preserve">did not attribute </w:t>
      </w:r>
      <w:r w:rsidR="00CC2008">
        <w:t xml:space="preserve">the shooting of his house </w:t>
      </w:r>
      <w:r w:rsidRPr="004D4B6D" w:rsidR="00CC2008">
        <w:t>to gang activity</w:t>
      </w:r>
      <w:r w:rsidR="00C51BAC">
        <w:t xml:space="preserve"> either</w:t>
      </w:r>
      <w:r w:rsidR="00CC2008">
        <w:t xml:space="preserve">; he </w:t>
      </w:r>
      <w:r w:rsidRPr="004D4B6D">
        <w:t xml:space="preserve">testified that he </w:t>
      </w:r>
      <w:r w:rsidR="00CC2008">
        <w:t xml:space="preserve">had </w:t>
      </w:r>
      <w:r w:rsidRPr="004D4B6D">
        <w:t xml:space="preserve">not </w:t>
      </w:r>
      <w:r w:rsidR="00CC2008">
        <w:t xml:space="preserve">even been </w:t>
      </w:r>
      <w:r w:rsidRPr="004D4B6D">
        <w:t xml:space="preserve">aware of </w:t>
      </w:r>
      <w:r w:rsidR="00CC2008">
        <w:t xml:space="preserve">it.  And </w:t>
      </w:r>
      <w:r w:rsidR="003E2809">
        <w:t xml:space="preserve">Anthony </w:t>
      </w:r>
      <w:r w:rsidRPr="004D4B6D">
        <w:t xml:space="preserve">testified that he understood Renteria’s companions to be shouting “slang gang words” </w:t>
      </w:r>
      <w:r w:rsidR="00593F7B">
        <w:t>earlier in the evening</w:t>
      </w:r>
      <w:r w:rsidR="0000257B">
        <w:t xml:space="preserve">, </w:t>
      </w:r>
      <w:r w:rsidRPr="004D4B6D">
        <w:t>but gave no indication he thought Renteria</w:t>
      </w:r>
      <w:r w:rsidR="0000257B">
        <w:t xml:space="preserve"> himself </w:t>
      </w:r>
      <w:r w:rsidRPr="004D4B6D">
        <w:t xml:space="preserve">was a Sureño gang member or </w:t>
      </w:r>
      <w:r w:rsidR="0000257B">
        <w:t xml:space="preserve">that </w:t>
      </w:r>
      <w:r w:rsidR="008D3682">
        <w:t xml:space="preserve">he believed the shootings were related to a </w:t>
      </w:r>
      <w:r w:rsidRPr="004D4B6D">
        <w:t>Sureño cause.</w:t>
      </w:r>
    </w:p>
    <w:p w:rsidR="00072295" w:rsidRPr="004D4B6D" w:rsidP="004D4B6D">
      <w:pPr>
        <w:tabs>
          <w:tab w:val="left" w:pos="720"/>
          <w:tab w:val="left" w:pos="1440"/>
        </w:tabs>
      </w:pPr>
      <w:r w:rsidRPr="004D4B6D">
        <w:tab/>
      </w:r>
      <w:r w:rsidRPr="004D4B6D" w:rsidR="00A93958">
        <w:t xml:space="preserve">Equally important, no substantial evidence in the record supports </w:t>
      </w:r>
      <w:r w:rsidRPr="004D4B6D">
        <w:t>the Attorney General</w:t>
      </w:r>
      <w:r w:rsidRPr="004D4B6D" w:rsidR="00CB1972">
        <w:t>’s</w:t>
      </w:r>
      <w:r w:rsidRPr="004D4B6D">
        <w:t xml:space="preserve"> claim that Renteria intended the shooting to </w:t>
      </w:r>
      <w:r w:rsidRPr="004D4B6D" w:rsidR="00484A20">
        <w:t>contribute to</w:t>
      </w:r>
      <w:r w:rsidRPr="004D4B6D">
        <w:t xml:space="preserve"> his gang</w:t>
      </w:r>
      <w:r w:rsidRPr="004D4B6D" w:rsidR="00484A20">
        <w:t>’s</w:t>
      </w:r>
      <w:r w:rsidRPr="004D4B6D">
        <w:t xml:space="preserve"> rivalry with Northerners.  The Attorney General argues the evidence reasonably allowed the jury to infer that Renteria shot at </w:t>
      </w:r>
      <w:r w:rsidR="003E2809">
        <w:t>Jack</w:t>
      </w:r>
      <w:r w:rsidR="003B3488">
        <w:t> </w:t>
      </w:r>
      <w:r w:rsidRPr="004D4B6D">
        <w:t>D</w:t>
      </w:r>
      <w:r w:rsidR="003E2809">
        <w:t>.</w:t>
      </w:r>
      <w:r w:rsidRPr="004D4B6D" w:rsidR="00CB1972">
        <w:t>’s</w:t>
      </w:r>
      <w:r w:rsidRPr="004D4B6D">
        <w:t xml:space="preserve"> house for the benefit of his gang because he was retaliating for being “</w:t>
      </w:r>
      <w:r w:rsidRPr="004D4B6D" w:rsidR="00B33BB5">
        <w:t> ‘</w:t>
      </w:r>
      <w:r w:rsidRPr="004D4B6D">
        <w:t>hit up</w:t>
      </w:r>
      <w:r w:rsidRPr="004D4B6D" w:rsidR="00B33BB5">
        <w:t>’ </w:t>
      </w:r>
      <w:r w:rsidRPr="004D4B6D">
        <w:t xml:space="preserve">” earlier the same evening.  </w:t>
      </w:r>
      <w:r w:rsidR="00C65222">
        <w:t xml:space="preserve">The record demonstrates that </w:t>
      </w:r>
      <w:r w:rsidRPr="004D4B6D">
        <w:t xml:space="preserve">Renteria had been challenged by people he assumed were Northerners; he believed they had a shotgun and ran from them.  Police later found a shotgun in </w:t>
      </w:r>
      <w:r w:rsidR="003E2809">
        <w:t>Jack</w:t>
      </w:r>
      <w:r w:rsidRPr="004D4B6D">
        <w:t xml:space="preserve">’s closed garage that would not have been visible to Renteria.  Officer Adney also testified that in the past, he had seen </w:t>
      </w:r>
      <w:r w:rsidR="00C65222">
        <w:t>Robert P</w:t>
      </w:r>
      <w:r w:rsidR="003E2809">
        <w:t>.</w:t>
      </w:r>
      <w:r w:rsidR="00C65222">
        <w:t xml:space="preserve">, who was </w:t>
      </w:r>
      <w:r w:rsidR="00A76719">
        <w:t>“associated” with</w:t>
      </w:r>
      <w:r w:rsidRPr="004D4B6D">
        <w:t xml:space="preserve"> </w:t>
      </w:r>
      <w:r w:rsidR="003E2809">
        <w:t>Jack</w:t>
      </w:r>
      <w:r w:rsidR="00A76719">
        <w:t>’s home</w:t>
      </w:r>
      <w:r w:rsidRPr="004D4B6D">
        <w:t xml:space="preserve"> (</w:t>
      </w:r>
      <w:r w:rsidR="00A76719">
        <w:t xml:space="preserve">but </w:t>
      </w:r>
      <w:r w:rsidRPr="004D4B6D">
        <w:t xml:space="preserve">did not live with </w:t>
      </w:r>
      <w:r w:rsidR="003E2809">
        <w:t>Jack</w:t>
      </w:r>
      <w:r w:rsidRPr="004D4B6D">
        <w:t>)</w:t>
      </w:r>
      <w:r w:rsidR="005A5D13">
        <w:t>,</w:t>
      </w:r>
      <w:r w:rsidRPr="004D4B6D">
        <w:t xml:space="preserve"> in the presence of Norteño gang members.  The Court of Appeal noted that “there was evidence Jack D.’s house had at least some link to Norteños, even if it was not a hotbed of rival gang activity.”  (</w:t>
      </w:r>
      <w:r w:rsidRPr="004D4B6D">
        <w:rPr>
          <w:i/>
          <w:iCs/>
        </w:rPr>
        <w:t>People v. Renteria</w:t>
      </w:r>
      <w:r w:rsidRPr="004D4B6D">
        <w:t xml:space="preserve">, </w:t>
      </w:r>
      <w:r w:rsidRPr="004D4B6D">
        <w:rPr>
          <w:i/>
          <w:iCs/>
        </w:rPr>
        <w:t>supra</w:t>
      </w:r>
      <w:r w:rsidRPr="004D4B6D">
        <w:t xml:space="preserve">, </w:t>
      </w:r>
      <w:r w:rsidR="00641139">
        <w:t>F076973</w:t>
      </w:r>
      <w:r w:rsidRPr="004D4B6D">
        <w:t xml:space="preserve">.)  But the </w:t>
      </w:r>
      <w:r w:rsidRPr="004D4B6D" w:rsidR="00AF54EC">
        <w:t xml:space="preserve">shotgun and a </w:t>
      </w:r>
      <w:r w:rsidRPr="004D4B6D">
        <w:t xml:space="preserve">vague reference to </w:t>
      </w:r>
      <w:r w:rsidR="003E2809">
        <w:t xml:space="preserve">Robert </w:t>
      </w:r>
      <w:r w:rsidRPr="004D4B6D">
        <w:t xml:space="preserve">does not amount to substantial evidence from which the jury could conclude </w:t>
      </w:r>
      <w:r w:rsidRPr="00F920CD" w:rsidR="00A76719">
        <w:t>beyond a reasonable doubt</w:t>
      </w:r>
      <w:r w:rsidR="00A76719">
        <w:t xml:space="preserve"> </w:t>
      </w:r>
      <w:r w:rsidRPr="004D4B6D">
        <w:t xml:space="preserve">that shooting at </w:t>
      </w:r>
      <w:r w:rsidR="003E2809">
        <w:t>Jack</w:t>
      </w:r>
      <w:r w:rsidRPr="004D4B6D">
        <w:t>’s house was a retaliation</w:t>
      </w:r>
      <w:r w:rsidRPr="004D4B6D" w:rsidR="00B47532">
        <w:t xml:space="preserve"> carried out to benefit Renteria’s gang</w:t>
      </w:r>
      <w:r w:rsidR="00F610E6">
        <w:t>, or that it would have been so understood by anyone in a position to know about the shooting</w:t>
      </w:r>
      <w:r w:rsidRPr="004D4B6D">
        <w:t>.</w:t>
      </w:r>
      <w:r w:rsidRPr="004D4B6D" w:rsidR="00484A20">
        <w:t xml:space="preserve">  </w:t>
      </w:r>
      <w:r w:rsidR="0073177E">
        <w:t>T</w:t>
      </w:r>
      <w:r w:rsidRPr="004D4B6D" w:rsidR="00CD0AAB">
        <w:t xml:space="preserve">o the extent Officer Adney testified that Renteria may have engaged in the shooting to maintain </w:t>
      </w:r>
      <w:r w:rsidRPr="004D4B6D">
        <w:rPr>
          <w:i/>
          <w:iCs/>
        </w:rPr>
        <w:t>his own</w:t>
      </w:r>
      <w:r w:rsidRPr="004D4B6D">
        <w:t xml:space="preserve"> respect within the gang</w:t>
      </w:r>
      <w:r w:rsidRPr="004D4B6D" w:rsidR="0029430D">
        <w:t xml:space="preserve">, such evidence fails to explain how enhancing his personal reputation within the gang </w:t>
      </w:r>
      <w:r w:rsidRPr="004D4B6D">
        <w:t xml:space="preserve">would </w:t>
      </w:r>
      <w:r w:rsidRPr="004D4B6D" w:rsidR="00CA2D90">
        <w:t xml:space="preserve">facilitate </w:t>
      </w:r>
      <w:r w:rsidRPr="004D4B6D">
        <w:t xml:space="preserve">the </w:t>
      </w:r>
      <w:r w:rsidRPr="004D4B6D" w:rsidR="006C6688">
        <w:t xml:space="preserve">criminal activities of the </w:t>
      </w:r>
      <w:r w:rsidRPr="004D4B6D">
        <w:t>gang</w:t>
      </w:r>
      <w:r w:rsidRPr="004D4B6D">
        <w:t xml:space="preserve"> and its members</w:t>
      </w:r>
      <w:r w:rsidRPr="004D4B6D" w:rsidR="000F50F3">
        <w:t>, as</w:t>
      </w:r>
      <w:r w:rsidR="00A05781">
        <w:t xml:space="preserve"> </w:t>
      </w:r>
      <w:r w:rsidRPr="004D4B6D" w:rsidR="000F50F3">
        <w:t>section 186.22(b) requires</w:t>
      </w:r>
      <w:r w:rsidRPr="004D4B6D">
        <w:t>.</w:t>
      </w:r>
      <w:r>
        <w:rPr>
          <w:rStyle w:val="FootnoteReference"/>
        </w:rPr>
        <w:footnoteReference w:id="13"/>
      </w:r>
      <w:r w:rsidRPr="004D4B6D">
        <w:t xml:space="preserve">   </w:t>
      </w:r>
    </w:p>
    <w:p w:rsidR="00A61233" w:rsidRPr="004D4B6D" w:rsidP="004D4B6D">
      <w:pPr>
        <w:tabs>
          <w:tab w:val="left" w:pos="720"/>
          <w:tab w:val="left" w:pos="1440"/>
        </w:tabs>
      </w:pPr>
      <w:r w:rsidRPr="004D4B6D">
        <w:tab/>
      </w:r>
      <w:r w:rsidRPr="004D4B6D" w:rsidR="00EC566F">
        <w:t xml:space="preserve">Finally, </w:t>
      </w:r>
      <w:r w:rsidR="00CB0112">
        <w:t xml:space="preserve">we </w:t>
      </w:r>
      <w:r w:rsidRPr="004D4B6D" w:rsidR="00EC566F">
        <w:t xml:space="preserve">see no other evidence </w:t>
      </w:r>
      <w:r w:rsidRPr="004D4B6D" w:rsidR="007A0109">
        <w:t xml:space="preserve">from which </w:t>
      </w:r>
      <w:r w:rsidRPr="004D4B6D" w:rsidR="00E3138A">
        <w:t>the</w:t>
      </w:r>
      <w:r w:rsidRPr="004D4B6D" w:rsidR="007A0109">
        <w:t xml:space="preserve"> jury could infer that </w:t>
      </w:r>
      <w:r w:rsidRPr="004D4B6D" w:rsidR="00425AAF">
        <w:t>Renteria</w:t>
      </w:r>
      <w:r w:rsidRPr="004D4B6D" w:rsidR="007A0109">
        <w:t xml:space="preserve"> </w:t>
      </w:r>
      <w:r w:rsidRPr="004D4B6D" w:rsidR="00CC058A">
        <w:t>knew of and thus might have intended to promote</w:t>
      </w:r>
      <w:r w:rsidRPr="004D4B6D" w:rsidR="00F34321">
        <w:t xml:space="preserve"> </w:t>
      </w:r>
      <w:r w:rsidR="006204BC">
        <w:t xml:space="preserve">the </w:t>
      </w:r>
      <w:r w:rsidRPr="004D4B6D" w:rsidR="00F34321">
        <w:t xml:space="preserve">criminal activities of </w:t>
      </w:r>
      <w:r w:rsidRPr="004D4B6D" w:rsidR="007A0109">
        <w:t>his gang</w:t>
      </w:r>
      <w:r w:rsidR="001A06EE">
        <w:t>’s</w:t>
      </w:r>
      <w:r w:rsidR="00CB0112">
        <w:t xml:space="preserve"> members</w:t>
      </w:r>
      <w:r w:rsidRPr="004D4B6D" w:rsidR="007A0109">
        <w:t>.</w:t>
      </w:r>
      <w:r w:rsidR="00AE05A8">
        <w:t xml:space="preserve">  </w:t>
      </w:r>
      <w:r w:rsidRPr="004D4B6D" w:rsidR="00AD3EE6">
        <w:t>Renteria admitted being a Sureño</w:t>
      </w:r>
      <w:r w:rsidRPr="004D4B6D" w:rsidR="00D80E06">
        <w:t xml:space="preserve"> </w:t>
      </w:r>
      <w:r w:rsidRPr="004D4B6D" w:rsidR="00167980">
        <w:t xml:space="preserve">when he was in </w:t>
      </w:r>
      <w:r w:rsidRPr="004D4B6D" w:rsidR="00D80E06">
        <w:t>middle school</w:t>
      </w:r>
      <w:r w:rsidR="00072CB6">
        <w:t xml:space="preserve"> and a few years later </w:t>
      </w:r>
      <w:r w:rsidRPr="004D4B6D" w:rsidR="001462ED">
        <w:t>police</w:t>
      </w:r>
      <w:r w:rsidRPr="004D4B6D" w:rsidR="00D80E06">
        <w:t xml:space="preserve"> detained </w:t>
      </w:r>
      <w:r w:rsidRPr="004D4B6D" w:rsidR="001462ED">
        <w:t xml:space="preserve">him </w:t>
      </w:r>
      <w:r w:rsidR="009C50F7">
        <w:t xml:space="preserve">at an abandoned house that had been </w:t>
      </w:r>
      <w:r w:rsidRPr="004D4B6D" w:rsidR="00DF5C9D">
        <w:t>spray paint</w:t>
      </w:r>
      <w:r w:rsidR="009C50F7">
        <w:t>ed</w:t>
      </w:r>
      <w:r w:rsidRPr="004D4B6D" w:rsidR="00DF5C9D">
        <w:t xml:space="preserve"> </w:t>
      </w:r>
      <w:r w:rsidR="009C50F7">
        <w:t xml:space="preserve">with </w:t>
      </w:r>
      <w:r w:rsidRPr="004D4B6D" w:rsidR="00D80E06">
        <w:t>gang</w:t>
      </w:r>
      <w:r w:rsidRPr="004D4B6D" w:rsidR="0071483E">
        <w:t>-related</w:t>
      </w:r>
      <w:r w:rsidRPr="004D4B6D" w:rsidR="00D80E06">
        <w:t xml:space="preserve"> graffiti.  Renteria again admitted being a Sureño </w:t>
      </w:r>
      <w:r w:rsidRPr="004D4B6D" w:rsidR="004D33E9">
        <w:t xml:space="preserve">when he was arrested </w:t>
      </w:r>
      <w:r w:rsidR="00072CB6">
        <w:t xml:space="preserve">for the current charges, </w:t>
      </w:r>
      <w:r w:rsidRPr="004D4B6D" w:rsidR="00D80E06">
        <w:t xml:space="preserve">but </w:t>
      </w:r>
      <w:r w:rsidR="00072CB6">
        <w:t xml:space="preserve">the prosecutor </w:t>
      </w:r>
      <w:r w:rsidRPr="004D4B6D" w:rsidR="00875BBA">
        <w:t xml:space="preserve">offered no evidence to show the degree of Renteria’s </w:t>
      </w:r>
      <w:r w:rsidRPr="004D4B6D" w:rsidR="009762A9">
        <w:t>involvement with the gang</w:t>
      </w:r>
      <w:r w:rsidR="00AE05A8">
        <w:t>,</w:t>
      </w:r>
      <w:r w:rsidRPr="004D4B6D" w:rsidR="00D80E06">
        <w:t xml:space="preserve"> to otherwise suggest his familiarity with </w:t>
      </w:r>
      <w:r w:rsidR="00F426EE">
        <w:t xml:space="preserve">the criminal activities of the gang’s </w:t>
      </w:r>
      <w:r w:rsidRPr="004D4B6D" w:rsidR="009E7B7D">
        <w:t>members</w:t>
      </w:r>
      <w:r w:rsidR="00AE05A8">
        <w:t xml:space="preserve">, or to identify </w:t>
      </w:r>
      <w:r w:rsidR="00F426EE">
        <w:t xml:space="preserve">the </w:t>
      </w:r>
      <w:r w:rsidR="00AE05A8">
        <w:t xml:space="preserve">criminal </w:t>
      </w:r>
      <w:r w:rsidR="007C4BE9">
        <w:t>conduct</w:t>
      </w:r>
      <w:r w:rsidR="00AE05A8">
        <w:t xml:space="preserve"> </w:t>
      </w:r>
      <w:r w:rsidR="00F426EE">
        <w:t>Renteria’s actions might have facilitated</w:t>
      </w:r>
      <w:r w:rsidRPr="004D4B6D" w:rsidR="009762A9">
        <w:t xml:space="preserve">.  (Cf. </w:t>
      </w:r>
      <w:r w:rsidRPr="004D4B6D" w:rsidR="009762A9">
        <w:rPr>
          <w:i/>
          <w:iCs/>
        </w:rPr>
        <w:t>Albillar</w:t>
      </w:r>
      <w:r w:rsidRPr="004D4B6D" w:rsidR="009762A9">
        <w:t xml:space="preserve">, </w:t>
      </w:r>
      <w:r w:rsidRPr="004D4B6D" w:rsidR="009762A9">
        <w:rPr>
          <w:i/>
          <w:iCs/>
        </w:rPr>
        <w:t>supra</w:t>
      </w:r>
      <w:r w:rsidRPr="004D4B6D" w:rsidR="009762A9">
        <w:t>, 51 Cal.4th at p. 62 [</w:t>
      </w:r>
      <w:r w:rsidRPr="004D4B6D" w:rsidR="00D42F16">
        <w:t>evidence that defendants had large gang tattoos on their torso, neck, and face and lived in an apartment “ ‘saturated’ with gang paraphernalia” showed their relationship with the gang was more than “ ‘superficial’ ”]</w:t>
      </w:r>
      <w:r w:rsidRPr="004D4B6D" w:rsidR="00066157">
        <w:t xml:space="preserve">; </w:t>
      </w:r>
      <w:r w:rsidRPr="004D4B6D" w:rsidR="00066157">
        <w:rPr>
          <w:i/>
          <w:iCs/>
        </w:rPr>
        <w:t>People v. Rivera</w:t>
      </w:r>
      <w:r w:rsidRPr="004D4B6D" w:rsidR="00BF5013">
        <w:t>,</w:t>
      </w:r>
      <w:r w:rsidRPr="004D4B6D" w:rsidR="00BF5013">
        <w:rPr>
          <w:i/>
          <w:iCs/>
        </w:rPr>
        <w:t xml:space="preserve"> supra</w:t>
      </w:r>
      <w:r w:rsidRPr="004D4B6D" w:rsidR="00BF5013">
        <w:t>,</w:t>
      </w:r>
      <w:r w:rsidRPr="004D4B6D" w:rsidR="00BF5013">
        <w:rPr>
          <w:i/>
          <w:iCs/>
        </w:rPr>
        <w:t xml:space="preserve"> </w:t>
      </w:r>
      <w:r w:rsidRPr="004D4B6D" w:rsidR="00066157">
        <w:t xml:space="preserve">7 Cal.5th </w:t>
      </w:r>
      <w:r w:rsidRPr="004D4B6D" w:rsidR="00BF5013">
        <w:t>at p. </w:t>
      </w:r>
      <w:r w:rsidRPr="004D4B6D" w:rsidR="00066157">
        <w:t>331 [</w:t>
      </w:r>
      <w:r w:rsidR="00FE49CA">
        <w:t xml:space="preserve">charged crimes involved defense of drug dealing territory and </w:t>
      </w:r>
      <w:r w:rsidRPr="004D4B6D" w:rsidR="00BF5013">
        <w:t xml:space="preserve">the </w:t>
      </w:r>
      <w:r w:rsidRPr="004D4B6D" w:rsidR="00066157">
        <w:t>defendant had previously ple</w:t>
      </w:r>
      <w:r w:rsidRPr="004D4B6D" w:rsidR="00E0277D">
        <w:t>a</w:t>
      </w:r>
      <w:r w:rsidRPr="004D4B6D" w:rsidR="00066157">
        <w:t>d</w:t>
      </w:r>
      <w:r w:rsidRPr="004D4B6D" w:rsidR="00E0277D">
        <w:t>ed</w:t>
      </w:r>
      <w:r w:rsidRPr="004D4B6D" w:rsidR="00066157">
        <w:t xml:space="preserve"> guilty to offenses related to his gang’s drug trade]</w:t>
      </w:r>
      <w:r w:rsidRPr="004D4B6D" w:rsidR="00B40157">
        <w:t xml:space="preserve">; </w:t>
      </w:r>
      <w:r w:rsidRPr="004D4B6D" w:rsidR="00B40157">
        <w:rPr>
          <w:i/>
          <w:iCs/>
        </w:rPr>
        <w:t>People v. Sanchez</w:t>
      </w:r>
      <w:r w:rsidRPr="004D4B6D" w:rsidR="00B40157">
        <w:t xml:space="preserve"> (2016) 63 Cal.4th 665, 699 [evidence of </w:t>
      </w:r>
      <w:r w:rsidRPr="004D4B6D" w:rsidR="00BF5013">
        <w:t xml:space="preserve">the </w:t>
      </w:r>
      <w:r w:rsidRPr="004D4B6D" w:rsidR="00B40157">
        <w:t>defendant’s prior law enforcement contacts “bolstered the prosecution’s theory that he acted with intent to benefit his gang”].</w:t>
      </w:r>
      <w:r w:rsidRPr="004D4B6D" w:rsidR="00066157">
        <w:t xml:space="preserve">)  </w:t>
      </w:r>
      <w:r w:rsidRPr="004D4B6D" w:rsidR="00EF2E0D">
        <w:tab/>
      </w:r>
    </w:p>
    <w:p w:rsidR="0000647F" w:rsidRPr="004D4B6D" w:rsidP="004D4B6D">
      <w:pPr>
        <w:tabs>
          <w:tab w:val="left" w:pos="720"/>
          <w:tab w:val="left" w:pos="1440"/>
        </w:tabs>
      </w:pPr>
      <w:r w:rsidRPr="004D4B6D">
        <w:tab/>
      </w:r>
      <w:r w:rsidRPr="004D4B6D" w:rsidR="008E3D1A">
        <w:t>In sum, c</w:t>
      </w:r>
      <w:r w:rsidRPr="004D4B6D" w:rsidR="00986768">
        <w:t xml:space="preserve">onsidering the record as a whole, </w:t>
      </w:r>
      <w:r w:rsidR="00672561">
        <w:t xml:space="preserve">we </w:t>
      </w:r>
      <w:r w:rsidRPr="004D4B6D" w:rsidR="003D22C9">
        <w:t xml:space="preserve">conclude there </w:t>
      </w:r>
      <w:r w:rsidRPr="004D4B6D" w:rsidR="00986768">
        <w:t>was not sufficient evidence to support either prong of the gang enhancement statute</w:t>
      </w:r>
      <w:r w:rsidRPr="004D4B6D" w:rsidR="00B17C0C">
        <w:t>, with respect to either shooting</w:t>
      </w:r>
      <w:r w:rsidRPr="004D4B6D" w:rsidR="00986768">
        <w:t>.</w:t>
      </w:r>
      <w:r w:rsidRPr="004D4B6D" w:rsidR="00B17C0C">
        <w:t xml:space="preserve">  The evidence at trial demonstrated that</w:t>
      </w:r>
      <w:r w:rsidRPr="004D4B6D" w:rsidR="00283ECB">
        <w:t xml:space="preserve"> Renteria was a gang member at the time of the shootings</w:t>
      </w:r>
      <w:r w:rsidRPr="004D4B6D" w:rsidR="00665D38">
        <w:t>.  But the evidence did not support the inference that Renteria committed the shootings for the gang’s benefit, with the specific intent to promote the criminal activities of gang members, as opposed to acting for his own, personal reasons.</w:t>
      </w:r>
      <w:r w:rsidRPr="004D4B6D" w:rsidR="007950AD">
        <w:t xml:space="preserve">  Thus, while Renteria is </w:t>
      </w:r>
      <w:r w:rsidR="00C520FB">
        <w:t>undisputedly</w:t>
      </w:r>
      <w:r w:rsidRPr="004D4B6D" w:rsidR="00C520FB">
        <w:t xml:space="preserve"> </w:t>
      </w:r>
      <w:r w:rsidRPr="004D4B6D" w:rsidR="007950AD">
        <w:t>subject to punishment for the unlawful shootings, he is not subject to the additional punishment prescribed for felonies that have been shown to be gang</w:t>
      </w:r>
      <w:r w:rsidR="00E911B3">
        <w:t>-</w:t>
      </w:r>
      <w:r w:rsidRPr="004D4B6D" w:rsidR="007950AD">
        <w:t xml:space="preserve">related </w:t>
      </w:r>
      <w:r w:rsidRPr="004D4B6D" w:rsidR="00C31309">
        <w:t xml:space="preserve">under </w:t>
      </w:r>
      <w:r w:rsidRPr="004D4B6D" w:rsidR="007950AD">
        <w:t>section 186.22(b).</w:t>
      </w:r>
    </w:p>
    <w:p w:rsidR="001345F1" w:rsidRPr="004D4B6D" w:rsidP="004D4B6D">
      <w:pPr>
        <w:pStyle w:val="Heading1"/>
      </w:pPr>
      <w:r w:rsidRPr="004D4B6D">
        <w:t>Disposition</w:t>
      </w:r>
    </w:p>
    <w:p w:rsidR="001345F1" w:rsidP="004D4B6D">
      <w:pPr>
        <w:tabs>
          <w:tab w:val="left" w:pos="720"/>
          <w:tab w:val="left" w:pos="1440"/>
        </w:tabs>
      </w:pPr>
      <w:r w:rsidRPr="004D4B6D">
        <w:tab/>
      </w:r>
      <w:bookmarkStart w:id="7" w:name="_Hlk111628578"/>
      <w:r w:rsidR="0075007F">
        <w:t>W</w:t>
      </w:r>
      <w:r w:rsidRPr="004D4B6D">
        <w:t xml:space="preserve">e reverse the judgment </w:t>
      </w:r>
      <w:r w:rsidRPr="004D4B6D" w:rsidR="00025005">
        <w:t>of the Court of Appeal</w:t>
      </w:r>
      <w:r w:rsidR="00754AF8">
        <w:t xml:space="preserve"> </w:t>
      </w:r>
      <w:r w:rsidRPr="002E0E7F" w:rsidR="002E0E7F">
        <w:t xml:space="preserve">insofar as it upheld the imposition of the section 186.22(b)(4) penalties, with </w:t>
      </w:r>
      <w:r w:rsidR="002E0E7F">
        <w:t xml:space="preserve">directions </w:t>
      </w:r>
      <w:r w:rsidRPr="004D4B6D" w:rsidR="00025005">
        <w:t>to remand the case to the trial court for resentencing in accordance with this opinion.</w:t>
      </w:r>
      <w:bookmarkEnd w:id="7"/>
    </w:p>
    <w:p w:rsidR="00672FC4">
      <w:pPr>
        <w:spacing w:after="0" w:line="240" w:lineRule="auto"/>
        <w:jc w:val="left"/>
      </w:pPr>
      <w:r>
        <w:br w:type="page"/>
      </w:r>
    </w:p>
    <w:p w:rsidR="007D452B" w:rsidP="004D4B6D">
      <w:pPr>
        <w:tabs>
          <w:tab w:val="left" w:pos="1440"/>
          <w:tab w:val="left" w:pos="5040"/>
        </w:tabs>
        <w:ind w:firstLine="720"/>
        <w:rPr>
          <w:b/>
          <w:bCs/>
        </w:rPr>
      </w:pPr>
      <w:r w:rsidRPr="004D4B6D">
        <w:rPr>
          <w:b/>
          <w:bCs/>
        </w:rPr>
        <w:tab/>
      </w:r>
      <w:r w:rsidRPr="004D4B6D">
        <w:rPr>
          <w:b/>
          <w:bCs/>
        </w:rPr>
        <w:tab/>
      </w:r>
      <w:r w:rsidR="002411F9">
        <w:rPr>
          <w:b/>
          <w:bCs/>
        </w:rPr>
        <w:t xml:space="preserve">              </w:t>
      </w:r>
      <w:r w:rsidRPr="004D4B6D" w:rsidR="001345F1">
        <w:rPr>
          <w:b/>
          <w:bCs/>
        </w:rPr>
        <w:t>KRUGER, J.</w:t>
      </w:r>
      <w:bookmarkStart w:id="8" w:name="mainstory"/>
      <w:bookmarkEnd w:id="8"/>
    </w:p>
    <w:p w:rsidR="002614D2" w:rsidP="002411F9">
      <w:pPr>
        <w:tabs>
          <w:tab w:val="left" w:pos="1440"/>
          <w:tab w:val="left" w:pos="5040"/>
        </w:tabs>
        <w:rPr>
          <w:b/>
          <w:bCs/>
        </w:rPr>
      </w:pPr>
      <w:r>
        <w:rPr>
          <w:b/>
          <w:bCs/>
        </w:rPr>
        <w:t>We Concur:</w:t>
      </w:r>
    </w:p>
    <w:p w:rsidR="00672FC4" w:rsidP="00672FC4">
      <w:pPr>
        <w:tabs>
          <w:tab w:val="left" w:pos="1440"/>
          <w:tab w:val="left" w:pos="5040"/>
        </w:tabs>
        <w:spacing w:after="0" w:line="240" w:lineRule="auto"/>
        <w:rPr>
          <w:b/>
          <w:bCs/>
        </w:rPr>
      </w:pPr>
      <w:r>
        <w:rPr>
          <w:b/>
          <w:bCs/>
        </w:rPr>
        <w:t>CANTIL-SAKAUYE, C.</w:t>
      </w:r>
      <w:r w:rsidR="00BC317F">
        <w:rPr>
          <w:b/>
          <w:bCs/>
        </w:rPr>
        <w:t> </w:t>
      </w:r>
      <w:r>
        <w:rPr>
          <w:b/>
          <w:bCs/>
        </w:rPr>
        <w:t>J.</w:t>
      </w:r>
    </w:p>
    <w:p w:rsidR="00672FC4" w:rsidP="00672FC4">
      <w:pPr>
        <w:tabs>
          <w:tab w:val="left" w:pos="1440"/>
          <w:tab w:val="left" w:pos="5040"/>
        </w:tabs>
        <w:spacing w:after="0" w:line="240" w:lineRule="auto"/>
        <w:rPr>
          <w:b/>
          <w:bCs/>
        </w:rPr>
      </w:pPr>
      <w:r>
        <w:rPr>
          <w:b/>
          <w:bCs/>
        </w:rPr>
        <w:t>CORRIGAN, J.</w:t>
      </w:r>
    </w:p>
    <w:p w:rsidR="00672FC4" w:rsidP="00672FC4">
      <w:pPr>
        <w:tabs>
          <w:tab w:val="left" w:pos="1440"/>
          <w:tab w:val="left" w:pos="5040"/>
        </w:tabs>
        <w:spacing w:after="0" w:line="240" w:lineRule="auto"/>
        <w:rPr>
          <w:b/>
          <w:bCs/>
        </w:rPr>
      </w:pPr>
      <w:r>
        <w:rPr>
          <w:b/>
          <w:bCs/>
        </w:rPr>
        <w:t>LIU, J.</w:t>
      </w:r>
    </w:p>
    <w:p w:rsidR="00672FC4" w:rsidP="00672FC4">
      <w:pPr>
        <w:tabs>
          <w:tab w:val="left" w:pos="1440"/>
          <w:tab w:val="left" w:pos="5040"/>
        </w:tabs>
        <w:spacing w:after="0" w:line="240" w:lineRule="auto"/>
        <w:rPr>
          <w:b/>
          <w:bCs/>
        </w:rPr>
      </w:pPr>
      <w:r>
        <w:rPr>
          <w:b/>
          <w:bCs/>
        </w:rPr>
        <w:t>GROBAN, J.</w:t>
      </w:r>
    </w:p>
    <w:p w:rsidR="00672FC4" w:rsidP="00672FC4">
      <w:pPr>
        <w:tabs>
          <w:tab w:val="left" w:pos="1440"/>
          <w:tab w:val="left" w:pos="5040"/>
        </w:tabs>
        <w:spacing w:after="0" w:line="240" w:lineRule="auto"/>
        <w:rPr>
          <w:b/>
          <w:bCs/>
        </w:rPr>
      </w:pPr>
      <w:r>
        <w:rPr>
          <w:b/>
          <w:bCs/>
        </w:rPr>
        <w:t>JENKINS, J.</w:t>
      </w:r>
    </w:p>
    <w:p w:rsidR="00672FC4" w:rsidP="00672FC4">
      <w:pPr>
        <w:tabs>
          <w:tab w:val="left" w:pos="1440"/>
          <w:tab w:val="left" w:pos="5040"/>
        </w:tabs>
        <w:spacing w:after="0" w:line="240" w:lineRule="auto"/>
        <w:rPr>
          <w:b/>
          <w:bCs/>
        </w:rPr>
      </w:pPr>
      <w:r>
        <w:rPr>
          <w:b/>
          <w:bCs/>
        </w:rPr>
        <w:t>GUERRERO, J.</w:t>
      </w:r>
    </w:p>
    <w:p w:rsidR="008D6EB4" w:rsidP="00672FC4">
      <w:pPr>
        <w:tabs>
          <w:tab w:val="left" w:pos="1440"/>
          <w:tab w:val="left" w:pos="5040"/>
        </w:tabs>
        <w:spacing w:after="0" w:line="240" w:lineRule="auto"/>
        <w:rPr>
          <w:b/>
          <w:bCs/>
        </w:rPr>
        <w:sectPr w:rsidSect="00CE5499">
          <w:footerReference w:type="first" r:id="rId11"/>
          <w:pgSz w:w="12240" w:h="15840"/>
          <w:pgMar w:top="1800" w:right="2160" w:bottom="1440" w:left="2160" w:header="720" w:footer="720" w:gutter="0"/>
          <w:pgNumType w:start="1"/>
          <w:cols w:space="720"/>
          <w:titlePg/>
          <w:docGrid w:linePitch="367"/>
        </w:sectPr>
      </w:pPr>
    </w:p>
    <w:p w:rsidR="004427AD" w:rsidRPr="004427AD" w:rsidP="004427AD">
      <w:pPr>
        <w:spacing w:after="0" w:line="240" w:lineRule="auto"/>
        <w:jc w:val="left"/>
        <w:rPr>
          <w:i/>
          <w:sz w:val="24"/>
          <w:szCs w:val="24"/>
        </w:rPr>
      </w:pPr>
      <w:bookmarkStart w:id="9" w:name="_Hlk105508284"/>
      <w:r w:rsidRPr="004427AD">
        <w:rPr>
          <w:i/>
          <w:sz w:val="24"/>
          <w:szCs w:val="24"/>
        </w:rPr>
        <w:t>See next page for addresses and telephone numbers for counsel who argued in Supreme Court.</w:t>
      </w:r>
    </w:p>
    <w:p w:rsidR="004427AD" w:rsidRPr="004427AD" w:rsidP="004427AD">
      <w:pPr>
        <w:spacing w:after="0" w:line="240" w:lineRule="auto"/>
        <w:jc w:val="left"/>
        <w:rPr>
          <w:i/>
          <w:sz w:val="24"/>
          <w:szCs w:val="24"/>
        </w:rPr>
      </w:pPr>
    </w:p>
    <w:p w:rsidR="004427AD" w:rsidRPr="004427AD" w:rsidP="004427AD">
      <w:pPr>
        <w:spacing w:after="0" w:line="240" w:lineRule="auto"/>
        <w:jc w:val="left"/>
        <w:rPr>
          <w:bCs/>
          <w:sz w:val="24"/>
          <w:szCs w:val="24"/>
        </w:rPr>
      </w:pPr>
      <w:r w:rsidRPr="004427AD">
        <w:rPr>
          <w:b/>
          <w:sz w:val="24"/>
          <w:szCs w:val="24"/>
        </w:rPr>
        <w:t xml:space="preserve">Name of Opinion </w:t>
      </w:r>
      <w:r w:rsidRPr="004427AD">
        <w:rPr>
          <w:bCs/>
          <w:sz w:val="24"/>
          <w:szCs w:val="24"/>
        </w:rPr>
        <w:t xml:space="preserve"> People v. Renteria</w:t>
      </w:r>
    </w:p>
    <w:p w:rsidR="004427AD" w:rsidRPr="004427AD" w:rsidP="004427AD">
      <w:pPr>
        <w:spacing w:after="0" w:line="240" w:lineRule="auto"/>
        <w:jc w:val="left"/>
        <w:rPr>
          <w:b/>
          <w:sz w:val="24"/>
          <w:szCs w:val="24"/>
        </w:rPr>
      </w:pPr>
      <w:r w:rsidRPr="004427AD">
        <w:rPr>
          <w:b/>
          <w:sz w:val="24"/>
          <w:szCs w:val="24"/>
        </w:rPr>
        <w:t xml:space="preserve">__________________________________________________________ </w:t>
      </w:r>
    </w:p>
    <w:p w:rsidR="004427AD" w:rsidRPr="004427AD" w:rsidP="004427AD">
      <w:pPr>
        <w:spacing w:after="0" w:line="240" w:lineRule="auto"/>
        <w:jc w:val="left"/>
        <w:rPr>
          <w:b/>
          <w:sz w:val="24"/>
          <w:szCs w:val="24"/>
        </w:rPr>
      </w:pPr>
    </w:p>
    <w:p w:rsidR="004427AD" w:rsidRPr="004427AD" w:rsidP="004427AD">
      <w:pPr>
        <w:spacing w:after="0" w:line="240" w:lineRule="auto"/>
        <w:jc w:val="left"/>
        <w:rPr>
          <w:sz w:val="24"/>
          <w:szCs w:val="24"/>
        </w:rPr>
      </w:pPr>
      <w:r w:rsidRPr="004427AD">
        <w:rPr>
          <w:b/>
          <w:bCs/>
          <w:sz w:val="24"/>
          <w:szCs w:val="24"/>
          <w:u w:val="single"/>
        </w:rPr>
        <w:t>Procedural Posture</w:t>
      </w:r>
      <w:r w:rsidRPr="004427AD">
        <w:rPr>
          <w:b/>
          <w:bCs/>
          <w:sz w:val="24"/>
          <w:szCs w:val="24"/>
        </w:rPr>
        <w:t xml:space="preserve"> </w:t>
      </w:r>
      <w:r w:rsidRPr="004427AD">
        <w:rPr>
          <w:sz w:val="24"/>
          <w:szCs w:val="24"/>
        </w:rPr>
        <w:t>(see XX below)</w:t>
      </w:r>
    </w:p>
    <w:p w:rsidR="004427AD" w:rsidRPr="004427AD" w:rsidP="004427AD">
      <w:pPr>
        <w:spacing w:after="0" w:line="240" w:lineRule="auto"/>
        <w:jc w:val="left"/>
        <w:rPr>
          <w:sz w:val="24"/>
          <w:szCs w:val="24"/>
        </w:rPr>
      </w:pPr>
      <w:r w:rsidRPr="004427AD">
        <w:rPr>
          <w:b/>
          <w:bCs/>
          <w:sz w:val="24"/>
          <w:szCs w:val="24"/>
        </w:rPr>
        <w:t>Original Appeal</w:t>
      </w:r>
      <w:r w:rsidRPr="004427AD">
        <w:rPr>
          <w:sz w:val="24"/>
          <w:szCs w:val="24"/>
        </w:rPr>
        <w:t xml:space="preserve"> </w:t>
      </w:r>
    </w:p>
    <w:p w:rsidR="004427AD" w:rsidRPr="004427AD" w:rsidP="004427AD">
      <w:pPr>
        <w:spacing w:after="0" w:line="240" w:lineRule="auto"/>
        <w:jc w:val="left"/>
        <w:rPr>
          <w:b/>
          <w:bCs/>
          <w:sz w:val="24"/>
          <w:szCs w:val="24"/>
        </w:rPr>
      </w:pPr>
      <w:r w:rsidRPr="004427AD">
        <w:rPr>
          <w:b/>
          <w:bCs/>
          <w:sz w:val="24"/>
          <w:szCs w:val="24"/>
        </w:rPr>
        <w:t>Original Proceeding</w:t>
      </w:r>
    </w:p>
    <w:p w:rsidR="004427AD" w:rsidRPr="004427AD" w:rsidP="004427AD">
      <w:pPr>
        <w:spacing w:after="0" w:line="240" w:lineRule="auto"/>
        <w:jc w:val="left"/>
        <w:rPr>
          <w:sz w:val="24"/>
          <w:szCs w:val="24"/>
        </w:rPr>
      </w:pPr>
      <w:r w:rsidRPr="004427AD">
        <w:rPr>
          <w:b/>
          <w:bCs/>
          <w:sz w:val="24"/>
          <w:szCs w:val="24"/>
        </w:rPr>
        <w:t>Review Granted</w:t>
      </w:r>
      <w:r w:rsidRPr="004427AD">
        <w:rPr>
          <w:sz w:val="24"/>
          <w:szCs w:val="24"/>
        </w:rPr>
        <w:t xml:space="preserve"> </w:t>
      </w:r>
      <w:r w:rsidRPr="004427AD">
        <w:rPr>
          <w:b/>
          <w:bCs/>
          <w:sz w:val="24"/>
          <w:szCs w:val="24"/>
        </w:rPr>
        <w:t xml:space="preserve">(published) </w:t>
      </w:r>
    </w:p>
    <w:p w:rsidR="004427AD" w:rsidRPr="004427AD" w:rsidP="004427AD">
      <w:pPr>
        <w:spacing w:after="0" w:line="240" w:lineRule="auto"/>
        <w:jc w:val="left"/>
        <w:rPr>
          <w:sz w:val="24"/>
          <w:szCs w:val="24"/>
        </w:rPr>
      </w:pPr>
      <w:r w:rsidRPr="004427AD">
        <w:rPr>
          <w:b/>
          <w:bCs/>
          <w:sz w:val="24"/>
          <w:szCs w:val="24"/>
        </w:rPr>
        <w:t xml:space="preserve">Review Granted (unpublished) </w:t>
      </w:r>
      <w:r w:rsidRPr="004427AD">
        <w:rPr>
          <w:sz w:val="24"/>
          <w:szCs w:val="24"/>
        </w:rPr>
        <w:t>XX NP opn. filed 1/5/21 – 5th Dist.</w:t>
      </w:r>
    </w:p>
    <w:p w:rsidR="004427AD" w:rsidRPr="004427AD" w:rsidP="004427AD">
      <w:pPr>
        <w:spacing w:after="0" w:line="240" w:lineRule="auto"/>
        <w:jc w:val="left"/>
        <w:rPr>
          <w:b/>
          <w:bCs/>
          <w:sz w:val="24"/>
          <w:szCs w:val="24"/>
        </w:rPr>
      </w:pPr>
      <w:r w:rsidRPr="004427AD">
        <w:rPr>
          <w:b/>
          <w:bCs/>
          <w:sz w:val="24"/>
          <w:szCs w:val="24"/>
        </w:rPr>
        <w:t>Rehearing Granted</w:t>
      </w:r>
    </w:p>
    <w:p w:rsidR="004427AD" w:rsidRPr="004427AD" w:rsidP="004427AD">
      <w:pPr>
        <w:spacing w:after="0" w:line="240" w:lineRule="auto"/>
        <w:jc w:val="left"/>
        <w:rPr>
          <w:b/>
          <w:sz w:val="24"/>
          <w:szCs w:val="24"/>
        </w:rPr>
      </w:pPr>
      <w:r w:rsidRPr="004427AD">
        <w:rPr>
          <w:b/>
          <w:sz w:val="24"/>
          <w:szCs w:val="24"/>
        </w:rPr>
        <w:t xml:space="preserve">__________________________________________________________ </w:t>
      </w:r>
    </w:p>
    <w:p w:rsidR="004427AD" w:rsidRPr="004427AD" w:rsidP="004427AD">
      <w:pPr>
        <w:spacing w:after="0" w:line="240" w:lineRule="auto"/>
        <w:jc w:val="left"/>
        <w:rPr>
          <w:b/>
          <w:sz w:val="24"/>
          <w:szCs w:val="24"/>
        </w:rPr>
      </w:pPr>
    </w:p>
    <w:p w:rsidR="004427AD" w:rsidRPr="004427AD" w:rsidP="004427AD">
      <w:pPr>
        <w:spacing w:after="0" w:line="240" w:lineRule="auto"/>
        <w:jc w:val="left"/>
        <w:rPr>
          <w:bCs/>
          <w:sz w:val="24"/>
          <w:szCs w:val="24"/>
        </w:rPr>
      </w:pPr>
      <w:r w:rsidRPr="004427AD">
        <w:rPr>
          <w:b/>
          <w:sz w:val="24"/>
          <w:szCs w:val="24"/>
        </w:rPr>
        <w:t>Opinion No.</w:t>
      </w:r>
      <w:r w:rsidRPr="004427AD">
        <w:rPr>
          <w:sz w:val="24"/>
          <w:szCs w:val="24"/>
        </w:rPr>
        <w:t xml:space="preserve"> S266854</w:t>
      </w:r>
    </w:p>
    <w:p w:rsidR="004427AD" w:rsidRPr="004427AD" w:rsidP="004427AD">
      <w:pPr>
        <w:spacing w:after="0" w:line="240" w:lineRule="auto"/>
        <w:jc w:val="left"/>
        <w:rPr>
          <w:bCs/>
          <w:sz w:val="24"/>
          <w:szCs w:val="24"/>
        </w:rPr>
      </w:pPr>
      <w:r w:rsidRPr="004427AD">
        <w:rPr>
          <w:b/>
          <w:sz w:val="24"/>
          <w:szCs w:val="24"/>
        </w:rPr>
        <w:t>Date Filed:</w:t>
      </w:r>
      <w:r w:rsidRPr="004427AD">
        <w:rPr>
          <w:sz w:val="24"/>
          <w:szCs w:val="24"/>
        </w:rPr>
        <w:t xml:space="preserve">  August 25, 2022</w:t>
      </w:r>
    </w:p>
    <w:p w:rsidR="004427AD" w:rsidRPr="004427AD" w:rsidP="004427AD">
      <w:pPr>
        <w:spacing w:after="0" w:line="240" w:lineRule="auto"/>
        <w:jc w:val="left"/>
        <w:rPr>
          <w:b/>
          <w:sz w:val="24"/>
          <w:szCs w:val="24"/>
        </w:rPr>
      </w:pPr>
      <w:r w:rsidRPr="004427AD">
        <w:rPr>
          <w:b/>
          <w:sz w:val="24"/>
          <w:szCs w:val="24"/>
        </w:rPr>
        <w:t xml:space="preserve">__________________________________________________________ </w:t>
      </w:r>
    </w:p>
    <w:p w:rsidR="004427AD" w:rsidRPr="004427AD" w:rsidP="004427AD">
      <w:pPr>
        <w:spacing w:after="0" w:line="240" w:lineRule="auto"/>
        <w:jc w:val="left"/>
        <w:rPr>
          <w:b/>
          <w:sz w:val="24"/>
          <w:szCs w:val="24"/>
        </w:rPr>
      </w:pPr>
    </w:p>
    <w:p w:rsidR="004427AD" w:rsidRPr="004427AD" w:rsidP="004427AD">
      <w:pPr>
        <w:spacing w:after="0" w:line="240" w:lineRule="auto"/>
        <w:jc w:val="left"/>
        <w:rPr>
          <w:bCs/>
          <w:sz w:val="24"/>
          <w:szCs w:val="24"/>
        </w:rPr>
      </w:pPr>
      <w:r w:rsidRPr="004427AD">
        <w:rPr>
          <w:b/>
          <w:sz w:val="24"/>
          <w:szCs w:val="24"/>
        </w:rPr>
        <w:t xml:space="preserve">Court:  </w:t>
      </w:r>
      <w:r w:rsidRPr="004427AD">
        <w:rPr>
          <w:bCs/>
          <w:sz w:val="24"/>
          <w:szCs w:val="24"/>
        </w:rPr>
        <w:t>Superior</w:t>
      </w:r>
      <w:r w:rsidRPr="004427AD">
        <w:rPr>
          <w:b/>
          <w:sz w:val="24"/>
          <w:szCs w:val="24"/>
        </w:rPr>
        <w:t xml:space="preserve"> </w:t>
      </w:r>
    </w:p>
    <w:p w:rsidR="004427AD" w:rsidRPr="004427AD" w:rsidP="004427AD">
      <w:pPr>
        <w:spacing w:after="0" w:line="240" w:lineRule="auto"/>
        <w:jc w:val="left"/>
        <w:rPr>
          <w:bCs/>
          <w:sz w:val="24"/>
          <w:szCs w:val="24"/>
        </w:rPr>
      </w:pPr>
      <w:r w:rsidRPr="004427AD">
        <w:rPr>
          <w:b/>
          <w:sz w:val="24"/>
          <w:szCs w:val="24"/>
        </w:rPr>
        <w:t xml:space="preserve">County:  </w:t>
      </w:r>
      <w:r w:rsidRPr="004427AD">
        <w:rPr>
          <w:bCs/>
          <w:sz w:val="24"/>
          <w:szCs w:val="24"/>
        </w:rPr>
        <w:t>Tulare</w:t>
      </w:r>
    </w:p>
    <w:p w:rsidR="004427AD" w:rsidRPr="004427AD" w:rsidP="004427AD">
      <w:pPr>
        <w:spacing w:after="0" w:line="240" w:lineRule="auto"/>
        <w:ind w:left="720" w:hanging="720"/>
        <w:jc w:val="left"/>
        <w:rPr>
          <w:bCs/>
          <w:sz w:val="24"/>
          <w:szCs w:val="24"/>
        </w:rPr>
      </w:pPr>
      <w:r w:rsidRPr="004427AD">
        <w:rPr>
          <w:b/>
          <w:sz w:val="24"/>
          <w:szCs w:val="24"/>
        </w:rPr>
        <w:t xml:space="preserve">Judge:  </w:t>
      </w:r>
      <w:r w:rsidRPr="004427AD">
        <w:rPr>
          <w:bCs/>
          <w:sz w:val="24"/>
          <w:szCs w:val="24"/>
        </w:rPr>
        <w:t>Kathryn T. Montejano</w:t>
      </w:r>
    </w:p>
    <w:p w:rsidR="004427AD" w:rsidRPr="004427AD" w:rsidP="004427AD">
      <w:pPr>
        <w:spacing w:after="0" w:line="240" w:lineRule="auto"/>
        <w:jc w:val="left"/>
        <w:rPr>
          <w:b/>
          <w:sz w:val="24"/>
          <w:szCs w:val="24"/>
        </w:rPr>
      </w:pPr>
      <w:r w:rsidRPr="004427AD">
        <w:rPr>
          <w:b/>
          <w:sz w:val="24"/>
          <w:szCs w:val="24"/>
        </w:rPr>
        <w:t xml:space="preserve">__________________________________________________________  </w:t>
      </w:r>
    </w:p>
    <w:p w:rsidR="004427AD" w:rsidRPr="004427AD" w:rsidP="004427AD">
      <w:pPr>
        <w:spacing w:after="0" w:line="240" w:lineRule="auto"/>
        <w:jc w:val="left"/>
        <w:rPr>
          <w:b/>
          <w:sz w:val="24"/>
          <w:szCs w:val="24"/>
        </w:rPr>
      </w:pPr>
    </w:p>
    <w:p w:rsidR="004427AD" w:rsidRPr="004427AD" w:rsidP="004427AD">
      <w:pPr>
        <w:spacing w:after="0" w:line="240" w:lineRule="auto"/>
        <w:jc w:val="left"/>
        <w:rPr>
          <w:b/>
          <w:sz w:val="24"/>
          <w:szCs w:val="24"/>
        </w:rPr>
      </w:pPr>
      <w:r w:rsidRPr="004427AD">
        <w:rPr>
          <w:b/>
          <w:sz w:val="24"/>
          <w:szCs w:val="24"/>
        </w:rPr>
        <w:t>Counsel:</w:t>
      </w:r>
    </w:p>
    <w:p w:rsidR="004427AD" w:rsidRPr="004427AD" w:rsidP="004427AD">
      <w:pPr>
        <w:spacing w:after="0" w:line="240" w:lineRule="auto"/>
        <w:jc w:val="left"/>
        <w:rPr>
          <w:b/>
          <w:sz w:val="24"/>
          <w:szCs w:val="24"/>
        </w:rPr>
      </w:pPr>
    </w:p>
    <w:p w:rsidR="004427AD" w:rsidRPr="004427AD" w:rsidP="004427AD">
      <w:pPr>
        <w:spacing w:after="0" w:line="240" w:lineRule="auto"/>
        <w:jc w:val="left"/>
        <w:rPr>
          <w:bCs/>
          <w:sz w:val="24"/>
          <w:szCs w:val="24"/>
        </w:rPr>
      </w:pPr>
      <w:r w:rsidRPr="004427AD">
        <w:rPr>
          <w:bCs/>
          <w:sz w:val="24"/>
          <w:szCs w:val="24"/>
        </w:rPr>
        <w:t>James Bisnow, under appointment by the Supreme Court, for Defendant and Appellant.</w:t>
      </w:r>
    </w:p>
    <w:p w:rsidR="004427AD" w:rsidRPr="004427AD" w:rsidP="004427AD">
      <w:pPr>
        <w:spacing w:after="0" w:line="240" w:lineRule="auto"/>
        <w:jc w:val="left"/>
        <w:rPr>
          <w:bCs/>
          <w:sz w:val="24"/>
          <w:szCs w:val="24"/>
        </w:rPr>
      </w:pPr>
    </w:p>
    <w:p w:rsidR="004427AD" w:rsidRPr="004427AD" w:rsidP="004427AD">
      <w:pPr>
        <w:spacing w:after="0" w:line="240" w:lineRule="auto"/>
        <w:jc w:val="left"/>
        <w:rPr>
          <w:bCs/>
          <w:sz w:val="24"/>
          <w:szCs w:val="24"/>
        </w:rPr>
      </w:pPr>
      <w:r w:rsidRPr="004427AD">
        <w:rPr>
          <w:bCs/>
          <w:sz w:val="24"/>
          <w:szCs w:val="24"/>
        </w:rPr>
        <w:t>Mary K. McComb, State Public Defender, Hassan Gorguinpour and Alyssa Mellott, Deputy State Public Defenders, for the Office of the State Public Defender as Amicus Curiae on behalf of Defendant and Appellant.</w:t>
      </w:r>
    </w:p>
    <w:p w:rsidR="004427AD" w:rsidRPr="004427AD" w:rsidP="004427AD">
      <w:pPr>
        <w:spacing w:after="0" w:line="240" w:lineRule="auto"/>
        <w:jc w:val="left"/>
        <w:rPr>
          <w:bCs/>
          <w:sz w:val="24"/>
          <w:szCs w:val="24"/>
        </w:rPr>
      </w:pPr>
    </w:p>
    <w:p w:rsidR="004427AD" w:rsidRPr="004427AD" w:rsidP="004427AD">
      <w:pPr>
        <w:spacing w:after="0" w:line="240" w:lineRule="auto"/>
        <w:jc w:val="left"/>
        <w:rPr>
          <w:bCs/>
          <w:sz w:val="24"/>
          <w:szCs w:val="24"/>
        </w:rPr>
      </w:pPr>
      <w:r w:rsidRPr="004427AD">
        <w:rPr>
          <w:bCs/>
          <w:sz w:val="24"/>
          <w:szCs w:val="24"/>
        </w:rPr>
        <w:t>Xavier Becerra and Rob Bonta, Attorneys General, Lance E. Winters and Gerald A. Engler, Chief Assistant Attorneys General, Michael P. Farrell, Assistant Attorney General, Louis M. Vasquez, Darren K. Indermill, Rachelle A. Newcomb, Cavan M. Cox II and Lewis A. Martinez, Deputy Attorneys General, for Plaintiff and Respondent.</w:t>
      </w:r>
    </w:p>
    <w:p w:rsidR="004427AD" w:rsidRPr="004427AD" w:rsidP="004427AD">
      <w:pPr>
        <w:spacing w:after="0" w:line="240" w:lineRule="auto"/>
        <w:jc w:val="left"/>
        <w:rPr>
          <w:b/>
          <w:sz w:val="24"/>
          <w:szCs w:val="24"/>
        </w:rPr>
      </w:pPr>
      <w:r w:rsidRPr="004427AD">
        <w:rPr>
          <w:bCs/>
          <w:color w:val="212121"/>
          <w:sz w:val="24"/>
          <w:szCs w:val="24"/>
          <w:shd w:val="clear" w:color="auto" w:fill="FFFFFF"/>
        </w:rPr>
        <w:br w:type="page"/>
      </w:r>
      <w:r w:rsidRPr="004427AD">
        <w:rPr>
          <w:b/>
          <w:sz w:val="24"/>
          <w:szCs w:val="24"/>
        </w:rPr>
        <w:t>Counsel who argued in Supreme Court (not intended for publication with opinion):</w:t>
      </w:r>
    </w:p>
    <w:p w:rsidR="004427AD" w:rsidRPr="004427AD" w:rsidP="004427AD">
      <w:pPr>
        <w:spacing w:after="0" w:line="240" w:lineRule="auto"/>
        <w:jc w:val="left"/>
        <w:rPr>
          <w:b/>
          <w:sz w:val="24"/>
          <w:szCs w:val="24"/>
        </w:rPr>
      </w:pPr>
    </w:p>
    <w:p w:rsidR="004427AD" w:rsidRPr="004427AD" w:rsidP="004427AD">
      <w:pPr>
        <w:spacing w:after="0" w:line="240" w:lineRule="auto"/>
        <w:jc w:val="left"/>
        <w:rPr>
          <w:bCs/>
          <w:color w:val="212121"/>
          <w:sz w:val="24"/>
          <w:szCs w:val="24"/>
          <w:shd w:val="clear" w:color="auto" w:fill="FFFFFF"/>
        </w:rPr>
      </w:pPr>
      <w:bookmarkEnd w:id="9"/>
      <w:r w:rsidRPr="004427AD">
        <w:rPr>
          <w:bCs/>
          <w:color w:val="212121"/>
          <w:sz w:val="24"/>
          <w:szCs w:val="24"/>
          <w:shd w:val="clear" w:color="auto" w:fill="FFFFFF"/>
        </w:rPr>
        <w:t>James Bisnow</w:t>
      </w:r>
    </w:p>
    <w:p w:rsidR="004427AD" w:rsidRPr="004427AD" w:rsidP="004427AD">
      <w:pPr>
        <w:spacing w:after="0" w:line="240" w:lineRule="auto"/>
        <w:jc w:val="left"/>
        <w:rPr>
          <w:bCs/>
          <w:color w:val="212121"/>
          <w:sz w:val="24"/>
          <w:szCs w:val="24"/>
          <w:shd w:val="clear" w:color="auto" w:fill="FFFFFF"/>
        </w:rPr>
      </w:pPr>
      <w:r w:rsidRPr="004427AD">
        <w:rPr>
          <w:bCs/>
          <w:color w:val="212121"/>
          <w:sz w:val="24"/>
          <w:szCs w:val="24"/>
          <w:shd w:val="clear" w:color="auto" w:fill="FFFFFF"/>
        </w:rPr>
        <w:t>117 East Colorado Boulevard, Suite 600</w:t>
      </w:r>
    </w:p>
    <w:p w:rsidR="004427AD" w:rsidRPr="004427AD" w:rsidP="004427AD">
      <w:pPr>
        <w:spacing w:after="0" w:line="240" w:lineRule="auto"/>
        <w:jc w:val="left"/>
        <w:rPr>
          <w:bCs/>
          <w:color w:val="212121"/>
          <w:sz w:val="24"/>
          <w:szCs w:val="24"/>
          <w:shd w:val="clear" w:color="auto" w:fill="FFFFFF"/>
        </w:rPr>
      </w:pPr>
      <w:r w:rsidRPr="004427AD">
        <w:rPr>
          <w:bCs/>
          <w:color w:val="212121"/>
          <w:sz w:val="24"/>
          <w:szCs w:val="24"/>
          <w:shd w:val="clear" w:color="auto" w:fill="FFFFFF"/>
        </w:rPr>
        <w:t>Pasadena, CA 91105</w:t>
      </w:r>
    </w:p>
    <w:p w:rsidR="004427AD" w:rsidRPr="004427AD" w:rsidP="004427AD">
      <w:pPr>
        <w:spacing w:after="0" w:line="240" w:lineRule="auto"/>
        <w:jc w:val="left"/>
        <w:rPr>
          <w:bCs/>
          <w:color w:val="212121"/>
          <w:sz w:val="24"/>
          <w:szCs w:val="24"/>
          <w:shd w:val="clear" w:color="auto" w:fill="FFFFFF"/>
        </w:rPr>
      </w:pPr>
      <w:r w:rsidRPr="004427AD">
        <w:rPr>
          <w:bCs/>
          <w:color w:val="212121"/>
          <w:sz w:val="24"/>
          <w:szCs w:val="24"/>
          <w:shd w:val="clear" w:color="auto" w:fill="FFFFFF"/>
        </w:rPr>
        <w:t>(626) 229-9665</w:t>
      </w:r>
      <w:r w:rsidRPr="004427AD">
        <w:rPr>
          <w:bCs/>
          <w:color w:val="212121"/>
          <w:sz w:val="24"/>
          <w:szCs w:val="24"/>
          <w:shd w:val="clear" w:color="auto" w:fill="FFFFFF"/>
        </w:rPr>
        <w:cr/>
      </w:r>
    </w:p>
    <w:p w:rsidR="004427AD" w:rsidRPr="004427AD" w:rsidP="004427AD">
      <w:pPr>
        <w:spacing w:after="0" w:line="240" w:lineRule="auto"/>
        <w:jc w:val="left"/>
        <w:rPr>
          <w:bCs/>
          <w:sz w:val="24"/>
          <w:szCs w:val="24"/>
        </w:rPr>
      </w:pPr>
      <w:r w:rsidRPr="004427AD">
        <w:rPr>
          <w:bCs/>
          <w:sz w:val="24"/>
          <w:szCs w:val="24"/>
        </w:rPr>
        <w:t xml:space="preserve">Lewis A. Martinez </w:t>
      </w:r>
    </w:p>
    <w:p w:rsidR="004427AD" w:rsidRPr="004427AD" w:rsidP="004427AD">
      <w:pPr>
        <w:spacing w:after="0" w:line="240" w:lineRule="auto"/>
        <w:jc w:val="left"/>
        <w:rPr>
          <w:bCs/>
          <w:sz w:val="24"/>
          <w:szCs w:val="24"/>
        </w:rPr>
      </w:pPr>
      <w:r w:rsidRPr="004427AD">
        <w:rPr>
          <w:bCs/>
          <w:sz w:val="24"/>
          <w:szCs w:val="24"/>
        </w:rPr>
        <w:t>Deputy Attorney General</w:t>
      </w:r>
    </w:p>
    <w:p w:rsidR="004427AD" w:rsidRPr="004427AD" w:rsidP="004427AD">
      <w:pPr>
        <w:spacing w:after="0" w:line="240" w:lineRule="auto"/>
        <w:jc w:val="left"/>
        <w:rPr>
          <w:bCs/>
          <w:sz w:val="24"/>
          <w:szCs w:val="24"/>
        </w:rPr>
      </w:pPr>
      <w:r w:rsidRPr="004427AD">
        <w:rPr>
          <w:bCs/>
          <w:sz w:val="24"/>
          <w:szCs w:val="24"/>
        </w:rPr>
        <w:t>2550 Mariposa Mall, Room 5090</w:t>
      </w:r>
    </w:p>
    <w:p w:rsidR="004427AD" w:rsidRPr="004427AD" w:rsidP="004427AD">
      <w:pPr>
        <w:spacing w:after="0" w:line="240" w:lineRule="auto"/>
        <w:jc w:val="left"/>
        <w:rPr>
          <w:bCs/>
          <w:sz w:val="24"/>
          <w:szCs w:val="24"/>
        </w:rPr>
      </w:pPr>
      <w:r w:rsidRPr="004427AD">
        <w:rPr>
          <w:bCs/>
          <w:sz w:val="24"/>
          <w:szCs w:val="24"/>
        </w:rPr>
        <w:t>Fresno, CA 93721</w:t>
      </w:r>
    </w:p>
    <w:p w:rsidR="004427AD" w:rsidRPr="004427AD" w:rsidP="004427AD">
      <w:pPr>
        <w:spacing w:after="0" w:line="240" w:lineRule="auto"/>
        <w:jc w:val="left"/>
        <w:rPr>
          <w:bCs/>
          <w:sz w:val="24"/>
          <w:szCs w:val="24"/>
        </w:rPr>
      </w:pPr>
      <w:r w:rsidRPr="004427AD">
        <w:rPr>
          <w:bCs/>
          <w:sz w:val="24"/>
          <w:szCs w:val="24"/>
        </w:rPr>
        <w:t>(559) 705-2308</w:t>
      </w:r>
    </w:p>
    <w:p w:rsidR="004427AD" w:rsidRPr="004427AD" w:rsidP="004427AD">
      <w:pPr>
        <w:spacing w:after="0" w:line="240" w:lineRule="auto"/>
        <w:jc w:val="left"/>
        <w:rPr>
          <w:bCs/>
          <w:sz w:val="24"/>
          <w:szCs w:val="24"/>
        </w:rPr>
      </w:pPr>
    </w:p>
    <w:p w:rsidR="004427AD" w:rsidRPr="004427AD" w:rsidP="004427AD">
      <w:pPr>
        <w:spacing w:after="0" w:line="240" w:lineRule="auto"/>
        <w:jc w:val="left"/>
        <w:rPr>
          <w:bCs/>
          <w:sz w:val="24"/>
          <w:szCs w:val="24"/>
        </w:rPr>
      </w:pPr>
      <w:r w:rsidRPr="004427AD">
        <w:rPr>
          <w:bCs/>
          <w:sz w:val="24"/>
          <w:szCs w:val="24"/>
        </w:rPr>
        <w:t xml:space="preserve">Alyssa Mellott </w:t>
      </w:r>
    </w:p>
    <w:p w:rsidR="004427AD" w:rsidRPr="004427AD" w:rsidP="004427AD">
      <w:pPr>
        <w:spacing w:after="0" w:line="240" w:lineRule="auto"/>
        <w:jc w:val="left"/>
        <w:rPr>
          <w:bCs/>
          <w:sz w:val="24"/>
          <w:szCs w:val="24"/>
        </w:rPr>
      </w:pPr>
      <w:r w:rsidRPr="004427AD">
        <w:rPr>
          <w:bCs/>
          <w:sz w:val="24"/>
          <w:szCs w:val="24"/>
        </w:rPr>
        <w:t>Deputy State Public Defender</w:t>
      </w:r>
    </w:p>
    <w:p w:rsidR="004427AD" w:rsidRPr="004427AD" w:rsidP="004427AD">
      <w:pPr>
        <w:spacing w:after="0" w:line="240" w:lineRule="auto"/>
        <w:jc w:val="left"/>
        <w:rPr>
          <w:bCs/>
          <w:color w:val="212121"/>
          <w:sz w:val="24"/>
          <w:szCs w:val="24"/>
          <w:shd w:val="clear" w:color="auto" w:fill="FFFFFF"/>
        </w:rPr>
      </w:pPr>
      <w:r w:rsidRPr="004427AD">
        <w:rPr>
          <w:bCs/>
          <w:color w:val="212121"/>
          <w:sz w:val="24"/>
          <w:szCs w:val="24"/>
          <w:shd w:val="clear" w:color="auto" w:fill="FFFFFF"/>
        </w:rPr>
        <w:t>1111 Broadway, Suite 1000</w:t>
      </w:r>
    </w:p>
    <w:p w:rsidR="004427AD" w:rsidRPr="004427AD" w:rsidP="004427AD">
      <w:pPr>
        <w:spacing w:after="0" w:line="240" w:lineRule="auto"/>
        <w:jc w:val="left"/>
        <w:rPr>
          <w:bCs/>
          <w:color w:val="212121"/>
          <w:sz w:val="24"/>
          <w:szCs w:val="24"/>
          <w:shd w:val="clear" w:color="auto" w:fill="FFFFFF"/>
        </w:rPr>
      </w:pPr>
      <w:r w:rsidRPr="004427AD">
        <w:rPr>
          <w:bCs/>
          <w:color w:val="212121"/>
          <w:sz w:val="24"/>
          <w:szCs w:val="24"/>
          <w:shd w:val="clear" w:color="auto" w:fill="FFFFFF"/>
        </w:rPr>
        <w:t>Oakland, CA 94602</w:t>
      </w:r>
    </w:p>
    <w:p w:rsidR="004427AD" w:rsidRPr="004427AD" w:rsidP="004427AD">
      <w:pPr>
        <w:spacing w:after="0" w:line="240" w:lineRule="auto"/>
        <w:jc w:val="left"/>
        <w:rPr>
          <w:bCs/>
          <w:color w:val="212121"/>
          <w:sz w:val="24"/>
          <w:szCs w:val="24"/>
          <w:shd w:val="clear" w:color="auto" w:fill="FFFFFF"/>
        </w:rPr>
      </w:pPr>
      <w:r w:rsidRPr="004427AD">
        <w:rPr>
          <w:bCs/>
          <w:color w:val="212121"/>
          <w:sz w:val="24"/>
          <w:szCs w:val="24"/>
          <w:shd w:val="clear" w:color="auto" w:fill="FFFFFF"/>
        </w:rPr>
        <w:t>(510) 267-3300</w:t>
      </w:r>
    </w:p>
    <w:p w:rsidR="002660C3" w:rsidP="00672FC4">
      <w:pPr>
        <w:tabs>
          <w:tab w:val="left" w:pos="1440"/>
          <w:tab w:val="left" w:pos="5040"/>
        </w:tabs>
        <w:spacing w:after="0" w:line="240" w:lineRule="auto"/>
        <w:rPr>
          <w:b/>
          <w:bCs/>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1A0">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96F">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E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E1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57B0">
      <w:r>
        <w:separator/>
      </w:r>
    </w:p>
  </w:footnote>
  <w:footnote w:type="continuationSeparator" w:id="1">
    <w:p w:rsidR="00F857B0">
      <w:pPr>
        <w:rPr>
          <w:sz w:val="22"/>
        </w:rPr>
      </w:pPr>
      <w:r>
        <w:continuationSeparator/>
      </w:r>
    </w:p>
  </w:footnote>
  <w:footnote w:type="continuationNotice" w:id="2">
    <w:p w:rsidR="00F857B0">
      <w:pPr>
        <w:jc w:val="right"/>
        <w:rPr>
          <w:i/>
          <w:sz w:val="20"/>
        </w:rPr>
      </w:pPr>
    </w:p>
  </w:footnote>
  <w:footnote w:id="3">
    <w:p w:rsidR="00E422E0">
      <w:pPr>
        <w:pStyle w:val="FootnoteText"/>
      </w:pPr>
      <w:r>
        <w:rPr>
          <w:rStyle w:val="FootnoteReference"/>
        </w:rPr>
        <w:footnoteRef/>
      </w:r>
      <w:r>
        <w:t xml:space="preserve"> </w:t>
      </w:r>
      <w:r>
        <w:tab/>
      </w:r>
      <w:r w:rsidR="001472D6">
        <w:t>W</w:t>
      </w:r>
      <w:r w:rsidR="00153735">
        <w:t xml:space="preserve">e identify the witnesses as they were identified in the opinion of the Court of Appeal.  </w:t>
      </w:r>
      <w:r>
        <w:t xml:space="preserve">(See </w:t>
      </w:r>
      <w:r w:rsidR="00A652B8">
        <w:t>Cal. Rules of Court, rule 8.90(b).)</w:t>
      </w:r>
    </w:p>
  </w:footnote>
  <w:footnote w:id="4">
    <w:p w:rsidR="0045522D" w:rsidP="0045522D">
      <w:pPr>
        <w:pStyle w:val="FootnoteText"/>
      </w:pPr>
      <w:r>
        <w:rPr>
          <w:rStyle w:val="FootnoteReference"/>
        </w:rPr>
        <w:footnoteRef/>
      </w:r>
      <w:r>
        <w:t xml:space="preserve"> </w:t>
      </w:r>
      <w:r>
        <w:tab/>
        <w:t>At trial, counsel and the witnesses used “Southerner” and the Spanish “Sureño” interchangeably to signify a member of the gang.  Similarly, they used “Northerner” and “Norteño” to signify the rival gang.</w:t>
      </w:r>
    </w:p>
  </w:footnote>
  <w:footnote w:id="5">
    <w:p w:rsidR="008C2B28" w:rsidP="004D4B6D">
      <w:pPr>
        <w:pStyle w:val="FootnoteText"/>
      </w:pPr>
      <w:r>
        <w:rPr>
          <w:rStyle w:val="FootnoteReference"/>
        </w:rPr>
        <w:footnoteRef/>
      </w:r>
      <w:r>
        <w:t xml:space="preserve"> </w:t>
      </w:r>
      <w:r>
        <w:tab/>
      </w:r>
      <w:r w:rsidR="000F7066">
        <w:t xml:space="preserve">The prosecution also charged Renteria with grossly negligent discharge of a firearm for an incident that occurred </w:t>
      </w:r>
      <w:r w:rsidR="001D7865">
        <w:t xml:space="preserve">the </w:t>
      </w:r>
      <w:r w:rsidR="004A571B">
        <w:t xml:space="preserve">previous </w:t>
      </w:r>
      <w:r w:rsidR="000F7066">
        <w:t>evening, but the jury acquitted Renteria on this count.</w:t>
      </w:r>
    </w:p>
  </w:footnote>
  <w:footnote w:id="6">
    <w:p w:rsidR="00C923F6" w:rsidP="00C923F6">
      <w:pPr>
        <w:pStyle w:val="FootnoteText"/>
      </w:pPr>
      <w:r>
        <w:rPr>
          <w:rStyle w:val="FootnoteReference"/>
        </w:rPr>
        <w:footnoteRef/>
      </w:r>
      <w:r>
        <w:t xml:space="preserve"> </w:t>
      </w:r>
      <w:r>
        <w:tab/>
      </w:r>
      <w:r w:rsidRPr="00F461F4">
        <w:t xml:space="preserve">“As we have previously explained, a sentence enhancement adds ‘ “an additional term of imprisonment to the base term,” ’ while an alternate penalty like section 186.22(b)(4) ‘ “provides for an alternate sentence when it is proven that the underlying offense has been committed for the benefit of, or in association with, a criminal street gang.” ’ </w:t>
      </w:r>
      <w:r w:rsidR="001239FA">
        <w:t xml:space="preserve"> </w:t>
      </w:r>
      <w:r w:rsidRPr="00F461F4">
        <w:t>[Citation.]  Both types of provisions differ from substantive offenses in that they do not ‘ “define or set forth elements of a new crime.” ’</w:t>
      </w:r>
      <w:r w:rsidR="00FB614F">
        <w:t> ”</w:t>
      </w:r>
      <w:r w:rsidRPr="00F461F4">
        <w:t xml:space="preserve">  (</w:t>
      </w:r>
      <w:r w:rsidRPr="00F461F4">
        <w:rPr>
          <w:i/>
          <w:iCs/>
        </w:rPr>
        <w:t>People v. Lopez</w:t>
      </w:r>
      <w:r w:rsidRPr="00F461F4">
        <w:t xml:space="preserve"> (2022) 12 Cal.5th 957, 962, fn. 4.)</w:t>
      </w:r>
    </w:p>
  </w:footnote>
  <w:footnote w:id="7">
    <w:p w:rsidR="00D3761C" w:rsidP="00D3761C">
      <w:pPr>
        <w:pStyle w:val="FootnoteText"/>
      </w:pPr>
      <w:r>
        <w:rPr>
          <w:rStyle w:val="FootnoteReference"/>
        </w:rPr>
        <w:footnoteRef/>
      </w:r>
      <w:r>
        <w:tab/>
        <w:t>The alternate penalty provision that applied to Renteria, section 186.22(b)(4), provides for an indeterminate life term for particular enumerated felonies, including shooting at an inhabited dwelling.  Section 186.22(b)(1) applies to other felonies and imposes a sentence enhancement of lesser, determinate terms.  Both subdivisions, however, contain the identically worded requirement that the felony be comm</w:t>
      </w:r>
      <w:r w:rsidRPr="0025712F">
        <w:t xml:space="preserve">itted </w:t>
      </w:r>
      <w:r>
        <w:t xml:space="preserve">for the </w:t>
      </w:r>
      <w:r w:rsidRPr="0025712F">
        <w:t xml:space="preserve">benefit </w:t>
      </w:r>
      <w:r>
        <w:t xml:space="preserve">of the gang and to </w:t>
      </w:r>
      <w:r w:rsidRPr="0025712F">
        <w:t>promote</w:t>
      </w:r>
      <w:r>
        <w:t xml:space="preserve"> the criminal conduct of its members.  </w:t>
      </w:r>
      <w:r w:rsidRPr="00A12A4B">
        <w:t>We therefore use the shorthand “section 186.22(b)” or “gang enhancement statute” in discussing the felony requirements at issue here and refer to those requirements generally as “enhancement provisions.”</w:t>
      </w:r>
      <w:r>
        <w:t xml:space="preserve">  </w:t>
      </w:r>
    </w:p>
    <w:p w:rsidR="00D3761C" w:rsidP="00D3761C">
      <w:pPr>
        <w:pStyle w:val="FootnoteText"/>
        <w:ind w:firstLine="720"/>
      </w:pPr>
      <w:r>
        <w:t xml:space="preserve">Assembly Bill </w:t>
      </w:r>
      <w:r w:rsidR="00FB614F">
        <w:t>No. </w:t>
      </w:r>
      <w:r>
        <w:t xml:space="preserve">333 </w:t>
      </w:r>
      <w:r w:rsidR="00FB614F">
        <w:t>(2021</w:t>
      </w:r>
      <w:r w:rsidRPr="00C32EB5" w:rsidR="00FB614F">
        <w:t>–</w:t>
      </w:r>
      <w:r w:rsidR="00FB614F">
        <w:t xml:space="preserve">2022 Reg. Sess.) </w:t>
      </w:r>
      <w:r>
        <w:t>has since amended some of these requirements.  (</w:t>
      </w:r>
      <w:r w:rsidRPr="00CC3446">
        <w:t xml:space="preserve">See </w:t>
      </w:r>
      <w:r w:rsidRPr="007A04AA">
        <w:t>f</w:t>
      </w:r>
      <w:r>
        <w:t>n.</w:t>
      </w:r>
      <w:r w:rsidRPr="007A04AA">
        <w:t xml:space="preserve"> </w:t>
      </w:r>
      <w:r w:rsidR="00C51D39">
        <w:t>6</w:t>
      </w:r>
      <w:r w:rsidRPr="00CC3446">
        <w:t xml:space="preserve">, </w:t>
      </w:r>
      <w:r w:rsidRPr="00FB614F" w:rsidR="00C51D39">
        <w:rPr>
          <w:i/>
          <w:iCs/>
        </w:rPr>
        <w:t>post</w:t>
      </w:r>
      <w:r>
        <w:t xml:space="preserve">.)  Unless otherwise noted, we refer to the law as it existed at the time of Renteria’s conviction. </w:t>
      </w:r>
    </w:p>
  </w:footnote>
  <w:footnote w:id="8">
    <w:p w:rsidR="003E0912" w:rsidP="004E18B9">
      <w:pPr>
        <w:pStyle w:val="FootnoteText"/>
      </w:pPr>
      <w:r>
        <w:rPr>
          <w:rStyle w:val="FootnoteReference"/>
        </w:rPr>
        <w:footnoteRef/>
      </w:r>
      <w:r>
        <w:tab/>
      </w:r>
      <w:r w:rsidR="00D20390">
        <w:t xml:space="preserve">Assembly Bill 333 </w:t>
      </w:r>
      <w:r w:rsidR="00DC31B0">
        <w:t xml:space="preserve">has </w:t>
      </w:r>
      <w:r w:rsidR="00D20390">
        <w:t>made several noteworthy changes to the law governing gang enhancements and penalties</w:t>
      </w:r>
      <w:r w:rsidR="00BE7216">
        <w:t xml:space="preserve">.  First, </w:t>
      </w:r>
      <w:r w:rsidR="00E57DB3">
        <w:t xml:space="preserve">Assembly Bill 333 </w:t>
      </w:r>
      <w:r w:rsidR="00062518">
        <w:t>“</w:t>
      </w:r>
      <w:r w:rsidR="00E57DB3">
        <w:t xml:space="preserve">narrows the definition of ‘ “criminal street gang” ’ to ‘an </w:t>
      </w:r>
      <w:r w:rsidR="00E57DB3">
        <w:rPr>
          <w:i/>
          <w:iCs/>
        </w:rPr>
        <w:t>ongoing, organized association or group</w:t>
      </w:r>
      <w:r w:rsidR="00E57DB3">
        <w:t xml:space="preserve"> of three or more persons, whether formal or informal, having as one of its primary activities the commission of one or more [enumerated criminal acts], having a common name or common identifying sign or symbol, and whose members </w:t>
      </w:r>
      <w:r w:rsidR="00E57DB3">
        <w:rPr>
          <w:i/>
          <w:iCs/>
        </w:rPr>
        <w:t>collectively</w:t>
      </w:r>
      <w:r w:rsidR="00E57DB3">
        <w:t xml:space="preserve"> engage in, or have engaged in, a pattern of criminal gang activity.’  (Assem. Bill 333, § 3</w:t>
      </w:r>
      <w:r w:rsidR="00BD75E6">
        <w:t>;</w:t>
      </w:r>
      <w:r w:rsidR="002170B6">
        <w:t xml:space="preserve"> </w:t>
      </w:r>
      <w:r w:rsidR="00BD75E6">
        <w:t xml:space="preserve">[Pen. Code,] </w:t>
      </w:r>
      <w:r w:rsidR="00E57DB3">
        <w:t xml:space="preserve">§ 186.22, subd. (f), </w:t>
      </w:r>
      <w:r w:rsidR="00487953">
        <w:t xml:space="preserve">[as </w:t>
      </w:r>
      <w:r w:rsidR="009348F2">
        <w:t>amended</w:t>
      </w:r>
      <w:r w:rsidR="00487953">
        <w:t xml:space="preserve"> by Stats. 2021, ch. 699, </w:t>
      </w:r>
      <w:r w:rsidR="00A219E0">
        <w:t>§ </w:t>
      </w:r>
      <w:r w:rsidR="00487953">
        <w:t xml:space="preserve">3,] </w:t>
      </w:r>
      <w:r w:rsidR="00E57DB3">
        <w:t>eff. Jan. 1, 2022, italics added.)”  (</w:t>
      </w:r>
      <w:r w:rsidRPr="00851F5E" w:rsidR="00E57DB3">
        <w:rPr>
          <w:i/>
          <w:iCs/>
        </w:rPr>
        <w:t>People v. Lopez</w:t>
      </w:r>
      <w:r w:rsidR="00E57DB3">
        <w:t xml:space="preserve"> (2021) 73 Cal.App.5th 327, 344.)  Assembly Bill 333 also increase</w:t>
      </w:r>
      <w:r w:rsidR="00DC31B0">
        <w:t>s</w:t>
      </w:r>
      <w:r w:rsidR="00E57DB3">
        <w:t xml:space="preserve"> the prosecution’s burden of proof by “alter[ing] the requirements for proving the ‘pattern of criminal gang activity’ necessary to establish the existence of a criminal street gang.”  (</w:t>
      </w:r>
      <w:r w:rsidRPr="007A04AA" w:rsidR="007A04AA">
        <w:rPr>
          <w:i/>
          <w:iCs/>
        </w:rPr>
        <w:t>Lopez</w:t>
      </w:r>
      <w:r w:rsidR="007A04AA">
        <w:t xml:space="preserve">, </w:t>
      </w:r>
      <w:r w:rsidR="00E57DB3">
        <w:t xml:space="preserve">at p. 345; see Pen. Code, § 186.22, subd. (e), </w:t>
      </w:r>
      <w:r w:rsidR="009348F2">
        <w:t>as amended by Stats. 2021, ch. 699, §</w:t>
      </w:r>
      <w:r w:rsidR="00A219E0">
        <w:t> </w:t>
      </w:r>
      <w:r w:rsidR="009348F2">
        <w:t xml:space="preserve">3, </w:t>
      </w:r>
      <w:r w:rsidR="00E57DB3">
        <w:t>eff. Jan. 1, 2022.)  Among other things, Assembly Bill 333 requires that the predicate offenses used to demonstrate a pattern of criminal gang activity must have “ ‘commonly benefited a criminal street gang’ ” where the “ ‘common benefit . . . is more than reputational.’ ”  (</w:t>
      </w:r>
      <w:r w:rsidR="00E57DB3">
        <w:rPr>
          <w:i/>
          <w:iCs/>
        </w:rPr>
        <w:t>Lopez</w:t>
      </w:r>
      <w:r w:rsidR="00E57DB3">
        <w:t xml:space="preserve">, at p. 345; see Pen. Code, § 186.22, subd. (e)(1), </w:t>
      </w:r>
      <w:r w:rsidR="009348F2">
        <w:t>as amended by Stats. 2021, ch. 699, §</w:t>
      </w:r>
      <w:r w:rsidR="00A219E0">
        <w:t> </w:t>
      </w:r>
      <w:r w:rsidR="009348F2">
        <w:t xml:space="preserve">3, </w:t>
      </w:r>
      <w:r w:rsidR="00E57DB3">
        <w:t>eff. Jan. 1, 2022.)</w:t>
      </w:r>
      <w:r w:rsidR="00CB7B8B">
        <w:t xml:space="preserve">  </w:t>
      </w:r>
    </w:p>
    <w:p w:rsidR="004E18B9" w:rsidP="004E18B9">
      <w:pPr>
        <w:pStyle w:val="FootnoteText"/>
      </w:pPr>
      <w:r>
        <w:tab/>
      </w:r>
      <w:r w:rsidR="00C64114">
        <w:t>A</w:t>
      </w:r>
      <w:r>
        <w:t xml:space="preserve">s particularly relevant </w:t>
      </w:r>
      <w:r w:rsidR="00AC137A">
        <w:t>to the issues addressed in this opinion</w:t>
      </w:r>
      <w:r>
        <w:t xml:space="preserve">, Assembly Bill 333 </w:t>
      </w:r>
      <w:r w:rsidR="00C64114">
        <w:t xml:space="preserve">also </w:t>
      </w:r>
      <w:r>
        <w:t>include</w:t>
      </w:r>
      <w:r w:rsidR="00DC31B0">
        <w:t>s</w:t>
      </w:r>
      <w:r>
        <w:t xml:space="preserve"> a provision stating that, as used in the </w:t>
      </w:r>
      <w:r w:rsidRPr="004D4B6D" w:rsidR="00D2033D">
        <w:t>Street Terrorism Enforcement and Prevention</w:t>
      </w:r>
      <w:r w:rsidR="00D2033D">
        <w:t xml:space="preserve"> </w:t>
      </w:r>
      <w:r>
        <w:t>Act</w:t>
      </w:r>
      <w:r w:rsidR="00D2033D">
        <w:t xml:space="preserve"> (</w:t>
      </w:r>
      <w:r w:rsidRPr="004D4B6D" w:rsidR="00D2033D">
        <w:t>Pen. Code, § 186.20 et seq.</w:t>
      </w:r>
      <w:r w:rsidR="00D2033D">
        <w:t>)</w:t>
      </w:r>
      <w:r>
        <w:t xml:space="preserve">, “to benefit, promote, further, or assist means to provide a common benefit to members of a gang where the common benefit is more than reputational.  Examples of a common benefit that are more than reputational may include, but are not limited to, financial gain or motivation, retaliation, targeting a perceived or actual gang rival, or intimidation or silencing of a potential current or previous witness or informant.”  (Pen. Code, § 186.22, subd. (g), </w:t>
      </w:r>
      <w:r w:rsidR="009348F2">
        <w:t>as amended by Stats. 2021, ch. 699, §</w:t>
      </w:r>
      <w:r w:rsidR="00A219E0">
        <w:t> </w:t>
      </w:r>
      <w:r w:rsidR="009348F2">
        <w:t xml:space="preserve">3,  </w:t>
      </w:r>
      <w:r>
        <w:t>eff. Jan. 1, 2022.)</w:t>
      </w:r>
    </w:p>
    <w:p w:rsidR="004E18B9" w:rsidP="004E18B9">
      <w:pPr>
        <w:pStyle w:val="FootnoteText"/>
      </w:pPr>
      <w:r>
        <w:tab/>
        <w:t xml:space="preserve">Because of our resolution of the case, we do not here address any question about the effect of these amendments on Renteria’s sufficiency of the evidence challenge; we instead focus on the law as it </w:t>
      </w:r>
      <w:r w:rsidRPr="00CC3446">
        <w:t xml:space="preserve">existed before the enactment of Assembly Bill 333. </w:t>
      </w:r>
    </w:p>
  </w:footnote>
  <w:footnote w:id="9">
    <w:p w:rsidR="000B2CFC">
      <w:pPr>
        <w:pStyle w:val="FootnoteText"/>
      </w:pPr>
      <w:r>
        <w:rPr>
          <w:rStyle w:val="FootnoteReference"/>
        </w:rPr>
        <w:footnoteRef/>
      </w:r>
      <w:r>
        <w:tab/>
        <w:t xml:space="preserve">The prosecution must also prove that the gang in question is a “criminal street gang” within the meaning of the STEP Act.  At the time of the offenses at issue, the statute defined the term “criminal street gang” to mean “ ‘an[y] </w:t>
      </w:r>
      <w:r w:rsidRPr="007A04AA">
        <w:t>ongoing organization, association, or group</w:t>
      </w:r>
      <w:r>
        <w:t xml:space="preserve"> of three or more persons, whether formal or informal, having as one of its primary activities the commission of one or more [enumerated criminal acts], having a common name or common identifying sign or symbol, and whose members </w:t>
      </w:r>
      <w:r w:rsidRPr="007A04AA">
        <w:t>individually or collectively</w:t>
      </w:r>
      <w:r>
        <w:t xml:space="preserve"> engage in, or have engaged in, a pattern of criminal gang activity.’</w:t>
      </w:r>
      <w:r w:rsidR="00147DFC">
        <w:t> </w:t>
      </w:r>
      <w:r w:rsidR="00300014">
        <w:t xml:space="preserve">”  </w:t>
      </w:r>
      <w:r>
        <w:t>(</w:t>
      </w:r>
      <w:r w:rsidRPr="00851F5E">
        <w:rPr>
          <w:i/>
          <w:iCs/>
        </w:rPr>
        <w:t>People v. Lopez</w:t>
      </w:r>
      <w:r w:rsidR="00300014">
        <w:t xml:space="preserve">, </w:t>
      </w:r>
      <w:r w:rsidR="00300014">
        <w:rPr>
          <w:i/>
          <w:iCs/>
        </w:rPr>
        <w:t>supra</w:t>
      </w:r>
      <w:r w:rsidR="00300014">
        <w:t xml:space="preserve">, </w:t>
      </w:r>
      <w:r>
        <w:t xml:space="preserve">73 Cal.App.5th </w:t>
      </w:r>
      <w:r w:rsidR="0064230D">
        <w:t>at p.</w:t>
      </w:r>
      <w:r w:rsidR="008E2DDE">
        <w:t> </w:t>
      </w:r>
      <w:r>
        <w:t>344</w:t>
      </w:r>
      <w:r w:rsidR="003555A3">
        <w:t>, italics omitted</w:t>
      </w:r>
      <w:r>
        <w:t>.</w:t>
      </w:r>
      <w:r w:rsidR="003555A3">
        <w:t>)</w:t>
      </w:r>
      <w:r>
        <w:t xml:space="preserve">  </w:t>
      </w:r>
      <w:r w:rsidR="005328E2">
        <w:t xml:space="preserve">As noted previously, Assembly Bill 333 has </w:t>
      </w:r>
      <w:r w:rsidR="003555A3">
        <w:t xml:space="preserve">since </w:t>
      </w:r>
      <w:r w:rsidR="005328E2">
        <w:t xml:space="preserve">narrowed the </w:t>
      </w:r>
      <w:r w:rsidR="003555A3">
        <w:t>scope of this requirement.  (See f</w:t>
      </w:r>
      <w:r w:rsidR="007A04AA">
        <w:t>n.</w:t>
      </w:r>
      <w:r w:rsidR="003555A3">
        <w:t xml:space="preserve"> </w:t>
      </w:r>
      <w:r w:rsidR="00FB614F">
        <w:t>6</w:t>
      </w:r>
      <w:r w:rsidR="003555A3">
        <w:t xml:space="preserve">, </w:t>
      </w:r>
      <w:r w:rsidR="003555A3">
        <w:rPr>
          <w:i/>
          <w:iCs/>
        </w:rPr>
        <w:t>ante</w:t>
      </w:r>
      <w:r w:rsidR="003555A3">
        <w:t>.)</w:t>
      </w:r>
    </w:p>
    <w:p w:rsidR="000B2CFC">
      <w:pPr>
        <w:pStyle w:val="FootnoteText"/>
      </w:pPr>
      <w:r>
        <w:tab/>
      </w:r>
    </w:p>
  </w:footnote>
  <w:footnote w:id="10">
    <w:p w:rsidR="009E7805" w:rsidP="009E7805">
      <w:pPr>
        <w:pStyle w:val="FootnoteText"/>
      </w:pPr>
      <w:r>
        <w:rPr>
          <w:rStyle w:val="FootnoteReference"/>
        </w:rPr>
        <w:footnoteRef/>
      </w:r>
      <w:r>
        <w:t xml:space="preserve"> </w:t>
      </w:r>
      <w:r>
        <w:tab/>
      </w:r>
      <w:r w:rsidRPr="00E00E3F">
        <w:t xml:space="preserve">We disapprove </w:t>
      </w:r>
      <w:r w:rsidRPr="009168BD">
        <w:rPr>
          <w:i/>
          <w:iCs/>
        </w:rPr>
        <w:t>People v. Hill</w:t>
      </w:r>
      <w:r w:rsidR="00112DA8">
        <w:t xml:space="preserve">, </w:t>
      </w:r>
      <w:r w:rsidRPr="007A04AA" w:rsidR="00112DA8">
        <w:rPr>
          <w:i/>
          <w:iCs/>
        </w:rPr>
        <w:t>supra</w:t>
      </w:r>
      <w:r w:rsidR="00112DA8">
        <w:t xml:space="preserve">, </w:t>
      </w:r>
      <w:r w:rsidRPr="00E00E3F">
        <w:t xml:space="preserve">142 Cal.App.4th 770, to the extent it is inconsistent with this understanding.  (See </w:t>
      </w:r>
      <w:r w:rsidRPr="009168BD">
        <w:rPr>
          <w:i/>
          <w:iCs/>
        </w:rPr>
        <w:t>id</w:t>
      </w:r>
      <w:r w:rsidRPr="00E00E3F">
        <w:t>. at p.</w:t>
      </w:r>
      <w:r w:rsidR="003B3488">
        <w:t> </w:t>
      </w:r>
      <w:r w:rsidRPr="00E00E3F">
        <w:t xml:space="preserve">774.)   </w:t>
      </w:r>
    </w:p>
  </w:footnote>
  <w:footnote w:id="11">
    <w:p w:rsidR="00BC7D1C" w:rsidRPr="00EB5C32" w:rsidP="00BC7D1C">
      <w:pPr>
        <w:pStyle w:val="FootnoteText"/>
        <w:rPr>
          <w:b/>
          <w:bCs/>
        </w:rPr>
      </w:pPr>
      <w:r>
        <w:rPr>
          <w:rStyle w:val="FootnoteReference"/>
        </w:rPr>
        <w:footnoteRef/>
      </w:r>
      <w:r>
        <w:t xml:space="preserve"> </w:t>
      </w:r>
      <w:r>
        <w:tab/>
        <w:t xml:space="preserve">Some courts have noted that a defendant’s presence in gang territory may be relevant to determining whether a crime was gang-related.  (E.g., </w:t>
      </w:r>
      <w:r w:rsidRPr="00EB5C32">
        <w:rPr>
          <w:i/>
          <w:iCs/>
        </w:rPr>
        <w:t>In re Frank S.</w:t>
      </w:r>
      <w:r>
        <w:t xml:space="preserve"> (2006)</w:t>
      </w:r>
      <w:r w:rsidRPr="00EB5C32">
        <w:rPr>
          <w:i/>
          <w:iCs/>
        </w:rPr>
        <w:t xml:space="preserve"> </w:t>
      </w:r>
      <w:r w:rsidRPr="00EB5C32">
        <w:t xml:space="preserve">141 Cal.App.4th </w:t>
      </w:r>
      <w:r>
        <w:t xml:space="preserve">1192, </w:t>
      </w:r>
      <w:r w:rsidRPr="00EB5C32">
        <w:t>1199</w:t>
      </w:r>
      <w:r>
        <w:t xml:space="preserve">; </w:t>
      </w:r>
      <w:r w:rsidRPr="00B33BB5">
        <w:rPr>
          <w:i/>
          <w:iCs/>
        </w:rPr>
        <w:t xml:space="preserve">People v. </w:t>
      </w:r>
      <w:r w:rsidRPr="00067624">
        <w:rPr>
          <w:i/>
          <w:iCs/>
        </w:rPr>
        <w:t>Ochoa</w:t>
      </w:r>
      <w:r>
        <w:t xml:space="preserve">, </w:t>
      </w:r>
      <w:r w:rsidRPr="00B33BB5">
        <w:rPr>
          <w:i/>
          <w:iCs/>
        </w:rPr>
        <w:t>supra</w:t>
      </w:r>
      <w:r>
        <w:t xml:space="preserve">, 179 Cal.App.4th at p. 662; </w:t>
      </w:r>
      <w:r w:rsidRPr="00B33BB5">
        <w:rPr>
          <w:i/>
          <w:iCs/>
        </w:rPr>
        <w:t xml:space="preserve">People v. </w:t>
      </w:r>
      <w:r w:rsidRPr="000B25C7">
        <w:rPr>
          <w:i/>
          <w:iCs/>
        </w:rPr>
        <w:t>Rios</w:t>
      </w:r>
      <w:r>
        <w:t xml:space="preserve">, </w:t>
      </w:r>
      <w:r w:rsidRPr="00B33BB5">
        <w:rPr>
          <w:i/>
          <w:iCs/>
        </w:rPr>
        <w:t>supra</w:t>
      </w:r>
      <w:r>
        <w:t>, 222 Cal.App.4th at p. 574;</w:t>
      </w:r>
      <w:r w:rsidRPr="005D2DE6">
        <w:rPr>
          <w:i/>
          <w:iCs/>
        </w:rPr>
        <w:t xml:space="preserve"> </w:t>
      </w:r>
      <w:r>
        <w:rPr>
          <w:i/>
          <w:iCs/>
        </w:rPr>
        <w:t xml:space="preserve">People v. </w:t>
      </w:r>
      <w:r w:rsidRPr="005D2DE6">
        <w:rPr>
          <w:i/>
          <w:iCs/>
        </w:rPr>
        <w:t>Perez</w:t>
      </w:r>
      <w:r>
        <w:t xml:space="preserve">, </w:t>
      </w:r>
      <w:r w:rsidRPr="00B33BB5">
        <w:rPr>
          <w:i/>
          <w:iCs/>
        </w:rPr>
        <w:t>supra</w:t>
      </w:r>
      <w:r>
        <w:t>, 18 Cal.App.5th at p. 609.)  Such evidence should be approached with caution, however</w:t>
      </w:r>
      <w:r w:rsidR="00EB0BA3">
        <w:t xml:space="preserve">; it </w:t>
      </w:r>
      <w:r w:rsidR="00C81654">
        <w:t xml:space="preserve">may not be </w:t>
      </w:r>
      <w:r>
        <w:t>“particularly probative” when</w:t>
      </w:r>
      <w:r w:rsidR="00C81654">
        <w:t xml:space="preserve">, for example, the territory in question is </w:t>
      </w:r>
      <w:r w:rsidR="00A6386F">
        <w:t xml:space="preserve">also </w:t>
      </w:r>
      <w:r w:rsidR="00C81654">
        <w:t>where the defendant lives</w:t>
      </w:r>
      <w:r>
        <w:t>.  (</w:t>
      </w:r>
      <w:r w:rsidRPr="001807FC">
        <w:rPr>
          <w:i/>
          <w:iCs/>
        </w:rPr>
        <w:t>People v. Soriano</w:t>
      </w:r>
      <w:r>
        <w:t xml:space="preserve">, </w:t>
      </w:r>
      <w:r>
        <w:rPr>
          <w:i/>
          <w:iCs/>
        </w:rPr>
        <w:t>supra</w:t>
      </w:r>
      <w:r>
        <w:t>,</w:t>
      </w:r>
      <w:r w:rsidRPr="001807FC">
        <w:t xml:space="preserve"> 65 Cal.App.5th </w:t>
      </w:r>
      <w:r>
        <w:t xml:space="preserve">at p. 289.)  </w:t>
      </w:r>
    </w:p>
  </w:footnote>
  <w:footnote w:id="12">
    <w:p w:rsidR="00CF73E1" w:rsidP="00CF73E1">
      <w:pPr>
        <w:pStyle w:val="FootnoteText"/>
      </w:pPr>
      <w:r>
        <w:rPr>
          <w:rStyle w:val="FootnoteReference"/>
        </w:rPr>
        <w:footnoteRef/>
      </w:r>
      <w:r>
        <w:t xml:space="preserve"> </w:t>
      </w:r>
      <w:r>
        <w:tab/>
      </w:r>
      <w:r w:rsidR="00D810C7">
        <w:t>At</w:t>
      </w:r>
      <w:r w:rsidR="00D00373">
        <w:t xml:space="preserve"> oral argument, t</w:t>
      </w:r>
      <w:r>
        <w:t xml:space="preserve">he Attorney General </w:t>
      </w:r>
      <w:r w:rsidR="00D00373">
        <w:t xml:space="preserve">suggested </w:t>
      </w:r>
      <w:r w:rsidR="00030287">
        <w:t xml:space="preserve">for the first time that </w:t>
      </w:r>
      <w:r w:rsidR="00D00373">
        <w:t>this case might not be a lone</w:t>
      </w:r>
      <w:r w:rsidR="00D810C7">
        <w:t>-</w:t>
      </w:r>
      <w:r w:rsidR="00D00373">
        <w:t>actor case if</w:t>
      </w:r>
      <w:r w:rsidR="00362612">
        <w:t xml:space="preserve"> </w:t>
      </w:r>
      <w:r w:rsidR="00D00373">
        <w:t xml:space="preserve">Renteria were acting according to </w:t>
      </w:r>
      <w:r w:rsidR="00C51BAC">
        <w:t xml:space="preserve">an </w:t>
      </w:r>
      <w:r w:rsidR="00D00373">
        <w:t xml:space="preserve">official gang “policy.”  In those circumstances, the argument goes, the actions would be “at the direction of” the gang.  </w:t>
      </w:r>
      <w:r w:rsidR="00D810C7">
        <w:t xml:space="preserve">We do not consider this belatedly raised </w:t>
      </w:r>
      <w:r w:rsidR="009F0A66">
        <w:t xml:space="preserve">possibility </w:t>
      </w:r>
      <w:r w:rsidR="00D810C7">
        <w:t xml:space="preserve">and </w:t>
      </w:r>
      <w:r w:rsidR="00F20038">
        <w:t xml:space="preserve">so </w:t>
      </w:r>
      <w:r w:rsidR="00D810C7">
        <w:t xml:space="preserve">express </w:t>
      </w:r>
      <w:r w:rsidR="009F0A66">
        <w:t>no views on the merit of the argument.</w:t>
      </w:r>
      <w:r>
        <w:t xml:space="preserve"> </w:t>
      </w:r>
    </w:p>
  </w:footnote>
  <w:footnote w:id="13">
    <w:p w:rsidR="00BC52BD">
      <w:pPr>
        <w:pStyle w:val="FootnoteText"/>
      </w:pPr>
      <w:r>
        <w:rPr>
          <w:rStyle w:val="FootnoteReference"/>
        </w:rPr>
        <w:footnoteRef/>
      </w:r>
      <w:r>
        <w:t xml:space="preserve"> </w:t>
      </w:r>
      <w:r>
        <w:tab/>
        <w:t xml:space="preserve">The Attorney General concedes that </w:t>
      </w:r>
      <w:r w:rsidR="0075007F">
        <w:t xml:space="preserve">Renteria’s </w:t>
      </w:r>
      <w:r>
        <w:t>motivation for shooting at the second house was unrelated to retaliation</w:t>
      </w:r>
      <w:r w:rsidR="0075007F">
        <w:t xml:space="preserve"> but argues that it contributed to the violent reputation of his gang.  As we have discussed, however, the</w:t>
      </w:r>
      <w:r w:rsidR="00304C2E">
        <w:t>re was no</w:t>
      </w:r>
      <w:r w:rsidR="00DB64C1">
        <w:t xml:space="preserve"> </w:t>
      </w:r>
      <w:r w:rsidR="00304C2E">
        <w:t xml:space="preserve">evidence the victims or other </w:t>
      </w:r>
      <w:r w:rsidR="00B742F4">
        <w:t xml:space="preserve">community </w:t>
      </w:r>
      <w:r w:rsidR="007C4BE9">
        <w:t xml:space="preserve">or gang </w:t>
      </w:r>
      <w:r w:rsidR="00304C2E">
        <w:t xml:space="preserve">members </w:t>
      </w:r>
      <w:r w:rsidR="00B742F4">
        <w:t xml:space="preserve">perceived a connection between </w:t>
      </w:r>
      <w:r w:rsidR="00304C2E">
        <w:t>Renteria’s</w:t>
      </w:r>
      <w:r w:rsidR="0075007F">
        <w:t xml:space="preserve"> actions </w:t>
      </w:r>
      <w:r w:rsidR="00B742F4">
        <w:t xml:space="preserve">and </w:t>
      </w:r>
      <w:r w:rsidR="0075007F">
        <w:t>his gang</w:t>
      </w:r>
      <w:r w:rsidR="00425722">
        <w:t>, such that Renteria’s gang might have stood to benefit in this way</w:t>
      </w:r>
      <w:r w:rsidR="00F20038">
        <w:t>.</w:t>
      </w:r>
      <w:bookmarkStart w:id="6" w:name="_Hlk110324485"/>
      <w:r w:rsidR="00437D04">
        <w:t xml:space="preserve">  </w:t>
      </w:r>
      <w:r w:rsidR="000401D7">
        <w:t xml:space="preserve">Nor was there evidence </w:t>
      </w:r>
      <w:r w:rsidRPr="006E6D90" w:rsidR="006E6D90">
        <w:t>that Renteria intended to facilitate known criminal activity by other gang members</w:t>
      </w:r>
      <w:r w:rsidR="004E6D86">
        <w:t>.</w:t>
      </w:r>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9B9" w:rsidP="008019B9">
    <w:pPr>
      <w:pStyle w:val="Header"/>
    </w:pPr>
    <w:bookmarkStart w:id="1" w:name="_Hlk88470611"/>
    <w:bookmarkStart w:id="2" w:name="_Hlk108948062"/>
    <w:r>
      <w:t>PEOPLE v. RENTERIA</w:t>
    </w:r>
  </w:p>
  <w:p w:rsidR="008019B9" w:rsidP="008019B9">
    <w:pPr>
      <w:pStyle w:val="Header"/>
    </w:pPr>
    <w:r>
      <w:t>Opinion of the Court by Kruger, J.</w:t>
    </w:r>
    <w:bookmarkEnd w:id="1"/>
  </w:p>
  <w:p w:rsidR="005D5DE3">
    <w:pPr>
      <w:pStyle w:val="Header"/>
    </w:pP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0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E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E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26517D8"/>
    <w:multiLevelType w:val="hybridMultilevel"/>
    <w:tmpl w:val="DBACD3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B6D"/>
    <w:pPr>
      <w:spacing w:after="100" w:line="400" w:lineRule="exact"/>
      <w:jc w:val="both"/>
    </w:pPr>
    <w:rPr>
      <w:rFonts w:ascii="Century Schoolbook" w:hAnsi="Century Schoolbook"/>
      <w:sz w:val="27"/>
    </w:rPr>
  </w:style>
  <w:style w:type="paragraph" w:styleId="Heading1">
    <w:name w:val="heading 1"/>
    <w:basedOn w:val="Normal"/>
    <w:next w:val="Normal"/>
    <w:qFormat/>
    <w:rsid w:val="004D4B6D"/>
    <w:pPr>
      <w:keepNext/>
      <w:spacing w:before="140" w:line="240" w:lineRule="atLeast"/>
      <w:jc w:val="center"/>
      <w:outlineLvl w:val="0"/>
    </w:pPr>
    <w:rPr>
      <w:b/>
      <w:smallCaps/>
    </w:rPr>
  </w:style>
  <w:style w:type="paragraph" w:styleId="Heading2">
    <w:name w:val="heading 2"/>
    <w:basedOn w:val="Normal"/>
    <w:next w:val="Normal"/>
    <w:qFormat/>
    <w:rsid w:val="004D4B6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4D4B6D"/>
    <w:pPr>
      <w:keepNext/>
      <w:tabs>
        <w:tab w:val="left" w:pos="1584"/>
      </w:tabs>
      <w:spacing w:before="140" w:line="240" w:lineRule="atLeast"/>
      <w:ind w:left="1584" w:hanging="432"/>
      <w:jc w:val="left"/>
      <w:outlineLvl w:val="2"/>
    </w:pPr>
    <w:rPr>
      <w:i/>
    </w:rPr>
  </w:style>
  <w:style w:type="paragraph" w:styleId="Heading4">
    <w:name w:val="heading 4"/>
    <w:basedOn w:val="Normal"/>
    <w:rsid w:val="004D4B6D"/>
    <w:pPr>
      <w:keepNext/>
      <w:tabs>
        <w:tab w:val="left" w:pos="2016"/>
      </w:tabs>
      <w:spacing w:before="140" w:line="240" w:lineRule="atLeast"/>
      <w:ind w:left="2016" w:hanging="432"/>
      <w:jc w:val="left"/>
      <w:outlineLvl w:val="3"/>
    </w:pPr>
    <w:rPr>
      <w:i/>
    </w:rPr>
  </w:style>
  <w:style w:type="paragraph" w:styleId="Heading5">
    <w:name w:val="heading 5"/>
    <w:basedOn w:val="Normal"/>
    <w:rsid w:val="004D4B6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D4B6D"/>
    <w:pPr>
      <w:ind w:left="720"/>
    </w:pPr>
  </w:style>
  <w:style w:type="paragraph" w:styleId="Footer">
    <w:name w:val="footer"/>
    <w:basedOn w:val="Normal"/>
    <w:qFormat/>
    <w:rsid w:val="004D4B6D"/>
    <w:pPr>
      <w:tabs>
        <w:tab w:val="center" w:pos="3960"/>
        <w:tab w:val="right" w:pos="10080"/>
      </w:tabs>
      <w:spacing w:after="0" w:line="240" w:lineRule="auto"/>
      <w:jc w:val="center"/>
    </w:pPr>
    <w:rPr>
      <w:sz w:val="22"/>
    </w:rPr>
  </w:style>
  <w:style w:type="paragraph" w:styleId="Header">
    <w:name w:val="header"/>
    <w:basedOn w:val="Normal"/>
    <w:link w:val="HeaderChar"/>
    <w:qFormat/>
    <w:rsid w:val="004D4B6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D4B6D"/>
    <w:rPr>
      <w:rFonts w:ascii="Century Schoolbook" w:hAnsi="Century Schoolbook"/>
      <w:b/>
      <w:i w:val="0"/>
      <w:position w:val="4"/>
      <w:sz w:val="27"/>
      <w:vertAlign w:val="superscript"/>
    </w:rPr>
  </w:style>
  <w:style w:type="paragraph" w:styleId="FootnoteText">
    <w:name w:val="footnote text"/>
    <w:basedOn w:val="Normal"/>
    <w:link w:val="FootnoteTextChar"/>
    <w:rsid w:val="004D4B6D"/>
    <w:pPr>
      <w:spacing w:line="300" w:lineRule="exact"/>
    </w:pPr>
  </w:style>
  <w:style w:type="paragraph" w:customStyle="1" w:styleId="Title1">
    <w:name w:val="Title1"/>
    <w:basedOn w:val="Normal"/>
    <w:rsid w:val="004D4B6D"/>
    <w:pPr>
      <w:tabs>
        <w:tab w:val="left" w:pos="5760"/>
        <w:tab w:val="left" w:pos="6480"/>
      </w:tabs>
      <w:spacing w:line="240" w:lineRule="atLeast"/>
    </w:pPr>
  </w:style>
  <w:style w:type="paragraph" w:customStyle="1" w:styleId="Recommend">
    <w:name w:val="Recommend"/>
    <w:basedOn w:val="Normal"/>
    <w:rsid w:val="004D4B6D"/>
  </w:style>
  <w:style w:type="paragraph" w:customStyle="1" w:styleId="Summary">
    <w:name w:val="Summary"/>
    <w:basedOn w:val="Normal"/>
    <w:rsid w:val="004D4B6D"/>
    <w:pPr>
      <w:ind w:left="2160" w:hanging="2160"/>
    </w:pPr>
  </w:style>
  <w:style w:type="paragraph" w:customStyle="1" w:styleId="Text">
    <w:name w:val="Text"/>
    <w:basedOn w:val="Normal"/>
    <w:rsid w:val="004D4B6D"/>
    <w:pPr>
      <w:tabs>
        <w:tab w:val="left" w:pos="720"/>
        <w:tab w:val="left" w:pos="1440"/>
        <w:tab w:val="left" w:pos="2160"/>
        <w:tab w:val="center" w:pos="4320"/>
      </w:tabs>
      <w:spacing w:line="480" w:lineRule="atLeast"/>
      <w:ind w:firstLine="540"/>
    </w:pPr>
  </w:style>
  <w:style w:type="paragraph" w:styleId="Date">
    <w:name w:val="Date"/>
    <w:basedOn w:val="Normal"/>
    <w:semiHidden/>
    <w:rsid w:val="004D4B6D"/>
    <w:pPr>
      <w:jc w:val="right"/>
    </w:pPr>
  </w:style>
  <w:style w:type="character" w:styleId="PageNumber">
    <w:name w:val="page number"/>
    <w:basedOn w:val="DefaultParagraphFont"/>
    <w:rsid w:val="004D4B6D"/>
  </w:style>
  <w:style w:type="paragraph" w:customStyle="1" w:styleId="subject">
    <w:name w:val="subject"/>
    <w:basedOn w:val="Normal"/>
    <w:rsid w:val="004D4B6D"/>
    <w:pPr>
      <w:tabs>
        <w:tab w:val="left" w:pos="1008"/>
      </w:tabs>
      <w:ind w:left="990" w:hanging="990"/>
    </w:pPr>
    <w:rPr>
      <w:b/>
    </w:rPr>
  </w:style>
  <w:style w:type="paragraph" w:customStyle="1" w:styleId="Titles">
    <w:name w:val="Titles"/>
    <w:basedOn w:val="Normal"/>
    <w:rsid w:val="004D4B6D"/>
    <w:pPr>
      <w:tabs>
        <w:tab w:val="left" w:pos="2160"/>
      </w:tabs>
      <w:ind w:left="2160" w:hanging="2160"/>
    </w:pPr>
    <w:rPr>
      <w:b/>
    </w:rPr>
  </w:style>
  <w:style w:type="paragraph" w:styleId="TOAHeading">
    <w:name w:val="toa heading"/>
    <w:basedOn w:val="Normal"/>
    <w:next w:val="Normal"/>
    <w:semiHidden/>
    <w:rsid w:val="004D4B6D"/>
    <w:pPr>
      <w:spacing w:before="120"/>
    </w:pPr>
    <w:rPr>
      <w:b/>
    </w:rPr>
  </w:style>
  <w:style w:type="paragraph" w:styleId="TOC1">
    <w:name w:val="toc 1"/>
    <w:basedOn w:val="Normal"/>
    <w:next w:val="Normal"/>
    <w:autoRedefine/>
    <w:semiHidden/>
    <w:rsid w:val="004D4B6D"/>
  </w:style>
  <w:style w:type="paragraph" w:styleId="TOC2">
    <w:name w:val="toc 2"/>
    <w:basedOn w:val="Normal"/>
    <w:next w:val="Normal"/>
    <w:autoRedefine/>
    <w:semiHidden/>
    <w:rsid w:val="004D4B6D"/>
    <w:pPr>
      <w:ind w:left="259"/>
    </w:pPr>
  </w:style>
  <w:style w:type="paragraph" w:styleId="TOC3">
    <w:name w:val="toc 3"/>
    <w:basedOn w:val="Normal"/>
    <w:next w:val="Normal"/>
    <w:autoRedefine/>
    <w:semiHidden/>
    <w:rsid w:val="004D4B6D"/>
    <w:pPr>
      <w:ind w:left="520"/>
    </w:pPr>
  </w:style>
  <w:style w:type="paragraph" w:styleId="TOC4">
    <w:name w:val="toc 4"/>
    <w:basedOn w:val="Normal"/>
    <w:next w:val="Normal"/>
    <w:autoRedefine/>
    <w:semiHidden/>
    <w:rsid w:val="004D4B6D"/>
    <w:pPr>
      <w:ind w:left="780"/>
    </w:pPr>
  </w:style>
  <w:style w:type="paragraph" w:styleId="TOC5">
    <w:name w:val="toc 5"/>
    <w:basedOn w:val="Normal"/>
    <w:next w:val="Normal"/>
    <w:autoRedefine/>
    <w:semiHidden/>
    <w:rsid w:val="004D4B6D"/>
    <w:pPr>
      <w:ind w:left="1040"/>
    </w:pPr>
  </w:style>
  <w:style w:type="paragraph" w:styleId="TOC6">
    <w:name w:val="toc 6"/>
    <w:basedOn w:val="Normal"/>
    <w:next w:val="Normal"/>
    <w:autoRedefine/>
    <w:semiHidden/>
    <w:rsid w:val="004D4B6D"/>
    <w:pPr>
      <w:ind w:left="1300"/>
    </w:pPr>
  </w:style>
  <w:style w:type="paragraph" w:styleId="TOC7">
    <w:name w:val="toc 7"/>
    <w:basedOn w:val="Normal"/>
    <w:next w:val="Normal"/>
    <w:autoRedefine/>
    <w:semiHidden/>
    <w:rsid w:val="004D4B6D"/>
    <w:pPr>
      <w:ind w:left="1560"/>
    </w:pPr>
  </w:style>
  <w:style w:type="paragraph" w:styleId="TOC8">
    <w:name w:val="toc 8"/>
    <w:basedOn w:val="Normal"/>
    <w:next w:val="Normal"/>
    <w:autoRedefine/>
    <w:semiHidden/>
    <w:rsid w:val="004D4B6D"/>
    <w:pPr>
      <w:ind w:left="1820"/>
    </w:pPr>
  </w:style>
  <w:style w:type="paragraph" w:styleId="TOC9">
    <w:name w:val="toc 9"/>
    <w:basedOn w:val="Normal"/>
    <w:next w:val="Normal"/>
    <w:autoRedefine/>
    <w:semiHidden/>
    <w:rsid w:val="004D4B6D"/>
    <w:pPr>
      <w:ind w:left="2080"/>
    </w:pPr>
  </w:style>
  <w:style w:type="paragraph" w:customStyle="1" w:styleId="Contents">
    <w:name w:val="Contents"/>
    <w:basedOn w:val="Normal"/>
    <w:rsid w:val="004D4B6D"/>
    <w:pPr>
      <w:jc w:val="center"/>
    </w:pPr>
    <w:rPr>
      <w:b/>
      <w:spacing w:val="100"/>
    </w:rPr>
  </w:style>
  <w:style w:type="paragraph" w:styleId="ListParagraph">
    <w:name w:val="List Paragraph"/>
    <w:basedOn w:val="Normal"/>
    <w:uiPriority w:val="34"/>
    <w:qFormat/>
    <w:rsid w:val="003712CB"/>
    <w:pPr>
      <w:ind w:left="720"/>
      <w:contextualSpacing/>
    </w:pPr>
  </w:style>
  <w:style w:type="character" w:styleId="Hyperlink">
    <w:name w:val="Hyperlink"/>
    <w:basedOn w:val="DefaultParagraphFont"/>
    <w:uiPriority w:val="99"/>
    <w:unhideWhenUsed/>
    <w:rsid w:val="00A4083C"/>
    <w:rPr>
      <w:color w:val="0563C1"/>
      <w:u w:val="single"/>
    </w:rPr>
  </w:style>
  <w:style w:type="character" w:styleId="FollowedHyperlink">
    <w:name w:val="FollowedHyperlink"/>
    <w:basedOn w:val="DefaultParagraphFont"/>
    <w:uiPriority w:val="99"/>
    <w:semiHidden/>
    <w:unhideWhenUsed/>
    <w:rsid w:val="00A4083C"/>
    <w:rPr>
      <w:color w:val="800080" w:themeColor="followedHyperlink"/>
      <w:u w:val="single"/>
    </w:rPr>
  </w:style>
  <w:style w:type="character" w:customStyle="1" w:styleId="UnresolvedMention">
    <w:name w:val="Unresolved Mention"/>
    <w:basedOn w:val="DefaultParagraphFont"/>
    <w:uiPriority w:val="99"/>
    <w:semiHidden/>
    <w:unhideWhenUsed/>
    <w:rsid w:val="0068025A"/>
    <w:rPr>
      <w:color w:val="605E5C"/>
      <w:shd w:val="clear" w:color="auto" w:fill="E1DFDD"/>
    </w:rPr>
  </w:style>
  <w:style w:type="character" w:styleId="CommentReference">
    <w:name w:val="annotation reference"/>
    <w:basedOn w:val="DefaultParagraphFont"/>
    <w:uiPriority w:val="99"/>
    <w:semiHidden/>
    <w:unhideWhenUsed/>
    <w:rsid w:val="00746C14"/>
    <w:rPr>
      <w:sz w:val="16"/>
      <w:szCs w:val="16"/>
    </w:rPr>
  </w:style>
  <w:style w:type="paragraph" w:styleId="CommentText">
    <w:name w:val="annotation text"/>
    <w:basedOn w:val="Normal"/>
    <w:link w:val="CommentTextChar"/>
    <w:uiPriority w:val="99"/>
    <w:unhideWhenUsed/>
    <w:rsid w:val="00746C14"/>
    <w:rPr>
      <w:sz w:val="20"/>
    </w:rPr>
  </w:style>
  <w:style w:type="character" w:customStyle="1" w:styleId="CommentTextChar">
    <w:name w:val="Comment Text Char"/>
    <w:basedOn w:val="DefaultParagraphFont"/>
    <w:link w:val="CommentText"/>
    <w:uiPriority w:val="99"/>
    <w:rsid w:val="00746C14"/>
  </w:style>
  <w:style w:type="paragraph" w:styleId="CommentSubject">
    <w:name w:val="annotation subject"/>
    <w:basedOn w:val="CommentText"/>
    <w:next w:val="CommentText"/>
    <w:link w:val="CommentSubjectChar"/>
    <w:uiPriority w:val="99"/>
    <w:semiHidden/>
    <w:unhideWhenUsed/>
    <w:rsid w:val="00746C14"/>
    <w:rPr>
      <w:b/>
      <w:bCs/>
    </w:rPr>
  </w:style>
  <w:style w:type="character" w:customStyle="1" w:styleId="CommentSubjectChar">
    <w:name w:val="Comment Subject Char"/>
    <w:basedOn w:val="CommentTextChar"/>
    <w:link w:val="CommentSubject"/>
    <w:uiPriority w:val="99"/>
    <w:semiHidden/>
    <w:rsid w:val="00746C14"/>
    <w:rPr>
      <w:b/>
      <w:bCs/>
    </w:rPr>
  </w:style>
  <w:style w:type="character" w:customStyle="1" w:styleId="FootnoteTextChar">
    <w:name w:val="Footnote Text Char"/>
    <w:basedOn w:val="DefaultParagraphFont"/>
    <w:link w:val="FootnoteText"/>
    <w:rsid w:val="005460BE"/>
    <w:rPr>
      <w:rFonts w:ascii="Century Schoolbook" w:hAnsi="Century Schoolbook"/>
      <w:sz w:val="27"/>
    </w:rPr>
  </w:style>
  <w:style w:type="paragraph" w:styleId="Revision">
    <w:name w:val="Revision"/>
    <w:hidden/>
    <w:uiPriority w:val="99"/>
    <w:semiHidden/>
    <w:rsid w:val="00A6536C"/>
    <w:rPr>
      <w:sz w:val="26"/>
    </w:rPr>
  </w:style>
  <w:style w:type="paragraph" w:styleId="BodyText">
    <w:name w:val="Body Text"/>
    <w:basedOn w:val="Normal"/>
    <w:link w:val="BodyTextChar"/>
    <w:qFormat/>
    <w:rsid w:val="004D4B6D"/>
  </w:style>
  <w:style w:type="character" w:customStyle="1" w:styleId="BodyTextChar">
    <w:name w:val="Body Text Char"/>
    <w:basedOn w:val="DefaultParagraphFont"/>
    <w:link w:val="BodyText"/>
    <w:rsid w:val="004D4B6D"/>
    <w:rPr>
      <w:rFonts w:ascii="Century Schoolbook" w:hAnsi="Century Schoolbook"/>
      <w:sz w:val="27"/>
    </w:rPr>
  </w:style>
  <w:style w:type="character" w:customStyle="1" w:styleId="HeaderChar">
    <w:name w:val="Header Char"/>
    <w:basedOn w:val="DefaultParagraphFont"/>
    <w:link w:val="Header"/>
    <w:rsid w:val="008019B9"/>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6569</Words>
  <Characters>37446</Characters>
  <Application>Microsoft Office Word</Application>
  <DocSecurity>0</DocSecurity>
  <Lines>312</Lines>
  <Paragraphs>87</Paragraphs>
  <ScaleCrop>false</ScaleCrop>
  <Company/>
  <LinksUpToDate>false</LinksUpToDate>
  <CharactersWithSpaces>43928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2022-08-25T16:29:42Z</dcterms:created>
  <dcterms:modified xsi:type="dcterms:W3CDTF">2022-08-25T16:29:42Z</dcterms:modified>
</cp:coreProperties>
</file>