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16427" w:rsidP="00482EF6" w14:paraId="02C97860" w14:textId="77777777">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482EF6" w:rsidP="00482EF6" w14:paraId="02C97861" w14:textId="77777777">
      <w:pPr>
        <w:tabs>
          <w:tab w:val="left" w:pos="1440"/>
          <w:tab w:val="left" w:pos="4680"/>
          <w:tab w:val="center" w:pos="7200"/>
        </w:tabs>
        <w:spacing w:after="0"/>
        <w:jc w:val="center"/>
      </w:pPr>
    </w:p>
    <w:p w:rsidR="00482EF6" w:rsidP="00482EF6" w14:paraId="02C97862" w14:textId="77777777">
      <w:pPr>
        <w:tabs>
          <w:tab w:val="left" w:pos="1440"/>
          <w:tab w:val="left" w:pos="4680"/>
          <w:tab w:val="center" w:pos="7200"/>
        </w:tabs>
        <w:spacing w:after="0"/>
        <w:jc w:val="center"/>
      </w:pPr>
      <w:r>
        <w:t>ALLIED PREMIER INSURANCE,</w:t>
      </w:r>
    </w:p>
    <w:p w:rsidR="00482EF6" w:rsidP="00482EF6" w14:paraId="02C97863" w14:textId="77777777">
      <w:pPr>
        <w:tabs>
          <w:tab w:val="left" w:pos="1440"/>
          <w:tab w:val="left" w:pos="4680"/>
          <w:tab w:val="center" w:pos="7200"/>
        </w:tabs>
        <w:spacing w:after="0"/>
        <w:jc w:val="center"/>
      </w:pPr>
      <w:r>
        <w:t>Plaintiff and Respondent,</w:t>
      </w:r>
    </w:p>
    <w:p w:rsidR="00482EF6" w:rsidP="00482EF6" w14:paraId="02C97864" w14:textId="77777777">
      <w:pPr>
        <w:tabs>
          <w:tab w:val="left" w:pos="1440"/>
          <w:tab w:val="left" w:pos="4680"/>
          <w:tab w:val="center" w:pos="7200"/>
        </w:tabs>
        <w:spacing w:after="0"/>
        <w:jc w:val="center"/>
      </w:pPr>
      <w:r>
        <w:t>v.</w:t>
      </w:r>
    </w:p>
    <w:p w:rsidR="00482EF6" w:rsidP="00482EF6" w14:paraId="02C97865" w14:textId="77777777">
      <w:pPr>
        <w:tabs>
          <w:tab w:val="left" w:pos="1440"/>
          <w:tab w:val="left" w:pos="4680"/>
          <w:tab w:val="center" w:pos="7200"/>
        </w:tabs>
        <w:spacing w:after="0"/>
        <w:jc w:val="center"/>
      </w:pPr>
      <w:r>
        <w:t>UNITED FINANCIAL CASUALTY COMPANY,</w:t>
      </w:r>
    </w:p>
    <w:p w:rsidR="00482EF6" w:rsidP="00482EF6" w14:paraId="02C97866" w14:textId="77777777">
      <w:pPr>
        <w:tabs>
          <w:tab w:val="left" w:pos="1440"/>
          <w:tab w:val="left" w:pos="4680"/>
          <w:tab w:val="center" w:pos="7200"/>
        </w:tabs>
        <w:spacing w:after="0"/>
        <w:jc w:val="center"/>
      </w:pPr>
      <w:r>
        <w:t>Defendant and Appellant.</w:t>
      </w:r>
    </w:p>
    <w:p w:rsidR="00482EF6" w:rsidP="00482EF6" w14:paraId="02C97867" w14:textId="77777777">
      <w:pPr>
        <w:tabs>
          <w:tab w:val="left" w:pos="1440"/>
          <w:tab w:val="left" w:pos="4680"/>
          <w:tab w:val="center" w:pos="7200"/>
        </w:tabs>
        <w:spacing w:after="0"/>
        <w:jc w:val="center"/>
      </w:pPr>
    </w:p>
    <w:p w:rsidR="00482EF6" w:rsidP="00482EF6" w14:paraId="02C97868" w14:textId="77777777">
      <w:pPr>
        <w:tabs>
          <w:tab w:val="left" w:pos="1440"/>
          <w:tab w:val="left" w:pos="4680"/>
          <w:tab w:val="center" w:pos="7200"/>
        </w:tabs>
        <w:spacing w:after="0"/>
        <w:jc w:val="center"/>
      </w:pPr>
      <w:r>
        <w:t>S267746</w:t>
      </w:r>
    </w:p>
    <w:p w:rsidR="00482EF6" w:rsidP="00482EF6" w14:paraId="02C97869" w14:textId="77777777">
      <w:pPr>
        <w:tabs>
          <w:tab w:val="left" w:pos="1440"/>
          <w:tab w:val="left" w:pos="4680"/>
          <w:tab w:val="center" w:pos="7200"/>
        </w:tabs>
        <w:spacing w:after="0"/>
        <w:jc w:val="center"/>
      </w:pPr>
    </w:p>
    <w:p w:rsidR="00482EF6" w:rsidP="00482EF6" w14:paraId="02C9786A" w14:textId="77777777">
      <w:pPr>
        <w:tabs>
          <w:tab w:val="left" w:pos="1440"/>
          <w:tab w:val="left" w:pos="4680"/>
          <w:tab w:val="center" w:pos="7200"/>
        </w:tabs>
        <w:spacing w:after="0"/>
        <w:jc w:val="center"/>
      </w:pPr>
      <w:r>
        <w:t>Ninth Circuit</w:t>
      </w:r>
    </w:p>
    <w:p w:rsidR="00482EF6" w:rsidP="00482EF6" w14:paraId="02C9786B" w14:textId="750DD3A0">
      <w:pPr>
        <w:tabs>
          <w:tab w:val="left" w:pos="1440"/>
          <w:tab w:val="left" w:pos="4680"/>
          <w:tab w:val="center" w:pos="7200"/>
        </w:tabs>
        <w:spacing w:after="0"/>
        <w:jc w:val="center"/>
      </w:pPr>
      <w:r>
        <w:t>20-55099</w:t>
      </w:r>
    </w:p>
    <w:p w:rsidR="00482EF6" w:rsidP="00482EF6" w14:paraId="02C9786C" w14:textId="77777777">
      <w:pPr>
        <w:tabs>
          <w:tab w:val="left" w:pos="1440"/>
          <w:tab w:val="left" w:pos="4680"/>
          <w:tab w:val="center" w:pos="7200"/>
        </w:tabs>
        <w:spacing w:after="0"/>
        <w:jc w:val="center"/>
      </w:pPr>
    </w:p>
    <w:p w:rsidR="00482EF6" w:rsidP="00482EF6" w14:paraId="02C9786D" w14:textId="77777777">
      <w:pPr>
        <w:tabs>
          <w:tab w:val="left" w:pos="1440"/>
          <w:tab w:val="left" w:pos="4680"/>
          <w:tab w:val="center" w:pos="7200"/>
        </w:tabs>
        <w:spacing w:after="0"/>
        <w:jc w:val="center"/>
      </w:pPr>
      <w:r>
        <w:t>Central District of California</w:t>
      </w:r>
    </w:p>
    <w:p w:rsidR="00482EF6" w:rsidP="00482EF6" w14:paraId="02C9786E" w14:textId="77777777">
      <w:pPr>
        <w:tabs>
          <w:tab w:val="left" w:pos="1440"/>
          <w:tab w:val="left" w:pos="4680"/>
          <w:tab w:val="center" w:pos="7200"/>
        </w:tabs>
        <w:spacing w:after="0"/>
        <w:jc w:val="center"/>
      </w:pPr>
      <w:r>
        <w:t>No. 5:18-cv-00088-JGB-KK</w:t>
      </w:r>
    </w:p>
    <w:p w:rsidR="00482EF6" w:rsidP="00482EF6" w14:paraId="02C9786F" w14:textId="77777777">
      <w:pPr>
        <w:pBdr>
          <w:bottom w:val="single" w:sz="4" w:space="1" w:color="auto"/>
        </w:pBdr>
        <w:tabs>
          <w:tab w:val="left" w:pos="1440"/>
          <w:tab w:val="left" w:pos="4680"/>
          <w:tab w:val="center" w:pos="7200"/>
        </w:tabs>
        <w:spacing w:after="0"/>
        <w:jc w:val="center"/>
      </w:pPr>
    </w:p>
    <w:p w:rsidR="00482EF6" w:rsidP="00482EF6" w14:paraId="02C97870" w14:textId="77777777">
      <w:pPr>
        <w:tabs>
          <w:tab w:val="left" w:pos="1440"/>
          <w:tab w:val="left" w:pos="4680"/>
          <w:tab w:val="center" w:pos="7200"/>
        </w:tabs>
        <w:spacing w:after="0"/>
        <w:jc w:val="center"/>
      </w:pPr>
    </w:p>
    <w:p w:rsidR="00482EF6" w:rsidP="00482EF6" w14:paraId="02C97871" w14:textId="77777777">
      <w:pPr>
        <w:tabs>
          <w:tab w:val="left" w:pos="1440"/>
          <w:tab w:val="left" w:pos="4680"/>
          <w:tab w:val="center" w:pos="7200"/>
        </w:tabs>
        <w:spacing w:after="0"/>
        <w:jc w:val="center"/>
      </w:pPr>
      <w:r>
        <w:t>July 24, 2023</w:t>
      </w:r>
    </w:p>
    <w:p w:rsidR="00482EF6" w:rsidP="00482EF6" w14:paraId="02C97872" w14:textId="77777777">
      <w:pPr>
        <w:tabs>
          <w:tab w:val="left" w:pos="1440"/>
          <w:tab w:val="left" w:pos="4680"/>
          <w:tab w:val="center" w:pos="7200"/>
        </w:tabs>
        <w:spacing w:after="0"/>
        <w:jc w:val="center"/>
      </w:pPr>
    </w:p>
    <w:p w:rsidR="00482EF6" w:rsidP="00482EF6" w14:paraId="02C97873" w14:textId="77777777">
      <w:pPr>
        <w:tabs>
          <w:tab w:val="left" w:pos="1440"/>
          <w:tab w:val="left" w:pos="4680"/>
          <w:tab w:val="center" w:pos="7200"/>
        </w:tabs>
        <w:spacing w:after="0"/>
        <w:jc w:val="left"/>
      </w:pPr>
      <w:r>
        <w:t xml:space="preserve">Justice Corrigan authored the opinion of the Court, in which </w:t>
      </w:r>
      <w:r w:rsidR="00202F42">
        <w:t>Chief Justice Guerrero and Justices Liu, Kruger, Groban, Jenkins, and Evans</w:t>
      </w:r>
      <w:r>
        <w:t xml:space="preserve"> concurred. </w:t>
      </w:r>
    </w:p>
    <w:p w:rsidR="00482EF6" w:rsidRPr="00482EF6" w:rsidP="00482EF6" w14:paraId="02C97875" w14:textId="77777777">
      <w:pPr>
        <w:pBdr>
          <w:bottom w:val="single" w:sz="4" w:space="1" w:color="auto"/>
        </w:pBdr>
        <w:tabs>
          <w:tab w:val="left" w:pos="1440"/>
          <w:tab w:val="left" w:pos="4680"/>
          <w:tab w:val="center" w:pos="7200"/>
        </w:tabs>
        <w:spacing w:line="480" w:lineRule="atLeast"/>
        <w:jc w:val="left"/>
      </w:pPr>
      <w:bookmarkStart w:id="1" w:name="Return"/>
      <w:bookmarkEnd w:id="1"/>
    </w:p>
    <w:p w:rsidR="00482EF6" w14:paraId="02C97876" w14:textId="77777777">
      <w:pPr>
        <w:tabs>
          <w:tab w:val="left" w:pos="1440"/>
          <w:tab w:val="left" w:pos="4680"/>
          <w:tab w:val="center" w:pos="7200"/>
        </w:tabs>
        <w:spacing w:line="480" w:lineRule="atLeast"/>
        <w:sectPr w:rsidSect="00482EF6">
          <w:headerReference w:type="default" r:id="rId6"/>
          <w:footerReference w:type="default" r:id="rId7"/>
          <w:pgSz w:w="12240" w:h="15840"/>
          <w:pgMar w:top="1800" w:right="2160" w:bottom="1440" w:left="2160" w:header="720" w:footer="720" w:gutter="0"/>
          <w:cols w:space="720"/>
          <w:titlePg/>
          <w:docGrid w:linePitch="367"/>
        </w:sectPr>
      </w:pPr>
    </w:p>
    <w:p w:rsidR="00482EF6" w:rsidP="00482EF6" w14:paraId="02C97877" w14:textId="77777777">
      <w:pPr>
        <w:tabs>
          <w:tab w:val="left" w:pos="1440"/>
          <w:tab w:val="left" w:pos="4680"/>
          <w:tab w:val="center" w:pos="7200"/>
        </w:tabs>
        <w:jc w:val="center"/>
      </w:pPr>
      <w:r>
        <w:t>ALLIED PREMIER INSURANCE v. UNITED FINANCIAL CASUALTY</w:t>
      </w:r>
      <w:r w:rsidR="0045689C">
        <w:t xml:space="preserve"> COMPANY</w:t>
      </w:r>
    </w:p>
    <w:p w:rsidR="00482EF6" w:rsidP="00482EF6" w14:paraId="02C97878" w14:textId="77777777">
      <w:pPr>
        <w:tabs>
          <w:tab w:val="left" w:pos="1440"/>
          <w:tab w:val="left" w:pos="4680"/>
          <w:tab w:val="center" w:pos="7200"/>
        </w:tabs>
        <w:jc w:val="center"/>
      </w:pPr>
      <w:r>
        <w:t>S267746</w:t>
      </w:r>
    </w:p>
    <w:p w:rsidR="00482EF6" w:rsidP="00482EF6" w14:paraId="02C97879" w14:textId="77777777">
      <w:pPr>
        <w:tabs>
          <w:tab w:val="left" w:pos="1440"/>
          <w:tab w:val="left" w:pos="4680"/>
          <w:tab w:val="center" w:pos="7200"/>
        </w:tabs>
        <w:jc w:val="center"/>
      </w:pPr>
    </w:p>
    <w:p w:rsidR="00482EF6" w:rsidP="00482EF6" w14:paraId="02C9787A" w14:textId="77777777">
      <w:pPr>
        <w:tabs>
          <w:tab w:val="left" w:pos="1440"/>
          <w:tab w:val="left" w:pos="4680"/>
          <w:tab w:val="center" w:pos="7200"/>
        </w:tabs>
        <w:jc w:val="center"/>
      </w:pPr>
      <w:r>
        <w:t>Opinion of the Court by Corrigan, J.</w:t>
      </w:r>
    </w:p>
    <w:p w:rsidR="00482EF6" w:rsidRPr="00482EF6" w:rsidP="00482EF6" w14:paraId="02C9787B" w14:textId="77777777">
      <w:pPr>
        <w:tabs>
          <w:tab w:val="left" w:pos="1440"/>
          <w:tab w:val="left" w:pos="4680"/>
          <w:tab w:val="center" w:pos="7200"/>
        </w:tabs>
        <w:jc w:val="center"/>
      </w:pPr>
      <w:bookmarkStart w:id="2" w:name="mainstory"/>
      <w:bookmarkEnd w:id="2"/>
    </w:p>
    <w:p w:rsidR="0021632C" w:rsidRPr="00482EF6" w:rsidP="00482EF6" w14:paraId="02C9787C" w14:textId="77777777">
      <w:pPr>
        <w:tabs>
          <w:tab w:val="left" w:pos="1440"/>
        </w:tabs>
        <w:ind w:firstLine="720"/>
      </w:pPr>
      <w:r w:rsidRPr="00482EF6">
        <w:t>The United States Court of Appeals for the Ninth Circuit has certified</w:t>
      </w:r>
      <w:r>
        <w:rPr>
          <w:rStyle w:val="FootnoteReference"/>
        </w:rPr>
        <w:footnoteReference w:id="3"/>
      </w:r>
      <w:r w:rsidRPr="00482EF6" w:rsidR="0033513C">
        <w:t xml:space="preserve"> </w:t>
      </w:r>
      <w:r w:rsidRPr="00482EF6">
        <w:t xml:space="preserve">the following question for </w:t>
      </w:r>
      <w:r w:rsidRPr="00482EF6" w:rsidR="00BF5689">
        <w:t xml:space="preserve">our review:  </w:t>
      </w:r>
      <w:r w:rsidRPr="00482EF6" w:rsidR="00B05184">
        <w:t xml:space="preserve">Under </w:t>
      </w:r>
      <w:r w:rsidRPr="00482EF6" w:rsidR="008E48F1">
        <w:t xml:space="preserve">California’s </w:t>
      </w:r>
      <w:r w:rsidRPr="00482EF6" w:rsidR="00B05184">
        <w:t>Motor Carriers of Property Permit Act (Veh. Code, § 34600 et seq.</w:t>
      </w:r>
      <w:r w:rsidR="00AB474D">
        <w:t xml:space="preserve">; </w:t>
      </w:r>
      <w:r w:rsidRPr="00482EF6" w:rsidR="00B05184">
        <w:t>the Act),</w:t>
      </w:r>
      <w:r>
        <w:rPr>
          <w:rStyle w:val="FootnoteReference"/>
        </w:rPr>
        <w:footnoteReference w:id="4"/>
      </w:r>
      <w:r w:rsidRPr="00482EF6" w:rsidR="00B05184">
        <w:t xml:space="preserve"> does a commercial automobile insurance policy continue in full force and effect until the insurer cancels the corresponding Certificate of Insurance on file with the Department of Motor Vehicles (DMV</w:t>
      </w:r>
      <w:r w:rsidRPr="00482EF6" w:rsidR="00C0701A">
        <w:t xml:space="preserve"> </w:t>
      </w:r>
      <w:r w:rsidRPr="00482EF6" w:rsidR="00674743">
        <w:t>or Department</w:t>
      </w:r>
      <w:r w:rsidRPr="00482EF6" w:rsidR="00B05184">
        <w:t>), regardless of the insurance policy’s stated expiration date?</w:t>
      </w:r>
      <w:r w:rsidRPr="00482EF6" w:rsidR="00900BC1">
        <w:t xml:space="preserve">  </w:t>
      </w:r>
      <w:r w:rsidRPr="00482EF6" w:rsidR="00572BCF">
        <w:t xml:space="preserve">The </w:t>
      </w:r>
      <w:r w:rsidRPr="00482EF6" w:rsidR="00F52B08">
        <w:t>answer</w:t>
      </w:r>
      <w:r w:rsidRPr="00482EF6">
        <w:t xml:space="preserve"> is no.  The </w:t>
      </w:r>
      <w:r w:rsidRPr="00482EF6" w:rsidR="001D01A8">
        <w:t xml:space="preserve">terms of an </w:t>
      </w:r>
      <w:r w:rsidRPr="00482EF6">
        <w:t xml:space="preserve">insurance contract </w:t>
      </w:r>
      <w:r w:rsidRPr="00482EF6" w:rsidR="00783332">
        <w:t xml:space="preserve">generally determine the duration of </w:t>
      </w:r>
      <w:r w:rsidRPr="00482EF6" w:rsidR="0044472D">
        <w:t xml:space="preserve">the </w:t>
      </w:r>
      <w:r w:rsidRPr="00482EF6" w:rsidR="00783332">
        <w:t>policy</w:t>
      </w:r>
      <w:r w:rsidRPr="00482EF6" w:rsidR="0044472D">
        <w:t>’s</w:t>
      </w:r>
      <w:r w:rsidRPr="00482EF6" w:rsidR="00783332">
        <w:t xml:space="preserve"> coverage.  </w:t>
      </w:r>
      <w:r w:rsidRPr="00482EF6" w:rsidR="00D517EA">
        <w:t xml:space="preserve">Although an endorsement </w:t>
      </w:r>
      <w:r w:rsidRPr="00482EF6" w:rsidR="002A684E">
        <w:t>can amend</w:t>
      </w:r>
      <w:r w:rsidRPr="00482EF6" w:rsidR="00D517EA">
        <w:t xml:space="preserve"> </w:t>
      </w:r>
      <w:r w:rsidRPr="00482EF6" w:rsidR="002A684E">
        <w:t xml:space="preserve">the policy, neither the Act nor the </w:t>
      </w:r>
      <w:r w:rsidRPr="00482EF6" w:rsidR="00674743">
        <w:t xml:space="preserve">specific </w:t>
      </w:r>
      <w:r w:rsidRPr="00482EF6" w:rsidR="002A684E">
        <w:t xml:space="preserve">endorsement it requires </w:t>
      </w:r>
      <w:r w:rsidRPr="00482EF6" w:rsidR="00205CFB">
        <w:t xml:space="preserve">extend coverage beyond the underlying policy’s expiration date.  </w:t>
      </w:r>
    </w:p>
    <w:p w:rsidR="00205CFB" w:rsidRPr="00482EF6" w:rsidP="00482EF6" w14:paraId="02C9787D" w14:textId="77777777">
      <w:pPr>
        <w:tabs>
          <w:tab w:val="left" w:pos="1440"/>
        </w:tabs>
        <w:ind w:firstLine="720"/>
      </w:pPr>
      <w:r w:rsidRPr="00482EF6">
        <w:t xml:space="preserve">In </w:t>
      </w:r>
      <w:r w:rsidRPr="00482EF6">
        <w:rPr>
          <w:i/>
          <w:iCs/>
        </w:rPr>
        <w:t>Transamerica Ins. Co. v. Tab Transportation, Inc.</w:t>
      </w:r>
      <w:r w:rsidRPr="00482EF6">
        <w:t xml:space="preserve"> (1995) 12 Cal.4th 389 (</w:t>
      </w:r>
      <w:r w:rsidRPr="00482EF6">
        <w:rPr>
          <w:i/>
          <w:iCs/>
        </w:rPr>
        <w:t>Transamerica</w:t>
      </w:r>
      <w:r w:rsidRPr="00482EF6">
        <w:t xml:space="preserve">), </w:t>
      </w:r>
      <w:r w:rsidRPr="00482EF6" w:rsidR="00526A31">
        <w:t xml:space="preserve">this court interpreted </w:t>
      </w:r>
      <w:r w:rsidRPr="00482EF6" w:rsidR="00674743">
        <w:t>an earlier</w:t>
      </w:r>
      <w:r w:rsidRPr="00482EF6" w:rsidR="00526A31">
        <w:t xml:space="preserve"> permitting system codified in the Public Utilities Code.  We held that the policy endorsement </w:t>
      </w:r>
      <w:r w:rsidRPr="00482EF6" w:rsidR="00E0387B">
        <w:t xml:space="preserve">required by that scheme </w:t>
      </w:r>
      <w:r w:rsidRPr="00482EF6" w:rsidR="00515B7B">
        <w:t xml:space="preserve">did extend </w:t>
      </w:r>
      <w:r w:rsidRPr="00482EF6" w:rsidR="00E0387B">
        <w:t xml:space="preserve">insurance </w:t>
      </w:r>
      <w:r w:rsidRPr="00482EF6" w:rsidR="00515B7B">
        <w:t>coverage until notice of cancellation was provided to the Public Utilities Commission.  However, the</w:t>
      </w:r>
      <w:r w:rsidRPr="00482EF6" w:rsidR="008B6617">
        <w:t xml:space="preserve"> </w:t>
      </w:r>
      <w:r w:rsidRPr="00482EF6" w:rsidR="00515B7B">
        <w:t xml:space="preserve">language </w:t>
      </w:r>
      <w:r w:rsidRPr="00482EF6" w:rsidR="008B6617">
        <w:t>in the Public Utilities Code</w:t>
      </w:r>
      <w:r w:rsidRPr="00482EF6" w:rsidR="00674743">
        <w:t>, on which we relied</w:t>
      </w:r>
      <w:r w:rsidRPr="00482EF6" w:rsidR="008B6617">
        <w:t xml:space="preserve"> </w:t>
      </w:r>
      <w:r w:rsidRPr="00482EF6" w:rsidR="00737EC5">
        <w:t xml:space="preserve">in </w:t>
      </w:r>
      <w:r w:rsidRPr="00482EF6" w:rsidR="00BD518C">
        <w:rPr>
          <w:i/>
          <w:iCs/>
        </w:rPr>
        <w:t>Transamerica</w:t>
      </w:r>
      <w:r w:rsidRPr="00482EF6" w:rsidR="007E4479">
        <w:t>,</w:t>
      </w:r>
      <w:r w:rsidRPr="00482EF6" w:rsidR="00BD518C">
        <w:t xml:space="preserve"> was not carried over when later legislation replaced the Public Utilities Code permitting scheme </w:t>
      </w:r>
      <w:r w:rsidRPr="00482EF6" w:rsidR="008D3978">
        <w:t>and amended the Vehicle Code to a</w:t>
      </w:r>
      <w:r w:rsidRPr="00482EF6" w:rsidR="00240AE6">
        <w:t>dd</w:t>
      </w:r>
      <w:r w:rsidRPr="00482EF6" w:rsidR="008D3978">
        <w:t xml:space="preserve"> the Act</w:t>
      </w:r>
      <w:r w:rsidRPr="00482EF6" w:rsidR="008B6617">
        <w:t xml:space="preserve"> at issue </w:t>
      </w:r>
      <w:r w:rsidRPr="00482EF6" w:rsidR="00E322FE">
        <w:t>here.</w:t>
      </w:r>
      <w:r w:rsidRPr="00482EF6" w:rsidR="008D3978">
        <w:t xml:space="preserve">  As a result, </w:t>
      </w:r>
      <w:r w:rsidRPr="00482EF6" w:rsidR="008D3978">
        <w:rPr>
          <w:i/>
          <w:iCs/>
        </w:rPr>
        <w:t>Transamerica</w:t>
      </w:r>
      <w:r w:rsidRPr="00482EF6" w:rsidR="008D3978">
        <w:t xml:space="preserve">’s holding does not control the answer to the certified question.  </w:t>
      </w:r>
    </w:p>
    <w:p w:rsidR="00A867E3" w:rsidRPr="00482EF6" w:rsidP="00202F42" w14:paraId="02C9787E" w14:textId="77777777">
      <w:pPr>
        <w:pStyle w:val="ListParagraph"/>
        <w:keepNext/>
        <w:numPr>
          <w:ilvl w:val="0"/>
          <w:numId w:val="4"/>
        </w:numPr>
        <w:tabs>
          <w:tab w:val="left" w:pos="1080"/>
        </w:tabs>
        <w:jc w:val="center"/>
        <w:rPr>
          <w:b/>
          <w:bCs/>
        </w:rPr>
      </w:pPr>
      <w:r w:rsidRPr="00482EF6">
        <w:rPr>
          <w:b/>
          <w:bCs/>
        </w:rPr>
        <w:t>BACKGROUND</w:t>
      </w:r>
    </w:p>
    <w:p w:rsidR="00A867E3" w:rsidRPr="00482EF6" w:rsidP="00482EF6" w14:paraId="02C9787F" w14:textId="77777777">
      <w:pPr>
        <w:tabs>
          <w:tab w:val="left" w:pos="1440"/>
        </w:tabs>
        <w:ind w:firstLine="720"/>
      </w:pPr>
      <w:r w:rsidRPr="00482EF6">
        <w:t xml:space="preserve">The facts are taken from the parties’ joint stipulation of facts and exhibits </w:t>
      </w:r>
      <w:r w:rsidR="00ED45CA">
        <w:t xml:space="preserve">as well as </w:t>
      </w:r>
      <w:r w:rsidRPr="00482EF6">
        <w:t>the judgment of the United States District Court, Central District of California</w:t>
      </w:r>
      <w:r w:rsidRPr="00482EF6" w:rsidR="00572BCF">
        <w:t xml:space="preserve">.  </w:t>
      </w:r>
    </w:p>
    <w:p w:rsidR="003C681D" w:rsidRPr="00482EF6" w:rsidP="00482EF6" w14:paraId="02C97880" w14:textId="77777777">
      <w:pPr>
        <w:pStyle w:val="ListParagraph"/>
        <w:keepNext/>
        <w:numPr>
          <w:ilvl w:val="0"/>
          <w:numId w:val="5"/>
        </w:numPr>
        <w:tabs>
          <w:tab w:val="left" w:pos="1440"/>
        </w:tabs>
        <w:rPr>
          <w:i/>
          <w:iCs/>
        </w:rPr>
      </w:pPr>
      <w:r w:rsidRPr="00482EF6">
        <w:rPr>
          <w:i/>
          <w:iCs/>
        </w:rPr>
        <w:t>The Act</w:t>
      </w:r>
    </w:p>
    <w:p w:rsidR="00CA4B9E" w:rsidRPr="00482EF6" w:rsidP="00482EF6" w14:paraId="02C97881" w14:textId="77777777">
      <w:pPr>
        <w:tabs>
          <w:tab w:val="left" w:pos="1440"/>
        </w:tabs>
        <w:ind w:firstLine="720"/>
      </w:pPr>
      <w:r>
        <w:t xml:space="preserve">Commercial trucker </w:t>
      </w:r>
      <w:r w:rsidRPr="00482EF6" w:rsidR="00F6456B">
        <w:t>Jose Porras is a “</w:t>
      </w:r>
      <w:r w:rsidR="00002644">
        <w:t> </w:t>
      </w:r>
      <w:r w:rsidR="00D53877">
        <w:t>‘</w:t>
      </w:r>
      <w:r w:rsidRPr="00482EF6" w:rsidR="00F6456B">
        <w:t>motor carrier of property</w:t>
      </w:r>
      <w:r w:rsidR="00D53877">
        <w:t>’ </w:t>
      </w:r>
      <w:r w:rsidRPr="00482EF6" w:rsidR="00F6456B">
        <w:t>”</w:t>
      </w:r>
      <w:r w:rsidRPr="00482EF6" w:rsidR="006E4C17">
        <w:t xml:space="preserve"> (motor carrier or carrier)</w:t>
      </w:r>
      <w:r w:rsidRPr="00482EF6" w:rsidR="00F6456B">
        <w:t>.</w:t>
      </w:r>
      <w:r w:rsidRPr="00482EF6" w:rsidR="00572BCF">
        <w:t xml:space="preserve">  </w:t>
      </w:r>
      <w:r w:rsidRPr="00482EF6" w:rsidR="00F6456B">
        <w:t xml:space="preserve">(§ 34601, subd. (a).)  </w:t>
      </w:r>
      <w:r w:rsidRPr="00482EF6" w:rsidR="00CE5EE9">
        <w:t>Under the</w:t>
      </w:r>
      <w:r w:rsidRPr="00482EF6" w:rsidR="00F6456B">
        <w:t xml:space="preserve"> Act</w:t>
      </w:r>
      <w:r w:rsidRPr="00482EF6" w:rsidR="00CE5EE9">
        <w:t xml:space="preserve">, </w:t>
      </w:r>
      <w:r w:rsidR="005F58A0">
        <w:t xml:space="preserve">a </w:t>
      </w:r>
      <w:r w:rsidRPr="00482EF6" w:rsidR="00F6456B">
        <w:t>motor carrier</w:t>
      </w:r>
      <w:r w:rsidR="005F58A0">
        <w:t xml:space="preserve"> </w:t>
      </w:r>
      <w:r w:rsidRPr="00482EF6" w:rsidR="00CE5EE9">
        <w:t xml:space="preserve">cannot operate </w:t>
      </w:r>
      <w:r w:rsidRPr="00482EF6" w:rsidR="00F6456B">
        <w:t xml:space="preserve">on public highways without </w:t>
      </w:r>
      <w:r w:rsidRPr="00482EF6" w:rsidR="00910BD0">
        <w:t xml:space="preserve">securing a DMV </w:t>
      </w:r>
      <w:r w:rsidRPr="00482EF6" w:rsidR="00F6456B">
        <w:t>permit</w:t>
      </w:r>
      <w:r w:rsidRPr="00482EF6" w:rsidR="00910BD0">
        <w:t xml:space="preserve">, which requires </w:t>
      </w:r>
      <w:r w:rsidRPr="00482EF6">
        <w:t xml:space="preserve">proof of </w:t>
      </w:r>
      <w:r w:rsidRPr="00482EF6" w:rsidR="00E95BA3">
        <w:t xml:space="preserve">the carrier’s </w:t>
      </w:r>
      <w:r w:rsidRPr="00482EF6">
        <w:t>financial responsibility.  (§</w:t>
      </w:r>
      <w:r w:rsidRPr="00482EF6" w:rsidR="008E48F1">
        <w:t>§</w:t>
      </w:r>
      <w:r w:rsidRPr="00482EF6">
        <w:t xml:space="preserve"> 34620, subd. (a)</w:t>
      </w:r>
      <w:r w:rsidRPr="00482EF6" w:rsidR="008E48F1">
        <w:t>,</w:t>
      </w:r>
      <w:r w:rsidRPr="00482EF6" w:rsidR="00236E50">
        <w:t xml:space="preserve"> 34630, subd. (a).)</w:t>
      </w:r>
      <w:r w:rsidRPr="00482EF6" w:rsidR="00FE486B">
        <w:t xml:space="preserve">  A </w:t>
      </w:r>
      <w:r w:rsidRPr="00482EF6" w:rsidR="000A7378">
        <w:t xml:space="preserve">carrier can satisfy </w:t>
      </w:r>
      <w:r w:rsidR="0061282D">
        <w:t xml:space="preserve">that </w:t>
      </w:r>
      <w:r w:rsidRPr="00482EF6" w:rsidR="000A7378">
        <w:t>requirement by obtaining a policy of insurance.</w:t>
      </w:r>
      <w:r>
        <w:rPr>
          <w:rStyle w:val="FootnoteReference"/>
        </w:rPr>
        <w:footnoteReference w:id="5"/>
      </w:r>
      <w:r w:rsidRPr="00482EF6" w:rsidR="000A7378">
        <w:t xml:space="preserve">  </w:t>
      </w:r>
      <w:r w:rsidRPr="00482EF6" w:rsidR="001B6570">
        <w:t>(§</w:t>
      </w:r>
      <w:r w:rsidRPr="00482EF6" w:rsidR="00896811">
        <w:t> </w:t>
      </w:r>
      <w:r w:rsidRPr="00482EF6" w:rsidR="001B6570">
        <w:t xml:space="preserve">34631.)  If a carrier </w:t>
      </w:r>
      <w:r w:rsidRPr="00482EF6" w:rsidR="00F274C7">
        <w:t>does so</w:t>
      </w:r>
      <w:r w:rsidRPr="00482EF6" w:rsidR="001B6570">
        <w:t xml:space="preserve">, the insurer </w:t>
      </w:r>
      <w:r w:rsidRPr="00482EF6" w:rsidR="00F274C7">
        <w:t xml:space="preserve">must </w:t>
      </w:r>
      <w:r w:rsidRPr="00482EF6" w:rsidR="001B6570">
        <w:t>submit a certificate of insurance</w:t>
      </w:r>
      <w:r w:rsidRPr="00482EF6" w:rsidR="000F0089">
        <w:t xml:space="preserve"> to the </w:t>
      </w:r>
      <w:r w:rsidRPr="00482EF6" w:rsidR="00086635">
        <w:t>Department</w:t>
      </w:r>
      <w:r w:rsidRPr="00482EF6" w:rsidR="000F0089">
        <w:t xml:space="preserve"> as </w:t>
      </w:r>
      <w:r w:rsidRPr="00482EF6" w:rsidR="001B6570">
        <w:t>evidence</w:t>
      </w:r>
      <w:r w:rsidRPr="00482EF6" w:rsidR="000F0089">
        <w:t xml:space="preserve"> </w:t>
      </w:r>
      <w:r w:rsidRPr="00482EF6" w:rsidR="001B6570">
        <w:t>that the “protection required under [section 34631.5,</w:t>
      </w:r>
      <w:r w:rsidR="00010202">
        <w:t>]</w:t>
      </w:r>
      <w:r w:rsidRPr="00482EF6" w:rsidR="001B6570">
        <w:t xml:space="preserve"> subdivision (a)” is provided.  (</w:t>
      </w:r>
      <w:r w:rsidRPr="00482EF6" w:rsidR="00FE5B81">
        <w:t>§</w:t>
      </w:r>
      <w:r w:rsidRPr="00482EF6" w:rsidR="00896811">
        <w:t> </w:t>
      </w:r>
      <w:r w:rsidRPr="00482EF6" w:rsidR="001B6570">
        <w:t xml:space="preserve">34631.5, subd. (b)(1).)  </w:t>
      </w:r>
    </w:p>
    <w:p w:rsidR="005C0D17" w:rsidRPr="00482EF6" w:rsidP="00482EF6" w14:paraId="02C97882" w14:textId="77777777">
      <w:pPr>
        <w:tabs>
          <w:tab w:val="left" w:pos="1440"/>
        </w:tabs>
        <w:ind w:firstLine="720"/>
      </w:pPr>
      <w:r w:rsidRPr="00482EF6">
        <w:t xml:space="preserve">The </w:t>
      </w:r>
      <w:r w:rsidRPr="00482EF6" w:rsidR="00355094">
        <w:t xml:space="preserve">Department </w:t>
      </w:r>
      <w:r w:rsidRPr="00482EF6" w:rsidR="00747F0D">
        <w:t xml:space="preserve">has </w:t>
      </w:r>
      <w:r w:rsidRPr="00482EF6">
        <w:t xml:space="preserve">published forms to </w:t>
      </w:r>
      <w:r w:rsidRPr="00482EF6" w:rsidR="00F61DE4">
        <w:t xml:space="preserve">facilitate </w:t>
      </w:r>
      <w:r w:rsidRPr="00482EF6">
        <w:t xml:space="preserve">the </w:t>
      </w:r>
      <w:r w:rsidRPr="00482EF6" w:rsidR="00707EB7">
        <w:t xml:space="preserve">administration of the </w:t>
      </w:r>
      <w:r w:rsidRPr="00482EF6">
        <w:t xml:space="preserve">Act’s financial responsibility requirement.  </w:t>
      </w:r>
      <w:r w:rsidRPr="00482EF6" w:rsidR="00747F0D">
        <w:t xml:space="preserve">Two </w:t>
      </w:r>
      <w:r w:rsidRPr="00482EF6">
        <w:t xml:space="preserve">of those forms </w:t>
      </w:r>
      <w:r w:rsidRPr="00482EF6" w:rsidR="00747F0D">
        <w:t xml:space="preserve">are </w:t>
      </w:r>
      <w:r w:rsidRPr="00482EF6" w:rsidR="00B20AF4">
        <w:t xml:space="preserve">a </w:t>
      </w:r>
      <w:r w:rsidRPr="00482EF6">
        <w:t>“Certificate of Insurance”</w:t>
      </w:r>
      <w:r w:rsidRPr="00482EF6" w:rsidR="00C84BC9">
        <w:t xml:space="preserve"> </w:t>
      </w:r>
      <w:r w:rsidRPr="00482EF6" w:rsidR="00B20AF4">
        <w:t xml:space="preserve">and </w:t>
      </w:r>
      <w:r w:rsidRPr="00482EF6" w:rsidR="00C84BC9">
        <w:t>an “Insurance Policy Endorsement.”</w:t>
      </w:r>
      <w:r w:rsidRPr="00482EF6" w:rsidR="002A5FC7">
        <w:t xml:space="preserve">  </w:t>
      </w:r>
      <w:r w:rsidR="004F6F9F">
        <w:t xml:space="preserve">(See </w:t>
      </w:r>
      <w:r w:rsidRPr="00482EF6" w:rsidR="004F6F9F">
        <w:t>Cal. Code Regs., tit. 13, § 220.06, subd</w:t>
      </w:r>
      <w:r w:rsidR="004F6F9F">
        <w:t>s</w:t>
      </w:r>
      <w:r w:rsidRPr="00482EF6" w:rsidR="004F6F9F">
        <w:t xml:space="preserve">. </w:t>
      </w:r>
      <w:r w:rsidR="004F6F9F">
        <w:t xml:space="preserve">(a), </w:t>
      </w:r>
      <w:r w:rsidRPr="00482EF6" w:rsidR="004F6F9F">
        <w:t>(b).)</w:t>
      </w:r>
      <w:r w:rsidR="004F6F9F">
        <w:t xml:space="preserve">  </w:t>
      </w:r>
      <w:r w:rsidR="008B50E1">
        <w:t xml:space="preserve">When a </w:t>
      </w:r>
      <w:r w:rsidR="004B3360">
        <w:t xml:space="preserve">motor </w:t>
      </w:r>
      <w:r w:rsidR="008B50E1">
        <w:t xml:space="preserve">carrier complies with the Act by </w:t>
      </w:r>
      <w:r w:rsidR="008567E1">
        <w:t xml:space="preserve">obtaining </w:t>
      </w:r>
      <w:r w:rsidR="00CF0706">
        <w:t xml:space="preserve">an insurance </w:t>
      </w:r>
      <w:r w:rsidR="004B3360">
        <w:t>policy</w:t>
      </w:r>
      <w:r w:rsidR="008B50E1">
        <w:t xml:space="preserve">, </w:t>
      </w:r>
      <w:r w:rsidR="00843000">
        <w:t xml:space="preserve">a </w:t>
      </w:r>
      <w:r w:rsidR="00CA6BB1">
        <w:t>DMV</w:t>
      </w:r>
      <w:r w:rsidR="00843000">
        <w:t xml:space="preserve"> </w:t>
      </w:r>
      <w:r w:rsidR="00CA6BB1">
        <w:t>regulation</w:t>
      </w:r>
      <w:r w:rsidR="00843000">
        <w:t xml:space="preserve"> </w:t>
      </w:r>
      <w:r w:rsidR="00F4248E">
        <w:t>require</w:t>
      </w:r>
      <w:r w:rsidR="00843000">
        <w:t xml:space="preserve">s </w:t>
      </w:r>
      <w:r w:rsidR="00F4248E">
        <w:t xml:space="preserve">that the </w:t>
      </w:r>
      <w:r w:rsidR="008B50E1">
        <w:t>“</w:t>
      </w:r>
      <w:r w:rsidRPr="00482EF6" w:rsidR="002310DF">
        <w:t>Insurance Policy Endorsement</w:t>
      </w:r>
      <w:r w:rsidRPr="00482EF6" w:rsidR="00F02C07">
        <w:t xml:space="preserve"> </w:t>
      </w:r>
      <w:r w:rsidRPr="00482EF6" w:rsidR="002310DF">
        <w:t xml:space="preserve">. . . , amending the insurance policy to comply with insurance requirements imposed by the [Act], . . . be attached to and made part of, the insurance policy insuring the motor carrier.”  </w:t>
      </w:r>
      <w:r w:rsidRPr="00482EF6" w:rsidR="00EC56F8">
        <w:t>(Cal</w:t>
      </w:r>
      <w:r w:rsidRPr="00482EF6" w:rsidR="008B7BB4">
        <w:t>.</w:t>
      </w:r>
      <w:r w:rsidRPr="00482EF6" w:rsidR="00EC56F8">
        <w:t xml:space="preserve"> Code Regs., tit. 13, §</w:t>
      </w:r>
      <w:r w:rsidRPr="00482EF6" w:rsidR="00896811">
        <w:t> </w:t>
      </w:r>
      <w:r w:rsidRPr="00482EF6" w:rsidR="00EC56F8">
        <w:t>220.06, subd. (b).)</w:t>
      </w:r>
      <w:r w:rsidRPr="00482EF6" w:rsidR="00A426B8">
        <w:t xml:space="preserve">  </w:t>
      </w:r>
    </w:p>
    <w:p w:rsidR="005A2404" w:rsidRPr="00482EF6" w:rsidP="00482EF6" w14:paraId="02C97883" w14:textId="77777777">
      <w:pPr>
        <w:tabs>
          <w:tab w:val="left" w:pos="1440"/>
        </w:tabs>
        <w:ind w:firstLine="720"/>
      </w:pPr>
      <w:r w:rsidRPr="00482EF6">
        <w:t>The Ac</w:t>
      </w:r>
      <w:r w:rsidRPr="00482EF6" w:rsidR="00B605D6">
        <w:t xml:space="preserve">t requires </w:t>
      </w:r>
      <w:r w:rsidRPr="00482EF6">
        <w:t xml:space="preserve">that </w:t>
      </w:r>
      <w:r w:rsidRPr="00482EF6" w:rsidR="00C6111C">
        <w:t>“</w:t>
      </w:r>
      <w:r w:rsidRPr="00482EF6">
        <w:t>proof of financial responsibility</w:t>
      </w:r>
      <w:r w:rsidR="007D6160">
        <w:t xml:space="preserve"> . . . </w:t>
      </w:r>
      <w:r w:rsidRPr="00482EF6">
        <w:t>be continued in effect during the active life</w:t>
      </w:r>
      <w:r w:rsidR="00114610">
        <w:t>”</w:t>
      </w:r>
      <w:r w:rsidRPr="00482EF6">
        <w:t xml:space="preserve"> of the permit</w:t>
      </w:r>
      <w:r w:rsidR="00114610">
        <w:t xml:space="preserve"> </w:t>
      </w:r>
      <w:r w:rsidRPr="00482EF6" w:rsidR="007B0E99">
        <w:t xml:space="preserve">issued to the motor carrier.  </w:t>
      </w:r>
      <w:r w:rsidRPr="00482EF6">
        <w:t>(§</w:t>
      </w:r>
      <w:r w:rsidRPr="00482EF6" w:rsidR="007B0E99">
        <w:t> </w:t>
      </w:r>
      <w:r w:rsidRPr="00482EF6">
        <w:t xml:space="preserve">34630, subd. (b).)  </w:t>
      </w:r>
      <w:r w:rsidRPr="00482EF6" w:rsidR="00121848">
        <w:t xml:space="preserve">This requirement </w:t>
      </w:r>
      <w:r w:rsidRPr="00482EF6">
        <w:t>prohibits cancellation of a certificate of insurance without notice to the DMV</w:t>
      </w:r>
      <w:r w:rsidRPr="00482EF6" w:rsidR="004B1343">
        <w:t xml:space="preserve"> by the insurer</w:t>
      </w:r>
      <w:r w:rsidRPr="00482EF6">
        <w:t>.</w:t>
      </w:r>
      <w:r>
        <w:rPr>
          <w:rStyle w:val="FootnoteReference"/>
        </w:rPr>
        <w:footnoteReference w:id="6"/>
      </w:r>
      <w:r w:rsidRPr="00482EF6" w:rsidR="006365E2">
        <w:t xml:space="preserve">  </w:t>
      </w:r>
      <w:r w:rsidRPr="00482EF6" w:rsidR="00AC036C">
        <w:t>(</w:t>
      </w:r>
      <w:r w:rsidRPr="00B84D2F" w:rsidR="000F4FAF">
        <w:rPr>
          <w:i/>
          <w:iCs/>
        </w:rPr>
        <w:t>Ibid</w:t>
      </w:r>
      <w:r w:rsidRPr="00482EF6" w:rsidR="008B7BB4">
        <w:t>.</w:t>
      </w:r>
      <w:r w:rsidRPr="00482EF6" w:rsidR="00AC036C">
        <w:t xml:space="preserve">)  </w:t>
      </w:r>
      <w:r w:rsidRPr="00482EF6" w:rsidR="00674743">
        <w:t xml:space="preserve">When an insurer </w:t>
      </w:r>
      <w:r w:rsidR="00354140">
        <w:t xml:space="preserve">gives notice </w:t>
      </w:r>
      <w:r w:rsidRPr="00482EF6" w:rsidR="00AC036C">
        <w:t>that</w:t>
      </w:r>
      <w:r w:rsidRPr="00482EF6" w:rsidR="003D2744">
        <w:t xml:space="preserve"> </w:t>
      </w:r>
      <w:r w:rsidR="00354140">
        <w:t xml:space="preserve">a </w:t>
      </w:r>
      <w:r w:rsidRPr="00482EF6" w:rsidR="00485C79">
        <w:t xml:space="preserve">certificate </w:t>
      </w:r>
      <w:r w:rsidRPr="00482EF6" w:rsidR="00A7369B">
        <w:t xml:space="preserve">will </w:t>
      </w:r>
      <w:r w:rsidRPr="00482EF6" w:rsidR="00674743">
        <w:t xml:space="preserve">be cancelled because the policy will </w:t>
      </w:r>
      <w:r w:rsidRPr="00482EF6" w:rsidR="00A7369B">
        <w:t>lapse or be terminated</w:t>
      </w:r>
      <w:r w:rsidRPr="00482EF6" w:rsidR="00325171">
        <w:t xml:space="preserve">, </w:t>
      </w:r>
      <w:r w:rsidRPr="00482EF6" w:rsidR="00AC036C">
        <w:t xml:space="preserve">the </w:t>
      </w:r>
      <w:r w:rsidR="00354140">
        <w:t xml:space="preserve">DMV </w:t>
      </w:r>
      <w:r w:rsidRPr="00482EF6" w:rsidR="00501A70">
        <w:t>must “</w:t>
      </w:r>
      <w:r w:rsidRPr="00482EF6" w:rsidR="00AC036C">
        <w:t xml:space="preserve">suspend the carrier’s permit effective on the date of lapse or termination unless the carrier provides evidence of valid insurance coverage” pursuant to section 34630, subdivision (a).  (§ 34630, subd. (c).)  </w:t>
      </w:r>
      <w:r w:rsidRPr="00482EF6" w:rsidR="00265059">
        <w:t xml:space="preserve">This </w:t>
      </w:r>
      <w:r w:rsidRPr="00482EF6" w:rsidR="00B442EC">
        <w:t xml:space="preserve">procedure ensures </w:t>
      </w:r>
      <w:r w:rsidRPr="00482EF6" w:rsidR="00AC036C">
        <w:t xml:space="preserve">that only financially responsible carriers are </w:t>
      </w:r>
      <w:r w:rsidRPr="00482EF6" w:rsidR="00FA3A1C">
        <w:t>permitted</w:t>
      </w:r>
      <w:r w:rsidRPr="00482EF6" w:rsidR="00B442EC">
        <w:t xml:space="preserve"> </w:t>
      </w:r>
      <w:r w:rsidRPr="00482EF6" w:rsidR="00AC036C">
        <w:t>to operate on public highways.</w:t>
      </w:r>
    </w:p>
    <w:p w:rsidR="00A43C50" w:rsidRPr="00482EF6" w:rsidP="00482EF6" w14:paraId="02C97884" w14:textId="77777777">
      <w:pPr>
        <w:pStyle w:val="ListParagraph"/>
        <w:keepNext/>
        <w:numPr>
          <w:ilvl w:val="0"/>
          <w:numId w:val="5"/>
        </w:numPr>
        <w:tabs>
          <w:tab w:val="left" w:pos="1440"/>
        </w:tabs>
        <w:rPr>
          <w:i/>
          <w:iCs/>
        </w:rPr>
      </w:pPr>
      <w:r w:rsidRPr="00482EF6">
        <w:rPr>
          <w:i/>
          <w:iCs/>
        </w:rPr>
        <w:t>The Facts</w:t>
      </w:r>
    </w:p>
    <w:p w:rsidR="00A43C50" w:rsidRPr="00482EF6" w:rsidP="00482EF6" w14:paraId="02C97885" w14:textId="77777777">
      <w:pPr>
        <w:tabs>
          <w:tab w:val="left" w:pos="1440"/>
        </w:tabs>
        <w:ind w:firstLine="720"/>
      </w:pPr>
      <w:r w:rsidRPr="00482EF6">
        <w:t>Effective May 2, 2013, United Financial Casualty Company (United) began insuring Porras under a commercial automobile insurance policy</w:t>
      </w:r>
      <w:r w:rsidRPr="00482EF6" w:rsidR="000200A1">
        <w:t xml:space="preserve"> with an eight-digit policy number ending in 772</w:t>
      </w:r>
      <w:r w:rsidRPr="00482EF6">
        <w:t xml:space="preserve"> (the United policy</w:t>
      </w:r>
      <w:r w:rsidRPr="00482EF6" w:rsidR="000200A1">
        <w:t xml:space="preserve"> or Policy 772</w:t>
      </w:r>
      <w:r w:rsidRPr="00482EF6">
        <w:t>).  The policy</w:t>
      </w:r>
      <w:r w:rsidRPr="00482EF6" w:rsidR="00082324">
        <w:t xml:space="preserve"> </w:t>
      </w:r>
      <w:r w:rsidRPr="00482EF6">
        <w:t xml:space="preserve">provided that, </w:t>
      </w:r>
      <w:r w:rsidRPr="00482EF6" w:rsidR="006930E0">
        <w:t>in return for Porras’s premium</w:t>
      </w:r>
      <w:r w:rsidRPr="00482EF6" w:rsidR="00107E9A">
        <w:t xml:space="preserve"> payment</w:t>
      </w:r>
      <w:r w:rsidRPr="00482EF6" w:rsidR="006930E0">
        <w:t xml:space="preserve">, </w:t>
      </w:r>
      <w:r w:rsidRPr="00482EF6">
        <w:t>United would</w:t>
      </w:r>
      <w:r w:rsidRPr="00482EF6" w:rsidR="0089332C">
        <w:t xml:space="preserve">, up to the policy limit, </w:t>
      </w:r>
      <w:r w:rsidRPr="00482EF6">
        <w:t xml:space="preserve">pay </w:t>
      </w:r>
      <w:r w:rsidRPr="00482EF6" w:rsidR="0089332C">
        <w:t xml:space="preserve">specified </w:t>
      </w:r>
      <w:r w:rsidRPr="00482EF6">
        <w:t>damages</w:t>
      </w:r>
      <w:r w:rsidRPr="00482EF6" w:rsidR="00E42E63">
        <w:t xml:space="preserve"> Porras became </w:t>
      </w:r>
      <w:r w:rsidRPr="00482EF6">
        <w:t xml:space="preserve">responsible </w:t>
      </w:r>
      <w:r w:rsidRPr="00482EF6" w:rsidR="00545212">
        <w:t xml:space="preserve">for as a result of </w:t>
      </w:r>
      <w:r w:rsidRPr="00482EF6">
        <w:t xml:space="preserve">an accident </w:t>
      </w:r>
      <w:r w:rsidRPr="00482EF6" w:rsidR="00545212">
        <w:t>“</w:t>
      </w:r>
      <w:r w:rsidRPr="00482EF6">
        <w:t>arising out of the ownership, maintenance or use of</w:t>
      </w:r>
      <w:r w:rsidRPr="00482EF6" w:rsidR="00545212">
        <w:t>”</w:t>
      </w:r>
      <w:r w:rsidRPr="00482EF6">
        <w:t xml:space="preserve"> </w:t>
      </w:r>
      <w:r w:rsidRPr="00482EF6" w:rsidR="00545212">
        <w:t xml:space="preserve">an </w:t>
      </w:r>
      <w:r w:rsidRPr="00482EF6">
        <w:t xml:space="preserve">insured </w:t>
      </w:r>
      <w:r w:rsidR="003E2D90">
        <w:t>vehicle</w:t>
      </w:r>
      <w:r w:rsidRPr="00482EF6">
        <w:t xml:space="preserve">.  The policy </w:t>
      </w:r>
      <w:r w:rsidRPr="00482EF6" w:rsidR="00A56A4E">
        <w:t xml:space="preserve">also </w:t>
      </w:r>
      <w:r w:rsidRPr="00482EF6">
        <w:t>provided that United would</w:t>
      </w:r>
      <w:r w:rsidRPr="00482EF6" w:rsidR="003E7F2D">
        <w:t xml:space="preserve">, at its </w:t>
      </w:r>
      <w:r w:rsidRPr="00482EF6" w:rsidR="00A67D60">
        <w:t>option</w:t>
      </w:r>
      <w:r w:rsidRPr="00482EF6" w:rsidR="003E7F2D">
        <w:t>,</w:t>
      </w:r>
      <w:r w:rsidRPr="00482EF6">
        <w:t xml:space="preserve"> settle or defend</w:t>
      </w:r>
      <w:r w:rsidRPr="00482EF6" w:rsidR="003E7F2D">
        <w:t xml:space="preserve"> </w:t>
      </w:r>
      <w:r w:rsidRPr="00482EF6">
        <w:t>any</w:t>
      </w:r>
      <w:r w:rsidRPr="00482EF6" w:rsidR="003E7F2D">
        <w:t xml:space="preserve"> </w:t>
      </w:r>
      <w:r w:rsidRPr="00482EF6">
        <w:t>covered</w:t>
      </w:r>
      <w:r w:rsidRPr="00482EF6" w:rsidR="003E7F2D">
        <w:t xml:space="preserve"> </w:t>
      </w:r>
      <w:r w:rsidRPr="00482EF6">
        <w:t xml:space="preserve">claim </w:t>
      </w:r>
      <w:r w:rsidRPr="00482EF6" w:rsidR="00A82405">
        <w:t xml:space="preserve">and that, </w:t>
      </w:r>
      <w:r w:rsidRPr="00482EF6">
        <w:t>if Porras faile</w:t>
      </w:r>
      <w:r w:rsidRPr="00482EF6" w:rsidR="00B63BA7">
        <w:t xml:space="preserve">d to </w:t>
      </w:r>
      <w:r w:rsidRPr="00482EF6" w:rsidR="00EA09B6">
        <w:t xml:space="preserve">pay the premium to renew, </w:t>
      </w:r>
      <w:r w:rsidRPr="00482EF6">
        <w:t>the policy would “automatically terminate at the end of the current policy period.”</w:t>
      </w:r>
      <w:r w:rsidRPr="00482EF6" w:rsidR="00572BCF">
        <w:t xml:space="preserve">  </w:t>
      </w:r>
    </w:p>
    <w:p w:rsidR="00667472" w:rsidRPr="00482EF6" w:rsidP="00482EF6" w14:paraId="02C97886" w14:textId="77777777">
      <w:pPr>
        <w:tabs>
          <w:tab w:val="left" w:pos="1440"/>
        </w:tabs>
        <w:ind w:firstLine="720"/>
      </w:pPr>
      <w:r w:rsidRPr="00482EF6">
        <w:t xml:space="preserve">As required by the Act, United filed a </w:t>
      </w:r>
      <w:r w:rsidR="006A74A9">
        <w:t>c</w:t>
      </w:r>
      <w:r w:rsidRPr="00482EF6">
        <w:t xml:space="preserve">ertificate of </w:t>
      </w:r>
      <w:r w:rsidR="00036856">
        <w:t>i</w:t>
      </w:r>
      <w:r w:rsidRPr="00482EF6">
        <w:t>nsurance</w:t>
      </w:r>
      <w:r w:rsidRPr="00482EF6" w:rsidR="000200A1">
        <w:t xml:space="preserve">, </w:t>
      </w:r>
      <w:r w:rsidRPr="00482EF6" w:rsidR="00F03D4F">
        <w:t xml:space="preserve">identifying </w:t>
      </w:r>
      <w:r w:rsidRPr="00482EF6">
        <w:t>United as the insurer and Porras as the insured</w:t>
      </w:r>
      <w:r w:rsidR="00544046">
        <w:t xml:space="preserve"> and </w:t>
      </w:r>
      <w:r w:rsidRPr="00482EF6" w:rsidR="00544046">
        <w:t>giving the policy number ending in 772</w:t>
      </w:r>
      <w:r w:rsidRPr="00482EF6" w:rsidR="00D9505A">
        <w:t xml:space="preserve">.  </w:t>
      </w:r>
      <w:r w:rsidRPr="00482EF6">
        <w:t>United certifie</w:t>
      </w:r>
      <w:r w:rsidRPr="00482EF6" w:rsidR="00D9505A">
        <w:t xml:space="preserve">d </w:t>
      </w:r>
      <w:r w:rsidRPr="00482EF6">
        <w:t xml:space="preserve">that a “fully executed endorsement, on a form authorized by the [DMV], is attached to the referenced policy to conform to the requirements of the [Act]” </w:t>
      </w:r>
      <w:r w:rsidRPr="00482EF6" w:rsidR="000200A1">
        <w:t xml:space="preserve">and </w:t>
      </w:r>
      <w:r w:rsidRPr="00482EF6">
        <w:t>that “[t]his Certificate . . . shall not be cancel</w:t>
      </w:r>
      <w:r w:rsidRPr="00482EF6" w:rsidR="000200A1">
        <w:t>ed</w:t>
      </w:r>
      <w:r w:rsidRPr="00482EF6">
        <w:t xml:space="preserve"> on less than thirty (30) days notice from the Insurer to the DMV and written on a Notice of Cancellation form authorized by the DMV.”  </w:t>
      </w:r>
    </w:p>
    <w:p w:rsidR="00612863" w:rsidRPr="00482EF6" w:rsidP="00482EF6" w14:paraId="02C97887" w14:textId="77777777">
      <w:pPr>
        <w:tabs>
          <w:tab w:val="left" w:pos="1440"/>
        </w:tabs>
        <w:ind w:firstLine="720"/>
      </w:pPr>
      <w:r w:rsidRPr="00482EF6">
        <w:t xml:space="preserve">United attached the </w:t>
      </w:r>
      <w:r w:rsidR="0025344F">
        <w:t xml:space="preserve">required </w:t>
      </w:r>
      <w:r w:rsidRPr="00482EF6">
        <w:t>Insurance Policy Endorsement to the United policy</w:t>
      </w:r>
      <w:r w:rsidRPr="00482EF6" w:rsidR="00B939D4">
        <w:t xml:space="preserve"> (the Endorsement)</w:t>
      </w:r>
      <w:r w:rsidRPr="00482EF6">
        <w:t xml:space="preserve">.  </w:t>
      </w:r>
      <w:r w:rsidRPr="00482EF6" w:rsidR="00295411">
        <w:t xml:space="preserve">Under the Endorsement, </w:t>
      </w:r>
      <w:r w:rsidRPr="00482EF6">
        <w:t>United agreed:</w:t>
      </w:r>
      <w:r w:rsidRPr="00482EF6" w:rsidR="00295411">
        <w:t xml:space="preserve">  </w:t>
      </w:r>
      <w:r w:rsidRPr="00482EF6">
        <w:t>(1) to “pay, consistent with the minimum insurance coverage required by [section] 34631.5 . . . any legal liability of insured for bodily injury, death, or property damage arising out of the operation, maintenance, or use of any vehicle(s) for which a motor carrier permit is required”; (2) that “[n]o provision, stipulation, or limitation contained in the attached policy or any endorsement shall relieve insurer from obligations arising out of this Endorsement or the Act, regardless of the insured’s financial solvency, indebtedness[,] or bankruptcy”; (3) that the “Certificate of Insurance shall not be canceled on less than thirty (30) days notice from the Insurer to the DMV”; and (4) that, “[e]xcept as specified in this endorsement, the terms, conditions, and limitations of this policy remain in full force and effect.”</w:t>
      </w:r>
      <w:r w:rsidRPr="00482EF6" w:rsidR="00485AC5">
        <w:rPr>
          <w:rStyle w:val="FootnoteReference"/>
        </w:rPr>
        <w:t xml:space="preserve"> </w:t>
      </w:r>
      <w:r>
        <w:rPr>
          <w:rStyle w:val="FootnoteReference"/>
        </w:rPr>
        <w:footnoteReference w:id="7"/>
      </w:r>
      <w:r w:rsidRPr="00482EF6">
        <w:t xml:space="preserve">  </w:t>
      </w:r>
      <w:r w:rsidRPr="00482EF6" w:rsidR="00543E91">
        <w:t xml:space="preserve">One of the terms in the policy was the termination </w:t>
      </w:r>
      <w:r w:rsidRPr="00482EF6" w:rsidR="00E80149">
        <w:t>date</w:t>
      </w:r>
      <w:r w:rsidRPr="00482EF6" w:rsidR="00543E91">
        <w:t xml:space="preserve">.  </w:t>
      </w:r>
      <w:r w:rsidRPr="00482EF6" w:rsidR="00E56FA2">
        <w:t xml:space="preserve">The </w:t>
      </w:r>
      <w:r w:rsidRPr="00482EF6" w:rsidR="005620C5">
        <w:t>E</w:t>
      </w:r>
      <w:r w:rsidRPr="00482EF6">
        <w:t xml:space="preserve">ndorsement </w:t>
      </w:r>
      <w:r w:rsidRPr="00482EF6" w:rsidR="00E56FA2">
        <w:t xml:space="preserve">also </w:t>
      </w:r>
      <w:r w:rsidRPr="00482EF6">
        <w:t>permitted United to seek “reimbursement from [Porras] for any payment made by [United] solely on account of the [</w:t>
      </w:r>
      <w:r w:rsidRPr="00482EF6" w:rsidR="00DE2771">
        <w:t>E</w:t>
      </w:r>
      <w:r w:rsidRPr="00482EF6">
        <w:t>ndorsement’s] provisions.”</w:t>
      </w:r>
      <w:r w:rsidRPr="00482EF6" w:rsidR="00572BCF">
        <w:t xml:space="preserve">  </w:t>
      </w:r>
    </w:p>
    <w:p w:rsidR="006A36F8" w:rsidRPr="00482EF6" w:rsidP="00482EF6" w14:paraId="02C97888" w14:textId="77777777">
      <w:pPr>
        <w:tabs>
          <w:tab w:val="left" w:pos="1440"/>
        </w:tabs>
        <w:ind w:firstLine="720"/>
      </w:pPr>
      <w:r w:rsidRPr="00482EF6">
        <w:t xml:space="preserve">United provided coverage for Porras </w:t>
      </w:r>
      <w:r w:rsidRPr="00482EF6" w:rsidR="00F31091">
        <w:t xml:space="preserve">through </w:t>
      </w:r>
      <w:r w:rsidRPr="00482EF6" w:rsidR="007F4A02">
        <w:t xml:space="preserve">the </w:t>
      </w:r>
      <w:r w:rsidRPr="00482EF6" w:rsidR="00625649">
        <w:t xml:space="preserve">original or renewed </w:t>
      </w:r>
      <w:r w:rsidRPr="00482EF6" w:rsidR="000200A1">
        <w:t>P</w:t>
      </w:r>
      <w:r w:rsidRPr="00482EF6" w:rsidR="00625649">
        <w:t>olicy</w:t>
      </w:r>
      <w:r w:rsidRPr="00482EF6" w:rsidR="000200A1">
        <w:t xml:space="preserve"> 772</w:t>
      </w:r>
      <w:r w:rsidRPr="00482EF6" w:rsidR="00625649">
        <w:t xml:space="preserve"> </w:t>
      </w:r>
      <w:r w:rsidRPr="00482EF6" w:rsidR="007C11D4">
        <w:t xml:space="preserve">from </w:t>
      </w:r>
      <w:r w:rsidRPr="00482EF6" w:rsidR="00625649">
        <w:t>May 2, 2013</w:t>
      </w:r>
      <w:r w:rsidRPr="00482EF6" w:rsidR="00A31BD7">
        <w:t xml:space="preserve"> through </w:t>
      </w:r>
      <w:r w:rsidRPr="00482EF6" w:rsidR="00625649">
        <w:t xml:space="preserve">April 12, 2015.  During that period, it appears that United filed at least three </w:t>
      </w:r>
      <w:r w:rsidRPr="00482EF6" w:rsidR="00465B8A">
        <w:t>certificates of insurance and two cancellation</w:t>
      </w:r>
      <w:r w:rsidRPr="00482EF6" w:rsidR="000200A1">
        <w:t xml:space="preserve"> notices</w:t>
      </w:r>
      <w:r w:rsidRPr="00482EF6" w:rsidR="004E6148">
        <w:t xml:space="preserve">, </w:t>
      </w:r>
      <w:r w:rsidRPr="00482EF6" w:rsidR="00465B8A">
        <w:t xml:space="preserve">one of which </w:t>
      </w:r>
      <w:r w:rsidRPr="00482EF6" w:rsidR="00C17267">
        <w:t xml:space="preserve">the Department </w:t>
      </w:r>
      <w:r w:rsidR="00A605F4">
        <w:t xml:space="preserve">returned </w:t>
      </w:r>
      <w:r w:rsidRPr="00482EF6" w:rsidR="00465B8A">
        <w:t xml:space="preserve">to United as an “incomplete filing.”  </w:t>
      </w:r>
      <w:r w:rsidRPr="00482EF6" w:rsidR="00C47CAE">
        <w:t xml:space="preserve">It appears that, as the end of a policy period approached, United would file a cancellation notice with the DMV, </w:t>
      </w:r>
      <w:r w:rsidRPr="00482EF6" w:rsidR="000200A1">
        <w:t xml:space="preserve">noting the policy number and </w:t>
      </w:r>
      <w:r w:rsidRPr="00482EF6" w:rsidR="00C47CAE">
        <w:t xml:space="preserve">giving the date the policy </w:t>
      </w:r>
      <w:r w:rsidRPr="00482EF6" w:rsidR="003959F9">
        <w:t xml:space="preserve">would lapse.  The timing of the notice made the </w:t>
      </w:r>
      <w:r w:rsidRPr="00482EF6" w:rsidR="007838B7">
        <w:t xml:space="preserve">DMV </w:t>
      </w:r>
      <w:r w:rsidRPr="00482EF6" w:rsidR="003959F9">
        <w:t xml:space="preserve">aware that, if </w:t>
      </w:r>
      <w:r w:rsidRPr="00482EF6" w:rsidR="000200A1">
        <w:t xml:space="preserve">Policy 772 </w:t>
      </w:r>
      <w:r w:rsidRPr="00482EF6" w:rsidR="003959F9">
        <w:t>was not renewed, it would lapse</w:t>
      </w:r>
      <w:r w:rsidRPr="00482EF6" w:rsidR="00030C87">
        <w:t xml:space="preserve"> on the date </w:t>
      </w:r>
      <w:r w:rsidRPr="00482EF6" w:rsidR="001A0564">
        <w:t>provided,</w:t>
      </w:r>
      <w:r w:rsidRPr="00482EF6" w:rsidR="00030C87">
        <w:t xml:space="preserve"> triggering the DMV’s duty to suspend Porras’s operating permit.  </w:t>
      </w:r>
      <w:r w:rsidRPr="00482EF6" w:rsidR="00C70921">
        <w:t xml:space="preserve">If the policy was subsequently renewed, United would send a new </w:t>
      </w:r>
      <w:r w:rsidRPr="00482EF6" w:rsidR="00453D5B">
        <w:t>c</w:t>
      </w:r>
      <w:r w:rsidRPr="00482EF6" w:rsidR="00C70921">
        <w:t xml:space="preserve">ertificate of </w:t>
      </w:r>
      <w:r w:rsidRPr="00482EF6" w:rsidR="00453D5B">
        <w:t>i</w:t>
      </w:r>
      <w:r w:rsidRPr="00482EF6" w:rsidR="00C70921">
        <w:t xml:space="preserve">nsurance as evidence </w:t>
      </w:r>
      <w:r w:rsidRPr="00482EF6" w:rsidR="00DE1149">
        <w:t>that Porras continued to have th</w:t>
      </w:r>
      <w:r w:rsidRPr="00482EF6" w:rsidR="002D3447">
        <w:t xml:space="preserve">e </w:t>
      </w:r>
      <w:r w:rsidRPr="00482EF6" w:rsidR="008F4C8A">
        <w:t xml:space="preserve">required </w:t>
      </w:r>
      <w:r w:rsidRPr="00482EF6" w:rsidR="002D3447">
        <w:t>protection</w:t>
      </w:r>
      <w:r w:rsidRPr="00482EF6" w:rsidR="00D750E1">
        <w:t xml:space="preserve"> under Policy 772</w:t>
      </w:r>
      <w:r w:rsidRPr="00482EF6" w:rsidR="00DE1149">
        <w:t xml:space="preserve">.  </w:t>
      </w:r>
      <w:r w:rsidRPr="00482EF6" w:rsidR="00634C22">
        <w:t xml:space="preserve">The new certificate would indicate </w:t>
      </w:r>
      <w:r w:rsidRPr="00482EF6" w:rsidR="00513A0B">
        <w:t xml:space="preserve">the date on which the new </w:t>
      </w:r>
      <w:r w:rsidRPr="00482EF6" w:rsidR="00A15020">
        <w:t>policy period began</w:t>
      </w:r>
      <w:r w:rsidRPr="00482EF6" w:rsidR="00513A0B">
        <w:t xml:space="preserve">.  </w:t>
      </w:r>
      <w:r w:rsidR="00A201DE">
        <w:t xml:space="preserve">As noted, one </w:t>
      </w:r>
      <w:r w:rsidRPr="00482EF6" w:rsidR="00DE1149">
        <w:t xml:space="preserve">of </w:t>
      </w:r>
      <w:r w:rsidRPr="00482EF6" w:rsidR="000E4980">
        <w:t xml:space="preserve">United’s cancellation notices was rejected by </w:t>
      </w:r>
      <w:r w:rsidRPr="00482EF6" w:rsidR="00A870C2">
        <w:t xml:space="preserve">the </w:t>
      </w:r>
      <w:r w:rsidRPr="00482EF6" w:rsidR="00EA589E">
        <w:t>Department</w:t>
      </w:r>
      <w:r w:rsidRPr="00482EF6" w:rsidR="00A870C2">
        <w:t xml:space="preserve"> as an incomplete filing.  After that filing was returned, however, United filed a new </w:t>
      </w:r>
      <w:r w:rsidRPr="00482EF6" w:rsidR="00D060B8">
        <w:t>certificate of insurance</w:t>
      </w:r>
      <w:r w:rsidRPr="00482EF6" w:rsidR="00A870C2">
        <w:t xml:space="preserve">, </w:t>
      </w:r>
      <w:r w:rsidRPr="00482EF6" w:rsidR="00291712">
        <w:t xml:space="preserve">covering the ensuing period.  As relevant here, United submitted </w:t>
      </w:r>
      <w:r w:rsidRPr="00482EF6" w:rsidR="00D750E1">
        <w:t>its final</w:t>
      </w:r>
      <w:r w:rsidRPr="00482EF6" w:rsidR="00291712">
        <w:t xml:space="preserve"> cancellation notice </w:t>
      </w:r>
      <w:r w:rsidRPr="00482EF6" w:rsidR="00295332">
        <w:t xml:space="preserve">on </w:t>
      </w:r>
      <w:r w:rsidRPr="00482EF6" w:rsidR="00062259">
        <w:t>February 6, 2015</w:t>
      </w:r>
      <w:r w:rsidRPr="00482EF6" w:rsidR="00B508F2">
        <w:t xml:space="preserve">, informing </w:t>
      </w:r>
      <w:r w:rsidRPr="00482EF6" w:rsidR="00062259">
        <w:t xml:space="preserve">the </w:t>
      </w:r>
      <w:r w:rsidRPr="00482EF6" w:rsidR="00EA589E">
        <w:t xml:space="preserve">Department </w:t>
      </w:r>
      <w:r w:rsidRPr="00482EF6" w:rsidR="00062259">
        <w:t xml:space="preserve">that </w:t>
      </w:r>
      <w:r w:rsidRPr="00482EF6" w:rsidR="00B508F2">
        <w:t>“</w:t>
      </w:r>
      <w:r w:rsidRPr="00482EF6" w:rsidR="00062259">
        <w:t xml:space="preserve">the </w:t>
      </w:r>
      <w:r w:rsidRPr="00482EF6" w:rsidR="005B5D99">
        <w:t xml:space="preserve">[United] </w:t>
      </w:r>
      <w:r w:rsidRPr="00482EF6" w:rsidR="00062259">
        <w:t>policy, including applicable endorsement and certifications</w:t>
      </w:r>
      <w:r w:rsidRPr="00482EF6" w:rsidR="00B508F2">
        <w:t xml:space="preserve">” is cancelled </w:t>
      </w:r>
      <w:r w:rsidRPr="00482EF6" w:rsidR="00062259">
        <w:t xml:space="preserve">“effective thirty (30) days after the date” it was </w:t>
      </w:r>
      <w:r w:rsidRPr="00482EF6" w:rsidR="00A142EA">
        <w:t xml:space="preserve">either </w:t>
      </w:r>
      <w:r w:rsidRPr="00482EF6" w:rsidR="00062259">
        <w:t xml:space="preserve">received by the DMV, or on April 12, 2015, whichever </w:t>
      </w:r>
      <w:r w:rsidRPr="00482EF6" w:rsidR="00414FC5">
        <w:t xml:space="preserve">was </w:t>
      </w:r>
      <w:r w:rsidRPr="00482EF6" w:rsidR="00062259">
        <w:t xml:space="preserve">later.  </w:t>
      </w:r>
      <w:r w:rsidRPr="00482EF6" w:rsidR="00D750E1">
        <w:t xml:space="preserve">Every </w:t>
      </w:r>
      <w:r w:rsidR="00AC7AF1">
        <w:t xml:space="preserve">certificate </w:t>
      </w:r>
      <w:r w:rsidRPr="00482EF6" w:rsidR="00D750E1">
        <w:t xml:space="preserve">and </w:t>
      </w:r>
      <w:r w:rsidR="007531F3">
        <w:t xml:space="preserve">cancellation </w:t>
      </w:r>
      <w:r w:rsidR="00AC7AF1">
        <w:t xml:space="preserve">notice </w:t>
      </w:r>
      <w:r w:rsidRPr="00482EF6" w:rsidR="00D750E1">
        <w:t xml:space="preserve">in the record bears both the </w:t>
      </w:r>
      <w:r w:rsidRPr="00482EF6" w:rsidR="004F11BA">
        <w:t xml:space="preserve">772 </w:t>
      </w:r>
      <w:r w:rsidRPr="00482EF6" w:rsidR="00D750E1">
        <w:t>policy number and the number of Porras’s permit.</w:t>
      </w:r>
    </w:p>
    <w:p w:rsidR="00D57FCF" w:rsidRPr="00482EF6" w:rsidP="00482EF6" w14:paraId="02C97889" w14:textId="77777777">
      <w:pPr>
        <w:tabs>
          <w:tab w:val="left" w:pos="1440"/>
        </w:tabs>
        <w:ind w:firstLine="720"/>
      </w:pPr>
      <w:r w:rsidRPr="00482EF6">
        <w:t xml:space="preserve">By April 12, 2015, </w:t>
      </w:r>
      <w:r w:rsidRPr="00482EF6" w:rsidR="00F422EE">
        <w:t>Porras had</w:t>
      </w:r>
      <w:r w:rsidRPr="00482EF6">
        <w:t xml:space="preserve"> not paid </w:t>
      </w:r>
      <w:r w:rsidRPr="00482EF6" w:rsidR="00EC4468">
        <w:t xml:space="preserve">the premium required to </w:t>
      </w:r>
      <w:r w:rsidRPr="00482EF6">
        <w:t>renew the United policy.  Effective April 13, 2015, Allied Premier Insurance (Allied) began to insure Porras under a policy</w:t>
      </w:r>
      <w:r w:rsidRPr="00482EF6" w:rsidR="00C35769">
        <w:t xml:space="preserve"> that provided the required coverage</w:t>
      </w:r>
      <w:r w:rsidRPr="00482EF6" w:rsidR="00D750E1">
        <w:t xml:space="preserve">. </w:t>
      </w:r>
      <w:r w:rsidRPr="00482EF6" w:rsidR="002834A5">
        <w:t xml:space="preserve"> Allied </w:t>
      </w:r>
      <w:r w:rsidRPr="00482EF6">
        <w:t xml:space="preserve">submitted a </w:t>
      </w:r>
      <w:r w:rsidRPr="00482EF6" w:rsidR="00C83872">
        <w:t xml:space="preserve">certificate of insurance </w:t>
      </w:r>
      <w:r w:rsidRPr="00482EF6">
        <w:t xml:space="preserve">to the </w:t>
      </w:r>
      <w:r w:rsidRPr="00482EF6" w:rsidR="004F11BA">
        <w:t xml:space="preserve">Department </w:t>
      </w:r>
      <w:r w:rsidRPr="00482EF6" w:rsidR="00D750E1">
        <w:t>four days later</w:t>
      </w:r>
      <w:r w:rsidRPr="00482EF6">
        <w:t>.</w:t>
      </w:r>
      <w:r w:rsidRPr="00482EF6" w:rsidR="002834A5">
        <w:t xml:space="preserve">  </w:t>
      </w:r>
      <w:r w:rsidRPr="00482EF6" w:rsidR="00D750E1">
        <w:t>The record contains no indication that</w:t>
      </w:r>
      <w:r w:rsidR="00E26567">
        <w:t xml:space="preserve">, when </w:t>
      </w:r>
      <w:r w:rsidR="0096240C">
        <w:t xml:space="preserve">it </w:t>
      </w:r>
      <w:r w:rsidR="00E26567">
        <w:t>assumed coverage and filed its own certificate,</w:t>
      </w:r>
      <w:r w:rsidRPr="00482EF6" w:rsidR="00D750E1">
        <w:t xml:space="preserve"> Allied was aware </w:t>
      </w:r>
      <w:r w:rsidR="007651DF">
        <w:t xml:space="preserve">that </w:t>
      </w:r>
      <w:r w:rsidRPr="00482EF6" w:rsidR="00D750E1">
        <w:t>United’s earlier certificate</w:t>
      </w:r>
      <w:r w:rsidR="007651DF">
        <w:t xml:space="preserve"> remained uncancelled</w:t>
      </w:r>
      <w:r w:rsidR="00B256A4">
        <w:t xml:space="preserve"> because the DMV had rejected United’s cancellation notice.  </w:t>
      </w:r>
    </w:p>
    <w:p w:rsidR="00E12342" w:rsidRPr="00482EF6" w:rsidP="00482EF6" w14:paraId="02C9788A" w14:textId="77777777">
      <w:pPr>
        <w:tabs>
          <w:tab w:val="left" w:pos="1440"/>
        </w:tabs>
        <w:ind w:firstLine="720"/>
      </w:pPr>
      <w:r w:rsidRPr="00482EF6">
        <w:t xml:space="preserve">On September 1, 2015, Porras was driving </w:t>
      </w:r>
      <w:r w:rsidRPr="00482EF6" w:rsidR="00135F80">
        <w:t xml:space="preserve">a truck covered by the Allied policy </w:t>
      </w:r>
      <w:r w:rsidRPr="00482EF6">
        <w:t xml:space="preserve">when he </w:t>
      </w:r>
      <w:r w:rsidRPr="00482EF6" w:rsidR="00135F80">
        <w:t xml:space="preserve">collided </w:t>
      </w:r>
      <w:r w:rsidRPr="00482EF6">
        <w:t>with a car driven by Jennifer Jones.  Jones died as a result of the accident</w:t>
      </w:r>
      <w:r w:rsidR="00892DA3">
        <w:t xml:space="preserve">, and her </w:t>
      </w:r>
      <w:r w:rsidRPr="00482EF6">
        <w:t>parents sued Porras for wrongful death.  Porras tendered his defense to Allied, which retained counsel to defend him and settled the parents’ claim for its policy limit</w:t>
      </w:r>
      <w:r w:rsidRPr="00482EF6" w:rsidR="00DB649E">
        <w:t>s</w:t>
      </w:r>
      <w:r w:rsidRPr="00482EF6">
        <w:t xml:space="preserve"> of $1 million.  United </w:t>
      </w:r>
      <w:r w:rsidRPr="00482EF6" w:rsidR="00960D03">
        <w:t xml:space="preserve">was </w:t>
      </w:r>
      <w:r w:rsidRPr="00482EF6" w:rsidR="006D26D4">
        <w:t xml:space="preserve">not </w:t>
      </w:r>
      <w:r w:rsidRPr="00482EF6" w:rsidR="00960D03">
        <w:t>a party to</w:t>
      </w:r>
      <w:r w:rsidRPr="00482EF6" w:rsidR="001242CE">
        <w:t xml:space="preserve"> the Jones suit,</w:t>
      </w:r>
      <w:r w:rsidRPr="00482EF6" w:rsidR="008B7BB4">
        <w:t xml:space="preserve"> </w:t>
      </w:r>
      <w:r w:rsidRPr="00482EF6" w:rsidR="006D26D4">
        <w:t>did not defend Porras in</w:t>
      </w:r>
      <w:r w:rsidRPr="00482EF6" w:rsidR="001242CE">
        <w:t xml:space="preserve"> that </w:t>
      </w:r>
      <w:r w:rsidRPr="00482EF6" w:rsidR="00CB2F35">
        <w:t>action, and</w:t>
      </w:r>
      <w:r w:rsidRPr="00482EF6">
        <w:t xml:space="preserve"> did not contribute to the settlement.</w:t>
      </w:r>
      <w:r w:rsidRPr="00482EF6" w:rsidR="00572BCF">
        <w:t xml:space="preserve">  </w:t>
      </w:r>
    </w:p>
    <w:p w:rsidR="000A6402" w:rsidRPr="00482EF6" w:rsidP="00482EF6" w14:paraId="02C9788B" w14:textId="77777777">
      <w:pPr>
        <w:pStyle w:val="ListParagraph"/>
        <w:keepNext/>
        <w:numPr>
          <w:ilvl w:val="0"/>
          <w:numId w:val="5"/>
        </w:numPr>
        <w:tabs>
          <w:tab w:val="left" w:pos="1440"/>
        </w:tabs>
        <w:rPr>
          <w:i/>
          <w:iCs/>
        </w:rPr>
      </w:pPr>
      <w:r w:rsidRPr="00482EF6">
        <w:rPr>
          <w:i/>
          <w:iCs/>
        </w:rPr>
        <w:t>The Action</w:t>
      </w:r>
      <w:r w:rsidRPr="00482EF6" w:rsidR="007C5899">
        <w:rPr>
          <w:i/>
          <w:iCs/>
        </w:rPr>
        <w:t xml:space="preserve"> at Issue Here</w:t>
      </w:r>
    </w:p>
    <w:p w:rsidR="00A43C50" w:rsidRPr="00482EF6" w:rsidP="00482EF6" w14:paraId="02C9788C" w14:textId="77777777">
      <w:pPr>
        <w:tabs>
          <w:tab w:val="left" w:pos="1440"/>
        </w:tabs>
        <w:ind w:firstLine="720"/>
      </w:pPr>
      <w:r w:rsidRPr="00482EF6">
        <w:t xml:space="preserve">After the settlement, </w:t>
      </w:r>
      <w:r w:rsidRPr="00482EF6" w:rsidR="00777325">
        <w:t>Allied sued United for declaratory relief, equitable contribution, and equitable subrogation</w:t>
      </w:r>
      <w:r w:rsidRPr="00482EF6" w:rsidR="00D750E1">
        <w:t>,</w:t>
      </w:r>
      <w:r w:rsidRPr="00482EF6" w:rsidR="00777325">
        <w:t xml:space="preserve"> </w:t>
      </w:r>
      <w:r w:rsidRPr="00482EF6" w:rsidR="00D750E1">
        <w:t xml:space="preserve">seeking </w:t>
      </w:r>
      <w:r w:rsidRPr="00482EF6" w:rsidR="00777325">
        <w:t xml:space="preserve">reimbursement </w:t>
      </w:r>
      <w:r w:rsidRPr="00482EF6">
        <w:t xml:space="preserve">for </w:t>
      </w:r>
      <w:r w:rsidRPr="00482EF6" w:rsidR="00777325">
        <w:t xml:space="preserve">half the amount it paid </w:t>
      </w:r>
      <w:r w:rsidRPr="00482EF6">
        <w:t xml:space="preserve">to resolve </w:t>
      </w:r>
      <w:r w:rsidRPr="00482EF6" w:rsidR="00900E48">
        <w:t>the Jones litigation</w:t>
      </w:r>
      <w:r w:rsidRPr="00482EF6" w:rsidR="00777325">
        <w:t xml:space="preserve">.  </w:t>
      </w:r>
      <w:r w:rsidRPr="00482EF6" w:rsidR="00900E48">
        <w:t xml:space="preserve">It </w:t>
      </w:r>
      <w:r w:rsidRPr="00482EF6" w:rsidR="00777325">
        <w:t xml:space="preserve">argued </w:t>
      </w:r>
      <w:r w:rsidRPr="00482EF6" w:rsidR="00900E48">
        <w:t xml:space="preserve">that, </w:t>
      </w:r>
      <w:r w:rsidRPr="00482EF6" w:rsidR="00777325">
        <w:t xml:space="preserve">because </w:t>
      </w:r>
      <w:r w:rsidRPr="00482EF6" w:rsidR="00236E58">
        <w:t xml:space="preserve">one of </w:t>
      </w:r>
      <w:r w:rsidRPr="00482EF6" w:rsidR="00777325">
        <w:t>United</w:t>
      </w:r>
      <w:r w:rsidRPr="00482EF6" w:rsidR="00236E58">
        <w:t xml:space="preserve">’s cancellation notices </w:t>
      </w:r>
      <w:r w:rsidRPr="00482EF6" w:rsidR="00330FFB">
        <w:t xml:space="preserve">was rejected by the </w:t>
      </w:r>
      <w:r w:rsidRPr="00482EF6" w:rsidR="004F11BA">
        <w:t xml:space="preserve">Department </w:t>
      </w:r>
      <w:r w:rsidRPr="00482EF6" w:rsidR="00330FFB">
        <w:t xml:space="preserve">as incomplete, United continued to </w:t>
      </w:r>
      <w:r w:rsidRPr="00482EF6" w:rsidR="009655B0">
        <w:t xml:space="preserve">have </w:t>
      </w:r>
      <w:r w:rsidRPr="00482EF6" w:rsidR="00777325">
        <w:t>an active certificate of insurance on file with the DMV.  That</w:t>
      </w:r>
      <w:r w:rsidRPr="00482EF6" w:rsidR="009655B0">
        <w:t xml:space="preserve"> circumstance</w:t>
      </w:r>
      <w:r w:rsidRPr="00482EF6" w:rsidR="00777325">
        <w:t xml:space="preserve">, according to Allied, meant United’s policy remained in effect on the date of the collision between Porras and Jones.  </w:t>
      </w:r>
    </w:p>
    <w:p w:rsidR="00777325" w:rsidRPr="00482EF6" w:rsidP="00482EF6" w14:paraId="02C9788D" w14:textId="77777777">
      <w:pPr>
        <w:tabs>
          <w:tab w:val="left" w:pos="1440"/>
        </w:tabs>
        <w:ind w:firstLine="720"/>
      </w:pPr>
      <w:r w:rsidRPr="00482EF6">
        <w:t xml:space="preserve">United urged that it had no obligation to reimburse Allied because its policy had expired when Porras failed to renew.  </w:t>
      </w:r>
      <w:r w:rsidRPr="00482EF6" w:rsidR="00B9458A">
        <w:t xml:space="preserve">United acknowledged </w:t>
      </w:r>
      <w:r w:rsidRPr="00482EF6" w:rsidR="008E5475">
        <w:t xml:space="preserve">one of its certificates of insurance remained </w:t>
      </w:r>
      <w:r w:rsidRPr="00482EF6">
        <w:t>on file with the DMV</w:t>
      </w:r>
      <w:r w:rsidRPr="00482EF6" w:rsidR="00D750E1">
        <w:t xml:space="preserve"> because </w:t>
      </w:r>
      <w:r w:rsidRPr="00482EF6" w:rsidR="002E11D2">
        <w:t>a</w:t>
      </w:r>
      <w:r w:rsidRPr="00482EF6" w:rsidR="00D750E1">
        <w:t xml:space="preserve"> cancellation notice had been returned</w:t>
      </w:r>
      <w:r w:rsidRPr="00482EF6" w:rsidR="008E5475">
        <w:t xml:space="preserve">.  </w:t>
      </w:r>
      <w:r w:rsidRPr="00482EF6" w:rsidR="008312EE">
        <w:t xml:space="preserve">However, it argued </w:t>
      </w:r>
      <w:r w:rsidRPr="00482EF6" w:rsidR="008A3DFA">
        <w:t>the</w:t>
      </w:r>
      <w:r w:rsidRPr="00482EF6" w:rsidR="008312EE">
        <w:t xml:space="preserve"> </w:t>
      </w:r>
      <w:r w:rsidRPr="00482EF6" w:rsidR="00FD36F5">
        <w:t>c</w:t>
      </w:r>
      <w:r w:rsidRPr="00482EF6" w:rsidR="008312EE">
        <w:t xml:space="preserve">ertificate </w:t>
      </w:r>
      <w:r w:rsidRPr="00482EF6" w:rsidR="002A5757">
        <w:t xml:space="preserve">was </w:t>
      </w:r>
      <w:r w:rsidRPr="00482EF6">
        <w:t>not an insurance policy</w:t>
      </w:r>
      <w:r w:rsidRPr="00482EF6" w:rsidR="002A5757">
        <w:t>.  At most</w:t>
      </w:r>
      <w:r w:rsidRPr="00482EF6">
        <w:t xml:space="preserve">, it created a surety-like obligation, providing a “safety net” for members of the public injured by commercial motor carriers.  Because the </w:t>
      </w:r>
      <w:r w:rsidRPr="00482EF6" w:rsidR="00C860FA">
        <w:t>c</w:t>
      </w:r>
      <w:r w:rsidRPr="00482EF6">
        <w:t xml:space="preserve">ertificate </w:t>
      </w:r>
      <w:r w:rsidRPr="00482EF6" w:rsidR="00C62943">
        <w:t xml:space="preserve">of </w:t>
      </w:r>
      <w:r w:rsidRPr="00482EF6" w:rsidR="00C860FA">
        <w:t>i</w:t>
      </w:r>
      <w:r w:rsidRPr="00482EF6" w:rsidR="00C62943">
        <w:t xml:space="preserve">nsurance </w:t>
      </w:r>
      <w:r w:rsidRPr="00482EF6">
        <w:t xml:space="preserve">did not </w:t>
      </w:r>
      <w:r w:rsidRPr="00482EF6" w:rsidR="00C62943">
        <w:t xml:space="preserve">function to make </w:t>
      </w:r>
      <w:r w:rsidRPr="00482EF6">
        <w:t>United a co-insurer of Porras, United</w:t>
      </w:r>
      <w:r w:rsidRPr="00482EF6" w:rsidR="00D750E1">
        <w:t xml:space="preserve"> argued it</w:t>
      </w:r>
      <w:r w:rsidRPr="00482EF6">
        <w:t xml:space="preserve"> was not required to contribute to the settlement.  </w:t>
      </w:r>
    </w:p>
    <w:p w:rsidR="000A6402" w:rsidRPr="00482EF6" w:rsidP="00482EF6" w14:paraId="02C9788E" w14:textId="77777777">
      <w:pPr>
        <w:tabs>
          <w:tab w:val="left" w:pos="1440"/>
        </w:tabs>
        <w:ind w:firstLine="720"/>
      </w:pPr>
      <w:r w:rsidRPr="00482EF6">
        <w:t xml:space="preserve">The case was removed to federal court.  The parties filed a joint stipulation of facts and exhibits and then filed cross-motions for summary judgment.  The </w:t>
      </w:r>
      <w:r w:rsidR="008D07BB">
        <w:t>d</w:t>
      </w:r>
      <w:r w:rsidRPr="00482EF6">
        <w:t xml:space="preserve">istrict </w:t>
      </w:r>
      <w:r w:rsidR="008D07BB">
        <w:t>c</w:t>
      </w:r>
      <w:r w:rsidRPr="00482EF6">
        <w:t>ourt ruled for Allied, finding that, because United “failed properly to submit a Notice of Cancellation, its policy remained in effect” on the date of the accident, “even though [the policy] may have lapsed under its own terms or been cancelled by the parties.”  Based on that finding, the court concluded that Allied and United both provided “insurance coverage on the same risk,” and that Allied was “entitled to equitable contribution in the amount of $500,000.”</w:t>
      </w:r>
      <w:r>
        <w:rPr>
          <w:rStyle w:val="FootnoteReference"/>
        </w:rPr>
        <w:footnoteReference w:id="8"/>
      </w:r>
      <w:r w:rsidRPr="00482EF6">
        <w:t xml:space="preserve">  </w:t>
      </w:r>
    </w:p>
    <w:p w:rsidR="00007DF5" w:rsidRPr="00482EF6" w:rsidP="00482EF6" w14:paraId="02C9788F" w14:textId="77777777">
      <w:pPr>
        <w:tabs>
          <w:tab w:val="left" w:pos="1440"/>
        </w:tabs>
        <w:ind w:firstLine="720"/>
      </w:pPr>
      <w:r w:rsidRPr="00482EF6">
        <w:t>United appealed to the Ninth Circuit, which certified the question of law to this court.  (</w:t>
      </w:r>
      <w:r w:rsidRPr="00482EF6">
        <w:rPr>
          <w:i/>
          <w:iCs/>
        </w:rPr>
        <w:t>Allied Premier Ins. v. United Financial Cas. Co.</w:t>
      </w:r>
      <w:r w:rsidRPr="00482EF6">
        <w:t xml:space="preserve"> (9th Cir. 2021) 991 F.3d 1070, 1071.)  In the Ninth Circuit’s view, the appeal turns on the following question of statutory interpretation:  “If the [Act] requires a commercial auto insurance policy to remain in effect indefinitely until the insurer cancels the certificate of insurance on file with the DMV, then Allied must prevail.  If not, United must prevail.”  (</w:t>
      </w:r>
      <w:r w:rsidRPr="00482EF6">
        <w:rPr>
          <w:i/>
          <w:iCs/>
        </w:rPr>
        <w:t>Id</w:t>
      </w:r>
      <w:r w:rsidRPr="00482EF6">
        <w:t xml:space="preserve">. at p. 1073.)  We hold that the Act does not require the policy to remain in effect indefinitely.  </w:t>
      </w:r>
    </w:p>
    <w:p w:rsidR="00A867E3" w:rsidRPr="00482EF6" w:rsidP="00202F42" w14:paraId="02C97890" w14:textId="77777777">
      <w:pPr>
        <w:pStyle w:val="ListParagraph"/>
        <w:keepNext/>
        <w:numPr>
          <w:ilvl w:val="0"/>
          <w:numId w:val="4"/>
        </w:numPr>
        <w:tabs>
          <w:tab w:val="left" w:pos="0"/>
        </w:tabs>
        <w:jc w:val="center"/>
        <w:rPr>
          <w:b/>
          <w:bCs/>
        </w:rPr>
      </w:pPr>
      <w:r w:rsidRPr="00482EF6">
        <w:rPr>
          <w:b/>
          <w:bCs/>
        </w:rPr>
        <w:t>DISCUSSION</w:t>
      </w:r>
    </w:p>
    <w:p w:rsidR="00A23B07" w:rsidRPr="00482EF6" w:rsidP="00482EF6" w14:paraId="02C97891" w14:textId="77777777">
      <w:pPr>
        <w:tabs>
          <w:tab w:val="left" w:pos="1440"/>
        </w:tabs>
        <w:ind w:firstLine="720"/>
      </w:pPr>
      <w:r w:rsidRPr="00482EF6">
        <w:t xml:space="preserve">Equitable contribution is the “right to recover, not from the party </w:t>
      </w:r>
      <w:r w:rsidRPr="00482EF6">
        <w:rPr>
          <w:i/>
          <w:iCs/>
        </w:rPr>
        <w:t>primarily</w:t>
      </w:r>
      <w:r w:rsidRPr="00482EF6">
        <w:t xml:space="preserve"> liable for the loss</w:t>
      </w:r>
      <w:r w:rsidRPr="00482EF6" w:rsidR="0085221F">
        <w:t xml:space="preserve"> [</w:t>
      </w:r>
      <w:r w:rsidR="008722F4">
        <w:t xml:space="preserve">here, </w:t>
      </w:r>
      <w:r w:rsidRPr="00482EF6" w:rsidR="0085221F">
        <w:t>Porras]</w:t>
      </w:r>
      <w:r w:rsidRPr="00482EF6">
        <w:t xml:space="preserve">, but from a </w:t>
      </w:r>
      <w:r w:rsidRPr="00482EF6">
        <w:rPr>
          <w:i/>
          <w:iCs/>
        </w:rPr>
        <w:t>co-obligor</w:t>
      </w:r>
      <w:r w:rsidRPr="00482EF6">
        <w:t xml:space="preserve"> who </w:t>
      </w:r>
      <w:r w:rsidRPr="00482EF6">
        <w:rPr>
          <w:i/>
          <w:iCs/>
        </w:rPr>
        <w:t>shares</w:t>
      </w:r>
      <w:r w:rsidRPr="00482EF6">
        <w:t xml:space="preserve"> such liability with the party seeking contribution</w:t>
      </w:r>
      <w:r w:rsidRPr="00482EF6" w:rsidR="00EB37E5">
        <w:t xml:space="preserve"> [</w:t>
      </w:r>
      <w:r w:rsidR="008722F4">
        <w:t xml:space="preserve">here, </w:t>
      </w:r>
      <w:r w:rsidRPr="00482EF6" w:rsidR="00EB37E5">
        <w:t>United]</w:t>
      </w:r>
      <w:r w:rsidRPr="00482EF6">
        <w:t>.”  (</w:t>
      </w:r>
      <w:r w:rsidRPr="00482EF6" w:rsidR="00F67BC4">
        <w:rPr>
          <w:i/>
          <w:iCs/>
        </w:rPr>
        <w:t>Fireman’s Fund Ins. Co. v. Maryland Casualty Co.</w:t>
      </w:r>
      <w:r w:rsidRPr="00482EF6" w:rsidR="00F67BC4">
        <w:t xml:space="preserve"> (1998) </w:t>
      </w:r>
      <w:r w:rsidRPr="00482EF6" w:rsidR="00301202">
        <w:t>65 Cal.App.4th 1279</w:t>
      </w:r>
      <w:r w:rsidRPr="00482EF6">
        <w:t>,</w:t>
      </w:r>
      <w:r w:rsidRPr="00482EF6" w:rsidR="00301202">
        <w:t xml:space="preserve"> </w:t>
      </w:r>
      <w:r w:rsidRPr="00482EF6">
        <w:t>1293</w:t>
      </w:r>
      <w:r w:rsidRPr="00482EF6" w:rsidR="00301202">
        <w:t xml:space="preserve"> (</w:t>
      </w:r>
      <w:r w:rsidRPr="00482EF6" w:rsidR="00301202">
        <w:rPr>
          <w:i/>
          <w:iCs/>
        </w:rPr>
        <w:t>Fireman’s Fund</w:t>
      </w:r>
      <w:r w:rsidRPr="00482EF6" w:rsidR="00301202">
        <w:t>)</w:t>
      </w:r>
      <w:r w:rsidRPr="00482EF6">
        <w:t>.)  “In the insurance context, the right to contribution arises when several insurers are obligated to indemnify or defend the same loss or claim, and one insurer has paid more than its share of the loss or defended the action without any participation by the others.</w:t>
      </w:r>
      <w:r w:rsidR="00533330">
        <w:t xml:space="preserve"> </w:t>
      </w:r>
      <w:r w:rsidR="007B647F">
        <w:t xml:space="preserve"> </w:t>
      </w:r>
      <w:r w:rsidRPr="00482EF6">
        <w:t xml:space="preserve">Where multiple insurance carriers insure the same insured and cover the same risk, each insurer has independent standing to assert a cause of action against its coinsurers for equitable contribution when it has undertaken the defense or indemnification of the common insured.  Equitable contribution permits reimbursement to the insurer that paid on the loss for the excess it paid over its proportionate share of the obligation, on the theory that the debt it paid was </w:t>
      </w:r>
      <w:r w:rsidRPr="00482EF6">
        <w:rPr>
          <w:i/>
          <w:iCs/>
        </w:rPr>
        <w:t>equally</w:t>
      </w:r>
      <w:r w:rsidRPr="00482EF6">
        <w:t xml:space="preserve"> and </w:t>
      </w:r>
      <w:r w:rsidRPr="00482EF6">
        <w:rPr>
          <w:i/>
          <w:iCs/>
        </w:rPr>
        <w:t>concurrently</w:t>
      </w:r>
      <w:r w:rsidRPr="00482EF6">
        <w:t xml:space="preserve"> owed by the other insurers and should be shared by them pro rata in proportion to their respective coverage of the risk.”  (</w:t>
      </w:r>
      <w:r w:rsidRPr="00482EF6">
        <w:rPr>
          <w:i/>
          <w:iCs/>
        </w:rPr>
        <w:t>Ibid</w:t>
      </w:r>
      <w:r w:rsidRPr="00482EF6">
        <w:t>.)</w:t>
      </w:r>
    </w:p>
    <w:p w:rsidR="00754962" w:rsidRPr="00482EF6" w:rsidP="00482EF6" w14:paraId="02C97892" w14:textId="77777777">
      <w:pPr>
        <w:tabs>
          <w:tab w:val="left" w:pos="1440"/>
        </w:tabs>
        <w:ind w:firstLine="720"/>
      </w:pPr>
      <w:r w:rsidRPr="00482EF6">
        <w:t>The “reciprocal contribution rights of coinsurers who insure the same risk are based on the equitable principle that the burden of indemnifying or defending the insured with whom each has independently contracted should be borne by all the insurance carriers together, with the loss equitably distributed among those who share liability for it in direct ratio to the proportion each insurer</w:t>
      </w:r>
      <w:r w:rsidRPr="00482EF6" w:rsidR="00551615">
        <w:t>’</w:t>
      </w:r>
      <w:r w:rsidRPr="00482EF6">
        <w:t>s coverage bears to the total coverage provided by all the insurance policies.”  (</w:t>
      </w:r>
      <w:r w:rsidRPr="00482EF6">
        <w:rPr>
          <w:i/>
          <w:iCs/>
        </w:rPr>
        <w:t>Fireman’s Fund</w:t>
      </w:r>
      <w:r w:rsidRPr="00482EF6">
        <w:t xml:space="preserve">, </w:t>
      </w:r>
      <w:r w:rsidRPr="00482EF6">
        <w:rPr>
          <w:i/>
          <w:iCs/>
        </w:rPr>
        <w:t>supra</w:t>
      </w:r>
      <w:r w:rsidRPr="00482EF6">
        <w:t xml:space="preserve">, 65 Cal.App.4th at p. 1294.)  </w:t>
      </w:r>
      <w:r w:rsidRPr="00482EF6" w:rsidR="00C7693B">
        <w:t xml:space="preserve">The right to equitable contribution </w:t>
      </w:r>
      <w:r w:rsidRPr="00482EF6">
        <w:t>“is predicated on the commonsense principle that where multiple insurers or indemnitors share equal contractual liability for the primary indemnification of a loss or the discharge of an obligation, the selection of which indemnitor is to bear the loss should not be left to the . . . choice of the loss claimant, and no indemnitor should have any incentive to avoid paying a just claim in the hope the claimant will obtain full payment from another coindemnitor.”  (</w:t>
      </w:r>
      <w:r w:rsidRPr="00482EF6" w:rsidR="00C7693B">
        <w:rPr>
          <w:i/>
          <w:iCs/>
        </w:rPr>
        <w:t>Id</w:t>
      </w:r>
      <w:r w:rsidRPr="00482EF6" w:rsidR="00C7693B">
        <w:t xml:space="preserve">. at p. </w:t>
      </w:r>
      <w:r w:rsidRPr="00482EF6">
        <w:t xml:space="preserve">1295.)  </w:t>
      </w:r>
    </w:p>
    <w:p w:rsidR="00B57ECE" w:rsidRPr="00482EF6" w:rsidP="00482EF6" w14:paraId="02C97893" w14:textId="77777777">
      <w:pPr>
        <w:tabs>
          <w:tab w:val="left" w:pos="1440"/>
        </w:tabs>
        <w:ind w:firstLine="720"/>
      </w:pPr>
      <w:r>
        <w:t>“</w:t>
      </w:r>
      <w:r w:rsidRPr="00482EF6" w:rsidR="004240A9">
        <w:t xml:space="preserve">Equitable contribution thus </w:t>
      </w:r>
      <w:r w:rsidRPr="00482EF6" w:rsidR="004240A9">
        <w:rPr>
          <w:i/>
          <w:iCs/>
        </w:rPr>
        <w:t>assumes the existence of two or more valid contracts of insurance covering the particular risk of loss and the particular casualty in question</w:t>
      </w:r>
      <w:r w:rsidRPr="00482EF6" w:rsidR="004240A9">
        <w:t>.”  (</w:t>
      </w:r>
      <w:r w:rsidRPr="00482EF6" w:rsidR="004240A9">
        <w:rPr>
          <w:i/>
          <w:iCs/>
        </w:rPr>
        <w:t>Fireman’s Fund</w:t>
      </w:r>
      <w:r w:rsidRPr="00482EF6" w:rsidR="004240A9">
        <w:t xml:space="preserve">, </w:t>
      </w:r>
      <w:r w:rsidRPr="00482EF6" w:rsidR="004240A9">
        <w:rPr>
          <w:i/>
          <w:iCs/>
        </w:rPr>
        <w:t>supra</w:t>
      </w:r>
      <w:r w:rsidRPr="00482EF6" w:rsidR="004240A9">
        <w:t xml:space="preserve">, 65 Cal.App.4th at p. 1295, italics added.)  This assumption </w:t>
      </w:r>
      <w:r w:rsidRPr="00482EF6" w:rsidR="00107DA7">
        <w:t xml:space="preserve">lies </w:t>
      </w:r>
      <w:r w:rsidRPr="00482EF6" w:rsidR="004240A9">
        <w:t xml:space="preserve">at the heart of the Ninth Circuit’s question.  Allied’s entitlement to equitable contribution depends on </w:t>
      </w:r>
      <w:r w:rsidRPr="00482EF6" w:rsidR="009E4038">
        <w:t xml:space="preserve">whether United was obligated to indemnify Porras for </w:t>
      </w:r>
      <w:r w:rsidRPr="00482EF6" w:rsidR="00091D6C">
        <w:t xml:space="preserve">any </w:t>
      </w:r>
      <w:r w:rsidRPr="00482EF6" w:rsidR="009E4038">
        <w:t xml:space="preserve">damages due to the </w:t>
      </w:r>
      <w:r w:rsidR="00AD7B1A">
        <w:t xml:space="preserve">Jones </w:t>
      </w:r>
      <w:r w:rsidRPr="00482EF6" w:rsidR="009E4038">
        <w:t>accident</w:t>
      </w:r>
      <w:r w:rsidRPr="00482EF6" w:rsidR="004240A9">
        <w:t>.  Allied is entitled to equitable contribution only if it can show that United was a “</w:t>
      </w:r>
      <w:r w:rsidRPr="00482EF6" w:rsidR="004240A9">
        <w:rPr>
          <w:i/>
          <w:iCs/>
        </w:rPr>
        <w:t>co-obligor</w:t>
      </w:r>
      <w:r w:rsidRPr="00482EF6" w:rsidR="004240A9">
        <w:t xml:space="preserve"> who </w:t>
      </w:r>
      <w:r w:rsidRPr="00482EF6" w:rsidR="004240A9">
        <w:rPr>
          <w:i/>
          <w:iCs/>
        </w:rPr>
        <w:t>shares</w:t>
      </w:r>
      <w:r w:rsidRPr="00482EF6" w:rsidR="004240A9">
        <w:t xml:space="preserve"> . . . liability” with Allied for the loss resulting from </w:t>
      </w:r>
      <w:r w:rsidR="008950C9">
        <w:t>that event</w:t>
      </w:r>
      <w:r w:rsidRPr="00482EF6" w:rsidR="004240A9">
        <w:t>.  (</w:t>
      </w:r>
      <w:r w:rsidRPr="00482EF6" w:rsidR="008B7BB4">
        <w:rPr>
          <w:i/>
          <w:iCs/>
        </w:rPr>
        <w:t xml:space="preserve">Id. </w:t>
      </w:r>
      <w:r w:rsidRPr="00482EF6" w:rsidR="001B0DCB">
        <w:t xml:space="preserve">at p. </w:t>
      </w:r>
      <w:r w:rsidRPr="00482EF6" w:rsidR="004240A9">
        <w:t>1293.)  Allied must show that United was “obligated to indemnify or defend the same loss or claim” as Allied.  (</w:t>
      </w:r>
      <w:r w:rsidRPr="00482EF6" w:rsidR="004240A9">
        <w:rPr>
          <w:i/>
          <w:iCs/>
        </w:rPr>
        <w:t>Ibid</w:t>
      </w:r>
      <w:r w:rsidRPr="00482EF6" w:rsidR="004240A9">
        <w:t>.)</w:t>
      </w:r>
      <w:r w:rsidRPr="00482EF6">
        <w:t xml:space="preserve">  Resolution of </w:t>
      </w:r>
      <w:r w:rsidRPr="00482EF6" w:rsidR="00D62E27">
        <w:t xml:space="preserve">this </w:t>
      </w:r>
      <w:r w:rsidRPr="00482EF6">
        <w:t xml:space="preserve">question turns on an interpretation of the </w:t>
      </w:r>
      <w:r w:rsidRPr="00482EF6" w:rsidR="002772BA">
        <w:t xml:space="preserve">Act’s </w:t>
      </w:r>
      <w:r w:rsidRPr="00482EF6">
        <w:t xml:space="preserve">requirements.  </w:t>
      </w:r>
    </w:p>
    <w:p w:rsidR="001B0DCB" w:rsidRPr="00482EF6" w:rsidP="00482EF6" w14:paraId="02C97894" w14:textId="77777777">
      <w:pPr>
        <w:pStyle w:val="ListParagraph"/>
        <w:keepNext/>
        <w:numPr>
          <w:ilvl w:val="0"/>
          <w:numId w:val="6"/>
        </w:numPr>
        <w:tabs>
          <w:tab w:val="left" w:pos="1440"/>
        </w:tabs>
        <w:rPr>
          <w:i/>
          <w:iCs/>
        </w:rPr>
      </w:pPr>
      <w:r w:rsidRPr="00482EF6">
        <w:rPr>
          <w:i/>
          <w:iCs/>
        </w:rPr>
        <w:t xml:space="preserve">The Act Does Not </w:t>
      </w:r>
      <w:r w:rsidRPr="00482EF6" w:rsidR="006C7624">
        <w:rPr>
          <w:i/>
          <w:iCs/>
        </w:rPr>
        <w:t xml:space="preserve">Extend the Policy Beyond </w:t>
      </w:r>
      <w:r w:rsidR="001C4351">
        <w:rPr>
          <w:i/>
          <w:iCs/>
        </w:rPr>
        <w:t>the Term Contained in the Contract</w:t>
      </w:r>
    </w:p>
    <w:p w:rsidR="00A43C50" w:rsidRPr="00482EF6" w:rsidP="00482EF6" w14:paraId="02C97895" w14:textId="77777777">
      <w:pPr>
        <w:tabs>
          <w:tab w:val="left" w:pos="1440"/>
        </w:tabs>
        <w:ind w:firstLine="720"/>
      </w:pPr>
      <w:r w:rsidRPr="00482EF6">
        <w:t xml:space="preserve">As mentioned, the </w:t>
      </w:r>
      <w:r w:rsidR="00EE07A5">
        <w:t>d</w:t>
      </w:r>
      <w:r w:rsidRPr="00482EF6">
        <w:t xml:space="preserve">istrict </w:t>
      </w:r>
      <w:r w:rsidR="00EE07A5">
        <w:t>c</w:t>
      </w:r>
      <w:r w:rsidRPr="00482EF6">
        <w:t xml:space="preserve">ourt concluded </w:t>
      </w:r>
      <w:r w:rsidR="004B6D11">
        <w:t xml:space="preserve">that </w:t>
      </w:r>
      <w:r w:rsidRPr="00482EF6" w:rsidR="00A6420D">
        <w:t>the United policy</w:t>
      </w:r>
      <w:r w:rsidRPr="00482EF6" w:rsidR="00C24AB5">
        <w:t xml:space="preserve">’s coverage </w:t>
      </w:r>
      <w:r w:rsidRPr="00482EF6" w:rsidR="005A657E">
        <w:t>remained in effect</w:t>
      </w:r>
      <w:r w:rsidRPr="00482EF6" w:rsidR="009D7CD4">
        <w:t xml:space="preserve">, not based on the </w:t>
      </w:r>
      <w:r w:rsidRPr="00482EF6" w:rsidR="00A6420D">
        <w:t xml:space="preserve">policy’s </w:t>
      </w:r>
      <w:r w:rsidRPr="00482EF6" w:rsidR="009D7CD4">
        <w:t>terms,</w:t>
      </w:r>
      <w:r w:rsidRPr="00482EF6" w:rsidR="005A657E">
        <w:t xml:space="preserve"> </w:t>
      </w:r>
      <w:r w:rsidRPr="00482EF6" w:rsidR="008A4CA2">
        <w:t xml:space="preserve">but because United had not cancelled all certificates of insurance on file with the DMV.  </w:t>
      </w:r>
      <w:r w:rsidRPr="00482EF6" w:rsidR="00C24AB5">
        <w:t xml:space="preserve">The </w:t>
      </w:r>
      <w:r w:rsidRPr="00482EF6" w:rsidR="00D67D24">
        <w:t xml:space="preserve">court </w:t>
      </w:r>
      <w:r w:rsidRPr="00482EF6">
        <w:t>relied on</w:t>
      </w:r>
      <w:r w:rsidRPr="00482EF6" w:rsidR="00C24AB5">
        <w:t xml:space="preserve"> </w:t>
      </w:r>
      <w:r w:rsidRPr="00482EF6">
        <w:rPr>
          <w:i/>
          <w:iCs/>
        </w:rPr>
        <w:t>Transamerica</w:t>
      </w:r>
      <w:r w:rsidRPr="00482EF6" w:rsidR="007108C6">
        <w:t xml:space="preserve">, </w:t>
      </w:r>
      <w:r w:rsidRPr="00482EF6" w:rsidR="007108C6">
        <w:rPr>
          <w:i/>
          <w:iCs/>
        </w:rPr>
        <w:t>supra</w:t>
      </w:r>
      <w:r w:rsidRPr="00482EF6" w:rsidR="007108C6">
        <w:t xml:space="preserve">, </w:t>
      </w:r>
      <w:r w:rsidRPr="00482EF6">
        <w:t>12 Cal.4th 389</w:t>
      </w:r>
      <w:r w:rsidRPr="00482EF6" w:rsidR="00C24AB5">
        <w:t xml:space="preserve"> in reaching that conclusion</w:t>
      </w:r>
      <w:r w:rsidRPr="00482EF6" w:rsidR="007108C6">
        <w:t xml:space="preserve">.  </w:t>
      </w:r>
      <w:r w:rsidRPr="00482EF6" w:rsidR="007108C6">
        <w:rPr>
          <w:i/>
          <w:iCs/>
        </w:rPr>
        <w:t>Transamerica</w:t>
      </w:r>
      <w:r w:rsidRPr="00482EF6" w:rsidR="007108C6">
        <w:t xml:space="preserve"> does not control here because it interpreted a different statutory scheme.  </w:t>
      </w:r>
    </w:p>
    <w:p w:rsidR="009176CE" w:rsidRPr="00482EF6" w:rsidP="00482EF6" w14:paraId="02C97896" w14:textId="77777777">
      <w:pPr>
        <w:tabs>
          <w:tab w:val="left" w:pos="1440"/>
        </w:tabs>
        <w:ind w:firstLine="720"/>
      </w:pPr>
      <w:r w:rsidRPr="00482EF6">
        <w:rPr>
          <w:i/>
          <w:iCs/>
        </w:rPr>
        <w:t>Transamerica</w:t>
      </w:r>
      <w:r w:rsidRPr="00482EF6">
        <w:t xml:space="preserve"> addressed the application of the Act’s predecessor, the Highway Carriers’ Act of 1951 (Pub. Util. Code, </w:t>
      </w:r>
      <w:r w:rsidR="00A0306D">
        <w:t xml:space="preserve">former </w:t>
      </w:r>
      <w:r w:rsidRPr="00482EF6">
        <w:t>§ 3501 et seq.</w:t>
      </w:r>
      <w:r w:rsidRPr="00482EF6" w:rsidR="008B7BB4">
        <w:t>;</w:t>
      </w:r>
      <w:r w:rsidRPr="00482EF6" w:rsidR="00570E34">
        <w:t xml:space="preserve"> </w:t>
      </w:r>
      <w:r w:rsidRPr="00482EF6">
        <w:t>HCA).</w:t>
      </w:r>
      <w:r w:rsidRPr="00482EF6" w:rsidR="00E701C1">
        <w:t xml:space="preserve">  The Legislature repealed the HCA in 1996</w:t>
      </w:r>
      <w:r w:rsidRPr="00482EF6" w:rsidR="00FB59C2">
        <w:t xml:space="preserve"> </w:t>
      </w:r>
      <w:r w:rsidRPr="00482EF6" w:rsidR="00E701C1">
        <w:t xml:space="preserve">and replaced it with the Act, transferring primary regulatory authority over commercial truckers to the DMV.  (See </w:t>
      </w:r>
      <w:r w:rsidRPr="00482EF6" w:rsidR="00E701C1">
        <w:rPr>
          <w:i/>
          <w:iCs/>
        </w:rPr>
        <w:t>Hill Brothers Chem</w:t>
      </w:r>
      <w:r w:rsidRPr="00482EF6" w:rsidR="008B7BB4">
        <w:rPr>
          <w:i/>
          <w:iCs/>
        </w:rPr>
        <w:t>ical</w:t>
      </w:r>
      <w:r w:rsidRPr="00482EF6" w:rsidR="00E701C1">
        <w:rPr>
          <w:i/>
          <w:iCs/>
        </w:rPr>
        <w:t xml:space="preserve"> Co. v. Superior Court</w:t>
      </w:r>
      <w:r w:rsidRPr="00482EF6" w:rsidR="00E701C1">
        <w:t xml:space="preserve"> (2004) 123 Cal.App.4th 1001, 1005; see also Stats. 1996, ch. 1042, § 53, p.</w:t>
      </w:r>
      <w:r w:rsidR="00264EA8">
        <w:t> </w:t>
      </w:r>
      <w:r w:rsidRPr="00482EF6" w:rsidR="008B7BB4">
        <w:t>6562</w:t>
      </w:r>
      <w:r w:rsidRPr="00482EF6" w:rsidR="00E701C1">
        <w:t xml:space="preserve">.)  </w:t>
      </w:r>
      <w:r w:rsidRPr="00482EF6" w:rsidR="00563166">
        <w:t xml:space="preserve">Like the </w:t>
      </w:r>
      <w:r w:rsidRPr="00482EF6" w:rsidR="00EE3C45">
        <w:t>Act</w:t>
      </w:r>
      <w:r w:rsidRPr="00482EF6" w:rsidR="00563166">
        <w:t xml:space="preserve"> that replaced it</w:t>
      </w:r>
      <w:r w:rsidRPr="00482EF6" w:rsidR="00EE3C45">
        <w:t xml:space="preserve">, the HCA prohibited commercial truckers from operating on public highways without a permit issued by the Public Utilities Commission (PUC).  To obtain a permit, a </w:t>
      </w:r>
      <w:r w:rsidRPr="00482EF6" w:rsidR="007642A8">
        <w:t xml:space="preserve">commercial </w:t>
      </w:r>
      <w:r w:rsidRPr="00482EF6" w:rsidR="00EE3C45">
        <w:t>trucker had to show it carried “ ‘adequate protection’ against liability.”  (</w:t>
      </w:r>
      <w:r w:rsidRPr="00482EF6" w:rsidR="00EE3C45">
        <w:rPr>
          <w:i/>
          <w:iCs/>
        </w:rPr>
        <w:t>Transamerica</w:t>
      </w:r>
      <w:r w:rsidRPr="00482EF6" w:rsidR="00EE3C45">
        <w:t xml:space="preserve">, </w:t>
      </w:r>
      <w:r w:rsidRPr="00482EF6" w:rsidR="00EE3C45">
        <w:rPr>
          <w:i/>
          <w:iCs/>
        </w:rPr>
        <w:t>supra</w:t>
      </w:r>
      <w:r w:rsidRPr="00482EF6" w:rsidR="00EE3C45">
        <w:t>, 12 Cal.4th at p. 397</w:t>
      </w:r>
      <w:r w:rsidR="001A6C58">
        <w:t>, fn. omitted.</w:t>
      </w:r>
      <w:r w:rsidRPr="00482EF6" w:rsidR="00EE3C45">
        <w:t>)  This could “be achieved by means of an insurance policy, a surety bond, or evidence . . . of the carrier’s qualification as a self-insurer.”  (</w:t>
      </w:r>
      <w:r w:rsidRPr="00482EF6" w:rsidR="00EE3C45">
        <w:rPr>
          <w:i/>
          <w:iCs/>
        </w:rPr>
        <w:t>Ibid</w:t>
      </w:r>
      <w:r w:rsidRPr="00482EF6" w:rsidR="00EE3C45">
        <w:t>.)  Proof of insurance coverage could be submitted to the PUC “in the form of ‘a certificate of insurance.’</w:t>
      </w:r>
      <w:r w:rsidR="00917480">
        <w:t> </w:t>
      </w:r>
      <w:r w:rsidRPr="00482EF6" w:rsidR="00EE3C45">
        <w:t>”  (</w:t>
      </w:r>
      <w:r w:rsidRPr="00482EF6" w:rsidR="00EE3C45">
        <w:rPr>
          <w:i/>
          <w:iCs/>
        </w:rPr>
        <w:t>Id</w:t>
      </w:r>
      <w:r w:rsidRPr="00482EF6" w:rsidR="00EE3C45">
        <w:t xml:space="preserve">. at p. 398.)  </w:t>
      </w:r>
    </w:p>
    <w:p w:rsidR="00EE3C45" w:rsidRPr="00482EF6" w:rsidP="00482EF6" w14:paraId="02C97897" w14:textId="77777777">
      <w:pPr>
        <w:tabs>
          <w:tab w:val="left" w:pos="1440"/>
        </w:tabs>
        <w:ind w:firstLine="720"/>
      </w:pPr>
      <w:r w:rsidRPr="00482EF6">
        <w:t xml:space="preserve">As to cancellation of </w:t>
      </w:r>
      <w:r w:rsidRPr="00482EF6" w:rsidR="00CB0BD6">
        <w:t xml:space="preserve">a </w:t>
      </w:r>
      <w:r w:rsidRPr="00482EF6" w:rsidR="009176CE">
        <w:t>policy</w:t>
      </w:r>
      <w:r w:rsidRPr="00482EF6">
        <w:t>, the HCA provided that “ ‘protection against liability shall be continued in effect during the active life of the [trucker’s] permit,’ and that ‘[t]he policy of insurance or surety bond shall not be cancelable on less than 30 days’ written notice to the [PUC], except in the event of cessation of operations as a highway carrier as approved by the [PUC].’</w:t>
      </w:r>
      <w:r w:rsidR="00037005">
        <w:t> </w:t>
      </w:r>
      <w:r w:rsidRPr="00482EF6">
        <w:t>”  (</w:t>
      </w:r>
      <w:r w:rsidRPr="00482EF6">
        <w:rPr>
          <w:i/>
          <w:iCs/>
        </w:rPr>
        <w:t>Transamerica</w:t>
      </w:r>
      <w:r w:rsidRPr="00482EF6">
        <w:t xml:space="preserve">, </w:t>
      </w:r>
      <w:r w:rsidRPr="00482EF6">
        <w:rPr>
          <w:i/>
          <w:iCs/>
        </w:rPr>
        <w:t>supra</w:t>
      </w:r>
      <w:r w:rsidRPr="00482EF6">
        <w:t xml:space="preserve">, 12 Cal.4th at p. 398, quoting Pub. Util. Code, </w:t>
      </w:r>
      <w:r w:rsidR="00037005">
        <w:t xml:space="preserve">former </w:t>
      </w:r>
      <w:r w:rsidRPr="00482EF6">
        <w:t xml:space="preserve">§ 3634, italics omitted.)  </w:t>
      </w:r>
      <w:r w:rsidRPr="00482EF6" w:rsidR="005660A4">
        <w:t xml:space="preserve">To promote </w:t>
      </w:r>
      <w:r w:rsidRPr="00482EF6" w:rsidR="00CE234A">
        <w:t xml:space="preserve">the </w:t>
      </w:r>
      <w:r w:rsidRPr="00482EF6">
        <w:t xml:space="preserve">continuous protection requirement and prohibition on cancellation without notice, the PUC promulgated General Order No. 100, which required the following provisions to be included in </w:t>
      </w:r>
      <w:r w:rsidRPr="00482EF6" w:rsidR="00CE234A">
        <w:t xml:space="preserve">any </w:t>
      </w:r>
      <w:r w:rsidRPr="00482EF6">
        <w:t>policy subject to the HCA:  (1) “</w:t>
      </w:r>
      <w:r w:rsidR="00B5381E">
        <w:t> </w:t>
      </w:r>
      <w:r w:rsidRPr="00482EF6">
        <w:t xml:space="preserve">‘A </w:t>
      </w:r>
      <w:r w:rsidRPr="00482EF6">
        <w:rPr>
          <w:i/>
          <w:iCs/>
        </w:rPr>
        <w:t>policy</w:t>
      </w:r>
      <w:r w:rsidRPr="00482EF6">
        <w:t xml:space="preserve"> of insurance, or surety bond, evidencing such protection, shall not be cancelable on less than thirty (30) days’ written notice to the Public Utilities Commission’</w:t>
      </w:r>
      <w:r w:rsidR="00812B96">
        <w:t> </w:t>
      </w:r>
      <w:r w:rsidRPr="00482EF6">
        <w:t>”; and (2) “</w:t>
      </w:r>
      <w:r w:rsidR="00812B96">
        <w:t> </w:t>
      </w:r>
      <w:r w:rsidRPr="00482EF6">
        <w:t>‘</w:t>
      </w:r>
      <w:r w:rsidRPr="00482EF6">
        <w:rPr>
          <w:i/>
          <w:iCs/>
        </w:rPr>
        <w:t>Every insurance policy</w:t>
      </w:r>
      <w:r w:rsidRPr="00482EF6">
        <w:t xml:space="preserve">, surety bond or equivalent protection to the public shall contain a provision that such policy, surety bond or equivalent protection </w:t>
      </w:r>
      <w:r w:rsidRPr="00482EF6">
        <w:rPr>
          <w:i/>
          <w:iCs/>
        </w:rPr>
        <w:t>will remain in full force and effect until canceled in the manner provided</w:t>
      </w:r>
      <w:r w:rsidRPr="00482EF6">
        <w:t>’</w:t>
      </w:r>
      <w:r w:rsidR="00812B96">
        <w:t> </w:t>
      </w:r>
      <w:r w:rsidRPr="00482EF6">
        <w:t>” by the General Order.  (</w:t>
      </w:r>
      <w:r w:rsidRPr="00482EF6">
        <w:rPr>
          <w:i/>
          <w:iCs/>
        </w:rPr>
        <w:t>Transamerica</w:t>
      </w:r>
      <w:r w:rsidRPr="00482EF6">
        <w:t>, at p. 398</w:t>
      </w:r>
      <w:r w:rsidRPr="00482EF6" w:rsidR="006E3C40">
        <w:t>, italics added</w:t>
      </w:r>
      <w:r w:rsidRPr="00482EF6">
        <w:t>.)  The regulatory scheme also required “a standard PUC form endorsement” be “attached to every policy of insurance purchased by a highway carrier.”  (</w:t>
      </w:r>
      <w:r w:rsidRPr="00482EF6">
        <w:rPr>
          <w:i/>
          <w:iCs/>
        </w:rPr>
        <w:t>Id</w:t>
      </w:r>
      <w:r w:rsidRPr="00482EF6">
        <w:t xml:space="preserve">. at pp. 394, 398.)  The endorsement certified “that a liability </w:t>
      </w:r>
      <w:r w:rsidRPr="00482EF6">
        <w:rPr>
          <w:i/>
          <w:iCs/>
        </w:rPr>
        <w:t>policy</w:t>
      </w:r>
      <w:r w:rsidRPr="00482EF6">
        <w:t xml:space="preserve"> issued to a highway carrier [would] continue ‘in full force and effect until canceled’</w:t>
      </w:r>
      <w:r w:rsidR="00A52A5D">
        <w:t> </w:t>
      </w:r>
      <w:r w:rsidRPr="00482EF6">
        <w:t>” by written notice to the PUC.  (</w:t>
      </w:r>
      <w:r w:rsidRPr="00482EF6">
        <w:rPr>
          <w:i/>
          <w:iCs/>
        </w:rPr>
        <w:t>Id</w:t>
      </w:r>
      <w:r w:rsidRPr="00482EF6">
        <w:t>. at p. 394</w:t>
      </w:r>
      <w:r w:rsidRPr="00482EF6" w:rsidR="00B966A8">
        <w:t>, italics added</w:t>
      </w:r>
      <w:r w:rsidRPr="00482EF6">
        <w:t>.)</w:t>
      </w:r>
    </w:p>
    <w:p w:rsidR="00BC5069" w:rsidRPr="00482EF6" w:rsidP="00482EF6" w14:paraId="02C97898" w14:textId="77777777">
      <w:pPr>
        <w:tabs>
          <w:tab w:val="left" w:pos="1440"/>
        </w:tabs>
        <w:ind w:firstLine="720"/>
      </w:pPr>
      <w:r w:rsidRPr="00482EF6">
        <w:t xml:space="preserve">The dispute in </w:t>
      </w:r>
      <w:r w:rsidRPr="00482EF6">
        <w:rPr>
          <w:i/>
          <w:iCs/>
        </w:rPr>
        <w:t>Transamerica</w:t>
      </w:r>
      <w:r w:rsidRPr="00482EF6">
        <w:t xml:space="preserve"> was between a commercial </w:t>
      </w:r>
      <w:r w:rsidR="00A52A5D">
        <w:t>trucking company</w:t>
      </w:r>
      <w:r w:rsidRPr="00482EF6" w:rsidR="00A52A5D">
        <w:t xml:space="preserve"> </w:t>
      </w:r>
      <w:r w:rsidRPr="00482EF6">
        <w:t>(Tab) and its liability insurer (Transamerica).  In 1980,</w:t>
      </w:r>
      <w:r w:rsidRPr="00482EF6" w:rsidR="00C0288A">
        <w:t xml:space="preserve"> </w:t>
      </w:r>
      <w:r w:rsidRPr="00482EF6">
        <w:t xml:space="preserve">Tab purchased a one-year </w:t>
      </w:r>
      <w:r w:rsidRPr="00482EF6" w:rsidR="00A5538E">
        <w:t xml:space="preserve">term </w:t>
      </w:r>
      <w:r w:rsidRPr="00482EF6">
        <w:t>liability insurance policy from Transamerica</w:t>
      </w:r>
      <w:r w:rsidRPr="00482EF6" w:rsidR="00C0288A">
        <w:t xml:space="preserve"> to comply with the HCA</w:t>
      </w:r>
      <w:r w:rsidRPr="00482EF6">
        <w:t>.  (</w:t>
      </w:r>
      <w:r w:rsidRPr="00482EF6">
        <w:rPr>
          <w:i/>
          <w:iCs/>
        </w:rPr>
        <w:t>Transamerica</w:t>
      </w:r>
      <w:r w:rsidRPr="00482EF6">
        <w:t xml:space="preserve">, </w:t>
      </w:r>
      <w:r w:rsidRPr="00482EF6">
        <w:rPr>
          <w:i/>
          <w:iCs/>
        </w:rPr>
        <w:t>supra</w:t>
      </w:r>
      <w:r w:rsidRPr="00482EF6">
        <w:t>, 12 Cal.4th at p. 395.)  Transamerica filed a certificate of insurance with the PUC</w:t>
      </w:r>
      <w:r w:rsidR="00D42C0A">
        <w:t xml:space="preserve">.  The certificate provided </w:t>
      </w:r>
      <w:r w:rsidRPr="00482EF6">
        <w:t>that the “policy was ‘Effective 2-1-80 Until Canceled.’</w:t>
      </w:r>
      <w:r w:rsidR="00A52A5D">
        <w:t> </w:t>
      </w:r>
      <w:r w:rsidRPr="00482EF6" w:rsidR="00C0288A">
        <w:t>”</w:t>
      </w:r>
      <w:r w:rsidR="007A579B">
        <w:t>  </w:t>
      </w:r>
      <w:r w:rsidRPr="00482EF6">
        <w:t>(</w:t>
      </w:r>
      <w:r w:rsidRPr="00482EF6">
        <w:rPr>
          <w:i/>
          <w:iCs/>
        </w:rPr>
        <w:t>Ibid</w:t>
      </w:r>
      <w:r w:rsidRPr="00482EF6">
        <w:t>.)</w:t>
      </w:r>
      <w:r w:rsidRPr="00482EF6" w:rsidR="009E5F02">
        <w:t xml:space="preserve">  </w:t>
      </w:r>
      <w:r w:rsidRPr="00482EF6">
        <w:t>Tab did not renew the Transamerica policy and, in the ensuing years, obtained insurance policies from Federal Insurance Company (Federal) and Home Indemnity Company (Home).  (</w:t>
      </w:r>
      <w:r w:rsidRPr="00482EF6">
        <w:rPr>
          <w:i/>
          <w:iCs/>
        </w:rPr>
        <w:t>Ibid</w:t>
      </w:r>
      <w:r w:rsidRPr="00482EF6">
        <w:t xml:space="preserve">.)  Both Federal and Home filed certificates of insurance </w:t>
      </w:r>
      <w:r w:rsidRPr="00482EF6" w:rsidR="00937097">
        <w:t xml:space="preserve">representing their policies </w:t>
      </w:r>
      <w:r w:rsidRPr="00482EF6">
        <w:t>with the PUC.  (</w:t>
      </w:r>
      <w:r w:rsidRPr="00482EF6">
        <w:rPr>
          <w:i/>
          <w:iCs/>
        </w:rPr>
        <w:t>Ibid</w:t>
      </w:r>
      <w:r w:rsidRPr="00482EF6">
        <w:t>.)  However, “neither Transamerica nor Tab ever notified the PUC of the cancelation of the Transamerica policy.”  (</w:t>
      </w:r>
      <w:r w:rsidRPr="00482EF6">
        <w:rPr>
          <w:i/>
          <w:iCs/>
        </w:rPr>
        <w:t>Ibid</w:t>
      </w:r>
      <w:r w:rsidRPr="00482EF6">
        <w:t>.</w:t>
      </w:r>
      <w:r w:rsidR="007A579B">
        <w:t>, fn. omitted.</w:t>
      </w:r>
      <w:r w:rsidRPr="00482EF6">
        <w:t xml:space="preserve">)  </w:t>
      </w:r>
    </w:p>
    <w:p w:rsidR="009E5F02" w:rsidRPr="00482EF6" w:rsidP="00482EF6" w14:paraId="02C97899" w14:textId="77777777">
      <w:pPr>
        <w:tabs>
          <w:tab w:val="left" w:pos="1440"/>
        </w:tabs>
        <w:ind w:firstLine="720"/>
      </w:pPr>
      <w:r w:rsidRPr="00482EF6">
        <w:t xml:space="preserve">In 1989, a Tab truck collided with a train, </w:t>
      </w:r>
      <w:r w:rsidRPr="00482EF6" w:rsidR="009C12FA">
        <w:t>causing multiple injuries and deaths</w:t>
      </w:r>
      <w:r w:rsidRPr="00482EF6">
        <w:t xml:space="preserve">.  </w:t>
      </w:r>
      <w:r w:rsidRPr="00482EF6" w:rsidR="00FD03D1">
        <w:t>(</w:t>
      </w:r>
      <w:r w:rsidRPr="00482EF6" w:rsidR="00FD03D1">
        <w:rPr>
          <w:i/>
          <w:iCs/>
        </w:rPr>
        <w:t>Transamerica</w:t>
      </w:r>
      <w:r w:rsidRPr="00482EF6" w:rsidR="00FD03D1">
        <w:t xml:space="preserve">, </w:t>
      </w:r>
      <w:r w:rsidRPr="00482EF6" w:rsidR="00FD03D1">
        <w:rPr>
          <w:i/>
          <w:iCs/>
        </w:rPr>
        <w:t>supra</w:t>
      </w:r>
      <w:r w:rsidRPr="00482EF6" w:rsidR="00FD03D1">
        <w:t xml:space="preserve">, 12 Cal.4th at p. 395.)  </w:t>
      </w:r>
      <w:r w:rsidRPr="00482EF6" w:rsidR="005B18EB">
        <w:t xml:space="preserve">The plaintiffs sued </w:t>
      </w:r>
      <w:r w:rsidRPr="00482EF6">
        <w:t xml:space="preserve">Tab </w:t>
      </w:r>
      <w:r w:rsidRPr="00482EF6" w:rsidR="005B18EB">
        <w:t xml:space="preserve">for various claims and sought </w:t>
      </w:r>
      <w:r w:rsidRPr="00482EF6">
        <w:t>$6 million in damages.  (</w:t>
      </w:r>
      <w:r w:rsidRPr="00482EF6">
        <w:rPr>
          <w:i/>
          <w:iCs/>
        </w:rPr>
        <w:t>Id</w:t>
      </w:r>
      <w:r w:rsidRPr="00482EF6">
        <w:t>. at p. 396.)  Tab demanded coverage from Transamerica, Federal, and Home under the three policies mentioned above.  (</w:t>
      </w:r>
      <w:r w:rsidRPr="00482EF6">
        <w:rPr>
          <w:i/>
          <w:iCs/>
        </w:rPr>
        <w:t>Ibid</w:t>
      </w:r>
      <w:r w:rsidRPr="00482EF6">
        <w:t xml:space="preserve">.)  Federal and Home “each contributed </w:t>
      </w:r>
      <w:r w:rsidRPr="00482EF6" w:rsidR="00AB673F">
        <w:t>[</w:t>
      </w:r>
      <w:r w:rsidRPr="00482EF6">
        <w:t>their</w:t>
      </w:r>
      <w:r w:rsidRPr="00482EF6" w:rsidR="00AB673F">
        <w:t>]</w:t>
      </w:r>
      <w:r w:rsidRPr="00482EF6">
        <w:t xml:space="preserve"> policy limits (a total of $1.6 million) to a global settlement in which Tab admitted liability.”  (</w:t>
      </w:r>
      <w:r w:rsidRPr="00482EF6">
        <w:rPr>
          <w:i/>
          <w:iCs/>
        </w:rPr>
        <w:t>Ibid</w:t>
      </w:r>
      <w:r w:rsidRPr="00482EF6">
        <w:t>.)  Transamerica did not participate in the settlement.  (</w:t>
      </w:r>
      <w:r w:rsidRPr="00482EF6">
        <w:rPr>
          <w:i/>
          <w:iCs/>
        </w:rPr>
        <w:t>Ibid</w:t>
      </w:r>
      <w:r w:rsidRPr="00482EF6">
        <w:t xml:space="preserve">.)  </w:t>
      </w:r>
    </w:p>
    <w:p w:rsidR="00A43C50" w:rsidRPr="00482EF6" w:rsidP="00482EF6" w14:paraId="02C9789A" w14:textId="77777777">
      <w:pPr>
        <w:tabs>
          <w:tab w:val="left" w:pos="1440"/>
        </w:tabs>
        <w:ind w:firstLine="720"/>
      </w:pPr>
      <w:r w:rsidRPr="00482EF6">
        <w:t xml:space="preserve">Transamerica then sued Tab, seeking a declaratory judgment that it was not liable for damages </w:t>
      </w:r>
      <w:r w:rsidRPr="00482EF6" w:rsidR="003164C6">
        <w:t xml:space="preserve">from </w:t>
      </w:r>
      <w:r w:rsidRPr="00482EF6">
        <w:t xml:space="preserve">the 1989 collision because its policy had </w:t>
      </w:r>
      <w:r w:rsidRPr="00482EF6" w:rsidR="0085414E">
        <w:t xml:space="preserve">previously </w:t>
      </w:r>
      <w:r w:rsidRPr="00482EF6">
        <w:t>expired.  (</w:t>
      </w:r>
      <w:r w:rsidRPr="00482EF6">
        <w:rPr>
          <w:i/>
          <w:iCs/>
        </w:rPr>
        <w:t>Transamerica</w:t>
      </w:r>
      <w:r w:rsidRPr="00482EF6">
        <w:t xml:space="preserve">, </w:t>
      </w:r>
      <w:r w:rsidRPr="00482EF6">
        <w:rPr>
          <w:i/>
          <w:iCs/>
        </w:rPr>
        <w:t>supra</w:t>
      </w:r>
      <w:r w:rsidRPr="00482EF6">
        <w:t>, 12 Cal.4th at p. 396.)  Tab cross-complained, asserting entitlement to coverage under the policy because the certificate of insurance Transamerica filed with the PUC “expressly stated its policy was ‘Effective 2-1-80 Until Canceled.’</w:t>
      </w:r>
      <w:r w:rsidR="008021B0">
        <w:t> </w:t>
      </w:r>
      <w:r w:rsidRPr="00482EF6">
        <w:t>”  (</w:t>
      </w:r>
      <w:r w:rsidRPr="00482EF6">
        <w:rPr>
          <w:i/>
          <w:iCs/>
        </w:rPr>
        <w:t>Ibid</w:t>
      </w:r>
      <w:r w:rsidRPr="00482EF6">
        <w:t>.)  Because Transamerica never notified the PUC that its policy was canceled, Tab argued the policy “continued in effect.”</w:t>
      </w:r>
      <w:r w:rsidRPr="00482EF6" w:rsidR="00BA4D53">
        <w:t xml:space="preserve">  </w:t>
      </w:r>
      <w:r w:rsidRPr="00482EF6">
        <w:t>(</w:t>
      </w:r>
      <w:r w:rsidRPr="00482EF6">
        <w:rPr>
          <w:i/>
          <w:iCs/>
        </w:rPr>
        <w:t>Ibid</w:t>
      </w:r>
      <w:r w:rsidRPr="00482EF6">
        <w:t>.)</w:t>
      </w:r>
      <w:r w:rsidRPr="00482EF6" w:rsidR="00BA4D53">
        <w:t xml:space="preserve">  </w:t>
      </w:r>
      <w:r w:rsidRPr="00482EF6">
        <w:t xml:space="preserve">The trial court granted Tab’s motion for summary adjudication of the coverage issue.  Transamerica appealed, and the Court of Appeal reversed, concluding </w:t>
      </w:r>
      <w:r w:rsidRPr="00482EF6" w:rsidR="00BA4D53">
        <w:t xml:space="preserve">that </w:t>
      </w:r>
      <w:r w:rsidRPr="00482EF6">
        <w:t>the Transamerica policy had “expired of its own terms [in] 1981, and that Transamerica therefore had no obligation to give 30 days’ written notice to the PUC of its intent to cancel the policy.”  (</w:t>
      </w:r>
      <w:r w:rsidRPr="00482EF6">
        <w:rPr>
          <w:i/>
          <w:iCs/>
        </w:rPr>
        <w:t>Id</w:t>
      </w:r>
      <w:r w:rsidRPr="00482EF6">
        <w:t>. at pp. 396</w:t>
      </w:r>
      <w:r w:rsidRPr="00482EF6" w:rsidR="00AB673F">
        <w:t>–</w:t>
      </w:r>
      <w:r w:rsidRPr="00482EF6">
        <w:t>397.)</w:t>
      </w:r>
      <w:r w:rsidRPr="00482EF6" w:rsidR="00BA4D53">
        <w:t xml:space="preserve">  </w:t>
      </w:r>
    </w:p>
    <w:p w:rsidR="00DB34E3" w:rsidRPr="00482EF6" w:rsidP="00482EF6" w14:paraId="02C9789B" w14:textId="77777777">
      <w:pPr>
        <w:tabs>
          <w:tab w:val="left" w:pos="1440"/>
        </w:tabs>
        <w:ind w:firstLine="720"/>
      </w:pPr>
      <w:r w:rsidRPr="00482EF6">
        <w:t>On review, this Court reversed</w:t>
      </w:r>
      <w:r w:rsidRPr="00482EF6" w:rsidR="0085414E">
        <w:t xml:space="preserve"> the Court</w:t>
      </w:r>
      <w:r w:rsidRPr="00482EF6" w:rsidR="00D750E1">
        <w:t xml:space="preserve"> of</w:t>
      </w:r>
      <w:r w:rsidRPr="00482EF6" w:rsidR="0085414E">
        <w:t xml:space="preserve"> Appeal’s </w:t>
      </w:r>
      <w:r w:rsidRPr="00482EF6" w:rsidR="00716DB2">
        <w:t xml:space="preserve">judgment and concluded </w:t>
      </w:r>
      <w:r w:rsidRPr="00482EF6" w:rsidR="0092038A">
        <w:t xml:space="preserve">that </w:t>
      </w:r>
      <w:r w:rsidRPr="00482EF6">
        <w:t>Transamerica</w:t>
      </w:r>
      <w:r w:rsidRPr="00482EF6" w:rsidR="00340EBA">
        <w:t xml:space="preserve">’s </w:t>
      </w:r>
      <w:r w:rsidRPr="00482EF6">
        <w:t>policy was still “in effect at the time of the 1989 accident, thus providing coverage for Tab.”  (</w:t>
      </w:r>
      <w:r w:rsidRPr="00482EF6">
        <w:rPr>
          <w:i/>
          <w:iCs/>
        </w:rPr>
        <w:t>Transamerica</w:t>
      </w:r>
      <w:r w:rsidRPr="00482EF6">
        <w:t xml:space="preserve">, </w:t>
      </w:r>
      <w:r w:rsidRPr="00482EF6">
        <w:rPr>
          <w:i/>
          <w:iCs/>
        </w:rPr>
        <w:t>supra</w:t>
      </w:r>
      <w:r w:rsidRPr="00482EF6">
        <w:t>, 12 Cal.4th at p. 400.)  We reasoned that the “policy must be read in light of its original provisions as well as those added to the policy by the PUC’s standard form endorsement.”  (</w:t>
      </w:r>
      <w:r w:rsidRPr="00482EF6">
        <w:rPr>
          <w:i/>
          <w:iCs/>
        </w:rPr>
        <w:t>Id</w:t>
      </w:r>
      <w:r w:rsidRPr="00482EF6">
        <w:t>. at p. 399</w:t>
      </w:r>
      <w:r w:rsidRPr="00482EF6" w:rsidR="00FE545F">
        <w:t>.</w:t>
      </w:r>
      <w:r w:rsidRPr="00482EF6">
        <w:t>)</w:t>
      </w:r>
      <w:r w:rsidRPr="00482EF6" w:rsidR="00FE545F">
        <w:t xml:space="preserve">  </w:t>
      </w:r>
      <w:r w:rsidRPr="00482EF6">
        <w:t xml:space="preserve">We </w:t>
      </w:r>
      <w:r w:rsidRPr="00482EF6" w:rsidR="00551615">
        <w:t xml:space="preserve">then </w:t>
      </w:r>
      <w:r w:rsidRPr="00482EF6">
        <w:t xml:space="preserve">described the policy and endorsement as follows:  “As initially written, the Transamerica policy was to remain in effect for one year only, </w:t>
      </w:r>
      <w:r w:rsidRPr="00482EF6" w:rsidR="008B1141">
        <w:t>from February 1, 1980</w:t>
      </w:r>
      <w:r w:rsidRPr="00482EF6" w:rsidR="008F2B2D">
        <w:t>,</w:t>
      </w:r>
      <w:r w:rsidRPr="00482EF6" w:rsidR="008B1141">
        <w:t xml:space="preserve"> </w:t>
      </w:r>
      <w:r w:rsidRPr="00482EF6">
        <w:t>until February 1, 1981.  But . . . the policy was amended by the standard PUC endorsement, which provides for inclusion in the policy of the PUC’s General Order No. 100</w:t>
      </w:r>
      <w:r w:rsidRPr="00482EF6" w:rsidR="006E53E3">
        <w:t xml:space="preserve"> </w:t>
      </w:r>
      <w:r w:rsidRPr="00482EF6" w:rsidR="00E221D3">
        <w:t>.</w:t>
      </w:r>
      <w:r w:rsidRPr="00482EF6" w:rsidR="006E53E3">
        <w:t> </w:t>
      </w:r>
      <w:r w:rsidRPr="00482EF6" w:rsidR="00E221D3">
        <w:t>.</w:t>
      </w:r>
      <w:r w:rsidRPr="00482EF6" w:rsidR="006E53E3">
        <w:t> </w:t>
      </w:r>
      <w:r w:rsidRPr="00482EF6" w:rsidR="00E221D3">
        <w:t>.</w:t>
      </w:r>
      <w:r w:rsidRPr="00482EF6" w:rsidR="006E53E3">
        <w:t> </w:t>
      </w:r>
      <w:r w:rsidRPr="00482EF6" w:rsidR="00E221D3">
        <w:t>.</w:t>
      </w:r>
      <w:r w:rsidRPr="00482EF6" w:rsidR="006E53E3">
        <w:t xml:space="preserve"> [¶]  </w:t>
      </w:r>
      <w:r w:rsidRPr="00482EF6">
        <w:t>Incorporation of General Order No. 100 . . . into the provisions of the Transamerica policy added to the provisions the requirement . . . that ‘such policy .</w:t>
      </w:r>
      <w:r w:rsidRPr="00482EF6" w:rsidR="005B3962">
        <w:t> </w:t>
      </w:r>
      <w:r w:rsidRPr="00482EF6">
        <w:t>.</w:t>
      </w:r>
      <w:r w:rsidRPr="00482EF6" w:rsidR="005B3962">
        <w:t> </w:t>
      </w:r>
      <w:r w:rsidRPr="00482EF6">
        <w:t>.</w:t>
      </w:r>
      <w:r w:rsidRPr="00482EF6" w:rsidR="005B3962">
        <w:t> </w:t>
      </w:r>
      <w:r w:rsidRPr="00482EF6">
        <w:t>will remain in full force and effect until canceled . . . .’  This language, of course, is in direct conflict with the language of the policy as originally written stating that the policy was to expire in February 1981.”  (</w:t>
      </w:r>
      <w:r w:rsidRPr="00482EF6" w:rsidR="00AB673F">
        <w:rPr>
          <w:i/>
          <w:iCs/>
        </w:rPr>
        <w:t xml:space="preserve">Id. </w:t>
      </w:r>
      <w:r w:rsidRPr="00482EF6">
        <w:t>at pp. 399</w:t>
      </w:r>
      <w:r w:rsidRPr="00482EF6" w:rsidR="00AB673F">
        <w:t>–</w:t>
      </w:r>
      <w:r w:rsidRPr="00482EF6">
        <w:t xml:space="preserve">400.)  </w:t>
      </w:r>
      <w:r w:rsidRPr="00482EF6" w:rsidR="007B72D7">
        <w:t xml:space="preserve">We </w:t>
      </w:r>
      <w:r w:rsidRPr="00482EF6" w:rsidR="00551615">
        <w:t xml:space="preserve">concluded </w:t>
      </w:r>
      <w:r w:rsidRPr="00482EF6">
        <w:t xml:space="preserve">that “incorporation into the policy of the PUC’s General Order No. 100 language </w:t>
      </w:r>
      <w:r w:rsidRPr="00482EF6" w:rsidR="009A7C21">
        <w:t xml:space="preserve">requiring the </w:t>
      </w:r>
      <w:r w:rsidRPr="00482EF6" w:rsidR="00C7373C">
        <w:t xml:space="preserve">policy to remain in ‘full force and effect until canceled’ </w:t>
      </w:r>
      <w:r w:rsidRPr="00482EF6">
        <w:t>converted the policy from a one-year term policy to a policy that was to remain in effect ‘until canceled.’</w:t>
      </w:r>
      <w:r w:rsidRPr="00482EF6" w:rsidR="008454DF">
        <w:t> </w:t>
      </w:r>
      <w:r w:rsidRPr="00482EF6">
        <w:t>”  (</w:t>
      </w:r>
      <w:r w:rsidRPr="00482EF6" w:rsidR="00AB673F">
        <w:rPr>
          <w:i/>
          <w:iCs/>
        </w:rPr>
        <w:t>Id.</w:t>
      </w:r>
      <w:r w:rsidRPr="00482EF6">
        <w:t xml:space="preserve"> at p. 400.)  It was undisputed that there was “no compliance with the notice requirements” in former section 3634 of the Public Utilities Code and General Order No. 100</w:t>
      </w:r>
      <w:r w:rsidR="000157EA">
        <w:t>.  T</w:t>
      </w:r>
      <w:r w:rsidRPr="00482EF6" w:rsidR="00903BED">
        <w:t>herefore</w:t>
      </w:r>
      <w:r w:rsidRPr="00482EF6">
        <w:t xml:space="preserve">, we </w:t>
      </w:r>
      <w:r w:rsidRPr="00482EF6" w:rsidR="00551615">
        <w:t xml:space="preserve">held </w:t>
      </w:r>
      <w:r w:rsidRPr="00482EF6">
        <w:t>that the policy was “still in effect” at the time of the 1989 collision.  (</w:t>
      </w:r>
      <w:r w:rsidRPr="00482EF6">
        <w:rPr>
          <w:i/>
          <w:iCs/>
        </w:rPr>
        <w:t>Transamerica</w:t>
      </w:r>
      <w:r w:rsidRPr="00482EF6">
        <w:t xml:space="preserve">, at p. 400.)  </w:t>
      </w:r>
    </w:p>
    <w:p w:rsidR="005B6BFE" w:rsidRPr="00482EF6" w:rsidP="00482EF6" w14:paraId="02C9789C" w14:textId="77777777">
      <w:pPr>
        <w:tabs>
          <w:tab w:val="left" w:pos="1440"/>
        </w:tabs>
        <w:ind w:firstLine="720"/>
      </w:pPr>
      <w:r w:rsidRPr="00482EF6">
        <w:t xml:space="preserve">Under its terms, the </w:t>
      </w:r>
      <w:r w:rsidRPr="00482EF6" w:rsidR="00C8531B">
        <w:t>HCA</w:t>
      </w:r>
      <w:r w:rsidRPr="00482EF6">
        <w:t xml:space="preserve"> </w:t>
      </w:r>
      <w:r w:rsidRPr="00482EF6" w:rsidR="00C8531B">
        <w:t>provided that “</w:t>
      </w:r>
      <w:r w:rsidR="00C700C6">
        <w:t> </w:t>
      </w:r>
      <w:r w:rsidRPr="00482EF6" w:rsidR="00C8531B">
        <w:t>‘</w:t>
      </w:r>
      <w:r w:rsidRPr="00482EF6" w:rsidR="00C8531B">
        <w:rPr>
          <w:i/>
          <w:iCs/>
        </w:rPr>
        <w:t>protection against liability</w:t>
      </w:r>
      <w:r w:rsidRPr="00482EF6" w:rsidR="00C8531B">
        <w:t xml:space="preserve"> shall be continued in effect during the active life of the permit,’ and that ‘</w:t>
      </w:r>
      <w:r w:rsidRPr="00482EF6" w:rsidR="00C8531B">
        <w:rPr>
          <w:i/>
          <w:iCs/>
        </w:rPr>
        <w:t>[t]he policy of insurance</w:t>
      </w:r>
      <w:r w:rsidRPr="00482EF6" w:rsidR="00C8531B">
        <w:t xml:space="preserve"> or surety bond shall not be cancelable on less than 30 days’ written notice to the [PUC], except in the event of cessation of operations as a highway carrier as approved by the [PUC].’</w:t>
      </w:r>
      <w:r w:rsidR="00C700C6">
        <w:t> </w:t>
      </w:r>
      <w:r w:rsidRPr="00482EF6" w:rsidR="00C8531B">
        <w:t>”  (</w:t>
      </w:r>
      <w:r w:rsidRPr="00482EF6" w:rsidR="00C8531B">
        <w:rPr>
          <w:i/>
          <w:iCs/>
        </w:rPr>
        <w:t>Transamerica</w:t>
      </w:r>
      <w:r w:rsidRPr="00482EF6" w:rsidR="00C8531B">
        <w:t>,</w:t>
      </w:r>
      <w:r w:rsidRPr="00482EF6" w:rsidR="00AB673F">
        <w:t xml:space="preserve"> </w:t>
      </w:r>
      <w:r w:rsidRPr="00482EF6" w:rsidR="00AB673F">
        <w:rPr>
          <w:i/>
          <w:iCs/>
        </w:rPr>
        <w:t>supra</w:t>
      </w:r>
      <w:r w:rsidRPr="00482EF6" w:rsidR="00AB673F">
        <w:t>, 12 Cal.4th</w:t>
      </w:r>
      <w:r w:rsidRPr="00482EF6" w:rsidR="00C8531B">
        <w:t xml:space="preserve"> at p. 398, quoting Pub. Util. Code, </w:t>
      </w:r>
      <w:r w:rsidR="00C700C6">
        <w:t xml:space="preserve">former </w:t>
      </w:r>
      <w:r w:rsidRPr="00482EF6" w:rsidR="00C8531B">
        <w:t>§</w:t>
      </w:r>
      <w:r w:rsidR="00D03A8E">
        <w:t> </w:t>
      </w:r>
      <w:r w:rsidRPr="00482EF6" w:rsidR="00C8531B">
        <w:t xml:space="preserve">3634, original italics </w:t>
      </w:r>
      <w:r w:rsidR="009E06BD">
        <w:t>omitted</w:t>
      </w:r>
      <w:r w:rsidRPr="00482EF6" w:rsidR="00C8531B">
        <w:t xml:space="preserve">, italics added.)  </w:t>
      </w:r>
      <w:r w:rsidRPr="00482EF6" w:rsidR="00797B8B">
        <w:t xml:space="preserve">So, </w:t>
      </w:r>
      <w:r w:rsidRPr="00482EF6" w:rsidR="00EB3915">
        <w:t>the terms</w:t>
      </w:r>
      <w:r w:rsidRPr="00482EF6" w:rsidR="00416D9E">
        <w:t xml:space="preserve"> of the </w:t>
      </w:r>
      <w:r w:rsidRPr="00482EF6" w:rsidR="00797B8B">
        <w:t xml:space="preserve">HCA </w:t>
      </w:r>
      <w:r w:rsidRPr="00482EF6" w:rsidR="006E5122">
        <w:t xml:space="preserve">required </w:t>
      </w:r>
      <w:r w:rsidRPr="00482EF6" w:rsidR="00797B8B">
        <w:t>that protection against liability, which was provided by the policy, re</w:t>
      </w:r>
      <w:r w:rsidRPr="00482EF6" w:rsidR="00CC0BB0">
        <w:t xml:space="preserve">main in effect until the motor carrier’s </w:t>
      </w:r>
      <w:r w:rsidRPr="00482EF6" w:rsidR="00CC0BB0">
        <w:rPr>
          <w:i/>
          <w:iCs/>
        </w:rPr>
        <w:t>permit</w:t>
      </w:r>
      <w:r w:rsidRPr="00482EF6" w:rsidR="00CC0BB0">
        <w:t xml:space="preserve"> was cancelled.  </w:t>
      </w:r>
      <w:r w:rsidRPr="00482EF6" w:rsidR="00E5661E">
        <w:t>To effect</w:t>
      </w:r>
      <w:r w:rsidRPr="00482EF6" w:rsidR="006E5122">
        <w:t xml:space="preserve">uate </w:t>
      </w:r>
      <w:r w:rsidRPr="00482EF6" w:rsidR="00E5661E">
        <w:t xml:space="preserve">that requirement, </w:t>
      </w:r>
      <w:r w:rsidRPr="00482EF6" w:rsidR="001B0FF8">
        <w:t xml:space="preserve">the HCA </w:t>
      </w:r>
      <w:r w:rsidRPr="00482EF6" w:rsidR="00E5661E">
        <w:t xml:space="preserve">and the </w:t>
      </w:r>
      <w:r w:rsidR="0094357A">
        <w:t xml:space="preserve">required </w:t>
      </w:r>
      <w:r w:rsidRPr="00482EF6" w:rsidR="00E5661E">
        <w:t xml:space="preserve">endorsement prohibited </w:t>
      </w:r>
      <w:r w:rsidRPr="00482EF6" w:rsidR="001B0FF8">
        <w:t xml:space="preserve">the </w:t>
      </w:r>
      <w:r w:rsidRPr="00482EF6" w:rsidR="001B0FF8">
        <w:rPr>
          <w:i/>
          <w:iCs/>
        </w:rPr>
        <w:t>policy</w:t>
      </w:r>
      <w:r w:rsidRPr="00482EF6" w:rsidR="001B0FF8">
        <w:t xml:space="preserve"> </w:t>
      </w:r>
      <w:r w:rsidRPr="00482EF6" w:rsidR="00E5661E">
        <w:t xml:space="preserve">from being </w:t>
      </w:r>
      <w:r w:rsidRPr="00482EF6" w:rsidR="001B0FF8">
        <w:t>cancelled</w:t>
      </w:r>
      <w:r w:rsidRPr="00482EF6" w:rsidR="00E5661E">
        <w:t xml:space="preserve"> without notice</w:t>
      </w:r>
      <w:r w:rsidRPr="00482EF6" w:rsidR="001B0FF8">
        <w:t xml:space="preserve">.  </w:t>
      </w:r>
    </w:p>
    <w:p w:rsidR="00AD1D4D" w:rsidRPr="00482EF6" w:rsidP="00482EF6" w14:paraId="02C9789D" w14:textId="77777777">
      <w:pPr>
        <w:tabs>
          <w:tab w:val="left" w:pos="1440"/>
        </w:tabs>
        <w:ind w:firstLine="720"/>
      </w:pPr>
      <w:r w:rsidRPr="00482EF6">
        <w:t>The Act</w:t>
      </w:r>
      <w:r w:rsidRPr="00482EF6" w:rsidR="001B0FF8">
        <w:t xml:space="preserve"> is different.  </w:t>
      </w:r>
      <w:r w:rsidRPr="00482EF6" w:rsidR="00DA56B0">
        <w:t xml:space="preserve">It </w:t>
      </w:r>
      <w:r w:rsidRPr="00482EF6">
        <w:t>provides that “</w:t>
      </w:r>
      <w:r w:rsidRPr="00482EF6">
        <w:rPr>
          <w:i/>
          <w:iCs/>
        </w:rPr>
        <w:t>[p]roof of financial responsibility</w:t>
      </w:r>
      <w:r w:rsidRPr="00482EF6">
        <w:t xml:space="preserve"> shall be continued in effect during the active life of the motor carrier permit,” and that the “</w:t>
      </w:r>
      <w:r w:rsidRPr="00482EF6">
        <w:rPr>
          <w:i/>
          <w:iCs/>
        </w:rPr>
        <w:t>certificate of insurance</w:t>
      </w:r>
      <w:r w:rsidRPr="00482EF6">
        <w:t xml:space="preserve"> shall not be cancellable on less than 30 days’ </w:t>
      </w:r>
      <w:r w:rsidRPr="00482EF6" w:rsidR="00AB673F">
        <w:t xml:space="preserve">written </w:t>
      </w:r>
      <w:r w:rsidRPr="00482EF6">
        <w:t>notice from the insurer to the [DMV] except in the event of cessation of operations as a permitted motor carrier of property.”  (</w:t>
      </w:r>
      <w:r w:rsidRPr="00482EF6" w:rsidR="00E53E2D">
        <w:t>§ </w:t>
      </w:r>
      <w:r w:rsidRPr="00482EF6">
        <w:t>34630, subd. (b), italics added</w:t>
      </w:r>
      <w:r w:rsidRPr="00482EF6" w:rsidR="006F74F2">
        <w:t xml:space="preserve">.)  Likewise, section </w:t>
      </w:r>
      <w:r w:rsidRPr="00482EF6">
        <w:t>34631.5, subd</w:t>
      </w:r>
      <w:r w:rsidRPr="00482EF6" w:rsidR="008B0058">
        <w:t xml:space="preserve">ivision </w:t>
      </w:r>
      <w:r w:rsidRPr="00482EF6">
        <w:t xml:space="preserve">(b)(3) </w:t>
      </w:r>
      <w:r w:rsidRPr="00482EF6" w:rsidR="008B0058">
        <w:t xml:space="preserve">provides that the </w:t>
      </w:r>
      <w:r w:rsidRPr="00482EF6">
        <w:t xml:space="preserve">certificate of insurance, </w:t>
      </w:r>
      <w:r w:rsidRPr="00482EF6" w:rsidR="008B0058">
        <w:t>“</w:t>
      </w:r>
      <w:r w:rsidRPr="00482EF6">
        <w:t>evidencing the protection, shall not be cancelable on less than 30 days’ written notice” to the DMV</w:t>
      </w:r>
      <w:r w:rsidRPr="00482EF6" w:rsidR="008B0058">
        <w:t xml:space="preserve">.  </w:t>
      </w:r>
      <w:r w:rsidRPr="00482EF6" w:rsidR="00EC3EC2">
        <w:t xml:space="preserve">Thus, while the HCA specifically prohibited cancellation of an insurance </w:t>
      </w:r>
      <w:r w:rsidRPr="00482EF6" w:rsidR="00EC3EC2">
        <w:rPr>
          <w:i/>
          <w:iCs/>
        </w:rPr>
        <w:t>policy</w:t>
      </w:r>
      <w:r w:rsidRPr="00482EF6" w:rsidR="00EC3EC2">
        <w:t xml:space="preserve"> without notice, the Act only prohibits cancellation of a </w:t>
      </w:r>
      <w:r w:rsidRPr="00482EF6" w:rsidR="00EC3EC2">
        <w:rPr>
          <w:i/>
          <w:iCs/>
        </w:rPr>
        <w:t>certificate of insurance</w:t>
      </w:r>
      <w:r w:rsidRPr="00482EF6" w:rsidR="00EC3EC2">
        <w:t xml:space="preserve"> without notice.</w:t>
      </w:r>
      <w:r w:rsidRPr="00482EF6" w:rsidR="0030231A">
        <w:t xml:space="preserve">  </w:t>
      </w:r>
      <w:r w:rsidRPr="00A76370" w:rsidR="00A76370">
        <w:t>This prohibition helps to ensure that “proof of financial responsibility” remains “in effect during the active life” of the permit.  (§ 34630, subd. (b).)</w:t>
      </w:r>
    </w:p>
    <w:p w:rsidR="00863F4F" w:rsidRPr="00482EF6" w:rsidP="00482EF6" w14:paraId="02C9789E" w14:textId="77777777">
      <w:pPr>
        <w:tabs>
          <w:tab w:val="left" w:pos="1440"/>
        </w:tabs>
        <w:ind w:firstLine="720"/>
      </w:pPr>
      <w:r w:rsidRPr="00482EF6">
        <w:t>Th</w:t>
      </w:r>
      <w:r w:rsidRPr="00482EF6" w:rsidR="00325421">
        <w:t>e</w:t>
      </w:r>
      <w:r w:rsidRPr="00482EF6">
        <w:t xml:space="preserve"> </w:t>
      </w:r>
      <w:r w:rsidRPr="00482EF6" w:rsidR="0030231A">
        <w:t>difference in statutory language is significant.  Under the HCA</w:t>
      </w:r>
      <w:r w:rsidRPr="00482EF6">
        <w:t xml:space="preserve"> </w:t>
      </w:r>
      <w:r w:rsidRPr="00482EF6" w:rsidR="0030231A">
        <w:t xml:space="preserve">and the endorsement required by General Order No. 100, the </w:t>
      </w:r>
      <w:r w:rsidRPr="00482EF6">
        <w:t xml:space="preserve">underlying </w:t>
      </w:r>
      <w:r w:rsidRPr="00482EF6" w:rsidR="0030231A">
        <w:rPr>
          <w:i/>
          <w:iCs/>
        </w:rPr>
        <w:t>policy</w:t>
      </w:r>
      <w:r w:rsidRPr="00482EF6" w:rsidR="0030231A">
        <w:t xml:space="preserve"> could not be cancelled without notice</w:t>
      </w:r>
      <w:r w:rsidRPr="00482EF6" w:rsidR="00D750E1">
        <w:t xml:space="preserve"> to the PUC</w:t>
      </w:r>
      <w:r w:rsidRPr="00482EF6" w:rsidR="0030231A">
        <w:t xml:space="preserve">.  </w:t>
      </w:r>
      <w:r w:rsidRPr="00482EF6" w:rsidR="00FD29A9">
        <w:t xml:space="preserve">As a result, Transamerica remained obligated.  Its policy with Tab had been amended by the endorsement, </w:t>
      </w:r>
      <w:r w:rsidRPr="00482EF6" w:rsidR="00605AA1">
        <w:t>which “converted the policy from a one-year term policy to a policy that was to remain in effect ‘until canceled.’ ”  (</w:t>
      </w:r>
      <w:r w:rsidRPr="00482EF6" w:rsidR="00605AA1">
        <w:rPr>
          <w:i/>
          <w:iCs/>
        </w:rPr>
        <w:t>Transamerica</w:t>
      </w:r>
      <w:r w:rsidRPr="00482EF6" w:rsidR="00605AA1">
        <w:t xml:space="preserve">, </w:t>
      </w:r>
      <w:r w:rsidRPr="00482EF6" w:rsidR="00605AA1">
        <w:rPr>
          <w:i/>
          <w:iCs/>
        </w:rPr>
        <w:t>supra</w:t>
      </w:r>
      <w:r w:rsidRPr="00482EF6" w:rsidR="00605AA1">
        <w:t>, 12 Cal.</w:t>
      </w:r>
      <w:r w:rsidRPr="00482EF6" w:rsidR="00365E08">
        <w:t xml:space="preserve">4th </w:t>
      </w:r>
      <w:r w:rsidRPr="00482EF6" w:rsidR="00605AA1">
        <w:t xml:space="preserve">at p. 400.)  </w:t>
      </w:r>
      <w:r w:rsidRPr="00482EF6" w:rsidR="00365E08">
        <w:t>But under the new language of the Act</w:t>
      </w:r>
      <w:r w:rsidRPr="00482EF6" w:rsidR="0008348F">
        <w:t xml:space="preserve"> </w:t>
      </w:r>
      <w:r w:rsidRPr="00482EF6" w:rsidR="00365E08">
        <w:t xml:space="preserve">only the </w:t>
      </w:r>
      <w:r w:rsidRPr="00482EF6" w:rsidR="0008348F">
        <w:t xml:space="preserve">certificate of insurance remains active until cancelled.  </w:t>
      </w:r>
      <w:r w:rsidRPr="00482EF6" w:rsidR="00DD0BC4">
        <w:t>C</w:t>
      </w:r>
      <w:r w:rsidRPr="00482EF6" w:rsidR="00265FE7">
        <w:t xml:space="preserve">ancellation </w:t>
      </w:r>
      <w:r w:rsidRPr="00482EF6" w:rsidR="0008348F">
        <w:t xml:space="preserve">of </w:t>
      </w:r>
      <w:r w:rsidRPr="00482EF6" w:rsidR="00DD0BC4">
        <w:t xml:space="preserve">a </w:t>
      </w:r>
      <w:r w:rsidRPr="00482EF6" w:rsidR="00265FE7">
        <w:t xml:space="preserve">certificate </w:t>
      </w:r>
      <w:r w:rsidRPr="00482EF6" w:rsidR="0008348F">
        <w:t xml:space="preserve">triggers </w:t>
      </w:r>
      <w:r w:rsidRPr="00482EF6" w:rsidR="00114308">
        <w:t>the DMV’s obligation to suspend the motor carrier’s permit.  The statute does not say that the underlying policy</w:t>
      </w:r>
      <w:r w:rsidRPr="00482EF6" w:rsidR="00416D9E">
        <w:t xml:space="preserve"> remains</w:t>
      </w:r>
      <w:r w:rsidRPr="00482EF6" w:rsidR="00DB4254">
        <w:t xml:space="preserve"> </w:t>
      </w:r>
      <w:r w:rsidRPr="00482EF6" w:rsidR="00114308">
        <w:t xml:space="preserve">active beyond the period called for in the contract between the parties.  There is no language that “converts” the </w:t>
      </w:r>
      <w:r w:rsidRPr="00482EF6" w:rsidR="00265FE7">
        <w:t>stated term</w:t>
      </w:r>
      <w:r w:rsidRPr="00482EF6" w:rsidR="00D750E1">
        <w:t xml:space="preserve"> of the policy</w:t>
      </w:r>
      <w:r w:rsidRPr="00482EF6" w:rsidR="00265FE7">
        <w:t xml:space="preserve">.  </w:t>
      </w:r>
    </w:p>
    <w:p w:rsidR="00E560B5" w:rsidRPr="00482EF6" w:rsidP="00482EF6" w14:paraId="02C9789F" w14:textId="77777777">
      <w:pPr>
        <w:tabs>
          <w:tab w:val="left" w:pos="1440"/>
        </w:tabs>
        <w:ind w:firstLine="720"/>
      </w:pPr>
      <w:r w:rsidRPr="00482EF6">
        <w:rPr>
          <w:i/>
          <w:iCs/>
        </w:rPr>
        <w:t>Transamerica</w:t>
      </w:r>
      <w:r w:rsidRPr="00482EF6">
        <w:t xml:space="preserve"> was decided against </w:t>
      </w:r>
      <w:r w:rsidRPr="00482EF6" w:rsidR="00D750E1">
        <w:t>the</w:t>
      </w:r>
      <w:r w:rsidRPr="00482EF6">
        <w:t xml:space="preserve"> backdrop </w:t>
      </w:r>
      <w:r w:rsidRPr="00482EF6" w:rsidR="00D750E1">
        <w:t>of a</w:t>
      </w:r>
      <w:r w:rsidRPr="00482EF6">
        <w:t xml:space="preserve"> general rule that an insurance company “incurs no liability for an accident that occurs after the policy period has ended.”  (</w:t>
      </w:r>
      <w:r w:rsidRPr="00482EF6">
        <w:rPr>
          <w:i/>
          <w:iCs/>
        </w:rPr>
        <w:t>Transamerica</w:t>
      </w:r>
      <w:r w:rsidRPr="00482EF6">
        <w:t xml:space="preserve">, </w:t>
      </w:r>
      <w:r w:rsidRPr="00482EF6">
        <w:rPr>
          <w:i/>
          <w:iCs/>
        </w:rPr>
        <w:t>supra</w:t>
      </w:r>
      <w:r w:rsidRPr="00482EF6">
        <w:t xml:space="preserve">, 12 Cal.4th at p. 394.)  </w:t>
      </w:r>
      <w:r w:rsidRPr="00482EF6" w:rsidR="00BB195B">
        <w:t xml:space="preserve">This </w:t>
      </w:r>
      <w:r w:rsidRPr="00482EF6">
        <w:t xml:space="preserve">Court </w:t>
      </w:r>
      <w:r w:rsidRPr="00482EF6" w:rsidR="00BB195B">
        <w:t xml:space="preserve">concluded in </w:t>
      </w:r>
      <w:r w:rsidRPr="00482EF6" w:rsidR="00BB195B">
        <w:rPr>
          <w:i/>
          <w:iCs/>
        </w:rPr>
        <w:t>Transamerica</w:t>
      </w:r>
      <w:r w:rsidRPr="00482EF6" w:rsidR="00BB195B">
        <w:t xml:space="preserve"> </w:t>
      </w:r>
      <w:r w:rsidRPr="00482EF6">
        <w:t xml:space="preserve">that the HCA created an exception to that general rule.  The </w:t>
      </w:r>
      <w:r w:rsidRPr="00482EF6">
        <w:rPr>
          <w:i/>
          <w:iCs/>
        </w:rPr>
        <w:t>coverage</w:t>
      </w:r>
      <w:r w:rsidRPr="00482EF6">
        <w:t xml:space="preserve"> provided by an insurance policy subject to the HCA could not be canceled, </w:t>
      </w:r>
      <w:r w:rsidRPr="00482EF6" w:rsidR="00107133">
        <w:t xml:space="preserve">regardless </w:t>
      </w:r>
      <w:r w:rsidRPr="00482EF6" w:rsidR="00DA452C">
        <w:t xml:space="preserve">of its stated expiration date, </w:t>
      </w:r>
      <w:r w:rsidRPr="00482EF6" w:rsidR="00107133">
        <w:t xml:space="preserve">without </w:t>
      </w:r>
      <w:r w:rsidRPr="00482EF6">
        <w:t>written notice of the policy’s cancellation</w:t>
      </w:r>
      <w:r w:rsidRPr="00482EF6" w:rsidR="00DA452C">
        <w:t xml:space="preserve"> to the PUC.  </w:t>
      </w:r>
      <w:r w:rsidRPr="00482EF6">
        <w:t>(</w:t>
      </w:r>
      <w:r w:rsidRPr="00482EF6">
        <w:rPr>
          <w:i/>
          <w:iCs/>
        </w:rPr>
        <w:t>Transamerica</w:t>
      </w:r>
      <w:r w:rsidRPr="00482EF6">
        <w:t xml:space="preserve">, at p. 401.)  This exception was based on </w:t>
      </w:r>
      <w:r w:rsidRPr="00482EF6" w:rsidR="00DA452C">
        <w:t xml:space="preserve">explicit </w:t>
      </w:r>
      <w:r w:rsidRPr="00482EF6">
        <w:t>statutory language in the HCA prohibiting cancellation of a “</w:t>
      </w:r>
      <w:r w:rsidR="00736C56">
        <w:t> </w:t>
      </w:r>
      <w:r w:rsidRPr="00482EF6">
        <w:t>‘policy of insurance</w:t>
      </w:r>
      <w:r w:rsidRPr="00482EF6" w:rsidR="00AB673F">
        <w:t>,</w:t>
      </w:r>
      <w:r w:rsidRPr="00482EF6">
        <w:t xml:space="preserve"> or surety bond’</w:t>
      </w:r>
      <w:r w:rsidR="00736C56">
        <w:t> </w:t>
      </w:r>
      <w:r w:rsidRPr="00482EF6">
        <w:t>” without notice to the PUC.  (</w:t>
      </w:r>
      <w:r w:rsidRPr="00482EF6">
        <w:rPr>
          <w:i/>
          <w:iCs/>
        </w:rPr>
        <w:t>Transamerica</w:t>
      </w:r>
      <w:r w:rsidRPr="00482EF6">
        <w:t xml:space="preserve">, at p. 398, quoting Pub. Util. Code, </w:t>
      </w:r>
      <w:r w:rsidR="00C2114C">
        <w:t xml:space="preserve">former </w:t>
      </w:r>
      <w:r w:rsidRPr="00482EF6" w:rsidR="00B646D8">
        <w:t xml:space="preserve">§ </w:t>
      </w:r>
      <w:r w:rsidRPr="00482EF6">
        <w:t xml:space="preserve">3634.)  </w:t>
      </w:r>
    </w:p>
    <w:p w:rsidR="00657CE5" w:rsidRPr="00482EF6" w:rsidP="00482EF6" w14:paraId="02C978A0" w14:textId="77777777">
      <w:pPr>
        <w:tabs>
          <w:tab w:val="left" w:pos="1440"/>
        </w:tabs>
        <w:ind w:firstLine="720"/>
      </w:pPr>
      <w:r w:rsidRPr="00482EF6">
        <w:t xml:space="preserve">That language </w:t>
      </w:r>
      <w:r w:rsidRPr="00482EF6" w:rsidR="008128D4">
        <w:t>was</w:t>
      </w:r>
      <w:r w:rsidRPr="00482EF6">
        <w:t xml:space="preserve"> not </w:t>
      </w:r>
      <w:r w:rsidRPr="00482EF6" w:rsidR="00352DE8">
        <w:t xml:space="preserve">carried over into </w:t>
      </w:r>
      <w:r w:rsidRPr="00482EF6">
        <w:t>the Act</w:t>
      </w:r>
      <w:r w:rsidRPr="00482EF6" w:rsidR="009337B4">
        <w:t xml:space="preserve">.  The </w:t>
      </w:r>
      <w:r w:rsidRPr="00482EF6" w:rsidR="001812FB">
        <w:t xml:space="preserve">change does not appear inadvertent.  </w:t>
      </w:r>
      <w:r w:rsidRPr="00482EF6" w:rsidR="00781EDE">
        <w:t xml:space="preserve">Like </w:t>
      </w:r>
      <w:r w:rsidRPr="00482EF6" w:rsidR="00D56DBF">
        <w:t>the HCA, a</w:t>
      </w:r>
      <w:r w:rsidRPr="00482EF6" w:rsidR="00045C17">
        <w:t xml:space="preserve">n early draft of the Act would have </w:t>
      </w:r>
      <w:r w:rsidRPr="00482EF6" w:rsidR="0017381B">
        <w:t>conditioned a motor carrier</w:t>
      </w:r>
      <w:r w:rsidRPr="00482EF6" w:rsidR="003221B1">
        <w:t xml:space="preserve">’s </w:t>
      </w:r>
      <w:r w:rsidRPr="00482EF6" w:rsidR="000649F4">
        <w:t>“</w:t>
      </w:r>
      <w:r w:rsidR="001E318F">
        <w:t>[</w:t>
      </w:r>
      <w:r w:rsidRPr="00482EF6" w:rsidR="003221B1">
        <w:t>r</w:t>
      </w:r>
      <w:r w:rsidR="001E318F">
        <w:t>]</w:t>
      </w:r>
      <w:r w:rsidRPr="00482EF6" w:rsidR="003221B1">
        <w:t>egistration</w:t>
      </w:r>
      <w:r w:rsidRPr="00482EF6" w:rsidR="000649F4">
        <w:t>”</w:t>
      </w:r>
      <w:r w:rsidRPr="00482EF6" w:rsidR="003221B1">
        <w:t xml:space="preserve"> with the </w:t>
      </w:r>
      <w:r w:rsidRPr="00482EF6" w:rsidR="002E04F5">
        <w:t xml:space="preserve">Department </w:t>
      </w:r>
      <w:r w:rsidRPr="00482EF6" w:rsidR="0017381B">
        <w:t xml:space="preserve">on </w:t>
      </w:r>
      <w:r w:rsidRPr="00482EF6" w:rsidR="000A5FCB">
        <w:t>the</w:t>
      </w:r>
      <w:r w:rsidRPr="00482EF6" w:rsidR="003221B1">
        <w:t xml:space="preserve"> filing </w:t>
      </w:r>
      <w:r w:rsidRPr="00482EF6" w:rsidR="000A5FCB">
        <w:t>of either “a policy of insurance,” a surety bond, or other evidence of insurance.  (Assem. Bill 1683 (1995</w:t>
      </w:r>
      <w:r w:rsidR="0037317C">
        <w:t>–</w:t>
      </w:r>
      <w:r w:rsidRPr="00482EF6" w:rsidR="000A5FCB">
        <w:t xml:space="preserve">96 Reg. Sess.) </w:t>
      </w:r>
      <w:r w:rsidR="00027859">
        <w:t>§</w:t>
      </w:r>
      <w:r w:rsidR="006867A1">
        <w:t xml:space="preserve"> 55</w:t>
      </w:r>
      <w:r w:rsidR="00027859">
        <w:t xml:space="preserve">, </w:t>
      </w:r>
      <w:r w:rsidRPr="00482EF6" w:rsidR="000A5FCB">
        <w:t>as amended</w:t>
      </w:r>
      <w:r w:rsidR="00027859">
        <w:t xml:space="preserve"> </w:t>
      </w:r>
      <w:r w:rsidRPr="00482EF6" w:rsidR="000A5FCB">
        <w:t xml:space="preserve">Aug. 30, 1995.)  </w:t>
      </w:r>
      <w:r w:rsidRPr="00482EF6" w:rsidR="00FD3792">
        <w:t xml:space="preserve">The </w:t>
      </w:r>
      <w:r w:rsidRPr="00482EF6" w:rsidR="002C2ED3">
        <w:t>same draft would</w:t>
      </w:r>
      <w:r w:rsidRPr="00482EF6" w:rsidR="00F65DF4">
        <w:t xml:space="preserve"> have required that “protection against liability . . . be continued in effect during the active life of the registration.”  (</w:t>
      </w:r>
      <w:r w:rsidRPr="00846782" w:rsidR="009E1035">
        <w:rPr>
          <w:i/>
          <w:iCs/>
        </w:rPr>
        <w:t>Ibid</w:t>
      </w:r>
      <w:r w:rsidR="009E1035">
        <w:t>.</w:t>
      </w:r>
      <w:r w:rsidRPr="00482EF6" w:rsidR="00F65DF4">
        <w:t>)</w:t>
      </w:r>
      <w:r w:rsidRPr="00482EF6" w:rsidR="00FA388D">
        <w:t xml:space="preserve">  In later drafts, </w:t>
      </w:r>
      <w:r w:rsidRPr="00482EF6" w:rsidR="00476AE8">
        <w:t xml:space="preserve">that language was removed </w:t>
      </w:r>
      <w:r w:rsidRPr="00482EF6" w:rsidR="00003AA1">
        <w:t xml:space="preserve">from the relevant provisions </w:t>
      </w:r>
      <w:r w:rsidRPr="00482EF6" w:rsidR="00476AE8">
        <w:t>and replaced with</w:t>
      </w:r>
      <w:r w:rsidRPr="00482EF6" w:rsidR="00205A86">
        <w:t xml:space="preserve"> requirements</w:t>
      </w:r>
      <w:r w:rsidRPr="00482EF6" w:rsidR="00F60EE3">
        <w:t xml:space="preserve"> </w:t>
      </w:r>
      <w:r w:rsidRPr="00482EF6" w:rsidR="006E1F35">
        <w:t>that</w:t>
      </w:r>
      <w:r w:rsidRPr="00482EF6" w:rsidR="00F60EE3">
        <w:t>:  (1)</w:t>
      </w:r>
      <w:r w:rsidRPr="00482EF6" w:rsidR="00487BAF">
        <w:t> </w:t>
      </w:r>
      <w:r w:rsidRPr="00482EF6" w:rsidR="00205A86">
        <w:t xml:space="preserve">a “certificate of insurance” be filed with the </w:t>
      </w:r>
      <w:r w:rsidR="00E92907">
        <w:t>Department</w:t>
      </w:r>
      <w:r w:rsidRPr="00482EF6" w:rsidR="00F60EE3">
        <w:t xml:space="preserve">; and </w:t>
      </w:r>
      <w:r w:rsidRPr="00482EF6" w:rsidR="00487BAF">
        <w:t xml:space="preserve">(2) </w:t>
      </w:r>
      <w:r w:rsidRPr="00482EF6" w:rsidR="00205A86">
        <w:t xml:space="preserve">“proof of financial responsibility </w:t>
      </w:r>
      <w:r w:rsidRPr="00482EF6" w:rsidR="00A94DBB">
        <w:t>. . . be continued in effect during the active life of the permit.”  (Assem. Bill 1683 (1995-96 Reg. Sess.)</w:t>
      </w:r>
      <w:r w:rsidR="00EC33C8">
        <w:t xml:space="preserve"> § </w:t>
      </w:r>
      <w:r w:rsidR="006867A1">
        <w:t>53</w:t>
      </w:r>
      <w:r w:rsidR="00EC33C8">
        <w:t>,</w:t>
      </w:r>
      <w:r w:rsidRPr="00482EF6" w:rsidR="00A94DBB">
        <w:t xml:space="preserve"> as amended</w:t>
      </w:r>
      <w:r w:rsidR="00EC33C8">
        <w:t xml:space="preserve"> </w:t>
      </w:r>
      <w:r w:rsidRPr="00482EF6" w:rsidR="00E75F50">
        <w:t xml:space="preserve">July 7, 1996.)  </w:t>
      </w:r>
      <w:r w:rsidRPr="00482EF6" w:rsidR="00407964">
        <w:t xml:space="preserve">These were the requirements </w:t>
      </w:r>
      <w:r w:rsidRPr="00482EF6" w:rsidR="00E75F50">
        <w:t>the Legislature</w:t>
      </w:r>
      <w:r w:rsidRPr="00482EF6" w:rsidR="00003AA1">
        <w:t xml:space="preserve"> ultimately approved</w:t>
      </w:r>
      <w:r w:rsidRPr="00482EF6" w:rsidR="00E75F50">
        <w:t xml:space="preserve">.  </w:t>
      </w:r>
      <w:r w:rsidRPr="00482EF6" w:rsidR="00C87348">
        <w:t xml:space="preserve">(§ 34630, subds. (a), (b).)  </w:t>
      </w:r>
    </w:p>
    <w:p w:rsidR="00E76B20" w:rsidRPr="00482EF6" w:rsidP="00482EF6" w14:paraId="02C978A1" w14:textId="77777777">
      <w:pPr>
        <w:tabs>
          <w:tab w:val="left" w:pos="1440"/>
        </w:tabs>
        <w:ind w:firstLine="720"/>
      </w:pPr>
      <w:r w:rsidRPr="00482EF6">
        <w:t>We generally infer a change in meaning from a change in statutory language.</w:t>
      </w:r>
      <w:r w:rsidRPr="00482EF6" w:rsidR="00C25AD5">
        <w:t xml:space="preserve">  </w:t>
      </w:r>
      <w:r w:rsidRPr="00482EF6">
        <w:t>An “</w:t>
      </w:r>
      <w:r w:rsidRPr="00482EF6" w:rsidR="0013735D">
        <w:t> </w:t>
      </w:r>
      <w:r w:rsidRPr="00482EF6" w:rsidR="00AB673F">
        <w:t>‘</w:t>
      </w:r>
      <w:r w:rsidRPr="00482EF6">
        <w:t>essential change in the phraseology of a statutory provision would indicate an intention on the part of the legislature to change the meaning of such provision rather than interpret it.</w:t>
      </w:r>
      <w:r w:rsidRPr="00482EF6" w:rsidR="00AB673F">
        <w:t>’ </w:t>
      </w:r>
      <w:r w:rsidRPr="00482EF6">
        <w:t>”  (</w:t>
      </w:r>
      <w:r w:rsidRPr="00482EF6">
        <w:rPr>
          <w:i/>
          <w:iCs/>
        </w:rPr>
        <w:t>Estate</w:t>
      </w:r>
      <w:r w:rsidRPr="00482EF6" w:rsidR="00AB673F">
        <w:rPr>
          <w:i/>
          <w:iCs/>
        </w:rPr>
        <w:t xml:space="preserve"> of Todd</w:t>
      </w:r>
      <w:r w:rsidRPr="00482EF6">
        <w:t xml:space="preserve"> (1941) 17 Cal.2d 270, 274</w:t>
      </w:r>
      <w:r w:rsidR="00683AD5">
        <w:t>–</w:t>
      </w:r>
      <w:r w:rsidRPr="00482EF6">
        <w:t>275.)</w:t>
      </w:r>
      <w:r w:rsidRPr="00482EF6" w:rsidR="00C25AD5">
        <w:t xml:space="preserve">  </w:t>
      </w:r>
      <w:r w:rsidRPr="00482EF6">
        <w:t xml:space="preserve">This is especially true </w:t>
      </w:r>
      <w:r w:rsidRPr="00482EF6" w:rsidR="00525449">
        <w:t xml:space="preserve">if </w:t>
      </w:r>
      <w:r w:rsidRPr="00482EF6">
        <w:t xml:space="preserve">a court has construed the old statute </w:t>
      </w:r>
      <w:r w:rsidRPr="00482EF6" w:rsidR="00525449">
        <w:t xml:space="preserve">as having </w:t>
      </w:r>
      <w:r w:rsidRPr="00482EF6">
        <w:t>a particular meaning.</w:t>
      </w:r>
      <w:r w:rsidRPr="00482EF6" w:rsidR="00525449">
        <w:t xml:space="preserve">  </w:t>
      </w:r>
      <w:r w:rsidRPr="00482EF6">
        <w:t xml:space="preserve">(See </w:t>
      </w:r>
      <w:r w:rsidRPr="00482EF6">
        <w:rPr>
          <w:i/>
          <w:iCs/>
        </w:rPr>
        <w:t>Benson v. Workers’ Comp. Appeals Bd.</w:t>
      </w:r>
      <w:r w:rsidRPr="00482EF6">
        <w:t xml:space="preserve"> (2009) 170 Cal.App.4th 1535, 1557 (</w:t>
      </w:r>
      <w:r w:rsidRPr="00482EF6">
        <w:rPr>
          <w:i/>
          <w:iCs/>
        </w:rPr>
        <w:t>Benson</w:t>
      </w:r>
      <w:r w:rsidRPr="00482EF6">
        <w:t>)</w:t>
      </w:r>
      <w:r w:rsidRPr="00482EF6" w:rsidR="00DF5DAC">
        <w:t xml:space="preserve">.)  </w:t>
      </w:r>
      <w:r w:rsidRPr="00482EF6" w:rsidR="006A3165">
        <w:t xml:space="preserve">As </w:t>
      </w:r>
      <w:r w:rsidRPr="00482EF6">
        <w:rPr>
          <w:i/>
          <w:iCs/>
        </w:rPr>
        <w:t>O’Brien v. Dudenhoeffer</w:t>
      </w:r>
      <w:r w:rsidRPr="00482EF6">
        <w:t xml:space="preserve"> (1993) 16 Cal.App.4th 327</w:t>
      </w:r>
      <w:r w:rsidRPr="00482EF6" w:rsidR="00DF5DAC">
        <w:t xml:space="preserve"> explained, an “</w:t>
      </w:r>
      <w:r w:rsidRPr="00482EF6">
        <w:t>amendment materially changing a statute following a court decision interpreting the statute in its original form is to be regarded as an indication of legislative intent to change the meaning of the law</w:t>
      </w:r>
      <w:r w:rsidRPr="00482EF6" w:rsidR="001511FD">
        <w:t>.”  (</w:t>
      </w:r>
      <w:r w:rsidRPr="00482EF6" w:rsidR="001511FD">
        <w:rPr>
          <w:i/>
          <w:iCs/>
        </w:rPr>
        <w:t>Id</w:t>
      </w:r>
      <w:r w:rsidRPr="00482EF6" w:rsidR="001511FD">
        <w:t xml:space="preserve">. at p. 335.)  </w:t>
      </w:r>
      <w:r w:rsidRPr="00482EF6" w:rsidR="008E0C8B">
        <w:t xml:space="preserve">We should </w:t>
      </w:r>
      <w:r w:rsidRPr="00482EF6" w:rsidR="007220D0">
        <w:t xml:space="preserve">therefore </w:t>
      </w:r>
      <w:r w:rsidRPr="00482EF6" w:rsidR="008E0C8B">
        <w:t>“</w:t>
      </w:r>
      <w:r w:rsidRPr="00482EF6">
        <w:t>reject an interpretation of the statute which would leave the prior judicial construction in effect.”</w:t>
      </w:r>
      <w:r w:rsidRPr="00482EF6" w:rsidR="001511FD">
        <w:t xml:space="preserve">  (</w:t>
      </w:r>
      <w:r w:rsidRPr="00482EF6" w:rsidR="001511FD">
        <w:rPr>
          <w:i/>
          <w:iCs/>
        </w:rPr>
        <w:t>Ibid</w:t>
      </w:r>
      <w:r w:rsidRPr="00482EF6" w:rsidR="001511FD">
        <w:t xml:space="preserve">.)  </w:t>
      </w:r>
    </w:p>
    <w:p w:rsidR="00407964" w:rsidRPr="00482EF6" w:rsidP="00482EF6" w14:paraId="02C978A2" w14:textId="77777777">
      <w:pPr>
        <w:tabs>
          <w:tab w:val="left" w:pos="1440"/>
        </w:tabs>
        <w:ind w:firstLine="720"/>
      </w:pPr>
      <w:r w:rsidRPr="00482EF6">
        <w:t xml:space="preserve">The Act prohibits cancellation of a </w:t>
      </w:r>
      <w:r w:rsidRPr="00482EF6" w:rsidR="00453D5B">
        <w:t>c</w:t>
      </w:r>
      <w:r w:rsidRPr="00482EF6">
        <w:t xml:space="preserve">ertificate of </w:t>
      </w:r>
      <w:r w:rsidRPr="00482EF6" w:rsidR="00453D5B">
        <w:t>i</w:t>
      </w:r>
      <w:r w:rsidRPr="00482EF6">
        <w:t xml:space="preserve">nsurance without notice to the DMV.  </w:t>
      </w:r>
      <w:r w:rsidRPr="00482EF6" w:rsidR="006159AC">
        <w:t>(§ 34630, subd. (b); §</w:t>
      </w:r>
      <w:r w:rsidRPr="00482EF6" w:rsidR="00D537D7">
        <w:t> </w:t>
      </w:r>
      <w:r w:rsidRPr="00482EF6" w:rsidR="006159AC">
        <w:t xml:space="preserve">34631.5, subd. (b)(3).)  </w:t>
      </w:r>
      <w:r w:rsidRPr="00482EF6" w:rsidR="00B23E81">
        <w:t xml:space="preserve">Unlike the HCA, it </w:t>
      </w:r>
      <w:r w:rsidRPr="00482EF6" w:rsidR="00EB21C7">
        <w:t>does not</w:t>
      </w:r>
      <w:r w:rsidRPr="00482EF6" w:rsidR="00943819">
        <w:t xml:space="preserve"> </w:t>
      </w:r>
      <w:r w:rsidRPr="00482EF6" w:rsidR="00EB21C7">
        <w:t xml:space="preserve">speak to cancellation or termination of the underlying policy, which embodies the agreement between the parties.  </w:t>
      </w:r>
      <w:r w:rsidRPr="00482EF6" w:rsidR="0005646D">
        <w:t>As a result</w:t>
      </w:r>
      <w:r w:rsidRPr="00482EF6">
        <w:t xml:space="preserve">, the Act does not </w:t>
      </w:r>
      <w:r w:rsidRPr="00482EF6" w:rsidR="00B82FF3">
        <w:t xml:space="preserve">prevent cancellation or termination of an insurance </w:t>
      </w:r>
      <w:r w:rsidRPr="00482EF6" w:rsidR="00EA77FF">
        <w:t>policy under the terms of the contract.</w:t>
      </w:r>
      <w:r w:rsidRPr="00482EF6">
        <w:t xml:space="preserve">  </w:t>
      </w:r>
    </w:p>
    <w:p w:rsidR="006159AC" w:rsidRPr="00482EF6" w:rsidP="00482EF6" w14:paraId="02C978A3" w14:textId="77777777">
      <w:pPr>
        <w:tabs>
          <w:tab w:val="left" w:pos="1440"/>
        </w:tabs>
        <w:ind w:firstLine="720"/>
      </w:pPr>
      <w:r w:rsidRPr="00482EF6">
        <w:t xml:space="preserve">It is undisputed </w:t>
      </w:r>
      <w:r w:rsidRPr="00482EF6" w:rsidR="00813831">
        <w:t xml:space="preserve">that at least one </w:t>
      </w:r>
      <w:r w:rsidRPr="00482EF6" w:rsidR="008679B4">
        <w:t>certificate of insuranc</w:t>
      </w:r>
      <w:r w:rsidRPr="00482EF6" w:rsidR="0036236D">
        <w:t xml:space="preserve">e that </w:t>
      </w:r>
      <w:r w:rsidRPr="00482EF6">
        <w:t xml:space="preserve">United </w:t>
      </w:r>
      <w:r w:rsidRPr="00482EF6" w:rsidR="00813831">
        <w:t>filed during the period it cover</w:t>
      </w:r>
      <w:r w:rsidRPr="00482EF6" w:rsidR="0036236D">
        <w:t xml:space="preserve">ed </w:t>
      </w:r>
      <w:r w:rsidRPr="00482EF6" w:rsidR="00813831">
        <w:t xml:space="preserve">Porras </w:t>
      </w:r>
      <w:r w:rsidRPr="00482EF6" w:rsidR="006A3F9E">
        <w:t>remained uncancelled at the time of the accident</w:t>
      </w:r>
      <w:r w:rsidRPr="00482EF6">
        <w:t xml:space="preserve">.  </w:t>
      </w:r>
      <w:r w:rsidRPr="00482EF6" w:rsidR="0061233B">
        <w:t xml:space="preserve">The </w:t>
      </w:r>
      <w:r w:rsidRPr="00482EF6" w:rsidR="00A04287">
        <w:t xml:space="preserve">question remains: </w:t>
      </w:r>
      <w:r w:rsidRPr="00482EF6" w:rsidR="00DE2771">
        <w:t xml:space="preserve"> </w:t>
      </w:r>
      <w:r w:rsidR="006A2401">
        <w:t>W</w:t>
      </w:r>
      <w:r w:rsidRPr="00482EF6" w:rsidR="0061233B">
        <w:t xml:space="preserve">hat impact </w:t>
      </w:r>
      <w:r w:rsidRPr="00482EF6" w:rsidR="006A3F9E">
        <w:t xml:space="preserve">does a </w:t>
      </w:r>
      <w:r w:rsidRPr="00482EF6" w:rsidR="00453D5B">
        <w:t>c</w:t>
      </w:r>
      <w:r w:rsidRPr="00482EF6" w:rsidR="0061233B">
        <w:t xml:space="preserve">ertificate of </w:t>
      </w:r>
      <w:r w:rsidRPr="00482EF6" w:rsidR="00453D5B">
        <w:t>i</w:t>
      </w:r>
      <w:r w:rsidRPr="00482EF6" w:rsidR="0061233B">
        <w:t xml:space="preserve">nsurance </w:t>
      </w:r>
      <w:r w:rsidRPr="00482EF6" w:rsidR="00B3715D">
        <w:t>remain</w:t>
      </w:r>
      <w:r w:rsidRPr="00482EF6" w:rsidR="006A3F9E">
        <w:t xml:space="preserve">ing </w:t>
      </w:r>
      <w:r w:rsidRPr="00482EF6" w:rsidR="0061233B">
        <w:t xml:space="preserve">on file </w:t>
      </w:r>
      <w:r w:rsidRPr="00482EF6" w:rsidR="00B3715D">
        <w:t>with the DMV</w:t>
      </w:r>
      <w:r w:rsidRPr="00482EF6" w:rsidR="00931E51">
        <w:t xml:space="preserve"> </w:t>
      </w:r>
      <w:r w:rsidRPr="00482EF6" w:rsidR="00C90EDE">
        <w:t xml:space="preserve">have </w:t>
      </w:r>
      <w:r w:rsidRPr="00482EF6" w:rsidR="00931E51">
        <w:t xml:space="preserve">with respect to </w:t>
      </w:r>
      <w:r w:rsidRPr="00482EF6" w:rsidR="0061233B">
        <w:t xml:space="preserve">the coverage that </w:t>
      </w:r>
      <w:r w:rsidRPr="00482EF6" w:rsidR="00931E51">
        <w:t xml:space="preserve">an insurer </w:t>
      </w:r>
      <w:r w:rsidRPr="00482EF6" w:rsidR="0061233B">
        <w:t>owe</w:t>
      </w:r>
      <w:r w:rsidRPr="00482EF6" w:rsidR="00931E51">
        <w:t xml:space="preserve">s </w:t>
      </w:r>
      <w:r w:rsidRPr="00482EF6" w:rsidR="0061233B">
        <w:t xml:space="preserve">to </w:t>
      </w:r>
      <w:r w:rsidRPr="00482EF6" w:rsidR="00931E51">
        <w:t>its insured</w:t>
      </w:r>
      <w:r w:rsidRPr="00482EF6" w:rsidR="0061233B">
        <w:t xml:space="preserve">?  </w:t>
      </w:r>
      <w:r w:rsidRPr="00482EF6" w:rsidR="00931E51">
        <w:t>Again</w:t>
      </w:r>
      <w:r w:rsidRPr="00482EF6" w:rsidR="00D633A6">
        <w:t xml:space="preserve">, we </w:t>
      </w:r>
      <w:r w:rsidRPr="00482EF6" w:rsidR="00931E51">
        <w:t>re</w:t>
      </w:r>
      <w:r w:rsidRPr="00482EF6" w:rsidR="00D633A6">
        <w:t xml:space="preserve">turn to the language of the United policy, the certificate of insurance, and the endorsement.  </w:t>
      </w:r>
    </w:p>
    <w:p w:rsidR="005560BF" w:rsidRPr="00482EF6" w:rsidP="00482EF6" w14:paraId="02C978A4" w14:textId="77777777">
      <w:pPr>
        <w:pStyle w:val="ListParagraph"/>
        <w:keepNext/>
        <w:numPr>
          <w:ilvl w:val="0"/>
          <w:numId w:val="6"/>
        </w:numPr>
        <w:tabs>
          <w:tab w:val="left" w:pos="1440"/>
        </w:tabs>
        <w:rPr>
          <w:i/>
          <w:iCs/>
        </w:rPr>
      </w:pPr>
      <w:r w:rsidRPr="00482EF6">
        <w:rPr>
          <w:i/>
          <w:iCs/>
        </w:rPr>
        <w:t xml:space="preserve">The Effect Upon Coverage of the Certificate of Insurance and the </w:t>
      </w:r>
      <w:r w:rsidRPr="00482EF6" w:rsidR="00554AB6">
        <w:rPr>
          <w:i/>
          <w:iCs/>
        </w:rPr>
        <w:t>Required Endorsement</w:t>
      </w:r>
    </w:p>
    <w:p w:rsidR="003741CD" w:rsidP="00482EF6" w14:paraId="02C978A5" w14:textId="77777777">
      <w:pPr>
        <w:tabs>
          <w:tab w:val="left" w:pos="1440"/>
        </w:tabs>
        <w:ind w:firstLine="720"/>
      </w:pPr>
      <w:r w:rsidRPr="00482EF6">
        <w:t xml:space="preserve">Insurance coverage is generally understood to mean an obligation on the insurer </w:t>
      </w:r>
      <w:r w:rsidRPr="00482EF6" w:rsidR="000A4CEE">
        <w:t>“to defend and indemnify the insured against loss resulting from specified activities.”  (2 Witkin, Summary of Cal. Law (</w:t>
      </w:r>
      <w:r w:rsidRPr="00482EF6" w:rsidR="00AB673F">
        <w:t>11</w:t>
      </w:r>
      <w:r w:rsidR="00826E28">
        <w:t xml:space="preserve">th </w:t>
      </w:r>
      <w:r w:rsidRPr="00482EF6" w:rsidR="000A4CEE">
        <w:t xml:space="preserve">ed. </w:t>
      </w:r>
      <w:r w:rsidRPr="00482EF6" w:rsidR="00AB673F">
        <w:t>2017</w:t>
      </w:r>
      <w:r w:rsidRPr="00482EF6" w:rsidR="000A4CEE">
        <w:t xml:space="preserve">) Insurance, § 210, p. </w:t>
      </w:r>
      <w:r w:rsidRPr="00482EF6" w:rsidR="00AB673F">
        <w:t>329</w:t>
      </w:r>
      <w:r w:rsidRPr="00482EF6" w:rsidR="000A4CEE">
        <w:t xml:space="preserve">.)  </w:t>
      </w:r>
      <w:r w:rsidRPr="00482EF6" w:rsidR="008C4F42">
        <w:t xml:space="preserve">The </w:t>
      </w:r>
      <w:r w:rsidRPr="00482EF6" w:rsidR="00AA77E8">
        <w:t>c</w:t>
      </w:r>
      <w:r w:rsidRPr="00482EF6" w:rsidR="008C4F42">
        <w:t xml:space="preserve">ertificate of </w:t>
      </w:r>
      <w:r w:rsidRPr="00482EF6" w:rsidR="00AA77E8">
        <w:t>i</w:t>
      </w:r>
      <w:r w:rsidRPr="00482EF6" w:rsidR="008C4F42">
        <w:t xml:space="preserve">nsurance </w:t>
      </w:r>
      <w:r w:rsidRPr="00482EF6" w:rsidR="00AA77E8">
        <w:t xml:space="preserve">required by the Act </w:t>
      </w:r>
      <w:r w:rsidRPr="00482EF6" w:rsidR="008C4F42">
        <w:t>mention</w:t>
      </w:r>
      <w:r w:rsidRPr="00482EF6" w:rsidR="008E1081">
        <w:t>s</w:t>
      </w:r>
      <w:r w:rsidRPr="00482EF6" w:rsidR="00AA77E8">
        <w:t xml:space="preserve"> </w:t>
      </w:r>
      <w:r w:rsidRPr="00482EF6" w:rsidR="008C4F42">
        <w:t xml:space="preserve">neither of these </w:t>
      </w:r>
      <w:r w:rsidRPr="00482EF6" w:rsidR="00684A41">
        <w:t>obligations</w:t>
      </w:r>
      <w:r w:rsidRPr="00482EF6">
        <w:t xml:space="preserve">.  </w:t>
      </w:r>
      <w:r w:rsidRPr="00482EF6" w:rsidR="00C64491">
        <w:t xml:space="preserve">They </w:t>
      </w:r>
      <w:r w:rsidRPr="00482EF6" w:rsidR="00F70093">
        <w:t>are</w:t>
      </w:r>
      <w:r w:rsidRPr="00482EF6" w:rsidR="00C64491">
        <w:t xml:space="preserve">, instead, </w:t>
      </w:r>
      <w:r w:rsidRPr="00482EF6" w:rsidR="00F70093">
        <w:t>imposed</w:t>
      </w:r>
      <w:r w:rsidRPr="00482EF6" w:rsidR="00F10755">
        <w:t xml:space="preserve"> </w:t>
      </w:r>
      <w:r w:rsidRPr="00482EF6" w:rsidR="00B2011D">
        <w:t xml:space="preserve">by the </w:t>
      </w:r>
      <w:r w:rsidRPr="00482EF6">
        <w:t xml:space="preserve">terms of </w:t>
      </w:r>
      <w:r w:rsidR="0015494B">
        <w:t xml:space="preserve">the </w:t>
      </w:r>
      <w:r w:rsidRPr="00482EF6" w:rsidR="008C4F42">
        <w:t xml:space="preserve">United </w:t>
      </w:r>
      <w:r w:rsidRPr="00482EF6" w:rsidR="00A22B23">
        <w:t>p</w:t>
      </w:r>
      <w:r w:rsidRPr="00482EF6" w:rsidR="008C4F42">
        <w:t xml:space="preserve">olicy and </w:t>
      </w:r>
      <w:r w:rsidRPr="00482EF6" w:rsidR="00C64491">
        <w:t xml:space="preserve">by </w:t>
      </w:r>
      <w:r w:rsidRPr="00482EF6" w:rsidR="008C4F42">
        <w:t>the Endorsement</w:t>
      </w:r>
      <w:r w:rsidRPr="00482EF6" w:rsidR="00C64491">
        <w:t xml:space="preserve">, though the </w:t>
      </w:r>
      <w:r w:rsidRPr="00482EF6" w:rsidR="008F09EA">
        <w:t xml:space="preserve">obligations </w:t>
      </w:r>
      <w:r w:rsidR="00263230">
        <w:t xml:space="preserve">are described differently </w:t>
      </w:r>
      <w:r w:rsidRPr="00482EF6" w:rsidR="008F09EA">
        <w:t xml:space="preserve">in each document.  </w:t>
      </w:r>
    </w:p>
    <w:p w:rsidR="005560BF" w:rsidRPr="00482EF6" w:rsidP="00482EF6" w14:paraId="02C978A6" w14:textId="77777777">
      <w:pPr>
        <w:tabs>
          <w:tab w:val="left" w:pos="1440"/>
        </w:tabs>
        <w:ind w:firstLine="720"/>
      </w:pPr>
      <w:r w:rsidRPr="00482EF6">
        <w:t xml:space="preserve">In </w:t>
      </w:r>
      <w:r w:rsidRPr="00482EF6" w:rsidR="00A04287">
        <w:t xml:space="preserve">its </w:t>
      </w:r>
      <w:r w:rsidRPr="00482EF6" w:rsidR="00453D5B">
        <w:t>c</w:t>
      </w:r>
      <w:r w:rsidRPr="00482EF6">
        <w:t>ertificate</w:t>
      </w:r>
      <w:r w:rsidRPr="00482EF6" w:rsidR="00DC411A">
        <w:t>s</w:t>
      </w:r>
      <w:r w:rsidRPr="00482EF6" w:rsidR="00F70093">
        <w:t xml:space="preserve"> </w:t>
      </w:r>
      <w:r w:rsidRPr="00482EF6" w:rsidR="00A04287">
        <w:t xml:space="preserve">of </w:t>
      </w:r>
      <w:r w:rsidRPr="00482EF6" w:rsidR="00453D5B">
        <w:t>i</w:t>
      </w:r>
      <w:r w:rsidRPr="00482EF6" w:rsidR="00F70093">
        <w:t>nsurance,</w:t>
      </w:r>
      <w:r w:rsidRPr="00482EF6">
        <w:t xml:space="preserve"> United</w:t>
      </w:r>
      <w:r w:rsidRPr="00482EF6" w:rsidR="007D4A81">
        <w:t xml:space="preserve"> </w:t>
      </w:r>
      <w:r w:rsidR="00557430">
        <w:t>affirmed</w:t>
      </w:r>
      <w:r w:rsidRPr="00482EF6" w:rsidR="00557430">
        <w:t xml:space="preserve"> </w:t>
      </w:r>
      <w:r w:rsidRPr="00482EF6">
        <w:t xml:space="preserve">that Porras was covered by </w:t>
      </w:r>
      <w:r w:rsidR="00557430">
        <w:t>P</w:t>
      </w:r>
      <w:r w:rsidRPr="00482EF6">
        <w:t>olicy</w:t>
      </w:r>
      <w:r w:rsidR="00557430">
        <w:t xml:space="preserve"> 772</w:t>
      </w:r>
      <w:r w:rsidRPr="00482EF6">
        <w:t>, that the policy covered all vehicles for which Porras’s permit was required, and that a fully executed endorsement was attached to the policy</w:t>
      </w:r>
      <w:r w:rsidRPr="00482EF6" w:rsidR="007D4A81">
        <w:t xml:space="preserve">.  </w:t>
      </w:r>
      <w:r w:rsidRPr="00482EF6" w:rsidR="0076385B">
        <w:t xml:space="preserve">It also </w:t>
      </w:r>
      <w:r w:rsidRPr="00482EF6">
        <w:t xml:space="preserve">agreed the </w:t>
      </w:r>
      <w:r w:rsidRPr="00482EF6" w:rsidR="00DC411A">
        <w:t xml:space="preserve">certificate </w:t>
      </w:r>
      <w:r w:rsidRPr="00482EF6">
        <w:t xml:space="preserve">was not cancellable without 30 days’ written notice to the </w:t>
      </w:r>
      <w:r w:rsidR="003741CD">
        <w:t>Department</w:t>
      </w:r>
      <w:r w:rsidRPr="00482EF6">
        <w:t xml:space="preserve">.  </w:t>
      </w:r>
    </w:p>
    <w:p w:rsidR="00860892" w:rsidRPr="00482EF6" w:rsidP="00482EF6" w14:paraId="02C978A7" w14:textId="77777777">
      <w:pPr>
        <w:tabs>
          <w:tab w:val="left" w:pos="1440"/>
        </w:tabs>
        <w:ind w:firstLine="720"/>
      </w:pPr>
      <w:r w:rsidRPr="00482EF6">
        <w:t xml:space="preserve">The United policy promised that, if Porras </w:t>
      </w:r>
      <w:r w:rsidRPr="00482EF6" w:rsidR="00037943">
        <w:t>“</w:t>
      </w:r>
      <w:r w:rsidRPr="00482EF6">
        <w:t>pa</w:t>
      </w:r>
      <w:r w:rsidRPr="00482EF6" w:rsidR="00037943">
        <w:t>[</w:t>
      </w:r>
      <w:r w:rsidRPr="00482EF6">
        <w:t>id</w:t>
      </w:r>
      <w:r w:rsidRPr="00482EF6" w:rsidR="00037943">
        <w:t>]</w:t>
      </w:r>
      <w:r w:rsidRPr="00482EF6">
        <w:t xml:space="preserve"> the premium for liability coverage for the insured auto involved,” then United would pay damages</w:t>
      </w:r>
      <w:r w:rsidRPr="00482EF6" w:rsidR="008128D4">
        <w:t xml:space="preserve"> up </w:t>
      </w:r>
      <w:r w:rsidRPr="00482EF6">
        <w:t>to the policy limits</w:t>
      </w:r>
      <w:r w:rsidRPr="00482EF6" w:rsidR="008128D4">
        <w:t>.</w:t>
      </w:r>
      <w:r w:rsidRPr="00482EF6">
        <w:t xml:space="preserve">  The policy also provided that United would “settle or defend, at [its] option, any [covered] claim or lawsuit for damages.”  Thus, so long as Porras paid the required premium, the policy </w:t>
      </w:r>
      <w:r w:rsidRPr="00482EF6" w:rsidR="00A225B9">
        <w:t xml:space="preserve">required </w:t>
      </w:r>
      <w:r w:rsidRPr="00482EF6">
        <w:t xml:space="preserve">United </w:t>
      </w:r>
      <w:r w:rsidRPr="00482EF6" w:rsidR="00A225B9">
        <w:t xml:space="preserve">to </w:t>
      </w:r>
      <w:r w:rsidRPr="00482EF6">
        <w:t xml:space="preserve">(1) defend or settle any covered claim against Porras and (2) indemnify Porras for any damages, up to the limits of liability.  If Porras did not pay the required premium, however, the policy would “automatically terminate at the end of the current policy period.”  </w:t>
      </w:r>
    </w:p>
    <w:p w:rsidR="002F0085" w:rsidRPr="00482EF6" w:rsidP="00482EF6" w14:paraId="02C978A8" w14:textId="77777777">
      <w:pPr>
        <w:tabs>
          <w:tab w:val="left" w:pos="1440"/>
        </w:tabs>
        <w:ind w:firstLine="720"/>
      </w:pPr>
      <w:r w:rsidRPr="00482EF6">
        <w:t xml:space="preserve">The </w:t>
      </w:r>
      <w:r w:rsidRPr="00482EF6" w:rsidR="009C4E62">
        <w:t>E</w:t>
      </w:r>
      <w:r w:rsidRPr="00482EF6">
        <w:t>ndorsement also addressed United’s duties to defend and indemnify Porras</w:t>
      </w:r>
      <w:r w:rsidRPr="00482EF6" w:rsidR="007715B1">
        <w:t>, b</w:t>
      </w:r>
      <w:r w:rsidRPr="00482EF6">
        <w:t xml:space="preserve">ut </w:t>
      </w:r>
      <w:r w:rsidRPr="00482EF6" w:rsidR="00A225B9">
        <w:t xml:space="preserve">it altered some </w:t>
      </w:r>
      <w:r w:rsidRPr="00482EF6" w:rsidR="00C93C61">
        <w:t xml:space="preserve">of </w:t>
      </w:r>
      <w:r w:rsidRPr="00482EF6" w:rsidR="008A2230">
        <w:t>the obligations United and Porras owed to each other</w:t>
      </w:r>
      <w:r w:rsidRPr="00482EF6" w:rsidR="000463E1">
        <w:t xml:space="preserve"> </w:t>
      </w:r>
      <w:r w:rsidRPr="00482EF6" w:rsidR="007F7D1E">
        <w:t xml:space="preserve">under the terms of the </w:t>
      </w:r>
      <w:r w:rsidRPr="00482EF6" w:rsidR="00203B3C">
        <w:t xml:space="preserve">underlying </w:t>
      </w:r>
      <w:r w:rsidRPr="00482EF6" w:rsidR="007F7D1E">
        <w:t xml:space="preserve">policy.  </w:t>
      </w:r>
      <w:r w:rsidRPr="00482EF6">
        <w:t xml:space="preserve">In the </w:t>
      </w:r>
      <w:r w:rsidRPr="00482EF6" w:rsidR="003C6022">
        <w:t>E</w:t>
      </w:r>
      <w:r w:rsidRPr="00482EF6">
        <w:t>ndorsement, United promised to “pay, consistent with the minimum insurance coverage required by [section 34631.5], and consistent with the limits it provides herein, any legal liability of [Porras] for bodily injury, death, or property damage arising out of the operation, maintenance, or use of any vehicle(s) for which a motor carrier permit is required.”  United also promised that “[n]o provision, stipulation, or limitation contained in the attached policy or any endorsement [would] relieve [United] from obligations arising out of this Endorsement or the Act, regardless of</w:t>
      </w:r>
      <w:r w:rsidRPr="00482EF6" w:rsidR="0053313C">
        <w:t xml:space="preserve"> </w:t>
      </w:r>
      <w:r w:rsidRPr="00482EF6" w:rsidR="008128D4">
        <w:t>insured’s</w:t>
      </w:r>
      <w:r w:rsidRPr="00482EF6" w:rsidR="0053313C">
        <w:t xml:space="preserve"> </w:t>
      </w:r>
      <w:r w:rsidRPr="00482EF6">
        <w:t xml:space="preserve">financial solvency, indebtedness or bankruptcy.”   However, the </w:t>
      </w:r>
      <w:r w:rsidRPr="00482EF6" w:rsidR="003C6022">
        <w:t>E</w:t>
      </w:r>
      <w:r w:rsidRPr="00482EF6">
        <w:t>ndorsement’s “coverage” excluded any “costs of defense or other expense that the policy provide[d].”  And</w:t>
      </w:r>
      <w:r w:rsidRPr="00482EF6" w:rsidR="00F174DA">
        <w:t xml:space="preserve"> </w:t>
      </w:r>
      <w:r w:rsidRPr="00482EF6">
        <w:t xml:space="preserve">the </w:t>
      </w:r>
      <w:r w:rsidRPr="00482EF6" w:rsidR="003C6022">
        <w:t>E</w:t>
      </w:r>
      <w:r w:rsidRPr="00482EF6">
        <w:t>ndorsement specifically stated that it did “not prevent [United] from seeking reimbursement from [Porras] for any payment made by [United] solely on account of the [</w:t>
      </w:r>
      <w:r w:rsidRPr="00482EF6" w:rsidR="003C6022">
        <w:t>E</w:t>
      </w:r>
      <w:r w:rsidRPr="00482EF6">
        <w:t xml:space="preserve">ndorsement’s] provisions.”  Thus, the </w:t>
      </w:r>
      <w:r w:rsidRPr="00482EF6" w:rsidR="003C6022">
        <w:t>E</w:t>
      </w:r>
      <w:r w:rsidRPr="00482EF6">
        <w:t xml:space="preserve">ndorsement promised that United would pay Porras’s legal liability up to the </w:t>
      </w:r>
      <w:r w:rsidRPr="00482EF6" w:rsidR="001A36E0">
        <w:t>statutorily required</w:t>
      </w:r>
      <w:r w:rsidRPr="00482EF6">
        <w:t xml:space="preserve"> minimum amount</w:t>
      </w:r>
      <w:r w:rsidRPr="00482EF6" w:rsidR="00E43916">
        <w:t xml:space="preserve"> notwithstanding </w:t>
      </w:r>
      <w:r w:rsidRPr="00482EF6">
        <w:t>any provision or limitation in the policy.  But it also allowed United to seek reimbursement</w:t>
      </w:r>
      <w:r w:rsidRPr="00482EF6" w:rsidR="00FD38A6">
        <w:t xml:space="preserve"> </w:t>
      </w:r>
      <w:r w:rsidRPr="00482EF6">
        <w:t xml:space="preserve">from Porras for any payment United made </w:t>
      </w:r>
      <w:r w:rsidRPr="00482EF6">
        <w:rPr>
          <w:i/>
          <w:iCs/>
        </w:rPr>
        <w:t>solely</w:t>
      </w:r>
      <w:r w:rsidRPr="00482EF6">
        <w:t xml:space="preserve"> on account of its provisions</w:t>
      </w:r>
      <w:r w:rsidRPr="00482EF6" w:rsidR="00C33413">
        <w:t xml:space="preserve">, and </w:t>
      </w:r>
      <w:r w:rsidRPr="00482EF6" w:rsidR="00374473">
        <w:t xml:space="preserve">it </w:t>
      </w:r>
      <w:r w:rsidRPr="00482EF6">
        <w:t xml:space="preserve">specifically excluded the costs of Porras’s defense from its coverage.  </w:t>
      </w:r>
      <w:r w:rsidRPr="00482EF6" w:rsidR="00FF340F">
        <w:t xml:space="preserve">More importantly for our purposes, the Endorsement was an amendment to the United </w:t>
      </w:r>
      <w:r w:rsidRPr="00482EF6" w:rsidR="00A22B23">
        <w:t>p</w:t>
      </w:r>
      <w:r w:rsidRPr="00482EF6" w:rsidR="00FF340F">
        <w:t xml:space="preserve">olicy.  </w:t>
      </w:r>
      <w:r w:rsidRPr="00482EF6" w:rsidR="00E422C9">
        <w:t>Unlike the HCA and the endorsement applying General Order No. 100</w:t>
      </w:r>
      <w:r w:rsidRPr="00482EF6" w:rsidR="000958DB">
        <w:t xml:space="preserve"> in </w:t>
      </w:r>
      <w:r w:rsidRPr="00482EF6" w:rsidR="000958DB">
        <w:rPr>
          <w:i/>
          <w:iCs/>
        </w:rPr>
        <w:t>Transamerica</w:t>
      </w:r>
      <w:r w:rsidRPr="00482EF6" w:rsidR="00E422C9">
        <w:t xml:space="preserve">, nothing in the Act or the Endorsement provides that the </w:t>
      </w:r>
      <w:r w:rsidRPr="00482EF6" w:rsidR="00E422C9">
        <w:rPr>
          <w:i/>
          <w:iCs/>
        </w:rPr>
        <w:t>policy</w:t>
      </w:r>
      <w:r w:rsidRPr="00482EF6" w:rsidR="00E422C9">
        <w:t xml:space="preserve"> </w:t>
      </w:r>
      <w:r w:rsidRPr="00482EF6" w:rsidR="00EE51FA">
        <w:t xml:space="preserve">must </w:t>
      </w:r>
      <w:r w:rsidRPr="00482EF6" w:rsidR="00E422C9">
        <w:t>remain</w:t>
      </w:r>
      <w:r w:rsidRPr="00482EF6" w:rsidR="00EE51FA">
        <w:t xml:space="preserve"> </w:t>
      </w:r>
      <w:r w:rsidRPr="00482EF6" w:rsidR="00C04737">
        <w:t xml:space="preserve">effective until </w:t>
      </w:r>
      <w:r w:rsidRPr="00482EF6" w:rsidR="009C1815">
        <w:t>cancellation of the certificate of insurance</w:t>
      </w:r>
      <w:r w:rsidRPr="00482EF6" w:rsidR="00C04737">
        <w:t xml:space="preserve">.  </w:t>
      </w:r>
    </w:p>
    <w:p w:rsidR="00B07DF3" w:rsidP="00482EF6" w14:paraId="02C978A9" w14:textId="77777777">
      <w:pPr>
        <w:tabs>
          <w:tab w:val="left" w:pos="1440"/>
        </w:tabs>
        <w:ind w:firstLine="720"/>
      </w:pPr>
      <w:r w:rsidRPr="00482EF6">
        <w:t xml:space="preserve">We emphasize </w:t>
      </w:r>
      <w:r w:rsidR="00981398">
        <w:t xml:space="preserve">that </w:t>
      </w:r>
      <w:r w:rsidRPr="00482EF6">
        <w:t xml:space="preserve">the question </w:t>
      </w:r>
      <w:r w:rsidRPr="00482EF6" w:rsidR="004018EF">
        <w:t xml:space="preserve">before </w:t>
      </w:r>
      <w:r w:rsidRPr="00482EF6">
        <w:t>us</w:t>
      </w:r>
      <w:r w:rsidR="00981398">
        <w:t xml:space="preserve"> is a narrow one</w:t>
      </w:r>
      <w:r w:rsidRPr="00482EF6">
        <w:t xml:space="preserve">.  </w:t>
      </w:r>
      <w:r w:rsidR="00CC6407">
        <w:t xml:space="preserve">We hold </w:t>
      </w:r>
      <w:r w:rsidRPr="00482EF6" w:rsidR="007C6D98">
        <w:t>that an uncancelled certificate of insurance</w:t>
      </w:r>
      <w:r w:rsidRPr="00482EF6" w:rsidR="004018EF">
        <w:t xml:space="preserve"> </w:t>
      </w:r>
      <w:r w:rsidRPr="00482EF6" w:rsidR="00D01C72">
        <w:t xml:space="preserve">that </w:t>
      </w:r>
      <w:r w:rsidRPr="00482EF6" w:rsidR="007C6D98">
        <w:t>remain</w:t>
      </w:r>
      <w:r w:rsidRPr="00482EF6" w:rsidR="00D01C72">
        <w:t xml:space="preserve">s </w:t>
      </w:r>
      <w:r w:rsidRPr="00482EF6" w:rsidR="007C6D98">
        <w:t>on file with the DMV</w:t>
      </w:r>
      <w:r w:rsidRPr="00482EF6" w:rsidR="004018EF">
        <w:t xml:space="preserve"> </w:t>
      </w:r>
      <w:r w:rsidRPr="00482EF6" w:rsidR="007C6D98">
        <w:t xml:space="preserve">does not cause the </w:t>
      </w:r>
      <w:r w:rsidRPr="00482EF6" w:rsidR="007F3EF1">
        <w:t>corresponding insurance policy to remain in effect in perpetuity.  But that is not to say that an uncancelled certificate of insurance imposes no obligation</w:t>
      </w:r>
      <w:r w:rsidRPr="00482EF6" w:rsidR="00B84DA7">
        <w:t xml:space="preserve"> </w:t>
      </w:r>
      <w:r w:rsidR="00CC6407">
        <w:t xml:space="preserve">of any kind </w:t>
      </w:r>
      <w:r w:rsidRPr="00482EF6" w:rsidR="007F3EF1">
        <w:t>on the responsible insurer.</w:t>
      </w:r>
      <w:r w:rsidRPr="00482EF6" w:rsidR="00611AD8">
        <w:t xml:space="preserve">  The statutory scheme suggests otherwise.  </w:t>
      </w:r>
      <w:r w:rsidR="005A59A8">
        <w:t xml:space="preserve">For example, section </w:t>
      </w:r>
      <w:r w:rsidRPr="00482EF6" w:rsidR="003E1F4D">
        <w:t>3463</w:t>
      </w:r>
      <w:r w:rsidRPr="00482EF6" w:rsidR="004E2C43">
        <w:t>1.5, subd</w:t>
      </w:r>
      <w:r w:rsidR="005A59A8">
        <w:t xml:space="preserve">ivision </w:t>
      </w:r>
      <w:r w:rsidRPr="00482EF6" w:rsidR="004E2C43">
        <w:t>(d)</w:t>
      </w:r>
      <w:r w:rsidR="00E5643A">
        <w:t xml:space="preserve"> provides that </w:t>
      </w:r>
      <w:r w:rsidRPr="00482EF6" w:rsidR="006B7CE1">
        <w:t>“[e]</w:t>
      </w:r>
      <w:r w:rsidRPr="00482EF6" w:rsidR="004E2C43">
        <w:t xml:space="preserve">very insurance certificate or equivalent </w:t>
      </w:r>
      <w:r w:rsidRPr="003E251A" w:rsidR="004E2C43">
        <w:t>protection to the public</w:t>
      </w:r>
      <w:r w:rsidRPr="00482EF6" w:rsidR="004E2C43">
        <w:t xml:space="preserve"> shall contain a provision that the certificate or equivalent protection shall remain in full force and effect until canceled</w:t>
      </w:r>
      <w:r w:rsidR="00E5643A">
        <w:t>.”</w:t>
      </w:r>
      <w:r w:rsidR="008E41CF">
        <w:t xml:space="preserve">  </w:t>
      </w:r>
      <w:r>
        <w:t xml:space="preserve">Further, under the Act, an insurer remains obligated to promptly notify the </w:t>
      </w:r>
      <w:r w:rsidR="00046294">
        <w:t xml:space="preserve">DMV at least 30 days before a certificate of insurance is cancelled.  </w:t>
      </w:r>
      <w:r w:rsidR="000448F9">
        <w:t xml:space="preserve">This obligation is an important part of the statutory scheme, alerting the DMV of the need to suspend a motor carrier’s permit </w:t>
      </w:r>
      <w:r w:rsidR="00204C33">
        <w:t xml:space="preserve">until new insurance coverage is acquired.  </w:t>
      </w:r>
    </w:p>
    <w:p w:rsidR="000958DB" w:rsidRPr="00482EF6" w:rsidP="00E731B4" w14:paraId="02C978AA" w14:textId="77777777">
      <w:pPr>
        <w:tabs>
          <w:tab w:val="left" w:pos="1440"/>
        </w:tabs>
        <w:ind w:firstLine="720"/>
      </w:pPr>
      <w:r>
        <w:t>United has suggested</w:t>
      </w:r>
      <w:r w:rsidR="0003087F">
        <w:t xml:space="preserve"> in the federal litigation, and before this court, </w:t>
      </w:r>
      <w:r w:rsidRPr="00482EF6" w:rsidR="009C1D07">
        <w:t xml:space="preserve">that an </w:t>
      </w:r>
      <w:r w:rsidRPr="00482EF6" w:rsidR="007F3EF1">
        <w:t xml:space="preserve">uncancelled certificate </w:t>
      </w:r>
      <w:r w:rsidR="0003087F">
        <w:t xml:space="preserve">of insurance </w:t>
      </w:r>
      <w:r w:rsidR="00180EDA">
        <w:t xml:space="preserve">could </w:t>
      </w:r>
      <w:r w:rsidRPr="00482EF6" w:rsidR="00DA157C">
        <w:t>impose</w:t>
      </w:r>
      <w:r w:rsidR="00180EDA">
        <w:t xml:space="preserve"> </w:t>
      </w:r>
      <w:r w:rsidRPr="00482EF6" w:rsidR="00DA157C">
        <w:t>on the insurer something akin to a surety obligation</w:t>
      </w:r>
      <w:r w:rsidR="00180EDA">
        <w:t xml:space="preserve"> to members of the public</w:t>
      </w:r>
      <w:r w:rsidRPr="00482EF6" w:rsidR="00BE7B98">
        <w:t xml:space="preserve">.  </w:t>
      </w:r>
      <w:r w:rsidRPr="00482EF6" w:rsidR="006618B6">
        <w:t>The Ninth Circuit has not asked us to</w:t>
      </w:r>
      <w:r w:rsidRPr="00482EF6" w:rsidR="00730E0A">
        <w:t xml:space="preserve">, </w:t>
      </w:r>
      <w:r w:rsidRPr="00482EF6" w:rsidR="006618B6">
        <w:t xml:space="preserve">and </w:t>
      </w:r>
      <w:r w:rsidRPr="00482EF6" w:rsidR="00E0722F">
        <w:t xml:space="preserve">we </w:t>
      </w:r>
      <w:r w:rsidRPr="00482EF6" w:rsidR="00314F5B">
        <w:t xml:space="preserve">need </w:t>
      </w:r>
      <w:r w:rsidRPr="00482EF6" w:rsidR="00281D10">
        <w:t>not</w:t>
      </w:r>
      <w:r w:rsidRPr="00482EF6" w:rsidR="00730E0A">
        <w:t xml:space="preserve">, resolve </w:t>
      </w:r>
      <w:r w:rsidRPr="00482EF6" w:rsidR="001B07E7">
        <w:t xml:space="preserve">whether </w:t>
      </w:r>
      <w:r w:rsidR="00150E05">
        <w:t xml:space="preserve">such an </w:t>
      </w:r>
      <w:r w:rsidRPr="00482EF6" w:rsidR="00314F5B">
        <w:t>obligation</w:t>
      </w:r>
      <w:r w:rsidR="00150E05">
        <w:t xml:space="preserve"> is created </w:t>
      </w:r>
      <w:r w:rsidR="002805A9">
        <w:t>and the scope of any such obligation</w:t>
      </w:r>
      <w:r w:rsidRPr="00482EF6" w:rsidR="006E5388">
        <w:t>.</w:t>
      </w:r>
      <w:r w:rsidRPr="00482EF6" w:rsidR="006618B6">
        <w:t xml:space="preserve">  </w:t>
      </w:r>
      <w:r w:rsidRPr="00482EF6" w:rsidR="00E04DBD">
        <w:t xml:space="preserve">We express no opinion on </w:t>
      </w:r>
      <w:r w:rsidR="002805A9">
        <w:t>those questions</w:t>
      </w:r>
      <w:r w:rsidRPr="00482EF6" w:rsidR="00E04DBD">
        <w:t xml:space="preserve">.  </w:t>
      </w:r>
      <w:r w:rsidRPr="00482EF6" w:rsidR="004018EF">
        <w:t xml:space="preserve">The </w:t>
      </w:r>
      <w:r w:rsidR="0047151C">
        <w:t xml:space="preserve">character, </w:t>
      </w:r>
      <w:r w:rsidRPr="00482EF6" w:rsidR="004018EF">
        <w:t>nature</w:t>
      </w:r>
      <w:r w:rsidR="0047151C">
        <w:t xml:space="preserve">, </w:t>
      </w:r>
      <w:r w:rsidRPr="00482EF6" w:rsidR="004018EF">
        <w:t xml:space="preserve">and extent of </w:t>
      </w:r>
      <w:r w:rsidR="00B40D38">
        <w:t>the</w:t>
      </w:r>
      <w:r w:rsidRPr="00482EF6" w:rsidR="00B40D38">
        <w:t xml:space="preserve"> </w:t>
      </w:r>
      <w:r w:rsidRPr="00482EF6" w:rsidR="004018EF">
        <w:t>obligation</w:t>
      </w:r>
      <w:r w:rsidRPr="00482EF6" w:rsidR="009C3B4F">
        <w:t>s</w:t>
      </w:r>
      <w:r w:rsidRPr="00482EF6" w:rsidR="004018EF">
        <w:t xml:space="preserve"> owed by a company that does not properly cancel a certificate of insurance are matters that can be clarified by further litigation and/or legislative action.  </w:t>
      </w:r>
    </w:p>
    <w:p w:rsidR="004D6DBD" w:rsidRPr="00482EF6" w:rsidP="00482EF6" w14:paraId="02C978AB" w14:textId="77777777">
      <w:pPr>
        <w:pStyle w:val="ListParagraph"/>
        <w:keepNext/>
        <w:numPr>
          <w:ilvl w:val="0"/>
          <w:numId w:val="6"/>
        </w:numPr>
        <w:tabs>
          <w:tab w:val="left" w:pos="1440"/>
        </w:tabs>
        <w:rPr>
          <w:i/>
          <w:iCs/>
        </w:rPr>
      </w:pPr>
      <w:r w:rsidRPr="00482EF6">
        <w:rPr>
          <w:i/>
          <w:iCs/>
        </w:rPr>
        <w:t xml:space="preserve">Allied’s </w:t>
      </w:r>
      <w:r w:rsidRPr="00482EF6" w:rsidR="00EF7A2B">
        <w:rPr>
          <w:i/>
          <w:iCs/>
        </w:rPr>
        <w:t>Countera</w:t>
      </w:r>
      <w:r w:rsidRPr="00482EF6">
        <w:rPr>
          <w:i/>
          <w:iCs/>
        </w:rPr>
        <w:t>rguments</w:t>
      </w:r>
      <w:r w:rsidRPr="00482EF6" w:rsidR="00EF7A2B">
        <w:rPr>
          <w:i/>
          <w:iCs/>
        </w:rPr>
        <w:t xml:space="preserve"> Fail</w:t>
      </w:r>
    </w:p>
    <w:p w:rsidR="005560BF" w:rsidRPr="00482EF6" w:rsidP="00482EF6" w14:paraId="02C978AC" w14:textId="77777777">
      <w:pPr>
        <w:tabs>
          <w:tab w:val="left" w:pos="1440"/>
        </w:tabs>
        <w:ind w:firstLine="720"/>
      </w:pPr>
      <w:r w:rsidRPr="00482EF6">
        <w:t xml:space="preserve">In Allied’s view, the coverage provided by an insurance policy </w:t>
      </w:r>
      <w:r w:rsidRPr="00482EF6" w:rsidR="001607EE">
        <w:t xml:space="preserve">subject to </w:t>
      </w:r>
      <w:r w:rsidRPr="00482EF6">
        <w:t xml:space="preserve">the Act cannot lapse or be canceled until the insurer </w:t>
      </w:r>
      <w:r w:rsidR="00F03EA1">
        <w:t xml:space="preserve">files </w:t>
      </w:r>
      <w:r w:rsidR="00F3302D">
        <w:t xml:space="preserve">a </w:t>
      </w:r>
      <w:r w:rsidR="00897443">
        <w:t xml:space="preserve">cancellation notice </w:t>
      </w:r>
      <w:r w:rsidR="00F3302D">
        <w:t>with the DMV</w:t>
      </w:r>
      <w:r w:rsidRPr="00482EF6">
        <w:t xml:space="preserve">.  Indeed, </w:t>
      </w:r>
      <w:r w:rsidRPr="00482EF6" w:rsidR="001607EE">
        <w:t xml:space="preserve">Allied’s </w:t>
      </w:r>
      <w:r w:rsidRPr="00482EF6">
        <w:t xml:space="preserve">primary argument is that the insurance policy, the endorsement, and the certificate of insurance are all inseparable parts of a single whole, </w:t>
      </w:r>
      <w:r w:rsidR="00F3302D">
        <w:t xml:space="preserve">none </w:t>
      </w:r>
      <w:r w:rsidRPr="00482EF6">
        <w:t xml:space="preserve">of </w:t>
      </w:r>
      <w:r w:rsidR="00F3302D">
        <w:t xml:space="preserve">which </w:t>
      </w:r>
      <w:r w:rsidRPr="00482EF6">
        <w:t xml:space="preserve">can exist or be canceled without </w:t>
      </w:r>
      <w:r w:rsidR="007C0F95">
        <w:t xml:space="preserve">an effect on </w:t>
      </w:r>
      <w:r w:rsidRPr="00482EF6">
        <w:t xml:space="preserve">the others.  </w:t>
      </w:r>
    </w:p>
    <w:p w:rsidR="00865F37" w:rsidRPr="00482EF6" w:rsidP="00482EF6" w14:paraId="02C978AD" w14:textId="77777777">
      <w:pPr>
        <w:tabs>
          <w:tab w:val="left" w:pos="1440"/>
        </w:tabs>
        <w:ind w:firstLine="720"/>
      </w:pPr>
      <w:r w:rsidRPr="00482EF6">
        <w:t>In support of this position, Allied points to section 34630, subdivision (a), which refers to “the policy represented by the certificate</w:t>
      </w:r>
      <w:r w:rsidR="00FD38A6">
        <w:t>,</w:t>
      </w:r>
      <w:r w:rsidRPr="00482EF6">
        <w:t>” and section 34631.5, subdivision (b)(1), which refers to the certificate of insurance as “evidence[]” of the “protection required” by the Act.  Allied contends that, because the certificate is evidence of</w:t>
      </w:r>
      <w:r w:rsidRPr="00482EF6" w:rsidR="00B82E54">
        <w:t xml:space="preserve"> </w:t>
      </w:r>
      <w:r w:rsidRPr="00482EF6">
        <w:t xml:space="preserve">and “represents the policy,” it “cannot exist without an underlying policy.”  </w:t>
      </w:r>
      <w:r w:rsidRPr="00482EF6" w:rsidR="005478EC">
        <w:t xml:space="preserve">Allied argues that </w:t>
      </w:r>
      <w:r w:rsidRPr="00482EF6" w:rsidR="008128D4">
        <w:t>“</w:t>
      </w:r>
      <w:r w:rsidRPr="00482EF6" w:rsidR="005478EC">
        <w:t>e</w:t>
      </w:r>
      <w:r w:rsidRPr="00482EF6">
        <w:t xml:space="preserve">ven if the policy </w:t>
      </w:r>
      <w:r w:rsidRPr="00482EF6" w:rsidR="00C67C22">
        <w:t xml:space="preserve">. . . </w:t>
      </w:r>
      <w:r w:rsidRPr="00482EF6">
        <w:t>is set to expire on a certain date, the [certificate] and the policy it represents will remain in effect until 30 days after written notice is given to the DMV</w:t>
      </w:r>
      <w:r w:rsidRPr="00482EF6" w:rsidR="008128D4">
        <w:t>.</w:t>
      </w:r>
      <w:r w:rsidRPr="00482EF6">
        <w:t>”</w:t>
      </w:r>
      <w:r w:rsidRPr="00482EF6" w:rsidR="008128D4">
        <w:t xml:space="preserve">  </w:t>
      </w:r>
    </w:p>
    <w:p w:rsidR="00857BC7" w:rsidRPr="00482EF6" w:rsidP="00624BD5" w14:paraId="02C978AE" w14:textId="77777777">
      <w:pPr>
        <w:tabs>
          <w:tab w:val="left" w:pos="1440"/>
        </w:tabs>
        <w:ind w:firstLine="720"/>
      </w:pPr>
      <w:r w:rsidRPr="00482EF6">
        <w:t xml:space="preserve">Allied also relies on language </w:t>
      </w:r>
      <w:r w:rsidRPr="00482EF6" w:rsidR="008C28D4">
        <w:t xml:space="preserve">in </w:t>
      </w:r>
      <w:r w:rsidRPr="00482EF6">
        <w:t xml:space="preserve">the </w:t>
      </w:r>
      <w:r w:rsidRPr="00482EF6" w:rsidR="00905A8D">
        <w:t>c</w:t>
      </w:r>
      <w:r w:rsidRPr="00482EF6">
        <w:t xml:space="preserve">ertificate of </w:t>
      </w:r>
      <w:r w:rsidRPr="00482EF6" w:rsidR="00905A8D">
        <w:t>i</w:t>
      </w:r>
      <w:r w:rsidRPr="00482EF6">
        <w:t>nsurance, in which United certified</w:t>
      </w:r>
      <w:r w:rsidRPr="00482EF6" w:rsidR="008C28D4">
        <w:t xml:space="preserve"> </w:t>
      </w:r>
      <w:r w:rsidRPr="00482EF6">
        <w:t>under penalty of perjury</w:t>
      </w:r>
      <w:r w:rsidRPr="00482EF6" w:rsidR="008C28D4">
        <w:t xml:space="preserve"> </w:t>
      </w:r>
      <w:r w:rsidRPr="00482EF6">
        <w:t>that Porras “is covered” by the United policy.  Allied</w:t>
      </w:r>
      <w:r w:rsidRPr="00482EF6" w:rsidR="008C28D4">
        <w:t xml:space="preserve"> urges </w:t>
      </w:r>
      <w:r w:rsidRPr="00482EF6">
        <w:t xml:space="preserve">the use of the verb “is” </w:t>
      </w:r>
      <w:r w:rsidRPr="00482EF6" w:rsidR="008E090F">
        <w:t xml:space="preserve">means </w:t>
      </w:r>
      <w:r w:rsidRPr="00482EF6">
        <w:t xml:space="preserve">that the policy </w:t>
      </w:r>
      <w:r w:rsidRPr="00482EF6" w:rsidR="008E090F">
        <w:rPr>
          <w:i/>
          <w:iCs/>
        </w:rPr>
        <w:t>must</w:t>
      </w:r>
      <w:r w:rsidRPr="00482EF6" w:rsidR="008E090F">
        <w:t xml:space="preserve"> </w:t>
      </w:r>
      <w:r w:rsidRPr="00482EF6">
        <w:t xml:space="preserve">remain active until the certificate is canceled.  </w:t>
      </w:r>
      <w:r w:rsidR="00A043D3">
        <w:t xml:space="preserve">According to Allied, if </w:t>
      </w:r>
      <w:r w:rsidRPr="00482EF6" w:rsidR="008E090F">
        <w:t xml:space="preserve">a </w:t>
      </w:r>
      <w:r w:rsidRPr="00482EF6">
        <w:t xml:space="preserve">policy </w:t>
      </w:r>
      <w:r w:rsidRPr="00482EF6" w:rsidR="008E090F">
        <w:t xml:space="preserve">can </w:t>
      </w:r>
      <w:r w:rsidRPr="00482EF6">
        <w:t xml:space="preserve">be canceled while the </w:t>
      </w:r>
      <w:r w:rsidRPr="00482EF6" w:rsidR="008C28D4">
        <w:t xml:space="preserve">corresponding </w:t>
      </w:r>
      <w:r w:rsidRPr="00482EF6">
        <w:t>certificate remain</w:t>
      </w:r>
      <w:r w:rsidRPr="00482EF6" w:rsidR="001C7DA1">
        <w:t>s</w:t>
      </w:r>
      <w:r w:rsidRPr="00482EF6">
        <w:t xml:space="preserve"> active, </w:t>
      </w:r>
      <w:r w:rsidR="00A043D3">
        <w:t xml:space="preserve">then </w:t>
      </w:r>
      <w:r w:rsidRPr="00482EF6">
        <w:t xml:space="preserve">the insurer would be subject to penalties for perjury.  Allied </w:t>
      </w:r>
      <w:r w:rsidRPr="00482EF6" w:rsidR="0024099E">
        <w:t xml:space="preserve">argues the certificate </w:t>
      </w:r>
      <w:r w:rsidRPr="00482EF6">
        <w:t xml:space="preserve">would become </w:t>
      </w:r>
      <w:r w:rsidRPr="00482EF6" w:rsidR="00AB673F">
        <w:t>“</w:t>
      </w:r>
      <w:r w:rsidRPr="00482EF6">
        <w:t>a hollow document” that “would certify a falsehood</w:t>
      </w:r>
      <w:r w:rsidR="001C2CF5">
        <w:t> </w:t>
      </w:r>
      <w:r w:rsidRPr="00482EF6" w:rsidR="001C7DA1">
        <w:t xml:space="preserve">— </w:t>
      </w:r>
      <w:r w:rsidRPr="00482EF6">
        <w:t xml:space="preserve">i.e. that there is insurance available.”  </w:t>
      </w:r>
      <w:r w:rsidR="00E14F8B">
        <w:t xml:space="preserve">To support its </w:t>
      </w:r>
      <w:r w:rsidR="00DD7793">
        <w:t xml:space="preserve">position </w:t>
      </w:r>
      <w:r w:rsidR="007F57DD">
        <w:t xml:space="preserve">that </w:t>
      </w:r>
      <w:r w:rsidR="00DD7793">
        <w:t xml:space="preserve">the </w:t>
      </w:r>
      <w:r w:rsidR="00B27322">
        <w:t>policy and th</w:t>
      </w:r>
      <w:r w:rsidR="00413066">
        <w:t>e</w:t>
      </w:r>
      <w:r w:rsidR="00B27322">
        <w:t xml:space="preserve"> </w:t>
      </w:r>
      <w:r w:rsidR="00DD7793">
        <w:t xml:space="preserve">endorsement </w:t>
      </w:r>
      <w:r w:rsidR="00B27322">
        <w:t xml:space="preserve">are </w:t>
      </w:r>
      <w:r w:rsidR="000D7E9B">
        <w:t>in</w:t>
      </w:r>
      <w:r w:rsidR="00DD7793">
        <w:t xml:space="preserve">separable, </w:t>
      </w:r>
      <w:r w:rsidRPr="00482EF6" w:rsidR="007A1321">
        <w:t xml:space="preserve">Allied relies on language in the </w:t>
      </w:r>
      <w:r w:rsidRPr="00482EF6" w:rsidR="006B3A8F">
        <w:t>E</w:t>
      </w:r>
      <w:r w:rsidRPr="00482EF6" w:rsidR="007A1321">
        <w:t>ndorsement</w:t>
      </w:r>
      <w:r w:rsidR="007F57DD">
        <w:t xml:space="preserve"> </w:t>
      </w:r>
      <w:r w:rsidRPr="00482EF6" w:rsidR="007A1321">
        <w:t xml:space="preserve">providing that it is “attached to and made a part of” the United </w:t>
      </w:r>
      <w:r w:rsidRPr="00482EF6" w:rsidR="00A22B23">
        <w:t>p</w:t>
      </w:r>
      <w:r w:rsidRPr="00482EF6" w:rsidR="007A1321">
        <w:t xml:space="preserve">olicy.  Finally, Allied points to the </w:t>
      </w:r>
      <w:r w:rsidR="00475F36">
        <w:t>cancellation notice</w:t>
      </w:r>
      <w:r w:rsidRPr="00482EF6" w:rsidR="007A1321">
        <w:t xml:space="preserve">, </w:t>
      </w:r>
      <w:r w:rsidR="00624BD5">
        <w:t xml:space="preserve">urging </w:t>
      </w:r>
      <w:r w:rsidRPr="00482EF6" w:rsidR="007A1321">
        <w:t>that it provides notice of cancellation of all three documents:  policy; certificate; and endorsement.  Allied argues there is “no separate mechanism for canceling only one or two of the three</w:t>
      </w:r>
      <w:r w:rsidRPr="00482EF6" w:rsidR="00AB673F">
        <w:t xml:space="preserve"> </w:t>
      </w:r>
      <w:r w:rsidRPr="00482EF6" w:rsidR="007A1321">
        <w:t>.</w:t>
      </w:r>
      <w:r w:rsidRPr="00482EF6" w:rsidR="00AB673F">
        <w:t> . . .</w:t>
      </w:r>
      <w:r w:rsidRPr="00482EF6" w:rsidR="007A1321">
        <w:t xml:space="preserve">  [E]ither all are active or all are canceled.”  </w:t>
      </w:r>
    </w:p>
    <w:p w:rsidR="00C14365" w:rsidRPr="00482EF6" w:rsidP="00482EF6" w14:paraId="02C978AF" w14:textId="77777777">
      <w:pPr>
        <w:tabs>
          <w:tab w:val="left" w:pos="1440"/>
        </w:tabs>
        <w:ind w:firstLine="720"/>
      </w:pPr>
      <w:r w:rsidRPr="00482EF6">
        <w:t>There is</w:t>
      </w:r>
      <w:r w:rsidRPr="00482EF6" w:rsidR="00B361C0">
        <w:t xml:space="preserve">, of course, </w:t>
      </w:r>
      <w:r w:rsidRPr="00482EF6">
        <w:t>a linkage between an insurance policy subject to the Act, the certificate of insurance</w:t>
      </w:r>
      <w:r w:rsidRPr="00482EF6" w:rsidR="002167F5">
        <w:t xml:space="preserve"> required by the Act</w:t>
      </w:r>
      <w:r w:rsidRPr="00482EF6">
        <w:t xml:space="preserve">, and the endorsement required by </w:t>
      </w:r>
      <w:r w:rsidRPr="00482EF6" w:rsidR="00D16ACC">
        <w:t xml:space="preserve">the </w:t>
      </w:r>
      <w:r w:rsidRPr="00482EF6">
        <w:t>DMV</w:t>
      </w:r>
      <w:r w:rsidRPr="00482EF6" w:rsidR="001F793C">
        <w:t>’s</w:t>
      </w:r>
      <w:r w:rsidRPr="00482EF6">
        <w:t xml:space="preserve"> regulations.</w:t>
      </w:r>
      <w:r w:rsidRPr="00482EF6" w:rsidR="002167F5">
        <w:t xml:space="preserve">  </w:t>
      </w:r>
      <w:r w:rsidRPr="00482EF6">
        <w:t xml:space="preserve">But the documents are not one and the same.  Rather, each serves its own function within the regulatory framework.  As explained, </w:t>
      </w:r>
      <w:r w:rsidRPr="00482EF6" w:rsidR="002167F5">
        <w:t xml:space="preserve">an </w:t>
      </w:r>
      <w:r w:rsidRPr="00482EF6">
        <w:t xml:space="preserve">insurance policy is an agreement between an insurer and its insured.  If a </w:t>
      </w:r>
      <w:r w:rsidR="006D250C">
        <w:t xml:space="preserve">motor </w:t>
      </w:r>
      <w:r w:rsidRPr="00482EF6">
        <w:t xml:space="preserve">carrier complies with the Act by obtaining insurance, the certificate is evidence </w:t>
      </w:r>
      <w:r w:rsidR="00DF1109">
        <w:t xml:space="preserve">tendered to the DMV </w:t>
      </w:r>
      <w:r w:rsidRPr="00482EF6">
        <w:t xml:space="preserve">that the insurer agrees to be bound by the terms of the endorsement and therefore </w:t>
      </w:r>
      <w:r w:rsidR="00DF1109">
        <w:t xml:space="preserve">provides </w:t>
      </w:r>
      <w:r w:rsidRPr="00482EF6">
        <w:t>sufficient protection to satisfy the Act’s financial responsibility requirements.  The certificate thus demonstrates the carrier’s financial responsibility</w:t>
      </w:r>
      <w:r w:rsidR="00455635">
        <w:t xml:space="preserve"> </w:t>
      </w:r>
      <w:r w:rsidR="00A46B67">
        <w:t>by virtue of its contract</w:t>
      </w:r>
      <w:r w:rsidR="00CB4260">
        <w:t xml:space="preserve">ual </w:t>
      </w:r>
      <w:r w:rsidR="003A0159">
        <w:t xml:space="preserve">arrangement </w:t>
      </w:r>
      <w:r w:rsidR="00CB4260">
        <w:t>with the insurer</w:t>
      </w:r>
      <w:r w:rsidRPr="00482EF6">
        <w:t xml:space="preserve">.  It is the document that supports issuance of the </w:t>
      </w:r>
      <w:r w:rsidR="00DE5074">
        <w:t xml:space="preserve">carrier’s </w:t>
      </w:r>
      <w:r w:rsidRPr="00482EF6">
        <w:t>permit, and its cancellation triggers the Department’s duty to suspend</w:t>
      </w:r>
      <w:r w:rsidR="00DE5074">
        <w:t xml:space="preserve"> that permit</w:t>
      </w:r>
      <w:r w:rsidRPr="00482EF6">
        <w:t xml:space="preserve">.  The certificate, however, does not govern the obligations between the parties.  The endorsement, meanwhile, serves to ensure that the policy complies with the Act’s financial responsibility requirements and amends the policy to the extent of the endorsement’s terms.  </w:t>
      </w:r>
    </w:p>
    <w:p w:rsidR="00C14365" w:rsidRPr="00482EF6" w:rsidP="00482EF6" w14:paraId="02C978B0" w14:textId="77777777">
      <w:pPr>
        <w:tabs>
          <w:tab w:val="left" w:pos="1440"/>
        </w:tabs>
        <w:ind w:firstLine="720"/>
      </w:pPr>
      <w:r w:rsidRPr="00482EF6">
        <w:t>Allied’s argument</w:t>
      </w:r>
      <w:r w:rsidR="001F7B56">
        <w:t>,</w:t>
      </w:r>
      <w:r w:rsidRPr="00482EF6">
        <w:t xml:space="preserve"> that an insurer might be subject to a perjury charge for failing to cancel a certificate of insurance when a policy expires</w:t>
      </w:r>
      <w:r w:rsidR="001F7B56">
        <w:t xml:space="preserve">, </w:t>
      </w:r>
      <w:r w:rsidRPr="00482EF6">
        <w:t xml:space="preserve">raises an interesting potentiality, but it does not establish that the certificate, the policy, and the endorsement are inseparable or cannot exist without one another.  </w:t>
      </w:r>
      <w:r w:rsidR="00EE1BC3">
        <w:t xml:space="preserve">Indeed, the </w:t>
      </w:r>
      <w:r w:rsidRPr="00482EF6">
        <w:t>premise</w:t>
      </w:r>
      <w:r w:rsidR="001A0B01">
        <w:t xml:space="preserve"> that the three documents are </w:t>
      </w:r>
      <w:r w:rsidR="001C1AD9">
        <w:t xml:space="preserve">indivisible </w:t>
      </w:r>
      <w:r w:rsidR="001A0B01">
        <w:t xml:space="preserve">is flawed.  </w:t>
      </w:r>
      <w:r w:rsidR="001C1AD9">
        <w:t>On the contrary</w:t>
      </w:r>
      <w:r w:rsidR="001A0B01">
        <w:t xml:space="preserve">, a </w:t>
      </w:r>
      <w:r w:rsidRPr="00482EF6">
        <w:t xml:space="preserve">carrier can contract for coverage with an insurer, and that coverage can become legally binding on the parties without any endorsement and before any certificate is filed.  The fact a certificate </w:t>
      </w:r>
      <w:r w:rsidRPr="00482EF6" w:rsidR="008641C4">
        <w:t>“</w:t>
      </w:r>
      <w:r w:rsidRPr="00482EF6">
        <w:t>remains on file</w:t>
      </w:r>
      <w:r w:rsidRPr="00482EF6" w:rsidR="008641C4">
        <w:t>”</w:t>
      </w:r>
      <w:r w:rsidRPr="00482EF6">
        <w:t xml:space="preserve"> with the DMV does not act to extend </w:t>
      </w:r>
      <w:r w:rsidR="00627D21">
        <w:t xml:space="preserve">the policy’s </w:t>
      </w:r>
      <w:r w:rsidRPr="00482EF6">
        <w:t xml:space="preserve">coverage beyond </w:t>
      </w:r>
      <w:r w:rsidR="00627D21">
        <w:t xml:space="preserve">its </w:t>
      </w:r>
      <w:r w:rsidRPr="00482EF6">
        <w:t xml:space="preserve">expiration date.  As for the </w:t>
      </w:r>
      <w:r w:rsidR="00450466">
        <w:t>E</w:t>
      </w:r>
      <w:r w:rsidRPr="00482EF6">
        <w:t xml:space="preserve">ndorsement, its language clearly indicates </w:t>
      </w:r>
      <w:r w:rsidR="00895791">
        <w:t xml:space="preserve">that </w:t>
      </w:r>
      <w:r w:rsidRPr="00482EF6">
        <w:t xml:space="preserve">the nature of coverage it describes is different from that provided by the policy.  The </w:t>
      </w:r>
      <w:r w:rsidR="00450466">
        <w:t>E</w:t>
      </w:r>
      <w:r w:rsidRPr="00482EF6">
        <w:t>ndorsement amended the policy in several ways</w:t>
      </w:r>
      <w:r w:rsidR="00636F0B">
        <w:t xml:space="preserve">.  </w:t>
      </w:r>
      <w:r w:rsidR="007863AF">
        <w:t xml:space="preserve">If </w:t>
      </w:r>
      <w:r w:rsidR="00636F0B">
        <w:t xml:space="preserve">applicable, it </w:t>
      </w:r>
      <w:r w:rsidR="007863AF">
        <w:t xml:space="preserve">would </w:t>
      </w:r>
      <w:r w:rsidR="00636F0B">
        <w:t>impose</w:t>
      </w:r>
      <w:r w:rsidR="007863AF">
        <w:t xml:space="preserve"> </w:t>
      </w:r>
      <w:r w:rsidR="00636F0B">
        <w:t xml:space="preserve">no duty </w:t>
      </w:r>
      <w:r w:rsidR="00C60B57">
        <w:t>to defend</w:t>
      </w:r>
      <w:r w:rsidR="00FA6774">
        <w:t>,</w:t>
      </w:r>
      <w:r w:rsidR="007863AF">
        <w:t xml:space="preserve"> </w:t>
      </w:r>
      <w:r w:rsidR="00C60B57">
        <w:t xml:space="preserve">and it </w:t>
      </w:r>
      <w:r w:rsidR="007863AF">
        <w:t xml:space="preserve">would </w:t>
      </w:r>
      <w:r w:rsidR="00C60B57">
        <w:t>allow</w:t>
      </w:r>
      <w:r w:rsidR="007863AF">
        <w:t xml:space="preserve"> </w:t>
      </w:r>
      <w:r w:rsidR="00C60B57">
        <w:t>United to seek reimbursement from Porras under certain circumstances.  But</w:t>
      </w:r>
      <w:r w:rsidR="00F009E3">
        <w:t xml:space="preserve">, </w:t>
      </w:r>
      <w:r w:rsidRPr="00482EF6">
        <w:t xml:space="preserve">unlike the endorsement in </w:t>
      </w:r>
      <w:r w:rsidRPr="00482EF6">
        <w:rPr>
          <w:i/>
          <w:iCs/>
        </w:rPr>
        <w:t>Transamerica</w:t>
      </w:r>
      <w:r w:rsidRPr="00482EF6">
        <w:t xml:space="preserve">, </w:t>
      </w:r>
      <w:r w:rsidRPr="00482EF6">
        <w:rPr>
          <w:i/>
          <w:iCs/>
        </w:rPr>
        <w:t>supra</w:t>
      </w:r>
      <w:r w:rsidRPr="00482EF6">
        <w:t xml:space="preserve">, </w:t>
      </w:r>
      <w:r w:rsidRPr="00482EF6" w:rsidR="0022656B">
        <w:t xml:space="preserve">12 Cal.4th 389, </w:t>
      </w:r>
      <w:r w:rsidRPr="00482EF6">
        <w:t xml:space="preserve">it did not change the duration of coverage, a subject to which it did not speak.  </w:t>
      </w:r>
      <w:r w:rsidRPr="00482EF6" w:rsidR="0068130C">
        <w:t xml:space="preserve">Therefore, the </w:t>
      </w:r>
      <w:r w:rsidR="00450466">
        <w:t>E</w:t>
      </w:r>
      <w:r w:rsidRPr="00482EF6" w:rsidR="00AD1AF3">
        <w:t>ndorsement did not</w:t>
      </w:r>
      <w:r w:rsidRPr="00482EF6" w:rsidR="0068130C">
        <w:t xml:space="preserve"> </w:t>
      </w:r>
      <w:r w:rsidRPr="00482EF6">
        <w:t>convert the policy from one with an agreed-upon term to one which remained in effect until cancelled.</w:t>
      </w:r>
    </w:p>
    <w:p w:rsidR="0016120B" w:rsidRPr="00482EF6" w:rsidP="00482EF6" w14:paraId="02C978B1" w14:textId="77777777">
      <w:pPr>
        <w:tabs>
          <w:tab w:val="left" w:pos="1440"/>
        </w:tabs>
        <w:ind w:firstLine="720"/>
      </w:pPr>
      <w:r w:rsidRPr="00482EF6">
        <w:t xml:space="preserve">Next, Allied argues </w:t>
      </w:r>
      <w:r w:rsidRPr="00482EF6" w:rsidR="002C1E99">
        <w:t xml:space="preserve">there is </w:t>
      </w:r>
      <w:r w:rsidRPr="00482EF6">
        <w:t xml:space="preserve">no indication </w:t>
      </w:r>
      <w:r w:rsidRPr="00482EF6" w:rsidR="002C1E99">
        <w:t xml:space="preserve">that </w:t>
      </w:r>
      <w:r w:rsidRPr="00482EF6">
        <w:t xml:space="preserve">the Legislature intended “to modify the financial responsibility requirements for motor carriers” or to change the rule from </w:t>
      </w:r>
      <w:r w:rsidRPr="00482EF6">
        <w:rPr>
          <w:i/>
          <w:iCs/>
        </w:rPr>
        <w:t>Transamerica</w:t>
      </w:r>
      <w:r w:rsidRPr="00482EF6">
        <w:t xml:space="preserve">, </w:t>
      </w:r>
      <w:r w:rsidRPr="00482EF6">
        <w:rPr>
          <w:i/>
          <w:iCs/>
        </w:rPr>
        <w:t>supra</w:t>
      </w:r>
      <w:r w:rsidRPr="00482EF6">
        <w:t xml:space="preserve">, 12 Cal.4th 389.  </w:t>
      </w:r>
      <w:r w:rsidRPr="00482EF6" w:rsidR="002C1E99">
        <w:t xml:space="preserve">Rather, the Legislature’s purpose in </w:t>
      </w:r>
      <w:r w:rsidRPr="00482EF6" w:rsidR="00A85227">
        <w:t xml:space="preserve">passing </w:t>
      </w:r>
      <w:r w:rsidRPr="00482EF6" w:rsidR="002C1E99">
        <w:t>the Act</w:t>
      </w:r>
      <w:r w:rsidRPr="00482EF6" w:rsidR="00A43ADF">
        <w:t>, according to Allied,</w:t>
      </w:r>
      <w:r w:rsidRPr="00482EF6" w:rsidR="002C1E99">
        <w:t xml:space="preserve"> was to conform state law to a newly enacted federal law that preempted parts of the HCA.  </w:t>
      </w:r>
      <w:r w:rsidRPr="00482EF6">
        <w:t xml:space="preserve">Allied </w:t>
      </w:r>
      <w:r w:rsidRPr="00482EF6" w:rsidR="00A43ADF">
        <w:t xml:space="preserve">points out </w:t>
      </w:r>
      <w:r w:rsidRPr="00482EF6" w:rsidR="002B44FF">
        <w:t xml:space="preserve">that neither the </w:t>
      </w:r>
      <w:r w:rsidRPr="00482EF6" w:rsidR="00A43ADF">
        <w:t xml:space="preserve">Act </w:t>
      </w:r>
      <w:r w:rsidRPr="00482EF6" w:rsidR="002B44FF">
        <w:t xml:space="preserve">nor </w:t>
      </w:r>
      <w:r w:rsidRPr="00482EF6" w:rsidR="00A43ADF">
        <w:t xml:space="preserve">its </w:t>
      </w:r>
      <w:r w:rsidRPr="00482EF6">
        <w:t xml:space="preserve">legislative </w:t>
      </w:r>
      <w:r w:rsidRPr="00482EF6" w:rsidR="00A43ADF">
        <w:t xml:space="preserve">history </w:t>
      </w:r>
      <w:r w:rsidRPr="00482EF6">
        <w:t>single</w:t>
      </w:r>
      <w:r w:rsidR="00264EA8">
        <w:t>s</w:t>
      </w:r>
      <w:r w:rsidRPr="00482EF6">
        <w:t xml:space="preserve"> out </w:t>
      </w:r>
      <w:r w:rsidRPr="00482EF6" w:rsidR="002B44FF">
        <w:rPr>
          <w:i/>
          <w:iCs/>
        </w:rPr>
        <w:t>Transamerica</w:t>
      </w:r>
      <w:r w:rsidRPr="00482EF6" w:rsidR="002B44FF">
        <w:t xml:space="preserve"> </w:t>
      </w:r>
      <w:r w:rsidRPr="00482EF6">
        <w:t xml:space="preserve">for “disapproval.”  </w:t>
      </w:r>
      <w:r w:rsidRPr="00482EF6" w:rsidR="00070A28">
        <w:t xml:space="preserve">According to Allied, </w:t>
      </w:r>
      <w:r w:rsidRPr="00482EF6" w:rsidR="00385D1A">
        <w:t xml:space="preserve">the </w:t>
      </w:r>
      <w:r w:rsidRPr="00482EF6">
        <w:t xml:space="preserve">change in </w:t>
      </w:r>
      <w:r w:rsidRPr="00482EF6" w:rsidR="00385D1A">
        <w:t xml:space="preserve">statutory </w:t>
      </w:r>
      <w:r w:rsidRPr="00482EF6">
        <w:t>language</w:t>
      </w:r>
      <w:r w:rsidRPr="00482EF6" w:rsidR="00070A28">
        <w:t xml:space="preserve"> </w:t>
      </w:r>
      <w:r w:rsidRPr="00482EF6">
        <w:t xml:space="preserve">was simply based on a change in the documentation required to be filed with the </w:t>
      </w:r>
      <w:r w:rsidR="00F55943">
        <w:t>Department</w:t>
      </w:r>
      <w:r w:rsidRPr="00482EF6">
        <w:t>.</w:t>
      </w:r>
      <w:r>
        <w:rPr>
          <w:rStyle w:val="FootnoteReference"/>
        </w:rPr>
        <w:footnoteReference w:id="9"/>
      </w:r>
      <w:r w:rsidRPr="00482EF6" w:rsidR="00572BCF">
        <w:t xml:space="preserve">  </w:t>
      </w:r>
    </w:p>
    <w:p w:rsidR="00A43C50" w:rsidRPr="00482EF6" w:rsidP="00482EF6" w14:paraId="02C978B2" w14:textId="77777777">
      <w:pPr>
        <w:tabs>
          <w:tab w:val="left" w:pos="1440"/>
        </w:tabs>
        <w:ind w:firstLine="720"/>
      </w:pPr>
      <w:r w:rsidRPr="00482EF6">
        <w:t xml:space="preserve">In </w:t>
      </w:r>
      <w:r w:rsidR="00974CAA">
        <w:t xml:space="preserve">construing </w:t>
      </w:r>
      <w:r w:rsidRPr="00482EF6">
        <w:t xml:space="preserve">a statute, we consider </w:t>
      </w:r>
      <w:r w:rsidRPr="00482EF6" w:rsidR="00037FC3">
        <w:t xml:space="preserve">first </w:t>
      </w:r>
      <w:r w:rsidRPr="00482EF6">
        <w:t>the words of the statute</w:t>
      </w:r>
      <w:r w:rsidRPr="00482EF6" w:rsidR="00037FC3">
        <w:t xml:space="preserve"> </w:t>
      </w:r>
      <w:r w:rsidRPr="00482EF6">
        <w:t>as the most reliable indicator of legislative intent.  (</w:t>
      </w:r>
      <w:r w:rsidRPr="00482EF6">
        <w:rPr>
          <w:i/>
          <w:iCs/>
        </w:rPr>
        <w:t>California Building Industry Assn. v. State Water Resources Control Bd.</w:t>
      </w:r>
      <w:r w:rsidRPr="00482EF6">
        <w:t xml:space="preserve"> (2018) 4 Cal.5th 1032, 1041.)  Here</w:t>
      </w:r>
      <w:r w:rsidRPr="00482EF6" w:rsidR="00C83113">
        <w:t xml:space="preserve">, </w:t>
      </w:r>
      <w:r w:rsidRPr="00482EF6">
        <w:t xml:space="preserve">the </w:t>
      </w:r>
      <w:r w:rsidRPr="00482EF6" w:rsidR="00F44C19">
        <w:t xml:space="preserve">HCA </w:t>
      </w:r>
      <w:r w:rsidRPr="00482EF6">
        <w:t>previously prohibited cancellation of an insurance policy without notice to the PUC.  In the Act, that prohibition</w:t>
      </w:r>
      <w:r w:rsidRPr="00482EF6" w:rsidR="00F44C19">
        <w:t xml:space="preserve"> has been removed </w:t>
      </w:r>
      <w:r w:rsidRPr="00482EF6">
        <w:t xml:space="preserve">and replaced with a prohibition on </w:t>
      </w:r>
      <w:r w:rsidRPr="00482EF6" w:rsidR="00756088">
        <w:t xml:space="preserve">the </w:t>
      </w:r>
      <w:r w:rsidRPr="00482EF6" w:rsidR="00F44C19">
        <w:t xml:space="preserve">cancellation of </w:t>
      </w:r>
      <w:r w:rsidRPr="00482EF6" w:rsidR="00880B0E">
        <w:t xml:space="preserve">a </w:t>
      </w:r>
      <w:r w:rsidRPr="00482EF6">
        <w:t>certificate</w:t>
      </w:r>
      <w:r w:rsidRPr="00482EF6" w:rsidR="00880B0E">
        <w:t xml:space="preserve"> </w:t>
      </w:r>
      <w:r w:rsidRPr="00482EF6">
        <w:t xml:space="preserve">of insurance without notice to the DMV.  </w:t>
      </w:r>
      <w:r w:rsidRPr="00482EF6" w:rsidR="0054302C">
        <w:t xml:space="preserve">If </w:t>
      </w:r>
      <w:r w:rsidRPr="00482EF6" w:rsidR="00450823">
        <w:t xml:space="preserve">the Legislature intended to </w:t>
      </w:r>
      <w:r w:rsidRPr="00482EF6" w:rsidR="0054302C">
        <w:t xml:space="preserve">perpetuate </w:t>
      </w:r>
      <w:r w:rsidRPr="00482EF6" w:rsidR="00846F41">
        <w:rPr>
          <w:i/>
          <w:iCs/>
        </w:rPr>
        <w:t>Transamerica</w:t>
      </w:r>
      <w:r w:rsidRPr="00482EF6" w:rsidR="0054302C">
        <w:t>’s holding,</w:t>
      </w:r>
      <w:r w:rsidRPr="00482EF6" w:rsidR="00846F41">
        <w:t xml:space="preserve"> relating to the continuation of the underlying policy itself, </w:t>
      </w:r>
      <w:r w:rsidRPr="00482EF6" w:rsidR="00F44C19">
        <w:t xml:space="preserve">it </w:t>
      </w:r>
      <w:r w:rsidRPr="00482EF6">
        <w:t xml:space="preserve">could have simply </w:t>
      </w:r>
      <w:r w:rsidRPr="00482EF6" w:rsidR="00014A7D">
        <w:t xml:space="preserve">used </w:t>
      </w:r>
      <w:r w:rsidRPr="00482EF6">
        <w:t xml:space="preserve">the same language it used in the HCA.  Allied cites no authority for the proposition that the rule from </w:t>
      </w:r>
      <w:r w:rsidRPr="00482EF6">
        <w:rPr>
          <w:i/>
          <w:iCs/>
        </w:rPr>
        <w:t>Transamerica</w:t>
      </w:r>
      <w:r w:rsidRPr="00482EF6">
        <w:t xml:space="preserve"> must survive because the Legislature failed to specifically disapprove it in the </w:t>
      </w:r>
      <w:r w:rsidR="00CB4885">
        <w:t xml:space="preserve">new </w:t>
      </w:r>
      <w:r w:rsidRPr="00482EF6">
        <w:t>statute</w:t>
      </w:r>
      <w:r w:rsidRPr="00482EF6" w:rsidR="00F44C19">
        <w:t xml:space="preserve"> or </w:t>
      </w:r>
      <w:r w:rsidR="00656B3C">
        <w:t xml:space="preserve">to specifically note such an intention as part of </w:t>
      </w:r>
      <w:r w:rsidRPr="00482EF6" w:rsidR="00F44C19">
        <w:t>its legislative history</w:t>
      </w:r>
      <w:r w:rsidRPr="00482EF6">
        <w:t xml:space="preserve">.  </w:t>
      </w:r>
      <w:r w:rsidR="00656B3C">
        <w:t xml:space="preserve">Well established authority supports </w:t>
      </w:r>
      <w:r w:rsidR="004F6880">
        <w:t xml:space="preserve">the conclusion </w:t>
      </w:r>
      <w:r w:rsidR="007060E9">
        <w:t xml:space="preserve">that a change in statutory language can, itself, be an indication of the Legislature’s intent.  </w:t>
      </w:r>
      <w:r w:rsidRPr="00482EF6">
        <w:t>(</w:t>
      </w:r>
      <w:r w:rsidR="00A12E61">
        <w:t xml:space="preserve">See </w:t>
      </w:r>
      <w:r w:rsidRPr="000479D5" w:rsidR="00D661FE">
        <w:rPr>
          <w:i/>
          <w:iCs/>
        </w:rPr>
        <w:t>O’Brien v. Dudenhoeffer</w:t>
      </w:r>
      <w:r w:rsidR="00D661FE">
        <w:t xml:space="preserve">, </w:t>
      </w:r>
      <w:r w:rsidRPr="000479D5" w:rsidR="00D661FE">
        <w:rPr>
          <w:i/>
          <w:iCs/>
        </w:rPr>
        <w:t>supra</w:t>
      </w:r>
      <w:r w:rsidR="00D661FE">
        <w:t xml:space="preserve">, </w:t>
      </w:r>
      <w:r w:rsidRPr="00D661FE" w:rsidR="00D661FE">
        <w:t>16 Cal.App.4th 327</w:t>
      </w:r>
      <w:r w:rsidR="004C7DB7">
        <w:t xml:space="preserve">, </w:t>
      </w:r>
      <w:r w:rsidR="00971F9D">
        <w:t>335</w:t>
      </w:r>
      <w:r w:rsidR="00A12E61">
        <w:t>, and cases cited therein</w:t>
      </w:r>
      <w:r w:rsidR="004C7DB7">
        <w:t xml:space="preserve">; see also </w:t>
      </w:r>
      <w:r w:rsidRPr="00482EF6">
        <w:rPr>
          <w:i/>
          <w:iCs/>
        </w:rPr>
        <w:t>Benson</w:t>
      </w:r>
      <w:r w:rsidRPr="00482EF6">
        <w:t xml:space="preserve">, </w:t>
      </w:r>
      <w:r w:rsidRPr="00482EF6">
        <w:rPr>
          <w:i/>
          <w:iCs/>
        </w:rPr>
        <w:t>supra</w:t>
      </w:r>
      <w:r w:rsidRPr="00482EF6">
        <w:t xml:space="preserve">, 170 Cal.App.4th </w:t>
      </w:r>
      <w:r w:rsidRPr="00482EF6" w:rsidR="00AB673F">
        <w:t>at p.</w:t>
      </w:r>
      <w:r w:rsidRPr="00482EF6">
        <w:t xml:space="preserve"> 1557.)  </w:t>
      </w:r>
      <w:r w:rsidRPr="00482EF6" w:rsidR="00FF7430">
        <w:t xml:space="preserve">Finally, </w:t>
      </w:r>
      <w:r w:rsidRPr="00482EF6" w:rsidR="004220AF">
        <w:t xml:space="preserve">that </w:t>
      </w:r>
      <w:r w:rsidRPr="00482EF6" w:rsidR="004E19BE">
        <w:t xml:space="preserve">the </w:t>
      </w:r>
      <w:r w:rsidRPr="00482EF6" w:rsidR="00FF7430">
        <w:t xml:space="preserve">Legislature </w:t>
      </w:r>
      <w:r w:rsidRPr="00482EF6" w:rsidR="005916C3">
        <w:t xml:space="preserve">sought to </w:t>
      </w:r>
      <w:r w:rsidRPr="00482EF6" w:rsidR="00FF7430">
        <w:t>avoid federal preemption</w:t>
      </w:r>
      <w:r w:rsidRPr="00482EF6" w:rsidR="005916C3">
        <w:t xml:space="preserve"> </w:t>
      </w:r>
      <w:r w:rsidRPr="00482EF6" w:rsidR="00FF7430">
        <w:t xml:space="preserve">does not </w:t>
      </w:r>
      <w:r w:rsidRPr="00482EF6" w:rsidR="005916C3">
        <w:t xml:space="preserve">mean it did not act with </w:t>
      </w:r>
      <w:r w:rsidRPr="00482EF6" w:rsidR="00FF7430">
        <w:t>other purposes</w:t>
      </w:r>
      <w:r w:rsidRPr="00482EF6" w:rsidR="00B0473B">
        <w:t xml:space="preserve"> in mind as well</w:t>
      </w:r>
      <w:r w:rsidRPr="00482EF6" w:rsidR="00FF7430">
        <w:t xml:space="preserve">.  </w:t>
      </w:r>
    </w:p>
    <w:p w:rsidR="00FF7430" w:rsidRPr="00482EF6" w:rsidP="00482EF6" w14:paraId="02C978B3" w14:textId="77777777">
      <w:pPr>
        <w:tabs>
          <w:tab w:val="left" w:pos="1440"/>
        </w:tabs>
        <w:ind w:firstLine="720"/>
      </w:pPr>
      <w:r w:rsidRPr="00482EF6">
        <w:t xml:space="preserve">Allied’s final argument is that, if we </w:t>
      </w:r>
      <w:r w:rsidRPr="00482EF6" w:rsidR="005B659B">
        <w:t xml:space="preserve">adopt </w:t>
      </w:r>
      <w:r w:rsidRPr="00482EF6">
        <w:t xml:space="preserve">United’s “position that the expiration of a policy eliminates the insurance company’s obligation under the policy </w:t>
      </w:r>
      <w:r w:rsidRPr="00482EF6" w:rsidR="00884DC9">
        <w:t xml:space="preserve">despite </w:t>
      </w:r>
      <w:r w:rsidRPr="00482EF6" w:rsidR="00AB673F">
        <w:t>[</w:t>
      </w:r>
      <w:r w:rsidRPr="00482EF6">
        <w:t>the</w:t>
      </w:r>
      <w:r w:rsidRPr="00482EF6" w:rsidR="00AB673F">
        <w:t>]</w:t>
      </w:r>
      <w:r w:rsidRPr="00482EF6">
        <w:t xml:space="preserve"> lack of notice to the DMV,</w:t>
      </w:r>
      <w:r w:rsidRPr="00482EF6" w:rsidR="00884DC9">
        <w:t>”</w:t>
      </w:r>
      <w:r w:rsidRPr="00482EF6">
        <w:t xml:space="preserve"> </w:t>
      </w:r>
      <w:r w:rsidRPr="00482EF6" w:rsidR="00884DC9">
        <w:t>then “</w:t>
      </w:r>
      <w:r w:rsidRPr="00482EF6">
        <w:t xml:space="preserve">the entire system of financial responsibility for motor carriers [will] be eviscerated.”  The argument, though </w:t>
      </w:r>
      <w:r w:rsidRPr="00482EF6" w:rsidR="005B659B">
        <w:t xml:space="preserve">a bit </w:t>
      </w:r>
      <w:r w:rsidRPr="00482EF6">
        <w:t>hyperbolic</w:t>
      </w:r>
      <w:r w:rsidR="00DE4E61">
        <w:t>al</w:t>
      </w:r>
      <w:r w:rsidRPr="00482EF6">
        <w:t xml:space="preserve">, </w:t>
      </w:r>
      <w:r w:rsidRPr="00482EF6" w:rsidR="00E5298E">
        <w:t xml:space="preserve">is related to a policy argument </w:t>
      </w:r>
      <w:r w:rsidRPr="00482EF6">
        <w:t xml:space="preserve">we </w:t>
      </w:r>
      <w:r w:rsidRPr="00482EF6" w:rsidR="005B659B">
        <w:t xml:space="preserve">raised </w:t>
      </w:r>
      <w:r w:rsidRPr="00482EF6">
        <w:t xml:space="preserve">in </w:t>
      </w:r>
      <w:r w:rsidRPr="00482EF6">
        <w:rPr>
          <w:i/>
          <w:iCs/>
        </w:rPr>
        <w:t>Transamerica</w:t>
      </w:r>
      <w:r w:rsidRPr="00482EF6">
        <w:t>.  There, we stated the “certificate of insurance that an insurance company files with the PUC serves as proof of a highway carrier</w:t>
      </w:r>
      <w:r w:rsidRPr="00482EF6" w:rsidR="005B659B">
        <w:t>’</w:t>
      </w:r>
      <w:r w:rsidRPr="00482EF6">
        <w:t>s adequate protection against liability</w:t>
      </w:r>
      <w:r w:rsidR="001C2CF5">
        <w:t xml:space="preserve"> </w:t>
      </w:r>
      <w:r w:rsidRPr="00482EF6">
        <w:t>.</w:t>
      </w:r>
      <w:r w:rsidR="002E05C5">
        <w:t xml:space="preserve"> . . .</w:t>
      </w:r>
      <w:r w:rsidRPr="00482EF6">
        <w:t xml:space="preserve">  </w:t>
      </w:r>
      <w:r w:rsidR="002E05C5">
        <w:t xml:space="preserve">[A] </w:t>
      </w:r>
      <w:r w:rsidRPr="00482EF6">
        <w:t>long-term PUC employee testified at trial that the PUC looks to the certificate as proof of a highway carrier</w:t>
      </w:r>
      <w:r w:rsidRPr="00482EF6" w:rsidR="005B659B">
        <w:t>’</w:t>
      </w:r>
      <w:r w:rsidRPr="00482EF6">
        <w:t>s compliance with the financial responsibility obligations imposed by the statutory scheme:  When a certificate for a policy of insurance is on file, the PUC assumes that the policy is still in effect, thus providing coverage for the highway carrier.</w:t>
      </w:r>
      <w:r w:rsidRPr="00482EF6" w:rsidR="0077091B">
        <w:t xml:space="preserve">  [¶]  </w:t>
      </w:r>
      <w:r w:rsidRPr="00482EF6">
        <w:t>In addition to providing an efficient means for the PUC to administer the [HCA’s] financial responsibility requirements . . . , the certificate of insurance on file with the PUC serves as assurance that the public is protected in the event of an accident involving a particular highway carrier.”  (</w:t>
      </w:r>
      <w:r w:rsidRPr="00482EF6">
        <w:rPr>
          <w:i/>
          <w:iCs/>
        </w:rPr>
        <w:t>Transamerica</w:t>
      </w:r>
      <w:r w:rsidRPr="00482EF6">
        <w:t xml:space="preserve">, </w:t>
      </w:r>
      <w:r w:rsidRPr="00482EF6" w:rsidR="00844369">
        <w:rPr>
          <w:i/>
          <w:iCs/>
        </w:rPr>
        <w:t>supra</w:t>
      </w:r>
      <w:r w:rsidRPr="00482EF6" w:rsidR="00844369">
        <w:t xml:space="preserve">, 12 Cal.4th </w:t>
      </w:r>
      <w:r w:rsidRPr="00482EF6">
        <w:t xml:space="preserve">at p. 403.)  Allied contends that, if we hold that an insurance policy subject to the Act can be canceled without notice to the DMV, </w:t>
      </w:r>
      <w:r w:rsidRPr="00482EF6" w:rsidR="00044466">
        <w:t xml:space="preserve">then </w:t>
      </w:r>
      <w:r w:rsidRPr="00482EF6">
        <w:t xml:space="preserve">the public </w:t>
      </w:r>
      <w:r w:rsidRPr="00482EF6" w:rsidR="00044466">
        <w:t xml:space="preserve">will </w:t>
      </w:r>
      <w:r w:rsidRPr="00482EF6">
        <w:t xml:space="preserve">be </w:t>
      </w:r>
      <w:r w:rsidRPr="00482EF6" w:rsidR="00044466">
        <w:t xml:space="preserve">left </w:t>
      </w:r>
      <w:r w:rsidRPr="00482EF6">
        <w:t xml:space="preserve">unprotected </w:t>
      </w:r>
      <w:r w:rsidRPr="00482EF6" w:rsidR="00044466">
        <w:t xml:space="preserve">if </w:t>
      </w:r>
      <w:r w:rsidRPr="00482EF6">
        <w:t>a motor carrier without insurance</w:t>
      </w:r>
      <w:r w:rsidRPr="00482EF6" w:rsidR="00044466">
        <w:t xml:space="preserve">, </w:t>
      </w:r>
      <w:r w:rsidRPr="00482EF6">
        <w:t>but with an active certificate of insurance representing an expired policy, is involved in an accident.</w:t>
      </w:r>
      <w:r>
        <w:rPr>
          <w:rStyle w:val="FootnoteReference"/>
        </w:rPr>
        <w:footnoteReference w:id="10"/>
      </w:r>
      <w:r w:rsidRPr="00482EF6">
        <w:t xml:space="preserve">  </w:t>
      </w:r>
    </w:p>
    <w:p w:rsidR="004E451C" w:rsidP="00482EF6" w14:paraId="02C978B4" w14:textId="77777777">
      <w:pPr>
        <w:tabs>
          <w:tab w:val="left" w:pos="1440"/>
        </w:tabs>
        <w:ind w:firstLine="720"/>
      </w:pPr>
      <w:r w:rsidRPr="00482EF6">
        <w:t xml:space="preserve">It is true that </w:t>
      </w:r>
      <w:r w:rsidRPr="00482EF6" w:rsidR="00EB00A1">
        <w:t>commercial trucking is a business affect</w:t>
      </w:r>
      <w:r w:rsidR="00E544A8">
        <w:t>ing</w:t>
      </w:r>
      <w:r w:rsidRPr="00482EF6" w:rsidR="00EB00A1">
        <w:t xml:space="preserve"> the public interest</w:t>
      </w:r>
      <w:r w:rsidRPr="00482EF6" w:rsidR="003B0B1E">
        <w:t xml:space="preserve"> </w:t>
      </w:r>
      <w:r w:rsidRPr="00482EF6" w:rsidR="00EB00A1">
        <w:t xml:space="preserve">and </w:t>
      </w:r>
      <w:r w:rsidR="00E544A8">
        <w:t xml:space="preserve">that one goal of the regulating legislation is to </w:t>
      </w:r>
      <w:r w:rsidR="00592838">
        <w:t xml:space="preserve">ensure </w:t>
      </w:r>
      <w:r w:rsidR="00515C1E">
        <w:t xml:space="preserve">that </w:t>
      </w:r>
      <w:r w:rsidR="00592838">
        <w:t xml:space="preserve">truckers do not improperly seek to reduce costs </w:t>
      </w:r>
      <w:r w:rsidRPr="00482EF6" w:rsidR="00EB00A1">
        <w:t>by carrying inadequate insurance.  (</w:t>
      </w:r>
      <w:r w:rsidRPr="00482EF6" w:rsidR="00EB00A1">
        <w:rPr>
          <w:i/>
          <w:iCs/>
        </w:rPr>
        <w:t>Transamerica</w:t>
      </w:r>
      <w:r w:rsidRPr="00482EF6" w:rsidR="00EB00A1">
        <w:t xml:space="preserve">, </w:t>
      </w:r>
      <w:r w:rsidRPr="00482EF6" w:rsidR="00EB00A1">
        <w:rPr>
          <w:i/>
          <w:iCs/>
        </w:rPr>
        <w:t>supra</w:t>
      </w:r>
      <w:r w:rsidRPr="00482EF6" w:rsidR="00EB00A1">
        <w:t xml:space="preserve">, 12 Cal.4th at p. 397.)  </w:t>
      </w:r>
      <w:r w:rsidRPr="00482EF6" w:rsidR="00EB00A1">
        <w:rPr>
          <w:i/>
          <w:iCs/>
        </w:rPr>
        <w:t>Transamerica</w:t>
      </w:r>
      <w:r w:rsidRPr="00482EF6" w:rsidR="00EB00A1">
        <w:t xml:space="preserve"> </w:t>
      </w:r>
      <w:r w:rsidR="00180B72">
        <w:t xml:space="preserve">reasoned that, </w:t>
      </w:r>
      <w:r w:rsidRPr="00482EF6" w:rsidR="00EB00A1">
        <w:t>as between an insurer who failed to properly notify the PUC of a policy’s expiration and a member of the public injured by an inadequately insured trucker, the insurer should bear the risk of loss.  (</w:t>
      </w:r>
      <w:r w:rsidRPr="006C5063" w:rsidR="004269F2">
        <w:rPr>
          <w:i/>
          <w:iCs/>
        </w:rPr>
        <w:t>Id</w:t>
      </w:r>
      <w:r w:rsidR="004269F2">
        <w:t xml:space="preserve">. </w:t>
      </w:r>
      <w:r w:rsidRPr="00482EF6" w:rsidR="00EB00A1">
        <w:t>at p</w:t>
      </w:r>
      <w:r w:rsidR="0015494B">
        <w:t>p</w:t>
      </w:r>
      <w:r w:rsidRPr="00482EF6" w:rsidR="00EB00A1">
        <w:t>. 403</w:t>
      </w:r>
      <w:r w:rsidR="001C2CF5">
        <w:t>−</w:t>
      </w:r>
      <w:r w:rsidRPr="00482EF6" w:rsidR="00EB00A1">
        <w:t>404.)</w:t>
      </w:r>
      <w:r w:rsidRPr="00482EF6" w:rsidR="005856B3">
        <w:t xml:space="preserve">  </w:t>
      </w:r>
      <w:r w:rsidR="003F781C">
        <w:t xml:space="preserve">The </w:t>
      </w:r>
      <w:r w:rsidRPr="00482EF6" w:rsidR="00EB00A1">
        <w:t xml:space="preserve">Act’s legislative history </w:t>
      </w:r>
      <w:r w:rsidRPr="00482EF6" w:rsidR="00906024">
        <w:t xml:space="preserve">indicates </w:t>
      </w:r>
      <w:r w:rsidR="003F781C">
        <w:t xml:space="preserve">that it was </w:t>
      </w:r>
      <w:r w:rsidR="00104158">
        <w:t xml:space="preserve">also </w:t>
      </w:r>
      <w:r w:rsidR="003F781C">
        <w:t xml:space="preserve">intended </w:t>
      </w:r>
      <w:r w:rsidRPr="00482EF6" w:rsidR="00BA0A76">
        <w:t xml:space="preserve">to </w:t>
      </w:r>
      <w:r w:rsidRPr="00482EF6" w:rsidR="00991702">
        <w:t>“</w:t>
      </w:r>
      <w:r w:rsidRPr="00482EF6" w:rsidR="00D2080B">
        <w:t>enhance public safety</w:t>
      </w:r>
      <w:r w:rsidR="00104158">
        <w:t>.</w:t>
      </w:r>
      <w:r w:rsidRPr="00482EF6" w:rsidR="00BA0A76">
        <w:t>”</w:t>
      </w:r>
      <w:r w:rsidRPr="00482EF6" w:rsidR="00D2080B">
        <w:t xml:space="preserve">  (</w:t>
      </w:r>
      <w:r w:rsidRPr="00482EF6" w:rsidR="000B01FC">
        <w:t xml:space="preserve">See, e.g., </w:t>
      </w:r>
      <w:r w:rsidRPr="00482EF6" w:rsidR="009C6A40">
        <w:t xml:space="preserve">Sen. Com. on Energy, Utilities and Communications, analysis of Assem. Bill. No. 1683 (1995–1996 Reg. Sess.) as amended July 7, 1996, </w:t>
      </w:r>
      <w:r w:rsidRPr="00482EF6" w:rsidR="000B01FC">
        <w:t>p. 2</w:t>
      </w:r>
      <w:r w:rsidRPr="00482EF6" w:rsidR="00991702">
        <w:t xml:space="preserve">.)  </w:t>
      </w:r>
      <w:r w:rsidRPr="00482EF6" w:rsidR="0054387A">
        <w:t xml:space="preserve">However, the extension of </w:t>
      </w:r>
      <w:r w:rsidRPr="009A1557" w:rsidR="0054387A">
        <w:rPr>
          <w:i/>
          <w:iCs/>
        </w:rPr>
        <w:t>insurance coverage</w:t>
      </w:r>
      <w:r w:rsidRPr="00482EF6" w:rsidR="0054387A">
        <w:t xml:space="preserve"> beyond the underlying policy’s expiration date is not the only way to achieve </w:t>
      </w:r>
      <w:r w:rsidRPr="00482EF6" w:rsidR="003327FE">
        <w:t xml:space="preserve">these public protection </w:t>
      </w:r>
      <w:r w:rsidRPr="00482EF6" w:rsidR="0054387A">
        <w:t xml:space="preserve">goals.  </w:t>
      </w:r>
    </w:p>
    <w:p w:rsidR="00516524" w:rsidRPr="00482EF6" w:rsidP="00482EF6" w14:paraId="02C978B5" w14:textId="77777777">
      <w:pPr>
        <w:tabs>
          <w:tab w:val="left" w:pos="1440"/>
        </w:tabs>
        <w:ind w:firstLine="720"/>
      </w:pPr>
      <w:r w:rsidRPr="00482EF6">
        <w:t xml:space="preserve">As </w:t>
      </w:r>
      <w:r w:rsidR="00DC2C79">
        <w:t xml:space="preserve">discussed </w:t>
      </w:r>
      <w:r w:rsidRPr="00482EF6">
        <w:t xml:space="preserve">above, </w:t>
      </w:r>
      <w:r w:rsidR="00AC797F">
        <w:t xml:space="preserve">further litigation or legislative action may clarify </w:t>
      </w:r>
      <w:r w:rsidR="00C07175">
        <w:t xml:space="preserve">the particulars of how the overall statutory scheme will operate to protect the public.  That important policy question </w:t>
      </w:r>
      <w:r w:rsidR="000F4046">
        <w:t>need not be resolved</w:t>
      </w:r>
      <w:r w:rsidR="00C07175">
        <w:t xml:space="preserve"> here.  </w:t>
      </w:r>
      <w:r w:rsidR="00BF6D0B">
        <w:t xml:space="preserve">The certified question arises only in the context of claims for equitable contribution </w:t>
      </w:r>
      <w:r w:rsidR="002633E4">
        <w:t xml:space="preserve">and subrogation between two insurance companies.  It bears repeating that the plaintiffs in the underlying lawsuit </w:t>
      </w:r>
      <w:r w:rsidR="00213AB6">
        <w:t xml:space="preserve">were compensated to the full limits of Allied’s policy under the terms of their settlement and that, at all relevant times, </w:t>
      </w:r>
      <w:r w:rsidR="004269F2">
        <w:t xml:space="preserve">Porras properly maintained an active operating permit.  </w:t>
      </w:r>
    </w:p>
    <w:p w:rsidR="00A23B07" w:rsidRPr="00482EF6" w:rsidP="00202F42" w14:paraId="02C978B6" w14:textId="77777777">
      <w:pPr>
        <w:pStyle w:val="ListParagraph"/>
        <w:keepNext/>
        <w:numPr>
          <w:ilvl w:val="0"/>
          <w:numId w:val="4"/>
        </w:numPr>
        <w:tabs>
          <w:tab w:val="left" w:pos="900"/>
        </w:tabs>
        <w:jc w:val="center"/>
        <w:rPr>
          <w:b/>
          <w:bCs/>
        </w:rPr>
      </w:pPr>
      <w:r w:rsidRPr="00482EF6">
        <w:rPr>
          <w:b/>
          <w:bCs/>
        </w:rPr>
        <w:t>CONCLUSION</w:t>
      </w:r>
    </w:p>
    <w:p w:rsidR="00990821" w:rsidRPr="00482EF6" w:rsidP="00482EF6" w14:paraId="02C978B7" w14:textId="77777777">
      <w:pPr>
        <w:tabs>
          <w:tab w:val="left" w:pos="1440"/>
        </w:tabs>
        <w:ind w:firstLine="720"/>
      </w:pPr>
      <w:r w:rsidRPr="00482EF6">
        <w:t xml:space="preserve">Under the Act, a commercial automobile insurance policy does not continue in full force and </w:t>
      </w:r>
      <w:r w:rsidRPr="00482EF6" w:rsidR="00347C1A">
        <w:t xml:space="preserve">effect until the insurer cancels </w:t>
      </w:r>
      <w:r w:rsidR="00E252AD">
        <w:t xml:space="preserve">a </w:t>
      </w:r>
      <w:r w:rsidRPr="00482EF6" w:rsidR="00347C1A">
        <w:t xml:space="preserve">corresponding </w:t>
      </w:r>
      <w:r w:rsidRPr="00482EF6" w:rsidR="00905A8D">
        <w:t>c</w:t>
      </w:r>
      <w:r w:rsidRPr="00482EF6" w:rsidR="00347C1A">
        <w:t xml:space="preserve">ertificate of </w:t>
      </w:r>
      <w:r w:rsidRPr="00482EF6" w:rsidR="00905A8D">
        <w:t>i</w:t>
      </w:r>
      <w:r w:rsidRPr="00482EF6" w:rsidR="00347C1A">
        <w:t xml:space="preserve">nsurance on file with the DMV.  The duration </w:t>
      </w:r>
      <w:r w:rsidRPr="00482EF6" w:rsidR="001C7B70">
        <w:t>of the policy</w:t>
      </w:r>
      <w:r w:rsidR="00E252AD">
        <w:t xml:space="preserve">’s coverage </w:t>
      </w:r>
      <w:r w:rsidRPr="00482EF6" w:rsidR="001C7B70">
        <w:t xml:space="preserve">is regulated by its terms and those of any endorsement or amendment to the policy itself.  </w:t>
      </w:r>
    </w:p>
    <w:p w:rsidR="002D3736" w:rsidP="00482EF6" w14:paraId="02C978B8" w14:textId="77777777">
      <w:pPr>
        <w:tabs>
          <w:tab w:val="left" w:pos="1440"/>
        </w:tabs>
        <w:ind w:firstLine="720"/>
      </w:pPr>
    </w:p>
    <w:p w:rsidR="00482EF6" w:rsidP="008B6836" w14:paraId="02C978B9" w14:textId="77777777">
      <w:pPr>
        <w:tabs>
          <w:tab w:val="left" w:pos="1440"/>
        </w:tabs>
        <w:ind w:right="720" w:firstLine="720"/>
        <w:jc w:val="right"/>
        <w:rPr>
          <w:b/>
          <w:bCs/>
        </w:rPr>
      </w:pPr>
      <w:r w:rsidRPr="00202F42">
        <w:rPr>
          <w:b/>
          <w:bCs/>
        </w:rPr>
        <w:t>CORRIGAN, J.</w:t>
      </w:r>
    </w:p>
    <w:p w:rsidR="00202F42" w:rsidP="00482EF6" w14:paraId="02C978BA" w14:textId="77777777">
      <w:pPr>
        <w:tabs>
          <w:tab w:val="left" w:pos="1440"/>
        </w:tabs>
        <w:ind w:firstLine="720"/>
        <w:jc w:val="right"/>
        <w:rPr>
          <w:b/>
          <w:bCs/>
        </w:rPr>
      </w:pPr>
    </w:p>
    <w:p w:rsidR="00202F42" w:rsidP="00202F42" w14:paraId="02C978BB" w14:textId="77777777">
      <w:pPr>
        <w:tabs>
          <w:tab w:val="left" w:pos="1440"/>
        </w:tabs>
        <w:jc w:val="left"/>
        <w:rPr>
          <w:b/>
          <w:bCs/>
        </w:rPr>
      </w:pPr>
      <w:r>
        <w:rPr>
          <w:b/>
          <w:bCs/>
        </w:rPr>
        <w:t>We Concur:</w:t>
      </w:r>
    </w:p>
    <w:p w:rsidR="00202F42" w:rsidP="00202F42" w14:paraId="02C978BC" w14:textId="77777777">
      <w:pPr>
        <w:spacing w:after="0" w:line="240" w:lineRule="auto"/>
        <w:rPr>
          <w:rFonts w:ascii="Times New Roman" w:hAnsi="Times New Roman"/>
          <w:b/>
          <w:sz w:val="26"/>
          <w:szCs w:val="26"/>
        </w:rPr>
      </w:pPr>
      <w:r>
        <w:rPr>
          <w:b/>
        </w:rPr>
        <w:t>GUERRERO</w:t>
      </w:r>
      <w:r>
        <w:rPr>
          <w:b/>
          <w:szCs w:val="26"/>
        </w:rPr>
        <w:t>, C. J.</w:t>
      </w:r>
    </w:p>
    <w:p w:rsidR="00202F42" w:rsidP="00202F42" w14:paraId="02C978BD" w14:textId="77777777">
      <w:pPr>
        <w:spacing w:after="0" w:line="240" w:lineRule="auto"/>
        <w:rPr>
          <w:b/>
          <w:szCs w:val="26"/>
        </w:rPr>
      </w:pPr>
      <w:r>
        <w:rPr>
          <w:b/>
          <w:szCs w:val="26"/>
        </w:rPr>
        <w:t>LIU, J.</w:t>
      </w:r>
    </w:p>
    <w:p w:rsidR="00202F42" w:rsidP="00202F42" w14:paraId="02C978BE" w14:textId="77777777">
      <w:pPr>
        <w:spacing w:after="0" w:line="240" w:lineRule="auto"/>
        <w:rPr>
          <w:b/>
        </w:rPr>
      </w:pPr>
      <w:r>
        <w:rPr>
          <w:b/>
        </w:rPr>
        <w:t>KRUGER, J.</w:t>
      </w:r>
    </w:p>
    <w:p w:rsidR="00202F42" w:rsidP="00202F42" w14:paraId="02C978BF" w14:textId="77777777">
      <w:pPr>
        <w:spacing w:after="0" w:line="240" w:lineRule="auto"/>
        <w:rPr>
          <w:b/>
        </w:rPr>
      </w:pPr>
      <w:r>
        <w:rPr>
          <w:b/>
        </w:rPr>
        <w:t>GROBAN, J.</w:t>
      </w:r>
    </w:p>
    <w:p w:rsidR="00202F42" w:rsidP="00202F42" w14:paraId="02C978C0" w14:textId="77777777">
      <w:pPr>
        <w:spacing w:after="0" w:line="240" w:lineRule="auto"/>
        <w:rPr>
          <w:b/>
        </w:rPr>
      </w:pPr>
      <w:r>
        <w:rPr>
          <w:b/>
        </w:rPr>
        <w:t>JENKINS, J.</w:t>
      </w:r>
    </w:p>
    <w:p w:rsidR="00202F42" w:rsidP="00202F42" w14:paraId="02C978C1" w14:textId="77777777">
      <w:pPr>
        <w:spacing w:after="0" w:line="240" w:lineRule="auto"/>
        <w:rPr>
          <w:b/>
        </w:rPr>
      </w:pPr>
      <w:r>
        <w:rPr>
          <w:b/>
        </w:rPr>
        <w:t>EVANS, J.</w:t>
      </w:r>
    </w:p>
    <w:p w:rsidR="00633DC6" w:rsidP="00202F42" w14:paraId="7D4E1AF6" w14:textId="77777777">
      <w:pPr>
        <w:tabs>
          <w:tab w:val="left" w:pos="1440"/>
        </w:tabs>
        <w:jc w:val="left"/>
        <w:rPr>
          <w:b/>
          <w:bCs/>
        </w:rPr>
        <w:sectPr w:rsidSect="00482EF6">
          <w:footerReference w:type="first" r:id="rId8"/>
          <w:pgSz w:w="12240" w:h="15840"/>
          <w:pgMar w:top="1800" w:right="2160" w:bottom="1440" w:left="2160" w:header="720" w:footer="720" w:gutter="0"/>
          <w:pgNumType w:start="1"/>
          <w:cols w:space="720"/>
          <w:titlePg/>
          <w:docGrid w:linePitch="367"/>
        </w:sectPr>
      </w:pPr>
    </w:p>
    <w:p w:rsidR="00883D82" w:rsidRPr="00883D82" w:rsidP="00883D82" w14:paraId="72B09311" w14:textId="77777777">
      <w:pPr>
        <w:spacing w:after="0" w:line="240" w:lineRule="auto"/>
        <w:jc w:val="left"/>
        <w:rPr>
          <w:i/>
          <w:sz w:val="24"/>
          <w:szCs w:val="24"/>
        </w:rPr>
      </w:pPr>
      <w:r w:rsidRPr="00883D82">
        <w:rPr>
          <w:i/>
          <w:sz w:val="24"/>
          <w:szCs w:val="24"/>
        </w:rPr>
        <w:t>See next page for addresses and telephone numbers for counsel who argued in Supreme Court.</w:t>
      </w:r>
    </w:p>
    <w:p w:rsidR="00883D82" w:rsidRPr="00883D82" w:rsidP="00883D82" w14:paraId="7B06DDCC" w14:textId="77777777">
      <w:pPr>
        <w:spacing w:after="0" w:line="240" w:lineRule="auto"/>
        <w:jc w:val="left"/>
        <w:rPr>
          <w:i/>
          <w:sz w:val="24"/>
          <w:szCs w:val="24"/>
        </w:rPr>
      </w:pPr>
    </w:p>
    <w:p w:rsidR="00883D82" w:rsidRPr="00883D82" w:rsidP="00883D82" w14:paraId="5177C73B" w14:textId="77777777">
      <w:pPr>
        <w:spacing w:after="0" w:line="240" w:lineRule="auto"/>
        <w:jc w:val="left"/>
        <w:rPr>
          <w:bCs/>
          <w:sz w:val="24"/>
          <w:szCs w:val="24"/>
        </w:rPr>
      </w:pPr>
      <w:r w:rsidRPr="00883D82">
        <w:rPr>
          <w:b/>
          <w:sz w:val="24"/>
          <w:szCs w:val="24"/>
        </w:rPr>
        <w:t xml:space="preserve">Name of Opinion  </w:t>
      </w:r>
      <w:r w:rsidRPr="00883D82">
        <w:rPr>
          <w:bCs/>
          <w:sz w:val="24"/>
          <w:szCs w:val="24"/>
        </w:rPr>
        <w:t>Allied Premier Insurance v. United Financial Casualty Company</w:t>
      </w:r>
    </w:p>
    <w:p w:rsidR="00883D82" w:rsidRPr="00883D82" w:rsidP="00883D82" w14:paraId="7B230077" w14:textId="77777777">
      <w:pPr>
        <w:spacing w:after="0" w:line="240" w:lineRule="auto"/>
        <w:jc w:val="left"/>
        <w:rPr>
          <w:b/>
          <w:sz w:val="24"/>
          <w:szCs w:val="24"/>
        </w:rPr>
      </w:pPr>
      <w:r w:rsidRPr="00883D82">
        <w:rPr>
          <w:b/>
          <w:sz w:val="24"/>
          <w:szCs w:val="24"/>
        </w:rPr>
        <w:t xml:space="preserve">__________________________________________________________ </w:t>
      </w:r>
    </w:p>
    <w:p w:rsidR="00883D82" w:rsidRPr="00883D82" w:rsidP="00883D82" w14:paraId="08D5D3DD" w14:textId="77777777">
      <w:pPr>
        <w:spacing w:after="0" w:line="240" w:lineRule="auto"/>
        <w:jc w:val="left"/>
        <w:rPr>
          <w:b/>
          <w:sz w:val="24"/>
          <w:szCs w:val="24"/>
        </w:rPr>
      </w:pPr>
    </w:p>
    <w:p w:rsidR="00883D82" w:rsidRPr="00883D82" w:rsidP="00883D82" w14:paraId="0E2D77DD" w14:textId="77777777">
      <w:pPr>
        <w:spacing w:after="0" w:line="240" w:lineRule="auto"/>
        <w:jc w:val="left"/>
        <w:rPr>
          <w:sz w:val="24"/>
          <w:szCs w:val="24"/>
        </w:rPr>
      </w:pPr>
      <w:r w:rsidRPr="00883D82">
        <w:rPr>
          <w:b/>
          <w:bCs/>
          <w:sz w:val="24"/>
          <w:szCs w:val="24"/>
          <w:u w:val="single"/>
        </w:rPr>
        <w:t>Procedural Posture</w:t>
      </w:r>
      <w:r w:rsidRPr="00883D82">
        <w:rPr>
          <w:b/>
          <w:bCs/>
          <w:sz w:val="24"/>
          <w:szCs w:val="24"/>
        </w:rPr>
        <w:t xml:space="preserve"> </w:t>
      </w:r>
      <w:r w:rsidRPr="00883D82">
        <w:rPr>
          <w:sz w:val="24"/>
          <w:szCs w:val="24"/>
        </w:rPr>
        <w:t>(see XX below)</w:t>
      </w:r>
    </w:p>
    <w:p w:rsidR="00883D82" w:rsidRPr="00883D82" w:rsidP="00883D82" w14:paraId="015C2411" w14:textId="77777777">
      <w:pPr>
        <w:spacing w:after="0" w:line="240" w:lineRule="auto"/>
        <w:jc w:val="left"/>
        <w:rPr>
          <w:sz w:val="24"/>
          <w:szCs w:val="24"/>
        </w:rPr>
      </w:pPr>
      <w:r w:rsidRPr="00883D82">
        <w:rPr>
          <w:b/>
          <w:bCs/>
          <w:sz w:val="24"/>
          <w:szCs w:val="24"/>
        </w:rPr>
        <w:t>Original Appeal</w:t>
      </w:r>
      <w:r w:rsidRPr="00883D82">
        <w:rPr>
          <w:sz w:val="24"/>
          <w:szCs w:val="24"/>
        </w:rPr>
        <w:t xml:space="preserve"> </w:t>
      </w:r>
    </w:p>
    <w:p w:rsidR="00883D82" w:rsidRPr="00883D82" w:rsidP="00883D82" w14:paraId="46E05E4B" w14:textId="77777777">
      <w:pPr>
        <w:spacing w:after="0" w:line="240" w:lineRule="auto"/>
        <w:jc w:val="left"/>
        <w:rPr>
          <w:sz w:val="24"/>
          <w:szCs w:val="24"/>
        </w:rPr>
      </w:pPr>
      <w:r w:rsidRPr="00883D82">
        <w:rPr>
          <w:b/>
          <w:bCs/>
          <w:sz w:val="24"/>
          <w:szCs w:val="24"/>
        </w:rPr>
        <w:t>Original Proceeding</w:t>
      </w:r>
      <w:r w:rsidRPr="00883D82">
        <w:rPr>
          <w:sz w:val="24"/>
          <w:szCs w:val="24"/>
        </w:rPr>
        <w:t xml:space="preserve">  XX on request by 9th Circuit (Cal. Rules of Court, rule 8.548)</w:t>
      </w:r>
    </w:p>
    <w:p w:rsidR="00883D82" w:rsidRPr="00883D82" w:rsidP="00883D82" w14:paraId="288E2CFA" w14:textId="77777777">
      <w:pPr>
        <w:spacing w:after="0" w:line="240" w:lineRule="auto"/>
        <w:jc w:val="left"/>
        <w:rPr>
          <w:sz w:val="24"/>
          <w:szCs w:val="24"/>
        </w:rPr>
      </w:pPr>
      <w:r w:rsidRPr="00883D82">
        <w:rPr>
          <w:b/>
          <w:bCs/>
          <w:sz w:val="24"/>
          <w:szCs w:val="24"/>
        </w:rPr>
        <w:t>Review Granted</w:t>
      </w:r>
      <w:r w:rsidRPr="00883D82">
        <w:rPr>
          <w:sz w:val="24"/>
          <w:szCs w:val="24"/>
        </w:rPr>
        <w:t xml:space="preserve"> </w:t>
      </w:r>
      <w:r w:rsidRPr="00883D82">
        <w:rPr>
          <w:b/>
          <w:bCs/>
          <w:sz w:val="24"/>
          <w:szCs w:val="24"/>
        </w:rPr>
        <w:t>(published)</w:t>
      </w:r>
    </w:p>
    <w:p w:rsidR="00883D82" w:rsidRPr="00883D82" w:rsidP="00883D82" w14:paraId="71604DEE" w14:textId="77777777">
      <w:pPr>
        <w:spacing w:after="0" w:line="240" w:lineRule="auto"/>
        <w:jc w:val="left"/>
        <w:rPr>
          <w:sz w:val="24"/>
          <w:szCs w:val="24"/>
        </w:rPr>
      </w:pPr>
      <w:r w:rsidRPr="00883D82">
        <w:rPr>
          <w:b/>
          <w:bCs/>
          <w:sz w:val="24"/>
          <w:szCs w:val="24"/>
        </w:rPr>
        <w:t xml:space="preserve">Review Granted (unpublished) </w:t>
      </w:r>
    </w:p>
    <w:p w:rsidR="00883D82" w:rsidRPr="00883D82" w:rsidP="00883D82" w14:paraId="169A9EDF" w14:textId="77777777">
      <w:pPr>
        <w:spacing w:after="0" w:line="240" w:lineRule="auto"/>
        <w:jc w:val="left"/>
        <w:rPr>
          <w:b/>
          <w:bCs/>
          <w:sz w:val="24"/>
          <w:szCs w:val="24"/>
        </w:rPr>
      </w:pPr>
      <w:r w:rsidRPr="00883D82">
        <w:rPr>
          <w:b/>
          <w:bCs/>
          <w:sz w:val="24"/>
          <w:szCs w:val="24"/>
        </w:rPr>
        <w:t>Rehearing Granted</w:t>
      </w:r>
    </w:p>
    <w:p w:rsidR="00883D82" w:rsidRPr="00883D82" w:rsidP="00883D82" w14:paraId="44CD8AC8" w14:textId="77777777">
      <w:pPr>
        <w:spacing w:after="0" w:line="240" w:lineRule="auto"/>
        <w:jc w:val="left"/>
        <w:rPr>
          <w:b/>
          <w:sz w:val="24"/>
          <w:szCs w:val="24"/>
        </w:rPr>
      </w:pPr>
      <w:r w:rsidRPr="00883D82">
        <w:rPr>
          <w:b/>
          <w:sz w:val="24"/>
          <w:szCs w:val="24"/>
        </w:rPr>
        <w:t xml:space="preserve">__________________________________________________________ </w:t>
      </w:r>
    </w:p>
    <w:p w:rsidR="00883D82" w:rsidRPr="00883D82" w:rsidP="00883D82" w14:paraId="1C51F639" w14:textId="77777777">
      <w:pPr>
        <w:spacing w:after="0" w:line="240" w:lineRule="auto"/>
        <w:jc w:val="left"/>
        <w:rPr>
          <w:b/>
          <w:sz w:val="24"/>
          <w:szCs w:val="24"/>
        </w:rPr>
      </w:pPr>
    </w:p>
    <w:p w:rsidR="00883D82" w:rsidRPr="00883D82" w:rsidP="00883D82" w14:paraId="0F5F9AD6" w14:textId="77777777">
      <w:pPr>
        <w:spacing w:after="0" w:line="240" w:lineRule="auto"/>
        <w:jc w:val="left"/>
        <w:rPr>
          <w:bCs/>
          <w:sz w:val="24"/>
          <w:szCs w:val="24"/>
        </w:rPr>
      </w:pPr>
      <w:r w:rsidRPr="00883D82">
        <w:rPr>
          <w:b/>
          <w:sz w:val="24"/>
          <w:szCs w:val="24"/>
        </w:rPr>
        <w:t>Opinion No.</w:t>
      </w:r>
      <w:r w:rsidRPr="00883D82">
        <w:rPr>
          <w:sz w:val="24"/>
          <w:szCs w:val="24"/>
        </w:rPr>
        <w:t xml:space="preserve"> S267746</w:t>
      </w:r>
    </w:p>
    <w:p w:rsidR="00883D82" w:rsidRPr="00883D82" w:rsidP="00883D82" w14:paraId="61C3CB12" w14:textId="77777777">
      <w:pPr>
        <w:spacing w:after="0" w:line="240" w:lineRule="auto"/>
        <w:jc w:val="left"/>
        <w:rPr>
          <w:bCs/>
          <w:sz w:val="24"/>
          <w:szCs w:val="24"/>
        </w:rPr>
      </w:pPr>
      <w:r w:rsidRPr="00883D82">
        <w:rPr>
          <w:b/>
          <w:sz w:val="24"/>
          <w:szCs w:val="24"/>
        </w:rPr>
        <w:t>Date Filed:</w:t>
      </w:r>
      <w:r w:rsidRPr="00883D82">
        <w:rPr>
          <w:sz w:val="24"/>
          <w:szCs w:val="24"/>
        </w:rPr>
        <w:t xml:space="preserve">  July 24, 2023</w:t>
      </w:r>
    </w:p>
    <w:p w:rsidR="00883D82" w:rsidRPr="00883D82" w:rsidP="00883D82" w14:paraId="2F526EBF" w14:textId="77777777">
      <w:pPr>
        <w:spacing w:after="0" w:line="240" w:lineRule="auto"/>
        <w:jc w:val="left"/>
        <w:rPr>
          <w:b/>
          <w:sz w:val="24"/>
          <w:szCs w:val="24"/>
        </w:rPr>
      </w:pPr>
      <w:r w:rsidRPr="00883D82">
        <w:rPr>
          <w:b/>
          <w:sz w:val="24"/>
          <w:szCs w:val="24"/>
        </w:rPr>
        <w:t xml:space="preserve">__________________________________________________________ </w:t>
      </w:r>
    </w:p>
    <w:p w:rsidR="00883D82" w:rsidRPr="00883D82" w:rsidP="00883D82" w14:paraId="086F5CDF" w14:textId="77777777">
      <w:pPr>
        <w:spacing w:after="0" w:line="240" w:lineRule="auto"/>
        <w:jc w:val="left"/>
        <w:rPr>
          <w:b/>
          <w:sz w:val="24"/>
          <w:szCs w:val="24"/>
        </w:rPr>
      </w:pPr>
    </w:p>
    <w:p w:rsidR="00883D82" w:rsidRPr="00883D82" w:rsidP="00883D82" w14:paraId="334A956E" w14:textId="77777777">
      <w:pPr>
        <w:spacing w:after="0" w:line="240" w:lineRule="auto"/>
        <w:jc w:val="left"/>
        <w:rPr>
          <w:bCs/>
          <w:sz w:val="24"/>
          <w:szCs w:val="24"/>
        </w:rPr>
      </w:pPr>
      <w:r w:rsidRPr="00883D82">
        <w:rPr>
          <w:b/>
          <w:sz w:val="24"/>
          <w:szCs w:val="24"/>
        </w:rPr>
        <w:t xml:space="preserve">Court:  </w:t>
      </w:r>
    </w:p>
    <w:p w:rsidR="00883D82" w:rsidRPr="00883D82" w:rsidP="00883D82" w14:paraId="4F535C33" w14:textId="77777777">
      <w:pPr>
        <w:spacing w:after="0" w:line="240" w:lineRule="auto"/>
        <w:jc w:val="left"/>
        <w:rPr>
          <w:bCs/>
          <w:sz w:val="24"/>
          <w:szCs w:val="24"/>
        </w:rPr>
      </w:pPr>
      <w:r w:rsidRPr="00883D82">
        <w:rPr>
          <w:b/>
          <w:sz w:val="24"/>
          <w:szCs w:val="24"/>
        </w:rPr>
        <w:t xml:space="preserve">County:  </w:t>
      </w:r>
    </w:p>
    <w:p w:rsidR="00883D82" w:rsidRPr="00883D82" w:rsidP="00883D82" w14:paraId="4C04F60E" w14:textId="77777777">
      <w:pPr>
        <w:spacing w:after="0" w:line="240" w:lineRule="auto"/>
        <w:ind w:left="720" w:hanging="720"/>
        <w:jc w:val="left"/>
        <w:rPr>
          <w:bCs/>
          <w:sz w:val="24"/>
          <w:szCs w:val="24"/>
        </w:rPr>
      </w:pPr>
      <w:r w:rsidRPr="00883D82">
        <w:rPr>
          <w:b/>
          <w:sz w:val="24"/>
          <w:szCs w:val="24"/>
        </w:rPr>
        <w:t xml:space="preserve">Judge: </w:t>
      </w:r>
      <w:r w:rsidRPr="00883D82">
        <w:rPr>
          <w:bCs/>
          <w:sz w:val="24"/>
          <w:szCs w:val="24"/>
        </w:rPr>
        <w:t xml:space="preserve"> </w:t>
      </w:r>
    </w:p>
    <w:p w:rsidR="00883D82" w:rsidRPr="00883D82" w:rsidP="00883D82" w14:paraId="756055A4" w14:textId="77777777">
      <w:pPr>
        <w:spacing w:after="0" w:line="240" w:lineRule="auto"/>
        <w:jc w:val="left"/>
        <w:rPr>
          <w:b/>
          <w:sz w:val="24"/>
          <w:szCs w:val="24"/>
        </w:rPr>
      </w:pPr>
      <w:r w:rsidRPr="00883D82">
        <w:rPr>
          <w:b/>
          <w:sz w:val="24"/>
          <w:szCs w:val="24"/>
        </w:rPr>
        <w:t xml:space="preserve">__________________________________________________________  </w:t>
      </w:r>
    </w:p>
    <w:p w:rsidR="00883D82" w:rsidRPr="00883D82" w:rsidP="00883D82" w14:paraId="0BC27DA0" w14:textId="77777777">
      <w:pPr>
        <w:spacing w:after="0" w:line="240" w:lineRule="auto"/>
        <w:jc w:val="left"/>
        <w:rPr>
          <w:b/>
          <w:sz w:val="24"/>
          <w:szCs w:val="24"/>
        </w:rPr>
      </w:pPr>
    </w:p>
    <w:p w:rsidR="00883D82" w:rsidRPr="00883D82" w:rsidP="00883D82" w14:paraId="3F5A1F25" w14:textId="77777777">
      <w:pPr>
        <w:spacing w:after="0" w:line="240" w:lineRule="auto"/>
        <w:jc w:val="left"/>
        <w:rPr>
          <w:b/>
          <w:sz w:val="24"/>
          <w:szCs w:val="24"/>
        </w:rPr>
      </w:pPr>
      <w:r w:rsidRPr="00883D82">
        <w:rPr>
          <w:b/>
          <w:sz w:val="24"/>
          <w:szCs w:val="24"/>
        </w:rPr>
        <w:t>Counsel:</w:t>
      </w:r>
    </w:p>
    <w:p w:rsidR="00883D82" w:rsidRPr="00883D82" w:rsidP="00883D82" w14:paraId="7F6994DF" w14:textId="77777777">
      <w:pPr>
        <w:spacing w:after="0" w:line="240" w:lineRule="auto"/>
        <w:jc w:val="left"/>
        <w:rPr>
          <w:b/>
          <w:sz w:val="24"/>
          <w:szCs w:val="24"/>
        </w:rPr>
      </w:pPr>
    </w:p>
    <w:p w:rsidR="00883D82" w:rsidRPr="00883D82" w:rsidP="00883D82" w14:paraId="10812554" w14:textId="77777777">
      <w:pPr>
        <w:spacing w:after="0" w:line="240" w:lineRule="auto"/>
        <w:jc w:val="left"/>
        <w:rPr>
          <w:bCs/>
          <w:sz w:val="24"/>
          <w:szCs w:val="24"/>
        </w:rPr>
      </w:pPr>
      <w:r w:rsidRPr="00883D82">
        <w:rPr>
          <w:bCs/>
          <w:sz w:val="24"/>
          <w:szCs w:val="24"/>
        </w:rPr>
        <w:t>Patrick Howe Law, Patrick M. Howe; Horvitz &amp; Levy, Lisa Perrochet and Peder K. Batalden for Defendant and Appellant.</w:t>
      </w:r>
    </w:p>
    <w:p w:rsidR="00883D82" w:rsidRPr="00883D82" w:rsidP="00883D82" w14:paraId="4581B3CC" w14:textId="77777777">
      <w:pPr>
        <w:spacing w:after="0" w:line="240" w:lineRule="auto"/>
        <w:jc w:val="left"/>
        <w:rPr>
          <w:bCs/>
          <w:sz w:val="24"/>
          <w:szCs w:val="24"/>
        </w:rPr>
      </w:pPr>
    </w:p>
    <w:p w:rsidR="00883D82" w:rsidRPr="00883D82" w:rsidP="00883D82" w14:paraId="1BDB805D" w14:textId="77777777">
      <w:pPr>
        <w:spacing w:after="0" w:line="240" w:lineRule="auto"/>
        <w:jc w:val="left"/>
        <w:rPr>
          <w:bCs/>
          <w:sz w:val="24"/>
          <w:szCs w:val="24"/>
        </w:rPr>
      </w:pPr>
      <w:r w:rsidRPr="00883D82">
        <w:rPr>
          <w:bCs/>
          <w:sz w:val="24"/>
          <w:szCs w:val="24"/>
        </w:rPr>
        <w:t>Booth, Hillary Arrow Booth and Ian P. Culver for Plaintiff and Respondent.</w:t>
      </w:r>
    </w:p>
    <w:p w:rsidR="00883D82" w:rsidRPr="00883D82" w:rsidP="00883D82" w14:paraId="4ED82ECD" w14:textId="77777777">
      <w:pPr>
        <w:spacing w:after="0" w:line="240" w:lineRule="auto"/>
        <w:jc w:val="left"/>
        <w:rPr>
          <w:b/>
          <w:sz w:val="24"/>
          <w:szCs w:val="24"/>
        </w:rPr>
      </w:pPr>
    </w:p>
    <w:p w:rsidR="00883D82" w:rsidRPr="00883D82" w:rsidP="00883D82" w14:paraId="56883F18" w14:textId="77777777">
      <w:pPr>
        <w:spacing w:after="0" w:line="240" w:lineRule="auto"/>
        <w:jc w:val="left"/>
        <w:rPr>
          <w:color w:val="212121"/>
          <w:sz w:val="24"/>
          <w:szCs w:val="24"/>
          <w:shd w:val="clear" w:color="auto" w:fill="FFFFFF"/>
        </w:rPr>
      </w:pPr>
      <w:r w:rsidRPr="00883D82">
        <w:rPr>
          <w:color w:val="212121"/>
          <w:sz w:val="24"/>
          <w:szCs w:val="24"/>
          <w:shd w:val="clear" w:color="auto" w:fill="FFFFFF"/>
        </w:rPr>
        <w:br w:type="page"/>
      </w:r>
      <w:r w:rsidRPr="00883D82">
        <w:rPr>
          <w:b/>
          <w:sz w:val="24"/>
          <w:szCs w:val="24"/>
        </w:rPr>
        <w:t>Counsel who argued in Supreme Court (not intended for publication with opinion):</w:t>
      </w:r>
    </w:p>
    <w:p w:rsidR="00883D82" w:rsidRPr="00883D82" w:rsidP="00883D82" w14:paraId="43E966A4" w14:textId="77777777">
      <w:pPr>
        <w:spacing w:after="0" w:line="240" w:lineRule="auto"/>
        <w:jc w:val="left"/>
        <w:rPr>
          <w:sz w:val="24"/>
          <w:szCs w:val="24"/>
        </w:rPr>
      </w:pPr>
    </w:p>
    <w:p w:rsidR="00883D82" w:rsidRPr="00883D82" w:rsidP="00883D82" w14:paraId="6C138322" w14:textId="77777777">
      <w:pPr>
        <w:spacing w:after="0" w:line="240" w:lineRule="auto"/>
        <w:jc w:val="left"/>
        <w:rPr>
          <w:bCs/>
          <w:sz w:val="24"/>
          <w:szCs w:val="24"/>
        </w:rPr>
      </w:pPr>
      <w:r w:rsidRPr="00883D82">
        <w:rPr>
          <w:bCs/>
          <w:sz w:val="24"/>
          <w:szCs w:val="24"/>
        </w:rPr>
        <w:t>Peder K. Batalden</w:t>
      </w:r>
    </w:p>
    <w:p w:rsidR="00883D82" w:rsidRPr="00883D82" w:rsidP="00883D82" w14:paraId="439A9C39" w14:textId="77777777">
      <w:pPr>
        <w:spacing w:after="0" w:line="240" w:lineRule="auto"/>
        <w:jc w:val="left"/>
        <w:rPr>
          <w:bCs/>
          <w:sz w:val="24"/>
          <w:szCs w:val="24"/>
        </w:rPr>
      </w:pPr>
      <w:r w:rsidRPr="00883D82">
        <w:rPr>
          <w:bCs/>
          <w:sz w:val="24"/>
          <w:szCs w:val="24"/>
        </w:rPr>
        <w:t>Horvitz &amp; Levy LLP</w:t>
      </w:r>
    </w:p>
    <w:p w:rsidR="00883D82" w:rsidRPr="00883D82" w:rsidP="00883D82" w14:paraId="1D680DB4" w14:textId="77777777">
      <w:pPr>
        <w:spacing w:after="0" w:line="240" w:lineRule="auto"/>
        <w:jc w:val="left"/>
        <w:rPr>
          <w:bCs/>
          <w:sz w:val="24"/>
          <w:szCs w:val="24"/>
        </w:rPr>
      </w:pPr>
      <w:r w:rsidRPr="00883D82">
        <w:rPr>
          <w:bCs/>
          <w:sz w:val="24"/>
          <w:szCs w:val="24"/>
        </w:rPr>
        <w:t>3601 West Olive Avenue, 8th Floor</w:t>
      </w:r>
    </w:p>
    <w:p w:rsidR="00883D82" w:rsidRPr="00883D82" w:rsidP="00883D82" w14:paraId="3BE26172" w14:textId="77777777">
      <w:pPr>
        <w:spacing w:after="0" w:line="240" w:lineRule="auto"/>
        <w:jc w:val="left"/>
        <w:rPr>
          <w:sz w:val="24"/>
          <w:szCs w:val="24"/>
        </w:rPr>
      </w:pPr>
      <w:r w:rsidRPr="00883D82">
        <w:rPr>
          <w:sz w:val="24"/>
          <w:szCs w:val="24"/>
        </w:rPr>
        <w:t>Burbank, CA 91505</w:t>
      </w:r>
    </w:p>
    <w:p w:rsidR="00883D82" w:rsidRPr="00883D82" w:rsidP="00883D82" w14:paraId="76C12EF3" w14:textId="77777777">
      <w:pPr>
        <w:spacing w:after="0" w:line="240" w:lineRule="auto"/>
        <w:jc w:val="left"/>
        <w:rPr>
          <w:sz w:val="24"/>
          <w:szCs w:val="24"/>
        </w:rPr>
      </w:pPr>
      <w:r w:rsidRPr="00883D82">
        <w:rPr>
          <w:sz w:val="24"/>
          <w:szCs w:val="24"/>
        </w:rPr>
        <w:t>(818) 995-0800</w:t>
      </w:r>
    </w:p>
    <w:p w:rsidR="00883D82" w:rsidRPr="00883D82" w:rsidP="00883D82" w14:paraId="6C3306A1" w14:textId="77777777">
      <w:pPr>
        <w:spacing w:after="0" w:line="240" w:lineRule="auto"/>
        <w:jc w:val="left"/>
        <w:rPr>
          <w:sz w:val="24"/>
          <w:szCs w:val="24"/>
        </w:rPr>
      </w:pPr>
    </w:p>
    <w:p w:rsidR="00883D82" w:rsidRPr="00883D82" w:rsidP="00883D82" w14:paraId="7C922D1F" w14:textId="77777777">
      <w:pPr>
        <w:spacing w:after="0" w:line="240" w:lineRule="auto"/>
        <w:jc w:val="left"/>
        <w:rPr>
          <w:bCs/>
          <w:sz w:val="24"/>
          <w:szCs w:val="24"/>
        </w:rPr>
      </w:pPr>
      <w:r w:rsidRPr="00883D82">
        <w:rPr>
          <w:bCs/>
          <w:sz w:val="24"/>
          <w:szCs w:val="24"/>
        </w:rPr>
        <w:t>Hillary Arrow Booth</w:t>
      </w:r>
    </w:p>
    <w:p w:rsidR="00883D82" w:rsidRPr="00883D82" w:rsidP="00883D82" w14:paraId="0ED9E7FD" w14:textId="77777777">
      <w:pPr>
        <w:spacing w:after="0" w:line="240" w:lineRule="auto"/>
        <w:jc w:val="left"/>
        <w:rPr>
          <w:bCs/>
          <w:sz w:val="24"/>
          <w:szCs w:val="24"/>
        </w:rPr>
      </w:pPr>
      <w:r w:rsidRPr="00883D82">
        <w:rPr>
          <w:bCs/>
          <w:sz w:val="24"/>
          <w:szCs w:val="24"/>
        </w:rPr>
        <w:t>Booth LLP</w:t>
      </w:r>
    </w:p>
    <w:p w:rsidR="00883D82" w:rsidRPr="00883D82" w:rsidP="00883D82" w14:paraId="58A593C6" w14:textId="77777777">
      <w:pPr>
        <w:spacing w:after="0" w:line="240" w:lineRule="auto"/>
        <w:jc w:val="left"/>
        <w:rPr>
          <w:sz w:val="24"/>
          <w:szCs w:val="24"/>
        </w:rPr>
      </w:pPr>
      <w:r w:rsidRPr="00883D82">
        <w:rPr>
          <w:sz w:val="24"/>
          <w:szCs w:val="24"/>
        </w:rPr>
        <w:t xml:space="preserve">11835 West Olympic Boulevard, Suite 600E </w:t>
      </w:r>
    </w:p>
    <w:p w:rsidR="00883D82" w:rsidRPr="00883D82" w:rsidP="00883D82" w14:paraId="6322FBFA" w14:textId="77777777">
      <w:pPr>
        <w:spacing w:after="0" w:line="240" w:lineRule="auto"/>
        <w:jc w:val="left"/>
        <w:rPr>
          <w:sz w:val="24"/>
          <w:szCs w:val="24"/>
        </w:rPr>
      </w:pPr>
      <w:r w:rsidRPr="00883D82">
        <w:rPr>
          <w:sz w:val="24"/>
          <w:szCs w:val="24"/>
        </w:rPr>
        <w:t>Los Angeles, CA 90064</w:t>
      </w:r>
    </w:p>
    <w:p w:rsidR="00883D82" w:rsidRPr="00883D82" w:rsidP="00883D82" w14:paraId="502998FC" w14:textId="77777777">
      <w:pPr>
        <w:spacing w:after="0" w:line="240" w:lineRule="auto"/>
        <w:jc w:val="left"/>
        <w:rPr>
          <w:sz w:val="24"/>
          <w:szCs w:val="24"/>
        </w:rPr>
      </w:pPr>
      <w:r w:rsidRPr="00883D82">
        <w:rPr>
          <w:sz w:val="24"/>
          <w:szCs w:val="24"/>
        </w:rPr>
        <w:t>(310) 641-1800</w:t>
      </w:r>
    </w:p>
    <w:p w:rsidR="00202F42" w:rsidRPr="00202F42" w:rsidP="00202F42" w14:paraId="02C978C2" w14:textId="77777777">
      <w:pPr>
        <w:tabs>
          <w:tab w:val="left" w:pos="1440"/>
        </w:tabs>
        <w:jc w:val="left"/>
        <w:rPr>
          <w:b/>
          <w:bCs/>
        </w:rPr>
      </w:pPr>
    </w:p>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427" w14:paraId="02C978C9"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EF6" w14:paraId="02C978CA"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2E4" w:rsidP="004E02E4" w14:paraId="5F996094" w14:textId="1A1AEE93">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04BE" w14:paraId="02C978C3" w14:textId="77777777">
      <w:r>
        <w:separator/>
      </w:r>
    </w:p>
  </w:footnote>
  <w:footnote w:type="continuationSeparator" w:id="1">
    <w:p w:rsidR="00A304BE" w:rsidP="008B7BB4" w14:paraId="02C978C4" w14:textId="77777777">
      <w:pPr>
        <w:rPr>
          <w:sz w:val="22"/>
        </w:rPr>
      </w:pPr>
      <w:r>
        <w:continuationSeparator/>
      </w:r>
    </w:p>
  </w:footnote>
  <w:footnote w:type="continuationNotice" w:id="2">
    <w:p w:rsidR="00A304BE" w14:paraId="02C978C5" w14:textId="77777777">
      <w:pPr>
        <w:jc w:val="right"/>
        <w:rPr>
          <w:i/>
          <w:sz w:val="20"/>
        </w:rPr>
      </w:pPr>
    </w:p>
  </w:footnote>
  <w:footnote w:id="3">
    <w:p w:rsidR="0033513C" w:rsidP="00482EF6" w14:paraId="02C978CB" w14:textId="77777777">
      <w:pPr>
        <w:pStyle w:val="FootnoteText"/>
      </w:pPr>
      <w:r>
        <w:rPr>
          <w:rStyle w:val="FootnoteReference"/>
        </w:rPr>
        <w:footnoteRef/>
      </w:r>
      <w:r>
        <w:t xml:space="preserve"> </w:t>
      </w:r>
      <w:r>
        <w:tab/>
      </w:r>
      <w:r w:rsidRPr="00B05184">
        <w:t>Cal</w:t>
      </w:r>
      <w:r>
        <w:t xml:space="preserve">ifornia </w:t>
      </w:r>
      <w:r w:rsidRPr="00B05184">
        <w:t>Rules of Court, rule 8.548</w:t>
      </w:r>
      <w:r>
        <w:t xml:space="preserve">.  </w:t>
      </w:r>
    </w:p>
  </w:footnote>
  <w:footnote w:id="4">
    <w:p w:rsidR="00B05184" w:rsidP="00482EF6" w14:paraId="02C978CC" w14:textId="77777777">
      <w:pPr>
        <w:pStyle w:val="FootnoteText"/>
      </w:pPr>
      <w:r>
        <w:rPr>
          <w:rStyle w:val="FootnoteReference"/>
        </w:rPr>
        <w:footnoteRef/>
      </w:r>
      <w:r>
        <w:t xml:space="preserve"> </w:t>
      </w:r>
      <w:r>
        <w:tab/>
      </w:r>
      <w:r w:rsidRPr="00D252CC">
        <w:t>All undesignated statutory references are to the Vehicle Code.</w:t>
      </w:r>
    </w:p>
  </w:footnote>
  <w:footnote w:id="5">
    <w:p w:rsidR="000A7378" w:rsidP="00482EF6" w14:paraId="02C978CD" w14:textId="77777777">
      <w:pPr>
        <w:pStyle w:val="FootnoteText"/>
      </w:pPr>
      <w:r>
        <w:rPr>
          <w:rStyle w:val="FootnoteReference"/>
        </w:rPr>
        <w:footnoteRef/>
      </w:r>
      <w:r>
        <w:t xml:space="preserve"> </w:t>
      </w:r>
      <w:r>
        <w:tab/>
      </w:r>
      <w:r w:rsidRPr="00674743" w:rsidR="00674743">
        <w:t>Section 34631.5, subdivision (a), establishes the required minimum amount of liability protection for bodily injury, death, and property damage.  (§ 346</w:t>
      </w:r>
      <w:r w:rsidR="00674743">
        <w:t>3</w:t>
      </w:r>
      <w:r w:rsidRPr="00674743" w:rsidR="00674743">
        <w:t xml:space="preserve">1.5, subd. (a)(1)–(4).)  </w:t>
      </w:r>
      <w:r w:rsidR="00654267">
        <w:t xml:space="preserve">The </w:t>
      </w:r>
      <w:r w:rsidRPr="000A7378">
        <w:t>proof of financial responsibility required under section 34630</w:t>
      </w:r>
      <w:r w:rsidR="009A1EA4">
        <w:t xml:space="preserve"> </w:t>
      </w:r>
      <w:r w:rsidRPr="000A7378">
        <w:t>must “be evidenced by the deposit with the [DMV], covering each vehicle used or to be used under the motor carrier permit . . .</w:t>
      </w:r>
      <w:r w:rsidR="00104287">
        <w:t xml:space="preserve"> </w:t>
      </w:r>
      <w:r w:rsidRPr="000A7378">
        <w:t>, of one of the following”:  (1) a certificate of insurance issued by an insurance company; (2) a surety bond issued by a company licensed to write surety bonds in the state; (3) evidence of qualification as a self-insurer; or (4) evidence that coverage is provided by a charitable risk pool.  (</w:t>
      </w:r>
      <w:r w:rsidR="009A1EA4">
        <w:t xml:space="preserve">§ </w:t>
      </w:r>
      <w:r w:rsidRPr="000A7378">
        <w:t>34631, subds. (a)</w:t>
      </w:r>
      <w:r w:rsidR="009A1EA4">
        <w:t>–</w:t>
      </w:r>
      <w:r w:rsidRPr="000A7378">
        <w:t>(d).)</w:t>
      </w:r>
    </w:p>
  </w:footnote>
  <w:footnote w:id="6">
    <w:p w:rsidR="006365E2" w:rsidP="00482EF6" w14:paraId="02C978CE" w14:textId="77777777">
      <w:pPr>
        <w:pStyle w:val="FootnoteText"/>
      </w:pPr>
      <w:r>
        <w:rPr>
          <w:rStyle w:val="FootnoteReference"/>
        </w:rPr>
        <w:footnoteRef/>
      </w:r>
      <w:r>
        <w:t xml:space="preserve"> </w:t>
      </w:r>
      <w:r>
        <w:tab/>
      </w:r>
      <w:r w:rsidRPr="006365E2">
        <w:t>To effectuate this requirement and prohibition, the Act requires that “</w:t>
      </w:r>
      <w:r w:rsidR="008B7BB4">
        <w:t>[</w:t>
      </w:r>
      <w:r w:rsidRPr="006365E2">
        <w:t>e</w:t>
      </w:r>
      <w:r w:rsidR="008B7BB4">
        <w:t>]</w:t>
      </w:r>
      <w:r w:rsidRPr="006365E2">
        <w:t xml:space="preserve">very insurance certificate or equivalent protection to the public . . . contain a provision that the certificate or equivalent protection shall remain in full force and effect until canceled in the manner provided </w:t>
      </w:r>
      <w:r w:rsidR="008B7BB4">
        <w:t>by</w:t>
      </w:r>
      <w:r w:rsidRPr="006365E2">
        <w:t xml:space="preserve"> [section 34631.5, subdivision (b)(3)].”  (</w:t>
      </w:r>
      <w:r>
        <w:t>§ </w:t>
      </w:r>
      <w:r w:rsidRPr="006365E2">
        <w:t xml:space="preserve">34631.5, subd. (b)(4).)  Section 34631.5, subdivision (b)(3) provides that a certificate of insurance </w:t>
      </w:r>
      <w:r w:rsidR="00270F87">
        <w:t>“</w:t>
      </w:r>
      <w:r w:rsidRPr="006365E2">
        <w:t>shall not be cancelable on less than 30 days’ written notice to the [DMV].”</w:t>
      </w:r>
      <w:r w:rsidR="000C6451">
        <w:t xml:space="preserve">  </w:t>
      </w:r>
      <w:r w:rsidRPr="000C6451" w:rsidR="000C6451">
        <w:t xml:space="preserve">California Code of Regulations, title 13, section 220.06, subdivision (c) provides that “[w]ritten notice of cancellation of [a] Certificate of Insurance, required under [section 34630, subdivision (b)], shall be submitted by the insurer to the department on a Notice of Cancellation of Insurance.”  </w:t>
      </w:r>
      <w:r w:rsidR="001C28AF">
        <w:t xml:space="preserve">This form is referred to herein as a cancellation notice.  </w:t>
      </w:r>
    </w:p>
  </w:footnote>
  <w:footnote w:id="7">
    <w:p w:rsidR="00485AC5" w:rsidP="00482EF6" w14:paraId="02C978CF" w14:textId="77777777">
      <w:pPr>
        <w:pStyle w:val="FootnoteText"/>
      </w:pPr>
      <w:r>
        <w:rPr>
          <w:rStyle w:val="FootnoteReference"/>
        </w:rPr>
        <w:footnoteRef/>
      </w:r>
      <w:r>
        <w:t xml:space="preserve"> </w:t>
      </w:r>
      <w:r>
        <w:tab/>
      </w:r>
      <w:r w:rsidRPr="00612863">
        <w:t>Unlike the policy</w:t>
      </w:r>
      <w:r>
        <w:t xml:space="preserve">, </w:t>
      </w:r>
      <w:r w:rsidRPr="00612863">
        <w:t xml:space="preserve">the “coverage provided by the endorsement exclude[d] any costs of defense or other expense that the policy provides.”  </w:t>
      </w:r>
    </w:p>
  </w:footnote>
  <w:footnote w:id="8">
    <w:p w:rsidR="00E95A87" w:rsidP="00482EF6" w14:paraId="02C978D0" w14:textId="77777777">
      <w:pPr>
        <w:pStyle w:val="FootnoteText"/>
      </w:pPr>
      <w:r>
        <w:rPr>
          <w:rStyle w:val="FootnoteReference"/>
        </w:rPr>
        <w:footnoteRef/>
      </w:r>
      <w:r>
        <w:t xml:space="preserve"> </w:t>
      </w:r>
      <w:r>
        <w:tab/>
        <w:t xml:space="preserve">The </w:t>
      </w:r>
      <w:r w:rsidR="008D07BB">
        <w:t>d</w:t>
      </w:r>
      <w:r>
        <w:t xml:space="preserve">istrict </w:t>
      </w:r>
      <w:r w:rsidR="008D07BB">
        <w:t>c</w:t>
      </w:r>
      <w:r>
        <w:t xml:space="preserve">ourt also </w:t>
      </w:r>
      <w:r w:rsidRPr="00402E3B">
        <w:t>addressed and rejected</w:t>
      </w:r>
      <w:r w:rsidR="007B6221">
        <w:t xml:space="preserve"> </w:t>
      </w:r>
      <w:r w:rsidRPr="00402E3B">
        <w:t>United’s argument that a certificate of insurance</w:t>
      </w:r>
      <w:r w:rsidR="007B6221">
        <w:t xml:space="preserve"> </w:t>
      </w:r>
      <w:r w:rsidRPr="00402E3B">
        <w:t xml:space="preserve">that </w:t>
      </w:r>
      <w:r w:rsidR="007B6221">
        <w:t>“</w:t>
      </w:r>
      <w:r w:rsidRPr="00402E3B">
        <w:t>remains on record after a policy lapses functions as a surety, through which the insurer ‘promises to pay up to $750,000 towards a judgment against the trucker [for harm to a third party] where coverage for some reason is unavailable under an actual insurance policy.’</w:t>
      </w:r>
      <w:r w:rsidR="007D3DE0">
        <w:t> </w:t>
      </w:r>
      <w:r w:rsidRPr="00402E3B">
        <w:t>”</w:t>
      </w:r>
      <w:r w:rsidR="007D3DE0">
        <w:t xml:space="preserve">  </w:t>
      </w:r>
      <w:r>
        <w:t>The Ninth Circuit</w:t>
      </w:r>
      <w:r w:rsidR="007B6221">
        <w:t xml:space="preserve"> has not asked us to </w:t>
      </w:r>
      <w:r w:rsidR="00EE6784">
        <w:t xml:space="preserve">assess </w:t>
      </w:r>
      <w:r w:rsidR="007B6221">
        <w:t>the propriety of that ruling</w:t>
      </w:r>
      <w:r w:rsidR="00D676EF">
        <w:t xml:space="preserve">, </w:t>
      </w:r>
      <w:r>
        <w:t xml:space="preserve">and </w:t>
      </w:r>
      <w:r w:rsidR="007B6221">
        <w:t xml:space="preserve">we </w:t>
      </w:r>
      <w:r>
        <w:t xml:space="preserve">express no view on </w:t>
      </w:r>
      <w:r w:rsidR="007545D6">
        <w:t>it</w:t>
      </w:r>
      <w:r>
        <w:t>.</w:t>
      </w:r>
    </w:p>
  </w:footnote>
  <w:footnote w:id="9">
    <w:p w:rsidR="00027EAD" w14:paraId="02C978D1" w14:textId="77777777">
      <w:pPr>
        <w:pStyle w:val="FootnoteText"/>
      </w:pPr>
      <w:r>
        <w:rPr>
          <w:rStyle w:val="FootnoteReference"/>
        </w:rPr>
        <w:footnoteRef/>
      </w:r>
      <w:r>
        <w:t xml:space="preserve"> </w:t>
      </w:r>
      <w:r>
        <w:tab/>
      </w:r>
      <w:r w:rsidR="001511C1">
        <w:t xml:space="preserve">Under the HCA, </w:t>
      </w:r>
      <w:r w:rsidR="00200FB9">
        <w:t xml:space="preserve">an </w:t>
      </w:r>
      <w:r w:rsidR="001511C1">
        <w:t xml:space="preserve">insurer was required to </w:t>
      </w:r>
      <w:r w:rsidR="00CE54BB">
        <w:t>“</w:t>
      </w:r>
      <w:r w:rsidR="00826E28">
        <w:t> </w:t>
      </w:r>
      <w:r w:rsidR="007F37D7">
        <w:t>‘</w:t>
      </w:r>
      <w:r w:rsidR="00CE54BB">
        <w:t>deposit</w:t>
      </w:r>
      <w:r w:rsidR="007F37D7">
        <w:t>’ </w:t>
      </w:r>
      <w:r w:rsidR="00CE54BB">
        <w:t xml:space="preserve">” </w:t>
      </w:r>
      <w:r w:rsidR="00C54F56">
        <w:t xml:space="preserve">a </w:t>
      </w:r>
      <w:r w:rsidR="00C73CF0">
        <w:t>“</w:t>
      </w:r>
      <w:r w:rsidR="007F37D7">
        <w:t> ‘</w:t>
      </w:r>
      <w:r w:rsidR="00C73CF0">
        <w:t>policy of insurance</w:t>
      </w:r>
      <w:r w:rsidR="007F37D7">
        <w:t>’ </w:t>
      </w:r>
      <w:r w:rsidR="00C73CF0">
        <w:t xml:space="preserve">” </w:t>
      </w:r>
      <w:r w:rsidR="00E7606E">
        <w:t xml:space="preserve">with the PUC </w:t>
      </w:r>
      <w:r w:rsidR="00C73CF0">
        <w:t>as proof of a trucker’s financial responsibility</w:t>
      </w:r>
      <w:r w:rsidR="003E6E40">
        <w:t xml:space="preserve"> (Pub. Util. Code, </w:t>
      </w:r>
      <w:r w:rsidR="007F37D7">
        <w:t xml:space="preserve">former </w:t>
      </w:r>
      <w:r w:rsidR="003E6E40">
        <w:t>§ 3632)</w:t>
      </w:r>
      <w:r w:rsidR="00B5338A">
        <w:t xml:space="preserve">, though </w:t>
      </w:r>
      <w:r w:rsidR="00200FB9">
        <w:t xml:space="preserve">with the PUC’s consent the insurer </w:t>
      </w:r>
      <w:r w:rsidR="003E6E40">
        <w:t>could file a certificate of insurance</w:t>
      </w:r>
      <w:r w:rsidR="00200FB9">
        <w:t xml:space="preserve"> </w:t>
      </w:r>
      <w:r w:rsidR="003E6E40">
        <w:t xml:space="preserve">“in lieu </w:t>
      </w:r>
      <w:r w:rsidR="00207A9C">
        <w:t xml:space="preserve">of the policy” </w:t>
      </w:r>
      <w:r w:rsidR="00E7606E">
        <w:t>(</w:t>
      </w:r>
      <w:r w:rsidRPr="00E67276" w:rsidR="0016348F">
        <w:rPr>
          <w:i/>
          <w:iCs/>
        </w:rPr>
        <w:t>Transamerica</w:t>
      </w:r>
      <w:r w:rsidR="0016348F">
        <w:t xml:space="preserve">, </w:t>
      </w:r>
      <w:r w:rsidRPr="00E67276" w:rsidR="0016348F">
        <w:rPr>
          <w:i/>
          <w:iCs/>
        </w:rPr>
        <w:t>supra</w:t>
      </w:r>
      <w:r w:rsidR="0016348F">
        <w:t xml:space="preserve">, 12 Cal.4th at p. 408 </w:t>
      </w:r>
      <w:r w:rsidR="00071977">
        <w:t xml:space="preserve">(dis. opn. of Baxter, J., citing </w:t>
      </w:r>
      <w:r w:rsidR="00E7606E">
        <w:t>Pub. Util</w:t>
      </w:r>
      <w:r w:rsidR="001A5A06">
        <w:t xml:space="preserve">. Code, </w:t>
      </w:r>
      <w:r w:rsidR="007F37D7">
        <w:t xml:space="preserve">former </w:t>
      </w:r>
      <w:r w:rsidR="001A5A06">
        <w:t>§</w:t>
      </w:r>
      <w:r w:rsidR="00071977">
        <w:t> </w:t>
      </w:r>
      <w:r w:rsidR="001A5A06">
        <w:t>363</w:t>
      </w:r>
      <w:r w:rsidR="00071977">
        <w:t>3</w:t>
      </w:r>
      <w:r w:rsidR="001A5A06">
        <w:t>)</w:t>
      </w:r>
      <w:r w:rsidR="00C65FD0">
        <w:t>.</w:t>
      </w:r>
      <w:r w:rsidR="001A5A06">
        <w:t xml:space="preserve">  </w:t>
      </w:r>
      <w:r w:rsidR="00B14B91">
        <w:t xml:space="preserve">Under the Act, </w:t>
      </w:r>
      <w:r w:rsidR="00C54F56">
        <w:t xml:space="preserve">an </w:t>
      </w:r>
      <w:r w:rsidR="00B14B91">
        <w:t>insurer need only file a certificate of insurance</w:t>
      </w:r>
      <w:r w:rsidR="00C54F56">
        <w:t xml:space="preserve"> to prove a motor carrier’s financial responsibility</w:t>
      </w:r>
      <w:r w:rsidR="00A40019">
        <w:t>.  (§ 34631.5, subd. (b)(1)</w:t>
      </w:r>
      <w:r w:rsidR="003625C9">
        <w:t xml:space="preserve">.)  </w:t>
      </w:r>
    </w:p>
  </w:footnote>
  <w:footnote w:id="10">
    <w:p w:rsidR="001828D8" w14:paraId="02C978D2" w14:textId="77777777">
      <w:pPr>
        <w:pStyle w:val="FootnoteText"/>
      </w:pPr>
      <w:r>
        <w:rPr>
          <w:rStyle w:val="FootnoteReference"/>
        </w:rPr>
        <w:footnoteRef/>
      </w:r>
      <w:r>
        <w:t xml:space="preserve"> </w:t>
      </w:r>
      <w:r w:rsidR="0008466C">
        <w:tab/>
        <w:t>We conclude that a policy can be cancelled even if the corresponding certificate of insurance remains on file.  Accordingly, we need not consider whether a subsequent, and properly filed</w:t>
      </w:r>
      <w:r w:rsidR="00D871C9">
        <w:t>, certificate of insurance supersedes the vitality of any previously filed certificate relating to the same policy.</w:t>
      </w:r>
      <w:r w:rsidR="00AF630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2EF6" w14:paraId="02C978C6" w14:textId="37D5B72D">
    <w:pPr>
      <w:pStyle w:val="Header"/>
    </w:pPr>
    <w:r>
      <w:t>ALLIED PREMIER INSURANCE v. UNITED FINANCIAL CASUALTY</w:t>
    </w:r>
    <w:r w:rsidR="0045689C">
      <w:t xml:space="preserve"> CO</w:t>
    </w:r>
    <w:r w:rsidR="0004010B">
      <w:t>MPANY</w:t>
    </w:r>
  </w:p>
  <w:p w:rsidR="00482EF6" w:rsidP="0004010B" w14:paraId="02C978C8" w14:textId="082F2B89">
    <w:pPr>
      <w:pStyle w:val="Header"/>
    </w:pPr>
    <w:r>
      <w:t>Opinion of the Court by Corrigan, 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2E4" w:rsidRPr="004E02E4" w:rsidP="004E02E4" w14:paraId="72EEEDC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533DF1"/>
    <w:multiLevelType w:val="hybridMultilevel"/>
    <w:tmpl w:val="2130951A"/>
    <w:lvl w:ilvl="0">
      <w:start w:val="1"/>
      <w:numFmt w:val="upperRoman"/>
      <w:lvlText w:val="%1."/>
      <w:lvlJc w:val="center"/>
      <w:pPr>
        <w:ind w:left="36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574321"/>
    <w:multiLevelType w:val="hybridMultilevel"/>
    <w:tmpl w:val="B2AAC0E4"/>
    <w:lvl w:ilvl="0">
      <w:start w:val="1"/>
      <w:numFmt w:val="upperRoman"/>
      <w:lvlText w:val="%1."/>
      <w:lvlJc w:val="center"/>
      <w:pPr>
        <w:ind w:left="36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530AC5"/>
    <w:multiLevelType w:val="hybridMultilevel"/>
    <w:tmpl w:val="91C83662"/>
    <w:lvl w:ilvl="0">
      <w:start w:val="1"/>
      <w:numFmt w:val="upperRoman"/>
      <w:lvlText w:val="%1."/>
      <w:lvlJc w:val="left"/>
      <w:pPr>
        <w:ind w:left="36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454F1C"/>
    <w:multiLevelType w:val="hybridMultilevel"/>
    <w:tmpl w:val="179042C2"/>
    <w:lvl w:ilvl="0">
      <w:start w:val="1"/>
      <w:numFmt w:val="upperLetter"/>
      <w:lvlText w:val="%1."/>
      <w:lvlJc w:val="left"/>
      <w:pPr>
        <w:ind w:left="1080" w:hanging="360"/>
      </w:pPr>
      <w:rPr>
        <w:rFonts w:hint="default"/>
        <w:i/>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46060E0"/>
    <w:multiLevelType w:val="hybridMultilevel"/>
    <w:tmpl w:val="9378F88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86F15B7"/>
    <w:multiLevelType w:val="hybridMultilevel"/>
    <w:tmpl w:val="02608BA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EDB5559"/>
    <w:multiLevelType w:val="hybridMultilevel"/>
    <w:tmpl w:val="CFC69840"/>
    <w:lvl w:ilvl="0">
      <w:start w:val="1"/>
      <w:numFmt w:val="upperRoman"/>
      <w:lvlText w:val="%1."/>
      <w:lvlJc w:val="left"/>
      <w:pPr>
        <w:ind w:left="360" w:firstLine="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5B"/>
    <w:rsid w:val="00002644"/>
    <w:rsid w:val="000026F0"/>
    <w:rsid w:val="00003AA1"/>
    <w:rsid w:val="00007DF5"/>
    <w:rsid w:val="00010202"/>
    <w:rsid w:val="00010BAF"/>
    <w:rsid w:val="000118BB"/>
    <w:rsid w:val="0001444F"/>
    <w:rsid w:val="00014A7D"/>
    <w:rsid w:val="000157EA"/>
    <w:rsid w:val="00017BCA"/>
    <w:rsid w:val="000200A1"/>
    <w:rsid w:val="00026997"/>
    <w:rsid w:val="00027859"/>
    <w:rsid w:val="00027EAD"/>
    <w:rsid w:val="0003087F"/>
    <w:rsid w:val="00030C87"/>
    <w:rsid w:val="00035E3B"/>
    <w:rsid w:val="00036856"/>
    <w:rsid w:val="00036D27"/>
    <w:rsid w:val="00037005"/>
    <w:rsid w:val="00037943"/>
    <w:rsid w:val="00037FC3"/>
    <w:rsid w:val="0004010B"/>
    <w:rsid w:val="00044466"/>
    <w:rsid w:val="000448F9"/>
    <w:rsid w:val="00045C17"/>
    <w:rsid w:val="00046294"/>
    <w:rsid w:val="000463E1"/>
    <w:rsid w:val="000479D5"/>
    <w:rsid w:val="0005646D"/>
    <w:rsid w:val="0005761D"/>
    <w:rsid w:val="00060195"/>
    <w:rsid w:val="000605B8"/>
    <w:rsid w:val="00062259"/>
    <w:rsid w:val="000649F4"/>
    <w:rsid w:val="000652F6"/>
    <w:rsid w:val="00070A28"/>
    <w:rsid w:val="00071977"/>
    <w:rsid w:val="00072666"/>
    <w:rsid w:val="00076BB0"/>
    <w:rsid w:val="00077671"/>
    <w:rsid w:val="00077E4C"/>
    <w:rsid w:val="00081E04"/>
    <w:rsid w:val="00082324"/>
    <w:rsid w:val="0008348F"/>
    <w:rsid w:val="0008466C"/>
    <w:rsid w:val="00086635"/>
    <w:rsid w:val="00090214"/>
    <w:rsid w:val="00090FBB"/>
    <w:rsid w:val="00091D6C"/>
    <w:rsid w:val="00092352"/>
    <w:rsid w:val="00092501"/>
    <w:rsid w:val="0009449F"/>
    <w:rsid w:val="00095212"/>
    <w:rsid w:val="000958DB"/>
    <w:rsid w:val="000A31CF"/>
    <w:rsid w:val="000A4CEE"/>
    <w:rsid w:val="000A5FCB"/>
    <w:rsid w:val="000A61DD"/>
    <w:rsid w:val="000A6402"/>
    <w:rsid w:val="000A7378"/>
    <w:rsid w:val="000B01FC"/>
    <w:rsid w:val="000B3645"/>
    <w:rsid w:val="000B6E5B"/>
    <w:rsid w:val="000C0FFB"/>
    <w:rsid w:val="000C17C3"/>
    <w:rsid w:val="000C2100"/>
    <w:rsid w:val="000C6451"/>
    <w:rsid w:val="000C67DF"/>
    <w:rsid w:val="000C70F2"/>
    <w:rsid w:val="000D21F5"/>
    <w:rsid w:val="000D617E"/>
    <w:rsid w:val="000D7C6A"/>
    <w:rsid w:val="000D7DCC"/>
    <w:rsid w:val="000D7E9B"/>
    <w:rsid w:val="000E1ED0"/>
    <w:rsid w:val="000E4980"/>
    <w:rsid w:val="000E626F"/>
    <w:rsid w:val="000F0089"/>
    <w:rsid w:val="000F2CD4"/>
    <w:rsid w:val="000F3169"/>
    <w:rsid w:val="000F4046"/>
    <w:rsid w:val="000F4574"/>
    <w:rsid w:val="000F4FAF"/>
    <w:rsid w:val="00104158"/>
    <w:rsid w:val="00104211"/>
    <w:rsid w:val="00104287"/>
    <w:rsid w:val="001046B5"/>
    <w:rsid w:val="00107133"/>
    <w:rsid w:val="00107DA7"/>
    <w:rsid w:val="00107E9A"/>
    <w:rsid w:val="001106FF"/>
    <w:rsid w:val="00114308"/>
    <w:rsid w:val="00114610"/>
    <w:rsid w:val="001154E5"/>
    <w:rsid w:val="00117A16"/>
    <w:rsid w:val="00121848"/>
    <w:rsid w:val="00122844"/>
    <w:rsid w:val="00123203"/>
    <w:rsid w:val="001238E8"/>
    <w:rsid w:val="001242CE"/>
    <w:rsid w:val="00125A86"/>
    <w:rsid w:val="00125DF6"/>
    <w:rsid w:val="001277F4"/>
    <w:rsid w:val="00133284"/>
    <w:rsid w:val="00135F80"/>
    <w:rsid w:val="00137165"/>
    <w:rsid w:val="0013735D"/>
    <w:rsid w:val="00140CB8"/>
    <w:rsid w:val="0014459C"/>
    <w:rsid w:val="0014487D"/>
    <w:rsid w:val="00145D35"/>
    <w:rsid w:val="00146F3C"/>
    <w:rsid w:val="0014786D"/>
    <w:rsid w:val="00150CD5"/>
    <w:rsid w:val="00150E05"/>
    <w:rsid w:val="001511C1"/>
    <w:rsid w:val="001511FD"/>
    <w:rsid w:val="00152B45"/>
    <w:rsid w:val="0015494B"/>
    <w:rsid w:val="0015525E"/>
    <w:rsid w:val="0015588B"/>
    <w:rsid w:val="00155AA5"/>
    <w:rsid w:val="001607EE"/>
    <w:rsid w:val="0016120B"/>
    <w:rsid w:val="00162315"/>
    <w:rsid w:val="0016348F"/>
    <w:rsid w:val="001707F2"/>
    <w:rsid w:val="0017381B"/>
    <w:rsid w:val="001738A5"/>
    <w:rsid w:val="00174520"/>
    <w:rsid w:val="00174786"/>
    <w:rsid w:val="001754CD"/>
    <w:rsid w:val="001760C7"/>
    <w:rsid w:val="00177A24"/>
    <w:rsid w:val="00180B72"/>
    <w:rsid w:val="00180EDA"/>
    <w:rsid w:val="0018117D"/>
    <w:rsid w:val="001812FB"/>
    <w:rsid w:val="001828D8"/>
    <w:rsid w:val="0018529A"/>
    <w:rsid w:val="00185FF4"/>
    <w:rsid w:val="00186796"/>
    <w:rsid w:val="00191185"/>
    <w:rsid w:val="00196C6E"/>
    <w:rsid w:val="00197B7E"/>
    <w:rsid w:val="001A0564"/>
    <w:rsid w:val="001A0B01"/>
    <w:rsid w:val="001A14D1"/>
    <w:rsid w:val="001A36E0"/>
    <w:rsid w:val="001A3F9E"/>
    <w:rsid w:val="001A4159"/>
    <w:rsid w:val="001A53FF"/>
    <w:rsid w:val="001A5A06"/>
    <w:rsid w:val="001A6C58"/>
    <w:rsid w:val="001A72A6"/>
    <w:rsid w:val="001B07E7"/>
    <w:rsid w:val="001B0DCB"/>
    <w:rsid w:val="001B0FF8"/>
    <w:rsid w:val="001B30A5"/>
    <w:rsid w:val="001B469B"/>
    <w:rsid w:val="001B6570"/>
    <w:rsid w:val="001B759B"/>
    <w:rsid w:val="001C16DB"/>
    <w:rsid w:val="001C18C2"/>
    <w:rsid w:val="001C1AD9"/>
    <w:rsid w:val="001C28AF"/>
    <w:rsid w:val="001C2CF5"/>
    <w:rsid w:val="001C42C2"/>
    <w:rsid w:val="001C4351"/>
    <w:rsid w:val="001C4F56"/>
    <w:rsid w:val="001C5F26"/>
    <w:rsid w:val="001C7B70"/>
    <w:rsid w:val="001C7DA1"/>
    <w:rsid w:val="001D01A8"/>
    <w:rsid w:val="001D145E"/>
    <w:rsid w:val="001D1937"/>
    <w:rsid w:val="001D24F7"/>
    <w:rsid w:val="001D6A1C"/>
    <w:rsid w:val="001E0DBB"/>
    <w:rsid w:val="001E318F"/>
    <w:rsid w:val="001E3239"/>
    <w:rsid w:val="001E39B0"/>
    <w:rsid w:val="001E3E79"/>
    <w:rsid w:val="001E4F11"/>
    <w:rsid w:val="001F4251"/>
    <w:rsid w:val="001F793C"/>
    <w:rsid w:val="001F7B56"/>
    <w:rsid w:val="00200209"/>
    <w:rsid w:val="00200D48"/>
    <w:rsid w:val="00200FB9"/>
    <w:rsid w:val="00201D21"/>
    <w:rsid w:val="00202114"/>
    <w:rsid w:val="00202D4C"/>
    <w:rsid w:val="00202F42"/>
    <w:rsid w:val="00203B3C"/>
    <w:rsid w:val="00204C33"/>
    <w:rsid w:val="00205A86"/>
    <w:rsid w:val="00205CFB"/>
    <w:rsid w:val="00207025"/>
    <w:rsid w:val="002077FB"/>
    <w:rsid w:val="00207A9C"/>
    <w:rsid w:val="00211045"/>
    <w:rsid w:val="0021120C"/>
    <w:rsid w:val="0021191B"/>
    <w:rsid w:val="00211E4D"/>
    <w:rsid w:val="00213AB6"/>
    <w:rsid w:val="00214AF7"/>
    <w:rsid w:val="0021632C"/>
    <w:rsid w:val="002167F5"/>
    <w:rsid w:val="00222197"/>
    <w:rsid w:val="0022224F"/>
    <w:rsid w:val="002222FC"/>
    <w:rsid w:val="002238B7"/>
    <w:rsid w:val="00223C18"/>
    <w:rsid w:val="00226050"/>
    <w:rsid w:val="002262DA"/>
    <w:rsid w:val="0022656B"/>
    <w:rsid w:val="00230EED"/>
    <w:rsid w:val="002310DF"/>
    <w:rsid w:val="00233864"/>
    <w:rsid w:val="002346E6"/>
    <w:rsid w:val="0023567B"/>
    <w:rsid w:val="00235ECD"/>
    <w:rsid w:val="00236E50"/>
    <w:rsid w:val="00236E58"/>
    <w:rsid w:val="0024099E"/>
    <w:rsid w:val="00240AE6"/>
    <w:rsid w:val="00243AEA"/>
    <w:rsid w:val="002440FA"/>
    <w:rsid w:val="00247028"/>
    <w:rsid w:val="0025118A"/>
    <w:rsid w:val="00252484"/>
    <w:rsid w:val="0025344F"/>
    <w:rsid w:val="00253A5D"/>
    <w:rsid w:val="0025580B"/>
    <w:rsid w:val="00257098"/>
    <w:rsid w:val="00263230"/>
    <w:rsid w:val="002633E4"/>
    <w:rsid w:val="00263AB1"/>
    <w:rsid w:val="00263D71"/>
    <w:rsid w:val="00264EA8"/>
    <w:rsid w:val="00265059"/>
    <w:rsid w:val="00265FE7"/>
    <w:rsid w:val="00267BB7"/>
    <w:rsid w:val="00270F87"/>
    <w:rsid w:val="00276AAB"/>
    <w:rsid w:val="002772BA"/>
    <w:rsid w:val="002805A9"/>
    <w:rsid w:val="00280A97"/>
    <w:rsid w:val="00281508"/>
    <w:rsid w:val="00281A97"/>
    <w:rsid w:val="00281D10"/>
    <w:rsid w:val="002834A5"/>
    <w:rsid w:val="002848B0"/>
    <w:rsid w:val="00286400"/>
    <w:rsid w:val="00291712"/>
    <w:rsid w:val="002926C4"/>
    <w:rsid w:val="00294823"/>
    <w:rsid w:val="00295332"/>
    <w:rsid w:val="00295411"/>
    <w:rsid w:val="00296B71"/>
    <w:rsid w:val="002A1980"/>
    <w:rsid w:val="002A2FD8"/>
    <w:rsid w:val="002A345B"/>
    <w:rsid w:val="002A3B9C"/>
    <w:rsid w:val="002A5757"/>
    <w:rsid w:val="002A5FC7"/>
    <w:rsid w:val="002A684E"/>
    <w:rsid w:val="002B1251"/>
    <w:rsid w:val="002B19B6"/>
    <w:rsid w:val="002B1C11"/>
    <w:rsid w:val="002B44FF"/>
    <w:rsid w:val="002B6508"/>
    <w:rsid w:val="002B7BB9"/>
    <w:rsid w:val="002C019C"/>
    <w:rsid w:val="002C14A0"/>
    <w:rsid w:val="002C1E99"/>
    <w:rsid w:val="002C2ED3"/>
    <w:rsid w:val="002C618A"/>
    <w:rsid w:val="002C6DBC"/>
    <w:rsid w:val="002D25FA"/>
    <w:rsid w:val="002D3447"/>
    <w:rsid w:val="002D3736"/>
    <w:rsid w:val="002D5476"/>
    <w:rsid w:val="002D5863"/>
    <w:rsid w:val="002D663D"/>
    <w:rsid w:val="002D7A05"/>
    <w:rsid w:val="002E04F5"/>
    <w:rsid w:val="002E05C5"/>
    <w:rsid w:val="002E11D2"/>
    <w:rsid w:val="002E257B"/>
    <w:rsid w:val="002E3182"/>
    <w:rsid w:val="002E401C"/>
    <w:rsid w:val="002E472D"/>
    <w:rsid w:val="002E5E3A"/>
    <w:rsid w:val="002E7DE8"/>
    <w:rsid w:val="002E7E7F"/>
    <w:rsid w:val="002F0085"/>
    <w:rsid w:val="002F1F9A"/>
    <w:rsid w:val="002F4EB1"/>
    <w:rsid w:val="002F5B62"/>
    <w:rsid w:val="002F786D"/>
    <w:rsid w:val="00301202"/>
    <w:rsid w:val="0030231A"/>
    <w:rsid w:val="003036A1"/>
    <w:rsid w:val="003038D2"/>
    <w:rsid w:val="003068F7"/>
    <w:rsid w:val="00306C84"/>
    <w:rsid w:val="00310367"/>
    <w:rsid w:val="00310508"/>
    <w:rsid w:val="0031247E"/>
    <w:rsid w:val="00314F5B"/>
    <w:rsid w:val="003164C6"/>
    <w:rsid w:val="00320632"/>
    <w:rsid w:val="003209BE"/>
    <w:rsid w:val="003221B1"/>
    <w:rsid w:val="00323D03"/>
    <w:rsid w:val="00323F76"/>
    <w:rsid w:val="00325171"/>
    <w:rsid w:val="00325421"/>
    <w:rsid w:val="00326B26"/>
    <w:rsid w:val="00327001"/>
    <w:rsid w:val="00330B5D"/>
    <w:rsid w:val="00330FFB"/>
    <w:rsid w:val="003310D8"/>
    <w:rsid w:val="003327FE"/>
    <w:rsid w:val="003329AE"/>
    <w:rsid w:val="0033398C"/>
    <w:rsid w:val="0033475D"/>
    <w:rsid w:val="0033513C"/>
    <w:rsid w:val="00337AC3"/>
    <w:rsid w:val="00340064"/>
    <w:rsid w:val="00340EBA"/>
    <w:rsid w:val="003416B7"/>
    <w:rsid w:val="00342021"/>
    <w:rsid w:val="0034248C"/>
    <w:rsid w:val="003443CB"/>
    <w:rsid w:val="00347C1A"/>
    <w:rsid w:val="00347CFB"/>
    <w:rsid w:val="00350894"/>
    <w:rsid w:val="003521AC"/>
    <w:rsid w:val="003527AC"/>
    <w:rsid w:val="00352DE8"/>
    <w:rsid w:val="00354140"/>
    <w:rsid w:val="00355094"/>
    <w:rsid w:val="00360D41"/>
    <w:rsid w:val="003610F0"/>
    <w:rsid w:val="0036236D"/>
    <w:rsid w:val="003625C9"/>
    <w:rsid w:val="003652C4"/>
    <w:rsid w:val="0036546D"/>
    <w:rsid w:val="00365E08"/>
    <w:rsid w:val="003666DB"/>
    <w:rsid w:val="00371E08"/>
    <w:rsid w:val="00372510"/>
    <w:rsid w:val="003725E3"/>
    <w:rsid w:val="0037317C"/>
    <w:rsid w:val="003741CD"/>
    <w:rsid w:val="00374354"/>
    <w:rsid w:val="00374473"/>
    <w:rsid w:val="00376554"/>
    <w:rsid w:val="00377BF9"/>
    <w:rsid w:val="00381E48"/>
    <w:rsid w:val="003858F8"/>
    <w:rsid w:val="00385D1A"/>
    <w:rsid w:val="00390A8D"/>
    <w:rsid w:val="0039100E"/>
    <w:rsid w:val="00394AA7"/>
    <w:rsid w:val="003959F9"/>
    <w:rsid w:val="0039766E"/>
    <w:rsid w:val="003A0159"/>
    <w:rsid w:val="003A0388"/>
    <w:rsid w:val="003A117C"/>
    <w:rsid w:val="003A5BEA"/>
    <w:rsid w:val="003B0B1E"/>
    <w:rsid w:val="003B1138"/>
    <w:rsid w:val="003B3584"/>
    <w:rsid w:val="003B3E56"/>
    <w:rsid w:val="003B5620"/>
    <w:rsid w:val="003B5F79"/>
    <w:rsid w:val="003B75D7"/>
    <w:rsid w:val="003C2176"/>
    <w:rsid w:val="003C2296"/>
    <w:rsid w:val="003C5231"/>
    <w:rsid w:val="003C6022"/>
    <w:rsid w:val="003C66ED"/>
    <w:rsid w:val="003C681D"/>
    <w:rsid w:val="003C7F99"/>
    <w:rsid w:val="003D0843"/>
    <w:rsid w:val="003D128C"/>
    <w:rsid w:val="003D21E5"/>
    <w:rsid w:val="003D2744"/>
    <w:rsid w:val="003D4105"/>
    <w:rsid w:val="003E0964"/>
    <w:rsid w:val="003E1511"/>
    <w:rsid w:val="003E1F4D"/>
    <w:rsid w:val="003E2017"/>
    <w:rsid w:val="003E251A"/>
    <w:rsid w:val="003E299C"/>
    <w:rsid w:val="003E2D90"/>
    <w:rsid w:val="003E3D38"/>
    <w:rsid w:val="003E4DA8"/>
    <w:rsid w:val="003E6709"/>
    <w:rsid w:val="003E6E40"/>
    <w:rsid w:val="003E7F2D"/>
    <w:rsid w:val="003F13AF"/>
    <w:rsid w:val="003F27FA"/>
    <w:rsid w:val="003F423E"/>
    <w:rsid w:val="003F781C"/>
    <w:rsid w:val="0040179E"/>
    <w:rsid w:val="004018EF"/>
    <w:rsid w:val="004019B5"/>
    <w:rsid w:val="00402E3B"/>
    <w:rsid w:val="004041BB"/>
    <w:rsid w:val="00405390"/>
    <w:rsid w:val="004069DE"/>
    <w:rsid w:val="00407964"/>
    <w:rsid w:val="004106AB"/>
    <w:rsid w:val="00413066"/>
    <w:rsid w:val="0041442C"/>
    <w:rsid w:val="00414FC5"/>
    <w:rsid w:val="0041596F"/>
    <w:rsid w:val="00415A05"/>
    <w:rsid w:val="00415D37"/>
    <w:rsid w:val="00416427"/>
    <w:rsid w:val="00416557"/>
    <w:rsid w:val="00416D9E"/>
    <w:rsid w:val="0042111C"/>
    <w:rsid w:val="004220AF"/>
    <w:rsid w:val="00423BA3"/>
    <w:rsid w:val="004240A9"/>
    <w:rsid w:val="00424F8D"/>
    <w:rsid w:val="004269F2"/>
    <w:rsid w:val="00432E36"/>
    <w:rsid w:val="00433B43"/>
    <w:rsid w:val="00433FF8"/>
    <w:rsid w:val="00436358"/>
    <w:rsid w:val="00440DAF"/>
    <w:rsid w:val="00443F7C"/>
    <w:rsid w:val="0044472D"/>
    <w:rsid w:val="00445B56"/>
    <w:rsid w:val="004469C1"/>
    <w:rsid w:val="00447BA8"/>
    <w:rsid w:val="0045031E"/>
    <w:rsid w:val="00450466"/>
    <w:rsid w:val="00450823"/>
    <w:rsid w:val="004538A2"/>
    <w:rsid w:val="00453D5B"/>
    <w:rsid w:val="00455635"/>
    <w:rsid w:val="0045689C"/>
    <w:rsid w:val="00460205"/>
    <w:rsid w:val="004603D7"/>
    <w:rsid w:val="0046097B"/>
    <w:rsid w:val="00461DA3"/>
    <w:rsid w:val="00464A03"/>
    <w:rsid w:val="00465B8A"/>
    <w:rsid w:val="004706B7"/>
    <w:rsid w:val="0047151C"/>
    <w:rsid w:val="00475F36"/>
    <w:rsid w:val="00476AE8"/>
    <w:rsid w:val="004802DE"/>
    <w:rsid w:val="00482EF6"/>
    <w:rsid w:val="004831BC"/>
    <w:rsid w:val="0048398D"/>
    <w:rsid w:val="00485AC5"/>
    <w:rsid w:val="00485C79"/>
    <w:rsid w:val="00486339"/>
    <w:rsid w:val="00487BAF"/>
    <w:rsid w:val="004932B5"/>
    <w:rsid w:val="00494BB6"/>
    <w:rsid w:val="00494ED5"/>
    <w:rsid w:val="00495829"/>
    <w:rsid w:val="00497064"/>
    <w:rsid w:val="004A21B8"/>
    <w:rsid w:val="004A4BF7"/>
    <w:rsid w:val="004A5754"/>
    <w:rsid w:val="004B03FC"/>
    <w:rsid w:val="004B095D"/>
    <w:rsid w:val="004B0BDE"/>
    <w:rsid w:val="004B1343"/>
    <w:rsid w:val="004B1755"/>
    <w:rsid w:val="004B223E"/>
    <w:rsid w:val="004B2BA7"/>
    <w:rsid w:val="004B3360"/>
    <w:rsid w:val="004B3508"/>
    <w:rsid w:val="004B6D11"/>
    <w:rsid w:val="004B7C32"/>
    <w:rsid w:val="004C51E0"/>
    <w:rsid w:val="004C7DB7"/>
    <w:rsid w:val="004C7FA8"/>
    <w:rsid w:val="004D1B27"/>
    <w:rsid w:val="004D433B"/>
    <w:rsid w:val="004D4CA3"/>
    <w:rsid w:val="004D5474"/>
    <w:rsid w:val="004D6DBD"/>
    <w:rsid w:val="004E02E4"/>
    <w:rsid w:val="004E19BE"/>
    <w:rsid w:val="004E2602"/>
    <w:rsid w:val="004E2C43"/>
    <w:rsid w:val="004E37C7"/>
    <w:rsid w:val="004E451C"/>
    <w:rsid w:val="004E55A4"/>
    <w:rsid w:val="004E6148"/>
    <w:rsid w:val="004E6BCA"/>
    <w:rsid w:val="004F0FC8"/>
    <w:rsid w:val="004F11BA"/>
    <w:rsid w:val="004F59F8"/>
    <w:rsid w:val="004F6880"/>
    <w:rsid w:val="004F6AA8"/>
    <w:rsid w:val="004F6F9F"/>
    <w:rsid w:val="004F79DB"/>
    <w:rsid w:val="00501A70"/>
    <w:rsid w:val="00501F27"/>
    <w:rsid w:val="005049BD"/>
    <w:rsid w:val="0051190F"/>
    <w:rsid w:val="00513A0B"/>
    <w:rsid w:val="00514BCD"/>
    <w:rsid w:val="00515B7B"/>
    <w:rsid w:val="00515C1E"/>
    <w:rsid w:val="00516524"/>
    <w:rsid w:val="00522B29"/>
    <w:rsid w:val="00525449"/>
    <w:rsid w:val="005254D7"/>
    <w:rsid w:val="00526A31"/>
    <w:rsid w:val="00526E0E"/>
    <w:rsid w:val="0053313C"/>
    <w:rsid w:val="00533330"/>
    <w:rsid w:val="00533B83"/>
    <w:rsid w:val="00534585"/>
    <w:rsid w:val="00540056"/>
    <w:rsid w:val="0054302C"/>
    <w:rsid w:val="0054387A"/>
    <w:rsid w:val="00543E91"/>
    <w:rsid w:val="00544046"/>
    <w:rsid w:val="005451FB"/>
    <w:rsid w:val="00545212"/>
    <w:rsid w:val="00545B40"/>
    <w:rsid w:val="0054769C"/>
    <w:rsid w:val="005478EC"/>
    <w:rsid w:val="00547A8A"/>
    <w:rsid w:val="00551615"/>
    <w:rsid w:val="005521B8"/>
    <w:rsid w:val="005525D5"/>
    <w:rsid w:val="00554AB6"/>
    <w:rsid w:val="005560BF"/>
    <w:rsid w:val="0055670E"/>
    <w:rsid w:val="00557430"/>
    <w:rsid w:val="00560F2B"/>
    <w:rsid w:val="0056168A"/>
    <w:rsid w:val="005620C5"/>
    <w:rsid w:val="00563166"/>
    <w:rsid w:val="00563DE3"/>
    <w:rsid w:val="00565CD5"/>
    <w:rsid w:val="005660A4"/>
    <w:rsid w:val="00570E34"/>
    <w:rsid w:val="00571424"/>
    <w:rsid w:val="00572BCF"/>
    <w:rsid w:val="005741A8"/>
    <w:rsid w:val="00576B89"/>
    <w:rsid w:val="0058077C"/>
    <w:rsid w:val="00581322"/>
    <w:rsid w:val="005856B3"/>
    <w:rsid w:val="00585E1F"/>
    <w:rsid w:val="005916C3"/>
    <w:rsid w:val="00592838"/>
    <w:rsid w:val="00593B7A"/>
    <w:rsid w:val="0059489E"/>
    <w:rsid w:val="00596CF9"/>
    <w:rsid w:val="005972B0"/>
    <w:rsid w:val="005A0000"/>
    <w:rsid w:val="005A0494"/>
    <w:rsid w:val="005A2404"/>
    <w:rsid w:val="005A59A8"/>
    <w:rsid w:val="005A657E"/>
    <w:rsid w:val="005B18EB"/>
    <w:rsid w:val="005B25B0"/>
    <w:rsid w:val="005B325A"/>
    <w:rsid w:val="005B3962"/>
    <w:rsid w:val="005B39A3"/>
    <w:rsid w:val="005B5D99"/>
    <w:rsid w:val="005B659B"/>
    <w:rsid w:val="005B6BFE"/>
    <w:rsid w:val="005B7D3A"/>
    <w:rsid w:val="005C0821"/>
    <w:rsid w:val="005C0D17"/>
    <w:rsid w:val="005C1E22"/>
    <w:rsid w:val="005C3694"/>
    <w:rsid w:val="005C48AD"/>
    <w:rsid w:val="005C7344"/>
    <w:rsid w:val="005C7E68"/>
    <w:rsid w:val="005D1F6C"/>
    <w:rsid w:val="005D25FA"/>
    <w:rsid w:val="005D2B03"/>
    <w:rsid w:val="005D4B9E"/>
    <w:rsid w:val="005D5A47"/>
    <w:rsid w:val="005E0A5E"/>
    <w:rsid w:val="005E1027"/>
    <w:rsid w:val="005E18AD"/>
    <w:rsid w:val="005E192E"/>
    <w:rsid w:val="005E1B28"/>
    <w:rsid w:val="005E279C"/>
    <w:rsid w:val="005E4C82"/>
    <w:rsid w:val="005E62A5"/>
    <w:rsid w:val="005E7BC8"/>
    <w:rsid w:val="005F3153"/>
    <w:rsid w:val="005F37A7"/>
    <w:rsid w:val="005F3813"/>
    <w:rsid w:val="005F514E"/>
    <w:rsid w:val="005F58A0"/>
    <w:rsid w:val="00605AA1"/>
    <w:rsid w:val="00611AD8"/>
    <w:rsid w:val="0061233B"/>
    <w:rsid w:val="0061282D"/>
    <w:rsid w:val="00612863"/>
    <w:rsid w:val="00612F70"/>
    <w:rsid w:val="006159AC"/>
    <w:rsid w:val="0062119A"/>
    <w:rsid w:val="00621C04"/>
    <w:rsid w:val="00624B2F"/>
    <w:rsid w:val="00624BD5"/>
    <w:rsid w:val="00625649"/>
    <w:rsid w:val="00625878"/>
    <w:rsid w:val="00626438"/>
    <w:rsid w:val="00626EE4"/>
    <w:rsid w:val="006278FE"/>
    <w:rsid w:val="00627D21"/>
    <w:rsid w:val="00627FB4"/>
    <w:rsid w:val="0063060D"/>
    <w:rsid w:val="00631A34"/>
    <w:rsid w:val="006330FF"/>
    <w:rsid w:val="006332DC"/>
    <w:rsid w:val="00633DC6"/>
    <w:rsid w:val="00633DFE"/>
    <w:rsid w:val="00634C22"/>
    <w:rsid w:val="006365E2"/>
    <w:rsid w:val="006366DB"/>
    <w:rsid w:val="00636F0B"/>
    <w:rsid w:val="006379CC"/>
    <w:rsid w:val="00647060"/>
    <w:rsid w:val="006500EF"/>
    <w:rsid w:val="006505A0"/>
    <w:rsid w:val="00653999"/>
    <w:rsid w:val="00653A5E"/>
    <w:rsid w:val="00654214"/>
    <w:rsid w:val="00654267"/>
    <w:rsid w:val="00654734"/>
    <w:rsid w:val="00654783"/>
    <w:rsid w:val="006553FF"/>
    <w:rsid w:val="006554DF"/>
    <w:rsid w:val="00656B3C"/>
    <w:rsid w:val="00656C34"/>
    <w:rsid w:val="00657CE5"/>
    <w:rsid w:val="0066166D"/>
    <w:rsid w:val="0066167A"/>
    <w:rsid w:val="006618B6"/>
    <w:rsid w:val="00661F0D"/>
    <w:rsid w:val="00663B4C"/>
    <w:rsid w:val="00663EF5"/>
    <w:rsid w:val="00667472"/>
    <w:rsid w:val="0066754A"/>
    <w:rsid w:val="006675EB"/>
    <w:rsid w:val="0067268C"/>
    <w:rsid w:val="00674743"/>
    <w:rsid w:val="0067479B"/>
    <w:rsid w:val="006749A2"/>
    <w:rsid w:val="00675A27"/>
    <w:rsid w:val="00676CC4"/>
    <w:rsid w:val="006800CC"/>
    <w:rsid w:val="0068130C"/>
    <w:rsid w:val="00683AD5"/>
    <w:rsid w:val="0068432D"/>
    <w:rsid w:val="00684A41"/>
    <w:rsid w:val="00684D8A"/>
    <w:rsid w:val="00686781"/>
    <w:rsid w:val="006867A1"/>
    <w:rsid w:val="00690A20"/>
    <w:rsid w:val="00691B36"/>
    <w:rsid w:val="006930E0"/>
    <w:rsid w:val="006944D5"/>
    <w:rsid w:val="00696C87"/>
    <w:rsid w:val="006A0193"/>
    <w:rsid w:val="006A1E00"/>
    <w:rsid w:val="006A2401"/>
    <w:rsid w:val="006A3165"/>
    <w:rsid w:val="006A36F8"/>
    <w:rsid w:val="006A3F9E"/>
    <w:rsid w:val="006A4B65"/>
    <w:rsid w:val="006A4D31"/>
    <w:rsid w:val="006A74A9"/>
    <w:rsid w:val="006B1D4A"/>
    <w:rsid w:val="006B3A8F"/>
    <w:rsid w:val="006B5B95"/>
    <w:rsid w:val="006B6690"/>
    <w:rsid w:val="006B6AAA"/>
    <w:rsid w:val="006B7CE1"/>
    <w:rsid w:val="006C11D9"/>
    <w:rsid w:val="006C1582"/>
    <w:rsid w:val="006C173F"/>
    <w:rsid w:val="006C238D"/>
    <w:rsid w:val="006C3344"/>
    <w:rsid w:val="006C41AB"/>
    <w:rsid w:val="006C5063"/>
    <w:rsid w:val="006C7624"/>
    <w:rsid w:val="006D0ECE"/>
    <w:rsid w:val="006D250C"/>
    <w:rsid w:val="006D26D4"/>
    <w:rsid w:val="006D3B87"/>
    <w:rsid w:val="006D6237"/>
    <w:rsid w:val="006E0555"/>
    <w:rsid w:val="006E1F35"/>
    <w:rsid w:val="006E2F88"/>
    <w:rsid w:val="006E3C40"/>
    <w:rsid w:val="006E4C17"/>
    <w:rsid w:val="006E4C85"/>
    <w:rsid w:val="006E4FAF"/>
    <w:rsid w:val="006E5122"/>
    <w:rsid w:val="006E5388"/>
    <w:rsid w:val="006E53E3"/>
    <w:rsid w:val="006F3C71"/>
    <w:rsid w:val="006F74F2"/>
    <w:rsid w:val="00704A7A"/>
    <w:rsid w:val="00704E94"/>
    <w:rsid w:val="0070591A"/>
    <w:rsid w:val="007060E9"/>
    <w:rsid w:val="00706ED6"/>
    <w:rsid w:val="00707EB7"/>
    <w:rsid w:val="007108C6"/>
    <w:rsid w:val="00712A5E"/>
    <w:rsid w:val="007133E8"/>
    <w:rsid w:val="007148FE"/>
    <w:rsid w:val="00716DB2"/>
    <w:rsid w:val="007214A7"/>
    <w:rsid w:val="007220D0"/>
    <w:rsid w:val="00723214"/>
    <w:rsid w:val="00730E0A"/>
    <w:rsid w:val="007338E6"/>
    <w:rsid w:val="00736C56"/>
    <w:rsid w:val="00737EC5"/>
    <w:rsid w:val="00740A57"/>
    <w:rsid w:val="00741B73"/>
    <w:rsid w:val="00747F0D"/>
    <w:rsid w:val="00751598"/>
    <w:rsid w:val="00751B09"/>
    <w:rsid w:val="007528B8"/>
    <w:rsid w:val="007531F3"/>
    <w:rsid w:val="007545D6"/>
    <w:rsid w:val="00754962"/>
    <w:rsid w:val="00756088"/>
    <w:rsid w:val="0075711F"/>
    <w:rsid w:val="00760214"/>
    <w:rsid w:val="0076385B"/>
    <w:rsid w:val="007642A8"/>
    <w:rsid w:val="00764747"/>
    <w:rsid w:val="00764B4D"/>
    <w:rsid w:val="007651DF"/>
    <w:rsid w:val="007659B9"/>
    <w:rsid w:val="0077091B"/>
    <w:rsid w:val="007715B1"/>
    <w:rsid w:val="00774EAD"/>
    <w:rsid w:val="00775136"/>
    <w:rsid w:val="00775498"/>
    <w:rsid w:val="007769F6"/>
    <w:rsid w:val="00777325"/>
    <w:rsid w:val="00781EDE"/>
    <w:rsid w:val="00782FC1"/>
    <w:rsid w:val="00783332"/>
    <w:rsid w:val="007838B7"/>
    <w:rsid w:val="00783B65"/>
    <w:rsid w:val="00784999"/>
    <w:rsid w:val="007852EE"/>
    <w:rsid w:val="007857F2"/>
    <w:rsid w:val="007863AF"/>
    <w:rsid w:val="00786D91"/>
    <w:rsid w:val="00786F38"/>
    <w:rsid w:val="007915CA"/>
    <w:rsid w:val="00791F5F"/>
    <w:rsid w:val="00792E2C"/>
    <w:rsid w:val="007953AE"/>
    <w:rsid w:val="007955C6"/>
    <w:rsid w:val="0079613C"/>
    <w:rsid w:val="0079656D"/>
    <w:rsid w:val="00796D7D"/>
    <w:rsid w:val="00797B8B"/>
    <w:rsid w:val="007A1321"/>
    <w:rsid w:val="007A1E97"/>
    <w:rsid w:val="007A4B23"/>
    <w:rsid w:val="007A579B"/>
    <w:rsid w:val="007A7BB4"/>
    <w:rsid w:val="007B0E99"/>
    <w:rsid w:val="007B1F15"/>
    <w:rsid w:val="007B6221"/>
    <w:rsid w:val="007B647F"/>
    <w:rsid w:val="007B72D7"/>
    <w:rsid w:val="007C0C09"/>
    <w:rsid w:val="007C0F95"/>
    <w:rsid w:val="007C11D4"/>
    <w:rsid w:val="007C1E39"/>
    <w:rsid w:val="007C46BB"/>
    <w:rsid w:val="007C5266"/>
    <w:rsid w:val="007C5899"/>
    <w:rsid w:val="007C6D98"/>
    <w:rsid w:val="007D1141"/>
    <w:rsid w:val="007D2DF2"/>
    <w:rsid w:val="007D3DE0"/>
    <w:rsid w:val="007D4A81"/>
    <w:rsid w:val="007D5C81"/>
    <w:rsid w:val="007D6160"/>
    <w:rsid w:val="007E16D2"/>
    <w:rsid w:val="007E303F"/>
    <w:rsid w:val="007E3C3C"/>
    <w:rsid w:val="007E4479"/>
    <w:rsid w:val="007E7750"/>
    <w:rsid w:val="007F099F"/>
    <w:rsid w:val="007F37D7"/>
    <w:rsid w:val="007F3EF1"/>
    <w:rsid w:val="007F41B3"/>
    <w:rsid w:val="007F4A02"/>
    <w:rsid w:val="007F57DD"/>
    <w:rsid w:val="007F7D1E"/>
    <w:rsid w:val="007F7DDB"/>
    <w:rsid w:val="008021B0"/>
    <w:rsid w:val="008128D4"/>
    <w:rsid w:val="00812B96"/>
    <w:rsid w:val="00813443"/>
    <w:rsid w:val="00813831"/>
    <w:rsid w:val="00814B53"/>
    <w:rsid w:val="0082337C"/>
    <w:rsid w:val="0082358C"/>
    <w:rsid w:val="008260C4"/>
    <w:rsid w:val="00826408"/>
    <w:rsid w:val="00826893"/>
    <w:rsid w:val="00826E28"/>
    <w:rsid w:val="008312EE"/>
    <w:rsid w:val="00833C9C"/>
    <w:rsid w:val="00842AB9"/>
    <w:rsid w:val="00843000"/>
    <w:rsid w:val="00844369"/>
    <w:rsid w:val="00845428"/>
    <w:rsid w:val="008454DF"/>
    <w:rsid w:val="00845997"/>
    <w:rsid w:val="00846782"/>
    <w:rsid w:val="00846F41"/>
    <w:rsid w:val="00850A89"/>
    <w:rsid w:val="0085221F"/>
    <w:rsid w:val="008535D2"/>
    <w:rsid w:val="0085414E"/>
    <w:rsid w:val="008567E1"/>
    <w:rsid w:val="008568C1"/>
    <w:rsid w:val="00857BC7"/>
    <w:rsid w:val="00860892"/>
    <w:rsid w:val="00863311"/>
    <w:rsid w:val="00863F4F"/>
    <w:rsid w:val="008641C4"/>
    <w:rsid w:val="00865CBF"/>
    <w:rsid w:val="00865CE8"/>
    <w:rsid w:val="00865F37"/>
    <w:rsid w:val="0086659A"/>
    <w:rsid w:val="008673EA"/>
    <w:rsid w:val="008679B4"/>
    <w:rsid w:val="00870154"/>
    <w:rsid w:val="00872123"/>
    <w:rsid w:val="008722F4"/>
    <w:rsid w:val="008725B8"/>
    <w:rsid w:val="00872FEB"/>
    <w:rsid w:val="008738AA"/>
    <w:rsid w:val="00875261"/>
    <w:rsid w:val="00875CE7"/>
    <w:rsid w:val="00875F2A"/>
    <w:rsid w:val="008800D4"/>
    <w:rsid w:val="0088056E"/>
    <w:rsid w:val="00880B0E"/>
    <w:rsid w:val="0088221F"/>
    <w:rsid w:val="00883D82"/>
    <w:rsid w:val="00884DC9"/>
    <w:rsid w:val="00886465"/>
    <w:rsid w:val="00886A53"/>
    <w:rsid w:val="00887551"/>
    <w:rsid w:val="00892DA3"/>
    <w:rsid w:val="0089332C"/>
    <w:rsid w:val="00893467"/>
    <w:rsid w:val="008938E9"/>
    <w:rsid w:val="008950C9"/>
    <w:rsid w:val="00895791"/>
    <w:rsid w:val="00896811"/>
    <w:rsid w:val="00897443"/>
    <w:rsid w:val="00897EE5"/>
    <w:rsid w:val="008A0F0F"/>
    <w:rsid w:val="008A2230"/>
    <w:rsid w:val="008A3DFA"/>
    <w:rsid w:val="008A4CA2"/>
    <w:rsid w:val="008A5AEA"/>
    <w:rsid w:val="008A6E7E"/>
    <w:rsid w:val="008A7D44"/>
    <w:rsid w:val="008B0058"/>
    <w:rsid w:val="008B1141"/>
    <w:rsid w:val="008B2008"/>
    <w:rsid w:val="008B50E1"/>
    <w:rsid w:val="008B6617"/>
    <w:rsid w:val="008B6836"/>
    <w:rsid w:val="008B7BB4"/>
    <w:rsid w:val="008C098E"/>
    <w:rsid w:val="008C0D77"/>
    <w:rsid w:val="008C1691"/>
    <w:rsid w:val="008C28D4"/>
    <w:rsid w:val="008C4F42"/>
    <w:rsid w:val="008C7935"/>
    <w:rsid w:val="008D0287"/>
    <w:rsid w:val="008D07BB"/>
    <w:rsid w:val="008D3978"/>
    <w:rsid w:val="008D5D9C"/>
    <w:rsid w:val="008D7786"/>
    <w:rsid w:val="008E090F"/>
    <w:rsid w:val="008E0C8B"/>
    <w:rsid w:val="008E1081"/>
    <w:rsid w:val="008E1813"/>
    <w:rsid w:val="008E21EC"/>
    <w:rsid w:val="008E41CF"/>
    <w:rsid w:val="008E48F1"/>
    <w:rsid w:val="008E5475"/>
    <w:rsid w:val="008F09EA"/>
    <w:rsid w:val="008F2B2D"/>
    <w:rsid w:val="008F4C8A"/>
    <w:rsid w:val="008F6AAA"/>
    <w:rsid w:val="008F6B76"/>
    <w:rsid w:val="008F761B"/>
    <w:rsid w:val="008F7EF3"/>
    <w:rsid w:val="00900865"/>
    <w:rsid w:val="00900BC1"/>
    <w:rsid w:val="00900E48"/>
    <w:rsid w:val="00903135"/>
    <w:rsid w:val="00903411"/>
    <w:rsid w:val="00903BED"/>
    <w:rsid w:val="0090561A"/>
    <w:rsid w:val="00905A8D"/>
    <w:rsid w:val="00906024"/>
    <w:rsid w:val="00907A3A"/>
    <w:rsid w:val="00910825"/>
    <w:rsid w:val="009108BB"/>
    <w:rsid w:val="00910BD0"/>
    <w:rsid w:val="0091132A"/>
    <w:rsid w:val="00913D33"/>
    <w:rsid w:val="009167C3"/>
    <w:rsid w:val="00917480"/>
    <w:rsid w:val="009176CE"/>
    <w:rsid w:val="0092038A"/>
    <w:rsid w:val="00921963"/>
    <w:rsid w:val="00923268"/>
    <w:rsid w:val="00923921"/>
    <w:rsid w:val="0092676E"/>
    <w:rsid w:val="00926DEF"/>
    <w:rsid w:val="00931E51"/>
    <w:rsid w:val="0093276F"/>
    <w:rsid w:val="009337B4"/>
    <w:rsid w:val="00934320"/>
    <w:rsid w:val="00935136"/>
    <w:rsid w:val="00937097"/>
    <w:rsid w:val="009434F1"/>
    <w:rsid w:val="0094357A"/>
    <w:rsid w:val="00943819"/>
    <w:rsid w:val="00945E33"/>
    <w:rsid w:val="009467E7"/>
    <w:rsid w:val="00947236"/>
    <w:rsid w:val="00951494"/>
    <w:rsid w:val="00951747"/>
    <w:rsid w:val="00954685"/>
    <w:rsid w:val="00955EBE"/>
    <w:rsid w:val="0095742F"/>
    <w:rsid w:val="00960D03"/>
    <w:rsid w:val="0096102E"/>
    <w:rsid w:val="00961A6D"/>
    <w:rsid w:val="00961AFC"/>
    <w:rsid w:val="00961F6A"/>
    <w:rsid w:val="00961FA9"/>
    <w:rsid w:val="0096240C"/>
    <w:rsid w:val="009655B0"/>
    <w:rsid w:val="00966542"/>
    <w:rsid w:val="00971F9D"/>
    <w:rsid w:val="00973D72"/>
    <w:rsid w:val="00974CAA"/>
    <w:rsid w:val="00976451"/>
    <w:rsid w:val="00976E75"/>
    <w:rsid w:val="009770E8"/>
    <w:rsid w:val="00980E14"/>
    <w:rsid w:val="00981398"/>
    <w:rsid w:val="00983406"/>
    <w:rsid w:val="009834BE"/>
    <w:rsid w:val="00983D44"/>
    <w:rsid w:val="00990821"/>
    <w:rsid w:val="00990B30"/>
    <w:rsid w:val="00991702"/>
    <w:rsid w:val="009919CA"/>
    <w:rsid w:val="00992A49"/>
    <w:rsid w:val="00993F07"/>
    <w:rsid w:val="009A0FC9"/>
    <w:rsid w:val="009A1557"/>
    <w:rsid w:val="009A1EA4"/>
    <w:rsid w:val="009A2026"/>
    <w:rsid w:val="009A4CEB"/>
    <w:rsid w:val="009A5E39"/>
    <w:rsid w:val="009A7C21"/>
    <w:rsid w:val="009B27BB"/>
    <w:rsid w:val="009B5B07"/>
    <w:rsid w:val="009C12FA"/>
    <w:rsid w:val="009C1815"/>
    <w:rsid w:val="009C1D07"/>
    <w:rsid w:val="009C3B4F"/>
    <w:rsid w:val="009C4E62"/>
    <w:rsid w:val="009C513A"/>
    <w:rsid w:val="009C5433"/>
    <w:rsid w:val="009C5E0F"/>
    <w:rsid w:val="009C6A40"/>
    <w:rsid w:val="009D0131"/>
    <w:rsid w:val="009D09EC"/>
    <w:rsid w:val="009D0DC7"/>
    <w:rsid w:val="009D35BA"/>
    <w:rsid w:val="009D617D"/>
    <w:rsid w:val="009D65D0"/>
    <w:rsid w:val="009D7CD4"/>
    <w:rsid w:val="009D7E40"/>
    <w:rsid w:val="009E01A7"/>
    <w:rsid w:val="009E06BD"/>
    <w:rsid w:val="009E1035"/>
    <w:rsid w:val="009E2C0C"/>
    <w:rsid w:val="009E37E5"/>
    <w:rsid w:val="009E4038"/>
    <w:rsid w:val="009E5778"/>
    <w:rsid w:val="009E5F02"/>
    <w:rsid w:val="009E64C1"/>
    <w:rsid w:val="009E7112"/>
    <w:rsid w:val="009F2C1B"/>
    <w:rsid w:val="009F2C71"/>
    <w:rsid w:val="009F4BD3"/>
    <w:rsid w:val="009F645A"/>
    <w:rsid w:val="009F665A"/>
    <w:rsid w:val="00A0227B"/>
    <w:rsid w:val="00A025DD"/>
    <w:rsid w:val="00A0306D"/>
    <w:rsid w:val="00A03378"/>
    <w:rsid w:val="00A04287"/>
    <w:rsid w:val="00A043D3"/>
    <w:rsid w:val="00A054CA"/>
    <w:rsid w:val="00A10488"/>
    <w:rsid w:val="00A1081F"/>
    <w:rsid w:val="00A12E61"/>
    <w:rsid w:val="00A13666"/>
    <w:rsid w:val="00A142EA"/>
    <w:rsid w:val="00A14CC4"/>
    <w:rsid w:val="00A15020"/>
    <w:rsid w:val="00A16AD9"/>
    <w:rsid w:val="00A20057"/>
    <w:rsid w:val="00A201DE"/>
    <w:rsid w:val="00A2050F"/>
    <w:rsid w:val="00A225B9"/>
    <w:rsid w:val="00A22B23"/>
    <w:rsid w:val="00A23B07"/>
    <w:rsid w:val="00A2682E"/>
    <w:rsid w:val="00A304BE"/>
    <w:rsid w:val="00A31AE6"/>
    <w:rsid w:val="00A31AF8"/>
    <w:rsid w:val="00A31BD7"/>
    <w:rsid w:val="00A329DA"/>
    <w:rsid w:val="00A331B3"/>
    <w:rsid w:val="00A34BDF"/>
    <w:rsid w:val="00A35620"/>
    <w:rsid w:val="00A372F2"/>
    <w:rsid w:val="00A37632"/>
    <w:rsid w:val="00A37DF5"/>
    <w:rsid w:val="00A40019"/>
    <w:rsid w:val="00A426B8"/>
    <w:rsid w:val="00A426FA"/>
    <w:rsid w:val="00A43ADF"/>
    <w:rsid w:val="00A43C50"/>
    <w:rsid w:val="00A464A5"/>
    <w:rsid w:val="00A46B67"/>
    <w:rsid w:val="00A46E6D"/>
    <w:rsid w:val="00A47734"/>
    <w:rsid w:val="00A52A5D"/>
    <w:rsid w:val="00A5538E"/>
    <w:rsid w:val="00A56A4E"/>
    <w:rsid w:val="00A60032"/>
    <w:rsid w:val="00A605F4"/>
    <w:rsid w:val="00A61B77"/>
    <w:rsid w:val="00A6420D"/>
    <w:rsid w:val="00A67A35"/>
    <w:rsid w:val="00A67ADF"/>
    <w:rsid w:val="00A67C9F"/>
    <w:rsid w:val="00A67D60"/>
    <w:rsid w:val="00A72A2B"/>
    <w:rsid w:val="00A72AD1"/>
    <w:rsid w:val="00A7369B"/>
    <w:rsid w:val="00A7387A"/>
    <w:rsid w:val="00A76370"/>
    <w:rsid w:val="00A765D2"/>
    <w:rsid w:val="00A774C9"/>
    <w:rsid w:val="00A82405"/>
    <w:rsid w:val="00A83351"/>
    <w:rsid w:val="00A84B85"/>
    <w:rsid w:val="00A85227"/>
    <w:rsid w:val="00A85C27"/>
    <w:rsid w:val="00A867E3"/>
    <w:rsid w:val="00A870C2"/>
    <w:rsid w:val="00A91BFD"/>
    <w:rsid w:val="00A92699"/>
    <w:rsid w:val="00A92E22"/>
    <w:rsid w:val="00A9493F"/>
    <w:rsid w:val="00A94DBB"/>
    <w:rsid w:val="00A95262"/>
    <w:rsid w:val="00A97441"/>
    <w:rsid w:val="00A9768C"/>
    <w:rsid w:val="00AA6AFF"/>
    <w:rsid w:val="00AA77E8"/>
    <w:rsid w:val="00AB2220"/>
    <w:rsid w:val="00AB474D"/>
    <w:rsid w:val="00AB4C28"/>
    <w:rsid w:val="00AB673F"/>
    <w:rsid w:val="00AB7080"/>
    <w:rsid w:val="00AB7668"/>
    <w:rsid w:val="00AC036C"/>
    <w:rsid w:val="00AC044E"/>
    <w:rsid w:val="00AC2B1D"/>
    <w:rsid w:val="00AC4365"/>
    <w:rsid w:val="00AC797F"/>
    <w:rsid w:val="00AC7AF1"/>
    <w:rsid w:val="00AD02B6"/>
    <w:rsid w:val="00AD0552"/>
    <w:rsid w:val="00AD1AF3"/>
    <w:rsid w:val="00AD1D4D"/>
    <w:rsid w:val="00AD2460"/>
    <w:rsid w:val="00AD3E06"/>
    <w:rsid w:val="00AD6288"/>
    <w:rsid w:val="00AD73A4"/>
    <w:rsid w:val="00AD7B1A"/>
    <w:rsid w:val="00AE2F07"/>
    <w:rsid w:val="00AE4EE6"/>
    <w:rsid w:val="00AF1701"/>
    <w:rsid w:val="00AF2CD0"/>
    <w:rsid w:val="00AF36DC"/>
    <w:rsid w:val="00AF4224"/>
    <w:rsid w:val="00AF6302"/>
    <w:rsid w:val="00AF71D6"/>
    <w:rsid w:val="00B00808"/>
    <w:rsid w:val="00B02DB6"/>
    <w:rsid w:val="00B03874"/>
    <w:rsid w:val="00B043C1"/>
    <w:rsid w:val="00B0473B"/>
    <w:rsid w:val="00B050D9"/>
    <w:rsid w:val="00B05184"/>
    <w:rsid w:val="00B07DF3"/>
    <w:rsid w:val="00B102C8"/>
    <w:rsid w:val="00B12588"/>
    <w:rsid w:val="00B130CC"/>
    <w:rsid w:val="00B1448B"/>
    <w:rsid w:val="00B14B91"/>
    <w:rsid w:val="00B16166"/>
    <w:rsid w:val="00B17C77"/>
    <w:rsid w:val="00B2011D"/>
    <w:rsid w:val="00B20AF4"/>
    <w:rsid w:val="00B21DCF"/>
    <w:rsid w:val="00B2336C"/>
    <w:rsid w:val="00B2357D"/>
    <w:rsid w:val="00B23DA0"/>
    <w:rsid w:val="00B23E81"/>
    <w:rsid w:val="00B256A4"/>
    <w:rsid w:val="00B27322"/>
    <w:rsid w:val="00B3171E"/>
    <w:rsid w:val="00B323AD"/>
    <w:rsid w:val="00B33382"/>
    <w:rsid w:val="00B35C90"/>
    <w:rsid w:val="00B35FC3"/>
    <w:rsid w:val="00B361C0"/>
    <w:rsid w:val="00B3715D"/>
    <w:rsid w:val="00B40D38"/>
    <w:rsid w:val="00B43710"/>
    <w:rsid w:val="00B4404F"/>
    <w:rsid w:val="00B4406D"/>
    <w:rsid w:val="00B442EC"/>
    <w:rsid w:val="00B44FFB"/>
    <w:rsid w:val="00B45828"/>
    <w:rsid w:val="00B465FA"/>
    <w:rsid w:val="00B508F2"/>
    <w:rsid w:val="00B51D4F"/>
    <w:rsid w:val="00B5338A"/>
    <w:rsid w:val="00B5381E"/>
    <w:rsid w:val="00B55E79"/>
    <w:rsid w:val="00B566A4"/>
    <w:rsid w:val="00B57ECE"/>
    <w:rsid w:val="00B605D6"/>
    <w:rsid w:val="00B612E0"/>
    <w:rsid w:val="00B61E42"/>
    <w:rsid w:val="00B63BA7"/>
    <w:rsid w:val="00B646D8"/>
    <w:rsid w:val="00B70A0D"/>
    <w:rsid w:val="00B71C66"/>
    <w:rsid w:val="00B725F6"/>
    <w:rsid w:val="00B73697"/>
    <w:rsid w:val="00B73B25"/>
    <w:rsid w:val="00B759DE"/>
    <w:rsid w:val="00B777E8"/>
    <w:rsid w:val="00B818E5"/>
    <w:rsid w:val="00B82C5B"/>
    <w:rsid w:val="00B82E18"/>
    <w:rsid w:val="00B82E54"/>
    <w:rsid w:val="00B82FF3"/>
    <w:rsid w:val="00B83483"/>
    <w:rsid w:val="00B83595"/>
    <w:rsid w:val="00B84D2F"/>
    <w:rsid w:val="00B84DA7"/>
    <w:rsid w:val="00B86754"/>
    <w:rsid w:val="00B87754"/>
    <w:rsid w:val="00B939D4"/>
    <w:rsid w:val="00B9458A"/>
    <w:rsid w:val="00B966A8"/>
    <w:rsid w:val="00B969F9"/>
    <w:rsid w:val="00B970E0"/>
    <w:rsid w:val="00BA0533"/>
    <w:rsid w:val="00BA0A76"/>
    <w:rsid w:val="00BA1327"/>
    <w:rsid w:val="00BA2782"/>
    <w:rsid w:val="00BA40E9"/>
    <w:rsid w:val="00BA4D53"/>
    <w:rsid w:val="00BA5212"/>
    <w:rsid w:val="00BA6984"/>
    <w:rsid w:val="00BB1909"/>
    <w:rsid w:val="00BB195B"/>
    <w:rsid w:val="00BB25F5"/>
    <w:rsid w:val="00BB3D10"/>
    <w:rsid w:val="00BB5615"/>
    <w:rsid w:val="00BB5C0C"/>
    <w:rsid w:val="00BB6874"/>
    <w:rsid w:val="00BC0D2B"/>
    <w:rsid w:val="00BC0DB3"/>
    <w:rsid w:val="00BC1D71"/>
    <w:rsid w:val="00BC28D8"/>
    <w:rsid w:val="00BC4FBB"/>
    <w:rsid w:val="00BC5069"/>
    <w:rsid w:val="00BD417F"/>
    <w:rsid w:val="00BD518C"/>
    <w:rsid w:val="00BD7FEE"/>
    <w:rsid w:val="00BE1635"/>
    <w:rsid w:val="00BE2802"/>
    <w:rsid w:val="00BE285A"/>
    <w:rsid w:val="00BE318E"/>
    <w:rsid w:val="00BE4406"/>
    <w:rsid w:val="00BE7B98"/>
    <w:rsid w:val="00BF0D35"/>
    <w:rsid w:val="00BF2AB7"/>
    <w:rsid w:val="00BF5689"/>
    <w:rsid w:val="00BF6C8B"/>
    <w:rsid w:val="00BF6D0B"/>
    <w:rsid w:val="00BF6D3D"/>
    <w:rsid w:val="00BF78D3"/>
    <w:rsid w:val="00C00F17"/>
    <w:rsid w:val="00C0288A"/>
    <w:rsid w:val="00C04737"/>
    <w:rsid w:val="00C049E3"/>
    <w:rsid w:val="00C0701A"/>
    <w:rsid w:val="00C07175"/>
    <w:rsid w:val="00C10E28"/>
    <w:rsid w:val="00C11FD3"/>
    <w:rsid w:val="00C1296D"/>
    <w:rsid w:val="00C13385"/>
    <w:rsid w:val="00C13459"/>
    <w:rsid w:val="00C14365"/>
    <w:rsid w:val="00C14A76"/>
    <w:rsid w:val="00C1517A"/>
    <w:rsid w:val="00C17267"/>
    <w:rsid w:val="00C21015"/>
    <w:rsid w:val="00C2114C"/>
    <w:rsid w:val="00C23A07"/>
    <w:rsid w:val="00C24AB5"/>
    <w:rsid w:val="00C25690"/>
    <w:rsid w:val="00C25AD5"/>
    <w:rsid w:val="00C2704E"/>
    <w:rsid w:val="00C30BF7"/>
    <w:rsid w:val="00C31A66"/>
    <w:rsid w:val="00C32024"/>
    <w:rsid w:val="00C333E3"/>
    <w:rsid w:val="00C33413"/>
    <w:rsid w:val="00C34067"/>
    <w:rsid w:val="00C35769"/>
    <w:rsid w:val="00C35F5F"/>
    <w:rsid w:val="00C3640F"/>
    <w:rsid w:val="00C47CAE"/>
    <w:rsid w:val="00C54F56"/>
    <w:rsid w:val="00C5706C"/>
    <w:rsid w:val="00C60B57"/>
    <w:rsid w:val="00C6111C"/>
    <w:rsid w:val="00C61AA3"/>
    <w:rsid w:val="00C62943"/>
    <w:rsid w:val="00C64491"/>
    <w:rsid w:val="00C65FD0"/>
    <w:rsid w:val="00C67C22"/>
    <w:rsid w:val="00C700C6"/>
    <w:rsid w:val="00C70921"/>
    <w:rsid w:val="00C7135C"/>
    <w:rsid w:val="00C727F4"/>
    <w:rsid w:val="00C7373C"/>
    <w:rsid w:val="00C73CF0"/>
    <w:rsid w:val="00C73FF5"/>
    <w:rsid w:val="00C76402"/>
    <w:rsid w:val="00C7693B"/>
    <w:rsid w:val="00C83113"/>
    <w:rsid w:val="00C83872"/>
    <w:rsid w:val="00C84BC9"/>
    <w:rsid w:val="00C8531B"/>
    <w:rsid w:val="00C85F46"/>
    <w:rsid w:val="00C860FA"/>
    <w:rsid w:val="00C87348"/>
    <w:rsid w:val="00C9013B"/>
    <w:rsid w:val="00C903C1"/>
    <w:rsid w:val="00C90EDE"/>
    <w:rsid w:val="00C911EA"/>
    <w:rsid w:val="00C91C63"/>
    <w:rsid w:val="00C93C61"/>
    <w:rsid w:val="00C948F9"/>
    <w:rsid w:val="00C956DA"/>
    <w:rsid w:val="00CA16A7"/>
    <w:rsid w:val="00CA2556"/>
    <w:rsid w:val="00CA2744"/>
    <w:rsid w:val="00CA3D6C"/>
    <w:rsid w:val="00CA4752"/>
    <w:rsid w:val="00CA4B9E"/>
    <w:rsid w:val="00CA621D"/>
    <w:rsid w:val="00CA6BB1"/>
    <w:rsid w:val="00CA7B13"/>
    <w:rsid w:val="00CB0BD6"/>
    <w:rsid w:val="00CB1673"/>
    <w:rsid w:val="00CB2068"/>
    <w:rsid w:val="00CB216A"/>
    <w:rsid w:val="00CB2F35"/>
    <w:rsid w:val="00CB4260"/>
    <w:rsid w:val="00CB4885"/>
    <w:rsid w:val="00CB6619"/>
    <w:rsid w:val="00CB6FC7"/>
    <w:rsid w:val="00CC022B"/>
    <w:rsid w:val="00CC0BB0"/>
    <w:rsid w:val="00CC2818"/>
    <w:rsid w:val="00CC6407"/>
    <w:rsid w:val="00CC7855"/>
    <w:rsid w:val="00CD08AB"/>
    <w:rsid w:val="00CD10E0"/>
    <w:rsid w:val="00CD4D17"/>
    <w:rsid w:val="00CD556A"/>
    <w:rsid w:val="00CD591F"/>
    <w:rsid w:val="00CE06A5"/>
    <w:rsid w:val="00CE20ED"/>
    <w:rsid w:val="00CE234A"/>
    <w:rsid w:val="00CE2BD6"/>
    <w:rsid w:val="00CE54BB"/>
    <w:rsid w:val="00CE5EE9"/>
    <w:rsid w:val="00CE67FF"/>
    <w:rsid w:val="00CF0706"/>
    <w:rsid w:val="00CF24AC"/>
    <w:rsid w:val="00CF72AF"/>
    <w:rsid w:val="00CF7AB2"/>
    <w:rsid w:val="00D011A7"/>
    <w:rsid w:val="00D01C72"/>
    <w:rsid w:val="00D03A8E"/>
    <w:rsid w:val="00D04C3F"/>
    <w:rsid w:val="00D05CC9"/>
    <w:rsid w:val="00D060B8"/>
    <w:rsid w:val="00D1004B"/>
    <w:rsid w:val="00D113DB"/>
    <w:rsid w:val="00D12EA1"/>
    <w:rsid w:val="00D13606"/>
    <w:rsid w:val="00D15F3A"/>
    <w:rsid w:val="00D16ACC"/>
    <w:rsid w:val="00D2065D"/>
    <w:rsid w:val="00D2080B"/>
    <w:rsid w:val="00D22973"/>
    <w:rsid w:val="00D252CC"/>
    <w:rsid w:val="00D26A73"/>
    <w:rsid w:val="00D27878"/>
    <w:rsid w:val="00D32010"/>
    <w:rsid w:val="00D34EFC"/>
    <w:rsid w:val="00D353AB"/>
    <w:rsid w:val="00D4164B"/>
    <w:rsid w:val="00D41A65"/>
    <w:rsid w:val="00D42C0A"/>
    <w:rsid w:val="00D47D9D"/>
    <w:rsid w:val="00D517EA"/>
    <w:rsid w:val="00D51B4B"/>
    <w:rsid w:val="00D537D7"/>
    <w:rsid w:val="00D53877"/>
    <w:rsid w:val="00D5401D"/>
    <w:rsid w:val="00D54AA0"/>
    <w:rsid w:val="00D56DBF"/>
    <w:rsid w:val="00D57FCF"/>
    <w:rsid w:val="00D612C9"/>
    <w:rsid w:val="00D6204B"/>
    <w:rsid w:val="00D62E27"/>
    <w:rsid w:val="00D633A6"/>
    <w:rsid w:val="00D65FFB"/>
    <w:rsid w:val="00D661FE"/>
    <w:rsid w:val="00D676EF"/>
    <w:rsid w:val="00D67B4F"/>
    <w:rsid w:val="00D67D24"/>
    <w:rsid w:val="00D73068"/>
    <w:rsid w:val="00D750E1"/>
    <w:rsid w:val="00D760AE"/>
    <w:rsid w:val="00D76AED"/>
    <w:rsid w:val="00D80BBE"/>
    <w:rsid w:val="00D830B2"/>
    <w:rsid w:val="00D866F4"/>
    <w:rsid w:val="00D86D22"/>
    <w:rsid w:val="00D86E4A"/>
    <w:rsid w:val="00D871C9"/>
    <w:rsid w:val="00D908AC"/>
    <w:rsid w:val="00D91A12"/>
    <w:rsid w:val="00D92E2B"/>
    <w:rsid w:val="00D92ED4"/>
    <w:rsid w:val="00D93C19"/>
    <w:rsid w:val="00D9505A"/>
    <w:rsid w:val="00DA0667"/>
    <w:rsid w:val="00DA0B16"/>
    <w:rsid w:val="00DA157C"/>
    <w:rsid w:val="00DA452C"/>
    <w:rsid w:val="00DA48C1"/>
    <w:rsid w:val="00DA56B0"/>
    <w:rsid w:val="00DA7975"/>
    <w:rsid w:val="00DB0F5D"/>
    <w:rsid w:val="00DB22A2"/>
    <w:rsid w:val="00DB34E3"/>
    <w:rsid w:val="00DB4254"/>
    <w:rsid w:val="00DB49EA"/>
    <w:rsid w:val="00DB54DD"/>
    <w:rsid w:val="00DB649E"/>
    <w:rsid w:val="00DB7948"/>
    <w:rsid w:val="00DC2C79"/>
    <w:rsid w:val="00DC401C"/>
    <w:rsid w:val="00DC411A"/>
    <w:rsid w:val="00DC44E1"/>
    <w:rsid w:val="00DC67E8"/>
    <w:rsid w:val="00DC6F92"/>
    <w:rsid w:val="00DD0BC4"/>
    <w:rsid w:val="00DD317A"/>
    <w:rsid w:val="00DD43FB"/>
    <w:rsid w:val="00DD6925"/>
    <w:rsid w:val="00DD7793"/>
    <w:rsid w:val="00DE0FB2"/>
    <w:rsid w:val="00DE1149"/>
    <w:rsid w:val="00DE2771"/>
    <w:rsid w:val="00DE4E61"/>
    <w:rsid w:val="00DE5074"/>
    <w:rsid w:val="00DE54F9"/>
    <w:rsid w:val="00DF02B4"/>
    <w:rsid w:val="00DF1109"/>
    <w:rsid w:val="00DF1C8E"/>
    <w:rsid w:val="00DF52FC"/>
    <w:rsid w:val="00DF542F"/>
    <w:rsid w:val="00DF5503"/>
    <w:rsid w:val="00DF5924"/>
    <w:rsid w:val="00DF5DAC"/>
    <w:rsid w:val="00DF6650"/>
    <w:rsid w:val="00E0387B"/>
    <w:rsid w:val="00E04DBD"/>
    <w:rsid w:val="00E051D6"/>
    <w:rsid w:val="00E06E40"/>
    <w:rsid w:val="00E0722F"/>
    <w:rsid w:val="00E12342"/>
    <w:rsid w:val="00E1270F"/>
    <w:rsid w:val="00E14F8B"/>
    <w:rsid w:val="00E172E9"/>
    <w:rsid w:val="00E205B7"/>
    <w:rsid w:val="00E221D3"/>
    <w:rsid w:val="00E224CF"/>
    <w:rsid w:val="00E2255B"/>
    <w:rsid w:val="00E2291D"/>
    <w:rsid w:val="00E24C60"/>
    <w:rsid w:val="00E252AD"/>
    <w:rsid w:val="00E26567"/>
    <w:rsid w:val="00E30F3B"/>
    <w:rsid w:val="00E322FE"/>
    <w:rsid w:val="00E34B6E"/>
    <w:rsid w:val="00E36C0E"/>
    <w:rsid w:val="00E40F67"/>
    <w:rsid w:val="00E422C9"/>
    <w:rsid w:val="00E42E63"/>
    <w:rsid w:val="00E43916"/>
    <w:rsid w:val="00E43E26"/>
    <w:rsid w:val="00E44E69"/>
    <w:rsid w:val="00E44F6F"/>
    <w:rsid w:val="00E454D9"/>
    <w:rsid w:val="00E4642D"/>
    <w:rsid w:val="00E47327"/>
    <w:rsid w:val="00E5298E"/>
    <w:rsid w:val="00E53E2D"/>
    <w:rsid w:val="00E544A8"/>
    <w:rsid w:val="00E55EAC"/>
    <w:rsid w:val="00E560B5"/>
    <w:rsid w:val="00E5643A"/>
    <w:rsid w:val="00E5661E"/>
    <w:rsid w:val="00E56FA2"/>
    <w:rsid w:val="00E6198D"/>
    <w:rsid w:val="00E61B97"/>
    <w:rsid w:val="00E67276"/>
    <w:rsid w:val="00E67320"/>
    <w:rsid w:val="00E6774D"/>
    <w:rsid w:val="00E701C1"/>
    <w:rsid w:val="00E70A27"/>
    <w:rsid w:val="00E722AF"/>
    <w:rsid w:val="00E72AB5"/>
    <w:rsid w:val="00E731B4"/>
    <w:rsid w:val="00E742B6"/>
    <w:rsid w:val="00E75F50"/>
    <w:rsid w:val="00E7606E"/>
    <w:rsid w:val="00E76B20"/>
    <w:rsid w:val="00E7701A"/>
    <w:rsid w:val="00E80149"/>
    <w:rsid w:val="00E8126D"/>
    <w:rsid w:val="00E8224E"/>
    <w:rsid w:val="00E86DBC"/>
    <w:rsid w:val="00E87C9D"/>
    <w:rsid w:val="00E9014E"/>
    <w:rsid w:val="00E90ACC"/>
    <w:rsid w:val="00E92907"/>
    <w:rsid w:val="00E937E9"/>
    <w:rsid w:val="00E940DA"/>
    <w:rsid w:val="00E94629"/>
    <w:rsid w:val="00E95612"/>
    <w:rsid w:val="00E959B5"/>
    <w:rsid w:val="00E95A87"/>
    <w:rsid w:val="00E95BA3"/>
    <w:rsid w:val="00E971F7"/>
    <w:rsid w:val="00EA09B6"/>
    <w:rsid w:val="00EA2E7F"/>
    <w:rsid w:val="00EA57A2"/>
    <w:rsid w:val="00EA589E"/>
    <w:rsid w:val="00EA77FF"/>
    <w:rsid w:val="00EB00A1"/>
    <w:rsid w:val="00EB21C7"/>
    <w:rsid w:val="00EB284F"/>
    <w:rsid w:val="00EB2FD3"/>
    <w:rsid w:val="00EB37E5"/>
    <w:rsid w:val="00EB3915"/>
    <w:rsid w:val="00EB4598"/>
    <w:rsid w:val="00EC26C3"/>
    <w:rsid w:val="00EC33C8"/>
    <w:rsid w:val="00EC3EC2"/>
    <w:rsid w:val="00EC4468"/>
    <w:rsid w:val="00EC55E9"/>
    <w:rsid w:val="00EC56F8"/>
    <w:rsid w:val="00EC750E"/>
    <w:rsid w:val="00ED19AE"/>
    <w:rsid w:val="00ED1A99"/>
    <w:rsid w:val="00ED45CA"/>
    <w:rsid w:val="00ED524F"/>
    <w:rsid w:val="00ED5562"/>
    <w:rsid w:val="00EE07A3"/>
    <w:rsid w:val="00EE07A5"/>
    <w:rsid w:val="00EE1038"/>
    <w:rsid w:val="00EE1BC3"/>
    <w:rsid w:val="00EE3C45"/>
    <w:rsid w:val="00EE51FA"/>
    <w:rsid w:val="00EE5E6C"/>
    <w:rsid w:val="00EE6784"/>
    <w:rsid w:val="00EF4E5B"/>
    <w:rsid w:val="00EF7A2B"/>
    <w:rsid w:val="00F009E3"/>
    <w:rsid w:val="00F0163B"/>
    <w:rsid w:val="00F01EA5"/>
    <w:rsid w:val="00F025D5"/>
    <w:rsid w:val="00F02C07"/>
    <w:rsid w:val="00F03D4F"/>
    <w:rsid w:val="00F03E9E"/>
    <w:rsid w:val="00F03EA1"/>
    <w:rsid w:val="00F076EA"/>
    <w:rsid w:val="00F10755"/>
    <w:rsid w:val="00F110EB"/>
    <w:rsid w:val="00F12CD7"/>
    <w:rsid w:val="00F13FE6"/>
    <w:rsid w:val="00F14C84"/>
    <w:rsid w:val="00F16AD0"/>
    <w:rsid w:val="00F174DA"/>
    <w:rsid w:val="00F17DCD"/>
    <w:rsid w:val="00F2174A"/>
    <w:rsid w:val="00F22E09"/>
    <w:rsid w:val="00F235E3"/>
    <w:rsid w:val="00F249A9"/>
    <w:rsid w:val="00F274C7"/>
    <w:rsid w:val="00F31091"/>
    <w:rsid w:val="00F31AD7"/>
    <w:rsid w:val="00F3302D"/>
    <w:rsid w:val="00F353E7"/>
    <w:rsid w:val="00F3643C"/>
    <w:rsid w:val="00F419C9"/>
    <w:rsid w:val="00F41A9D"/>
    <w:rsid w:val="00F422EE"/>
    <w:rsid w:val="00F4248E"/>
    <w:rsid w:val="00F44C19"/>
    <w:rsid w:val="00F456CB"/>
    <w:rsid w:val="00F459C4"/>
    <w:rsid w:val="00F46FAF"/>
    <w:rsid w:val="00F50A6B"/>
    <w:rsid w:val="00F52B08"/>
    <w:rsid w:val="00F55943"/>
    <w:rsid w:val="00F566A9"/>
    <w:rsid w:val="00F56ED4"/>
    <w:rsid w:val="00F60890"/>
    <w:rsid w:val="00F60ECB"/>
    <w:rsid w:val="00F60EE3"/>
    <w:rsid w:val="00F61ACB"/>
    <w:rsid w:val="00F61DE4"/>
    <w:rsid w:val="00F62F43"/>
    <w:rsid w:val="00F6456B"/>
    <w:rsid w:val="00F65DF4"/>
    <w:rsid w:val="00F67BC4"/>
    <w:rsid w:val="00F67BFB"/>
    <w:rsid w:val="00F70093"/>
    <w:rsid w:val="00F72DB1"/>
    <w:rsid w:val="00F73729"/>
    <w:rsid w:val="00F738AA"/>
    <w:rsid w:val="00F7448A"/>
    <w:rsid w:val="00F761B2"/>
    <w:rsid w:val="00F77496"/>
    <w:rsid w:val="00F81466"/>
    <w:rsid w:val="00F928EB"/>
    <w:rsid w:val="00F9615D"/>
    <w:rsid w:val="00F963E1"/>
    <w:rsid w:val="00FA163B"/>
    <w:rsid w:val="00FA388D"/>
    <w:rsid w:val="00FA3A1C"/>
    <w:rsid w:val="00FA4565"/>
    <w:rsid w:val="00FA6774"/>
    <w:rsid w:val="00FB0043"/>
    <w:rsid w:val="00FB23F0"/>
    <w:rsid w:val="00FB2B9B"/>
    <w:rsid w:val="00FB3A95"/>
    <w:rsid w:val="00FB59C2"/>
    <w:rsid w:val="00FC36C2"/>
    <w:rsid w:val="00FC59B8"/>
    <w:rsid w:val="00FC5EAB"/>
    <w:rsid w:val="00FC6CEA"/>
    <w:rsid w:val="00FC7C5B"/>
    <w:rsid w:val="00FD03D1"/>
    <w:rsid w:val="00FD066E"/>
    <w:rsid w:val="00FD29A9"/>
    <w:rsid w:val="00FD36F5"/>
    <w:rsid w:val="00FD3792"/>
    <w:rsid w:val="00FD38A6"/>
    <w:rsid w:val="00FD3B27"/>
    <w:rsid w:val="00FD4ADE"/>
    <w:rsid w:val="00FD60CB"/>
    <w:rsid w:val="00FE0D35"/>
    <w:rsid w:val="00FE2D93"/>
    <w:rsid w:val="00FE4797"/>
    <w:rsid w:val="00FE486B"/>
    <w:rsid w:val="00FE5133"/>
    <w:rsid w:val="00FE545F"/>
    <w:rsid w:val="00FE5B81"/>
    <w:rsid w:val="00FF2AAD"/>
    <w:rsid w:val="00FF340F"/>
    <w:rsid w:val="00FF4359"/>
    <w:rsid w:val="00FF4434"/>
    <w:rsid w:val="00FF5BD0"/>
    <w:rsid w:val="00FF74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EF6"/>
    <w:pPr>
      <w:spacing w:after="100" w:line="400" w:lineRule="exact"/>
      <w:jc w:val="both"/>
    </w:pPr>
    <w:rPr>
      <w:rFonts w:ascii="Century Schoolbook" w:hAnsi="Century Schoolbook"/>
      <w:sz w:val="27"/>
    </w:rPr>
  </w:style>
  <w:style w:type="paragraph" w:styleId="Heading1">
    <w:name w:val="heading 1"/>
    <w:basedOn w:val="Normal"/>
    <w:next w:val="Normal"/>
    <w:qFormat/>
    <w:rsid w:val="00482EF6"/>
    <w:pPr>
      <w:keepNext/>
      <w:spacing w:before="140" w:line="240" w:lineRule="atLeast"/>
      <w:jc w:val="center"/>
      <w:outlineLvl w:val="0"/>
    </w:pPr>
    <w:rPr>
      <w:b/>
      <w:smallCaps/>
    </w:rPr>
  </w:style>
  <w:style w:type="paragraph" w:styleId="Heading2">
    <w:name w:val="heading 2"/>
    <w:basedOn w:val="Normal"/>
    <w:next w:val="Normal"/>
    <w:qFormat/>
    <w:rsid w:val="00482EF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482EF6"/>
    <w:pPr>
      <w:keepNext/>
      <w:tabs>
        <w:tab w:val="left" w:pos="1584"/>
      </w:tabs>
      <w:spacing w:before="140" w:line="240" w:lineRule="atLeast"/>
      <w:ind w:left="1584" w:hanging="432"/>
      <w:jc w:val="left"/>
      <w:outlineLvl w:val="2"/>
    </w:pPr>
    <w:rPr>
      <w:i/>
    </w:rPr>
  </w:style>
  <w:style w:type="paragraph" w:styleId="Heading4">
    <w:name w:val="heading 4"/>
    <w:basedOn w:val="Normal"/>
    <w:rsid w:val="00482EF6"/>
    <w:pPr>
      <w:keepNext/>
      <w:tabs>
        <w:tab w:val="left" w:pos="2016"/>
      </w:tabs>
      <w:spacing w:before="140" w:line="240" w:lineRule="atLeast"/>
      <w:ind w:left="2016" w:hanging="432"/>
      <w:jc w:val="left"/>
      <w:outlineLvl w:val="3"/>
    </w:pPr>
    <w:rPr>
      <w:i/>
    </w:rPr>
  </w:style>
  <w:style w:type="paragraph" w:styleId="Heading5">
    <w:name w:val="heading 5"/>
    <w:basedOn w:val="Normal"/>
    <w:rsid w:val="00482EF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82EF6"/>
    <w:pPr>
      <w:ind w:left="720"/>
    </w:pPr>
  </w:style>
  <w:style w:type="paragraph" w:styleId="Footer">
    <w:name w:val="footer"/>
    <w:basedOn w:val="Normal"/>
    <w:qFormat/>
    <w:rsid w:val="00482EF6"/>
    <w:pPr>
      <w:tabs>
        <w:tab w:val="center" w:pos="3960"/>
        <w:tab w:val="right" w:pos="10080"/>
      </w:tabs>
      <w:spacing w:after="0" w:line="240" w:lineRule="auto"/>
      <w:jc w:val="center"/>
    </w:pPr>
    <w:rPr>
      <w:sz w:val="22"/>
    </w:rPr>
  </w:style>
  <w:style w:type="paragraph" w:styleId="Header">
    <w:name w:val="header"/>
    <w:basedOn w:val="Normal"/>
    <w:qFormat/>
    <w:rsid w:val="00482EF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482EF6"/>
    <w:rPr>
      <w:rFonts w:ascii="Century Schoolbook" w:hAnsi="Century Schoolbook"/>
      <w:b/>
      <w:i w:val="0"/>
      <w:position w:val="4"/>
      <w:sz w:val="27"/>
      <w:vertAlign w:val="superscript"/>
    </w:rPr>
  </w:style>
  <w:style w:type="paragraph" w:styleId="FootnoteText">
    <w:name w:val="footnote text"/>
    <w:basedOn w:val="Normal"/>
    <w:rsid w:val="00482EF6"/>
    <w:pPr>
      <w:spacing w:line="300" w:lineRule="exact"/>
    </w:pPr>
  </w:style>
  <w:style w:type="paragraph" w:customStyle="1" w:styleId="Title1">
    <w:name w:val="Title1"/>
    <w:basedOn w:val="Normal"/>
    <w:rsid w:val="00482EF6"/>
    <w:pPr>
      <w:tabs>
        <w:tab w:val="left" w:pos="5760"/>
        <w:tab w:val="left" w:pos="6480"/>
      </w:tabs>
      <w:spacing w:line="240" w:lineRule="atLeast"/>
    </w:pPr>
  </w:style>
  <w:style w:type="paragraph" w:customStyle="1" w:styleId="Recommend">
    <w:name w:val="Recommend"/>
    <w:basedOn w:val="Normal"/>
    <w:rsid w:val="00482EF6"/>
  </w:style>
  <w:style w:type="paragraph" w:customStyle="1" w:styleId="Summary">
    <w:name w:val="Summary"/>
    <w:basedOn w:val="Normal"/>
    <w:rsid w:val="00482EF6"/>
    <w:pPr>
      <w:ind w:left="2160" w:hanging="2160"/>
    </w:pPr>
  </w:style>
  <w:style w:type="paragraph" w:customStyle="1" w:styleId="Text">
    <w:name w:val="Text"/>
    <w:basedOn w:val="Normal"/>
    <w:rsid w:val="00482EF6"/>
    <w:pPr>
      <w:tabs>
        <w:tab w:val="left" w:pos="720"/>
        <w:tab w:val="left" w:pos="1440"/>
        <w:tab w:val="left" w:pos="2160"/>
        <w:tab w:val="center" w:pos="4320"/>
      </w:tabs>
      <w:spacing w:line="480" w:lineRule="atLeast"/>
      <w:ind w:firstLine="540"/>
    </w:pPr>
  </w:style>
  <w:style w:type="paragraph" w:styleId="Date">
    <w:name w:val="Date"/>
    <w:basedOn w:val="Normal"/>
    <w:semiHidden/>
    <w:rsid w:val="00482EF6"/>
    <w:pPr>
      <w:jc w:val="right"/>
    </w:pPr>
  </w:style>
  <w:style w:type="character" w:styleId="PageNumber">
    <w:name w:val="page number"/>
    <w:basedOn w:val="DefaultParagraphFont"/>
    <w:semiHidden/>
    <w:rsid w:val="00482EF6"/>
  </w:style>
  <w:style w:type="paragraph" w:customStyle="1" w:styleId="subject">
    <w:name w:val="subject"/>
    <w:basedOn w:val="Normal"/>
    <w:rsid w:val="00482EF6"/>
    <w:pPr>
      <w:tabs>
        <w:tab w:val="left" w:pos="1008"/>
      </w:tabs>
      <w:ind w:left="990" w:hanging="990"/>
    </w:pPr>
    <w:rPr>
      <w:b/>
    </w:rPr>
  </w:style>
  <w:style w:type="paragraph" w:customStyle="1" w:styleId="Titles">
    <w:name w:val="Titles"/>
    <w:basedOn w:val="Normal"/>
    <w:rsid w:val="00482EF6"/>
    <w:pPr>
      <w:tabs>
        <w:tab w:val="left" w:pos="2160"/>
      </w:tabs>
      <w:ind w:left="2160" w:hanging="2160"/>
    </w:pPr>
    <w:rPr>
      <w:b/>
    </w:rPr>
  </w:style>
  <w:style w:type="paragraph" w:styleId="TOAHeading">
    <w:name w:val="toa heading"/>
    <w:basedOn w:val="Normal"/>
    <w:next w:val="Normal"/>
    <w:semiHidden/>
    <w:rsid w:val="00482EF6"/>
    <w:pPr>
      <w:spacing w:before="120"/>
    </w:pPr>
    <w:rPr>
      <w:b/>
    </w:rPr>
  </w:style>
  <w:style w:type="paragraph" w:styleId="TOC1">
    <w:name w:val="toc 1"/>
    <w:basedOn w:val="Normal"/>
    <w:next w:val="Normal"/>
    <w:autoRedefine/>
    <w:semiHidden/>
    <w:rsid w:val="00482EF6"/>
  </w:style>
  <w:style w:type="paragraph" w:styleId="TOC2">
    <w:name w:val="toc 2"/>
    <w:basedOn w:val="Normal"/>
    <w:next w:val="Normal"/>
    <w:autoRedefine/>
    <w:semiHidden/>
    <w:rsid w:val="00482EF6"/>
    <w:pPr>
      <w:ind w:left="259"/>
    </w:pPr>
  </w:style>
  <w:style w:type="paragraph" w:styleId="TOC3">
    <w:name w:val="toc 3"/>
    <w:basedOn w:val="Normal"/>
    <w:next w:val="Normal"/>
    <w:autoRedefine/>
    <w:semiHidden/>
    <w:rsid w:val="00482EF6"/>
    <w:pPr>
      <w:ind w:left="520"/>
    </w:pPr>
  </w:style>
  <w:style w:type="paragraph" w:styleId="TOC4">
    <w:name w:val="toc 4"/>
    <w:basedOn w:val="Normal"/>
    <w:next w:val="Normal"/>
    <w:autoRedefine/>
    <w:semiHidden/>
    <w:rsid w:val="00482EF6"/>
    <w:pPr>
      <w:ind w:left="780"/>
    </w:pPr>
  </w:style>
  <w:style w:type="paragraph" w:styleId="TOC5">
    <w:name w:val="toc 5"/>
    <w:basedOn w:val="Normal"/>
    <w:next w:val="Normal"/>
    <w:autoRedefine/>
    <w:semiHidden/>
    <w:rsid w:val="00482EF6"/>
    <w:pPr>
      <w:ind w:left="1040"/>
    </w:pPr>
  </w:style>
  <w:style w:type="paragraph" w:styleId="TOC6">
    <w:name w:val="toc 6"/>
    <w:basedOn w:val="Normal"/>
    <w:next w:val="Normal"/>
    <w:autoRedefine/>
    <w:semiHidden/>
    <w:rsid w:val="00482EF6"/>
    <w:pPr>
      <w:ind w:left="1300"/>
    </w:pPr>
  </w:style>
  <w:style w:type="paragraph" w:styleId="TOC7">
    <w:name w:val="toc 7"/>
    <w:basedOn w:val="Normal"/>
    <w:next w:val="Normal"/>
    <w:autoRedefine/>
    <w:semiHidden/>
    <w:rsid w:val="00482EF6"/>
    <w:pPr>
      <w:ind w:left="1560"/>
    </w:pPr>
  </w:style>
  <w:style w:type="paragraph" w:styleId="TOC8">
    <w:name w:val="toc 8"/>
    <w:basedOn w:val="Normal"/>
    <w:next w:val="Normal"/>
    <w:autoRedefine/>
    <w:semiHidden/>
    <w:rsid w:val="00482EF6"/>
    <w:pPr>
      <w:ind w:left="1820"/>
    </w:pPr>
  </w:style>
  <w:style w:type="paragraph" w:styleId="TOC9">
    <w:name w:val="toc 9"/>
    <w:basedOn w:val="Normal"/>
    <w:next w:val="Normal"/>
    <w:autoRedefine/>
    <w:semiHidden/>
    <w:rsid w:val="00482EF6"/>
    <w:pPr>
      <w:ind w:left="2080"/>
    </w:pPr>
  </w:style>
  <w:style w:type="paragraph" w:customStyle="1" w:styleId="Contents">
    <w:name w:val="Contents"/>
    <w:basedOn w:val="Normal"/>
    <w:rsid w:val="00482EF6"/>
    <w:pPr>
      <w:jc w:val="center"/>
    </w:pPr>
    <w:rPr>
      <w:b/>
      <w:spacing w:val="100"/>
    </w:rPr>
  </w:style>
  <w:style w:type="paragraph" w:styleId="ListParagraph">
    <w:name w:val="List Paragraph"/>
    <w:basedOn w:val="Normal"/>
    <w:uiPriority w:val="34"/>
    <w:qFormat/>
    <w:rsid w:val="00B33382"/>
    <w:pPr>
      <w:ind w:left="720"/>
      <w:contextualSpacing/>
    </w:pPr>
  </w:style>
  <w:style w:type="character" w:styleId="CommentReference">
    <w:name w:val="annotation reference"/>
    <w:basedOn w:val="DefaultParagraphFont"/>
    <w:uiPriority w:val="99"/>
    <w:semiHidden/>
    <w:unhideWhenUsed/>
    <w:rsid w:val="00900865"/>
    <w:rPr>
      <w:sz w:val="16"/>
      <w:szCs w:val="16"/>
    </w:rPr>
  </w:style>
  <w:style w:type="paragraph" w:styleId="CommentText">
    <w:name w:val="annotation text"/>
    <w:basedOn w:val="Normal"/>
    <w:link w:val="CommentTextChar"/>
    <w:uiPriority w:val="99"/>
    <w:semiHidden/>
    <w:unhideWhenUsed/>
    <w:rsid w:val="00900865"/>
    <w:rPr>
      <w:sz w:val="20"/>
    </w:rPr>
  </w:style>
  <w:style w:type="character" w:customStyle="1" w:styleId="CommentTextChar">
    <w:name w:val="Comment Text Char"/>
    <w:basedOn w:val="DefaultParagraphFont"/>
    <w:link w:val="CommentText"/>
    <w:uiPriority w:val="99"/>
    <w:semiHidden/>
    <w:rsid w:val="00900865"/>
  </w:style>
  <w:style w:type="paragraph" w:styleId="CommentSubject">
    <w:name w:val="annotation subject"/>
    <w:basedOn w:val="CommentText"/>
    <w:next w:val="CommentText"/>
    <w:link w:val="CommentSubjectChar"/>
    <w:uiPriority w:val="99"/>
    <w:semiHidden/>
    <w:unhideWhenUsed/>
    <w:rsid w:val="00900865"/>
    <w:rPr>
      <w:b/>
      <w:bCs/>
    </w:rPr>
  </w:style>
  <w:style w:type="character" w:customStyle="1" w:styleId="CommentSubjectChar">
    <w:name w:val="Comment Subject Char"/>
    <w:basedOn w:val="CommentTextChar"/>
    <w:link w:val="CommentSubject"/>
    <w:uiPriority w:val="99"/>
    <w:semiHidden/>
    <w:rsid w:val="00900865"/>
    <w:rPr>
      <w:b/>
      <w:bCs/>
    </w:rPr>
  </w:style>
  <w:style w:type="paragraph" w:styleId="Revision">
    <w:name w:val="Revision"/>
    <w:hidden/>
    <w:uiPriority w:val="99"/>
    <w:semiHidden/>
    <w:rsid w:val="00900865"/>
    <w:rPr>
      <w:sz w:val="26"/>
    </w:rPr>
  </w:style>
  <w:style w:type="paragraph" w:styleId="BodyText">
    <w:name w:val="Body Text"/>
    <w:basedOn w:val="Normal"/>
    <w:link w:val="BodyTextChar"/>
    <w:qFormat/>
    <w:rsid w:val="00482EF6"/>
  </w:style>
  <w:style w:type="character" w:customStyle="1" w:styleId="BodyTextChar">
    <w:name w:val="Body Text Char"/>
    <w:basedOn w:val="DefaultParagraphFont"/>
    <w:link w:val="BodyText"/>
    <w:rsid w:val="00482EF6"/>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1A5F-75E4-4273-BFD1-34E6688D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6660</Words>
  <Characters>37964</Characters>
  <Application>Microsoft Office Word</Application>
  <DocSecurity>0</DocSecurity>
  <Lines>316</Lines>
  <Paragraphs>89</Paragraphs>
  <ScaleCrop>false</ScaleCrop>
  <Company/>
  <LinksUpToDate>false</LinksUpToDate>
  <CharactersWithSpaces>44535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2023-07-24T15:45:03Z</dcterms:created>
  <dcterms:modified xsi:type="dcterms:W3CDTF">2023-07-24T15:45:03Z</dcterms:modified>
</cp:coreProperties>
</file>