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12C56" w:rsidP="00715165">
      <w:pPr>
        <w:tabs>
          <w:tab w:val="left" w:pos="1440"/>
        </w:tabs>
        <w:spacing w:after="0"/>
        <w:jc w:val="center"/>
        <w:rPr>
          <w:caps/>
          <w:sz w:val="36"/>
        </w:rPr>
      </w:pPr>
      <w:bookmarkStart w:id="0" w:name="MarkDocLoc"/>
      <w:bookmarkStart w:id="1" w:name="_Hlk121735936"/>
      <w:bookmarkEnd w:id="0"/>
      <w:r>
        <w:rPr>
          <w:b/>
          <w:caps/>
          <w:sz w:val="36"/>
        </w:rPr>
        <w:t>IN THE SUPREME COURT OF CALIFORNIA</w:t>
      </w:r>
    </w:p>
    <w:p w:rsidR="00715165" w:rsidP="00715165">
      <w:pPr>
        <w:tabs>
          <w:tab w:val="left" w:pos="1440"/>
        </w:tabs>
        <w:spacing w:after="0"/>
        <w:jc w:val="center"/>
        <w:rPr>
          <w:caps/>
        </w:rPr>
      </w:pPr>
    </w:p>
    <w:p w:rsidR="00715165" w:rsidP="00715165">
      <w:pPr>
        <w:tabs>
          <w:tab w:val="left" w:pos="1440"/>
        </w:tabs>
        <w:spacing w:after="0"/>
        <w:jc w:val="center"/>
        <w:rPr>
          <w:caps/>
        </w:rPr>
      </w:pPr>
      <w:r>
        <w:rPr>
          <w:caps/>
        </w:rPr>
        <w:t xml:space="preserve">ARNETTE TRAVIS </w:t>
      </w:r>
      <w:r w:rsidRPr="000A1BDF">
        <w:t>et al.</w:t>
      </w:r>
      <w:r>
        <w:rPr>
          <w:caps/>
        </w:rPr>
        <w:t>,</w:t>
      </w:r>
    </w:p>
    <w:p w:rsidR="00715165" w:rsidRPr="00236DE6" w:rsidP="00715165">
      <w:pPr>
        <w:tabs>
          <w:tab w:val="left" w:pos="1440"/>
        </w:tabs>
        <w:spacing w:after="0"/>
        <w:jc w:val="center"/>
      </w:pPr>
      <w:r w:rsidRPr="00236DE6">
        <w:t>Plaintiffs and Appellants</w:t>
      </w:r>
      <w:r w:rsidR="00061FB9">
        <w:t>,</w:t>
      </w:r>
    </w:p>
    <w:p w:rsidR="00715165" w:rsidRPr="00236DE6" w:rsidP="00715165">
      <w:pPr>
        <w:tabs>
          <w:tab w:val="left" w:pos="1440"/>
        </w:tabs>
        <w:spacing w:after="0"/>
        <w:jc w:val="center"/>
      </w:pPr>
      <w:r w:rsidRPr="00236DE6">
        <w:t>v</w:t>
      </w:r>
      <w:r w:rsidRPr="00236DE6">
        <w:t>.</w:t>
      </w:r>
    </w:p>
    <w:p w:rsidR="00715165" w:rsidP="00715165">
      <w:pPr>
        <w:tabs>
          <w:tab w:val="left" w:pos="1440"/>
        </w:tabs>
        <w:spacing w:after="0"/>
        <w:jc w:val="center"/>
        <w:rPr>
          <w:caps/>
        </w:rPr>
      </w:pPr>
      <w:r>
        <w:rPr>
          <w:caps/>
        </w:rPr>
        <w:t xml:space="preserve">BILL BRAND </w:t>
      </w:r>
      <w:r w:rsidRPr="000A1BDF">
        <w:t>et al.</w:t>
      </w:r>
      <w:r>
        <w:rPr>
          <w:caps/>
        </w:rPr>
        <w:t>,</w:t>
      </w:r>
    </w:p>
    <w:p w:rsidR="00715165" w:rsidRPr="00061FB9" w:rsidP="00715165">
      <w:pPr>
        <w:tabs>
          <w:tab w:val="left" w:pos="1440"/>
        </w:tabs>
        <w:spacing w:after="0"/>
        <w:jc w:val="center"/>
      </w:pPr>
      <w:r w:rsidRPr="00061FB9">
        <w:t>Defendants and Respondents</w:t>
      </w:r>
      <w:r w:rsidR="007C1755">
        <w:t>;</w:t>
      </w:r>
      <w:r w:rsidR="00061FB9">
        <w:t xml:space="preserve"> </w:t>
      </w:r>
    </w:p>
    <w:p w:rsidR="00F2728F" w:rsidP="00715165">
      <w:pPr>
        <w:tabs>
          <w:tab w:val="left" w:pos="1440"/>
        </w:tabs>
        <w:spacing w:after="0"/>
        <w:jc w:val="center"/>
      </w:pPr>
      <w:r>
        <w:rPr>
          <w:caps/>
        </w:rPr>
        <w:t xml:space="preserve">REDONDO BEACH WATERFRONT, LLC, </w:t>
      </w:r>
      <w:r w:rsidR="003234DC">
        <w:t>et al.,</w:t>
      </w:r>
    </w:p>
    <w:p w:rsidR="003234DC" w:rsidP="00715165">
      <w:pPr>
        <w:tabs>
          <w:tab w:val="left" w:pos="1440"/>
        </w:tabs>
        <w:spacing w:after="0"/>
        <w:jc w:val="center"/>
      </w:pPr>
      <w:r>
        <w:t>Appellants.</w:t>
      </w:r>
    </w:p>
    <w:p w:rsidR="0032426E" w:rsidRPr="003234DC" w:rsidP="00715165">
      <w:pPr>
        <w:tabs>
          <w:tab w:val="left" w:pos="1440"/>
        </w:tabs>
        <w:spacing w:after="0"/>
        <w:jc w:val="center"/>
      </w:pPr>
      <w:r w:rsidRPr="0032426E">
        <w:rPr>
          <w:noProof/>
        </w:rPr>
        <w:drawing>
          <wp:inline distT="0" distB="0" distL="0" distR="0">
            <wp:extent cx="502920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0" cy="276225"/>
                    </a:xfrm>
                    <a:prstGeom prst="rect">
                      <a:avLst/>
                    </a:prstGeom>
                    <a:noFill/>
                    <a:ln>
                      <a:noFill/>
                    </a:ln>
                  </pic:spPr>
                </pic:pic>
              </a:graphicData>
            </a:graphic>
          </wp:inline>
        </w:drawing>
      </w:r>
    </w:p>
    <w:p w:rsidR="0032426E" w:rsidP="00715165">
      <w:pPr>
        <w:tabs>
          <w:tab w:val="left" w:pos="1440"/>
        </w:tabs>
        <w:spacing w:after="0"/>
        <w:jc w:val="center"/>
      </w:pPr>
      <w:r>
        <w:rPr>
          <w:caps/>
        </w:rPr>
        <w:t>ARNETTE TRAVIS</w:t>
      </w:r>
      <w:r w:rsidR="00D416C0">
        <w:rPr>
          <w:caps/>
        </w:rPr>
        <w:t xml:space="preserve"> </w:t>
      </w:r>
      <w:r w:rsidR="00D416C0">
        <w:t>et al.,</w:t>
      </w:r>
    </w:p>
    <w:p w:rsidR="00D416C0" w:rsidP="00715165">
      <w:pPr>
        <w:tabs>
          <w:tab w:val="left" w:pos="1440"/>
        </w:tabs>
        <w:spacing w:after="0"/>
        <w:jc w:val="center"/>
      </w:pPr>
      <w:r>
        <w:t>Plaintiffs and Appellants,</w:t>
      </w:r>
    </w:p>
    <w:p w:rsidR="00D416C0" w:rsidP="00715165">
      <w:pPr>
        <w:tabs>
          <w:tab w:val="left" w:pos="1440"/>
        </w:tabs>
        <w:spacing w:after="0"/>
        <w:jc w:val="center"/>
      </w:pPr>
      <w:r>
        <w:t>v.</w:t>
      </w:r>
    </w:p>
    <w:p w:rsidR="00445276" w:rsidP="00715165">
      <w:pPr>
        <w:tabs>
          <w:tab w:val="left" w:pos="1440"/>
        </w:tabs>
        <w:spacing w:after="0"/>
        <w:jc w:val="center"/>
      </w:pPr>
      <w:r>
        <w:t>BILL BRAND et al.,</w:t>
      </w:r>
    </w:p>
    <w:p w:rsidR="00445276" w:rsidRPr="00D416C0" w:rsidP="00715165">
      <w:pPr>
        <w:tabs>
          <w:tab w:val="left" w:pos="1440"/>
        </w:tabs>
        <w:spacing w:after="0"/>
        <w:jc w:val="center"/>
      </w:pPr>
      <w:r>
        <w:t>Defendants and Respondents.</w:t>
      </w:r>
    </w:p>
    <w:p w:rsidR="0032426E" w:rsidP="00715165">
      <w:pPr>
        <w:tabs>
          <w:tab w:val="left" w:pos="1440"/>
        </w:tabs>
        <w:spacing w:after="0"/>
        <w:jc w:val="center"/>
        <w:rPr>
          <w:caps/>
        </w:rPr>
      </w:pPr>
    </w:p>
    <w:p w:rsidR="00715165" w:rsidP="00715165">
      <w:pPr>
        <w:tabs>
          <w:tab w:val="left" w:pos="1440"/>
        </w:tabs>
        <w:spacing w:after="0"/>
        <w:jc w:val="center"/>
        <w:rPr>
          <w:caps/>
        </w:rPr>
      </w:pPr>
      <w:r>
        <w:rPr>
          <w:caps/>
        </w:rPr>
        <w:t>S268480</w:t>
      </w:r>
    </w:p>
    <w:p w:rsidR="00715165" w:rsidP="00715165">
      <w:pPr>
        <w:tabs>
          <w:tab w:val="left" w:pos="1440"/>
        </w:tabs>
        <w:spacing w:after="0"/>
        <w:jc w:val="center"/>
        <w:rPr>
          <w:caps/>
        </w:rPr>
      </w:pPr>
    </w:p>
    <w:p w:rsidR="00715165" w:rsidRPr="00870C33" w:rsidP="00715165">
      <w:pPr>
        <w:tabs>
          <w:tab w:val="left" w:pos="1440"/>
        </w:tabs>
        <w:spacing w:after="0"/>
        <w:jc w:val="center"/>
      </w:pPr>
      <w:r w:rsidRPr="00870C33">
        <w:t>Second Appellate District, Division Eight</w:t>
      </w:r>
    </w:p>
    <w:p w:rsidR="00715165" w:rsidP="00715165">
      <w:pPr>
        <w:tabs>
          <w:tab w:val="left" w:pos="1440"/>
        </w:tabs>
        <w:spacing w:after="0"/>
        <w:jc w:val="center"/>
        <w:rPr>
          <w:caps/>
        </w:rPr>
      </w:pPr>
      <w:r>
        <w:rPr>
          <w:caps/>
        </w:rPr>
        <w:t>B298104</w:t>
      </w:r>
      <w:r w:rsidR="007C1755">
        <w:rPr>
          <w:caps/>
        </w:rPr>
        <w:t>, B301479</w:t>
      </w:r>
    </w:p>
    <w:p w:rsidR="00715165" w:rsidP="00715165">
      <w:pPr>
        <w:tabs>
          <w:tab w:val="left" w:pos="1440"/>
        </w:tabs>
        <w:spacing w:after="0"/>
        <w:jc w:val="center"/>
        <w:rPr>
          <w:caps/>
        </w:rPr>
      </w:pPr>
    </w:p>
    <w:p w:rsidR="00715165" w:rsidRPr="00870C33" w:rsidP="00715165">
      <w:pPr>
        <w:tabs>
          <w:tab w:val="left" w:pos="1440"/>
        </w:tabs>
        <w:spacing w:after="0"/>
        <w:jc w:val="center"/>
      </w:pPr>
      <w:r w:rsidRPr="00870C33">
        <w:t>Los Angeles County</w:t>
      </w:r>
      <w:r w:rsidR="00870C33">
        <w:t xml:space="preserve"> Superior Court</w:t>
      </w:r>
    </w:p>
    <w:p w:rsidR="001D28AE" w:rsidP="00715165">
      <w:pPr>
        <w:tabs>
          <w:tab w:val="left" w:pos="1440"/>
        </w:tabs>
        <w:spacing w:after="0"/>
        <w:jc w:val="center"/>
        <w:rPr>
          <w:caps/>
        </w:rPr>
      </w:pPr>
      <w:r>
        <w:rPr>
          <w:caps/>
        </w:rPr>
        <w:t>BC665330</w:t>
      </w:r>
    </w:p>
    <w:p w:rsidR="001D28AE">
      <w:pPr>
        <w:spacing w:after="0" w:line="240" w:lineRule="auto"/>
        <w:jc w:val="left"/>
        <w:rPr>
          <w:caps/>
        </w:rPr>
      </w:pPr>
      <w:r>
        <w:rPr>
          <w:caps/>
        </w:rPr>
        <w:br w:type="page"/>
      </w:r>
    </w:p>
    <w:p w:rsidR="00715165" w:rsidP="00715165">
      <w:pPr>
        <w:pBdr>
          <w:bottom w:val="single" w:sz="4" w:space="1" w:color="auto"/>
        </w:pBdr>
        <w:tabs>
          <w:tab w:val="left" w:pos="1440"/>
        </w:tabs>
        <w:spacing w:after="0"/>
        <w:jc w:val="center"/>
        <w:rPr>
          <w:caps/>
        </w:rPr>
      </w:pPr>
      <w:bookmarkStart w:id="2" w:name="_Hlk120017457"/>
    </w:p>
    <w:p w:rsidR="00715165" w:rsidP="00715165">
      <w:pPr>
        <w:tabs>
          <w:tab w:val="left" w:pos="1440"/>
        </w:tabs>
        <w:spacing w:after="0"/>
        <w:jc w:val="center"/>
        <w:rPr>
          <w:caps/>
        </w:rPr>
      </w:pPr>
      <w:bookmarkEnd w:id="2"/>
    </w:p>
    <w:p w:rsidR="00715165" w:rsidP="00715165">
      <w:pPr>
        <w:tabs>
          <w:tab w:val="left" w:pos="1440"/>
        </w:tabs>
        <w:spacing w:after="0"/>
        <w:jc w:val="center"/>
        <w:rPr>
          <w:caps/>
        </w:rPr>
      </w:pPr>
      <w:r>
        <w:rPr>
          <w:caps/>
        </w:rPr>
        <w:t>J</w:t>
      </w:r>
      <w:r w:rsidR="003C769F">
        <w:t>anuary</w:t>
      </w:r>
      <w:r>
        <w:rPr>
          <w:caps/>
        </w:rPr>
        <w:t xml:space="preserve"> </w:t>
      </w:r>
      <w:r w:rsidR="00185715">
        <w:rPr>
          <w:caps/>
        </w:rPr>
        <w:t xml:space="preserve">30, </w:t>
      </w:r>
      <w:r w:rsidRPr="004914A1">
        <w:rPr>
          <w:caps/>
        </w:rPr>
        <w:t>2023</w:t>
      </w:r>
    </w:p>
    <w:p w:rsidR="00715165" w:rsidP="00715165">
      <w:pPr>
        <w:tabs>
          <w:tab w:val="left" w:pos="1440"/>
        </w:tabs>
        <w:spacing w:after="0"/>
        <w:jc w:val="center"/>
        <w:rPr>
          <w:caps/>
        </w:rPr>
      </w:pPr>
    </w:p>
    <w:p w:rsidR="00FF55E8" w:rsidP="0031743C">
      <w:pPr>
        <w:pBdr>
          <w:bottom w:val="single" w:sz="4" w:space="1" w:color="auto"/>
        </w:pBdr>
        <w:tabs>
          <w:tab w:val="left" w:pos="1440"/>
        </w:tabs>
        <w:spacing w:after="0"/>
        <w:jc w:val="left"/>
      </w:pPr>
      <w:r>
        <w:t xml:space="preserve">Chief </w:t>
      </w:r>
      <w:r w:rsidRPr="00E73243" w:rsidR="00715165">
        <w:t xml:space="preserve">Justice Guerrero authored the opinion of the Court, in which </w:t>
      </w:r>
      <w:r w:rsidR="008538CA">
        <w:t>Justices</w:t>
      </w:r>
      <w:r w:rsidR="003C769F">
        <w:t xml:space="preserve"> Corrigan, </w:t>
      </w:r>
      <w:r w:rsidR="003409F5">
        <w:t>Liu, Kruger, Groban</w:t>
      </w:r>
      <w:r w:rsidR="00C65085">
        <w:t xml:space="preserve">, </w:t>
      </w:r>
      <w:r w:rsidR="00D2325A">
        <w:t>Jenkins, and Cantil-Sakauye</w:t>
      </w:r>
      <w:r>
        <w:rPr>
          <w:rStyle w:val="FootnoteReference"/>
        </w:rPr>
        <w:footnoteReference w:customMarkFollows="1" w:id="3"/>
        <w:t xml:space="preserve">*</w:t>
      </w:r>
      <w:r w:rsidRPr="00E73243" w:rsidR="008538CA">
        <w:t xml:space="preserve"> </w:t>
      </w:r>
      <w:r w:rsidRPr="00E73243" w:rsidR="00715165">
        <w:t xml:space="preserve">concurred. </w:t>
      </w:r>
    </w:p>
    <w:p w:rsidR="00FF55E8" w:rsidP="00FF55E8">
      <w:pPr>
        <w:pBdr>
          <w:bottom w:val="single" w:sz="4" w:space="1" w:color="auto"/>
        </w:pBdr>
        <w:tabs>
          <w:tab w:val="left" w:pos="1440"/>
        </w:tabs>
        <w:spacing w:after="0"/>
        <w:jc w:val="center"/>
        <w:rPr>
          <w:caps/>
        </w:rPr>
      </w:pPr>
    </w:p>
    <w:p w:rsidR="00FF55E8" w:rsidP="00FF55E8">
      <w:pPr>
        <w:tabs>
          <w:tab w:val="left" w:pos="1440"/>
        </w:tabs>
        <w:spacing w:after="0"/>
        <w:jc w:val="center"/>
        <w:rPr>
          <w:caps/>
        </w:rPr>
      </w:pPr>
    </w:p>
    <w:p w:rsidR="00715165" w:rsidP="00715165">
      <w:pPr>
        <w:tabs>
          <w:tab w:val="left" w:pos="1440"/>
        </w:tabs>
        <w:spacing w:after="0"/>
        <w:jc w:val="left"/>
      </w:pPr>
    </w:p>
    <w:p w:rsidR="00AA6868" w:rsidP="00AA6868">
      <w:pPr>
        <w:tabs>
          <w:tab w:val="left" w:pos="1440"/>
          <w:tab w:val="left" w:pos="4680"/>
          <w:tab w:val="center" w:pos="7200"/>
        </w:tabs>
        <w:spacing w:line="480" w:lineRule="atLeast"/>
        <w:sectPr w:rsidSect="00A36CAF">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715165" w:rsidRPr="00281D4E" w:rsidP="00715165">
      <w:pPr>
        <w:tabs>
          <w:tab w:val="left" w:pos="1440"/>
        </w:tabs>
        <w:jc w:val="center"/>
        <w:rPr>
          <w:bCs/>
        </w:rPr>
      </w:pPr>
      <w:r w:rsidRPr="00281D4E">
        <w:rPr>
          <w:bCs/>
        </w:rPr>
        <w:t>TRAVIS v. BRAND</w:t>
      </w:r>
    </w:p>
    <w:p w:rsidR="00715165" w:rsidRPr="00281D4E" w:rsidP="00715165">
      <w:pPr>
        <w:tabs>
          <w:tab w:val="left" w:pos="1440"/>
        </w:tabs>
        <w:jc w:val="center"/>
        <w:rPr>
          <w:bCs/>
        </w:rPr>
      </w:pPr>
      <w:r w:rsidRPr="00281D4E">
        <w:rPr>
          <w:bCs/>
        </w:rPr>
        <w:t>S268480</w:t>
      </w:r>
    </w:p>
    <w:p w:rsidR="00715165" w:rsidRPr="00281D4E" w:rsidP="00715165">
      <w:pPr>
        <w:tabs>
          <w:tab w:val="left" w:pos="1440"/>
        </w:tabs>
        <w:jc w:val="center"/>
        <w:rPr>
          <w:bCs/>
        </w:rPr>
      </w:pPr>
    </w:p>
    <w:p w:rsidR="00715165" w:rsidRPr="00281D4E" w:rsidP="00715165">
      <w:pPr>
        <w:tabs>
          <w:tab w:val="left" w:pos="1440"/>
        </w:tabs>
        <w:jc w:val="center"/>
        <w:rPr>
          <w:bCs/>
        </w:rPr>
      </w:pPr>
      <w:r w:rsidRPr="00281D4E">
        <w:rPr>
          <w:bCs/>
        </w:rPr>
        <w:t xml:space="preserve">Opinion of the Court by Guerrero, </w:t>
      </w:r>
      <w:r w:rsidR="00EC62ED">
        <w:rPr>
          <w:bCs/>
        </w:rPr>
        <w:t>C.</w:t>
      </w:r>
      <w:r w:rsidR="000A572D">
        <w:rPr>
          <w:bCs/>
        </w:rPr>
        <w:t xml:space="preserve"> </w:t>
      </w:r>
      <w:r w:rsidRPr="00281D4E">
        <w:rPr>
          <w:bCs/>
        </w:rPr>
        <w:t>J.</w:t>
      </w:r>
    </w:p>
    <w:p w:rsidR="006A7A0F" w:rsidP="00715165">
      <w:pPr>
        <w:tabs>
          <w:tab w:val="left" w:pos="1440"/>
        </w:tabs>
        <w:ind w:firstLine="720"/>
      </w:pPr>
    </w:p>
    <w:p w:rsidR="008F14ED" w:rsidRPr="00715165" w:rsidP="00715165">
      <w:pPr>
        <w:tabs>
          <w:tab w:val="left" w:pos="1440"/>
        </w:tabs>
        <w:ind w:firstLine="720"/>
      </w:pPr>
      <w:r w:rsidRPr="00715165">
        <w:t xml:space="preserve">Several defendants were sued for their alleged failure to make certain </w:t>
      </w:r>
      <w:r w:rsidRPr="00715165" w:rsidR="00FB3A87">
        <w:t xml:space="preserve">required </w:t>
      </w:r>
      <w:r w:rsidRPr="00715165">
        <w:t>disclosures under the Political Reform Act of 1974 (</w:t>
      </w:r>
      <w:bookmarkStart w:id="4" w:name="dabmci_47983900d29740bb8746410fdbbdb460"/>
      <w:r w:rsidRPr="00715165">
        <w:t>Gov. Code, §</w:t>
      </w:r>
      <w:r w:rsidRPr="00715165" w:rsidR="00FB3A87">
        <w:t> </w:t>
      </w:r>
      <w:r w:rsidRPr="00715165">
        <w:t>81000</w:t>
      </w:r>
      <w:bookmarkEnd w:id="4"/>
      <w:r w:rsidRPr="00715165">
        <w:t xml:space="preserve"> et seq.)</w:t>
      </w:r>
      <w:r w:rsidRPr="00715165" w:rsidR="001A3B65">
        <w:t>.</w:t>
      </w:r>
      <w:r>
        <w:rPr>
          <w:rStyle w:val="FootnoteReference"/>
        </w:rPr>
        <w:footnoteReference w:id="4"/>
      </w:r>
      <w:r w:rsidRPr="00715165">
        <w:t xml:space="preserve">  After prevailing in the lawsuit, defendants successfully sought attorney</w:t>
      </w:r>
      <w:r w:rsidRPr="00715165" w:rsidR="00B00571">
        <w:t>’s</w:t>
      </w:r>
      <w:r w:rsidRPr="00715165">
        <w:t xml:space="preserve"> fees under section 91003, subdivision (a) (</w:t>
      </w:r>
      <w:bookmarkStart w:id="5" w:name="_Hlk121745993"/>
      <w:r w:rsidRPr="00715165">
        <w:t>section 91003(a</w:t>
      </w:r>
      <w:bookmarkEnd w:id="5"/>
      <w:r w:rsidRPr="00715165">
        <w:t>))</w:t>
      </w:r>
      <w:r w:rsidRPr="00715165" w:rsidR="000B7476">
        <w:t xml:space="preserve">, which grants </w:t>
      </w:r>
      <w:r w:rsidRPr="00715165">
        <w:t xml:space="preserve">trial courts discretion to award </w:t>
      </w:r>
      <w:r w:rsidRPr="00715165">
        <w:t>attorney</w:t>
      </w:r>
      <w:r w:rsidRPr="00715165" w:rsidR="007D6D2C">
        <w:t>’s</w:t>
      </w:r>
      <w:r w:rsidRPr="00715165">
        <w:t xml:space="preserve"> fees </w:t>
      </w:r>
      <w:r w:rsidR="00197A78">
        <w:t>“</w:t>
      </w:r>
      <w:r w:rsidRPr="00715165" w:rsidR="00CD26A7">
        <w:t xml:space="preserve">to </w:t>
      </w:r>
      <w:r w:rsidRPr="00715165">
        <w:t xml:space="preserve">a </w:t>
      </w:r>
      <w:r w:rsidR="00197A78">
        <w:t>plaintiff or defendant who prevails</w:t>
      </w:r>
      <w:r w:rsidRPr="00715165">
        <w:t>.</w:t>
      </w:r>
      <w:r w:rsidR="0010701C">
        <w:t>”</w:t>
      </w:r>
      <w:r>
        <w:rPr>
          <w:rStyle w:val="FootnoteReference"/>
        </w:rPr>
        <w:footnoteReference w:id="5"/>
      </w:r>
      <w:r w:rsidRPr="00715165">
        <w:t xml:space="preserve">  </w:t>
      </w:r>
      <w:r w:rsidRPr="00715165" w:rsidR="00137091">
        <w:t xml:space="preserve">The question we address here is </w:t>
      </w:r>
      <w:r w:rsidRPr="00715165">
        <w:t xml:space="preserve">whether </w:t>
      </w:r>
      <w:r w:rsidRPr="00715165" w:rsidR="004334AF">
        <w:t>a</w:t>
      </w:r>
      <w:r w:rsidRPr="00715165" w:rsidR="008C1C5A">
        <w:t xml:space="preserve"> trial court’s discretion to award fees </w:t>
      </w:r>
      <w:r w:rsidRPr="00715165" w:rsidR="004C2579">
        <w:t xml:space="preserve">to </w:t>
      </w:r>
      <w:r w:rsidRPr="00715165" w:rsidR="00BE6499">
        <w:t>a prevailing defendant</w:t>
      </w:r>
      <w:r w:rsidRPr="00715165" w:rsidR="009035E9">
        <w:t xml:space="preserve"> is coextensive with its discretion to award fees </w:t>
      </w:r>
      <w:r w:rsidRPr="00715165" w:rsidR="00BE6499">
        <w:t>to a prevailing plaintiff</w:t>
      </w:r>
      <w:r w:rsidRPr="00715165">
        <w:t xml:space="preserve">.  </w:t>
      </w:r>
      <w:r w:rsidRPr="00715165" w:rsidR="00137091">
        <w:t xml:space="preserve">The text of the statute does not </w:t>
      </w:r>
      <w:r w:rsidR="00A73DF4">
        <w:t xml:space="preserve">specify the standard that should govern </w:t>
      </w:r>
      <w:r w:rsidRPr="00715165" w:rsidR="00137091">
        <w:t>a</w:t>
      </w:r>
      <w:r w:rsidR="00E17467">
        <w:t xml:space="preserve">n award of fees to </w:t>
      </w:r>
      <w:r w:rsidR="00B26A0B">
        <w:t xml:space="preserve">either </w:t>
      </w:r>
      <w:r w:rsidR="00E17467">
        <w:t xml:space="preserve">prevailing </w:t>
      </w:r>
      <w:r w:rsidR="00B26A0B">
        <w:t>party</w:t>
      </w:r>
      <w:r w:rsidRPr="00715165" w:rsidR="00137091">
        <w:t xml:space="preserve">.  </w:t>
      </w:r>
      <w:r w:rsidRPr="00715165" w:rsidR="00FB3A87">
        <w:t xml:space="preserve">Nonetheless, in order to effectuate the purpose of encouraging private litigation enforcing the Political Reform Act, </w:t>
      </w:r>
      <w:r w:rsidRPr="00715165" w:rsidR="00137091">
        <w:t xml:space="preserve">we </w:t>
      </w:r>
      <w:r w:rsidR="00150FE6">
        <w:t xml:space="preserve">interpret </w:t>
      </w:r>
      <w:r w:rsidR="00F25961">
        <w:t xml:space="preserve">section 91003(a) </w:t>
      </w:r>
      <w:r w:rsidR="00CF0EE7">
        <w:t xml:space="preserve">to impose </w:t>
      </w:r>
      <w:r w:rsidRPr="00715165" w:rsidR="00137091">
        <w:t xml:space="preserve">an asymmetrical </w:t>
      </w:r>
      <w:r w:rsidRPr="00715165" w:rsidR="00FB3A87">
        <w:t>standard</w:t>
      </w:r>
      <w:r w:rsidR="007A7B5A">
        <w:t>,</w:t>
      </w:r>
      <w:r w:rsidRPr="00715165" w:rsidR="00FB3A87">
        <w:t xml:space="preserve"> which </w:t>
      </w:r>
      <w:r w:rsidRPr="00715165" w:rsidR="0065243E">
        <w:t>constrains the trial court’s discretion to award attorney</w:t>
      </w:r>
      <w:r w:rsidRPr="00715165" w:rsidR="00026648">
        <w:t>’s</w:t>
      </w:r>
      <w:r w:rsidRPr="00715165" w:rsidR="0065243E">
        <w:t xml:space="preserve"> fees to a prevailing defendant.  </w:t>
      </w:r>
      <w:r w:rsidRPr="00715165" w:rsidR="00FB3A87">
        <w:t xml:space="preserve">Consistent with the </w:t>
      </w:r>
      <w:r w:rsidRPr="00715165">
        <w:t xml:space="preserve">standard adopted in similar contexts, </w:t>
      </w:r>
      <w:r w:rsidRPr="00715165" w:rsidR="00246A0C">
        <w:t>including the enforcement of civil rights and fair housing</w:t>
      </w:r>
      <w:r w:rsidRPr="00715165" w:rsidR="00DF54A3">
        <w:t xml:space="preserve"> and employment</w:t>
      </w:r>
      <w:r w:rsidRPr="00715165" w:rsidR="00246A0C">
        <w:t xml:space="preserve"> laws, </w:t>
      </w:r>
      <w:r w:rsidRPr="00715165">
        <w:t xml:space="preserve">a prevailing defendant under the Political Reform Act “should not be awarded fees and costs unless the court </w:t>
      </w:r>
      <w:r w:rsidRPr="00715165">
        <w:rPr>
          <w:bCs/>
        </w:rPr>
        <w:t xml:space="preserve">finds the action was objectively without foundation when brought, or the plaintiff continued to litigate after it clearly became so.”  </w:t>
      </w:r>
      <w:r w:rsidRPr="00715165">
        <w:t>(</w:t>
      </w:r>
      <w:bookmarkStart w:id="6" w:name="dabmci_39d03590f7804c6e8cdade0780bc5358"/>
      <w:r w:rsidRPr="00715165">
        <w:rPr>
          <w:i/>
          <w:iCs/>
        </w:rPr>
        <w:t>Williams v. Chino Valley Independent Fire Dist.</w:t>
      </w:r>
      <w:r w:rsidRPr="00715165">
        <w:t xml:space="preserve"> (2015) 61 Cal.4th 97, 1</w:t>
      </w:r>
      <w:r w:rsidRPr="00715165" w:rsidR="00B530EC">
        <w:t>1</w:t>
      </w:r>
      <w:r w:rsidRPr="00715165">
        <w:t>5 (</w:t>
      </w:r>
      <w:r w:rsidRPr="00715165">
        <w:rPr>
          <w:i/>
          <w:iCs/>
        </w:rPr>
        <w:t>Williams</w:t>
      </w:r>
      <w:r w:rsidRPr="00715165">
        <w:t>)</w:t>
      </w:r>
      <w:bookmarkEnd w:id="6"/>
      <w:r w:rsidRPr="00715165">
        <w:rPr>
          <w:bCs/>
        </w:rPr>
        <w:t>.)</w:t>
      </w:r>
      <w:r w:rsidRPr="00715165" w:rsidR="00BE6499">
        <w:rPr>
          <w:bCs/>
        </w:rPr>
        <w:t xml:space="preserve">  </w:t>
      </w:r>
      <w:r w:rsidRPr="00715165" w:rsidR="00BE6499">
        <w:t xml:space="preserve">Because the Court of Appeal affirmed an award of </w:t>
      </w:r>
      <w:r w:rsidRPr="00715165" w:rsidR="00C760FC">
        <w:t>attorney</w:t>
      </w:r>
      <w:r w:rsidRPr="00715165" w:rsidR="00151F1D">
        <w:t>’s</w:t>
      </w:r>
      <w:r w:rsidRPr="00715165" w:rsidR="00C760FC">
        <w:t xml:space="preserve"> </w:t>
      </w:r>
      <w:r w:rsidRPr="00715165" w:rsidR="00BE6499">
        <w:t xml:space="preserve">fees under section 91003(a) in this case without first considering whether this standard had been met, </w:t>
      </w:r>
      <w:r w:rsidRPr="00715165" w:rsidR="00777968">
        <w:t xml:space="preserve">we </w:t>
      </w:r>
      <w:r w:rsidRPr="00715165" w:rsidR="00BE6499">
        <w:t xml:space="preserve">reverse the judgment and remand for further proceedings.  </w:t>
      </w:r>
    </w:p>
    <w:p w:rsidR="003C1147" w:rsidRPr="00715165" w:rsidP="006A7A0F">
      <w:pPr>
        <w:keepNext/>
        <w:jc w:val="center"/>
        <w:outlineLvl w:val="0"/>
        <w:rPr>
          <w:b/>
          <w:smallCaps/>
        </w:rPr>
      </w:pPr>
      <w:r w:rsidRPr="00715165">
        <w:rPr>
          <w:b/>
          <w:smallCaps/>
        </w:rPr>
        <w:t>I.</w:t>
      </w:r>
    </w:p>
    <w:p w:rsidR="00A8527E" w:rsidRPr="00715165" w:rsidP="00715165">
      <w:pPr>
        <w:tabs>
          <w:tab w:val="left" w:pos="1440"/>
        </w:tabs>
        <w:ind w:firstLine="720"/>
      </w:pPr>
      <w:r w:rsidRPr="00715165">
        <w:t>In</w:t>
      </w:r>
      <w:r w:rsidRPr="00715165" w:rsidR="00125801">
        <w:t xml:space="preserve"> 2010,</w:t>
      </w:r>
      <w:r w:rsidRPr="00715165" w:rsidR="008D353D">
        <w:t xml:space="preserve"> residents of the City of Redondo Beach (City) approved Measure</w:t>
      </w:r>
      <w:r w:rsidRPr="00715165" w:rsidR="00E30DF9">
        <w:t> </w:t>
      </w:r>
      <w:r w:rsidRPr="00715165" w:rsidR="008D353D">
        <w:t xml:space="preserve">G, which authorized 400,000 square feet of new development in the </w:t>
      </w:r>
      <w:r w:rsidRPr="00715165" w:rsidR="0066639A">
        <w:t>City’s</w:t>
      </w:r>
      <w:r w:rsidRPr="00715165" w:rsidR="008D353D">
        <w:t xml:space="preserve"> King Harbor</w:t>
      </w:r>
      <w:r w:rsidRPr="00715165" w:rsidR="00FB0169">
        <w:t>-Pier</w:t>
      </w:r>
      <w:r w:rsidRPr="00715165" w:rsidR="008D353D">
        <w:t xml:space="preserve"> area.  The City sought out a private developer to assist with the project and ultimately entered into an exclusive negotiating agreement with CenterCal </w:t>
      </w:r>
      <w:r w:rsidRPr="00715165" w:rsidR="000E0A72">
        <w:t>Properties</w:t>
      </w:r>
      <w:r w:rsidRPr="00715165" w:rsidR="008D353D">
        <w:t>, LLC.  (</w:t>
      </w:r>
      <w:bookmarkStart w:id="7" w:name="dabmci_a489bda74a5d4e77b4e6291a71a95dd0"/>
      <w:r w:rsidRPr="00715165" w:rsidR="008D353D">
        <w:rPr>
          <w:i/>
          <w:iCs/>
        </w:rPr>
        <w:t>Redondo Beach Waterfront, LLC v. City of Redondo Beach</w:t>
      </w:r>
      <w:r w:rsidRPr="00715165" w:rsidR="008D353D">
        <w:t xml:space="preserve"> (2020) 51 Cal.App.5th 982, 988</w:t>
      </w:r>
      <w:r w:rsidRPr="00715165" w:rsidR="00C20310">
        <w:t xml:space="preserve"> (</w:t>
      </w:r>
      <w:r w:rsidRPr="00715165" w:rsidR="00C20310">
        <w:rPr>
          <w:i/>
          <w:iCs/>
        </w:rPr>
        <w:t>Redondo Beach Waterfront</w:t>
      </w:r>
      <w:r w:rsidRPr="00715165" w:rsidR="00C20310">
        <w:t>)</w:t>
      </w:r>
      <w:bookmarkEnd w:id="7"/>
      <w:r w:rsidRPr="00715165" w:rsidR="008D353D">
        <w:t xml:space="preserve">.)  In 2016, </w:t>
      </w:r>
      <w:r w:rsidRPr="00715165" w:rsidR="00D765E3">
        <w:t>the project passed several milestones:  the City</w:t>
      </w:r>
      <w:r w:rsidRPr="00715165" w:rsidR="008D353D">
        <w:t xml:space="preserve"> notified CenterCal Properties that its application </w:t>
      </w:r>
      <w:r w:rsidRPr="00715165" w:rsidR="00D765E3">
        <w:t xml:space="preserve">seeking </w:t>
      </w:r>
      <w:r w:rsidRPr="00715165" w:rsidR="008D353D">
        <w:t>approval of the vesting tentative tract map was “</w:t>
      </w:r>
      <w:r w:rsidRPr="00715165" w:rsidR="00FE0D8F">
        <w:t> </w:t>
      </w:r>
      <w:r w:rsidRPr="00715165" w:rsidR="008D353D">
        <w:t>‘deemed complete’</w:t>
      </w:r>
      <w:r w:rsidRPr="00715165" w:rsidR="00FE0D8F">
        <w:t> </w:t>
      </w:r>
      <w:r w:rsidRPr="00715165" w:rsidR="008D353D">
        <w:t xml:space="preserve">”; the harbor commission certified the environmental impact report and approved </w:t>
      </w:r>
      <w:r w:rsidRPr="00715165" w:rsidR="008B0888">
        <w:t xml:space="preserve">both </w:t>
      </w:r>
      <w:r w:rsidRPr="00715165" w:rsidR="00EB1314">
        <w:t>a</w:t>
      </w:r>
      <w:r w:rsidRPr="00715165" w:rsidR="008D353D">
        <w:t xml:space="preserve"> coastal development permit </w:t>
      </w:r>
      <w:r w:rsidRPr="00715165" w:rsidR="008B0888">
        <w:t xml:space="preserve">and </w:t>
      </w:r>
      <w:r w:rsidRPr="00715165" w:rsidR="00EB1314">
        <w:t xml:space="preserve">a </w:t>
      </w:r>
      <w:r w:rsidRPr="00715165" w:rsidR="008D353D">
        <w:t xml:space="preserve">conditional use permit; and the </w:t>
      </w:r>
      <w:r w:rsidRPr="00715165" w:rsidR="00D765E3">
        <w:t>c</w:t>
      </w:r>
      <w:r w:rsidRPr="00715165" w:rsidR="008D353D">
        <w:t xml:space="preserve">ity </w:t>
      </w:r>
      <w:r w:rsidRPr="00715165" w:rsidR="00D765E3">
        <w:t>c</w:t>
      </w:r>
      <w:r w:rsidRPr="00715165" w:rsidR="008D353D">
        <w:t xml:space="preserve">ouncil </w:t>
      </w:r>
      <w:r w:rsidRPr="00715165">
        <w:t>passed a resolution reciting its approval “</w:t>
      </w:r>
      <w:r w:rsidRPr="00715165" w:rsidR="00FE0D8F">
        <w:t> </w:t>
      </w:r>
      <w:r w:rsidRPr="00715165">
        <w:t>‘shall confer a vested right to proceed with development</w:t>
      </w:r>
      <w:r w:rsidR="00056119">
        <w:t>.</w:t>
      </w:r>
      <w:r w:rsidR="00465F10">
        <w:t>’</w:t>
      </w:r>
      <w:r w:rsidR="00161E43">
        <w:t> </w:t>
      </w:r>
      <w:r w:rsidRPr="00715165">
        <w:t>”  (</w:t>
      </w:r>
      <w:bookmarkStart w:id="8" w:name="dabmci_e7ea0cee2a1a4c33b5b9938ec897936c"/>
      <w:r w:rsidRPr="00715165">
        <w:rPr>
          <w:i/>
          <w:iCs/>
        </w:rPr>
        <w:t>Id</w:t>
      </w:r>
      <w:r w:rsidRPr="00715165">
        <w:t>. at pp.</w:t>
      </w:r>
      <w:r w:rsidRPr="00715165" w:rsidR="00FE0D8F">
        <w:t> </w:t>
      </w:r>
      <w:r w:rsidRPr="00715165">
        <w:t>988</w:t>
      </w:r>
      <w:r w:rsidRPr="00715165" w:rsidR="00EB1314">
        <w:t>–</w:t>
      </w:r>
      <w:r w:rsidRPr="00715165">
        <w:t>989</w:t>
      </w:r>
      <w:bookmarkEnd w:id="8"/>
      <w:r w:rsidRPr="00715165">
        <w:t xml:space="preserve">.)  The City and CenterCal Properties signed an agreement for lease of property and infrastructure financing the </w:t>
      </w:r>
      <w:r w:rsidRPr="00715165" w:rsidR="0046104F">
        <w:t>following</w:t>
      </w:r>
      <w:r w:rsidRPr="00715165">
        <w:t xml:space="preserve"> year.  (</w:t>
      </w:r>
      <w:bookmarkStart w:id="9" w:name="dabmci_3277985936384c94b5e56754ffd45b22"/>
      <w:r w:rsidRPr="00715165">
        <w:rPr>
          <w:i/>
          <w:iCs/>
        </w:rPr>
        <w:t>Id</w:t>
      </w:r>
      <w:r w:rsidRPr="00715165">
        <w:t>. at p.</w:t>
      </w:r>
      <w:r w:rsidRPr="00715165" w:rsidR="00C760FC">
        <w:t> </w:t>
      </w:r>
      <w:r w:rsidRPr="00715165">
        <w:t>989</w:t>
      </w:r>
      <w:bookmarkEnd w:id="9"/>
      <w:r w:rsidRPr="00715165">
        <w:t xml:space="preserve">.)  </w:t>
      </w:r>
    </w:p>
    <w:p w:rsidR="00497163" w:rsidRPr="00715165" w:rsidP="00715165">
      <w:pPr>
        <w:tabs>
          <w:tab w:val="left" w:pos="1440"/>
        </w:tabs>
        <w:ind w:firstLine="720"/>
      </w:pPr>
      <w:r w:rsidRPr="00715165">
        <w:t>Meanwhile, some City residents who opposed the development started soliciting signatures to place a local initiative</w:t>
      </w:r>
      <w:r w:rsidRPr="00715165" w:rsidR="0065243E">
        <w:t> </w:t>
      </w:r>
      <w:r w:rsidRPr="00715165" w:rsidR="00C20310">
        <w:t>—</w:t>
      </w:r>
      <w:r w:rsidR="00CE2971">
        <w:t xml:space="preserve"> </w:t>
      </w:r>
      <w:r w:rsidRPr="002510A2">
        <w:t>the</w:t>
      </w:r>
      <w:r w:rsidRPr="00715165">
        <w:t xml:space="preserve"> King Harbor Coastal Access, Revitalization, and Enhancement Act</w:t>
      </w:r>
      <w:r w:rsidRPr="00715165" w:rsidR="00C20310">
        <w:t xml:space="preserve"> </w:t>
      </w:r>
      <w:r w:rsidRPr="00715165" w:rsidR="009E75B9">
        <w:t>(</w:t>
      </w:r>
      <w:r w:rsidRPr="00715165" w:rsidR="00243F6E">
        <w:t xml:space="preserve">later designated </w:t>
      </w:r>
      <w:r w:rsidRPr="00715165" w:rsidR="009E75B9">
        <w:t>Measure C)</w:t>
      </w:r>
      <w:r w:rsidRPr="00715165" w:rsidR="0065243E">
        <w:t> </w:t>
      </w:r>
      <w:r w:rsidRPr="00715165" w:rsidR="00C20310">
        <w:t>—</w:t>
      </w:r>
      <w:r w:rsidR="00CE2971">
        <w:t xml:space="preserve"> </w:t>
      </w:r>
      <w:r w:rsidRPr="002510A2">
        <w:t>on</w:t>
      </w:r>
      <w:r w:rsidRPr="00715165">
        <w:t xml:space="preserve"> the ballot for the next general municipal election.</w:t>
      </w:r>
      <w:r w:rsidRPr="00715165" w:rsidR="00C20310">
        <w:t xml:space="preserve">  </w:t>
      </w:r>
      <w:r w:rsidRPr="00715165" w:rsidR="00E10FC4">
        <w:t xml:space="preserve">Measure C sought to place zoning restrictions on the highly contested $400 million waterfront project.  </w:t>
      </w:r>
      <w:r w:rsidRPr="00715165" w:rsidR="00C20310">
        <w:t xml:space="preserve">Measure C </w:t>
      </w:r>
      <w:r w:rsidRPr="00715165" w:rsidR="009E75B9">
        <w:t xml:space="preserve">appeared </w:t>
      </w:r>
      <w:r w:rsidRPr="00715165" w:rsidR="00C20310">
        <w:t>on the March</w:t>
      </w:r>
      <w:r w:rsidRPr="00715165" w:rsidR="00243F6E">
        <w:t> </w:t>
      </w:r>
      <w:r w:rsidRPr="00715165" w:rsidR="00C20310">
        <w:t>7, 2017, ballot, and was approved by the voters.  (</w:t>
      </w:r>
      <w:bookmarkStart w:id="10" w:name="dabmci_24f2d8fce5d24db380c85b56855759cf"/>
      <w:r w:rsidRPr="00715165" w:rsidR="00C20310">
        <w:rPr>
          <w:i/>
          <w:iCs/>
        </w:rPr>
        <w:t>Redondo Beach Waterfront</w:t>
      </w:r>
      <w:r w:rsidRPr="00715165">
        <w:t xml:space="preserve">, </w:t>
      </w:r>
      <w:r w:rsidRPr="00715165">
        <w:rPr>
          <w:i/>
          <w:iCs/>
        </w:rPr>
        <w:t>supra</w:t>
      </w:r>
      <w:r w:rsidRPr="00715165">
        <w:t>, 51 Cal.App.5th at p.</w:t>
      </w:r>
      <w:r w:rsidRPr="00715165" w:rsidR="0065243E">
        <w:t> </w:t>
      </w:r>
      <w:r w:rsidRPr="00715165">
        <w:t>990</w:t>
      </w:r>
      <w:bookmarkEnd w:id="10"/>
      <w:r w:rsidRPr="00715165">
        <w:t xml:space="preserve">.)  </w:t>
      </w:r>
    </w:p>
    <w:p w:rsidR="00D11050" w:rsidRPr="00715165" w:rsidP="00715165">
      <w:pPr>
        <w:tabs>
          <w:tab w:val="left" w:pos="1440"/>
        </w:tabs>
        <w:ind w:firstLine="720"/>
      </w:pPr>
      <w:r w:rsidRPr="00715165">
        <w:t>These events triggered various lawsuits, but we are</w:t>
      </w:r>
      <w:r w:rsidRPr="00715165" w:rsidR="0065243E">
        <w:t xml:space="preserve"> </w:t>
      </w:r>
      <w:r w:rsidRPr="00715165">
        <w:t xml:space="preserve">concerned </w:t>
      </w:r>
      <w:r w:rsidR="003E2A93">
        <w:t xml:space="preserve">here </w:t>
      </w:r>
      <w:r w:rsidR="00AF10DF">
        <w:t xml:space="preserve">only </w:t>
      </w:r>
      <w:r w:rsidRPr="00715165">
        <w:t>with one</w:t>
      </w:r>
      <w:r w:rsidRPr="00715165" w:rsidR="00450CA1">
        <w:t>:  an</w:t>
      </w:r>
      <w:r w:rsidRPr="00715165" w:rsidR="00471E5B">
        <w:t xml:space="preserve"> a</w:t>
      </w:r>
      <w:r w:rsidRPr="00715165" w:rsidR="00450CA1">
        <w:t xml:space="preserve">ction seeking injunctive relief </w:t>
      </w:r>
      <w:r w:rsidRPr="00715165" w:rsidR="00FB0169">
        <w:t xml:space="preserve">against certain Measure C supporters </w:t>
      </w:r>
      <w:r w:rsidRPr="00715165" w:rsidR="00450CA1">
        <w:t xml:space="preserve">to compel </w:t>
      </w:r>
      <w:r w:rsidRPr="00715165" w:rsidR="003D5A46">
        <w:t xml:space="preserve">their </w:t>
      </w:r>
      <w:r w:rsidRPr="00715165" w:rsidR="00450CA1">
        <w:t>compliance with the Political Reform Act</w:t>
      </w:r>
      <w:r w:rsidRPr="00715165" w:rsidR="003D5A46">
        <w:t>.  The lawsuit was</w:t>
      </w:r>
      <w:r w:rsidRPr="00715165" w:rsidR="00450CA1">
        <w:t xml:space="preserve"> </w:t>
      </w:r>
      <w:r w:rsidRPr="00715165" w:rsidR="00471E5B">
        <w:t>filed by two City residents</w:t>
      </w:r>
      <w:r w:rsidRPr="00715165" w:rsidR="00481CDB">
        <w:t xml:space="preserve"> who opposed Measure C</w:t>
      </w:r>
      <w:r w:rsidRPr="00715165" w:rsidR="00C20EC0">
        <w:t xml:space="preserve"> and supported the development project</w:t>
      </w:r>
      <w:r w:rsidRPr="00715165" w:rsidR="00471E5B">
        <w:t xml:space="preserve">, Arnette Travis and Chris Voisey (collectively, </w:t>
      </w:r>
      <w:r w:rsidRPr="00715165" w:rsidR="007B261A">
        <w:t>p</w:t>
      </w:r>
      <w:r w:rsidRPr="00715165" w:rsidR="00471E5B">
        <w:t>laintiffs)</w:t>
      </w:r>
      <w:r w:rsidRPr="00715165" w:rsidR="00481CDB">
        <w:t>.</w:t>
      </w:r>
      <w:r w:rsidRPr="00715165" w:rsidR="00450CA1">
        <w:t xml:space="preserve">  </w:t>
      </w:r>
      <w:r w:rsidRPr="00715165" w:rsidR="00CF4F45">
        <w:t xml:space="preserve">Plaintiffs </w:t>
      </w:r>
      <w:r w:rsidRPr="00715165" w:rsidR="00471E5B">
        <w:t xml:space="preserve">alleged </w:t>
      </w:r>
      <w:r w:rsidRPr="00715165" w:rsidR="00450CA1">
        <w:t xml:space="preserve">that </w:t>
      </w:r>
      <w:r w:rsidRPr="00715165" w:rsidR="003D5A46">
        <w:t>some</w:t>
      </w:r>
      <w:r w:rsidRPr="00715165" w:rsidR="00471E5B">
        <w:t xml:space="preserve"> supporters of Measure C had violated</w:t>
      </w:r>
      <w:r w:rsidRPr="00715165" w:rsidR="001B4E59">
        <w:t xml:space="preserve"> and continued to violate </w:t>
      </w:r>
      <w:r w:rsidRPr="00715165" w:rsidR="00886109">
        <w:t>the Political Reform Act</w:t>
      </w:r>
      <w:r w:rsidRPr="00715165" w:rsidR="001B4E59">
        <w:t xml:space="preserve"> by failing to disclose the actual identity of entities who were supporting the ballot measure.  </w:t>
      </w:r>
      <w:r w:rsidRPr="00715165" w:rsidR="00E747BD">
        <w:t xml:space="preserve">These supporters included </w:t>
      </w:r>
      <w:r w:rsidRPr="00715165" w:rsidR="00471E5B">
        <w:t>Rescue Our Waterfront, a political action committee</w:t>
      </w:r>
      <w:r w:rsidRPr="00715165" w:rsidR="003D5A46">
        <w:t xml:space="preserve"> (PAC)</w:t>
      </w:r>
      <w:r w:rsidRPr="00715165" w:rsidR="00471E5B">
        <w:t xml:space="preserve">, and Wayne Craig, a principal officer of the committee; Redondo Beach Mayor Bill Brand and City Councilmember Nils Nehrenheim; and Brand’s mayoral campaign committee as well as its treasurer, Linda Moffat (collectively, </w:t>
      </w:r>
      <w:r w:rsidRPr="00715165" w:rsidR="007B261A">
        <w:t>d</w:t>
      </w:r>
      <w:r w:rsidRPr="00715165" w:rsidR="00471E5B">
        <w:t>efendants).</w:t>
      </w:r>
      <w:r w:rsidRPr="00715165" w:rsidR="00E747BD">
        <w:t xml:space="preserve">  According to the complaint, the Rescue Our Waterfront </w:t>
      </w:r>
      <w:r w:rsidRPr="00715165" w:rsidR="003D5A46">
        <w:t>PAC</w:t>
      </w:r>
      <w:r w:rsidRPr="00715165" w:rsidR="00E747BD">
        <w:t xml:space="preserve"> was </w:t>
      </w:r>
      <w:r w:rsidRPr="00715165" w:rsidR="00545BAD">
        <w:t xml:space="preserve">a committee </w:t>
      </w:r>
      <w:r w:rsidRPr="00715165" w:rsidR="00E747BD">
        <w:t>“</w:t>
      </w:r>
      <w:r w:rsidR="00F45F4E">
        <w:t> ‘</w:t>
      </w:r>
      <w:r w:rsidRPr="00715165" w:rsidR="00E747BD">
        <w:t>primarily formed</w:t>
      </w:r>
      <w:r w:rsidR="00F45F4E">
        <w:t>’ </w:t>
      </w:r>
      <w:r w:rsidRPr="00715165" w:rsidR="00E747BD">
        <w:t>” to support Measure C</w:t>
      </w:r>
      <w:r w:rsidRPr="00715165" w:rsidR="00545BAD">
        <w:t xml:space="preserve"> and was therefore required to</w:t>
      </w:r>
      <w:r w:rsidRPr="00715165" w:rsidR="003508F8">
        <w:t xml:space="preserve"> </w:t>
      </w:r>
      <w:r w:rsidRPr="00715165" w:rsidR="00E16754">
        <w:t>disclose this information to the public</w:t>
      </w:r>
      <w:r w:rsidRPr="00715165" w:rsidR="003508F8">
        <w:t>.  (</w:t>
      </w:r>
      <w:bookmarkStart w:id="11" w:name="dabmci_bc834527c2864faaa9c349bf2ac391b1"/>
      <w:r w:rsidRPr="00715165" w:rsidR="003508F8">
        <w:rPr>
          <w:i/>
          <w:iCs/>
        </w:rPr>
        <w:t>Travis v. Brand</w:t>
      </w:r>
      <w:r w:rsidRPr="00715165" w:rsidR="003508F8">
        <w:t xml:space="preserve"> (2021) 62 Cal.App.5th 240, 246</w:t>
      </w:r>
      <w:r w:rsidRPr="00715165" w:rsidR="00AC69DA">
        <w:t xml:space="preserve"> (</w:t>
      </w:r>
      <w:r w:rsidRPr="00715165" w:rsidR="00AC69DA">
        <w:rPr>
          <w:i/>
          <w:iCs/>
        </w:rPr>
        <w:t>Travis</w:t>
      </w:r>
      <w:r w:rsidRPr="00715165" w:rsidR="00AC69DA">
        <w:t>)</w:t>
      </w:r>
      <w:bookmarkEnd w:id="11"/>
      <w:r w:rsidRPr="00715165" w:rsidR="003508F8">
        <w:t xml:space="preserve">; see </w:t>
      </w:r>
      <w:bookmarkStart w:id="12" w:name="dabmci_3b493e2d565f447f962091f513be5cb7"/>
      <w:r w:rsidRPr="00715165" w:rsidR="00FE0F03">
        <w:t xml:space="preserve">Gov. Code, </w:t>
      </w:r>
      <w:r w:rsidRPr="00715165" w:rsidR="003508F8">
        <w:t>§</w:t>
      </w:r>
      <w:r w:rsidRPr="00715165" w:rsidR="00FE0D8F">
        <w:t> </w:t>
      </w:r>
      <w:r w:rsidRPr="00715165" w:rsidR="003508F8">
        <w:t>84107</w:t>
      </w:r>
      <w:bookmarkEnd w:id="12"/>
      <w:r w:rsidRPr="00715165" w:rsidR="003508F8">
        <w:t xml:space="preserve">; </w:t>
      </w:r>
      <w:bookmarkStart w:id="13" w:name="dabmci_734020af869c4442a36f8fa3d3ec1979"/>
      <w:r w:rsidRPr="00715165" w:rsidR="003508F8">
        <w:t xml:space="preserve">Cal. Code Regs., tit. 2, </w:t>
      </w:r>
      <w:r w:rsidRPr="00715165" w:rsidR="003508F8">
        <w:t>§</w:t>
      </w:r>
      <w:r w:rsidRPr="00715165" w:rsidR="003D5A46">
        <w:t> </w:t>
      </w:r>
      <w:r w:rsidRPr="00715165" w:rsidR="003508F8">
        <w:t>18247.5</w:t>
      </w:r>
      <w:bookmarkEnd w:id="13"/>
      <w:r w:rsidRPr="00715165" w:rsidR="003508F8">
        <w:t>.)</w:t>
      </w:r>
      <w:r>
        <w:rPr>
          <w:rStyle w:val="FootnoteReference"/>
        </w:rPr>
        <w:footnoteReference w:id="6"/>
      </w:r>
      <w:r w:rsidRPr="00715165" w:rsidR="003508F8">
        <w:t xml:space="preserve">  The complaint further alleged that the </w:t>
      </w:r>
      <w:r w:rsidRPr="00715165" w:rsidR="00901A44">
        <w:t xml:space="preserve">Rescue Our Waterfront </w:t>
      </w:r>
      <w:r w:rsidRPr="00715165" w:rsidR="003D5A46">
        <w:t>PAC</w:t>
      </w:r>
      <w:r w:rsidRPr="00715165" w:rsidR="005C0A56">
        <w:t xml:space="preserve"> w</w:t>
      </w:r>
      <w:r w:rsidRPr="00715165" w:rsidR="003508F8">
        <w:t xml:space="preserve">as </w:t>
      </w:r>
      <w:r w:rsidRPr="00715165" w:rsidR="00EB1314">
        <w:t xml:space="preserve">controlled by </w:t>
      </w:r>
      <w:r w:rsidRPr="00715165" w:rsidR="003508F8">
        <w:t xml:space="preserve">candidates Brand and Nehrenheim, which </w:t>
      </w:r>
      <w:r w:rsidRPr="00715165">
        <w:t>likewise</w:t>
      </w:r>
      <w:r w:rsidRPr="00715165" w:rsidR="003508F8">
        <w:t xml:space="preserve"> should have been disclosed</w:t>
      </w:r>
      <w:r w:rsidRPr="00715165" w:rsidR="00E16754">
        <w:t xml:space="preserve"> to the public</w:t>
      </w:r>
      <w:r w:rsidRPr="00715165" w:rsidR="003508F8">
        <w:t>.  (</w:t>
      </w:r>
      <w:bookmarkStart w:id="20" w:name="dabmci_5fc367ec9a294f3b8696d4e0f2dc63ee"/>
      <w:r w:rsidRPr="00715165" w:rsidR="003508F8">
        <w:rPr>
          <w:i/>
          <w:iCs/>
        </w:rPr>
        <w:t>Travis</w:t>
      </w:r>
      <w:r w:rsidRPr="00715165" w:rsidR="003508F8">
        <w:t>, at p.</w:t>
      </w:r>
      <w:r w:rsidRPr="00715165" w:rsidR="00FE0D8F">
        <w:t> </w:t>
      </w:r>
      <w:r w:rsidRPr="00715165" w:rsidR="003508F8">
        <w:t>247</w:t>
      </w:r>
      <w:bookmarkEnd w:id="20"/>
      <w:r w:rsidRPr="00715165" w:rsidR="003508F8">
        <w:t xml:space="preserve">; see </w:t>
      </w:r>
      <w:bookmarkStart w:id="21" w:name="dabmci_b2bb2c9a4be443688ed66ccf0c34a6aa"/>
      <w:r w:rsidRPr="00715165" w:rsidR="003508F8">
        <w:t>Cal. Code Regs., tit. 2, §</w:t>
      </w:r>
      <w:r w:rsidRPr="00715165" w:rsidR="00FE0D8F">
        <w:t> </w:t>
      </w:r>
      <w:r w:rsidRPr="00715165" w:rsidR="003508F8">
        <w:t>18521.5</w:t>
      </w:r>
      <w:bookmarkEnd w:id="21"/>
      <w:r w:rsidRPr="00715165" w:rsidR="003508F8">
        <w:t>.)</w:t>
      </w:r>
      <w:r w:rsidRPr="00715165" w:rsidR="00D74C42">
        <w:t xml:space="preserve"> </w:t>
      </w:r>
      <w:r w:rsidRPr="00715165" w:rsidR="00E16754">
        <w:t xml:space="preserve"> Failure to disclose this information, plaintiffs argued, had the effect of deceiving voters.  (</w:t>
      </w:r>
      <w:bookmarkStart w:id="22" w:name="dabmci_8ee148202d684bed913ff07924768548"/>
      <w:r w:rsidRPr="00715165" w:rsidR="00E16754">
        <w:rPr>
          <w:i/>
          <w:iCs/>
        </w:rPr>
        <w:t>Travis</w:t>
      </w:r>
      <w:r w:rsidRPr="00715165" w:rsidR="00E16754">
        <w:t>, at p. 247</w:t>
      </w:r>
      <w:bookmarkEnd w:id="22"/>
      <w:r w:rsidRPr="00715165" w:rsidR="00E16754">
        <w:t xml:space="preserve">.)  </w:t>
      </w:r>
    </w:p>
    <w:p w:rsidR="002A7698" w:rsidRPr="00715165" w:rsidP="00715165">
      <w:pPr>
        <w:tabs>
          <w:tab w:val="left" w:pos="1440"/>
        </w:tabs>
        <w:ind w:firstLine="720"/>
      </w:pPr>
      <w:r w:rsidRPr="00715165">
        <w:t xml:space="preserve">Following a five-day bench trial, the trial court </w:t>
      </w:r>
      <w:r w:rsidRPr="00715165" w:rsidR="00EB1314">
        <w:t>ruled in defendants’ favor</w:t>
      </w:r>
      <w:r w:rsidRPr="00715165" w:rsidR="00015EA5">
        <w:t xml:space="preserve"> on all claims</w:t>
      </w:r>
      <w:r w:rsidRPr="00715165" w:rsidR="00EB1314">
        <w:t xml:space="preserve">.  It </w:t>
      </w:r>
      <w:r w:rsidRPr="00715165">
        <w:t xml:space="preserve">determined that </w:t>
      </w:r>
      <w:r w:rsidRPr="00715165" w:rsidR="00015EA5">
        <w:t xml:space="preserve">the </w:t>
      </w:r>
      <w:r w:rsidRPr="00715165">
        <w:t xml:space="preserve">Rescue Our Waterfront </w:t>
      </w:r>
      <w:r w:rsidRPr="00715165" w:rsidR="00015EA5">
        <w:t xml:space="preserve">PAC </w:t>
      </w:r>
      <w:r w:rsidRPr="00715165">
        <w:t>was a general purpose committee (</w:t>
      </w:r>
      <w:bookmarkStart w:id="23" w:name="dabmci_e9ecfa9672c54f83b2f9c751e2a494dc"/>
      <w:r w:rsidRPr="00715165">
        <w:t>§</w:t>
      </w:r>
      <w:r w:rsidRPr="00715165" w:rsidR="00844ED7">
        <w:t> </w:t>
      </w:r>
      <w:r w:rsidRPr="00715165">
        <w:t>82027.5</w:t>
      </w:r>
      <w:bookmarkEnd w:id="23"/>
      <w:r w:rsidRPr="00715165">
        <w:t>)</w:t>
      </w:r>
      <w:bookmarkStart w:id="24" w:name="_Hlk86148933"/>
      <w:bookmarkStart w:id="25" w:name="_Hlk86141738"/>
      <w:r w:rsidRPr="00715165" w:rsidR="0065243E">
        <w:t> </w:t>
      </w:r>
      <w:r w:rsidRPr="00715165" w:rsidR="00D40043">
        <w:t>—</w:t>
      </w:r>
      <w:bookmarkEnd w:id="24"/>
      <w:bookmarkEnd w:id="25"/>
      <w:r w:rsidR="00CE2971">
        <w:t xml:space="preserve"> </w:t>
      </w:r>
      <w:r w:rsidRPr="00715165">
        <w:t xml:space="preserve">and therefore </w:t>
      </w:r>
      <w:r w:rsidRPr="00715165">
        <w:rPr>
          <w:i/>
          <w:iCs/>
        </w:rPr>
        <w:t>not</w:t>
      </w:r>
      <w:r w:rsidRPr="00715165">
        <w:t xml:space="preserve"> primarily formed to support Measure C</w:t>
      </w:r>
      <w:r w:rsidRPr="00715165" w:rsidR="0065243E">
        <w:t> </w:t>
      </w:r>
      <w:r w:rsidRPr="00715165" w:rsidR="00D40043">
        <w:t>—</w:t>
      </w:r>
      <w:r w:rsidR="00CE2971">
        <w:t xml:space="preserve"> </w:t>
      </w:r>
      <w:r w:rsidRPr="00715165">
        <w:t xml:space="preserve">and that neither Brand nor Nehrenheim exerted significant control or influence over </w:t>
      </w:r>
      <w:r w:rsidRPr="00715165" w:rsidR="00015EA5">
        <w:t>it</w:t>
      </w:r>
      <w:r w:rsidRPr="00715165">
        <w:t>.  (</w:t>
      </w:r>
      <w:bookmarkStart w:id="26" w:name="dabmci_da76832ce8a7421594cc63abab2ef22c"/>
      <w:r w:rsidRPr="00715165">
        <w:rPr>
          <w:i/>
          <w:iCs/>
        </w:rPr>
        <w:t>Travis</w:t>
      </w:r>
      <w:r w:rsidRPr="00715165">
        <w:t xml:space="preserve">, </w:t>
      </w:r>
      <w:r w:rsidRPr="00715165">
        <w:rPr>
          <w:i/>
          <w:iCs/>
        </w:rPr>
        <w:t>supra</w:t>
      </w:r>
      <w:r w:rsidRPr="00715165">
        <w:t>, 62</w:t>
      </w:r>
      <w:r w:rsidR="00F922CB">
        <w:t> </w:t>
      </w:r>
      <w:r w:rsidRPr="00715165">
        <w:t>Cal.App.5th at pp.</w:t>
      </w:r>
      <w:r w:rsidRPr="00715165" w:rsidR="00844ED7">
        <w:t> </w:t>
      </w:r>
      <w:r w:rsidRPr="00715165">
        <w:t>248, 252</w:t>
      </w:r>
      <w:r w:rsidRPr="00715165" w:rsidR="007C21F6">
        <w:t>–</w:t>
      </w:r>
      <w:r w:rsidRPr="00715165">
        <w:t>253</w:t>
      </w:r>
      <w:bookmarkEnd w:id="26"/>
      <w:r w:rsidRPr="00715165">
        <w:t>.)</w:t>
      </w:r>
      <w:r w:rsidRPr="00715165" w:rsidR="00C209F9">
        <w:t xml:space="preserve"> </w:t>
      </w:r>
      <w:r w:rsidRPr="00715165">
        <w:t xml:space="preserve"> The court awarded defendants costs and attorney</w:t>
      </w:r>
      <w:r w:rsidRPr="00715165" w:rsidR="002C01CD">
        <w:t>’s</w:t>
      </w:r>
      <w:r w:rsidRPr="00715165">
        <w:t xml:space="preserve"> fees as prevailing parties under section 91003</w:t>
      </w:r>
      <w:r w:rsidRPr="00715165" w:rsidR="007B261A">
        <w:t>(a)</w:t>
      </w:r>
      <w:r w:rsidRPr="00715165" w:rsidR="00F647AB">
        <w:t xml:space="preserve"> in the amount of $896,896.60</w:t>
      </w:r>
      <w:r w:rsidRPr="00715165">
        <w:t>.</w:t>
      </w:r>
      <w:r w:rsidRPr="00715165" w:rsidR="00F647AB">
        <w:t xml:space="preserve">  (</w:t>
      </w:r>
      <w:bookmarkStart w:id="27" w:name="dabmci_07021febc05a4668b55d86235eeab62d"/>
      <w:r w:rsidRPr="00715165" w:rsidR="00F647AB">
        <w:rPr>
          <w:i/>
          <w:iCs/>
        </w:rPr>
        <w:t>Travis</w:t>
      </w:r>
      <w:r w:rsidRPr="00715165" w:rsidR="00F647AB">
        <w:t>, at p.</w:t>
      </w:r>
      <w:r w:rsidRPr="00715165" w:rsidR="00844ED7">
        <w:t> </w:t>
      </w:r>
      <w:r w:rsidRPr="00715165" w:rsidR="00F647AB">
        <w:t>253</w:t>
      </w:r>
      <w:bookmarkEnd w:id="27"/>
      <w:r w:rsidRPr="00715165" w:rsidR="00F647AB">
        <w:t xml:space="preserve">.)  </w:t>
      </w:r>
      <w:r w:rsidRPr="00715165" w:rsidR="00BC7F05">
        <w:t xml:space="preserve">In addition to declaring that </w:t>
      </w:r>
      <w:r w:rsidRPr="00715165">
        <w:t>d</w:t>
      </w:r>
      <w:r w:rsidRPr="00715165" w:rsidR="00BC7F05">
        <w:t>efendants were the prevailing parties in the action, the trial court found plaintiffs’ lawsuit “was frivolous, unreasonable and groundless</w:t>
      </w:r>
      <w:r w:rsidRPr="00715165">
        <w:t>.”</w:t>
      </w:r>
      <w:r w:rsidRPr="00715165" w:rsidR="00BC7F05">
        <w:t xml:space="preserve"> </w:t>
      </w:r>
      <w:r w:rsidRPr="00715165">
        <w:t xml:space="preserve"> The trial court reasoned that plaintiffs “prosecuted their private enforcement action in order to punish the [d]efendants for their free speech and their public support to guard against the </w:t>
      </w:r>
      <w:r w:rsidRPr="00715165" w:rsidR="00777968">
        <w:t>[development]</w:t>
      </w:r>
      <w:r w:rsidRPr="00715165">
        <w:t xml:space="preserve"> project.” </w:t>
      </w:r>
      <w:r w:rsidR="00F922CB">
        <w:t xml:space="preserve"> </w:t>
      </w:r>
    </w:p>
    <w:p w:rsidR="00A47391" w:rsidRPr="00715165" w:rsidP="00715165">
      <w:pPr>
        <w:tabs>
          <w:tab w:val="left" w:pos="1440"/>
        </w:tabs>
        <w:ind w:firstLine="720"/>
      </w:pPr>
      <w:r w:rsidRPr="00715165">
        <w:t>As relevant here, t</w:t>
      </w:r>
      <w:r w:rsidRPr="00715165" w:rsidR="00F647AB">
        <w:t xml:space="preserve">he Court of Appeal affirmed </w:t>
      </w:r>
      <w:r w:rsidRPr="00715165">
        <w:t>the trial court’s award</w:t>
      </w:r>
      <w:r w:rsidRPr="00715165" w:rsidR="00AC7065">
        <w:t xml:space="preserve"> of</w:t>
      </w:r>
      <w:r w:rsidRPr="00715165">
        <w:t xml:space="preserve"> attorney</w:t>
      </w:r>
      <w:r w:rsidRPr="00715165" w:rsidR="00857D0D">
        <w:t>’s</w:t>
      </w:r>
      <w:r w:rsidRPr="00715165">
        <w:t xml:space="preserve"> fees to defendants</w:t>
      </w:r>
      <w:r w:rsidRPr="00715165" w:rsidR="00F647AB">
        <w:t>.  (</w:t>
      </w:r>
      <w:bookmarkStart w:id="28" w:name="dabmci_c5e63450a25446f3bd98e6a8ea40208f"/>
      <w:r w:rsidRPr="00715165" w:rsidR="00F647AB">
        <w:rPr>
          <w:i/>
          <w:iCs/>
        </w:rPr>
        <w:t>Travis</w:t>
      </w:r>
      <w:r w:rsidRPr="00715165" w:rsidR="00F647AB">
        <w:t xml:space="preserve">, </w:t>
      </w:r>
      <w:r w:rsidRPr="00715165" w:rsidR="00F647AB">
        <w:rPr>
          <w:i/>
          <w:iCs/>
        </w:rPr>
        <w:t>supra</w:t>
      </w:r>
      <w:r w:rsidRPr="00715165" w:rsidR="00F647AB">
        <w:t>, 62 Cal.App.5th at p.</w:t>
      </w:r>
      <w:r w:rsidRPr="00715165" w:rsidR="00844ED7">
        <w:t> </w:t>
      </w:r>
      <w:r w:rsidRPr="00715165" w:rsidR="00F647AB">
        <w:t>2</w:t>
      </w:r>
      <w:r w:rsidR="00F45F4E">
        <w:t>6</w:t>
      </w:r>
      <w:r w:rsidRPr="00715165" w:rsidR="00F647AB">
        <w:t>5</w:t>
      </w:r>
      <w:bookmarkEnd w:id="28"/>
      <w:r w:rsidRPr="00715165" w:rsidR="00F647AB">
        <w:t>.)</w:t>
      </w:r>
      <w:r w:rsidRPr="00715165" w:rsidR="00B714A9">
        <w:t xml:space="preserve">  </w:t>
      </w:r>
      <w:bookmarkStart w:id="29" w:name="_Hlk113273511"/>
      <w:r w:rsidRPr="00715165" w:rsidR="00B714A9">
        <w:t xml:space="preserve">The court </w:t>
      </w:r>
      <w:r w:rsidRPr="00715165" w:rsidR="003320B6">
        <w:t xml:space="preserve">held </w:t>
      </w:r>
      <w:r w:rsidRPr="00715165" w:rsidR="00D963C1">
        <w:t xml:space="preserve">that </w:t>
      </w:r>
      <w:r w:rsidRPr="00715165" w:rsidR="00B714A9">
        <w:t>section 91003</w:t>
      </w:r>
      <w:r w:rsidRPr="00715165" w:rsidR="007266DF">
        <w:t>(a)</w:t>
      </w:r>
      <w:r w:rsidRPr="00715165" w:rsidR="00B714A9">
        <w:t xml:space="preserve"> grant</w:t>
      </w:r>
      <w:r w:rsidRPr="00715165" w:rsidR="00D963C1">
        <w:t>s</w:t>
      </w:r>
      <w:r w:rsidRPr="00715165" w:rsidR="00B714A9">
        <w:t xml:space="preserve"> trial courts discretion to award </w:t>
      </w:r>
      <w:r w:rsidRPr="00715165" w:rsidR="003320B6">
        <w:t>attorney</w:t>
      </w:r>
      <w:r w:rsidRPr="00715165" w:rsidR="00DA056D">
        <w:t>’s</w:t>
      </w:r>
      <w:r w:rsidRPr="00715165" w:rsidR="003320B6">
        <w:t xml:space="preserve"> </w:t>
      </w:r>
      <w:r w:rsidRPr="00715165" w:rsidR="00B714A9">
        <w:t>fees and costs “</w:t>
      </w:r>
      <w:r w:rsidRPr="00715165" w:rsidR="00844ED7">
        <w:t> </w:t>
      </w:r>
      <w:r w:rsidRPr="00715165" w:rsidR="00B714A9">
        <w:t xml:space="preserve">‘to a </w:t>
      </w:r>
      <w:r w:rsidRPr="00715165" w:rsidR="00B714A9">
        <w:rPr>
          <w:i/>
          <w:iCs/>
        </w:rPr>
        <w:t>plaintiff or defendant who prevails</w:t>
      </w:r>
      <w:r w:rsidRPr="00715165" w:rsidR="00D963C1">
        <w:t>,</w:t>
      </w:r>
      <w:r w:rsidRPr="00715165" w:rsidR="00B714A9">
        <w:t>’</w:t>
      </w:r>
      <w:r w:rsidRPr="00715165" w:rsidR="00844ED7">
        <w:t> </w:t>
      </w:r>
      <w:r w:rsidRPr="00715165" w:rsidR="00B714A9">
        <w:t>”</w:t>
      </w:r>
      <w:r w:rsidRPr="00715165" w:rsidR="00D963C1">
        <w:t xml:space="preserve"> such that both “prevailing plaintiffs and prevailing defendants are to be treated alike” </w:t>
      </w:r>
      <w:r w:rsidRPr="00715165" w:rsidR="00CF4F45">
        <w:t xml:space="preserve">in determining their entitlement to </w:t>
      </w:r>
      <w:r w:rsidRPr="00715165" w:rsidR="00AC69DA">
        <w:t xml:space="preserve">a </w:t>
      </w:r>
      <w:r w:rsidRPr="00715165" w:rsidR="00CF4F45">
        <w:t>fee</w:t>
      </w:r>
      <w:r w:rsidRPr="00715165" w:rsidR="00AC69DA">
        <w:t xml:space="preserve"> award</w:t>
      </w:r>
      <w:r w:rsidRPr="00715165" w:rsidR="00CF4F45">
        <w:t xml:space="preserve">. </w:t>
      </w:r>
      <w:r w:rsidRPr="00715165" w:rsidR="00D963C1">
        <w:t xml:space="preserve"> (</w:t>
      </w:r>
      <w:bookmarkStart w:id="30" w:name="dabmci_8ee94686a22a435a8b4409ddf1f5235b"/>
      <w:r w:rsidRPr="00715165" w:rsidR="003320B6">
        <w:rPr>
          <w:i/>
          <w:iCs/>
        </w:rPr>
        <w:t>Id</w:t>
      </w:r>
      <w:r w:rsidRPr="00715165" w:rsidR="003320B6">
        <w:t>.</w:t>
      </w:r>
      <w:r w:rsidRPr="00715165" w:rsidR="00D963C1">
        <w:t xml:space="preserve"> at pp.</w:t>
      </w:r>
      <w:r w:rsidRPr="00715165" w:rsidR="00CF4F45">
        <w:t> </w:t>
      </w:r>
      <w:r w:rsidRPr="00715165" w:rsidR="00D963C1">
        <w:t>263</w:t>
      </w:r>
      <w:r w:rsidR="00D306C0">
        <w:t xml:space="preserve">, </w:t>
      </w:r>
      <w:r w:rsidRPr="00715165" w:rsidR="00D963C1">
        <w:t>264</w:t>
      </w:r>
      <w:bookmarkEnd w:id="30"/>
      <w:r w:rsidRPr="00715165" w:rsidR="00D963C1">
        <w:t xml:space="preserve">.)  </w:t>
      </w:r>
      <w:r w:rsidRPr="00715165">
        <w:t xml:space="preserve">Because defendants were “unquestionably” the prevailing parties in this litigation, the Court of Appeal concluded that the trial court acted within its discretion to award </w:t>
      </w:r>
      <w:r w:rsidRPr="00715165" w:rsidR="00CF4F45">
        <w:t>them attorney</w:t>
      </w:r>
      <w:r w:rsidRPr="00715165" w:rsidR="0051385A">
        <w:t>’s</w:t>
      </w:r>
      <w:r w:rsidRPr="00715165" w:rsidR="00CF4F45">
        <w:t xml:space="preserve"> </w:t>
      </w:r>
      <w:r w:rsidRPr="00715165">
        <w:t>fees (</w:t>
      </w:r>
      <w:bookmarkStart w:id="31" w:name="dabmci_274e6b79a48649679c7023b936b08111"/>
      <w:r w:rsidRPr="00715165" w:rsidR="00AC69DA">
        <w:rPr>
          <w:i/>
          <w:iCs/>
        </w:rPr>
        <w:t>i</w:t>
      </w:r>
      <w:r w:rsidRPr="00715165">
        <w:rPr>
          <w:i/>
          <w:iCs/>
        </w:rPr>
        <w:t>d</w:t>
      </w:r>
      <w:r w:rsidRPr="00715165">
        <w:t>. at p.</w:t>
      </w:r>
      <w:r w:rsidRPr="00715165" w:rsidR="00A83D8E">
        <w:t> </w:t>
      </w:r>
      <w:r w:rsidRPr="00715165">
        <w:t>264</w:t>
      </w:r>
      <w:bookmarkEnd w:id="31"/>
      <w:r w:rsidRPr="00715165">
        <w:t>)</w:t>
      </w:r>
      <w:r w:rsidRPr="00715165" w:rsidR="00AC69DA">
        <w:t xml:space="preserve">, irrespective of any finding that the lawsuit was frivolous.  </w:t>
      </w:r>
    </w:p>
    <w:p w:rsidR="003320B6" w:rsidRPr="00715165" w:rsidP="00715165">
      <w:pPr>
        <w:tabs>
          <w:tab w:val="left" w:pos="1440"/>
        </w:tabs>
        <w:ind w:firstLine="720"/>
      </w:pPr>
      <w:r w:rsidRPr="00715165">
        <w:t xml:space="preserve">In construing the </w:t>
      </w:r>
      <w:r w:rsidRPr="00715165">
        <w:t>attorney</w:t>
      </w:r>
      <w:r w:rsidRPr="00715165" w:rsidR="00941546">
        <w:t>’s</w:t>
      </w:r>
      <w:r w:rsidRPr="00715165">
        <w:t xml:space="preserve"> </w:t>
      </w:r>
      <w:r w:rsidRPr="00715165">
        <w:t>fee</w:t>
      </w:r>
      <w:r w:rsidRPr="00715165" w:rsidR="00BA7F26">
        <w:t>s</w:t>
      </w:r>
      <w:r w:rsidRPr="00715165">
        <w:t xml:space="preserve"> statute to define a </w:t>
      </w:r>
      <w:r w:rsidRPr="00715165" w:rsidR="00015EA5">
        <w:t xml:space="preserve">single </w:t>
      </w:r>
      <w:r w:rsidRPr="00715165">
        <w:t xml:space="preserve">standard </w:t>
      </w:r>
      <w:r w:rsidRPr="00715165" w:rsidR="00015EA5">
        <w:t xml:space="preserve">that applies </w:t>
      </w:r>
      <w:r w:rsidRPr="00715165">
        <w:t xml:space="preserve">equally </w:t>
      </w:r>
      <w:r w:rsidRPr="00715165" w:rsidR="00015EA5">
        <w:t xml:space="preserve">to both </w:t>
      </w:r>
      <w:r w:rsidRPr="00715165">
        <w:t xml:space="preserve">prevailing plaintiffs </w:t>
      </w:r>
      <w:r w:rsidRPr="00715165">
        <w:rPr>
          <w:i/>
          <w:iCs/>
        </w:rPr>
        <w:t>and</w:t>
      </w:r>
      <w:r w:rsidRPr="00715165">
        <w:t xml:space="preserve"> defendants, the Court of Appeal </w:t>
      </w:r>
      <w:r w:rsidRPr="00715165">
        <w:t>rejected two decisions —</w:t>
      </w:r>
      <w:r w:rsidR="00CE2971">
        <w:t xml:space="preserve"> </w:t>
      </w:r>
      <w:bookmarkStart w:id="32" w:name="dabmci_437d0c0da30d43bab804a22a4fcda30c"/>
      <w:r w:rsidRPr="00715165">
        <w:rPr>
          <w:i/>
          <w:iCs/>
        </w:rPr>
        <w:t>People v. Roger Hedgecock for Mayor Com</w:t>
      </w:r>
      <w:r w:rsidRPr="00715165">
        <w:t>. (1986) 183 Cal.App.3d 810 (</w:t>
      </w:r>
      <w:r w:rsidRPr="00715165">
        <w:rPr>
          <w:i/>
          <w:iCs/>
        </w:rPr>
        <w:t>Hedgecock</w:t>
      </w:r>
      <w:r w:rsidRPr="00715165">
        <w:t>)</w:t>
      </w:r>
      <w:bookmarkEnd w:id="32"/>
      <w:r w:rsidRPr="00715165">
        <w:t xml:space="preserve"> and </w:t>
      </w:r>
      <w:bookmarkStart w:id="33" w:name="dabmci_c72f7a0934cb42c1bf26bce1d8322bb5"/>
      <w:r w:rsidRPr="00715165">
        <w:rPr>
          <w:i/>
          <w:iCs/>
        </w:rPr>
        <w:t>Community Cause v. Boatwright</w:t>
      </w:r>
      <w:r w:rsidRPr="00715165">
        <w:t xml:space="preserve"> (1987) 195</w:t>
      </w:r>
      <w:r w:rsidR="00FD082C">
        <w:t> </w:t>
      </w:r>
      <w:r w:rsidRPr="00715165">
        <w:t>Cal.App.3d 562 (</w:t>
      </w:r>
      <w:r w:rsidRPr="00715165">
        <w:rPr>
          <w:i/>
          <w:iCs/>
        </w:rPr>
        <w:t>Boatwright</w:t>
      </w:r>
      <w:r w:rsidRPr="00715165">
        <w:t>)</w:t>
      </w:r>
      <w:bookmarkEnd w:id="33"/>
      <w:r w:rsidRPr="00715165">
        <w:t> —</w:t>
      </w:r>
      <w:r w:rsidR="00CE2971">
        <w:t xml:space="preserve"> </w:t>
      </w:r>
      <w:r w:rsidRPr="00715165">
        <w:t>which held that a prevailing defendant seeking attorney</w:t>
      </w:r>
      <w:r w:rsidRPr="00715165" w:rsidR="009A0606">
        <w:t>’s</w:t>
      </w:r>
      <w:r w:rsidRPr="00715165">
        <w:t xml:space="preserve"> fees under the Political Reform Act had to establish that the plaintiff’s claims were frivolous, unreasonable, or without foundation.  (</w:t>
      </w:r>
      <w:bookmarkStart w:id="34" w:name="dabmci_dcaaa3cd1f5443d0aae7ac861d45dfec"/>
      <w:r w:rsidRPr="00715165">
        <w:rPr>
          <w:i/>
          <w:iCs/>
        </w:rPr>
        <w:t>Hedgecock</w:t>
      </w:r>
      <w:r w:rsidRPr="00715165">
        <w:t>, at p. 815</w:t>
      </w:r>
      <w:bookmarkEnd w:id="34"/>
      <w:r w:rsidRPr="00715165">
        <w:t xml:space="preserve">; </w:t>
      </w:r>
      <w:bookmarkStart w:id="35" w:name="dabmci_a2be3459717143eb929cb69ed0ec2f8f"/>
      <w:r w:rsidRPr="00715165">
        <w:rPr>
          <w:i/>
          <w:iCs/>
        </w:rPr>
        <w:t>Boatwright</w:t>
      </w:r>
      <w:r w:rsidRPr="00715165">
        <w:t>, at p. 574</w:t>
      </w:r>
      <w:bookmarkEnd w:id="35"/>
      <w:r w:rsidRPr="00715165">
        <w:t>.)</w:t>
      </w:r>
      <w:r>
        <w:rPr>
          <w:rStyle w:val="FootnoteReference"/>
        </w:rPr>
        <w:footnoteReference w:id="7"/>
      </w:r>
      <w:r w:rsidRPr="00715165">
        <w:t xml:space="preserve">  </w:t>
      </w:r>
    </w:p>
    <w:p w:rsidR="00AD069F" w:rsidRPr="00715165" w:rsidP="00715165">
      <w:pPr>
        <w:tabs>
          <w:tab w:val="left" w:pos="1440"/>
        </w:tabs>
        <w:ind w:firstLine="720"/>
        <w:rPr>
          <w:b/>
          <w:bCs/>
        </w:rPr>
      </w:pPr>
      <w:r w:rsidRPr="00715165">
        <w:t>We granted review to resolve the conflict</w:t>
      </w:r>
      <w:r w:rsidRPr="00715165" w:rsidR="00777968">
        <w:t xml:space="preserve"> and to determine whether an asymmetrical standard applies to a prevailing defendant’s request for attorney</w:t>
      </w:r>
      <w:r w:rsidRPr="00715165" w:rsidR="007C3512">
        <w:t>’s</w:t>
      </w:r>
      <w:r w:rsidRPr="00715165" w:rsidR="00777968">
        <w:t xml:space="preserve"> fees under the Political Reform Act</w:t>
      </w:r>
      <w:r w:rsidRPr="00715165">
        <w:t xml:space="preserve">. </w:t>
      </w:r>
      <w:r w:rsidRPr="00715165" w:rsidR="00525E3B">
        <w:t xml:space="preserve"> </w:t>
      </w:r>
    </w:p>
    <w:p w:rsidR="00E25469" w:rsidRPr="00715165" w:rsidP="009D3258">
      <w:pPr>
        <w:keepNext/>
        <w:keepLines/>
        <w:jc w:val="center"/>
        <w:outlineLvl w:val="0"/>
        <w:rPr>
          <w:b/>
          <w:smallCaps/>
        </w:rPr>
      </w:pPr>
      <w:bookmarkEnd w:id="29"/>
      <w:r w:rsidRPr="00715165">
        <w:rPr>
          <w:b/>
          <w:smallCaps/>
        </w:rPr>
        <w:t>I</w:t>
      </w:r>
      <w:r w:rsidRPr="00715165" w:rsidR="00F53710">
        <w:rPr>
          <w:b/>
          <w:smallCaps/>
        </w:rPr>
        <w:t>I</w:t>
      </w:r>
      <w:r w:rsidRPr="00715165">
        <w:rPr>
          <w:b/>
          <w:smallCaps/>
        </w:rPr>
        <w:t>.</w:t>
      </w:r>
    </w:p>
    <w:p w:rsidR="004268E5" w:rsidRPr="00715165" w:rsidP="00715165">
      <w:pPr>
        <w:tabs>
          <w:tab w:val="left" w:pos="1440"/>
        </w:tabs>
        <w:ind w:firstLine="720"/>
        <w:rPr>
          <w:bCs/>
        </w:rPr>
      </w:pPr>
      <w:r w:rsidRPr="00715165">
        <w:rPr>
          <w:bCs/>
        </w:rPr>
        <w:t>California follows the American rule</w:t>
      </w:r>
      <w:r w:rsidRPr="00715165" w:rsidR="00082F3A">
        <w:rPr>
          <w:bCs/>
        </w:rPr>
        <w:t xml:space="preserve"> regarding attorney</w:t>
      </w:r>
      <w:r w:rsidRPr="00715165" w:rsidR="008A304C">
        <w:rPr>
          <w:bCs/>
        </w:rPr>
        <w:t>’s</w:t>
      </w:r>
      <w:r w:rsidRPr="00715165" w:rsidR="00082F3A">
        <w:rPr>
          <w:bCs/>
        </w:rPr>
        <w:t xml:space="preserve"> fees</w:t>
      </w:r>
      <w:r w:rsidRPr="00715165" w:rsidR="00153208">
        <w:rPr>
          <w:bCs/>
        </w:rPr>
        <w:t xml:space="preserve">.  Under that rule, </w:t>
      </w:r>
      <w:r w:rsidRPr="00715165" w:rsidR="000C3A30">
        <w:rPr>
          <w:bCs/>
        </w:rPr>
        <w:t>litigants</w:t>
      </w:r>
      <w:r w:rsidRPr="00715165" w:rsidR="00153208">
        <w:rPr>
          <w:bCs/>
        </w:rPr>
        <w:t xml:space="preserve"> </w:t>
      </w:r>
      <w:r w:rsidRPr="00715165" w:rsidR="000C3A30">
        <w:rPr>
          <w:bCs/>
        </w:rPr>
        <w:t xml:space="preserve">are </w:t>
      </w:r>
      <w:r w:rsidRPr="00715165" w:rsidR="00153208">
        <w:rPr>
          <w:bCs/>
        </w:rPr>
        <w:t>ordinarily responsible for paying their own attorney</w:t>
      </w:r>
      <w:r w:rsidRPr="00715165" w:rsidR="00AB24C0">
        <w:rPr>
          <w:bCs/>
        </w:rPr>
        <w:t>’s</w:t>
      </w:r>
      <w:r w:rsidRPr="00715165" w:rsidR="00153208">
        <w:rPr>
          <w:bCs/>
        </w:rPr>
        <w:t xml:space="preserve"> fees, </w:t>
      </w:r>
      <w:r w:rsidRPr="00715165" w:rsidR="00A761C6">
        <w:rPr>
          <w:bCs/>
        </w:rPr>
        <w:t>unless a statute or agreement provides</w:t>
      </w:r>
      <w:r w:rsidRPr="00715165" w:rsidR="00AD069F">
        <w:rPr>
          <w:bCs/>
        </w:rPr>
        <w:t xml:space="preserve"> otherwise</w:t>
      </w:r>
      <w:r w:rsidRPr="00715165">
        <w:rPr>
          <w:bCs/>
        </w:rPr>
        <w:t>.  (</w:t>
      </w:r>
      <w:bookmarkStart w:id="38" w:name="dabmci_499850d1456640e2990f5128d23685b9"/>
      <w:r w:rsidRPr="00715165">
        <w:rPr>
          <w:bCs/>
          <w:i/>
          <w:iCs/>
        </w:rPr>
        <w:t>Essex Ins. Co. v. Five Star Dye House, Inc.</w:t>
      </w:r>
      <w:r w:rsidRPr="00715165" w:rsidR="00D25434">
        <w:rPr>
          <w:bCs/>
        </w:rPr>
        <w:t xml:space="preserve"> (2006) 38 Cal.4th 1252, 1257</w:t>
      </w:r>
      <w:bookmarkEnd w:id="38"/>
      <w:r w:rsidRPr="00715165" w:rsidR="00D25434">
        <w:rPr>
          <w:bCs/>
        </w:rPr>
        <w:t xml:space="preserve">; </w:t>
      </w:r>
      <w:bookmarkStart w:id="39" w:name="dabmci_2501df7bce094101b7202ff95abae6bc"/>
      <w:r w:rsidRPr="00715165" w:rsidR="00D25434">
        <w:rPr>
          <w:bCs/>
        </w:rPr>
        <w:t>Code Civ. Proc., §</w:t>
      </w:r>
      <w:r w:rsidRPr="00715165" w:rsidR="00AD069F">
        <w:rPr>
          <w:bCs/>
        </w:rPr>
        <w:t> </w:t>
      </w:r>
      <w:r w:rsidRPr="00715165" w:rsidR="00D25434">
        <w:rPr>
          <w:bCs/>
        </w:rPr>
        <w:t>1021</w:t>
      </w:r>
      <w:bookmarkEnd w:id="39"/>
      <w:r w:rsidRPr="00715165" w:rsidR="00D25434">
        <w:rPr>
          <w:bCs/>
        </w:rPr>
        <w:t xml:space="preserve">.)  </w:t>
      </w:r>
      <w:r w:rsidRPr="00715165" w:rsidR="00C4441D">
        <w:rPr>
          <w:bCs/>
        </w:rPr>
        <w:t xml:space="preserve">The statutory exception at </w:t>
      </w:r>
      <w:r w:rsidRPr="00715165" w:rsidR="00256B18">
        <w:rPr>
          <w:bCs/>
        </w:rPr>
        <w:t>issue in this case</w:t>
      </w:r>
      <w:r w:rsidRPr="00715165" w:rsidR="00C4441D">
        <w:rPr>
          <w:bCs/>
        </w:rPr>
        <w:t xml:space="preserve"> is </w:t>
      </w:r>
      <w:r w:rsidRPr="00715165" w:rsidR="00153208">
        <w:rPr>
          <w:bCs/>
        </w:rPr>
        <w:t xml:space="preserve">set forth in </w:t>
      </w:r>
      <w:bookmarkStart w:id="40" w:name="dabmci_7649e3433db34f518fb10ffe47fcfb12"/>
      <w:r w:rsidRPr="00715165" w:rsidR="00E11EDC">
        <w:rPr>
          <w:bCs/>
        </w:rPr>
        <w:t xml:space="preserve">Government Code </w:t>
      </w:r>
      <w:r w:rsidRPr="00715165" w:rsidR="00F53710">
        <w:rPr>
          <w:bCs/>
        </w:rPr>
        <w:t>s</w:t>
      </w:r>
      <w:r w:rsidRPr="00715165" w:rsidR="00FE43F3">
        <w:rPr>
          <w:bCs/>
        </w:rPr>
        <w:t>ection 91003</w:t>
      </w:r>
      <w:r w:rsidRPr="00715165" w:rsidR="00F53710">
        <w:rPr>
          <w:bCs/>
        </w:rPr>
        <w:t>(a)</w:t>
      </w:r>
      <w:bookmarkEnd w:id="40"/>
      <w:r w:rsidRPr="00715165" w:rsidR="00C4441D">
        <w:rPr>
          <w:bCs/>
        </w:rPr>
        <w:t xml:space="preserve">. </w:t>
      </w:r>
      <w:r w:rsidRPr="00715165" w:rsidR="00082F3A">
        <w:rPr>
          <w:bCs/>
        </w:rPr>
        <w:t xml:space="preserve"> </w:t>
      </w:r>
      <w:r w:rsidRPr="00715165" w:rsidR="00C4441D">
        <w:rPr>
          <w:bCs/>
        </w:rPr>
        <w:t xml:space="preserve">It </w:t>
      </w:r>
      <w:r w:rsidR="00233DA3">
        <w:rPr>
          <w:bCs/>
        </w:rPr>
        <w:t xml:space="preserve">currently </w:t>
      </w:r>
      <w:r w:rsidRPr="00715165" w:rsidR="00A761C6">
        <w:rPr>
          <w:bCs/>
        </w:rPr>
        <w:t>states</w:t>
      </w:r>
      <w:r w:rsidRPr="00715165" w:rsidR="00C4441D">
        <w:rPr>
          <w:bCs/>
        </w:rPr>
        <w:t>, in pertinent part:  “Any person</w:t>
      </w:r>
      <w:r w:rsidRPr="00715165" w:rsidR="00C600D9">
        <w:rPr>
          <w:bCs/>
        </w:rPr>
        <w:t xml:space="preserve"> residing in the jurisdiction may sue for injunctive relief to enjoin violations or to compel compliance with the provisions of this title</w:t>
      </w:r>
      <w:r w:rsidRPr="00715165" w:rsidR="001572E4">
        <w:rPr>
          <w:bCs/>
        </w:rPr>
        <w:t xml:space="preserve">. . . .  </w:t>
      </w:r>
      <w:r w:rsidRPr="00715165" w:rsidR="00C600D9">
        <w:rPr>
          <w:bCs/>
        </w:rPr>
        <w:t>The court may award to a plaintiff or defendant who prevails that party’s costs of litigation, including reasonable attorney’s fees.”</w:t>
      </w:r>
      <w:r w:rsidRPr="00715165" w:rsidR="00153208">
        <w:rPr>
          <w:bCs/>
        </w:rPr>
        <w:t xml:space="preserve"> </w:t>
      </w:r>
      <w:r w:rsidRPr="00715165" w:rsidR="001572E4">
        <w:rPr>
          <w:bCs/>
        </w:rPr>
        <w:t xml:space="preserve"> </w:t>
      </w:r>
      <w:r w:rsidR="00F45F4E">
        <w:rPr>
          <w:bCs/>
        </w:rPr>
        <w:t>(</w:t>
      </w:r>
      <w:bookmarkStart w:id="41" w:name="dabmci_9c29ff11e74e4280a5d6e5b908c86f7b"/>
      <w:r w:rsidRPr="00344A4C" w:rsidR="00F45F4E">
        <w:rPr>
          <w:bCs/>
          <w:i/>
          <w:iCs/>
        </w:rPr>
        <w:t>Ibid</w:t>
      </w:r>
      <w:bookmarkEnd w:id="41"/>
      <w:r w:rsidR="00233DA3">
        <w:rPr>
          <w:bCs/>
        </w:rPr>
        <w:t>.</w:t>
      </w:r>
      <w:r w:rsidR="00F45F4E">
        <w:rPr>
          <w:bCs/>
        </w:rPr>
        <w:t xml:space="preserve">)  </w:t>
      </w:r>
    </w:p>
    <w:p w:rsidR="0054367A" w:rsidRPr="00715165" w:rsidP="00715165">
      <w:pPr>
        <w:tabs>
          <w:tab w:val="left" w:pos="1440"/>
        </w:tabs>
        <w:ind w:firstLine="720"/>
        <w:rPr>
          <w:bCs/>
        </w:rPr>
      </w:pPr>
      <w:r w:rsidRPr="00715165">
        <w:rPr>
          <w:bCs/>
        </w:rPr>
        <w:t xml:space="preserve">The parties agree that this statute </w:t>
      </w:r>
      <w:r w:rsidRPr="00715165" w:rsidR="00AD069F">
        <w:rPr>
          <w:bCs/>
        </w:rPr>
        <w:t>gives</w:t>
      </w:r>
      <w:r w:rsidRPr="00715165">
        <w:rPr>
          <w:bCs/>
        </w:rPr>
        <w:t xml:space="preserve"> the trial court discretion to decide whether to award </w:t>
      </w:r>
      <w:r w:rsidRPr="00715165" w:rsidR="00997838">
        <w:rPr>
          <w:bCs/>
        </w:rPr>
        <w:t>attorney</w:t>
      </w:r>
      <w:r w:rsidRPr="00715165" w:rsidR="008A03FB">
        <w:rPr>
          <w:bCs/>
        </w:rPr>
        <w:t>’s</w:t>
      </w:r>
      <w:r w:rsidRPr="00715165" w:rsidR="00997838">
        <w:rPr>
          <w:bCs/>
        </w:rPr>
        <w:t xml:space="preserve"> </w:t>
      </w:r>
      <w:r w:rsidRPr="00715165">
        <w:rPr>
          <w:bCs/>
        </w:rPr>
        <w:t>fees</w:t>
      </w:r>
      <w:r w:rsidRPr="00715165" w:rsidR="00BD59F0">
        <w:rPr>
          <w:bCs/>
        </w:rPr>
        <w:t xml:space="preserve"> in cases arising under the Political Reform Act</w:t>
      </w:r>
      <w:r w:rsidRPr="00715165">
        <w:rPr>
          <w:bCs/>
        </w:rPr>
        <w:t>.  They disagree, however, about th</w:t>
      </w:r>
      <w:r w:rsidRPr="00715165" w:rsidR="00BB6B77">
        <w:rPr>
          <w:bCs/>
        </w:rPr>
        <w:t xml:space="preserve">e legal framework governing that </w:t>
      </w:r>
      <w:r w:rsidRPr="00715165">
        <w:rPr>
          <w:bCs/>
        </w:rPr>
        <w:t xml:space="preserve">discretion.  Defendants, echoing the Court of Appeal, argue that </w:t>
      </w:r>
      <w:r w:rsidRPr="00715165" w:rsidR="00956A16">
        <w:rPr>
          <w:bCs/>
        </w:rPr>
        <w:t xml:space="preserve">prevailing plaintiffs and defendants “are to be treated the same” in determining whether to award </w:t>
      </w:r>
      <w:r w:rsidRPr="00715165" w:rsidR="00490256">
        <w:rPr>
          <w:bCs/>
        </w:rPr>
        <w:t>attorney</w:t>
      </w:r>
      <w:r w:rsidRPr="00715165" w:rsidR="008A03FB">
        <w:rPr>
          <w:bCs/>
        </w:rPr>
        <w:t>’s</w:t>
      </w:r>
      <w:r w:rsidRPr="00715165" w:rsidR="00490256">
        <w:rPr>
          <w:bCs/>
        </w:rPr>
        <w:t xml:space="preserve"> </w:t>
      </w:r>
      <w:r w:rsidRPr="00715165" w:rsidR="00956A16">
        <w:rPr>
          <w:bCs/>
        </w:rPr>
        <w:t>fees.  Plaintiffs</w:t>
      </w:r>
      <w:r w:rsidRPr="00715165" w:rsidR="00BD59F0">
        <w:rPr>
          <w:bCs/>
        </w:rPr>
        <w:t>, on the other hand,</w:t>
      </w:r>
      <w:r w:rsidRPr="00715165" w:rsidR="00956A16">
        <w:rPr>
          <w:bCs/>
        </w:rPr>
        <w:t xml:space="preserve"> contend </w:t>
      </w:r>
      <w:r w:rsidRPr="00715165" w:rsidR="000C3A30">
        <w:rPr>
          <w:bCs/>
        </w:rPr>
        <w:t>that a defendant’s opportunity to recover</w:t>
      </w:r>
      <w:r w:rsidRPr="00715165" w:rsidR="00AD069F">
        <w:rPr>
          <w:bCs/>
        </w:rPr>
        <w:t xml:space="preserve"> attorney</w:t>
      </w:r>
      <w:r w:rsidRPr="00715165" w:rsidR="008A03FB">
        <w:rPr>
          <w:bCs/>
        </w:rPr>
        <w:t>’s</w:t>
      </w:r>
      <w:r w:rsidRPr="00715165" w:rsidR="000C3A30">
        <w:rPr>
          <w:bCs/>
        </w:rPr>
        <w:t xml:space="preserve"> fees is more limited</w:t>
      </w:r>
      <w:r w:rsidRPr="00715165" w:rsidR="004268E5">
        <w:rPr>
          <w:bCs/>
        </w:rPr>
        <w:t xml:space="preserve"> than that of a plaintiff</w:t>
      </w:r>
      <w:r w:rsidRPr="00715165" w:rsidR="000C3A30">
        <w:rPr>
          <w:bCs/>
        </w:rPr>
        <w:t xml:space="preserve">:  </w:t>
      </w:r>
      <w:r w:rsidRPr="00715165" w:rsidR="00BD59F0">
        <w:rPr>
          <w:bCs/>
        </w:rPr>
        <w:t xml:space="preserve">a prevailing defendant may recover </w:t>
      </w:r>
      <w:r w:rsidRPr="00715165" w:rsidR="00AD069F">
        <w:rPr>
          <w:bCs/>
        </w:rPr>
        <w:t>attorney</w:t>
      </w:r>
      <w:r w:rsidRPr="00715165" w:rsidR="008A03FB">
        <w:rPr>
          <w:bCs/>
        </w:rPr>
        <w:t>’s</w:t>
      </w:r>
      <w:r w:rsidRPr="00715165" w:rsidR="00AD069F">
        <w:rPr>
          <w:bCs/>
        </w:rPr>
        <w:t xml:space="preserve"> </w:t>
      </w:r>
      <w:r w:rsidRPr="00715165" w:rsidR="00BD59F0">
        <w:rPr>
          <w:bCs/>
        </w:rPr>
        <w:t>fees only when the plaintiff’s suit was “</w:t>
      </w:r>
      <w:r w:rsidRPr="00715165" w:rsidR="000C3A30">
        <w:rPr>
          <w:bCs/>
        </w:rPr>
        <w:t> </w:t>
      </w:r>
      <w:r w:rsidRPr="00715165" w:rsidR="00BD59F0">
        <w:rPr>
          <w:bCs/>
        </w:rPr>
        <w:t>‘frivolous, unreasonable or without foundation.’</w:t>
      </w:r>
      <w:r w:rsidRPr="00715165" w:rsidR="001572E4">
        <w:rPr>
          <w:bCs/>
        </w:rPr>
        <w:t> </w:t>
      </w:r>
      <w:r w:rsidRPr="00715165" w:rsidR="00BD59F0">
        <w:rPr>
          <w:bCs/>
        </w:rPr>
        <w:t xml:space="preserve">”  </w:t>
      </w:r>
      <w:r w:rsidRPr="00715165" w:rsidR="000C3A30">
        <w:rPr>
          <w:bCs/>
        </w:rPr>
        <w:t xml:space="preserve">A </w:t>
      </w:r>
      <w:r w:rsidRPr="00715165" w:rsidR="0007002F">
        <w:rPr>
          <w:bCs/>
        </w:rPr>
        <w:t>contrary</w:t>
      </w:r>
      <w:r w:rsidRPr="00715165" w:rsidR="000C3A30">
        <w:rPr>
          <w:bCs/>
        </w:rPr>
        <w:t xml:space="preserve"> rule, </w:t>
      </w:r>
      <w:r w:rsidRPr="00715165" w:rsidR="00BD59F0">
        <w:rPr>
          <w:bCs/>
        </w:rPr>
        <w:t>in plaintiffs’ view, would chill private enforcement of the Political Reform Act and thus undermine its purpose</w:t>
      </w:r>
      <w:r w:rsidRPr="00715165" w:rsidR="0058447F">
        <w:rPr>
          <w:bCs/>
        </w:rPr>
        <w:t xml:space="preserve">. </w:t>
      </w:r>
      <w:r w:rsidRPr="00715165">
        <w:rPr>
          <w:bCs/>
        </w:rPr>
        <w:t xml:space="preserve"> </w:t>
      </w:r>
      <w:r w:rsidR="00AB56AC">
        <w:rPr>
          <w:bCs/>
        </w:rPr>
        <w:t>We</w:t>
      </w:r>
      <w:r w:rsidRPr="00715165" w:rsidR="00BD59F0">
        <w:rPr>
          <w:bCs/>
        </w:rPr>
        <w:t xml:space="preserve"> agree with plaintiffs.  </w:t>
      </w:r>
    </w:p>
    <w:p w:rsidR="00AD0250" w:rsidRPr="00344A4C" w:rsidP="002403E8">
      <w:pPr>
        <w:pStyle w:val="Heading3"/>
        <w:tabs>
          <w:tab w:val="left" w:pos="1530"/>
          <w:tab w:val="clear" w:pos="1584"/>
        </w:tabs>
        <w:ind w:left="0"/>
        <w:jc w:val="center"/>
        <w:rPr>
          <w:b/>
          <w:bCs/>
          <w:i w:val="0"/>
          <w:iCs/>
        </w:rPr>
      </w:pPr>
      <w:r w:rsidRPr="00344A4C">
        <w:rPr>
          <w:b/>
          <w:bCs/>
          <w:i w:val="0"/>
          <w:iCs/>
        </w:rPr>
        <w:t>A.</w:t>
      </w:r>
    </w:p>
    <w:p w:rsidR="001E4712" w:rsidRPr="00715165" w:rsidP="002403E8">
      <w:pPr>
        <w:tabs>
          <w:tab w:val="left" w:pos="1440"/>
        </w:tabs>
        <w:ind w:firstLine="720"/>
        <w:rPr>
          <w:bCs/>
        </w:rPr>
      </w:pPr>
      <w:r w:rsidRPr="00715165">
        <w:rPr>
          <w:bCs/>
        </w:rPr>
        <w:t xml:space="preserve">The United States Supreme Court </w:t>
      </w:r>
      <w:r w:rsidR="00D069CD">
        <w:rPr>
          <w:bCs/>
        </w:rPr>
        <w:t xml:space="preserve">construed a similarly worded </w:t>
      </w:r>
      <w:r w:rsidR="00446C23">
        <w:rPr>
          <w:bCs/>
        </w:rPr>
        <w:t xml:space="preserve">fee statute as imposing </w:t>
      </w:r>
      <w:r w:rsidRPr="00715165">
        <w:rPr>
          <w:bCs/>
        </w:rPr>
        <w:t xml:space="preserve">an asymmetrical standard </w:t>
      </w:r>
      <w:r w:rsidR="002A148E">
        <w:rPr>
          <w:bCs/>
        </w:rPr>
        <w:t xml:space="preserve">in </w:t>
      </w:r>
      <w:bookmarkStart w:id="42" w:name="dabmci_85813e22f5604de4b5660cd546363282"/>
      <w:r w:rsidR="002A148E">
        <w:rPr>
          <w:bCs/>
          <w:i/>
          <w:iCs/>
        </w:rPr>
        <w:t>Christiansburg</w:t>
      </w:r>
      <w:r w:rsidR="002A148E">
        <w:rPr>
          <w:bCs/>
        </w:rPr>
        <w:t xml:space="preserve">, </w:t>
      </w:r>
      <w:r w:rsidR="002A148E">
        <w:rPr>
          <w:bCs/>
          <w:i/>
          <w:iCs/>
        </w:rPr>
        <w:t>supra</w:t>
      </w:r>
      <w:r w:rsidR="002A148E">
        <w:rPr>
          <w:bCs/>
        </w:rPr>
        <w:t>, 434 U.S. 412</w:t>
      </w:r>
      <w:bookmarkEnd w:id="42"/>
      <w:r w:rsidR="00907689">
        <w:rPr>
          <w:bCs/>
        </w:rPr>
        <w:t xml:space="preserve">, which </w:t>
      </w:r>
      <w:r w:rsidR="00F738CA">
        <w:rPr>
          <w:bCs/>
        </w:rPr>
        <w:t xml:space="preserve">affirmed </w:t>
      </w:r>
      <w:r w:rsidR="00E91161">
        <w:rPr>
          <w:bCs/>
        </w:rPr>
        <w:t xml:space="preserve">the denial of </w:t>
      </w:r>
      <w:r w:rsidRPr="00715165">
        <w:rPr>
          <w:bCs/>
        </w:rPr>
        <w:t>attorney</w:t>
      </w:r>
      <w:r w:rsidRPr="00715165" w:rsidR="0047245D">
        <w:rPr>
          <w:bCs/>
        </w:rPr>
        <w:t>’s</w:t>
      </w:r>
      <w:r w:rsidRPr="00715165">
        <w:rPr>
          <w:bCs/>
        </w:rPr>
        <w:t xml:space="preserve"> fees </w:t>
      </w:r>
      <w:r w:rsidR="00E91161">
        <w:rPr>
          <w:bCs/>
        </w:rPr>
        <w:t xml:space="preserve">to </w:t>
      </w:r>
      <w:r w:rsidR="00785F58">
        <w:rPr>
          <w:bCs/>
        </w:rPr>
        <w:t>a prevailing defendant in an action under t</w:t>
      </w:r>
      <w:r w:rsidRPr="00715165">
        <w:rPr>
          <w:bCs/>
        </w:rPr>
        <w:t xml:space="preserve">itle VII of </w:t>
      </w:r>
      <w:r w:rsidRPr="00715165">
        <w:rPr>
          <w:bCs/>
        </w:rPr>
        <w:t xml:space="preserve">the Civil Rights Act </w:t>
      </w:r>
      <w:r w:rsidRPr="00715165">
        <w:rPr>
          <w:bCs/>
        </w:rPr>
        <w:t>of 1964</w:t>
      </w:r>
      <w:r w:rsidRPr="00715165">
        <w:t xml:space="preserve">.  </w:t>
      </w:r>
      <w:r w:rsidRPr="00715165">
        <w:t>The fee statute there</w:t>
      </w:r>
      <w:r w:rsidR="00A1620B">
        <w:t> —</w:t>
      </w:r>
      <w:r w:rsidR="00CE2971">
        <w:t xml:space="preserve"> </w:t>
      </w:r>
      <w:r w:rsidR="00A1620B">
        <w:t>like the one here —</w:t>
      </w:r>
      <w:r w:rsidR="00EB132D">
        <w:t xml:space="preserve"> </w:t>
      </w:r>
      <w:r w:rsidR="00A1620B">
        <w:t xml:space="preserve">was silent on what standard to apply when awarding attorney’s fees.  The statute there </w:t>
      </w:r>
      <w:r w:rsidRPr="00715165">
        <w:rPr>
          <w:bCs/>
        </w:rPr>
        <w:t>provided, “ ‘In an</w:t>
      </w:r>
      <w:r w:rsidR="00F45F4E">
        <w:rPr>
          <w:bCs/>
        </w:rPr>
        <w:t>y</w:t>
      </w:r>
      <w:r w:rsidRPr="00715165">
        <w:rPr>
          <w:bCs/>
        </w:rPr>
        <w:t xml:space="preserve"> action or proceeding under this title the court, in its discretion, may allow the prevailing party . . . a reasonable attorney’s fee.’ ”  (</w:t>
      </w:r>
      <w:bookmarkStart w:id="43" w:name="dabmci_73bdd0b6132746eba5a5421dd311fe99"/>
      <w:r w:rsidRPr="00715165">
        <w:rPr>
          <w:bCs/>
          <w:i/>
          <w:iCs/>
        </w:rPr>
        <w:t>Christiansburg</w:t>
      </w:r>
      <w:r w:rsidRPr="00715165">
        <w:rPr>
          <w:bCs/>
        </w:rPr>
        <w:t>, at pp. 413–414</w:t>
      </w:r>
      <w:bookmarkEnd w:id="43"/>
      <w:r w:rsidR="00665CE3">
        <w:rPr>
          <w:bCs/>
        </w:rPr>
        <w:t xml:space="preserve">, quoting </w:t>
      </w:r>
      <w:bookmarkStart w:id="44" w:name="dabmci_80bf9adf05244b73b0c001bdb324b502"/>
      <w:r w:rsidR="00665CE3">
        <w:rPr>
          <w:bCs/>
        </w:rPr>
        <w:t>42</w:t>
      </w:r>
      <w:r w:rsidR="00323B4A">
        <w:rPr>
          <w:bCs/>
        </w:rPr>
        <w:t> </w:t>
      </w:r>
      <w:r w:rsidR="00665CE3">
        <w:rPr>
          <w:bCs/>
        </w:rPr>
        <w:t xml:space="preserve">U.S.C. </w:t>
      </w:r>
      <w:r w:rsidRPr="00344A4C" w:rsidR="00665CE3">
        <w:rPr>
          <w:bCs/>
        </w:rPr>
        <w:t>§</w:t>
      </w:r>
      <w:r w:rsidR="00665CE3">
        <w:rPr>
          <w:bCs/>
        </w:rPr>
        <w:t> 2000e</w:t>
      </w:r>
      <w:r w:rsidR="00A1620B">
        <w:rPr>
          <w:bCs/>
        </w:rPr>
        <w:noBreakHyphen/>
      </w:r>
      <w:r w:rsidR="00665CE3">
        <w:rPr>
          <w:bCs/>
        </w:rPr>
        <w:t>5(k)</w:t>
      </w:r>
      <w:bookmarkEnd w:id="44"/>
      <w:r w:rsidRPr="00715165">
        <w:rPr>
          <w:bCs/>
        </w:rPr>
        <w:t xml:space="preserve">.)  In analyzing what standard should govern a fee award to a successful defendant, </w:t>
      </w:r>
      <w:r w:rsidRPr="00715165">
        <w:rPr>
          <w:bCs/>
          <w:i/>
          <w:iCs/>
        </w:rPr>
        <w:t>Christiansburg</w:t>
      </w:r>
      <w:r w:rsidRPr="00715165">
        <w:rPr>
          <w:bCs/>
        </w:rPr>
        <w:t xml:space="preserve"> emphasized that a private plaintiff in a </w:t>
      </w:r>
      <w:r w:rsidR="00364E65">
        <w:rPr>
          <w:bCs/>
        </w:rPr>
        <w:t>t</w:t>
      </w:r>
      <w:r w:rsidRPr="00715165">
        <w:rPr>
          <w:bCs/>
        </w:rPr>
        <w:t>itle VII action “is the chosen instrument of Congress to vindicate ‘a policy that Congress considered of the highest priority.’ ”  (</w:t>
      </w:r>
      <w:bookmarkStart w:id="45" w:name="dabmci_0116d1628d9d43ca904f219c874bcda1"/>
      <w:r w:rsidRPr="00F45F4E" w:rsidR="00F45F4E">
        <w:rPr>
          <w:bCs/>
          <w:i/>
          <w:iCs/>
        </w:rPr>
        <w:t>Christiansburg</w:t>
      </w:r>
      <w:r w:rsidR="00F45F4E">
        <w:rPr>
          <w:bCs/>
        </w:rPr>
        <w:t>,</w:t>
      </w:r>
      <w:r w:rsidRPr="00715165">
        <w:rPr>
          <w:bCs/>
        </w:rPr>
        <w:t xml:space="preserve"> at p. 418</w:t>
      </w:r>
      <w:bookmarkEnd w:id="45"/>
      <w:r w:rsidRPr="00715165">
        <w:rPr>
          <w:bCs/>
        </w:rPr>
        <w:t xml:space="preserve">.)  </w:t>
      </w:r>
      <w:r w:rsidRPr="00715165">
        <w:rPr>
          <w:bCs/>
          <w:i/>
          <w:iCs/>
        </w:rPr>
        <w:t>Christiansburg</w:t>
      </w:r>
      <w:r w:rsidRPr="00715165">
        <w:rPr>
          <w:bCs/>
        </w:rPr>
        <w:t xml:space="preserve"> also recognized that when a court awards fees to a prevailing plaintiff, the fee is assessed </w:t>
      </w:r>
      <w:r w:rsidR="00C86B89">
        <w:rPr>
          <w:bCs/>
        </w:rPr>
        <w:t>“</w:t>
      </w:r>
      <w:r w:rsidRPr="00715165">
        <w:rPr>
          <w:bCs/>
        </w:rPr>
        <w:t>against a violator of federal law.</w:t>
      </w:r>
      <w:r w:rsidR="00C86B89">
        <w:rPr>
          <w:bCs/>
        </w:rPr>
        <w:t>”</w:t>
      </w:r>
      <w:r w:rsidRPr="00715165">
        <w:rPr>
          <w:bCs/>
        </w:rPr>
        <w:t xml:space="preserve">  (</w:t>
      </w:r>
      <w:bookmarkStart w:id="46" w:name="dabmci_668309159388420ab1473db70d95de0c"/>
      <w:r w:rsidRPr="00715165">
        <w:rPr>
          <w:bCs/>
          <w:i/>
          <w:iCs/>
        </w:rPr>
        <w:t>Ibid</w:t>
      </w:r>
      <w:r w:rsidRPr="00715165">
        <w:rPr>
          <w:bCs/>
        </w:rPr>
        <w:t>.</w:t>
      </w:r>
      <w:bookmarkEnd w:id="46"/>
      <w:r w:rsidRPr="00715165">
        <w:rPr>
          <w:bCs/>
        </w:rPr>
        <w:t>)  These two “strong equitable considerations counseling an attorney’s fee award to a prevailing Title VII plaintiff . . . are wholly absent in the case of a prevailing Title</w:t>
      </w:r>
      <w:r w:rsidR="00A1620B">
        <w:rPr>
          <w:bCs/>
        </w:rPr>
        <w:t> </w:t>
      </w:r>
      <w:r w:rsidRPr="00715165">
        <w:rPr>
          <w:bCs/>
        </w:rPr>
        <w:t>VII defendant.”  (</w:t>
      </w:r>
      <w:bookmarkStart w:id="47" w:name="dabmci_4ec227a19c9a43ce9cd00800c118abbe"/>
      <w:r w:rsidRPr="00715165">
        <w:rPr>
          <w:bCs/>
          <w:i/>
          <w:iCs/>
        </w:rPr>
        <w:t>Ibid</w:t>
      </w:r>
      <w:r w:rsidRPr="00715165">
        <w:rPr>
          <w:bCs/>
        </w:rPr>
        <w:t>.</w:t>
      </w:r>
      <w:bookmarkEnd w:id="47"/>
      <w:r w:rsidRPr="00715165">
        <w:rPr>
          <w:bCs/>
        </w:rPr>
        <w:t>)  Indeed, to assess fees against plaintiffs “simply because they do not finally prevail would substantially add to the risk</w:t>
      </w:r>
      <w:r w:rsidR="00F45F4E">
        <w:rPr>
          <w:bCs/>
        </w:rPr>
        <w:t>s</w:t>
      </w:r>
      <w:r w:rsidRPr="00715165">
        <w:rPr>
          <w:bCs/>
        </w:rPr>
        <w:t xml:space="preserve"> inhering in most litigation and would undercut the efforts of Congress to promote the vigorous enforcement of the provisions </w:t>
      </w:r>
      <w:r w:rsidRPr="00715165" w:rsidR="007F3F8F">
        <w:rPr>
          <w:bCs/>
        </w:rPr>
        <w:t xml:space="preserve">of </w:t>
      </w:r>
      <w:r w:rsidRPr="00715165">
        <w:rPr>
          <w:bCs/>
        </w:rPr>
        <w:t>Title VII.  Hence, a plaintiff should not be assessed [an] opponent’s attorney’s fees unless a court finds that [the] claim was frivolous, unreasonable, or groundless, or that the plaintiff continued to litigate after it clearly became so.”  (</w:t>
      </w:r>
      <w:bookmarkStart w:id="48" w:name="dabmci_1a98816f22534b51a5923ed845d95593"/>
      <w:r w:rsidRPr="00715165">
        <w:rPr>
          <w:bCs/>
          <w:i/>
          <w:iCs/>
        </w:rPr>
        <w:t>Id</w:t>
      </w:r>
      <w:r w:rsidRPr="00715165">
        <w:rPr>
          <w:bCs/>
        </w:rPr>
        <w:t>. at p. 422</w:t>
      </w:r>
      <w:bookmarkEnd w:id="48"/>
      <w:r w:rsidRPr="00715165">
        <w:rPr>
          <w:bCs/>
        </w:rPr>
        <w:t xml:space="preserve">.)  The Supreme Court cautioned courts </w:t>
      </w:r>
      <w:r w:rsidRPr="00715165" w:rsidR="0086440D">
        <w:rPr>
          <w:bCs/>
        </w:rPr>
        <w:t xml:space="preserve">considering </w:t>
      </w:r>
      <w:r w:rsidRPr="00715165" w:rsidR="0007002F">
        <w:rPr>
          <w:bCs/>
        </w:rPr>
        <w:t xml:space="preserve">these </w:t>
      </w:r>
      <w:r w:rsidRPr="00715165" w:rsidR="0086440D">
        <w:rPr>
          <w:bCs/>
        </w:rPr>
        <w:t xml:space="preserve">fee requests </w:t>
      </w:r>
      <w:r w:rsidRPr="00715165">
        <w:rPr>
          <w:bCs/>
        </w:rPr>
        <w:t>to “resist the understandable temptation to engage in post hoc reasoning by concluding that, because a plaintiff did not ultimately prevail, his action must have been unreasonable or without foundation.”  (</w:t>
      </w:r>
      <w:bookmarkStart w:id="49" w:name="dabmci_5fad29c3bd644b58a024e4c26b87d150"/>
      <w:r w:rsidRPr="00715165">
        <w:rPr>
          <w:bCs/>
          <w:i/>
          <w:iCs/>
        </w:rPr>
        <w:t>Id</w:t>
      </w:r>
      <w:r w:rsidRPr="00715165">
        <w:rPr>
          <w:bCs/>
        </w:rPr>
        <w:t>. at pp. 421–422</w:t>
      </w:r>
      <w:bookmarkEnd w:id="49"/>
      <w:r w:rsidR="00C86B89">
        <w:rPr>
          <w:bCs/>
        </w:rPr>
        <w:t>, italics omitted</w:t>
      </w:r>
      <w:r w:rsidRPr="00715165">
        <w:rPr>
          <w:bCs/>
        </w:rPr>
        <w:t xml:space="preserve">.)  </w:t>
      </w:r>
    </w:p>
    <w:p w:rsidR="00AD0250" w:rsidRPr="00344A4C" w:rsidP="002403E8">
      <w:pPr>
        <w:pStyle w:val="Heading3"/>
        <w:tabs>
          <w:tab w:val="left" w:pos="1170"/>
          <w:tab w:val="clear" w:pos="1584"/>
        </w:tabs>
        <w:ind w:left="0"/>
        <w:jc w:val="center"/>
        <w:rPr>
          <w:b/>
          <w:bCs/>
          <w:i w:val="0"/>
          <w:iCs/>
        </w:rPr>
      </w:pPr>
      <w:r w:rsidRPr="00344A4C">
        <w:rPr>
          <w:b/>
          <w:bCs/>
          <w:i w:val="0"/>
          <w:iCs/>
        </w:rPr>
        <w:t>B.</w:t>
      </w:r>
    </w:p>
    <w:p w:rsidR="00D10B2A" w:rsidRPr="00715165" w:rsidP="00715165">
      <w:pPr>
        <w:tabs>
          <w:tab w:val="left" w:pos="1440"/>
        </w:tabs>
        <w:ind w:firstLine="720"/>
        <w:rPr>
          <w:bCs/>
        </w:rPr>
      </w:pPr>
      <w:r w:rsidRPr="00715165">
        <w:rPr>
          <w:bCs/>
        </w:rPr>
        <w:t xml:space="preserve">Two Court of Appeal decisions subsequently applied the </w:t>
      </w:r>
      <w:r w:rsidRPr="00715165">
        <w:rPr>
          <w:bCs/>
          <w:i/>
          <w:iCs/>
        </w:rPr>
        <w:t>Christiansburg</w:t>
      </w:r>
      <w:r w:rsidRPr="00715165">
        <w:rPr>
          <w:bCs/>
        </w:rPr>
        <w:t xml:space="preserve"> standard to requests for </w:t>
      </w:r>
      <w:r w:rsidRPr="00715165" w:rsidR="0007002F">
        <w:rPr>
          <w:bCs/>
        </w:rPr>
        <w:t>attorney</w:t>
      </w:r>
      <w:r w:rsidRPr="00715165" w:rsidR="0047245D">
        <w:rPr>
          <w:bCs/>
        </w:rPr>
        <w:t>’s</w:t>
      </w:r>
      <w:r w:rsidRPr="00715165" w:rsidR="0007002F">
        <w:rPr>
          <w:bCs/>
        </w:rPr>
        <w:t xml:space="preserve"> </w:t>
      </w:r>
      <w:r w:rsidRPr="00715165">
        <w:rPr>
          <w:bCs/>
        </w:rPr>
        <w:t xml:space="preserve">fees under the Political Reform Act.  Before discussing these opinions, we provide a brief overview of the Political Reform Act.  </w:t>
      </w:r>
    </w:p>
    <w:p w:rsidR="00230B5E" w:rsidRPr="00715165" w:rsidP="00715165">
      <w:pPr>
        <w:tabs>
          <w:tab w:val="left" w:pos="1440"/>
        </w:tabs>
        <w:ind w:firstLine="720"/>
        <w:rPr>
          <w:szCs w:val="26"/>
        </w:rPr>
      </w:pPr>
      <w:r w:rsidRPr="00715165">
        <w:rPr>
          <w:bCs/>
        </w:rPr>
        <w:t>“The State of California has determined that the [Political Reform Act] is vitally important to its republican form of government.”  (</w:t>
      </w:r>
      <w:bookmarkStart w:id="50" w:name="dabmci_f1226d711bed4215aa4933fbe883d1e8"/>
      <w:r w:rsidRPr="00715165">
        <w:rPr>
          <w:bCs/>
          <w:i/>
          <w:iCs/>
        </w:rPr>
        <w:t>Agua Caliente Band of Cahuilla Indians v. Superior Court</w:t>
      </w:r>
      <w:r w:rsidRPr="00715165">
        <w:rPr>
          <w:bCs/>
        </w:rPr>
        <w:t xml:space="preserve"> (2006) 40 Cal.4th 239, 260</w:t>
      </w:r>
      <w:bookmarkEnd w:id="50"/>
      <w:r w:rsidRPr="00715165">
        <w:rPr>
          <w:bCs/>
        </w:rPr>
        <w:t xml:space="preserve">; see </w:t>
      </w:r>
      <w:bookmarkStart w:id="51" w:name="dabmci_d35d430888344e7ebf8a71a57a71e966"/>
      <w:r w:rsidRPr="008657D8">
        <w:rPr>
          <w:bCs/>
          <w:i/>
          <w:iCs/>
        </w:rPr>
        <w:t>Thirteen Comm</w:t>
      </w:r>
      <w:r w:rsidRPr="008657D8" w:rsidR="006B39D2">
        <w:rPr>
          <w:bCs/>
          <w:i/>
          <w:iCs/>
        </w:rPr>
        <w:t>ittee</w:t>
      </w:r>
      <w:r w:rsidRPr="00715165">
        <w:rPr>
          <w:bCs/>
          <w:i/>
          <w:iCs/>
        </w:rPr>
        <w:t xml:space="preserve"> v. Weinreb</w:t>
      </w:r>
      <w:r w:rsidRPr="00715165">
        <w:rPr>
          <w:bCs/>
        </w:rPr>
        <w:t xml:space="preserve"> (1985) 168 Cal.App.3d 528, 532 </w:t>
      </w:r>
      <w:r w:rsidRPr="00715165" w:rsidR="00B77691">
        <w:rPr>
          <w:bCs/>
        </w:rPr>
        <w:t>(</w:t>
      </w:r>
      <w:r w:rsidRPr="00715165" w:rsidR="00B77691">
        <w:rPr>
          <w:bCs/>
          <w:i/>
          <w:iCs/>
        </w:rPr>
        <w:t>Weinreb</w:t>
      </w:r>
      <w:r w:rsidRPr="00715165" w:rsidR="00B77691">
        <w:rPr>
          <w:bCs/>
        </w:rPr>
        <w:t>)</w:t>
      </w:r>
      <w:bookmarkEnd w:id="51"/>
      <w:r w:rsidRPr="00715165" w:rsidR="00B77691">
        <w:rPr>
          <w:bCs/>
        </w:rPr>
        <w:t xml:space="preserve"> </w:t>
      </w:r>
      <w:r w:rsidRPr="00715165">
        <w:rPr>
          <w:bCs/>
        </w:rPr>
        <w:t>[“The manifest purpose of the financial disclosure provisions of the [Political Reform] Act is to insure a better informed electorate and to prevent corruption of the political process”]</w:t>
      </w:r>
      <w:r w:rsidRPr="00715165">
        <w:rPr>
          <w:bCs/>
        </w:rPr>
        <w:t>.)  In enacting the Political Reform Act</w:t>
      </w:r>
      <w:r w:rsidRPr="00715165" w:rsidR="00DE2476">
        <w:rPr>
          <w:bCs/>
        </w:rPr>
        <w:t xml:space="preserve"> by initiative</w:t>
      </w:r>
      <w:r w:rsidRPr="00715165">
        <w:rPr>
          <w:bCs/>
        </w:rPr>
        <w:t xml:space="preserve">, the </w:t>
      </w:r>
      <w:r w:rsidRPr="00715165" w:rsidR="00DE2476">
        <w:rPr>
          <w:bCs/>
        </w:rPr>
        <w:t xml:space="preserve">voters </w:t>
      </w:r>
      <w:r w:rsidRPr="00715165">
        <w:rPr>
          <w:bCs/>
        </w:rPr>
        <w:t xml:space="preserve">declared that </w:t>
      </w:r>
      <w:r w:rsidRPr="00715165">
        <w:rPr>
          <w:szCs w:val="26"/>
        </w:rPr>
        <w:t xml:space="preserve">“[p]revious laws regulating political practices have suffered from inadequate enforcement by state and local authorities.”  (§ 81001, subd. (h).)  </w:t>
      </w:r>
      <w:r w:rsidRPr="00715165">
        <w:rPr>
          <w:szCs w:val="26"/>
        </w:rPr>
        <w:t>The Political Reform Act expressly states that its provisions are to be “liberally construed to accomplish its purposes.”  (§ 81003.)  One of its objectives is that “</w:t>
      </w:r>
      <w:r w:rsidR="00F45F4E">
        <w:rPr>
          <w:szCs w:val="26"/>
        </w:rPr>
        <w:t>[</w:t>
      </w:r>
      <w:r w:rsidRPr="00715165">
        <w:rPr>
          <w:szCs w:val="26"/>
        </w:rPr>
        <w:t>a</w:t>
      </w:r>
      <w:r w:rsidR="00F45F4E">
        <w:rPr>
          <w:szCs w:val="26"/>
        </w:rPr>
        <w:t>]</w:t>
      </w:r>
      <w:r w:rsidRPr="00715165">
        <w:rPr>
          <w:szCs w:val="26"/>
        </w:rPr>
        <w:t>dequate enforcement mechanisms should be provided to public officials and private citizens in order that this title will be vigorously enforced.”  (§ 81002, subd. (</w:t>
      </w:r>
      <w:r w:rsidRPr="00715165" w:rsidR="00644EC5">
        <w:rPr>
          <w:szCs w:val="26"/>
        </w:rPr>
        <w:t>f</w:t>
      </w:r>
      <w:r w:rsidRPr="00715165">
        <w:rPr>
          <w:szCs w:val="26"/>
        </w:rPr>
        <w:t>).)  One method of enforcement is through private actions for injunctive relief.  (</w:t>
      </w:r>
      <w:bookmarkStart w:id="52" w:name="dabmci_e4771e3a9d524df7bc25f97bd05d30c2"/>
      <w:r w:rsidRPr="00715165">
        <w:rPr>
          <w:szCs w:val="26"/>
        </w:rPr>
        <w:t>§ 91003(a)</w:t>
      </w:r>
      <w:bookmarkEnd w:id="52"/>
      <w:r w:rsidRPr="00715165">
        <w:rPr>
          <w:szCs w:val="26"/>
        </w:rPr>
        <w:t xml:space="preserve">.)  </w:t>
      </w:r>
    </w:p>
    <w:p w:rsidR="006839C9" w:rsidRPr="00715165" w:rsidP="00715165">
      <w:pPr>
        <w:tabs>
          <w:tab w:val="left" w:pos="1440"/>
        </w:tabs>
        <w:ind w:firstLine="720"/>
        <w:rPr>
          <w:bCs/>
        </w:rPr>
      </w:pPr>
      <w:r w:rsidRPr="00715165">
        <w:rPr>
          <w:szCs w:val="26"/>
        </w:rPr>
        <w:t xml:space="preserve">Both </w:t>
      </w:r>
      <w:r w:rsidRPr="00715165">
        <w:rPr>
          <w:i/>
          <w:iCs/>
          <w:szCs w:val="26"/>
        </w:rPr>
        <w:t>Hedgecock</w:t>
      </w:r>
      <w:r w:rsidRPr="00715165">
        <w:rPr>
          <w:szCs w:val="26"/>
        </w:rPr>
        <w:t xml:space="preserve"> and </w:t>
      </w:r>
      <w:r w:rsidRPr="00715165">
        <w:rPr>
          <w:i/>
          <w:iCs/>
          <w:szCs w:val="26"/>
        </w:rPr>
        <w:t>Boatwright</w:t>
      </w:r>
      <w:r w:rsidRPr="00715165">
        <w:rPr>
          <w:szCs w:val="26"/>
        </w:rPr>
        <w:t xml:space="preserve"> considered the purposes and objectives of the Political Reform Act when determining what standard to apply to attorney</w:t>
      </w:r>
      <w:r w:rsidRPr="00715165" w:rsidR="008F6B8F">
        <w:rPr>
          <w:szCs w:val="26"/>
        </w:rPr>
        <w:t>’s</w:t>
      </w:r>
      <w:r w:rsidRPr="00715165">
        <w:rPr>
          <w:szCs w:val="26"/>
        </w:rPr>
        <w:t xml:space="preserve"> fee requests under the statute.  </w:t>
      </w:r>
      <w:r w:rsidRPr="00715165" w:rsidR="00420459">
        <w:rPr>
          <w:bCs/>
        </w:rPr>
        <w:t xml:space="preserve">In </w:t>
      </w:r>
      <w:bookmarkStart w:id="53" w:name="dabmci_434caf4182924a768bf861cd567db3d3"/>
      <w:r w:rsidRPr="00715165" w:rsidR="00420459">
        <w:rPr>
          <w:bCs/>
          <w:i/>
          <w:iCs/>
        </w:rPr>
        <w:t>Hedgecock</w:t>
      </w:r>
      <w:bookmarkEnd w:id="53"/>
      <w:r w:rsidRPr="00715165" w:rsidR="00420459">
        <w:rPr>
          <w:bCs/>
        </w:rPr>
        <w:t>, the district attorney filed a civil lawsuit for injunctive relief based on various defendants’ alleged failure</w:t>
      </w:r>
      <w:r w:rsidR="00A36CAF">
        <w:rPr>
          <w:bCs/>
        </w:rPr>
        <w:t>s</w:t>
      </w:r>
      <w:r w:rsidRPr="00715165" w:rsidR="00420459">
        <w:rPr>
          <w:bCs/>
        </w:rPr>
        <w:t xml:space="preserve"> to report campaign contributions made to a mayoral candidate.  (</w:t>
      </w:r>
      <w:bookmarkStart w:id="54" w:name="dabmci_37297065d88f482da2035c32c8fd51ab"/>
      <w:r w:rsidRPr="00715165" w:rsidR="00420459">
        <w:rPr>
          <w:bCs/>
          <w:i/>
          <w:iCs/>
        </w:rPr>
        <w:t>Hedgecock</w:t>
      </w:r>
      <w:r w:rsidRPr="00715165" w:rsidR="00420459">
        <w:rPr>
          <w:bCs/>
        </w:rPr>
        <w:t xml:space="preserve">, </w:t>
      </w:r>
      <w:r w:rsidRPr="00715165" w:rsidR="00420459">
        <w:rPr>
          <w:bCs/>
          <w:i/>
          <w:iCs/>
        </w:rPr>
        <w:t>supra</w:t>
      </w:r>
      <w:r w:rsidRPr="00715165" w:rsidR="00420459">
        <w:rPr>
          <w:bCs/>
        </w:rPr>
        <w:t>, 183 Cal.App.3d at pp. 812–813</w:t>
      </w:r>
      <w:bookmarkEnd w:id="54"/>
      <w:r w:rsidRPr="00715165" w:rsidR="00420459">
        <w:rPr>
          <w:bCs/>
        </w:rPr>
        <w:t xml:space="preserve">.)  </w:t>
      </w:r>
      <w:r w:rsidRPr="00715165" w:rsidR="00B87CBF">
        <w:rPr>
          <w:bCs/>
        </w:rPr>
        <w:t>T</w:t>
      </w:r>
      <w:r w:rsidRPr="00715165" w:rsidR="00420459">
        <w:rPr>
          <w:bCs/>
        </w:rPr>
        <w:t xml:space="preserve">he district attorney </w:t>
      </w:r>
      <w:r w:rsidRPr="00715165" w:rsidR="00B87CBF">
        <w:rPr>
          <w:bCs/>
        </w:rPr>
        <w:t xml:space="preserve">later </w:t>
      </w:r>
      <w:r w:rsidRPr="00715165" w:rsidR="00420459">
        <w:rPr>
          <w:bCs/>
        </w:rPr>
        <w:t xml:space="preserve">voluntarily dismissed the civil lawsuit, after deciding to pursue a criminal action and allowing the </w:t>
      </w:r>
      <w:r w:rsidR="00C86B89">
        <w:rPr>
          <w:bCs/>
        </w:rPr>
        <w:t xml:space="preserve">Fair </w:t>
      </w:r>
      <w:r w:rsidRPr="00715165" w:rsidR="00420459">
        <w:rPr>
          <w:bCs/>
        </w:rPr>
        <w:t xml:space="preserve">Political Practices Commission to file </w:t>
      </w:r>
      <w:r w:rsidRPr="00715165" w:rsidR="00B87CBF">
        <w:rPr>
          <w:bCs/>
        </w:rPr>
        <w:t xml:space="preserve">its own </w:t>
      </w:r>
      <w:r w:rsidRPr="00715165" w:rsidR="00420459">
        <w:rPr>
          <w:bCs/>
        </w:rPr>
        <w:t xml:space="preserve">civil action against many of the same defendants.  </w:t>
      </w:r>
      <w:r w:rsidRPr="00715165" w:rsidR="00B87CBF">
        <w:rPr>
          <w:bCs/>
        </w:rPr>
        <w:t>(</w:t>
      </w:r>
      <w:bookmarkStart w:id="55" w:name="dabmci_ff421fd13e57453d9a93f1c186e6023f"/>
      <w:r w:rsidRPr="00715165" w:rsidR="00B87CBF">
        <w:rPr>
          <w:bCs/>
          <w:i/>
          <w:iCs/>
        </w:rPr>
        <w:t>Id</w:t>
      </w:r>
      <w:r w:rsidRPr="00715165" w:rsidR="00B87CBF">
        <w:rPr>
          <w:bCs/>
        </w:rPr>
        <w:t>. at pp. 813–815</w:t>
      </w:r>
      <w:bookmarkEnd w:id="55"/>
      <w:r w:rsidRPr="00715165" w:rsidR="00B87CBF">
        <w:rPr>
          <w:bCs/>
        </w:rPr>
        <w:t xml:space="preserve">.)  </w:t>
      </w:r>
      <w:r w:rsidRPr="00715165" w:rsidR="00121625">
        <w:rPr>
          <w:bCs/>
        </w:rPr>
        <w:t>Contending they were the prevailing party, d</w:t>
      </w:r>
      <w:r w:rsidRPr="00715165" w:rsidR="00B87CBF">
        <w:rPr>
          <w:bCs/>
        </w:rPr>
        <w:t>efendants then sought attorney</w:t>
      </w:r>
      <w:r w:rsidRPr="00715165" w:rsidR="0047245D">
        <w:rPr>
          <w:bCs/>
        </w:rPr>
        <w:t>’s</w:t>
      </w:r>
      <w:r w:rsidRPr="00715165" w:rsidR="00B87CBF">
        <w:rPr>
          <w:bCs/>
        </w:rPr>
        <w:t xml:space="preserve"> fees from the trial court.  (</w:t>
      </w:r>
      <w:bookmarkStart w:id="56" w:name="dabmci_9cc9d7b86fd145429e3207db71011080"/>
      <w:r w:rsidRPr="00715165" w:rsidR="00B87CBF">
        <w:rPr>
          <w:bCs/>
          <w:i/>
          <w:iCs/>
        </w:rPr>
        <w:t>Id</w:t>
      </w:r>
      <w:r w:rsidRPr="00715165" w:rsidR="00B87CBF">
        <w:rPr>
          <w:bCs/>
        </w:rPr>
        <w:t>. at p. 814</w:t>
      </w:r>
      <w:bookmarkEnd w:id="56"/>
      <w:r w:rsidRPr="00715165" w:rsidR="00B87CBF">
        <w:rPr>
          <w:bCs/>
        </w:rPr>
        <w:t xml:space="preserve">.)  </w:t>
      </w:r>
      <w:r w:rsidRPr="00715165" w:rsidR="00490256">
        <w:rPr>
          <w:bCs/>
        </w:rPr>
        <w:t xml:space="preserve">The trial court agreed with the district attorney that defendants were not the prevailing party following </w:t>
      </w:r>
      <w:r w:rsidRPr="00715165" w:rsidR="00932F67">
        <w:rPr>
          <w:bCs/>
        </w:rPr>
        <w:t>the</w:t>
      </w:r>
      <w:r w:rsidRPr="00715165" w:rsidR="00490256">
        <w:rPr>
          <w:bCs/>
        </w:rPr>
        <w:t xml:space="preserve"> voluntary dismissal, and denied fees </w:t>
      </w:r>
      <w:r w:rsidRPr="00715165" w:rsidR="007974C6">
        <w:rPr>
          <w:bCs/>
        </w:rPr>
        <w:t xml:space="preserve">solely </w:t>
      </w:r>
      <w:r w:rsidRPr="00715165" w:rsidR="00490256">
        <w:rPr>
          <w:bCs/>
        </w:rPr>
        <w:t>on that basis.  (</w:t>
      </w:r>
      <w:bookmarkStart w:id="57" w:name="dabmci_9f7bdff26413484db83ed9db6847aed6"/>
      <w:r w:rsidRPr="00715165" w:rsidR="00490256">
        <w:rPr>
          <w:bCs/>
          <w:i/>
          <w:iCs/>
        </w:rPr>
        <w:t>Ibid</w:t>
      </w:r>
      <w:r w:rsidRPr="00715165" w:rsidR="00490256">
        <w:rPr>
          <w:bCs/>
        </w:rPr>
        <w:t>.</w:t>
      </w:r>
      <w:bookmarkEnd w:id="57"/>
      <w:r w:rsidRPr="00715165" w:rsidR="00490256">
        <w:rPr>
          <w:bCs/>
        </w:rPr>
        <w:t xml:space="preserve">)  </w:t>
      </w:r>
      <w:r w:rsidRPr="00715165">
        <w:rPr>
          <w:bCs/>
        </w:rPr>
        <w:t xml:space="preserve">The Court of Appeal </w:t>
      </w:r>
      <w:r w:rsidRPr="00715165" w:rsidR="003D635C">
        <w:rPr>
          <w:bCs/>
        </w:rPr>
        <w:t xml:space="preserve">did not address this ground for denying fees; instead, the court </w:t>
      </w:r>
      <w:r w:rsidRPr="00715165">
        <w:rPr>
          <w:bCs/>
        </w:rPr>
        <w:t xml:space="preserve">denied fees on the ground that “the district attorney’s suit was not frivolous or groundless” within the meaning of the </w:t>
      </w:r>
      <w:r w:rsidRPr="00715165">
        <w:rPr>
          <w:bCs/>
          <w:i/>
          <w:iCs/>
        </w:rPr>
        <w:t>Christiansburg</w:t>
      </w:r>
      <w:r w:rsidRPr="00715165">
        <w:rPr>
          <w:bCs/>
        </w:rPr>
        <w:t xml:space="preserve"> standard.  (</w:t>
      </w:r>
      <w:bookmarkStart w:id="58" w:name="dabmci_365bf9443c8442ca8eb2893a2e9ef3ca"/>
      <w:r w:rsidR="00BE1C76">
        <w:rPr>
          <w:bCs/>
          <w:i/>
          <w:iCs/>
        </w:rPr>
        <w:t>Id</w:t>
      </w:r>
      <w:r w:rsidR="00BE1C76">
        <w:rPr>
          <w:bCs/>
        </w:rPr>
        <w:t>.</w:t>
      </w:r>
      <w:r w:rsidRPr="00715165">
        <w:rPr>
          <w:bCs/>
        </w:rPr>
        <w:t xml:space="preserve"> at </w:t>
      </w:r>
      <w:r w:rsidRPr="00715165" w:rsidR="003D635C">
        <w:rPr>
          <w:bCs/>
        </w:rPr>
        <w:t>p. 815</w:t>
      </w:r>
      <w:bookmarkEnd w:id="58"/>
      <w:r w:rsidRPr="00715165" w:rsidR="003D635C">
        <w:rPr>
          <w:bCs/>
        </w:rPr>
        <w:t xml:space="preserve">.)  </w:t>
      </w:r>
    </w:p>
    <w:p w:rsidR="001E4712" w:rsidRPr="00715165" w:rsidP="00715165">
      <w:pPr>
        <w:tabs>
          <w:tab w:val="left" w:pos="1440"/>
        </w:tabs>
        <w:ind w:firstLine="720"/>
        <w:rPr>
          <w:bCs/>
        </w:rPr>
      </w:pPr>
      <w:r w:rsidRPr="00715165">
        <w:rPr>
          <w:bCs/>
        </w:rPr>
        <w:t xml:space="preserve">The </w:t>
      </w:r>
      <w:r w:rsidRPr="00715165">
        <w:rPr>
          <w:bCs/>
          <w:i/>
          <w:iCs/>
        </w:rPr>
        <w:t>Hedgecock</w:t>
      </w:r>
      <w:r w:rsidRPr="00715165">
        <w:rPr>
          <w:bCs/>
        </w:rPr>
        <w:t xml:space="preserve"> court justified its </w:t>
      </w:r>
      <w:r w:rsidR="00CE15BD">
        <w:rPr>
          <w:bCs/>
        </w:rPr>
        <w:t>reliance</w:t>
      </w:r>
      <w:r w:rsidRPr="00715165">
        <w:rPr>
          <w:bCs/>
        </w:rPr>
        <w:t xml:space="preserve"> o</w:t>
      </w:r>
      <w:r w:rsidR="00CE15BD">
        <w:rPr>
          <w:bCs/>
        </w:rPr>
        <w:t>n</w:t>
      </w:r>
      <w:r w:rsidRPr="00715165">
        <w:rPr>
          <w:bCs/>
        </w:rPr>
        <w:t xml:space="preserve"> the </w:t>
      </w:r>
      <w:r w:rsidRPr="00715165">
        <w:rPr>
          <w:bCs/>
          <w:i/>
          <w:iCs/>
        </w:rPr>
        <w:t>Christiansburg</w:t>
      </w:r>
      <w:r w:rsidRPr="00715165">
        <w:rPr>
          <w:bCs/>
        </w:rPr>
        <w:t xml:space="preserve"> standard by focusing on the </w:t>
      </w:r>
      <w:r w:rsidRPr="00715165" w:rsidR="00DE2476">
        <w:rPr>
          <w:bCs/>
        </w:rPr>
        <w:t xml:space="preserve">statutory </w:t>
      </w:r>
      <w:r w:rsidRPr="00715165">
        <w:rPr>
          <w:bCs/>
        </w:rPr>
        <w:t>purpose of encouraging private enforcement of the Political Reform Act.  (</w:t>
      </w:r>
      <w:bookmarkStart w:id="59" w:name="dabmci_9d3b4baa315146a7a872ad117b81d5d3"/>
      <w:r w:rsidRPr="00715165">
        <w:rPr>
          <w:bCs/>
          <w:i/>
          <w:iCs/>
        </w:rPr>
        <w:t>Hedgecock</w:t>
      </w:r>
      <w:r w:rsidRPr="00715165">
        <w:rPr>
          <w:bCs/>
        </w:rPr>
        <w:t xml:space="preserve">, </w:t>
      </w:r>
      <w:r w:rsidRPr="00715165">
        <w:rPr>
          <w:bCs/>
          <w:i/>
          <w:iCs/>
        </w:rPr>
        <w:t>supra</w:t>
      </w:r>
      <w:r w:rsidRPr="00715165">
        <w:rPr>
          <w:bCs/>
        </w:rPr>
        <w:t>, 183 Cal.App.3d at pp. 815–819</w:t>
      </w:r>
      <w:bookmarkEnd w:id="59"/>
      <w:r w:rsidRPr="00715165">
        <w:rPr>
          <w:bCs/>
        </w:rPr>
        <w:t>.)  The “primary purpose</w:t>
      </w:r>
      <w:r w:rsidRPr="00715165" w:rsidR="006839C9">
        <w:rPr>
          <w:bCs/>
        </w:rPr>
        <w:t xml:space="preserve"> of the prevailing party attorneys’ fee provisions of the Political Reform Act is to encourage private litigation enforcing the act.”  (</w:t>
      </w:r>
      <w:bookmarkStart w:id="60" w:name="dabmci_b0697464e3dd4cf78f39e65816edc554"/>
      <w:r w:rsidRPr="00715165" w:rsidR="006839C9">
        <w:rPr>
          <w:bCs/>
          <w:i/>
          <w:iCs/>
        </w:rPr>
        <w:t>Id</w:t>
      </w:r>
      <w:r w:rsidRPr="00715165" w:rsidR="006839C9">
        <w:rPr>
          <w:bCs/>
        </w:rPr>
        <w:t>. at p. 816</w:t>
      </w:r>
      <w:bookmarkEnd w:id="60"/>
      <w:r w:rsidRPr="00715165" w:rsidR="006839C9">
        <w:rPr>
          <w:bCs/>
        </w:rPr>
        <w:t xml:space="preserve">.)  </w:t>
      </w:r>
      <w:r w:rsidRPr="00715165">
        <w:rPr>
          <w:bCs/>
        </w:rPr>
        <w:t>But a rule allowing the routine award of attorney</w:t>
      </w:r>
      <w:r w:rsidRPr="00715165" w:rsidR="00772C3A">
        <w:rPr>
          <w:bCs/>
        </w:rPr>
        <w:t>’s</w:t>
      </w:r>
      <w:r w:rsidRPr="00715165">
        <w:rPr>
          <w:bCs/>
        </w:rPr>
        <w:t xml:space="preserve"> fees to prevailing defendants in Political Reform Act lawsuits, like a rule allowing the routine award of fees to prevailing defendants in </w:t>
      </w:r>
      <w:r w:rsidRPr="00715165" w:rsidR="006839C9">
        <w:rPr>
          <w:bCs/>
        </w:rPr>
        <w:t xml:space="preserve">the </w:t>
      </w:r>
      <w:r w:rsidRPr="00715165" w:rsidR="00121625">
        <w:rPr>
          <w:bCs/>
        </w:rPr>
        <w:t xml:space="preserve">civil rights </w:t>
      </w:r>
      <w:r w:rsidRPr="00715165">
        <w:rPr>
          <w:bCs/>
        </w:rPr>
        <w:t>actions</w:t>
      </w:r>
      <w:r w:rsidRPr="00715165" w:rsidR="006839C9">
        <w:rPr>
          <w:bCs/>
        </w:rPr>
        <w:t xml:space="preserve"> at issue in </w:t>
      </w:r>
      <w:r w:rsidRPr="00715165" w:rsidR="006839C9">
        <w:rPr>
          <w:bCs/>
          <w:i/>
          <w:iCs/>
        </w:rPr>
        <w:t>Christiansburg</w:t>
      </w:r>
      <w:r w:rsidRPr="00715165">
        <w:rPr>
          <w:bCs/>
        </w:rPr>
        <w:t>, “ ‘could discourage all but the most airtight claims, for seldom can a prospective plaintiff be sure of ultimate success.</w:t>
      </w:r>
      <w:r w:rsidRPr="00715165" w:rsidR="006839C9">
        <w:rPr>
          <w:bCs/>
        </w:rPr>
        <w:t>’ ”  (</w:t>
      </w:r>
      <w:bookmarkStart w:id="61" w:name="dabmci_8519aaa646184719971873c61ecf2dd6"/>
      <w:r w:rsidRPr="00715165" w:rsidR="006839C9">
        <w:rPr>
          <w:bCs/>
          <w:i/>
          <w:iCs/>
        </w:rPr>
        <w:t>Hedgecock</w:t>
      </w:r>
      <w:r w:rsidRPr="00715165" w:rsidR="006839C9">
        <w:rPr>
          <w:bCs/>
        </w:rPr>
        <w:t>, at p. 817</w:t>
      </w:r>
      <w:bookmarkEnd w:id="61"/>
      <w:r w:rsidRPr="00715165" w:rsidR="006839C9">
        <w:rPr>
          <w:bCs/>
        </w:rPr>
        <w:t xml:space="preserve">.)  The </w:t>
      </w:r>
      <w:r w:rsidRPr="00715165" w:rsidR="006839C9">
        <w:rPr>
          <w:bCs/>
          <w:i/>
          <w:iCs/>
        </w:rPr>
        <w:t>Hedgecock</w:t>
      </w:r>
      <w:r w:rsidRPr="00715165" w:rsidR="006839C9">
        <w:rPr>
          <w:bCs/>
        </w:rPr>
        <w:t xml:space="preserve"> court found the </w:t>
      </w:r>
      <w:r w:rsidRPr="00715165" w:rsidR="006839C9">
        <w:rPr>
          <w:bCs/>
          <w:i/>
          <w:iCs/>
        </w:rPr>
        <w:t>Christiansburg</w:t>
      </w:r>
      <w:r w:rsidRPr="00715165" w:rsidR="006839C9">
        <w:rPr>
          <w:bCs/>
        </w:rPr>
        <w:t xml:space="preserve"> analysis persuasive, stating:  “ ‘</w:t>
      </w:r>
      <w:r w:rsidRPr="00715165">
        <w:rPr>
          <w:bCs/>
        </w:rPr>
        <w:t>No matter how . . . meritorious one’s claim may appear at the outset, the course of litigation is rarely predictable.  Decisive facts may not emerge until discovery or trial.  The law may change or clarify in the midst of litigation.  Even when the law or the facts appear questionable or unfavorable at the outset, a party may have an entirely reasonable ground for bringing suit.’ ”  (</w:t>
      </w:r>
      <w:bookmarkStart w:id="62" w:name="dabmci_339a4505b941467ea30725351c387f98"/>
      <w:r w:rsidR="00F45F4E">
        <w:rPr>
          <w:bCs/>
          <w:i/>
          <w:iCs/>
        </w:rPr>
        <w:t>Id</w:t>
      </w:r>
      <w:r w:rsidR="00F45F4E">
        <w:rPr>
          <w:bCs/>
        </w:rPr>
        <w:t>.</w:t>
      </w:r>
      <w:r w:rsidRPr="00715165">
        <w:rPr>
          <w:bCs/>
        </w:rPr>
        <w:t xml:space="preserve"> at p. 817</w:t>
      </w:r>
      <w:bookmarkEnd w:id="62"/>
      <w:r w:rsidRPr="00715165">
        <w:rPr>
          <w:bCs/>
        </w:rPr>
        <w:t xml:space="preserve">.)  </w:t>
      </w:r>
    </w:p>
    <w:p w:rsidR="001E4712" w:rsidRPr="00715165" w:rsidP="00715165">
      <w:pPr>
        <w:tabs>
          <w:tab w:val="left" w:pos="1440"/>
        </w:tabs>
        <w:ind w:firstLine="720"/>
        <w:rPr>
          <w:bCs/>
        </w:rPr>
      </w:pPr>
      <w:r w:rsidRPr="00715165">
        <w:rPr>
          <w:bCs/>
        </w:rPr>
        <w:t xml:space="preserve">The </w:t>
      </w:r>
      <w:r w:rsidRPr="00715165" w:rsidR="006D2EB6">
        <w:rPr>
          <w:bCs/>
          <w:i/>
          <w:iCs/>
        </w:rPr>
        <w:t>Hedgecock</w:t>
      </w:r>
      <w:r w:rsidRPr="00715165" w:rsidR="006D2EB6">
        <w:rPr>
          <w:bCs/>
        </w:rPr>
        <w:t xml:space="preserve"> court further held that the </w:t>
      </w:r>
      <w:r w:rsidRPr="00715165">
        <w:rPr>
          <w:bCs/>
        </w:rPr>
        <w:t xml:space="preserve">need to incentivize private enforcement is particularly acute for actions brought under the Political Reform Act.  “Where the actionable wrong is the adulteration of the political process,” the </w:t>
      </w:r>
      <w:r w:rsidRPr="00715165">
        <w:rPr>
          <w:bCs/>
          <w:i/>
          <w:iCs/>
        </w:rPr>
        <w:t xml:space="preserve">Hedgecock </w:t>
      </w:r>
      <w:r w:rsidRPr="00715165">
        <w:rPr>
          <w:bCs/>
        </w:rPr>
        <w:t>court observed, “the damage to the citizenry is significant but the injury to any one citizen is not only nebulous but also indirect.”  (</w:t>
      </w:r>
      <w:bookmarkStart w:id="63" w:name="dabmci_167d3d1dbe804f399ab7120a2c1f553e"/>
      <w:r w:rsidRPr="00715165">
        <w:rPr>
          <w:bCs/>
          <w:i/>
          <w:iCs/>
        </w:rPr>
        <w:t>Hedgecock</w:t>
      </w:r>
      <w:r w:rsidRPr="00715165">
        <w:rPr>
          <w:bCs/>
        </w:rPr>
        <w:t xml:space="preserve">, </w:t>
      </w:r>
      <w:r w:rsidRPr="00715165">
        <w:rPr>
          <w:bCs/>
          <w:i/>
          <w:iCs/>
        </w:rPr>
        <w:t>supra</w:t>
      </w:r>
      <w:r w:rsidRPr="00715165">
        <w:rPr>
          <w:bCs/>
        </w:rPr>
        <w:t>, 183 Cal.App.3d at p. 817</w:t>
      </w:r>
      <w:bookmarkEnd w:id="63"/>
      <w:r w:rsidRPr="00715165">
        <w:rPr>
          <w:bCs/>
        </w:rPr>
        <w:t>.)  “The attorney’s fee provisions of the Political Reform Act are designed to ameliorate the burden on the individual citizen who seeks to remedy what is essentially a collective wrong.”  (</w:t>
      </w:r>
      <w:bookmarkStart w:id="64" w:name="dabmci_9c7047225883477fb886b5ac997fa5e1"/>
      <w:r w:rsidRPr="00715165">
        <w:rPr>
          <w:bCs/>
          <w:i/>
          <w:iCs/>
        </w:rPr>
        <w:t>Ibid</w:t>
      </w:r>
      <w:r w:rsidRPr="00715165">
        <w:rPr>
          <w:bCs/>
        </w:rPr>
        <w:t>.</w:t>
      </w:r>
      <w:bookmarkEnd w:id="64"/>
      <w:r w:rsidRPr="00715165">
        <w:rPr>
          <w:bCs/>
        </w:rPr>
        <w:t xml:space="preserve">; cf. </w:t>
      </w:r>
      <w:bookmarkStart w:id="65" w:name="dabmci_16bb9fa2301b479d8c5b092eca313749"/>
      <w:r w:rsidRPr="00715165">
        <w:rPr>
          <w:bCs/>
          <w:i/>
          <w:iCs/>
        </w:rPr>
        <w:t>Eddy v. Colonial Life Ins. Co. of Am</w:t>
      </w:r>
      <w:r w:rsidR="00C86B89">
        <w:rPr>
          <w:bCs/>
          <w:i/>
          <w:iCs/>
        </w:rPr>
        <w:t>erica</w:t>
      </w:r>
      <w:r w:rsidRPr="00715165">
        <w:rPr>
          <w:bCs/>
        </w:rPr>
        <w:t xml:space="preserve"> (D.C.</w:t>
      </w:r>
      <w:r w:rsidR="001D7221">
        <w:rPr>
          <w:bCs/>
        </w:rPr>
        <w:t xml:space="preserve"> </w:t>
      </w:r>
      <w:r w:rsidRPr="00715165">
        <w:rPr>
          <w:bCs/>
        </w:rPr>
        <w:t xml:space="preserve">Cir. 1995) 59 F.3d 201, </w:t>
      </w:r>
      <w:r w:rsidRPr="00715165" w:rsidR="002F495C">
        <w:rPr>
          <w:bCs/>
        </w:rPr>
        <w:t>205</w:t>
      </w:r>
      <w:bookmarkEnd w:id="65"/>
      <w:r w:rsidRPr="00715165" w:rsidR="002F495C">
        <w:rPr>
          <w:bCs/>
        </w:rPr>
        <w:t xml:space="preserve"> </w:t>
      </w:r>
      <w:r w:rsidRPr="00715165">
        <w:rPr>
          <w:bCs/>
        </w:rPr>
        <w:t>[“the presumption favoring fee-shifting in civil rights cases reflects the unique importance of the enforcement of these statutes to the nation as a whole, as well as to their direct beneficiaries”].)</w:t>
      </w:r>
      <w:r>
        <w:rPr>
          <w:rStyle w:val="FootnoteReference"/>
          <w:bCs/>
        </w:rPr>
        <w:footnoteReference w:id="8"/>
      </w:r>
    </w:p>
    <w:p w:rsidR="000A742A" w:rsidRPr="00715165" w:rsidP="00715165">
      <w:pPr>
        <w:tabs>
          <w:tab w:val="left" w:pos="1440"/>
        </w:tabs>
        <w:ind w:firstLine="720"/>
        <w:rPr>
          <w:bCs/>
        </w:rPr>
      </w:pPr>
      <w:r w:rsidRPr="00715165">
        <w:rPr>
          <w:bCs/>
        </w:rPr>
        <w:t xml:space="preserve">The </w:t>
      </w:r>
      <w:r w:rsidRPr="00715165">
        <w:rPr>
          <w:bCs/>
          <w:i/>
          <w:iCs/>
        </w:rPr>
        <w:t>Boatwright</w:t>
      </w:r>
      <w:r w:rsidRPr="00715165">
        <w:rPr>
          <w:bCs/>
        </w:rPr>
        <w:t xml:space="preserve"> court reached the same result in an action </w:t>
      </w:r>
      <w:r w:rsidRPr="00715165">
        <w:rPr>
          <w:bCs/>
        </w:rPr>
        <w:t xml:space="preserve">brought </w:t>
      </w:r>
      <w:r w:rsidRPr="00715165">
        <w:rPr>
          <w:bCs/>
        </w:rPr>
        <w:t>by a nonprofit corporation against a state assemblyman for alleged reporting violations under the Political Reform Act.  (</w:t>
      </w:r>
      <w:bookmarkStart w:id="68" w:name="dabmci_12e338aaf865409fb2c4fe2c8b0563fd"/>
      <w:r w:rsidRPr="00715165">
        <w:rPr>
          <w:bCs/>
          <w:i/>
          <w:iCs/>
        </w:rPr>
        <w:t>Boatwright</w:t>
      </w:r>
      <w:r w:rsidRPr="00715165">
        <w:rPr>
          <w:bCs/>
        </w:rPr>
        <w:t xml:space="preserve">, </w:t>
      </w:r>
      <w:r w:rsidRPr="00715165">
        <w:rPr>
          <w:bCs/>
          <w:i/>
          <w:iCs/>
        </w:rPr>
        <w:t>supra</w:t>
      </w:r>
      <w:r w:rsidRPr="00715165">
        <w:rPr>
          <w:bCs/>
        </w:rPr>
        <w:t xml:space="preserve">, </w:t>
      </w:r>
      <w:r w:rsidRPr="00715165">
        <w:t xml:space="preserve">195 Cal.App.3d </w:t>
      </w:r>
      <w:r w:rsidRPr="00715165">
        <w:rPr>
          <w:bCs/>
        </w:rPr>
        <w:t>at pp. 565–566</w:t>
      </w:r>
      <w:bookmarkEnd w:id="68"/>
      <w:r w:rsidRPr="00715165">
        <w:rPr>
          <w:bCs/>
        </w:rPr>
        <w:t xml:space="preserve">.)  The Court of Appeal affirmed the judgment in favor of </w:t>
      </w:r>
      <w:r w:rsidRPr="00715165" w:rsidR="007974C6">
        <w:rPr>
          <w:bCs/>
        </w:rPr>
        <w:t xml:space="preserve">the </w:t>
      </w:r>
      <w:r w:rsidRPr="00715165">
        <w:rPr>
          <w:bCs/>
        </w:rPr>
        <w:t xml:space="preserve">defendant, but reversed the </w:t>
      </w:r>
      <w:r w:rsidRPr="00715165" w:rsidR="007974C6">
        <w:rPr>
          <w:bCs/>
        </w:rPr>
        <w:t xml:space="preserve">order requiring </w:t>
      </w:r>
      <w:r w:rsidRPr="00715165" w:rsidR="002C01CE">
        <w:rPr>
          <w:bCs/>
        </w:rPr>
        <w:t xml:space="preserve">the </w:t>
      </w:r>
      <w:r w:rsidRPr="00715165" w:rsidR="007974C6">
        <w:rPr>
          <w:bCs/>
        </w:rPr>
        <w:t xml:space="preserve">plaintiff to pay </w:t>
      </w:r>
      <w:r w:rsidR="00683C44">
        <w:rPr>
          <w:bCs/>
        </w:rPr>
        <w:t xml:space="preserve">the </w:t>
      </w:r>
      <w:r w:rsidRPr="00715165" w:rsidR="007974C6">
        <w:rPr>
          <w:bCs/>
        </w:rPr>
        <w:t xml:space="preserve">defendant’s </w:t>
      </w:r>
      <w:r w:rsidRPr="00715165">
        <w:rPr>
          <w:bCs/>
        </w:rPr>
        <w:t>attorney</w:t>
      </w:r>
      <w:r w:rsidRPr="00715165" w:rsidR="0047245D">
        <w:rPr>
          <w:bCs/>
        </w:rPr>
        <w:t>’s</w:t>
      </w:r>
      <w:r w:rsidRPr="00715165">
        <w:rPr>
          <w:bCs/>
        </w:rPr>
        <w:t xml:space="preserve"> fees and costs.  (</w:t>
      </w:r>
      <w:bookmarkStart w:id="69" w:name="dabmci_cc00440d4c3245d0bee60c9a7bc4b65a"/>
      <w:r w:rsidRPr="00715165">
        <w:rPr>
          <w:bCs/>
          <w:i/>
          <w:iCs/>
        </w:rPr>
        <w:t>Id</w:t>
      </w:r>
      <w:r w:rsidRPr="00715165">
        <w:rPr>
          <w:bCs/>
        </w:rPr>
        <w:t>. at p. 566</w:t>
      </w:r>
      <w:bookmarkEnd w:id="69"/>
      <w:r w:rsidRPr="00715165">
        <w:rPr>
          <w:bCs/>
        </w:rPr>
        <w:t xml:space="preserve">.)  </w:t>
      </w:r>
      <w:r w:rsidRPr="00715165" w:rsidR="002C01CE">
        <w:rPr>
          <w:bCs/>
        </w:rPr>
        <w:t>The p</w:t>
      </w:r>
      <w:r w:rsidRPr="00715165">
        <w:rPr>
          <w:bCs/>
        </w:rPr>
        <w:t>laintiff argued on appeal that a prevailing defendant should be awarded fees “only if the plaintiff’s claim is frivolous, unreasonable, malicious, or clearly groundless.”  (</w:t>
      </w:r>
      <w:bookmarkStart w:id="70" w:name="dabmci_c49335ab9c2a46dfb80ea38907246669"/>
      <w:r w:rsidRPr="00715165">
        <w:rPr>
          <w:bCs/>
          <w:i/>
          <w:iCs/>
        </w:rPr>
        <w:t>Id</w:t>
      </w:r>
      <w:r w:rsidRPr="00715165">
        <w:rPr>
          <w:bCs/>
        </w:rPr>
        <w:t>. at p. 574</w:t>
      </w:r>
      <w:bookmarkEnd w:id="70"/>
      <w:r w:rsidRPr="00715165">
        <w:rPr>
          <w:bCs/>
        </w:rPr>
        <w:t xml:space="preserve">.)  The court acknowledged that section 91012 “[o]n its face . . . contains no such limitation,” but it concluded that </w:t>
      </w:r>
      <w:r w:rsidRPr="00715165">
        <w:rPr>
          <w:bCs/>
          <w:i/>
          <w:iCs/>
        </w:rPr>
        <w:t>Hedgecock</w:t>
      </w:r>
      <w:r w:rsidRPr="00715165" w:rsidR="00141759">
        <w:rPr>
          <w:bCs/>
        </w:rPr>
        <w:t xml:space="preserve"> and </w:t>
      </w:r>
      <w:r w:rsidRPr="00715165" w:rsidR="00141759">
        <w:rPr>
          <w:bCs/>
          <w:i/>
          <w:iCs/>
        </w:rPr>
        <w:t>Christiansburg</w:t>
      </w:r>
      <w:r w:rsidRPr="00715165" w:rsidR="00141759">
        <w:rPr>
          <w:bCs/>
        </w:rPr>
        <w:t xml:space="preserve"> </w:t>
      </w:r>
      <w:r w:rsidRPr="00715165">
        <w:rPr>
          <w:bCs/>
        </w:rPr>
        <w:t>supported</w:t>
      </w:r>
      <w:r w:rsidRPr="00715165" w:rsidR="00141759">
        <w:rPr>
          <w:bCs/>
        </w:rPr>
        <w:t xml:space="preserve"> </w:t>
      </w:r>
      <w:r w:rsidRPr="00715165">
        <w:rPr>
          <w:bCs/>
        </w:rPr>
        <w:t>the plaintiff’s interpretation of the statute.  (</w:t>
      </w:r>
      <w:bookmarkStart w:id="71" w:name="dabmci_cacdbe99786b4b75b00f291b451633f4"/>
      <w:r w:rsidR="008E199F">
        <w:rPr>
          <w:bCs/>
          <w:i/>
          <w:iCs/>
        </w:rPr>
        <w:t>Boatwright</w:t>
      </w:r>
      <w:r w:rsidR="008E199F">
        <w:rPr>
          <w:bCs/>
        </w:rPr>
        <w:t xml:space="preserve">, </w:t>
      </w:r>
      <w:r w:rsidRPr="00715165" w:rsidR="00141759">
        <w:rPr>
          <w:bCs/>
        </w:rPr>
        <w:t>at pp. 574–575</w:t>
      </w:r>
      <w:bookmarkEnd w:id="71"/>
      <w:r w:rsidRPr="00715165" w:rsidR="00141759">
        <w:rPr>
          <w:bCs/>
        </w:rPr>
        <w:t>.</w:t>
      </w:r>
      <w:r w:rsidRPr="00715165">
        <w:rPr>
          <w:bCs/>
        </w:rPr>
        <w:t xml:space="preserve">)  </w:t>
      </w:r>
      <w:r w:rsidRPr="00715165">
        <w:rPr>
          <w:bCs/>
        </w:rPr>
        <w:t xml:space="preserve">The court noted that “[t]he statute at issue in </w:t>
      </w:r>
      <w:r w:rsidRPr="00715165">
        <w:rPr>
          <w:bCs/>
          <w:i/>
          <w:iCs/>
        </w:rPr>
        <w:t>Christiansburg</w:t>
      </w:r>
      <w:r w:rsidRPr="00715165">
        <w:rPr>
          <w:bCs/>
        </w:rPr>
        <w:t xml:space="preserve"> was similar to [the Political Reform Act] in that it contained no limitation on a prevailing defendant’s right to fees,” but the </w:t>
      </w:r>
      <w:r w:rsidR="006B39D2">
        <w:rPr>
          <w:bCs/>
        </w:rPr>
        <w:t xml:space="preserve">United States </w:t>
      </w:r>
      <w:r w:rsidRPr="00715165">
        <w:rPr>
          <w:bCs/>
        </w:rPr>
        <w:t>Supreme Court nonetheless “rejected an argument that the plain meaning of the statute entitled a prevailing defendant to fees on the same basis as a prevailing plaintiff.”  (</w:t>
      </w:r>
      <w:bookmarkStart w:id="72" w:name="dabmci_d32e5f252b5942d19c75dfb0a9cd40dc"/>
      <w:r w:rsidRPr="008E199F" w:rsidR="008E199F">
        <w:rPr>
          <w:bCs/>
          <w:i/>
          <w:iCs/>
        </w:rPr>
        <w:t>Id</w:t>
      </w:r>
      <w:r w:rsidR="008E199F">
        <w:rPr>
          <w:bCs/>
        </w:rPr>
        <w:t xml:space="preserve">. </w:t>
      </w:r>
      <w:r w:rsidRPr="008E199F">
        <w:rPr>
          <w:bCs/>
        </w:rPr>
        <w:t>at</w:t>
      </w:r>
      <w:r w:rsidRPr="00715165">
        <w:rPr>
          <w:bCs/>
        </w:rPr>
        <w:t xml:space="preserve"> p. 575</w:t>
      </w:r>
      <w:bookmarkEnd w:id="72"/>
      <w:r w:rsidRPr="00715165">
        <w:rPr>
          <w:bCs/>
        </w:rPr>
        <w:t xml:space="preserve">.)  It was persuaded by </w:t>
      </w:r>
      <w:r w:rsidRPr="00715165" w:rsidR="00AC7E56">
        <w:rPr>
          <w:bCs/>
          <w:i/>
          <w:iCs/>
        </w:rPr>
        <w:t>Christiansburg</w:t>
      </w:r>
      <w:r w:rsidRPr="00715165" w:rsidR="00AC7E56">
        <w:rPr>
          <w:bCs/>
        </w:rPr>
        <w:t xml:space="preserve">’s conclusion that an asymmetrical fee standard was necessary to encourage private enforcement actions, and by </w:t>
      </w:r>
      <w:r w:rsidRPr="00715165" w:rsidR="00AC7E56">
        <w:rPr>
          <w:bCs/>
          <w:i/>
          <w:iCs/>
        </w:rPr>
        <w:t>Hedgecock</w:t>
      </w:r>
      <w:r w:rsidRPr="00715165" w:rsidR="00AC7E56">
        <w:rPr>
          <w:bCs/>
        </w:rPr>
        <w:t xml:space="preserve">’s </w:t>
      </w:r>
      <w:r w:rsidRPr="00715165" w:rsidR="00AC69DA">
        <w:rPr>
          <w:bCs/>
        </w:rPr>
        <w:t xml:space="preserve">application </w:t>
      </w:r>
      <w:r w:rsidRPr="00715165" w:rsidR="00AC7E56">
        <w:rPr>
          <w:bCs/>
        </w:rPr>
        <w:t xml:space="preserve">of this standard to </w:t>
      </w:r>
      <w:r w:rsidRPr="00715165" w:rsidR="00AC69DA">
        <w:rPr>
          <w:bCs/>
        </w:rPr>
        <w:t xml:space="preserve">the </w:t>
      </w:r>
      <w:r w:rsidRPr="00715165" w:rsidR="00AC7E56">
        <w:rPr>
          <w:bCs/>
        </w:rPr>
        <w:t>Political Reform Act</w:t>
      </w:r>
      <w:r w:rsidRPr="00715165" w:rsidR="003A0A54">
        <w:rPr>
          <w:bCs/>
        </w:rPr>
        <w:t>,</w:t>
      </w:r>
      <w:r w:rsidRPr="00715165" w:rsidR="00AC7E56">
        <w:rPr>
          <w:bCs/>
        </w:rPr>
        <w:t xml:space="preserve"> where </w:t>
      </w:r>
      <w:r w:rsidRPr="00715165" w:rsidR="00AC69DA">
        <w:rPr>
          <w:bCs/>
        </w:rPr>
        <w:t xml:space="preserve">encouraging such </w:t>
      </w:r>
      <w:r w:rsidRPr="00715165" w:rsidR="00AC7E56">
        <w:rPr>
          <w:bCs/>
        </w:rPr>
        <w:t>claims was “ ‘perhaps even more critical’ ” to “</w:t>
      </w:r>
      <w:r w:rsidRPr="00715165" w:rsidR="00A74DB6">
        <w:rPr>
          <w:bCs/>
        </w:rPr>
        <w:t> </w:t>
      </w:r>
      <w:r w:rsidRPr="00715165" w:rsidR="002F495C">
        <w:rPr>
          <w:bCs/>
        </w:rPr>
        <w:t>‘</w:t>
      </w:r>
      <w:r w:rsidRPr="00715165" w:rsidR="00AC7E56">
        <w:rPr>
          <w:bCs/>
        </w:rPr>
        <w:t>remedy what is essentially a collective wrong.’ ”  (</w:t>
      </w:r>
      <w:bookmarkStart w:id="73" w:name="dabmci_70be0e86f4f34c178012a3639e6f4d34"/>
      <w:r w:rsidRPr="00715165" w:rsidR="00AC7E56">
        <w:rPr>
          <w:bCs/>
          <w:i/>
          <w:iCs/>
        </w:rPr>
        <w:t>Boatwright</w:t>
      </w:r>
      <w:r w:rsidRPr="00715165" w:rsidR="00AC7E56">
        <w:rPr>
          <w:bCs/>
        </w:rPr>
        <w:t>, at p. 575</w:t>
      </w:r>
      <w:bookmarkEnd w:id="73"/>
      <w:r w:rsidRPr="00715165" w:rsidR="00AC7E56">
        <w:rPr>
          <w:bCs/>
        </w:rPr>
        <w:t xml:space="preserve">, </w:t>
      </w:r>
      <w:r w:rsidR="006B39D2">
        <w:rPr>
          <w:bCs/>
        </w:rPr>
        <w:t>quo</w:t>
      </w:r>
      <w:r w:rsidRPr="00715165" w:rsidR="00AC7E56">
        <w:rPr>
          <w:bCs/>
        </w:rPr>
        <w:t xml:space="preserve">ting </w:t>
      </w:r>
      <w:bookmarkStart w:id="74" w:name="dabmci_5d60e562c5c648bc934c7562ceb5ede8"/>
      <w:r w:rsidRPr="00715165" w:rsidR="00AC7E56">
        <w:rPr>
          <w:bCs/>
          <w:i/>
          <w:iCs/>
        </w:rPr>
        <w:t>Hedgecock</w:t>
      </w:r>
      <w:r w:rsidRPr="00715165" w:rsidR="00AC7E56">
        <w:rPr>
          <w:bCs/>
        </w:rPr>
        <w:t xml:space="preserve">, </w:t>
      </w:r>
      <w:r w:rsidRPr="00715165" w:rsidR="00AC7E56">
        <w:rPr>
          <w:bCs/>
          <w:i/>
          <w:iCs/>
        </w:rPr>
        <w:t>supra</w:t>
      </w:r>
      <w:r w:rsidRPr="00715165" w:rsidR="00AC7E56">
        <w:rPr>
          <w:bCs/>
        </w:rPr>
        <w:t>, 183 Cal.App.3d at p. 817</w:t>
      </w:r>
      <w:bookmarkEnd w:id="74"/>
      <w:r w:rsidRPr="00715165" w:rsidR="00AC7E56">
        <w:rPr>
          <w:bCs/>
        </w:rPr>
        <w:t xml:space="preserve">.)  </w:t>
      </w:r>
    </w:p>
    <w:p w:rsidR="003E533D" w:rsidRPr="00344A4C" w:rsidP="001A1F5D">
      <w:pPr>
        <w:pStyle w:val="Heading3"/>
        <w:tabs>
          <w:tab w:val="left" w:pos="1530"/>
          <w:tab w:val="clear" w:pos="1584"/>
        </w:tabs>
        <w:ind w:left="0"/>
        <w:jc w:val="center"/>
        <w:rPr>
          <w:b/>
          <w:bCs/>
          <w:i w:val="0"/>
          <w:iCs/>
        </w:rPr>
      </w:pPr>
      <w:r w:rsidRPr="00344A4C">
        <w:rPr>
          <w:b/>
          <w:bCs/>
          <w:i w:val="0"/>
          <w:iCs/>
        </w:rPr>
        <w:t>C</w:t>
      </w:r>
      <w:r w:rsidRPr="00344A4C">
        <w:rPr>
          <w:b/>
          <w:bCs/>
          <w:i w:val="0"/>
          <w:iCs/>
        </w:rPr>
        <w:t>.</w:t>
      </w:r>
    </w:p>
    <w:p w:rsidR="00742104" w:rsidRPr="00715165" w:rsidP="00715165">
      <w:pPr>
        <w:tabs>
          <w:tab w:val="left" w:pos="1440"/>
        </w:tabs>
        <w:ind w:firstLine="720"/>
        <w:rPr>
          <w:bCs/>
        </w:rPr>
      </w:pPr>
      <w:r w:rsidRPr="00715165">
        <w:rPr>
          <w:bCs/>
        </w:rPr>
        <w:t xml:space="preserve">The Court of Appeal below expressly disagreed with </w:t>
      </w:r>
      <w:r w:rsidRPr="00715165">
        <w:rPr>
          <w:bCs/>
          <w:i/>
          <w:iCs/>
        </w:rPr>
        <w:t>Hedgecock</w:t>
      </w:r>
      <w:r w:rsidRPr="00715165">
        <w:rPr>
          <w:bCs/>
        </w:rPr>
        <w:t xml:space="preserve"> and </w:t>
      </w:r>
      <w:r w:rsidRPr="00715165">
        <w:rPr>
          <w:bCs/>
          <w:i/>
          <w:iCs/>
        </w:rPr>
        <w:t>Boatwright</w:t>
      </w:r>
      <w:r w:rsidRPr="00715165">
        <w:rPr>
          <w:bCs/>
        </w:rPr>
        <w:t xml:space="preserve">.  (See </w:t>
      </w:r>
      <w:bookmarkStart w:id="75" w:name="dabmci_c9908a8fbec24b419bcf83de87613ca7"/>
      <w:r w:rsidRPr="00715165">
        <w:rPr>
          <w:bCs/>
          <w:i/>
          <w:iCs/>
        </w:rPr>
        <w:t>Travis</w:t>
      </w:r>
      <w:r w:rsidRPr="00715165">
        <w:rPr>
          <w:bCs/>
        </w:rPr>
        <w:t xml:space="preserve">, </w:t>
      </w:r>
      <w:r w:rsidRPr="00715165">
        <w:rPr>
          <w:bCs/>
          <w:i/>
          <w:iCs/>
        </w:rPr>
        <w:t>supra</w:t>
      </w:r>
      <w:r w:rsidRPr="00715165">
        <w:rPr>
          <w:bCs/>
        </w:rPr>
        <w:t>, 62 Cal.App.5th at p. 264</w:t>
      </w:r>
      <w:bookmarkEnd w:id="75"/>
      <w:r w:rsidRPr="00715165">
        <w:rPr>
          <w:bCs/>
        </w:rPr>
        <w:t xml:space="preserve">.)  </w:t>
      </w:r>
      <w:r w:rsidRPr="00715165" w:rsidR="00B718B5">
        <w:rPr>
          <w:bCs/>
        </w:rPr>
        <w:t xml:space="preserve">It </w:t>
      </w:r>
      <w:r w:rsidRPr="00715165">
        <w:rPr>
          <w:bCs/>
        </w:rPr>
        <w:t xml:space="preserve">believed the high court had “considerably limited” the </w:t>
      </w:r>
      <w:r w:rsidRPr="00715165" w:rsidR="00B718B5">
        <w:rPr>
          <w:bCs/>
        </w:rPr>
        <w:t xml:space="preserve">scope of the </w:t>
      </w:r>
      <w:r w:rsidRPr="00715165">
        <w:rPr>
          <w:bCs/>
          <w:i/>
          <w:iCs/>
        </w:rPr>
        <w:t>Christiansburg</w:t>
      </w:r>
      <w:r w:rsidRPr="00715165">
        <w:rPr>
          <w:bCs/>
        </w:rPr>
        <w:t xml:space="preserve"> standard </w:t>
      </w:r>
      <w:bookmarkStart w:id="76" w:name="_Hlk121743318"/>
      <w:r w:rsidRPr="00715165">
        <w:rPr>
          <w:bCs/>
        </w:rPr>
        <w:t xml:space="preserve">in </w:t>
      </w:r>
      <w:bookmarkStart w:id="77" w:name="dabmci_55a6c5c0ecf14c90a1594024f89727a6"/>
      <w:r w:rsidRPr="00715165" w:rsidR="00B718B5">
        <w:rPr>
          <w:bCs/>
          <w:i/>
          <w:iCs/>
        </w:rPr>
        <w:t>Fogerty v. Fantasy, Inc.</w:t>
      </w:r>
      <w:r w:rsidRPr="00715165" w:rsidR="00B718B5">
        <w:rPr>
          <w:bCs/>
        </w:rPr>
        <w:t xml:space="preserve"> (1994) 510 U.S. 517</w:t>
      </w:r>
      <w:r w:rsidRPr="00715165" w:rsidR="003B7900">
        <w:rPr>
          <w:bCs/>
        </w:rPr>
        <w:t xml:space="preserve"> (</w:t>
      </w:r>
      <w:r w:rsidRPr="00715165" w:rsidR="003B7900">
        <w:rPr>
          <w:bCs/>
          <w:i/>
          <w:iCs/>
        </w:rPr>
        <w:t>Fogerty</w:t>
      </w:r>
      <w:r w:rsidRPr="00715165" w:rsidR="003B7900">
        <w:rPr>
          <w:bCs/>
        </w:rPr>
        <w:t>)</w:t>
      </w:r>
      <w:bookmarkEnd w:id="76"/>
      <w:bookmarkEnd w:id="77"/>
      <w:r w:rsidRPr="00715165">
        <w:rPr>
          <w:bCs/>
        </w:rPr>
        <w:t xml:space="preserve">.  </w:t>
      </w:r>
      <w:r w:rsidR="008E199F">
        <w:rPr>
          <w:bCs/>
        </w:rPr>
        <w:t>(</w:t>
      </w:r>
      <w:bookmarkStart w:id="78" w:name="dabmci_eb703fc6060343b591d998208ec88d62"/>
      <w:r w:rsidRPr="0011314E" w:rsidR="008E199F">
        <w:rPr>
          <w:bCs/>
          <w:i/>
          <w:iCs/>
        </w:rPr>
        <w:t>Travis</w:t>
      </w:r>
      <w:r w:rsidR="008E199F">
        <w:rPr>
          <w:bCs/>
        </w:rPr>
        <w:t>, at p. 264</w:t>
      </w:r>
      <w:bookmarkEnd w:id="78"/>
      <w:r w:rsidR="008E199F">
        <w:rPr>
          <w:bCs/>
        </w:rPr>
        <w:t xml:space="preserve">.)  </w:t>
      </w:r>
      <w:r w:rsidRPr="00715165">
        <w:rPr>
          <w:bCs/>
        </w:rPr>
        <w:t xml:space="preserve">Based on its view that </w:t>
      </w:r>
      <w:r w:rsidRPr="00715165" w:rsidR="002F6848">
        <w:rPr>
          <w:bCs/>
        </w:rPr>
        <w:t xml:space="preserve">the fee provision </w:t>
      </w:r>
      <w:r w:rsidRPr="00715165" w:rsidR="00A913A7">
        <w:rPr>
          <w:bCs/>
        </w:rPr>
        <w:t xml:space="preserve">here </w:t>
      </w:r>
      <w:r w:rsidRPr="00715165">
        <w:rPr>
          <w:bCs/>
        </w:rPr>
        <w:t xml:space="preserve">resembled the one in </w:t>
      </w:r>
      <w:bookmarkStart w:id="79" w:name="dabmci_7076285e8d1144779f93a82e98c67026"/>
      <w:r w:rsidRPr="00715165">
        <w:rPr>
          <w:bCs/>
          <w:i/>
          <w:iCs/>
        </w:rPr>
        <w:t>Fogerty</w:t>
      </w:r>
      <w:bookmarkEnd w:id="79"/>
      <w:r w:rsidRPr="00715165">
        <w:rPr>
          <w:bCs/>
        </w:rPr>
        <w:t xml:space="preserve"> more than the one in </w:t>
      </w:r>
      <w:r w:rsidRPr="00715165">
        <w:rPr>
          <w:bCs/>
          <w:i/>
          <w:iCs/>
        </w:rPr>
        <w:t>Christiansburg</w:t>
      </w:r>
      <w:r w:rsidRPr="00715165">
        <w:rPr>
          <w:bCs/>
        </w:rPr>
        <w:t>, the Court of Appeal concluded “prevailing plaintiffs and prevailing defendants are to be treated alike” under the Political Reform Act.  (</w:t>
      </w:r>
      <w:bookmarkStart w:id="80" w:name="dabmci_9633fab3c0a44f42a81c05fd51666973"/>
      <w:r w:rsidRPr="00715165">
        <w:rPr>
          <w:bCs/>
          <w:i/>
          <w:iCs/>
        </w:rPr>
        <w:t>Travis</w:t>
      </w:r>
      <w:r w:rsidRPr="00715165">
        <w:rPr>
          <w:bCs/>
        </w:rPr>
        <w:t>, at p. 264</w:t>
      </w:r>
      <w:bookmarkEnd w:id="80"/>
      <w:r w:rsidRPr="00715165">
        <w:rPr>
          <w:bCs/>
        </w:rPr>
        <w:t xml:space="preserve">.)  </w:t>
      </w:r>
      <w:r w:rsidR="00364A90">
        <w:rPr>
          <w:bCs/>
        </w:rPr>
        <w:t>We</w:t>
      </w:r>
      <w:r w:rsidRPr="00715165" w:rsidR="00EB2769">
        <w:rPr>
          <w:bCs/>
        </w:rPr>
        <w:t xml:space="preserve"> conclude the Court of Appeal</w:t>
      </w:r>
      <w:r w:rsidRPr="00715165" w:rsidR="003E7C8E">
        <w:rPr>
          <w:bCs/>
        </w:rPr>
        <w:t xml:space="preserve">’s </w:t>
      </w:r>
      <w:r w:rsidRPr="00715165" w:rsidR="00EB2769">
        <w:rPr>
          <w:bCs/>
        </w:rPr>
        <w:t xml:space="preserve">reliance on </w:t>
      </w:r>
      <w:bookmarkStart w:id="81" w:name="dabmci_ddb0961c659d41dd852a3f6d2780c78c"/>
      <w:r w:rsidRPr="00715165" w:rsidR="00EB2769">
        <w:rPr>
          <w:bCs/>
          <w:i/>
          <w:iCs/>
        </w:rPr>
        <w:t>Fogerty</w:t>
      </w:r>
      <w:bookmarkEnd w:id="81"/>
      <w:r w:rsidRPr="00715165" w:rsidR="00864EEF">
        <w:rPr>
          <w:bCs/>
        </w:rPr>
        <w:t xml:space="preserve"> </w:t>
      </w:r>
      <w:r w:rsidRPr="00715165">
        <w:rPr>
          <w:bCs/>
        </w:rPr>
        <w:t xml:space="preserve">was misplaced.  </w:t>
      </w:r>
    </w:p>
    <w:p w:rsidR="004268E5" w:rsidRPr="00715165" w:rsidP="00715165">
      <w:pPr>
        <w:tabs>
          <w:tab w:val="left" w:pos="1440"/>
        </w:tabs>
        <w:ind w:firstLine="720"/>
        <w:rPr>
          <w:bCs/>
        </w:rPr>
      </w:pPr>
      <w:r w:rsidRPr="00715165">
        <w:rPr>
          <w:bCs/>
          <w:i/>
          <w:iCs/>
        </w:rPr>
        <w:t>Fogerty</w:t>
      </w:r>
      <w:r w:rsidRPr="00715165">
        <w:rPr>
          <w:bCs/>
        </w:rPr>
        <w:t xml:space="preserve"> </w:t>
      </w:r>
      <w:r w:rsidRPr="00715165" w:rsidR="00864EEF">
        <w:rPr>
          <w:bCs/>
        </w:rPr>
        <w:t xml:space="preserve">involved a prevailing defendant in the distinct context of a private copyright dispute.  </w:t>
      </w:r>
      <w:r w:rsidRPr="00715165" w:rsidR="003B7900">
        <w:rPr>
          <w:bCs/>
        </w:rPr>
        <w:t xml:space="preserve">The fee statute at issue in </w:t>
      </w:r>
      <w:bookmarkStart w:id="82" w:name="dabmci_120e678a0389478cbac5a3c021e63db0"/>
      <w:r w:rsidRPr="00715165" w:rsidR="003B7900">
        <w:rPr>
          <w:bCs/>
          <w:i/>
          <w:iCs/>
        </w:rPr>
        <w:t>Fogerty</w:t>
      </w:r>
      <w:bookmarkEnd w:id="82"/>
      <w:r w:rsidRPr="00715165" w:rsidR="003B7900">
        <w:rPr>
          <w:bCs/>
        </w:rPr>
        <w:t xml:space="preserve"> </w:t>
      </w:r>
      <w:r w:rsidRPr="00715165" w:rsidR="00DF1B42">
        <w:rPr>
          <w:bCs/>
        </w:rPr>
        <w:t>resembled the one here</w:t>
      </w:r>
      <w:r w:rsidR="00BD60F1">
        <w:rPr>
          <w:bCs/>
        </w:rPr>
        <w:t>,</w:t>
      </w:r>
      <w:r w:rsidRPr="00715165" w:rsidR="00DF1B42">
        <w:rPr>
          <w:bCs/>
        </w:rPr>
        <w:t xml:space="preserve"> insofar as it </w:t>
      </w:r>
      <w:r w:rsidRPr="00715165" w:rsidR="003B7900">
        <w:rPr>
          <w:bCs/>
        </w:rPr>
        <w:t xml:space="preserve">did not </w:t>
      </w:r>
      <w:r w:rsidRPr="00715165" w:rsidR="002B5C3F">
        <w:rPr>
          <w:bCs/>
        </w:rPr>
        <w:t xml:space="preserve">expressly </w:t>
      </w:r>
      <w:r w:rsidRPr="00715165" w:rsidR="003B7900">
        <w:rPr>
          <w:bCs/>
        </w:rPr>
        <w:t>articulate any particular standard to inform a court’s discretion in awarding attorney</w:t>
      </w:r>
      <w:r w:rsidRPr="00715165" w:rsidR="0047245D">
        <w:rPr>
          <w:bCs/>
        </w:rPr>
        <w:t>’s</w:t>
      </w:r>
      <w:r w:rsidRPr="00715165" w:rsidR="003B7900">
        <w:rPr>
          <w:bCs/>
        </w:rPr>
        <w:t xml:space="preserve"> fees to a prevailing party</w:t>
      </w:r>
      <w:r w:rsidR="00BD60F1">
        <w:rPr>
          <w:bCs/>
        </w:rPr>
        <w:t xml:space="preserve">, as well as the </w:t>
      </w:r>
      <w:r w:rsidR="001F3CBA">
        <w:rPr>
          <w:bCs/>
        </w:rPr>
        <w:t xml:space="preserve">fee statute at issue in </w:t>
      </w:r>
      <w:r w:rsidR="001F3CBA">
        <w:rPr>
          <w:bCs/>
          <w:i/>
          <w:iCs/>
        </w:rPr>
        <w:t>Christiansburg</w:t>
      </w:r>
      <w:r w:rsidRPr="00715165" w:rsidR="003B7900">
        <w:rPr>
          <w:bCs/>
        </w:rPr>
        <w:t xml:space="preserve">.  (See </w:t>
      </w:r>
      <w:bookmarkStart w:id="83" w:name="dabmci_3b225905e1ae4249b313f86308529c83"/>
      <w:r w:rsidRPr="00715165" w:rsidR="003B7900">
        <w:rPr>
          <w:bCs/>
          <w:i/>
          <w:iCs/>
        </w:rPr>
        <w:t>Fogerty</w:t>
      </w:r>
      <w:r w:rsidRPr="00715165" w:rsidR="003B7900">
        <w:rPr>
          <w:bCs/>
        </w:rPr>
        <w:t xml:space="preserve">, </w:t>
      </w:r>
      <w:r w:rsidRPr="00715165" w:rsidR="003B7900">
        <w:rPr>
          <w:bCs/>
          <w:i/>
          <w:iCs/>
        </w:rPr>
        <w:t>supra</w:t>
      </w:r>
      <w:r w:rsidRPr="00715165" w:rsidR="003B7900">
        <w:rPr>
          <w:bCs/>
        </w:rPr>
        <w:t>, 510</w:t>
      </w:r>
      <w:r w:rsidR="001A200E">
        <w:rPr>
          <w:bCs/>
        </w:rPr>
        <w:t> </w:t>
      </w:r>
      <w:r w:rsidRPr="00715165" w:rsidR="003B7900">
        <w:rPr>
          <w:bCs/>
        </w:rPr>
        <w:t>U.S. at p.</w:t>
      </w:r>
      <w:r w:rsidRPr="00715165" w:rsidR="00B32A55">
        <w:rPr>
          <w:bCs/>
        </w:rPr>
        <w:t> </w:t>
      </w:r>
      <w:r w:rsidRPr="00715165" w:rsidR="003B7900">
        <w:rPr>
          <w:bCs/>
        </w:rPr>
        <w:t>519</w:t>
      </w:r>
      <w:bookmarkEnd w:id="83"/>
      <w:r w:rsidR="006B39D2">
        <w:rPr>
          <w:bCs/>
        </w:rPr>
        <w:t>, quoting</w:t>
      </w:r>
      <w:r w:rsidRPr="00715165" w:rsidR="006B39D2">
        <w:rPr>
          <w:bCs/>
        </w:rPr>
        <w:t xml:space="preserve"> the Copyright Act of 1976, </w:t>
      </w:r>
      <w:bookmarkStart w:id="84" w:name="dabmci_de04e6476d6749afa92099ba9d4d37be"/>
      <w:r w:rsidRPr="00715165" w:rsidR="006B39D2">
        <w:rPr>
          <w:bCs/>
        </w:rPr>
        <w:t>17 U.S.C. § 505</w:t>
      </w:r>
      <w:bookmarkEnd w:id="84"/>
      <w:r w:rsidRPr="00715165" w:rsidR="003B7900">
        <w:rPr>
          <w:bCs/>
        </w:rPr>
        <w:t xml:space="preserve"> [“in any copyright infringement action ‘the court </w:t>
      </w:r>
      <w:r w:rsidRPr="00715165" w:rsidR="00423CBD">
        <w:rPr>
          <w:bCs/>
        </w:rPr>
        <w:t>may</w:t>
      </w:r>
      <w:r w:rsidR="00423CBD">
        <w:rPr>
          <w:bCs/>
        </w:rPr>
        <w:t> </w:t>
      </w:r>
      <w:r w:rsidRPr="00715165" w:rsidR="003B7900">
        <w:rPr>
          <w:bCs/>
        </w:rPr>
        <w:t>. . </w:t>
      </w:r>
      <w:r w:rsidRPr="00715165" w:rsidR="00423CBD">
        <w:rPr>
          <w:bCs/>
        </w:rPr>
        <w:t>.</w:t>
      </w:r>
      <w:r w:rsidR="00423CBD">
        <w:rPr>
          <w:bCs/>
        </w:rPr>
        <w:t> </w:t>
      </w:r>
      <w:r w:rsidRPr="00715165" w:rsidR="003B7900">
        <w:rPr>
          <w:bCs/>
        </w:rPr>
        <w:t>award a reasonable attorney’s fee to the prevailing party’</w:t>
      </w:r>
      <w:r w:rsidRPr="00715165" w:rsidR="002B5C3F">
        <w:rPr>
          <w:bCs/>
        </w:rPr>
        <w:t> </w:t>
      </w:r>
      <w:r w:rsidRPr="00715165" w:rsidR="003B7900">
        <w:rPr>
          <w:bCs/>
        </w:rPr>
        <w:t>”</w:t>
      </w:r>
      <w:r w:rsidR="00461BA4">
        <w:rPr>
          <w:bCs/>
        </w:rPr>
        <w:t>]</w:t>
      </w:r>
      <w:r w:rsidRPr="00715165" w:rsidR="003B7900">
        <w:rPr>
          <w:bCs/>
        </w:rPr>
        <w:t>.)</w:t>
      </w:r>
      <w:r w:rsidRPr="00715165" w:rsidR="00A220E9">
        <w:rPr>
          <w:bCs/>
        </w:rPr>
        <w:t xml:space="preserve">  To determine what standard </w:t>
      </w:r>
      <w:r w:rsidRPr="00715165" w:rsidR="00D82BE7">
        <w:rPr>
          <w:bCs/>
        </w:rPr>
        <w:t>should</w:t>
      </w:r>
      <w:r w:rsidRPr="00715165" w:rsidR="00A220E9">
        <w:rPr>
          <w:bCs/>
        </w:rPr>
        <w:t xml:space="preserve"> apply, the high court again examined “</w:t>
      </w:r>
      <w:r w:rsidR="008E199F">
        <w:rPr>
          <w:bCs/>
        </w:rPr>
        <w:t>[</w:t>
      </w:r>
      <w:r w:rsidRPr="00715165" w:rsidR="00A220E9">
        <w:rPr>
          <w:bCs/>
        </w:rPr>
        <w:t>t</w:t>
      </w:r>
      <w:r w:rsidR="008E199F">
        <w:rPr>
          <w:bCs/>
        </w:rPr>
        <w:t>]</w:t>
      </w:r>
      <w:r w:rsidRPr="00715165" w:rsidR="00A220E9">
        <w:rPr>
          <w:bCs/>
        </w:rPr>
        <w:t xml:space="preserve">he goals and objectives” of the </w:t>
      </w:r>
      <w:r w:rsidRPr="00715165" w:rsidR="00B32A55">
        <w:rPr>
          <w:bCs/>
        </w:rPr>
        <w:t xml:space="preserve">governing </w:t>
      </w:r>
      <w:r w:rsidRPr="00715165" w:rsidR="00A220E9">
        <w:rPr>
          <w:bCs/>
        </w:rPr>
        <w:t>statutory scheme.  (</w:t>
      </w:r>
      <w:bookmarkStart w:id="85" w:name="dabmci_202d4b7a08ff475f86953c9ffa8391d9"/>
      <w:r w:rsidR="008E199F">
        <w:rPr>
          <w:bCs/>
          <w:i/>
          <w:iCs/>
        </w:rPr>
        <w:t>Fogerty</w:t>
      </w:r>
      <w:r w:rsidR="008E199F">
        <w:rPr>
          <w:bCs/>
        </w:rPr>
        <w:t xml:space="preserve">, </w:t>
      </w:r>
      <w:r w:rsidRPr="00715165" w:rsidR="00A220E9">
        <w:rPr>
          <w:bCs/>
        </w:rPr>
        <w:t>at p.</w:t>
      </w:r>
      <w:r w:rsidRPr="00715165" w:rsidR="00B32A55">
        <w:rPr>
          <w:bCs/>
        </w:rPr>
        <w:t> </w:t>
      </w:r>
      <w:r w:rsidRPr="00715165" w:rsidR="00A220E9">
        <w:rPr>
          <w:bCs/>
        </w:rPr>
        <w:t>524</w:t>
      </w:r>
      <w:bookmarkEnd w:id="85"/>
      <w:r w:rsidRPr="00715165" w:rsidR="00A220E9">
        <w:rPr>
          <w:bCs/>
        </w:rPr>
        <w:t>.)</w:t>
      </w:r>
      <w:r w:rsidRPr="00715165" w:rsidR="00D82BE7">
        <w:rPr>
          <w:bCs/>
        </w:rPr>
        <w:t xml:space="preserve">  It concluded that the goals and objectives of the Copyright Act differed from </w:t>
      </w:r>
      <w:r w:rsidRPr="00715165" w:rsidR="004E45BA">
        <w:rPr>
          <w:bCs/>
        </w:rPr>
        <w:t xml:space="preserve">those underlying </w:t>
      </w:r>
      <w:r w:rsidRPr="00715165" w:rsidR="00D82BE7">
        <w:rPr>
          <w:bCs/>
        </w:rPr>
        <w:t xml:space="preserve">the Civil Rights Act </w:t>
      </w:r>
      <w:r w:rsidRPr="00715165" w:rsidR="003B128D">
        <w:rPr>
          <w:bCs/>
        </w:rPr>
        <w:t xml:space="preserve">of 1964 </w:t>
      </w:r>
      <w:r w:rsidRPr="00715165" w:rsidR="00D82BE7">
        <w:rPr>
          <w:bCs/>
        </w:rPr>
        <w:t xml:space="preserve">and </w:t>
      </w:r>
      <w:r w:rsidRPr="00715165" w:rsidR="004E45BA">
        <w:rPr>
          <w:bCs/>
        </w:rPr>
        <w:t xml:space="preserve">thus </w:t>
      </w:r>
      <w:r w:rsidRPr="00715165" w:rsidR="00D82BE7">
        <w:rPr>
          <w:bCs/>
        </w:rPr>
        <w:t xml:space="preserve">warranted </w:t>
      </w:r>
      <w:r w:rsidRPr="00715165" w:rsidR="00B32A55">
        <w:rPr>
          <w:bCs/>
        </w:rPr>
        <w:t xml:space="preserve">applying </w:t>
      </w:r>
      <w:r w:rsidRPr="00715165" w:rsidR="00D82BE7">
        <w:rPr>
          <w:bCs/>
        </w:rPr>
        <w:t xml:space="preserve">a different </w:t>
      </w:r>
      <w:r w:rsidRPr="00715165" w:rsidR="00DF1CC9">
        <w:rPr>
          <w:bCs/>
        </w:rPr>
        <w:t>standard for awarding attorney</w:t>
      </w:r>
      <w:r w:rsidRPr="00715165" w:rsidR="0047245D">
        <w:rPr>
          <w:bCs/>
        </w:rPr>
        <w:t>’s</w:t>
      </w:r>
      <w:r w:rsidRPr="00715165" w:rsidR="00DF1CC9">
        <w:rPr>
          <w:bCs/>
        </w:rPr>
        <w:t xml:space="preserve"> fees to prevailing defendants</w:t>
      </w:r>
      <w:r w:rsidRPr="00715165" w:rsidR="00D82BE7">
        <w:rPr>
          <w:bCs/>
        </w:rPr>
        <w:t>.  (</w:t>
      </w:r>
      <w:bookmarkStart w:id="86" w:name="dabmci_c27be8137ea941ae868f428d3e58f94f"/>
      <w:r w:rsidR="008E199F">
        <w:rPr>
          <w:bCs/>
          <w:i/>
          <w:iCs/>
        </w:rPr>
        <w:t>Fogerty</w:t>
      </w:r>
      <w:r w:rsidR="008E199F">
        <w:rPr>
          <w:bCs/>
        </w:rPr>
        <w:t xml:space="preserve">, </w:t>
      </w:r>
      <w:r w:rsidRPr="00715165" w:rsidR="00D82BE7">
        <w:rPr>
          <w:bCs/>
        </w:rPr>
        <w:t>at pp.</w:t>
      </w:r>
      <w:r w:rsidRPr="00715165" w:rsidR="00B32A55">
        <w:rPr>
          <w:bCs/>
        </w:rPr>
        <w:t> </w:t>
      </w:r>
      <w:r w:rsidRPr="00715165" w:rsidR="00D82BE7">
        <w:rPr>
          <w:bCs/>
        </w:rPr>
        <w:t>524</w:t>
      </w:r>
      <w:r w:rsidRPr="00715165" w:rsidR="007F630D">
        <w:rPr>
          <w:bCs/>
        </w:rPr>
        <w:t>–</w:t>
      </w:r>
      <w:r w:rsidRPr="00715165" w:rsidR="00D82BE7">
        <w:rPr>
          <w:bCs/>
        </w:rPr>
        <w:t>527</w:t>
      </w:r>
      <w:bookmarkEnd w:id="86"/>
      <w:r w:rsidRPr="00715165" w:rsidR="00D82BE7">
        <w:rPr>
          <w:bCs/>
        </w:rPr>
        <w:t xml:space="preserve">.) </w:t>
      </w:r>
      <w:r w:rsidRPr="00715165" w:rsidR="00404017">
        <w:rPr>
          <w:bCs/>
        </w:rPr>
        <w:t xml:space="preserve"> </w:t>
      </w:r>
    </w:p>
    <w:p w:rsidR="00B37886" w:rsidRPr="00715165" w:rsidP="00715165">
      <w:pPr>
        <w:tabs>
          <w:tab w:val="left" w:pos="1440"/>
        </w:tabs>
        <w:ind w:firstLine="720"/>
        <w:rPr>
          <w:bCs/>
        </w:rPr>
      </w:pPr>
      <w:r w:rsidRPr="00715165">
        <w:rPr>
          <w:bCs/>
        </w:rPr>
        <w:t xml:space="preserve">First, </w:t>
      </w:r>
      <w:r w:rsidRPr="00715165" w:rsidR="00E56877">
        <w:rPr>
          <w:bCs/>
        </w:rPr>
        <w:t>“in the civil rights context, impecunious ‘private attorney general’ plaintiffs can ill afford to litigate their claims against defendants with more resources,” so Congress sought “to provide incentives for the bringing of meritorious lawsuits</w:t>
      </w:r>
      <w:r w:rsidR="008E199F">
        <w:rPr>
          <w:bCs/>
        </w:rPr>
        <w:t>[]</w:t>
      </w:r>
      <w:r w:rsidRPr="00715165" w:rsidR="00E56877">
        <w:rPr>
          <w:bCs/>
        </w:rPr>
        <w:t xml:space="preserve"> by treating successful plaintiffs more favorably than successful defendants in terms of the award of attorney’s fees.”  (</w:t>
      </w:r>
      <w:bookmarkStart w:id="87" w:name="dabmci_c41e15c2e8104f6d9041e2b89f3211da"/>
      <w:r w:rsidRPr="00715165" w:rsidR="00E56877">
        <w:rPr>
          <w:bCs/>
          <w:i/>
          <w:iCs/>
        </w:rPr>
        <w:t>Fogerty</w:t>
      </w:r>
      <w:r w:rsidRPr="00715165" w:rsidR="00E56877">
        <w:rPr>
          <w:bCs/>
        </w:rPr>
        <w:t xml:space="preserve">, </w:t>
      </w:r>
      <w:r w:rsidRPr="00715165" w:rsidR="00E56877">
        <w:rPr>
          <w:bCs/>
          <w:i/>
          <w:iCs/>
        </w:rPr>
        <w:t>supra</w:t>
      </w:r>
      <w:r w:rsidRPr="00715165" w:rsidR="00E56877">
        <w:rPr>
          <w:bCs/>
        </w:rPr>
        <w:t>, 510 U.S. at p.</w:t>
      </w:r>
      <w:r w:rsidRPr="00715165" w:rsidR="00B32A55">
        <w:rPr>
          <w:bCs/>
        </w:rPr>
        <w:t> </w:t>
      </w:r>
      <w:r w:rsidRPr="00715165" w:rsidR="00E56877">
        <w:rPr>
          <w:bCs/>
        </w:rPr>
        <w:t>524</w:t>
      </w:r>
      <w:bookmarkEnd w:id="87"/>
      <w:r w:rsidRPr="00715165" w:rsidR="00E56877">
        <w:rPr>
          <w:bCs/>
        </w:rPr>
        <w:t xml:space="preserve">.)  </w:t>
      </w:r>
      <w:r w:rsidRPr="00715165" w:rsidR="00C14AFB">
        <w:rPr>
          <w:bCs/>
        </w:rPr>
        <w:t>L</w:t>
      </w:r>
      <w:r w:rsidRPr="00715165" w:rsidR="00E56877">
        <w:rPr>
          <w:bCs/>
        </w:rPr>
        <w:t>itigants in copyright actions, on the other hand, “</w:t>
      </w:r>
      <w:r w:rsidRPr="00715165" w:rsidR="00B32A55">
        <w:rPr>
          <w:bCs/>
        </w:rPr>
        <w:t> </w:t>
      </w:r>
      <w:r w:rsidRPr="00715165" w:rsidR="00E56877">
        <w:rPr>
          <w:bCs/>
        </w:rPr>
        <w:t>‘can run the gamut from corporate behemoths to starving artists</w:t>
      </w:r>
      <w:r w:rsidRPr="00715165" w:rsidR="009C1898">
        <w:rPr>
          <w:bCs/>
        </w:rPr>
        <w:t>.</w:t>
      </w:r>
      <w:r w:rsidRPr="00715165" w:rsidR="00E56877">
        <w:rPr>
          <w:bCs/>
        </w:rPr>
        <w:t>’</w:t>
      </w:r>
      <w:r w:rsidRPr="00715165" w:rsidR="00B32A55">
        <w:rPr>
          <w:bCs/>
        </w:rPr>
        <w:t> </w:t>
      </w:r>
      <w:r w:rsidRPr="00715165" w:rsidR="00E56877">
        <w:rPr>
          <w:bCs/>
        </w:rPr>
        <w:t>”  (</w:t>
      </w:r>
      <w:bookmarkStart w:id="88" w:name="dabmci_edea9dc808c04a1795a583555ec68b89"/>
      <w:r w:rsidRPr="00715165" w:rsidR="00E56877">
        <w:rPr>
          <w:bCs/>
          <w:i/>
          <w:iCs/>
        </w:rPr>
        <w:t>Ibid</w:t>
      </w:r>
      <w:r w:rsidRPr="00715165" w:rsidR="00E56877">
        <w:rPr>
          <w:bCs/>
        </w:rPr>
        <w:t>.</w:t>
      </w:r>
      <w:bookmarkEnd w:id="88"/>
      <w:r w:rsidRPr="00715165" w:rsidR="00E56877">
        <w:rPr>
          <w:bCs/>
        </w:rPr>
        <w:t xml:space="preserve">)  </w:t>
      </w:r>
      <w:r w:rsidRPr="00715165" w:rsidR="00905E38">
        <w:rPr>
          <w:bCs/>
        </w:rPr>
        <w:t>And “it is by no means always the case that the plaintiff in an infringement action is the only holder of a copyright;</w:t>
      </w:r>
      <w:r w:rsidRPr="00715165" w:rsidR="00404017">
        <w:rPr>
          <w:bCs/>
        </w:rPr>
        <w:t xml:space="preserve"> </w:t>
      </w:r>
      <w:r w:rsidRPr="00715165" w:rsidR="00905E38">
        <w:rPr>
          <w:bCs/>
        </w:rPr>
        <w:t>often times, defendants hold copyrights too.”  (</w:t>
      </w:r>
      <w:bookmarkStart w:id="89" w:name="dabmci_31bb18a8e09547e6b1325e9d60326ac9"/>
      <w:r w:rsidRPr="00715165" w:rsidR="00905E38">
        <w:rPr>
          <w:bCs/>
          <w:i/>
          <w:iCs/>
        </w:rPr>
        <w:t>Id</w:t>
      </w:r>
      <w:r w:rsidRPr="00715165" w:rsidR="00905E38">
        <w:rPr>
          <w:bCs/>
        </w:rPr>
        <w:t>. at p.</w:t>
      </w:r>
      <w:r w:rsidRPr="00715165" w:rsidR="00E3198F">
        <w:rPr>
          <w:bCs/>
        </w:rPr>
        <w:t> </w:t>
      </w:r>
      <w:r w:rsidRPr="00715165" w:rsidR="00905E38">
        <w:rPr>
          <w:bCs/>
        </w:rPr>
        <w:t>52</w:t>
      </w:r>
      <w:r w:rsidRPr="00715165" w:rsidR="00D40CF9">
        <w:rPr>
          <w:bCs/>
        </w:rPr>
        <w:t>6</w:t>
      </w:r>
      <w:bookmarkEnd w:id="89"/>
      <w:r w:rsidRPr="00715165" w:rsidR="00905E38">
        <w:rPr>
          <w:bCs/>
        </w:rPr>
        <w:t xml:space="preserve">.) </w:t>
      </w:r>
      <w:r w:rsidRPr="00715165">
        <w:rPr>
          <w:bCs/>
        </w:rPr>
        <w:t xml:space="preserve"> </w:t>
      </w:r>
    </w:p>
    <w:p w:rsidR="004268E5" w:rsidRPr="00715165" w:rsidP="00715165">
      <w:pPr>
        <w:tabs>
          <w:tab w:val="left" w:pos="1440"/>
        </w:tabs>
        <w:ind w:firstLine="720"/>
        <w:rPr>
          <w:bCs/>
        </w:rPr>
      </w:pPr>
      <w:r w:rsidRPr="00715165">
        <w:rPr>
          <w:bCs/>
        </w:rPr>
        <w:t xml:space="preserve">Second, </w:t>
      </w:r>
      <w:r w:rsidRPr="00715165" w:rsidR="00B47485">
        <w:rPr>
          <w:bCs/>
        </w:rPr>
        <w:t xml:space="preserve">“the policies served by the Copyright Act </w:t>
      </w:r>
      <w:r w:rsidRPr="00715165" w:rsidR="00D40CF9">
        <w:rPr>
          <w:bCs/>
        </w:rPr>
        <w:t>are more complex, more measured, than simply maximizing the number of meritorious suits for copyright infringement.”  (</w:t>
      </w:r>
      <w:bookmarkStart w:id="90" w:name="dabmci_498fee7da23b4bc4aaf54c39eca4c7d1"/>
      <w:r w:rsidRPr="00715165" w:rsidR="00D40CF9">
        <w:rPr>
          <w:bCs/>
          <w:i/>
          <w:iCs/>
        </w:rPr>
        <w:t>Fogerty</w:t>
      </w:r>
      <w:r w:rsidRPr="00715165" w:rsidR="00D40CF9">
        <w:rPr>
          <w:bCs/>
        </w:rPr>
        <w:t xml:space="preserve">, </w:t>
      </w:r>
      <w:r w:rsidRPr="00715165" w:rsidR="00D40CF9">
        <w:rPr>
          <w:bCs/>
          <w:i/>
          <w:iCs/>
        </w:rPr>
        <w:t>supra</w:t>
      </w:r>
      <w:r w:rsidRPr="00715165" w:rsidR="00D40CF9">
        <w:rPr>
          <w:bCs/>
        </w:rPr>
        <w:t>, 510 U.S. at p.</w:t>
      </w:r>
      <w:r w:rsidRPr="00715165" w:rsidR="00E3198F">
        <w:rPr>
          <w:bCs/>
        </w:rPr>
        <w:t> </w:t>
      </w:r>
      <w:r w:rsidRPr="00715165" w:rsidR="00D40CF9">
        <w:rPr>
          <w:bCs/>
        </w:rPr>
        <w:t>526</w:t>
      </w:r>
      <w:bookmarkEnd w:id="90"/>
      <w:r w:rsidRPr="00715165" w:rsidR="00D40CF9">
        <w:rPr>
          <w:bCs/>
        </w:rPr>
        <w:t xml:space="preserve">.)  The primary purpose of copyright, after all, is not to </w:t>
      </w:r>
      <w:r w:rsidRPr="00715165" w:rsidR="00EB0083">
        <w:rPr>
          <w:bCs/>
        </w:rPr>
        <w:t>incentivize the greatest number of copyright infringement suits</w:t>
      </w:r>
      <w:r w:rsidRPr="00715165" w:rsidR="00D40CF9">
        <w:rPr>
          <w:bCs/>
        </w:rPr>
        <w:t xml:space="preserve">, but </w:t>
      </w:r>
      <w:r w:rsidRPr="00715165" w:rsidR="008774D1">
        <w:rPr>
          <w:bCs/>
        </w:rPr>
        <w:t xml:space="preserve">to </w:t>
      </w:r>
      <w:r w:rsidRPr="00715165" w:rsidR="00EB0083">
        <w:rPr>
          <w:bCs/>
        </w:rPr>
        <w:t xml:space="preserve">offer a limited exclusive right to the copyright holder </w:t>
      </w:r>
      <w:r w:rsidRPr="00715165" w:rsidR="008774D1">
        <w:rPr>
          <w:bCs/>
        </w:rPr>
        <w:t xml:space="preserve">so as </w:t>
      </w:r>
      <w:r w:rsidRPr="00715165" w:rsidR="00D40CF9">
        <w:rPr>
          <w:bCs/>
        </w:rPr>
        <w:t>“</w:t>
      </w:r>
      <w:r w:rsidRPr="00715165" w:rsidR="00E3198F">
        <w:rPr>
          <w:bCs/>
        </w:rPr>
        <w:t> </w:t>
      </w:r>
      <w:r w:rsidRPr="00715165" w:rsidR="00D40CF9">
        <w:rPr>
          <w:bCs/>
        </w:rPr>
        <w:t>‘</w:t>
      </w:r>
      <w:r w:rsidRPr="00715165" w:rsidR="00E3198F">
        <w:rPr>
          <w:bCs/>
        </w:rPr>
        <w:t> </w:t>
      </w:r>
      <w:r w:rsidRPr="00715165" w:rsidR="00D40CF9">
        <w:rPr>
          <w:bCs/>
        </w:rPr>
        <w:t>“to promote the Progress of Science and useful Arts.”</w:t>
      </w:r>
      <w:r w:rsidRPr="00715165" w:rsidR="00E3198F">
        <w:rPr>
          <w:bCs/>
        </w:rPr>
        <w:t> </w:t>
      </w:r>
      <w:r w:rsidRPr="00715165" w:rsidR="00D40CF9">
        <w:rPr>
          <w:bCs/>
        </w:rPr>
        <w:t>’</w:t>
      </w:r>
      <w:r w:rsidRPr="00715165" w:rsidR="00E3198F">
        <w:rPr>
          <w:bCs/>
        </w:rPr>
        <w:t> </w:t>
      </w:r>
      <w:r w:rsidRPr="00715165" w:rsidR="00D40CF9">
        <w:rPr>
          <w:bCs/>
        </w:rPr>
        <w:t>”  (</w:t>
      </w:r>
      <w:bookmarkStart w:id="91" w:name="dabmci_e841880f53384abdb862ea1d4378d885"/>
      <w:r w:rsidRPr="00715165" w:rsidR="00D40CF9">
        <w:rPr>
          <w:bCs/>
          <w:i/>
          <w:iCs/>
        </w:rPr>
        <w:t>Id</w:t>
      </w:r>
      <w:r w:rsidRPr="00715165" w:rsidR="00D40CF9">
        <w:rPr>
          <w:bCs/>
        </w:rPr>
        <w:t>. at p.</w:t>
      </w:r>
      <w:r w:rsidRPr="00715165" w:rsidR="00E3198F">
        <w:rPr>
          <w:bCs/>
        </w:rPr>
        <w:t> </w:t>
      </w:r>
      <w:r w:rsidRPr="00715165" w:rsidR="00D40CF9">
        <w:rPr>
          <w:bCs/>
        </w:rPr>
        <w:t>527</w:t>
      </w:r>
      <w:bookmarkEnd w:id="91"/>
      <w:r w:rsidR="00417E50">
        <w:rPr>
          <w:bCs/>
        </w:rPr>
        <w:t xml:space="preserve">, quoting </w:t>
      </w:r>
      <w:bookmarkStart w:id="92" w:name="dabmci_4ee306f00fdc4fb28f9827cd8ce8e6e4"/>
      <w:r w:rsidR="00417E50">
        <w:rPr>
          <w:bCs/>
        </w:rPr>
        <w:t>U.S. Const</w:t>
      </w:r>
      <w:r w:rsidR="00581148">
        <w:rPr>
          <w:bCs/>
        </w:rPr>
        <w:t>.</w:t>
      </w:r>
      <w:r w:rsidR="00417E50">
        <w:rPr>
          <w:bCs/>
        </w:rPr>
        <w:t xml:space="preserve">, art. I, </w:t>
      </w:r>
      <w:r w:rsidR="00417E50">
        <w:rPr>
          <w:color w:val="000000"/>
        </w:rPr>
        <w:t>§</w:t>
      </w:r>
      <w:r w:rsidR="00220C41">
        <w:rPr>
          <w:color w:val="000000"/>
        </w:rPr>
        <w:t> </w:t>
      </w:r>
      <w:r w:rsidR="00417E50">
        <w:rPr>
          <w:color w:val="000000"/>
        </w:rPr>
        <w:t>8, cl.</w:t>
      </w:r>
      <w:r w:rsidR="00220C41">
        <w:rPr>
          <w:color w:val="000000"/>
        </w:rPr>
        <w:t> </w:t>
      </w:r>
      <w:r w:rsidR="00417E50">
        <w:rPr>
          <w:color w:val="000000"/>
        </w:rPr>
        <w:t>8</w:t>
      </w:r>
      <w:bookmarkEnd w:id="92"/>
      <w:r w:rsidRPr="00715165" w:rsidR="00D40CF9">
        <w:rPr>
          <w:bCs/>
        </w:rPr>
        <w:t>.)</w:t>
      </w:r>
      <w:r w:rsidRPr="00715165" w:rsidR="00300268">
        <w:rPr>
          <w:bCs/>
        </w:rPr>
        <w:t xml:space="preserve">  </w:t>
      </w:r>
      <w:r w:rsidRPr="00715165" w:rsidR="00B37886">
        <w:rPr>
          <w:bCs/>
        </w:rPr>
        <w:t xml:space="preserve">While copyright law grants the holder of a copyright </w:t>
      </w:r>
      <w:r w:rsidRPr="00715165" w:rsidR="00300268">
        <w:rPr>
          <w:bCs/>
        </w:rPr>
        <w:t>“</w:t>
      </w:r>
      <w:r w:rsidRPr="00715165" w:rsidR="00B37886">
        <w:rPr>
          <w:bCs/>
        </w:rPr>
        <w:t> </w:t>
      </w:r>
      <w:r w:rsidRPr="00715165" w:rsidR="00300268">
        <w:rPr>
          <w:bCs/>
        </w:rPr>
        <w:t>‘the right to their original expression,’</w:t>
      </w:r>
      <w:r w:rsidRPr="00715165" w:rsidR="008F6B68">
        <w:rPr>
          <w:bCs/>
        </w:rPr>
        <w:t> </w:t>
      </w:r>
      <w:r w:rsidRPr="00715165" w:rsidR="00300268">
        <w:rPr>
          <w:bCs/>
        </w:rPr>
        <w:t>” it also “</w:t>
      </w:r>
      <w:r w:rsidRPr="00715165" w:rsidR="00EB0083">
        <w:rPr>
          <w:bCs/>
        </w:rPr>
        <w:t> </w:t>
      </w:r>
      <w:r w:rsidRPr="00715165" w:rsidR="00300268">
        <w:rPr>
          <w:bCs/>
        </w:rPr>
        <w:t>‘encourages others to build freely upon the ideas and information conveyed by a work.’</w:t>
      </w:r>
      <w:r w:rsidRPr="00715165" w:rsidR="008F6B68">
        <w:rPr>
          <w:bCs/>
        </w:rPr>
        <w:t> </w:t>
      </w:r>
      <w:r w:rsidRPr="00715165" w:rsidR="00300268">
        <w:rPr>
          <w:bCs/>
        </w:rPr>
        <w:t>”  (</w:t>
      </w:r>
      <w:bookmarkStart w:id="93" w:name="dabmci_06a6da0c9d0240aba7c011c8292712f3"/>
      <w:r w:rsidRPr="00BC13DF" w:rsidR="00BC13DF">
        <w:rPr>
          <w:bCs/>
          <w:i/>
          <w:iCs/>
        </w:rPr>
        <w:t>Fogerty</w:t>
      </w:r>
      <w:r w:rsidR="00BC13DF">
        <w:rPr>
          <w:bCs/>
        </w:rPr>
        <w:t>, at p. 527</w:t>
      </w:r>
      <w:bookmarkEnd w:id="93"/>
      <w:r w:rsidR="00BC13DF">
        <w:rPr>
          <w:bCs/>
        </w:rPr>
        <w:t>.</w:t>
      </w:r>
      <w:r w:rsidRPr="00715165" w:rsidR="00300268">
        <w:rPr>
          <w:bCs/>
        </w:rPr>
        <w:t xml:space="preserve">)  </w:t>
      </w:r>
      <w:r w:rsidRPr="00715165" w:rsidR="008069A2">
        <w:rPr>
          <w:bCs/>
        </w:rPr>
        <w:t xml:space="preserve">To achieve </w:t>
      </w:r>
      <w:r w:rsidRPr="00715165" w:rsidR="008069A2">
        <w:rPr>
          <w:bCs/>
          <w:i/>
          <w:iCs/>
        </w:rPr>
        <w:t>both</w:t>
      </w:r>
      <w:r w:rsidRPr="00715165" w:rsidR="008069A2">
        <w:rPr>
          <w:bCs/>
        </w:rPr>
        <w:t xml:space="preserve"> of these goals, “it is peculiarly important that </w:t>
      </w:r>
      <w:r w:rsidRPr="00715165" w:rsidR="00E9042C">
        <w:rPr>
          <w:bCs/>
        </w:rPr>
        <w:t xml:space="preserve">the boundaries of copyright law be demarcated as clearly as possible. . . .  </w:t>
      </w:r>
      <w:bookmarkStart w:id="94" w:name="_Hlk86836772"/>
      <w:r w:rsidRPr="00715165" w:rsidR="00E9042C">
        <w:rPr>
          <w:bCs/>
        </w:rPr>
        <w:t xml:space="preserve">[A] successful defense of a copyright infringement action may further the policies of the Copyright Act </w:t>
      </w:r>
      <w:r w:rsidRPr="00715165" w:rsidR="00E9042C">
        <w:rPr>
          <w:bCs/>
          <w:i/>
          <w:iCs/>
        </w:rPr>
        <w:t>every bit as much</w:t>
      </w:r>
      <w:r w:rsidRPr="00715165" w:rsidR="00E9042C">
        <w:rPr>
          <w:bCs/>
        </w:rPr>
        <w:t xml:space="preserve"> as a successful prosecution of an infringement claim by the holder of a copyright</w:t>
      </w:r>
      <w:bookmarkEnd w:id="94"/>
      <w:r w:rsidRPr="00715165" w:rsidR="00E9042C">
        <w:rPr>
          <w:bCs/>
        </w:rPr>
        <w:t>.”  (</w:t>
      </w:r>
      <w:bookmarkStart w:id="95" w:name="dabmci_10c804b7348d44b8a1b86fdd962621f6"/>
      <w:r w:rsidRPr="00715165" w:rsidR="00E9042C">
        <w:rPr>
          <w:bCs/>
          <w:i/>
          <w:iCs/>
        </w:rPr>
        <w:t>Ibid</w:t>
      </w:r>
      <w:r w:rsidRPr="00715165" w:rsidR="00E9042C">
        <w:rPr>
          <w:bCs/>
        </w:rPr>
        <w:t>.</w:t>
      </w:r>
      <w:r w:rsidRPr="00715165" w:rsidR="00BF3895">
        <w:rPr>
          <w:bCs/>
        </w:rPr>
        <w:t>,</w:t>
      </w:r>
      <w:bookmarkEnd w:id="95"/>
      <w:r w:rsidRPr="00715165" w:rsidR="00BF3895">
        <w:rPr>
          <w:bCs/>
        </w:rPr>
        <w:t xml:space="preserve"> italics added</w:t>
      </w:r>
      <w:r w:rsidRPr="00715165" w:rsidR="00EB0083">
        <w:rPr>
          <w:bCs/>
        </w:rPr>
        <w:t>.</w:t>
      </w:r>
      <w:r w:rsidRPr="00715165" w:rsidR="00E9042C">
        <w:rPr>
          <w:bCs/>
        </w:rPr>
        <w:t>)</w:t>
      </w:r>
      <w:r w:rsidRPr="00715165" w:rsidR="00573B8A">
        <w:rPr>
          <w:bCs/>
        </w:rPr>
        <w:t xml:space="preserve">  Accordingly, “defendants who seek to advance a variety of meritorious copyright defenses should be encouraged to litigate them to the same extent that plaintiffs are encouraged to litigate meritorious claims of infringement.”  (</w:t>
      </w:r>
      <w:bookmarkStart w:id="96" w:name="dabmci_6dd70bec662f441f96390fc97195dd70"/>
      <w:r w:rsidRPr="00715165" w:rsidR="00573B8A">
        <w:rPr>
          <w:bCs/>
          <w:i/>
          <w:iCs/>
        </w:rPr>
        <w:t>Ibid</w:t>
      </w:r>
      <w:r w:rsidRPr="00715165" w:rsidR="00573B8A">
        <w:rPr>
          <w:bCs/>
        </w:rPr>
        <w:t>.</w:t>
      </w:r>
      <w:bookmarkEnd w:id="96"/>
      <w:r w:rsidRPr="00715165" w:rsidR="00573B8A">
        <w:rPr>
          <w:bCs/>
        </w:rPr>
        <w:t xml:space="preserve">) </w:t>
      </w:r>
    </w:p>
    <w:p w:rsidR="00BF6183" w:rsidRPr="00715165" w:rsidP="00715165">
      <w:pPr>
        <w:tabs>
          <w:tab w:val="left" w:pos="1440"/>
        </w:tabs>
        <w:ind w:firstLine="720"/>
        <w:rPr>
          <w:bCs/>
        </w:rPr>
      </w:pPr>
      <w:r w:rsidRPr="00715165">
        <w:rPr>
          <w:bCs/>
        </w:rPr>
        <w:t xml:space="preserve">We disagree with the Court of Appeal’s conclusion that </w:t>
      </w:r>
      <w:r w:rsidRPr="00715165" w:rsidR="004173D0">
        <w:rPr>
          <w:bCs/>
        </w:rPr>
        <w:t>th</w:t>
      </w:r>
      <w:r w:rsidRPr="00715165" w:rsidR="00545228">
        <w:rPr>
          <w:bCs/>
        </w:rPr>
        <w:t xml:space="preserve">is case </w:t>
      </w:r>
      <w:r w:rsidRPr="00715165">
        <w:rPr>
          <w:bCs/>
        </w:rPr>
        <w:t>i</w:t>
      </w:r>
      <w:r w:rsidRPr="00715165" w:rsidR="00545228">
        <w:rPr>
          <w:bCs/>
        </w:rPr>
        <w:t xml:space="preserve">s unlike </w:t>
      </w:r>
      <w:r w:rsidRPr="00715165" w:rsidR="00545228">
        <w:rPr>
          <w:bCs/>
          <w:i/>
          <w:iCs/>
        </w:rPr>
        <w:t>Christiansburg</w:t>
      </w:r>
      <w:r w:rsidRPr="00715165" w:rsidR="00545228">
        <w:rPr>
          <w:bCs/>
        </w:rPr>
        <w:t xml:space="preserve"> and more like </w:t>
      </w:r>
      <w:r w:rsidRPr="00715165" w:rsidR="00545228">
        <w:rPr>
          <w:bCs/>
          <w:i/>
          <w:iCs/>
        </w:rPr>
        <w:t>Fogerty</w:t>
      </w:r>
      <w:r w:rsidRPr="00715165" w:rsidR="00545228">
        <w:rPr>
          <w:bCs/>
        </w:rPr>
        <w:t xml:space="preserve">.  </w:t>
      </w:r>
      <w:r w:rsidRPr="00715165" w:rsidR="004173D0">
        <w:rPr>
          <w:bCs/>
        </w:rPr>
        <w:t>(</w:t>
      </w:r>
      <w:bookmarkStart w:id="97" w:name="dabmci_5c4f7b39289b4833807e4a646f0131c8"/>
      <w:r w:rsidRPr="00715165" w:rsidR="004173D0">
        <w:rPr>
          <w:bCs/>
          <w:i/>
          <w:iCs/>
        </w:rPr>
        <w:t>Travis</w:t>
      </w:r>
      <w:r w:rsidRPr="00715165" w:rsidR="004173D0">
        <w:rPr>
          <w:bCs/>
        </w:rPr>
        <w:t xml:space="preserve">, </w:t>
      </w:r>
      <w:r w:rsidRPr="00715165" w:rsidR="004173D0">
        <w:rPr>
          <w:bCs/>
          <w:i/>
          <w:iCs/>
        </w:rPr>
        <w:t>supra</w:t>
      </w:r>
      <w:r w:rsidRPr="00715165" w:rsidR="004173D0">
        <w:rPr>
          <w:bCs/>
        </w:rPr>
        <w:t>, 62 Cal.App.5th at p.</w:t>
      </w:r>
      <w:r w:rsidRPr="00715165" w:rsidR="008F6B68">
        <w:rPr>
          <w:bCs/>
        </w:rPr>
        <w:t> </w:t>
      </w:r>
      <w:r w:rsidRPr="00715165" w:rsidR="004173D0">
        <w:rPr>
          <w:bCs/>
        </w:rPr>
        <w:t>264</w:t>
      </w:r>
      <w:bookmarkEnd w:id="97"/>
      <w:r w:rsidRPr="00715165" w:rsidR="004173D0">
        <w:rPr>
          <w:bCs/>
        </w:rPr>
        <w:t xml:space="preserve">.)  </w:t>
      </w:r>
      <w:r w:rsidRPr="00715165" w:rsidR="00175E88">
        <w:rPr>
          <w:bCs/>
        </w:rPr>
        <w:t xml:space="preserve">To determine whether </w:t>
      </w:r>
      <w:r w:rsidRPr="00715165" w:rsidR="00545228">
        <w:rPr>
          <w:bCs/>
        </w:rPr>
        <w:t>“</w:t>
      </w:r>
      <w:r w:rsidRPr="00715165" w:rsidR="00175E88">
        <w:rPr>
          <w:bCs/>
        </w:rPr>
        <w:t xml:space="preserve">election law disputes </w:t>
      </w:r>
      <w:r w:rsidRPr="00715165" w:rsidR="00545228">
        <w:rPr>
          <w:bCs/>
        </w:rPr>
        <w:t xml:space="preserve">are more </w:t>
      </w:r>
      <w:r w:rsidRPr="00715165" w:rsidR="00BE7546">
        <w:rPr>
          <w:bCs/>
        </w:rPr>
        <w:t>l</w:t>
      </w:r>
      <w:r w:rsidRPr="00715165" w:rsidR="00545228">
        <w:rPr>
          <w:bCs/>
        </w:rPr>
        <w:t xml:space="preserve">ike the ordinary civil litigation setting in </w:t>
      </w:r>
      <w:bookmarkStart w:id="98" w:name="dabmci_f8c460e7876444758a8bdc371e2aedb4"/>
      <w:r w:rsidRPr="00715165" w:rsidR="00545228">
        <w:rPr>
          <w:bCs/>
          <w:i/>
          <w:iCs/>
        </w:rPr>
        <w:t>Fogerty</w:t>
      </w:r>
      <w:bookmarkEnd w:id="98"/>
      <w:r w:rsidRPr="00715165" w:rsidR="00545228">
        <w:rPr>
          <w:bCs/>
        </w:rPr>
        <w:t>” (</w:t>
      </w:r>
      <w:bookmarkStart w:id="99" w:name="dabmci_2d5fa407964244319175aab7c6622d77"/>
      <w:r w:rsidRPr="00344A4C" w:rsidR="008E199F">
        <w:rPr>
          <w:bCs/>
          <w:i/>
          <w:iCs/>
        </w:rPr>
        <w:t>id</w:t>
      </w:r>
      <w:r w:rsidR="008E199F">
        <w:rPr>
          <w:bCs/>
        </w:rPr>
        <w:t xml:space="preserve">. </w:t>
      </w:r>
      <w:r w:rsidRPr="00715165" w:rsidR="00545228">
        <w:rPr>
          <w:bCs/>
        </w:rPr>
        <w:t>at p.</w:t>
      </w:r>
      <w:r w:rsidRPr="00715165" w:rsidR="00DF1B42">
        <w:rPr>
          <w:bCs/>
        </w:rPr>
        <w:t> </w:t>
      </w:r>
      <w:r w:rsidRPr="00715165" w:rsidR="00545228">
        <w:rPr>
          <w:bCs/>
        </w:rPr>
        <w:t>264</w:t>
      </w:r>
      <w:bookmarkEnd w:id="99"/>
      <w:r w:rsidRPr="00715165" w:rsidR="00545228">
        <w:rPr>
          <w:bCs/>
        </w:rPr>
        <w:t>), we must examine the goals and objectives of the Political Reform Act.</w:t>
      </w:r>
      <w:r w:rsidRPr="00715165" w:rsidR="00D62B72">
        <w:rPr>
          <w:bCs/>
        </w:rPr>
        <w:t xml:space="preserve">  (</w:t>
      </w:r>
      <w:r w:rsidRPr="00715165" w:rsidR="00F72C2C">
        <w:rPr>
          <w:bCs/>
        </w:rPr>
        <w:t xml:space="preserve">Accord, </w:t>
      </w:r>
      <w:bookmarkStart w:id="100" w:name="dabmci_70c9d6287c174f9fb9b9d085fe2a2ca3"/>
      <w:r w:rsidRPr="00715165" w:rsidR="00B4275F">
        <w:rPr>
          <w:bCs/>
          <w:i/>
          <w:iCs/>
        </w:rPr>
        <w:t>Martin v. Franklin Capital Corp.</w:t>
      </w:r>
      <w:r w:rsidRPr="00715165" w:rsidR="00B4275F">
        <w:rPr>
          <w:bCs/>
        </w:rPr>
        <w:t xml:space="preserve"> (2005) 546 U.S.</w:t>
      </w:r>
      <w:r w:rsidRPr="00715165" w:rsidR="009D707D">
        <w:rPr>
          <w:bCs/>
        </w:rPr>
        <w:t xml:space="preserve"> 132, 139</w:t>
      </w:r>
      <w:r w:rsidRPr="00715165" w:rsidR="007F630D">
        <w:rPr>
          <w:bCs/>
        </w:rPr>
        <w:t>–</w:t>
      </w:r>
      <w:r w:rsidRPr="00715165" w:rsidR="009D707D">
        <w:rPr>
          <w:bCs/>
        </w:rPr>
        <w:t>140</w:t>
      </w:r>
      <w:bookmarkEnd w:id="100"/>
      <w:r w:rsidRPr="00715165" w:rsidR="00B4275F">
        <w:rPr>
          <w:bCs/>
        </w:rPr>
        <w:t xml:space="preserve"> [“</w:t>
      </w:r>
      <w:r w:rsidRPr="00715165" w:rsidR="009D707D">
        <w:rPr>
          <w:bCs/>
        </w:rPr>
        <w:t>When applying fee-shifting statutes, ‘we have found limits in “the large objectives” of the relevant Act, which embrace certain “equitable considerations”</w:t>
      </w:r>
      <w:r w:rsidRPr="00715165" w:rsidR="008F6B68">
        <w:rPr>
          <w:bCs/>
        </w:rPr>
        <w:t> </w:t>
      </w:r>
      <w:r w:rsidRPr="00715165" w:rsidR="009D707D">
        <w:rPr>
          <w:bCs/>
        </w:rPr>
        <w:t>’</w:t>
      </w:r>
      <w:r w:rsidRPr="00715165" w:rsidR="008F6B68">
        <w:rPr>
          <w:bCs/>
        </w:rPr>
        <w:t> </w:t>
      </w:r>
      <w:r w:rsidRPr="00715165" w:rsidR="009D707D">
        <w:rPr>
          <w:bCs/>
        </w:rPr>
        <w:t>”]</w:t>
      </w:r>
      <w:r w:rsidRPr="00715165" w:rsidR="00D62B72">
        <w:rPr>
          <w:bCs/>
        </w:rPr>
        <w:t xml:space="preserve">.) </w:t>
      </w:r>
      <w:r w:rsidRPr="00715165" w:rsidR="00545228">
        <w:rPr>
          <w:bCs/>
        </w:rPr>
        <w:t xml:space="preserve"> </w:t>
      </w:r>
    </w:p>
    <w:p w:rsidR="003B3CA0" w:rsidRPr="00715165" w:rsidP="00715165">
      <w:pPr>
        <w:ind w:firstLine="720"/>
        <w:rPr>
          <w:bCs/>
        </w:rPr>
      </w:pPr>
      <w:r w:rsidRPr="00715165">
        <w:rPr>
          <w:bCs/>
        </w:rPr>
        <w:t>As discussed above, t</w:t>
      </w:r>
      <w:r w:rsidRPr="00715165" w:rsidR="00BF6183">
        <w:rPr>
          <w:bCs/>
        </w:rPr>
        <w:t xml:space="preserve">he voters intended for the Political Reform Act to be </w:t>
      </w:r>
      <w:r w:rsidRPr="00715165" w:rsidR="00346A33">
        <w:rPr>
          <w:bCs/>
        </w:rPr>
        <w:t xml:space="preserve">robustly </w:t>
      </w:r>
      <w:r w:rsidRPr="00715165" w:rsidR="00BF6183">
        <w:rPr>
          <w:bCs/>
        </w:rPr>
        <w:t xml:space="preserve">enforced to promote the important public policy of transparency.  </w:t>
      </w:r>
      <w:r w:rsidRPr="00715165" w:rsidR="00196C56">
        <w:rPr>
          <w:bCs/>
        </w:rPr>
        <w:t xml:space="preserve">(See </w:t>
      </w:r>
      <w:bookmarkStart w:id="101" w:name="dabmci_6c8190c77c0d48f08131d3cede243d2b"/>
      <w:r w:rsidRPr="00715165" w:rsidR="00196C56">
        <w:rPr>
          <w:bCs/>
          <w:i/>
          <w:iCs/>
        </w:rPr>
        <w:t xml:space="preserve">Flannery v. California Highway Patrol </w:t>
      </w:r>
      <w:r w:rsidRPr="00715165" w:rsidR="00196C56">
        <w:rPr>
          <w:bCs/>
        </w:rPr>
        <w:t>(1998) 61 Cal.App.4th 629, 642</w:t>
      </w:r>
      <w:bookmarkEnd w:id="101"/>
      <w:r w:rsidRPr="00715165" w:rsidR="00196C56">
        <w:rPr>
          <w:bCs/>
        </w:rPr>
        <w:t xml:space="preserve"> [“the Political Reform Act expressly encourages enforcement by private citizen</w:t>
      </w:r>
      <w:r w:rsidR="008E6E3A">
        <w:rPr>
          <w:bCs/>
        </w:rPr>
        <w:t xml:space="preserve"> suits</w:t>
      </w:r>
      <w:r w:rsidRPr="00715165" w:rsidR="00196C56">
        <w:rPr>
          <w:bCs/>
        </w:rPr>
        <w:t>”];</w:t>
      </w:r>
      <w:r w:rsidRPr="00715165" w:rsidR="00196C56">
        <w:rPr>
          <w:bCs/>
          <w:i/>
          <w:iCs/>
        </w:rPr>
        <w:t xml:space="preserve"> </w:t>
      </w:r>
      <w:bookmarkStart w:id="102" w:name="dabmci_a94ecf586feb45a788642e98683e8fbf"/>
      <w:r w:rsidRPr="00715165" w:rsidR="00196C56">
        <w:rPr>
          <w:bCs/>
          <w:i/>
          <w:iCs/>
        </w:rPr>
        <w:t>Weinreb</w:t>
      </w:r>
      <w:r w:rsidRPr="00715165">
        <w:rPr>
          <w:bCs/>
        </w:rPr>
        <w:t xml:space="preserve">, </w:t>
      </w:r>
      <w:r w:rsidRPr="00715165">
        <w:rPr>
          <w:bCs/>
          <w:i/>
          <w:iCs/>
        </w:rPr>
        <w:t>supra</w:t>
      </w:r>
      <w:r w:rsidRPr="00715165">
        <w:rPr>
          <w:bCs/>
        </w:rPr>
        <w:t>,</w:t>
      </w:r>
      <w:r w:rsidRPr="00715165" w:rsidR="00196C56">
        <w:rPr>
          <w:bCs/>
        </w:rPr>
        <w:t xml:space="preserve"> 168 Cal.App.3d </w:t>
      </w:r>
      <w:r w:rsidRPr="00715165">
        <w:rPr>
          <w:bCs/>
        </w:rPr>
        <w:t>at p. </w:t>
      </w:r>
      <w:r w:rsidRPr="00715165" w:rsidR="00196C56">
        <w:rPr>
          <w:bCs/>
        </w:rPr>
        <w:t>538</w:t>
      </w:r>
      <w:bookmarkEnd w:id="102"/>
      <w:r w:rsidRPr="00715165" w:rsidR="00EA70C8">
        <w:rPr>
          <w:bCs/>
          <w:i/>
          <w:iCs/>
        </w:rPr>
        <w:t xml:space="preserve"> </w:t>
      </w:r>
      <w:r w:rsidRPr="00715165" w:rsidR="00CC3A82">
        <w:rPr>
          <w:bCs/>
        </w:rPr>
        <w:t>[the act is “dependent upon private litigation as a means of enforcement”]</w:t>
      </w:r>
      <w:r w:rsidRPr="00715165" w:rsidR="00196C56">
        <w:rPr>
          <w:bCs/>
        </w:rPr>
        <w:t xml:space="preserve">.)  </w:t>
      </w:r>
      <w:r w:rsidRPr="00715165" w:rsidR="00BF6183">
        <w:rPr>
          <w:bCs/>
        </w:rPr>
        <w:t>As the ballot pamphlet explained</w:t>
      </w:r>
      <w:r w:rsidR="00417E50">
        <w:rPr>
          <w:bCs/>
        </w:rPr>
        <w:t xml:space="preserve"> about the Political Reform Act</w:t>
      </w:r>
      <w:r w:rsidRPr="00715165" w:rsidR="00BF6183">
        <w:rPr>
          <w:bCs/>
        </w:rPr>
        <w:t xml:space="preserve">, </w:t>
      </w:r>
      <w:r w:rsidRPr="00715165" w:rsidR="00E515A8">
        <w:rPr>
          <w:bCs/>
        </w:rPr>
        <w:t>“Proposition</w:t>
      </w:r>
      <w:r w:rsidRPr="00715165" w:rsidR="008F6B68">
        <w:rPr>
          <w:bCs/>
        </w:rPr>
        <w:t> </w:t>
      </w:r>
      <w:r w:rsidRPr="00715165" w:rsidR="00E515A8">
        <w:rPr>
          <w:bCs/>
        </w:rPr>
        <w:t>9 will establish standards which give citizens a basis for the faith and trust which must lie at the heart of our political process,” undergirded “at last” by “full, fair and independent enforcement of the law.”  (Ballot Pamp., Primary Elec. (June</w:t>
      </w:r>
      <w:r w:rsidRPr="00715165" w:rsidR="008F6B68">
        <w:rPr>
          <w:bCs/>
        </w:rPr>
        <w:t> </w:t>
      </w:r>
      <w:r w:rsidRPr="00715165" w:rsidR="00E515A8">
        <w:rPr>
          <w:bCs/>
        </w:rPr>
        <w:t>4, 1974) rebuttal to argument against Prop.</w:t>
      </w:r>
      <w:r w:rsidRPr="00715165">
        <w:rPr>
          <w:bCs/>
        </w:rPr>
        <w:t> </w:t>
      </w:r>
      <w:r w:rsidRPr="00715165" w:rsidR="00E515A8">
        <w:rPr>
          <w:bCs/>
        </w:rPr>
        <w:t>9, p.</w:t>
      </w:r>
      <w:r w:rsidRPr="00715165">
        <w:rPr>
          <w:bCs/>
        </w:rPr>
        <w:t> </w:t>
      </w:r>
      <w:r w:rsidRPr="00715165" w:rsidR="00E515A8">
        <w:rPr>
          <w:bCs/>
        </w:rPr>
        <w:t>37.)</w:t>
      </w:r>
      <w:r w:rsidRPr="00715165" w:rsidR="00BC5A9F">
        <w:rPr>
          <w:bCs/>
        </w:rPr>
        <w:t xml:space="preserve">  </w:t>
      </w:r>
    </w:p>
    <w:p w:rsidR="00254C05" w:rsidRPr="00715165" w:rsidP="00715165">
      <w:pPr>
        <w:ind w:firstLine="720"/>
        <w:rPr>
          <w:bCs/>
        </w:rPr>
      </w:pPr>
      <w:r w:rsidRPr="00715165">
        <w:rPr>
          <w:bCs/>
        </w:rPr>
        <w:t>T</w:t>
      </w:r>
      <w:r w:rsidRPr="00715165" w:rsidR="003B3CA0">
        <w:rPr>
          <w:bCs/>
        </w:rPr>
        <w:t>he polic</w:t>
      </w:r>
      <w:r w:rsidRPr="00715165" w:rsidR="006D27AE">
        <w:rPr>
          <w:bCs/>
        </w:rPr>
        <w:t>ies</w:t>
      </w:r>
      <w:r w:rsidRPr="00715165" w:rsidR="003B3CA0">
        <w:rPr>
          <w:bCs/>
        </w:rPr>
        <w:t xml:space="preserve"> and objectives of the Political Reform Act </w:t>
      </w:r>
      <w:r w:rsidRPr="00715165">
        <w:rPr>
          <w:bCs/>
        </w:rPr>
        <w:t xml:space="preserve">are not </w:t>
      </w:r>
      <w:r w:rsidRPr="00715165" w:rsidR="003B3CA0">
        <w:rPr>
          <w:bCs/>
        </w:rPr>
        <w:t>analog</w:t>
      </w:r>
      <w:r w:rsidRPr="00715165">
        <w:rPr>
          <w:bCs/>
        </w:rPr>
        <w:t>ous</w:t>
      </w:r>
      <w:r w:rsidRPr="00715165" w:rsidR="003B3CA0">
        <w:rPr>
          <w:bCs/>
        </w:rPr>
        <w:t xml:space="preserve"> to the Copyright Act</w:t>
      </w:r>
      <w:r w:rsidRPr="00715165" w:rsidR="00346A33">
        <w:rPr>
          <w:bCs/>
        </w:rPr>
        <w:t xml:space="preserve"> in the context of attorney</w:t>
      </w:r>
      <w:r w:rsidRPr="00715165" w:rsidR="00B862DC">
        <w:rPr>
          <w:bCs/>
        </w:rPr>
        <w:t>’s</w:t>
      </w:r>
      <w:r w:rsidRPr="00715165" w:rsidR="00346A33">
        <w:rPr>
          <w:bCs/>
        </w:rPr>
        <w:t xml:space="preserve"> fee awards</w:t>
      </w:r>
      <w:r w:rsidRPr="00715165" w:rsidR="003B3CA0">
        <w:rPr>
          <w:bCs/>
        </w:rPr>
        <w:t xml:space="preserve">.  The Copyright Act </w:t>
      </w:r>
      <w:r w:rsidRPr="00715165">
        <w:rPr>
          <w:bCs/>
        </w:rPr>
        <w:t>“serves the purpose of enriching the general public through access to creative works” and to that end seeks to ensure that “the boundaries of copyright law [are] demarcated as clearly as possible.”  (</w:t>
      </w:r>
      <w:bookmarkStart w:id="103" w:name="dabmci_5fea44744b194f298e6a25a71189cf98"/>
      <w:r w:rsidRPr="00715165">
        <w:rPr>
          <w:bCs/>
          <w:i/>
          <w:iCs/>
        </w:rPr>
        <w:t>Fogerty</w:t>
      </w:r>
      <w:r w:rsidRPr="00715165">
        <w:rPr>
          <w:bCs/>
        </w:rPr>
        <w:t xml:space="preserve">, </w:t>
      </w:r>
      <w:r w:rsidRPr="00715165">
        <w:rPr>
          <w:bCs/>
          <w:i/>
          <w:iCs/>
        </w:rPr>
        <w:t>supra</w:t>
      </w:r>
      <w:r w:rsidRPr="00715165">
        <w:rPr>
          <w:bCs/>
        </w:rPr>
        <w:t>, 510 U.S. at p. 527</w:t>
      </w:r>
      <w:bookmarkEnd w:id="103"/>
      <w:r w:rsidRPr="00715165">
        <w:rPr>
          <w:bCs/>
        </w:rPr>
        <w:t>.)  The statute achieves its objectives “</w:t>
      </w:r>
      <w:r w:rsidRPr="00715165" w:rsidR="006D27AE">
        <w:rPr>
          <w:bCs/>
        </w:rPr>
        <w:t>by striking a balance between two subsidiary aims:  encouraging and rewarding authors’ creations while also enabling others to build on that work.”  (</w:t>
      </w:r>
      <w:bookmarkStart w:id="104" w:name="dabmci_fd343b8e4a0f4ec293b36b18ed9cad05"/>
      <w:r w:rsidRPr="00715165" w:rsidR="006D27AE">
        <w:rPr>
          <w:bCs/>
          <w:i/>
          <w:iCs/>
        </w:rPr>
        <w:t>Kirtsaeng v. John Wiley &amp; Sons, Inc</w:t>
      </w:r>
      <w:r w:rsidRPr="00715165" w:rsidR="006D27AE">
        <w:rPr>
          <w:bCs/>
        </w:rPr>
        <w:t>. (2016) 579</w:t>
      </w:r>
      <w:r w:rsidR="001A200E">
        <w:rPr>
          <w:bCs/>
        </w:rPr>
        <w:t> </w:t>
      </w:r>
      <w:r w:rsidRPr="00715165" w:rsidR="006D27AE">
        <w:rPr>
          <w:bCs/>
        </w:rPr>
        <w:t>U.S. 197, 204</w:t>
      </w:r>
      <w:bookmarkEnd w:id="104"/>
      <w:r w:rsidRPr="00715165" w:rsidR="006D27AE">
        <w:rPr>
          <w:bCs/>
        </w:rPr>
        <w:t xml:space="preserve">, citing </w:t>
      </w:r>
      <w:bookmarkStart w:id="105" w:name="dabmci_6af081cb377142168933757bc51c73eb"/>
      <w:r w:rsidRPr="00715165" w:rsidR="006D27AE">
        <w:rPr>
          <w:bCs/>
          <w:i/>
          <w:iCs/>
        </w:rPr>
        <w:t>Fogerty</w:t>
      </w:r>
      <w:r w:rsidRPr="00715165" w:rsidR="006D27AE">
        <w:rPr>
          <w:bCs/>
        </w:rPr>
        <w:t>, at p. 526</w:t>
      </w:r>
      <w:bookmarkEnd w:id="105"/>
      <w:r w:rsidRPr="00715165" w:rsidR="006D27AE">
        <w:rPr>
          <w:bCs/>
        </w:rPr>
        <w:t>.)  “That is why . . . </w:t>
      </w:r>
      <w:r w:rsidRPr="00715165" w:rsidR="006D27AE">
        <w:rPr>
          <w:bCs/>
          <w:i/>
          <w:iCs/>
        </w:rPr>
        <w:t>Fogerty</w:t>
      </w:r>
      <w:r w:rsidRPr="00715165" w:rsidR="006D27AE">
        <w:rPr>
          <w:bCs/>
        </w:rPr>
        <w:t xml:space="preserve"> insisted on treating prevailing plaintiffs and prevailing defendants alike</w:t>
      </w:r>
      <w:r w:rsidRPr="00715165" w:rsidR="00AC69DA">
        <w:rPr>
          <w:bCs/>
        </w:rPr>
        <w:t> </w:t>
      </w:r>
      <w:r w:rsidRPr="00715165" w:rsidR="006D27AE">
        <w:rPr>
          <w:bCs/>
        </w:rPr>
        <w:t>—</w:t>
      </w:r>
      <w:r w:rsidR="00EB132D">
        <w:rPr>
          <w:bCs/>
        </w:rPr>
        <w:t xml:space="preserve"> </w:t>
      </w:r>
      <w:r w:rsidRPr="00715165" w:rsidR="006D27AE">
        <w:rPr>
          <w:bCs/>
        </w:rPr>
        <w:t>because the one could ‘further the policies of the Copyright Act every bit as much as’ the other.”  (</w:t>
      </w:r>
      <w:bookmarkStart w:id="106" w:name="dabmci_b43570399c694462ad4edf68f57fb011"/>
      <w:r w:rsidRPr="00715165" w:rsidR="006D27AE">
        <w:rPr>
          <w:bCs/>
          <w:i/>
          <w:iCs/>
        </w:rPr>
        <w:t>Kirtsaeng</w:t>
      </w:r>
      <w:r w:rsidRPr="00715165" w:rsidR="006D27AE">
        <w:rPr>
          <w:bCs/>
        </w:rPr>
        <w:t>, at p. 204</w:t>
      </w:r>
      <w:bookmarkEnd w:id="106"/>
      <w:r w:rsidRPr="00715165" w:rsidR="006D27AE">
        <w:rPr>
          <w:bCs/>
        </w:rPr>
        <w:t xml:space="preserve">, </w:t>
      </w:r>
      <w:r w:rsidR="00417E50">
        <w:rPr>
          <w:bCs/>
        </w:rPr>
        <w:t>quo</w:t>
      </w:r>
      <w:r w:rsidRPr="00715165" w:rsidR="006D27AE">
        <w:rPr>
          <w:bCs/>
        </w:rPr>
        <w:t xml:space="preserve">ting </w:t>
      </w:r>
      <w:bookmarkStart w:id="107" w:name="dabmci_7d35fcbd4ddc4b08b59ca79eb40184c0"/>
      <w:r w:rsidRPr="00715165" w:rsidR="006D27AE">
        <w:rPr>
          <w:bCs/>
          <w:i/>
          <w:iCs/>
        </w:rPr>
        <w:t>Fogerty</w:t>
      </w:r>
      <w:r w:rsidRPr="00715165" w:rsidR="006D27AE">
        <w:rPr>
          <w:bCs/>
        </w:rPr>
        <w:t>, at p. 527</w:t>
      </w:r>
      <w:bookmarkEnd w:id="107"/>
      <w:r w:rsidRPr="00715165" w:rsidR="006D27AE">
        <w:rPr>
          <w:bCs/>
        </w:rPr>
        <w:t xml:space="preserve">.)  </w:t>
      </w:r>
      <w:r w:rsidRPr="00715165" w:rsidR="00DF1B42">
        <w:rPr>
          <w:bCs/>
        </w:rPr>
        <w:t xml:space="preserve">We see no similar need to strike a balance between conflicting aims under the Political Reform Act.  Maximizing the number of meritorious suits through the Political Reform Act’s private enforcement mechanism is of primary importance.  Encouraging such claims is the best way to further the act’s objective of ensuring that </w:t>
      </w:r>
      <w:r w:rsidR="007D1DF0">
        <w:rPr>
          <w:bCs/>
        </w:rPr>
        <w:t xml:space="preserve">“[a]dequate enforcement mechanisms . . . be provided </w:t>
      </w:r>
      <w:r w:rsidR="00C50E07">
        <w:rPr>
          <w:bCs/>
        </w:rPr>
        <w:t>to public officials and private citizens</w:t>
      </w:r>
      <w:r w:rsidR="00665CE3">
        <w:rPr>
          <w:bCs/>
        </w:rPr>
        <w:t>.</w:t>
      </w:r>
      <w:r w:rsidR="00C50E07">
        <w:rPr>
          <w:bCs/>
        </w:rPr>
        <w:t>”</w:t>
      </w:r>
      <w:r w:rsidR="00665CE3">
        <w:rPr>
          <w:bCs/>
        </w:rPr>
        <w:t xml:space="preserve">  </w:t>
      </w:r>
      <w:r w:rsidR="00344A4C">
        <w:rPr>
          <w:bCs/>
        </w:rPr>
        <w:t>(</w:t>
      </w:r>
      <w:r w:rsidRPr="00715165" w:rsidR="00665CE3">
        <w:rPr>
          <w:bCs/>
        </w:rPr>
        <w:t>§ </w:t>
      </w:r>
      <w:r w:rsidR="00665CE3">
        <w:rPr>
          <w:bCs/>
        </w:rPr>
        <w:t xml:space="preserve">81002, subd. (f); see also </w:t>
      </w:r>
      <w:bookmarkStart w:id="108" w:name="dabmci_d05de066d5cf497c80a13c8a1a913009"/>
      <w:r w:rsidRPr="00A337D5" w:rsidR="001609B1">
        <w:rPr>
          <w:bCs/>
          <w:i/>
          <w:iCs/>
        </w:rPr>
        <w:t>id</w:t>
      </w:r>
      <w:r w:rsidR="001609B1">
        <w:rPr>
          <w:bCs/>
        </w:rPr>
        <w:t>.</w:t>
      </w:r>
      <w:r w:rsidR="00665CE3">
        <w:rPr>
          <w:bCs/>
        </w:rPr>
        <w:t>,</w:t>
      </w:r>
      <w:bookmarkEnd w:id="108"/>
      <w:r w:rsidR="00665CE3">
        <w:rPr>
          <w:bCs/>
        </w:rPr>
        <w:t xml:space="preserve"> subd. (a) [finding that “[r]eceipts and expenditures in election campaigns should be fully and truthfully disclosed in order that the voters may be fully informed and improper practices may be inhibited”]</w:t>
      </w:r>
      <w:r w:rsidRPr="00715165" w:rsidR="00DF1B42">
        <w:rPr>
          <w:bCs/>
        </w:rPr>
        <w:t>.)  A</w:t>
      </w:r>
      <w:r w:rsidRPr="00715165">
        <w:rPr>
          <w:bCs/>
        </w:rPr>
        <w:t xml:space="preserve"> rule allowing defendants to recover their attorney</w:t>
      </w:r>
      <w:r w:rsidRPr="00715165" w:rsidR="00FF17E7">
        <w:rPr>
          <w:bCs/>
        </w:rPr>
        <w:t>’s</w:t>
      </w:r>
      <w:r w:rsidRPr="00715165">
        <w:rPr>
          <w:bCs/>
        </w:rPr>
        <w:t xml:space="preserve"> fees whenever they prevail would </w:t>
      </w:r>
      <w:r w:rsidRPr="00715165" w:rsidR="00DF1B42">
        <w:rPr>
          <w:bCs/>
        </w:rPr>
        <w:t xml:space="preserve">discourage </w:t>
      </w:r>
      <w:r w:rsidRPr="00715165">
        <w:rPr>
          <w:bCs/>
        </w:rPr>
        <w:t xml:space="preserve">a large number of </w:t>
      </w:r>
      <w:r w:rsidRPr="00715165" w:rsidR="00DF1B42">
        <w:rPr>
          <w:bCs/>
        </w:rPr>
        <w:t xml:space="preserve">plaintiffs </w:t>
      </w:r>
      <w:r w:rsidRPr="00715165">
        <w:rPr>
          <w:bCs/>
        </w:rPr>
        <w:t xml:space="preserve">who may have colorable claims but </w:t>
      </w:r>
      <w:r w:rsidRPr="00715165">
        <w:rPr>
          <w:bCs/>
        </w:rPr>
        <w:t>“ ‘who dare not risk the financial ruin caused by an award of attorney fees if they ultimately do not succeed.’ ”  (</w:t>
      </w:r>
      <w:bookmarkStart w:id="109" w:name="dabmci_5ac65dafd647434598eb8a6e390d545a"/>
      <w:r w:rsidRPr="00715165">
        <w:rPr>
          <w:bCs/>
          <w:i/>
          <w:iCs/>
        </w:rPr>
        <w:t>Williams</w:t>
      </w:r>
      <w:r w:rsidRPr="00715165">
        <w:rPr>
          <w:bCs/>
        </w:rPr>
        <w:t xml:space="preserve">, </w:t>
      </w:r>
      <w:r w:rsidRPr="00715165">
        <w:rPr>
          <w:bCs/>
          <w:i/>
          <w:iCs/>
        </w:rPr>
        <w:t>supra</w:t>
      </w:r>
      <w:r w:rsidRPr="00715165">
        <w:rPr>
          <w:bCs/>
        </w:rPr>
        <w:t>, 61</w:t>
      </w:r>
      <w:r w:rsidR="00E1296E">
        <w:rPr>
          <w:bCs/>
        </w:rPr>
        <w:t> </w:t>
      </w:r>
      <w:r w:rsidRPr="00715165">
        <w:rPr>
          <w:bCs/>
        </w:rPr>
        <w:t>Cal.4th at p. 103</w:t>
      </w:r>
      <w:bookmarkEnd w:id="109"/>
      <w:r w:rsidRPr="00715165">
        <w:rPr>
          <w:bCs/>
        </w:rPr>
        <w:t xml:space="preserve">.)  </w:t>
      </w:r>
    </w:p>
    <w:p w:rsidR="00254C05" w:rsidRPr="00715165" w:rsidP="00715165">
      <w:pPr>
        <w:ind w:firstLine="720"/>
        <w:rPr>
          <w:bCs/>
        </w:rPr>
      </w:pPr>
      <w:r w:rsidRPr="00715165">
        <w:rPr>
          <w:bCs/>
        </w:rPr>
        <w:t>Although the Court of Appeal correctly recognized the difficulty in generalizing about the relative resources available to plaintiffs and defendants in Political Reform Act litigation (</w:t>
      </w:r>
      <w:bookmarkStart w:id="110" w:name="dabmci_24a9d6d126f4406d95f3df625c984afd"/>
      <w:r w:rsidRPr="00715165">
        <w:rPr>
          <w:bCs/>
          <w:i/>
          <w:iCs/>
        </w:rPr>
        <w:t>Travis</w:t>
      </w:r>
      <w:r w:rsidRPr="00715165">
        <w:rPr>
          <w:bCs/>
        </w:rPr>
        <w:t xml:space="preserve">, </w:t>
      </w:r>
      <w:r w:rsidRPr="00715165">
        <w:rPr>
          <w:bCs/>
          <w:i/>
          <w:iCs/>
        </w:rPr>
        <w:t>supra</w:t>
      </w:r>
      <w:r w:rsidRPr="00715165">
        <w:rPr>
          <w:bCs/>
        </w:rPr>
        <w:t>, 62 Cal.App.5th at p. 264</w:t>
      </w:r>
      <w:bookmarkEnd w:id="110"/>
      <w:r w:rsidRPr="00715165">
        <w:rPr>
          <w:bCs/>
        </w:rPr>
        <w:t xml:space="preserve"> [noting the resources available to either side could “ ‘ “run the gamut” ’ ”]), we do not believe this is a reason to </w:t>
      </w:r>
      <w:r w:rsidRPr="00715165" w:rsidR="00525449">
        <w:rPr>
          <w:bCs/>
        </w:rPr>
        <w:t xml:space="preserve">reject the approach outlined in </w:t>
      </w:r>
      <w:r w:rsidRPr="00715165" w:rsidR="00525449">
        <w:rPr>
          <w:bCs/>
          <w:i/>
          <w:iCs/>
        </w:rPr>
        <w:t>Christiansburg</w:t>
      </w:r>
      <w:r w:rsidRPr="00715165" w:rsidR="00525449">
        <w:rPr>
          <w:bCs/>
        </w:rPr>
        <w:t xml:space="preserve">.  Even if some plaintiffs may have sufficient resources to pursue </w:t>
      </w:r>
      <w:r w:rsidRPr="00715165" w:rsidR="001A0D90">
        <w:rPr>
          <w:bCs/>
        </w:rPr>
        <w:t xml:space="preserve">their claims, that fact </w:t>
      </w:r>
      <w:r w:rsidRPr="00715165">
        <w:rPr>
          <w:bCs/>
        </w:rPr>
        <w:t>do</w:t>
      </w:r>
      <w:r w:rsidRPr="00715165" w:rsidR="00525449">
        <w:rPr>
          <w:bCs/>
        </w:rPr>
        <w:t>es</w:t>
      </w:r>
      <w:r w:rsidRPr="00715165">
        <w:rPr>
          <w:bCs/>
        </w:rPr>
        <w:t xml:space="preserve"> not undermine our conclusion that the statutory scheme here, which depends on an individual acting as a private attorney general to enforce a law for a public benefit, is more like the antidiscrimination laws at issue in </w:t>
      </w:r>
      <w:r w:rsidRPr="00715165">
        <w:rPr>
          <w:bCs/>
          <w:i/>
          <w:iCs/>
        </w:rPr>
        <w:t>Christiansburg</w:t>
      </w:r>
      <w:r w:rsidRPr="00715165">
        <w:rPr>
          <w:bCs/>
        </w:rPr>
        <w:t xml:space="preserve"> </w:t>
      </w:r>
      <w:r w:rsidRPr="00715165" w:rsidR="001A0D90">
        <w:rPr>
          <w:bCs/>
        </w:rPr>
        <w:t xml:space="preserve">(and those </w:t>
      </w:r>
      <w:r w:rsidR="00BC13DF">
        <w:rPr>
          <w:bCs/>
        </w:rPr>
        <w:t>laws</w:t>
      </w:r>
      <w:r w:rsidR="00417E50">
        <w:rPr>
          <w:bCs/>
        </w:rPr>
        <w:t xml:space="preserve"> </w:t>
      </w:r>
      <w:r w:rsidRPr="00715165" w:rsidR="001A0D90">
        <w:rPr>
          <w:bCs/>
        </w:rPr>
        <w:t xml:space="preserve">discussed </w:t>
      </w:r>
      <w:r w:rsidRPr="00715165" w:rsidR="001A0D90">
        <w:rPr>
          <w:bCs/>
          <w:i/>
          <w:iCs/>
        </w:rPr>
        <w:t>post</w:t>
      </w:r>
      <w:r w:rsidRPr="00715165" w:rsidR="001A0D90">
        <w:rPr>
          <w:bCs/>
        </w:rPr>
        <w:t xml:space="preserve">) </w:t>
      </w:r>
      <w:r w:rsidRPr="00715165">
        <w:rPr>
          <w:bCs/>
        </w:rPr>
        <w:t xml:space="preserve">than the copyright scheme at issue in </w:t>
      </w:r>
      <w:bookmarkStart w:id="111" w:name="dabmci_0e5558d2d77c451c8eb726c54a84e5d0"/>
      <w:r w:rsidRPr="00715165">
        <w:rPr>
          <w:bCs/>
          <w:i/>
          <w:iCs/>
        </w:rPr>
        <w:t>Fogerty</w:t>
      </w:r>
      <w:bookmarkEnd w:id="111"/>
      <w:r w:rsidRPr="00715165">
        <w:rPr>
          <w:bCs/>
        </w:rPr>
        <w:t xml:space="preserve">.  Indeed, a rule subjecting unsuccessful plaintiffs to substantial financial risk in Political Reform Act cases, where the plaintiff </w:t>
      </w:r>
      <w:r w:rsidR="00735205">
        <w:rPr>
          <w:bCs/>
        </w:rPr>
        <w:t xml:space="preserve">often will </w:t>
      </w:r>
      <w:r w:rsidR="00216CEA">
        <w:rPr>
          <w:bCs/>
        </w:rPr>
        <w:t xml:space="preserve">have </w:t>
      </w:r>
      <w:r w:rsidRPr="00715165">
        <w:rPr>
          <w:bCs/>
        </w:rPr>
        <w:t xml:space="preserve">suffered </w:t>
      </w:r>
      <w:r w:rsidR="005B1E5E">
        <w:rPr>
          <w:bCs/>
        </w:rPr>
        <w:t>no</w:t>
      </w:r>
      <w:r w:rsidRPr="00715165">
        <w:rPr>
          <w:bCs/>
        </w:rPr>
        <w:t xml:space="preserve"> particularized harm, would discourage all but a few from seeking to enforce laws vital </w:t>
      </w:r>
      <w:r w:rsidR="00A36CAF">
        <w:rPr>
          <w:bCs/>
        </w:rPr>
        <w:t>to</w:t>
      </w:r>
      <w:r w:rsidRPr="00715165" w:rsidR="00A36CAF">
        <w:rPr>
          <w:bCs/>
        </w:rPr>
        <w:t xml:space="preserve"> </w:t>
      </w:r>
      <w:r w:rsidRPr="00715165">
        <w:rPr>
          <w:bCs/>
        </w:rPr>
        <w:t xml:space="preserve">ensuring transparency in the political process.  We therefore cannot say that the factors justifying the </w:t>
      </w:r>
      <w:r w:rsidRPr="00715165">
        <w:rPr>
          <w:bCs/>
          <w:i/>
          <w:iCs/>
        </w:rPr>
        <w:t>Christiansburg</w:t>
      </w:r>
      <w:r w:rsidRPr="00715165">
        <w:rPr>
          <w:bCs/>
        </w:rPr>
        <w:t xml:space="preserve"> rule are “absent” here.  (</w:t>
      </w:r>
      <w:bookmarkStart w:id="112" w:name="dabmci_186a006cf9424c54a476b6ad2bfca74a"/>
      <w:r w:rsidRPr="00715165">
        <w:rPr>
          <w:bCs/>
          <w:i/>
          <w:iCs/>
        </w:rPr>
        <w:t>Fogerty</w:t>
      </w:r>
      <w:r w:rsidRPr="00715165">
        <w:rPr>
          <w:bCs/>
        </w:rPr>
        <w:t xml:space="preserve">, </w:t>
      </w:r>
      <w:r w:rsidRPr="00715165">
        <w:rPr>
          <w:bCs/>
          <w:i/>
          <w:iCs/>
        </w:rPr>
        <w:t>supra</w:t>
      </w:r>
      <w:r w:rsidRPr="00715165">
        <w:rPr>
          <w:bCs/>
        </w:rPr>
        <w:t>, 510 U.S. at p.</w:t>
      </w:r>
      <w:r w:rsidRPr="00715165" w:rsidR="001A0D90">
        <w:rPr>
          <w:bCs/>
        </w:rPr>
        <w:t> </w:t>
      </w:r>
      <w:r w:rsidRPr="00715165">
        <w:rPr>
          <w:bCs/>
        </w:rPr>
        <w:t>523</w:t>
      </w:r>
      <w:bookmarkEnd w:id="112"/>
      <w:r w:rsidRPr="00715165">
        <w:rPr>
          <w:bCs/>
        </w:rPr>
        <w:t xml:space="preserve">.)  </w:t>
      </w:r>
    </w:p>
    <w:p w:rsidR="00E70183" w:rsidP="003865E9">
      <w:pPr>
        <w:ind w:firstLine="720"/>
        <w:rPr>
          <w:bCs/>
        </w:rPr>
      </w:pPr>
      <w:r w:rsidRPr="00715165">
        <w:rPr>
          <w:bCs/>
        </w:rPr>
        <w:t xml:space="preserve">The </w:t>
      </w:r>
      <w:r w:rsidRPr="00715165" w:rsidR="00757FC1">
        <w:rPr>
          <w:bCs/>
        </w:rPr>
        <w:t xml:space="preserve">Court of Appeal’s </w:t>
      </w:r>
      <w:r w:rsidRPr="00715165" w:rsidR="00DF1B42">
        <w:rPr>
          <w:bCs/>
        </w:rPr>
        <w:t xml:space="preserve">ruling below </w:t>
      </w:r>
      <w:r w:rsidRPr="00715165" w:rsidR="00757FC1">
        <w:rPr>
          <w:bCs/>
        </w:rPr>
        <w:t xml:space="preserve">does not </w:t>
      </w:r>
      <w:r w:rsidRPr="00715165" w:rsidR="00373775">
        <w:rPr>
          <w:bCs/>
        </w:rPr>
        <w:t>accurately c</w:t>
      </w:r>
      <w:r w:rsidRPr="00715165" w:rsidR="00D6481B">
        <w:rPr>
          <w:bCs/>
        </w:rPr>
        <w:t>apture</w:t>
      </w:r>
      <w:r w:rsidRPr="00715165" w:rsidR="00373775">
        <w:rPr>
          <w:bCs/>
        </w:rPr>
        <w:t xml:space="preserve"> the distinct interests of plaintiffs under the two </w:t>
      </w:r>
      <w:r w:rsidRPr="00715165" w:rsidR="00D6481B">
        <w:rPr>
          <w:bCs/>
        </w:rPr>
        <w:t>statutory schemes, either</w:t>
      </w:r>
      <w:r w:rsidRPr="00715165" w:rsidR="00757FC1">
        <w:rPr>
          <w:bCs/>
        </w:rPr>
        <w:t xml:space="preserve">.  </w:t>
      </w:r>
      <w:r w:rsidR="001A200E">
        <w:rPr>
          <w:bCs/>
        </w:rPr>
        <w:t xml:space="preserve">While the typical </w:t>
      </w:r>
      <w:r w:rsidRPr="00725392" w:rsidR="001A200E">
        <w:rPr>
          <w:bCs/>
        </w:rPr>
        <w:t>plaintiff in a copyright suit will generally be pursuing that plaintiff’s</w:t>
      </w:r>
      <w:r w:rsidR="001A200E">
        <w:rPr>
          <w:bCs/>
        </w:rPr>
        <w:t xml:space="preserve"> </w:t>
      </w:r>
      <w:r w:rsidR="00725392">
        <w:rPr>
          <w:bCs/>
        </w:rPr>
        <w:t xml:space="preserve">own interests, the typical plaintiff under the Political Reform Act represents broader interests.  As the </w:t>
      </w:r>
      <w:r w:rsidR="00725392">
        <w:rPr>
          <w:bCs/>
          <w:i/>
          <w:iCs/>
        </w:rPr>
        <w:t>Hedgecock</w:t>
      </w:r>
      <w:r w:rsidR="00725392">
        <w:rPr>
          <w:bCs/>
        </w:rPr>
        <w:t xml:space="preserve"> court </w:t>
      </w:r>
      <w:r w:rsidR="003865E9">
        <w:rPr>
          <w:bCs/>
        </w:rPr>
        <w:t xml:space="preserve">aptly recognized, </w:t>
      </w:r>
      <w:r w:rsidRPr="00715165" w:rsidR="008C23AB">
        <w:rPr>
          <w:bCs/>
        </w:rPr>
        <w:t>the award of attorney</w:t>
      </w:r>
      <w:r w:rsidRPr="00715165" w:rsidR="000A10A4">
        <w:rPr>
          <w:bCs/>
        </w:rPr>
        <w:t xml:space="preserve">’s </w:t>
      </w:r>
      <w:r w:rsidRPr="00715165" w:rsidR="008C23AB">
        <w:rPr>
          <w:bCs/>
        </w:rPr>
        <w:t xml:space="preserve">fees </w:t>
      </w:r>
      <w:r w:rsidRPr="00715165" w:rsidR="00FD4327">
        <w:rPr>
          <w:bCs/>
        </w:rPr>
        <w:t xml:space="preserve">under the Political Reform Act </w:t>
      </w:r>
      <w:r w:rsidRPr="00715165" w:rsidR="008C23AB">
        <w:rPr>
          <w:bCs/>
        </w:rPr>
        <w:t>is “designed to ameliorate the burden on the individual citizen who seeks to remedy what is essentially a collective wrong.”  (</w:t>
      </w:r>
      <w:bookmarkStart w:id="113" w:name="dabmci_eb15cd4ccce845a09e8d1d133308fa83"/>
      <w:r w:rsidRPr="00715165" w:rsidR="008C23AB">
        <w:rPr>
          <w:bCs/>
          <w:i/>
          <w:iCs/>
        </w:rPr>
        <w:t>Hedgecock</w:t>
      </w:r>
      <w:r w:rsidRPr="00715165" w:rsidR="008C23AB">
        <w:rPr>
          <w:bCs/>
        </w:rPr>
        <w:t xml:space="preserve">, </w:t>
      </w:r>
      <w:r w:rsidRPr="00715165" w:rsidR="008C23AB">
        <w:rPr>
          <w:bCs/>
          <w:i/>
          <w:iCs/>
        </w:rPr>
        <w:t>supra</w:t>
      </w:r>
      <w:r w:rsidRPr="00715165" w:rsidR="008C23AB">
        <w:rPr>
          <w:bCs/>
        </w:rPr>
        <w:t>, 183 Cal.App.3d at p.</w:t>
      </w:r>
      <w:r w:rsidRPr="00715165" w:rsidR="000A632B">
        <w:rPr>
          <w:bCs/>
        </w:rPr>
        <w:t> </w:t>
      </w:r>
      <w:r w:rsidRPr="00715165" w:rsidR="008C23AB">
        <w:rPr>
          <w:bCs/>
        </w:rPr>
        <w:t>817</w:t>
      </w:r>
      <w:bookmarkEnd w:id="113"/>
      <w:r w:rsidRPr="00715165" w:rsidR="008C23AB">
        <w:rPr>
          <w:bCs/>
        </w:rPr>
        <w:t>.)</w:t>
      </w:r>
      <w:r w:rsidR="002F523F">
        <w:rPr>
          <w:bCs/>
        </w:rPr>
        <w:t xml:space="preserve">  </w:t>
      </w:r>
    </w:p>
    <w:p w:rsidR="00AD0122" w:rsidRPr="00715165" w:rsidP="00344A4C">
      <w:pPr>
        <w:ind w:firstLine="720"/>
        <w:rPr>
          <w:bCs/>
        </w:rPr>
      </w:pPr>
      <w:r>
        <w:rPr>
          <w:bCs/>
        </w:rPr>
        <w:t xml:space="preserve">A defendant’s interests </w:t>
      </w:r>
      <w:r w:rsidR="002B5141">
        <w:rPr>
          <w:bCs/>
        </w:rPr>
        <w:t xml:space="preserve">under the Copyright Act are also </w:t>
      </w:r>
      <w:r w:rsidR="007537B4">
        <w:rPr>
          <w:bCs/>
        </w:rPr>
        <w:t xml:space="preserve">distinguishable from a defendant’s interests under the Political Reform Act.  </w:t>
      </w:r>
      <w:r w:rsidR="006B1055">
        <w:rPr>
          <w:bCs/>
        </w:rPr>
        <w:t xml:space="preserve">The high court </w:t>
      </w:r>
      <w:r w:rsidR="00030343">
        <w:rPr>
          <w:bCs/>
        </w:rPr>
        <w:t xml:space="preserve">emphasized that </w:t>
      </w:r>
      <w:r w:rsidR="008A685F">
        <w:rPr>
          <w:bCs/>
        </w:rPr>
        <w:t xml:space="preserve">the successful defense of a copyright action “may further the </w:t>
      </w:r>
      <w:r w:rsidR="008E4123">
        <w:rPr>
          <w:bCs/>
        </w:rPr>
        <w:t>policies of the Copyright Act every bit as much</w:t>
      </w:r>
      <w:r w:rsidR="00364886">
        <w:rPr>
          <w:bCs/>
        </w:rPr>
        <w:t>” as the successful prosecution</w:t>
      </w:r>
      <w:r w:rsidR="002A2301">
        <w:rPr>
          <w:bCs/>
        </w:rPr>
        <w:t xml:space="preserve"> of</w:t>
      </w:r>
      <w:r w:rsidR="00364886">
        <w:rPr>
          <w:bCs/>
        </w:rPr>
        <w:t xml:space="preserve"> </w:t>
      </w:r>
      <w:r w:rsidR="00D25C21">
        <w:rPr>
          <w:bCs/>
        </w:rPr>
        <w:t>an infringement claim.  (</w:t>
      </w:r>
      <w:bookmarkStart w:id="114" w:name="dabmci_0a5fe16c3b254a269690fc4212d84043"/>
      <w:r w:rsidR="00D25C21">
        <w:rPr>
          <w:bCs/>
          <w:i/>
          <w:iCs/>
        </w:rPr>
        <w:t>Fogerty</w:t>
      </w:r>
      <w:r w:rsidR="00D25C21">
        <w:rPr>
          <w:bCs/>
        </w:rPr>
        <w:t xml:space="preserve">, </w:t>
      </w:r>
      <w:r w:rsidR="00D25C21">
        <w:rPr>
          <w:bCs/>
          <w:i/>
          <w:iCs/>
        </w:rPr>
        <w:t>supra</w:t>
      </w:r>
      <w:r w:rsidR="00D25C21">
        <w:rPr>
          <w:bCs/>
        </w:rPr>
        <w:t xml:space="preserve">, </w:t>
      </w:r>
      <w:r w:rsidR="002A2301">
        <w:rPr>
          <w:bCs/>
        </w:rPr>
        <w:t>510 U.S. at p. 527</w:t>
      </w:r>
      <w:bookmarkEnd w:id="114"/>
      <w:r w:rsidR="002A2301">
        <w:rPr>
          <w:bCs/>
        </w:rPr>
        <w:t>.)</w:t>
      </w:r>
      <w:r w:rsidR="007D6E4C">
        <w:rPr>
          <w:bCs/>
        </w:rPr>
        <w:t xml:space="preserve">  </w:t>
      </w:r>
      <w:r w:rsidR="00C16141">
        <w:rPr>
          <w:bCs/>
        </w:rPr>
        <w:t xml:space="preserve">A successful defense of an action under the Political Reform Act, by contrast, </w:t>
      </w:r>
      <w:r w:rsidR="005D3F2F">
        <w:rPr>
          <w:bCs/>
        </w:rPr>
        <w:t xml:space="preserve">merely confirms that the </w:t>
      </w:r>
      <w:r w:rsidR="00101C88">
        <w:rPr>
          <w:bCs/>
        </w:rPr>
        <w:t xml:space="preserve">action lacks merit.  </w:t>
      </w:r>
      <w:r w:rsidR="00665CE3">
        <w:rPr>
          <w:bCs/>
        </w:rPr>
        <w:t xml:space="preserve">As plaintiffs note, whereas a nonprevailing defendant in a Political Reform Act lawsuit has violated the law and the public policy underlying the statutory scheme, a nonprevailing plaintiff is “guilty only of bringing an unsuccessful suit.”  </w:t>
      </w:r>
      <w:r w:rsidR="00101C88">
        <w:rPr>
          <w:bCs/>
        </w:rPr>
        <w:t xml:space="preserve">There is no overriding equitable reason to </w:t>
      </w:r>
      <w:r w:rsidR="00F1134E">
        <w:rPr>
          <w:bCs/>
        </w:rPr>
        <w:t>a</w:t>
      </w:r>
      <w:r w:rsidR="00101C88">
        <w:rPr>
          <w:bCs/>
        </w:rPr>
        <w:t xml:space="preserve">ward </w:t>
      </w:r>
      <w:r w:rsidR="00F1134E">
        <w:rPr>
          <w:bCs/>
        </w:rPr>
        <w:t xml:space="preserve">fees to </w:t>
      </w:r>
      <w:r w:rsidR="00101C88">
        <w:rPr>
          <w:bCs/>
        </w:rPr>
        <w:t xml:space="preserve">a prevailing defendant </w:t>
      </w:r>
      <w:r w:rsidR="005326D4">
        <w:rPr>
          <w:bCs/>
        </w:rPr>
        <w:t xml:space="preserve">in </w:t>
      </w:r>
      <w:r w:rsidR="002F523F">
        <w:rPr>
          <w:bCs/>
        </w:rPr>
        <w:t xml:space="preserve">a Political Reform Act </w:t>
      </w:r>
      <w:r w:rsidR="005326D4">
        <w:rPr>
          <w:bCs/>
        </w:rPr>
        <w:t xml:space="preserve">action unless the lawsuit </w:t>
      </w:r>
      <w:r w:rsidR="006C4752">
        <w:rPr>
          <w:bCs/>
        </w:rPr>
        <w:t>“</w:t>
      </w:r>
      <w:r w:rsidR="00F74EDC">
        <w:rPr>
          <w:bCs/>
        </w:rPr>
        <w:t xml:space="preserve">was </w:t>
      </w:r>
      <w:r w:rsidR="00E90C1A">
        <w:rPr>
          <w:bCs/>
        </w:rPr>
        <w:t>objectively without foundation when brought</w:t>
      </w:r>
      <w:r w:rsidR="006C4752">
        <w:rPr>
          <w:bCs/>
        </w:rPr>
        <w:t>,</w:t>
      </w:r>
      <w:r w:rsidR="00916F84">
        <w:rPr>
          <w:bCs/>
        </w:rPr>
        <w:t xml:space="preserve"> or the plaintiff </w:t>
      </w:r>
      <w:r w:rsidR="002A6358">
        <w:rPr>
          <w:bCs/>
        </w:rPr>
        <w:t>continued to litigate after it clearly became so.</w:t>
      </w:r>
      <w:r w:rsidR="006C4752">
        <w:rPr>
          <w:bCs/>
        </w:rPr>
        <w:t>”  (</w:t>
      </w:r>
      <w:bookmarkStart w:id="115" w:name="dabmci_463a76d6b4c14dc9b9a431da06e46726"/>
      <w:r w:rsidR="006C4752">
        <w:rPr>
          <w:bCs/>
          <w:i/>
          <w:iCs/>
        </w:rPr>
        <w:t>Williams</w:t>
      </w:r>
      <w:r w:rsidR="006C4752">
        <w:rPr>
          <w:bCs/>
        </w:rPr>
        <w:t xml:space="preserve">, </w:t>
      </w:r>
      <w:r w:rsidR="006C4752">
        <w:rPr>
          <w:bCs/>
          <w:i/>
          <w:iCs/>
        </w:rPr>
        <w:t>supra</w:t>
      </w:r>
      <w:r w:rsidR="006C4752">
        <w:rPr>
          <w:bCs/>
        </w:rPr>
        <w:t xml:space="preserve">, 61 Cal.4th at p. </w:t>
      </w:r>
      <w:r w:rsidR="0078352B">
        <w:rPr>
          <w:bCs/>
        </w:rPr>
        <w:t>115</w:t>
      </w:r>
      <w:bookmarkEnd w:id="115"/>
      <w:r w:rsidR="0078352B">
        <w:rPr>
          <w:bCs/>
        </w:rPr>
        <w:t>.)</w:t>
      </w:r>
      <w:r>
        <w:rPr>
          <w:rStyle w:val="FootnoteReference"/>
          <w:bCs/>
        </w:rPr>
        <w:footnoteReference w:id="9"/>
      </w:r>
      <w:r w:rsidR="00916F84">
        <w:rPr>
          <w:bCs/>
        </w:rPr>
        <w:t xml:space="preserve"> </w:t>
      </w:r>
      <w:r w:rsidR="00E90C1A">
        <w:rPr>
          <w:bCs/>
        </w:rPr>
        <w:t xml:space="preserve"> </w:t>
      </w:r>
    </w:p>
    <w:p w:rsidR="00B600A6" w:rsidP="00715165">
      <w:pPr>
        <w:tabs>
          <w:tab w:val="left" w:pos="1440"/>
        </w:tabs>
        <w:ind w:firstLine="720"/>
        <w:rPr>
          <w:bCs/>
        </w:rPr>
      </w:pPr>
      <w:r>
        <w:rPr>
          <w:bCs/>
        </w:rPr>
        <w:t xml:space="preserve">This court interpreted yet another similarly worded fee statute as </w:t>
      </w:r>
      <w:r w:rsidR="000F3FB3">
        <w:rPr>
          <w:bCs/>
        </w:rPr>
        <w:t xml:space="preserve">articulating an asymmetrical standard </w:t>
      </w:r>
      <w:r w:rsidRPr="00715165" w:rsidR="001D06C5">
        <w:rPr>
          <w:bCs/>
        </w:rPr>
        <w:t xml:space="preserve">in </w:t>
      </w:r>
      <w:bookmarkStart w:id="116" w:name="dabmci_e5f1cf41eb984b9da557c03c08d79db6"/>
      <w:r w:rsidRPr="00715165" w:rsidR="001D06C5">
        <w:rPr>
          <w:bCs/>
          <w:i/>
          <w:iCs/>
        </w:rPr>
        <w:t>Williams</w:t>
      </w:r>
      <w:r w:rsidRPr="00715165" w:rsidR="001D06C5">
        <w:rPr>
          <w:bCs/>
        </w:rPr>
        <w:t xml:space="preserve">, </w:t>
      </w:r>
      <w:r w:rsidRPr="00916F84" w:rsidR="00E90C1A">
        <w:rPr>
          <w:bCs/>
          <w:i/>
          <w:iCs/>
        </w:rPr>
        <w:t>supra</w:t>
      </w:r>
      <w:r w:rsidR="00916F84">
        <w:rPr>
          <w:bCs/>
        </w:rPr>
        <w:t xml:space="preserve">, </w:t>
      </w:r>
      <w:r w:rsidRPr="00916F84" w:rsidR="001D06C5">
        <w:t>61</w:t>
      </w:r>
      <w:r w:rsidRPr="00715165" w:rsidR="001D06C5">
        <w:t xml:space="preserve"> Cal.4th 97</w:t>
      </w:r>
      <w:bookmarkEnd w:id="116"/>
      <w:r w:rsidRPr="00715165" w:rsidR="001D06C5">
        <w:t xml:space="preserve">.  </w:t>
      </w:r>
      <w:r w:rsidRPr="00715165" w:rsidR="001D06C5">
        <w:rPr>
          <w:bCs/>
        </w:rPr>
        <w:t>The statute at issue in that case, a provision of the California Fair Employment and Housing Act (§ 12900 et seq.; FEHA), provided that “ ‘the court, in its discretion, may award to the prevailing party . . . reasonable attorney’s fees and costs . . . .’ ”  (</w:t>
      </w:r>
      <w:bookmarkStart w:id="117" w:name="dabmci_9bf412b340e2466aa38e0e3f70d732fa"/>
      <w:r w:rsidRPr="00715165" w:rsidR="001D06C5">
        <w:rPr>
          <w:bCs/>
          <w:i/>
          <w:iCs/>
        </w:rPr>
        <w:t>Williams</w:t>
      </w:r>
      <w:r w:rsidRPr="00715165" w:rsidR="001D06C5">
        <w:rPr>
          <w:bCs/>
        </w:rPr>
        <w:t>, at p. 101</w:t>
      </w:r>
      <w:bookmarkEnd w:id="117"/>
      <w:r w:rsidRPr="00715165" w:rsidR="001D06C5">
        <w:rPr>
          <w:bCs/>
        </w:rPr>
        <w:t>.)</w:t>
      </w:r>
      <w:r>
        <w:rPr>
          <w:rStyle w:val="FootnoteReference"/>
          <w:bCs/>
        </w:rPr>
        <w:footnoteReference w:id="10"/>
      </w:r>
      <w:r w:rsidRPr="00715165" w:rsidR="001D06C5">
        <w:rPr>
          <w:bCs/>
        </w:rPr>
        <w:t xml:space="preserve">  </w:t>
      </w:r>
      <w:r w:rsidRPr="00715165" w:rsidR="001D06C5">
        <w:rPr>
          <w:bCs/>
          <w:i/>
          <w:iCs/>
        </w:rPr>
        <w:t>Williams</w:t>
      </w:r>
      <w:r w:rsidRPr="00715165" w:rsidR="001D06C5">
        <w:rPr>
          <w:bCs/>
        </w:rPr>
        <w:t xml:space="preserve"> recognized that the Legislature in enacting the FEHA fee provision, like Congress in enacting the similar </w:t>
      </w:r>
      <w:r w:rsidR="00140398">
        <w:rPr>
          <w:bCs/>
        </w:rPr>
        <w:t>t</w:t>
      </w:r>
      <w:r w:rsidRPr="00715165" w:rsidR="001D06C5">
        <w:rPr>
          <w:bCs/>
        </w:rPr>
        <w:t xml:space="preserve">itle VII provision discussed in </w:t>
      </w:r>
      <w:r w:rsidRPr="00715165" w:rsidR="001D06C5">
        <w:rPr>
          <w:bCs/>
          <w:i/>
          <w:iCs/>
        </w:rPr>
        <w:t>Christiansburg</w:t>
      </w:r>
      <w:r w:rsidRPr="00715165" w:rsidR="001D06C5">
        <w:rPr>
          <w:bCs/>
        </w:rPr>
        <w:t xml:space="preserve">, had “sought </w:t>
      </w:r>
      <w:r w:rsidRPr="00715165" w:rsidR="00BB153F">
        <w:rPr>
          <w:bCs/>
        </w:rPr>
        <w:t>‘</w:t>
      </w:r>
      <w:r w:rsidRPr="00715165" w:rsidR="001D06C5">
        <w:rPr>
          <w:bCs/>
        </w:rPr>
        <w:t>to encourage persons injured by discrimination to seek judicial relief.’ ”  (</w:t>
      </w:r>
      <w:bookmarkStart w:id="120" w:name="dabmci_1673f294aa7a425f946330a7a96789ab"/>
      <w:r w:rsidRPr="00715165" w:rsidR="001D06C5">
        <w:rPr>
          <w:bCs/>
          <w:i/>
          <w:iCs/>
        </w:rPr>
        <w:t>Williams</w:t>
      </w:r>
      <w:r w:rsidRPr="00715165" w:rsidR="001D06C5">
        <w:rPr>
          <w:bCs/>
        </w:rPr>
        <w:t>, at p. 112</w:t>
      </w:r>
      <w:bookmarkEnd w:id="120"/>
      <w:r w:rsidRPr="00715165" w:rsidR="001D06C5">
        <w:rPr>
          <w:bCs/>
        </w:rPr>
        <w:t>, quoting Assem. Off. of Research, 3d reading analysis of Assem. Bill No. 1915 (1977–1978 Reg. Sess.) as amended Jan. 18, 1978, p. 1.)  This policy, we went on to observe, would be “frustrated if attorney fee awards were routinely made to prevailing defendants.”  (</w:t>
      </w:r>
      <w:bookmarkStart w:id="121" w:name="dabmci_32da231f29784eaaa66acf5b76daa812"/>
      <w:r w:rsidRPr="00344A4C" w:rsidR="002E29D2">
        <w:rPr>
          <w:bCs/>
          <w:i/>
          <w:iCs/>
        </w:rPr>
        <w:t>Williams</w:t>
      </w:r>
      <w:r w:rsidR="002E29D2">
        <w:rPr>
          <w:bCs/>
        </w:rPr>
        <w:t>,</w:t>
      </w:r>
      <w:r w:rsidRPr="00715165" w:rsidR="001D06C5">
        <w:rPr>
          <w:bCs/>
        </w:rPr>
        <w:t xml:space="preserve"> </w:t>
      </w:r>
      <w:r w:rsidR="002E29D2">
        <w:rPr>
          <w:bCs/>
        </w:rPr>
        <w:t>at p. 112</w:t>
      </w:r>
      <w:bookmarkEnd w:id="121"/>
      <w:r w:rsidR="002E29D2">
        <w:rPr>
          <w:bCs/>
        </w:rPr>
        <w:t xml:space="preserve">; see </w:t>
      </w:r>
      <w:bookmarkStart w:id="122" w:name="dabmci_c2fed3c52e1c4760a6dc4d5bec113dff"/>
      <w:r w:rsidRPr="00344A4C" w:rsidR="002E29D2">
        <w:rPr>
          <w:bCs/>
          <w:i/>
          <w:iCs/>
        </w:rPr>
        <w:t>id</w:t>
      </w:r>
      <w:r w:rsidR="002E29D2">
        <w:rPr>
          <w:bCs/>
        </w:rPr>
        <w:t xml:space="preserve">. </w:t>
      </w:r>
      <w:r w:rsidRPr="00715165" w:rsidR="001D06C5">
        <w:rPr>
          <w:bCs/>
        </w:rPr>
        <w:t>at pp. 113–114</w:t>
      </w:r>
      <w:bookmarkEnd w:id="122"/>
      <w:r w:rsidRPr="00715165" w:rsidR="001D06C5">
        <w:rPr>
          <w:bCs/>
        </w:rPr>
        <w:t xml:space="preserve">.)  To promote the legislative goal of private enforcement, we found it “inescapable” that the Legislature intended a trial court’s discretion in awarding fees to a prevailing defendant in FEHA cases “to be bounded by the </w:t>
      </w:r>
      <w:r w:rsidRPr="00715165" w:rsidR="001D06C5">
        <w:rPr>
          <w:bCs/>
          <w:i/>
          <w:iCs/>
        </w:rPr>
        <w:t>Christiansburg</w:t>
      </w:r>
      <w:r w:rsidRPr="00715165" w:rsidR="001D06C5">
        <w:rPr>
          <w:bCs/>
        </w:rPr>
        <w:t xml:space="preserve"> rule, or something very close to it.”  (</w:t>
      </w:r>
      <w:bookmarkStart w:id="123" w:name="dabmci_eae4ced0093c4af7a23087a6038606a1"/>
      <w:r w:rsidRPr="00715165" w:rsidR="001D06C5">
        <w:rPr>
          <w:bCs/>
          <w:i/>
          <w:iCs/>
        </w:rPr>
        <w:t>Williams</w:t>
      </w:r>
      <w:r w:rsidRPr="00715165" w:rsidR="001D06C5">
        <w:rPr>
          <w:bCs/>
        </w:rPr>
        <w:t>, at p. 112</w:t>
      </w:r>
      <w:bookmarkEnd w:id="123"/>
      <w:r w:rsidRPr="00715165" w:rsidR="001D06C5">
        <w:rPr>
          <w:bCs/>
        </w:rPr>
        <w:t xml:space="preserve">.)  Although the FEHA statute “did not ‘distinguish between awards to FEHA plaintiffs and to FEHA defendants,’ we concluded on the basis of legislative history and public policy that ‘the Legislature intended trial courts to use the </w:t>
      </w:r>
      <w:r w:rsidRPr="00715165" w:rsidR="001D06C5">
        <w:t xml:space="preserve">asymmetrical </w:t>
      </w:r>
      <w:r w:rsidRPr="00715165" w:rsidR="001D06C5">
        <w:rPr>
          <w:bCs/>
        </w:rPr>
        <w:t xml:space="preserve">standard of </w:t>
      </w:r>
      <w:r w:rsidRPr="00715165" w:rsidR="001D06C5">
        <w:rPr>
          <w:bCs/>
          <w:i/>
          <w:iCs/>
        </w:rPr>
        <w:t>Christiansburg</w:t>
      </w:r>
      <w:r w:rsidR="00D05BDB">
        <w:rPr>
          <w:bCs/>
        </w:rPr>
        <w:t> . . .</w:t>
      </w:r>
      <w:r w:rsidRPr="00715165" w:rsidR="001D06C5">
        <w:rPr>
          <w:bCs/>
        </w:rPr>
        <w:t xml:space="preserve"> as to both </w:t>
      </w:r>
      <w:r w:rsidRPr="00715165" w:rsidR="001D06C5">
        <w:t xml:space="preserve">fees </w:t>
      </w:r>
      <w:r w:rsidRPr="00715165" w:rsidR="001D06C5">
        <w:rPr>
          <w:bCs/>
        </w:rPr>
        <w:t>and costs.’ </w:t>
      </w:r>
      <w:bookmarkStart w:id="124" w:name="_Hlk121743576"/>
      <w:r w:rsidRPr="00715165" w:rsidR="001D06C5">
        <w:rPr>
          <w:bCs/>
        </w:rPr>
        <w:t>”  (</w:t>
      </w:r>
      <w:bookmarkStart w:id="125" w:name="dabmci_317172338dba4fe8acf91e8c27f357bc"/>
      <w:r w:rsidRPr="00715165" w:rsidR="001D06C5">
        <w:rPr>
          <w:bCs/>
          <w:i/>
          <w:iCs/>
        </w:rPr>
        <w:t>Pollock v. Tri-Modal Distribution Serv</w:t>
      </w:r>
      <w:r w:rsidR="002E29D2">
        <w:rPr>
          <w:bCs/>
          <w:i/>
          <w:iCs/>
        </w:rPr>
        <w:t>ices</w:t>
      </w:r>
      <w:r w:rsidRPr="00715165" w:rsidR="001D06C5">
        <w:rPr>
          <w:bCs/>
          <w:i/>
          <w:iCs/>
        </w:rPr>
        <w:t>, Inc.</w:t>
      </w:r>
      <w:r w:rsidRPr="00715165" w:rsidR="001D06C5">
        <w:rPr>
          <w:bCs/>
        </w:rPr>
        <w:t xml:space="preserve"> (2021) 11 Cal.5th 918, 949</w:t>
      </w:r>
      <w:r w:rsidRPr="00715165" w:rsidR="002B6488">
        <w:rPr>
          <w:bCs/>
        </w:rPr>
        <w:t xml:space="preserve"> (</w:t>
      </w:r>
      <w:r w:rsidRPr="00715165" w:rsidR="002B6488">
        <w:rPr>
          <w:bCs/>
          <w:i/>
          <w:iCs/>
        </w:rPr>
        <w:t>Pollock</w:t>
      </w:r>
      <w:r w:rsidRPr="00715165" w:rsidR="002B6488">
        <w:rPr>
          <w:bCs/>
        </w:rPr>
        <w:t>)</w:t>
      </w:r>
      <w:bookmarkEnd w:id="124"/>
      <w:bookmarkEnd w:id="125"/>
      <w:r w:rsidRPr="00715165" w:rsidR="001D06C5">
        <w:rPr>
          <w:bCs/>
        </w:rPr>
        <w:t xml:space="preserve">, </w:t>
      </w:r>
      <w:r w:rsidR="00D05BDB">
        <w:rPr>
          <w:bCs/>
        </w:rPr>
        <w:t>quo</w:t>
      </w:r>
      <w:r w:rsidRPr="00715165" w:rsidR="001D06C5">
        <w:rPr>
          <w:bCs/>
        </w:rPr>
        <w:t xml:space="preserve">ting </w:t>
      </w:r>
      <w:bookmarkStart w:id="126" w:name="dabmci_9948a5f466db417fac8d12b67b0cb940"/>
      <w:r w:rsidRPr="00715165" w:rsidR="001D06C5">
        <w:rPr>
          <w:bCs/>
          <w:i/>
          <w:iCs/>
        </w:rPr>
        <w:t>Williams</w:t>
      </w:r>
      <w:r w:rsidRPr="00715165" w:rsidR="001D06C5">
        <w:rPr>
          <w:bCs/>
        </w:rPr>
        <w:t>, at p. 109</w:t>
      </w:r>
      <w:bookmarkEnd w:id="126"/>
      <w:r w:rsidRPr="00715165" w:rsidR="001D06C5">
        <w:rPr>
          <w:bCs/>
        </w:rPr>
        <w:t xml:space="preserve">.)  </w:t>
      </w:r>
      <w:r w:rsidR="005E0B2B">
        <w:rPr>
          <w:bCs/>
        </w:rPr>
        <w:t xml:space="preserve">Applying the </w:t>
      </w:r>
      <w:r w:rsidR="001A46C4">
        <w:rPr>
          <w:bCs/>
          <w:i/>
          <w:iCs/>
        </w:rPr>
        <w:t>Christiansburg</w:t>
      </w:r>
      <w:r w:rsidR="0017534E">
        <w:rPr>
          <w:bCs/>
          <w:i/>
          <w:iCs/>
        </w:rPr>
        <w:t xml:space="preserve"> </w:t>
      </w:r>
      <w:r w:rsidRPr="00715165" w:rsidR="001D06C5">
        <w:rPr>
          <w:bCs/>
        </w:rPr>
        <w:t xml:space="preserve">standard, </w:t>
      </w:r>
      <w:r w:rsidR="00196B91">
        <w:rPr>
          <w:bCs/>
        </w:rPr>
        <w:t xml:space="preserve">and restating it without substantive revision, </w:t>
      </w:r>
      <w:r w:rsidRPr="00715165" w:rsidR="001D06C5">
        <w:rPr>
          <w:bCs/>
        </w:rPr>
        <w:t>we held</w:t>
      </w:r>
      <w:r w:rsidR="000D68AA">
        <w:rPr>
          <w:bCs/>
        </w:rPr>
        <w:t xml:space="preserve"> that</w:t>
      </w:r>
      <w:r w:rsidRPr="00715165" w:rsidR="001D06C5">
        <w:rPr>
          <w:bCs/>
        </w:rPr>
        <w:t xml:space="preserve"> “an unsuccessful FEHA plaintiff should not be ordered to pay the defendant’s fees or costs unless the plaintiff brought or continued litigating the action without an objective basis for believing it had potential merit.”  (</w:t>
      </w:r>
      <w:bookmarkStart w:id="127" w:name="dabmci_eb1218ed77564c36b87589d99d3e79ec"/>
      <w:r w:rsidRPr="00715165" w:rsidR="001D06C5">
        <w:rPr>
          <w:bCs/>
          <w:i/>
          <w:iCs/>
        </w:rPr>
        <w:t>Williams</w:t>
      </w:r>
      <w:r w:rsidRPr="00715165" w:rsidR="001D06C5">
        <w:rPr>
          <w:bCs/>
        </w:rPr>
        <w:t>, at pp. 99–100</w:t>
      </w:r>
      <w:bookmarkEnd w:id="127"/>
      <w:r w:rsidRPr="00715165" w:rsidR="001D06C5">
        <w:rPr>
          <w:bCs/>
        </w:rPr>
        <w:t xml:space="preserve">; </w:t>
      </w:r>
      <w:bookmarkStart w:id="128" w:name="dabmci_e55c379e659f4b7ca5a60e125385cdbb"/>
      <w:r w:rsidRPr="00715165" w:rsidR="001D06C5">
        <w:rPr>
          <w:bCs/>
          <w:i/>
          <w:iCs/>
        </w:rPr>
        <w:t>id</w:t>
      </w:r>
      <w:r w:rsidRPr="00715165" w:rsidR="001D06C5">
        <w:rPr>
          <w:bCs/>
        </w:rPr>
        <w:t>. at p. 115</w:t>
      </w:r>
      <w:bookmarkEnd w:id="128"/>
      <w:r w:rsidRPr="00715165" w:rsidR="001D06C5">
        <w:rPr>
          <w:bCs/>
        </w:rPr>
        <w:t xml:space="preserve"> [“A prevailing </w:t>
      </w:r>
      <w:r w:rsidRPr="00715165" w:rsidR="001D06C5">
        <w:rPr>
          <w:bCs/>
          <w:i/>
          <w:iCs/>
        </w:rPr>
        <w:t>defendant</w:t>
      </w:r>
      <w:r w:rsidRPr="00715165" w:rsidR="001D06C5">
        <w:rPr>
          <w:bCs/>
        </w:rPr>
        <w:t xml:space="preserve"> . . . should not be awarded fees and costs unless the court finds the action was objectively without foundation when brought, or the plaintiff continued to litigate after it clearly became so”].)  Thus, both the United States Supreme Court and this court have adopted </w:t>
      </w:r>
      <w:r w:rsidR="004E3AD4">
        <w:rPr>
          <w:bCs/>
        </w:rPr>
        <w:t>the same</w:t>
      </w:r>
      <w:r w:rsidRPr="00715165" w:rsidR="001D06C5">
        <w:rPr>
          <w:bCs/>
        </w:rPr>
        <w:t xml:space="preserve"> asymmetrical fee</w:t>
      </w:r>
      <w:r w:rsidR="00210057">
        <w:rPr>
          <w:bCs/>
        </w:rPr>
        <w:t>-</w:t>
      </w:r>
      <w:r w:rsidRPr="00715165" w:rsidR="001D06C5">
        <w:rPr>
          <w:bCs/>
        </w:rPr>
        <w:t>shifting standard for certain attorney</w:t>
      </w:r>
      <w:r w:rsidRPr="00715165" w:rsidR="000A10A4">
        <w:rPr>
          <w:bCs/>
        </w:rPr>
        <w:t>’s</w:t>
      </w:r>
      <w:r w:rsidRPr="00715165" w:rsidR="001D06C5">
        <w:rPr>
          <w:bCs/>
        </w:rPr>
        <w:t xml:space="preserve"> fee awards in similar contexts involving enforcement of important public</w:t>
      </w:r>
      <w:r w:rsidRPr="00715165" w:rsidR="00AC69DA">
        <w:rPr>
          <w:bCs/>
        </w:rPr>
        <w:t xml:space="preserve"> rights</w:t>
      </w:r>
      <w:r w:rsidRPr="00715165" w:rsidR="001D06C5">
        <w:rPr>
          <w:bCs/>
        </w:rPr>
        <w:t>.</w:t>
      </w:r>
    </w:p>
    <w:p w:rsidR="001D06C5" w:rsidRPr="00715165" w:rsidP="00715165">
      <w:pPr>
        <w:tabs>
          <w:tab w:val="left" w:pos="1440"/>
        </w:tabs>
        <w:ind w:firstLine="720"/>
        <w:rPr>
          <w:bCs/>
        </w:rPr>
      </w:pPr>
      <w:r>
        <w:rPr>
          <w:bCs/>
        </w:rPr>
        <w:t xml:space="preserve">In light of the foregoing </w:t>
      </w:r>
      <w:r w:rsidR="003E0BA8">
        <w:rPr>
          <w:bCs/>
        </w:rPr>
        <w:t>authorit</w:t>
      </w:r>
      <w:r w:rsidR="00026EAC">
        <w:rPr>
          <w:bCs/>
        </w:rPr>
        <w:t>ies</w:t>
      </w:r>
      <w:r w:rsidR="003E0BA8">
        <w:rPr>
          <w:bCs/>
        </w:rPr>
        <w:t>, d</w:t>
      </w:r>
      <w:r w:rsidR="008F0283">
        <w:rPr>
          <w:bCs/>
        </w:rPr>
        <w:t>efendants</w:t>
      </w:r>
      <w:r w:rsidR="00D05BDB">
        <w:rPr>
          <w:bCs/>
        </w:rPr>
        <w:t>’</w:t>
      </w:r>
      <w:r w:rsidR="008F0283">
        <w:rPr>
          <w:bCs/>
        </w:rPr>
        <w:t xml:space="preserve"> </w:t>
      </w:r>
      <w:r w:rsidR="0096421E">
        <w:rPr>
          <w:bCs/>
        </w:rPr>
        <w:t xml:space="preserve">insistence that </w:t>
      </w:r>
      <w:r w:rsidR="00816158">
        <w:rPr>
          <w:bCs/>
        </w:rPr>
        <w:t xml:space="preserve">the </w:t>
      </w:r>
      <w:r w:rsidR="003E0BA8">
        <w:rPr>
          <w:bCs/>
        </w:rPr>
        <w:t>Political Reform Act’s fee statute</w:t>
      </w:r>
      <w:r w:rsidR="00816158">
        <w:rPr>
          <w:bCs/>
        </w:rPr>
        <w:t xml:space="preserve"> “says what it means and means what it says”</w:t>
      </w:r>
      <w:r w:rsidR="003E0BA8">
        <w:rPr>
          <w:bCs/>
        </w:rPr>
        <w:t xml:space="preserve"> rings hollow.  </w:t>
      </w:r>
      <w:r w:rsidR="000D7EFC">
        <w:rPr>
          <w:bCs/>
        </w:rPr>
        <w:t>The United States Supreme Court rejected this plain meaning argument as applied to a similarly worded attorney’s fees statute.  The high court reasoned that the statutory language “does not even invite, let alone require” the “mechanical construction” that prevailing plaintiffs and defendants are entitled to fee awards on the same basis.  (</w:t>
      </w:r>
      <w:bookmarkStart w:id="129" w:name="dabmci_ceff32d59e50487384a3d4803e1c1834"/>
      <w:r w:rsidR="000D7EFC">
        <w:rPr>
          <w:bCs/>
          <w:i/>
          <w:iCs/>
        </w:rPr>
        <w:t>Christiansburg</w:t>
      </w:r>
      <w:r w:rsidR="000D7EFC">
        <w:rPr>
          <w:bCs/>
        </w:rPr>
        <w:t xml:space="preserve">, </w:t>
      </w:r>
      <w:r w:rsidR="000D7EFC">
        <w:rPr>
          <w:bCs/>
          <w:i/>
          <w:iCs/>
        </w:rPr>
        <w:t>supra</w:t>
      </w:r>
      <w:r w:rsidR="000D7EFC">
        <w:rPr>
          <w:bCs/>
        </w:rPr>
        <w:t>, 434 U.S. at p. 418</w:t>
      </w:r>
      <w:bookmarkEnd w:id="129"/>
      <w:r w:rsidR="000D7EFC">
        <w:rPr>
          <w:bCs/>
        </w:rPr>
        <w:t xml:space="preserve">.)  </w:t>
      </w:r>
      <w:r w:rsidRPr="00344A4C" w:rsidR="00775C2D">
        <w:rPr>
          <w:bCs/>
          <w:i/>
          <w:iCs/>
        </w:rPr>
        <w:t>Christiansburg</w:t>
      </w:r>
      <w:r w:rsidR="00775C2D">
        <w:rPr>
          <w:bCs/>
        </w:rPr>
        <w:t xml:space="preserve"> counsels that simply because a statute affords discretion to award attorney’s fees to the prevailing party does not mean that discretion must be exercised in the same way for plaintiffs and defendants.  </w:t>
      </w:r>
      <w:r w:rsidR="000D7EFC">
        <w:rPr>
          <w:bCs/>
        </w:rPr>
        <w:t xml:space="preserve">(See </w:t>
      </w:r>
      <w:bookmarkStart w:id="130" w:name="dabmci_f401846f5b1444cda32b3552ff6e3924"/>
      <w:r w:rsidR="004C5881">
        <w:rPr>
          <w:bCs/>
          <w:i/>
          <w:iCs/>
        </w:rPr>
        <w:t>ibid</w:t>
      </w:r>
      <w:r w:rsidRPr="00104DF7" w:rsidR="004C5881">
        <w:rPr>
          <w:bCs/>
        </w:rPr>
        <w:t>.</w:t>
      </w:r>
      <w:bookmarkEnd w:id="130"/>
      <w:r w:rsidR="000D7EFC">
        <w:rPr>
          <w:bCs/>
        </w:rPr>
        <w:t xml:space="preserve"> [statute granting discretion to award fees to the prevailing party “provide[s] no indication whatever of the circumstances under which either a plaintiff or a defendant should be entitled to attorney’s fees”].) </w:t>
      </w:r>
      <w:r w:rsidR="00775C2D">
        <w:rPr>
          <w:bCs/>
        </w:rPr>
        <w:t xml:space="preserve"> </w:t>
      </w:r>
      <w:r w:rsidR="000D7EFC">
        <w:rPr>
          <w:bCs/>
        </w:rPr>
        <w:t xml:space="preserve">We apply the same analysis here to section 91003(a) and reject a mechanical construction that </w:t>
      </w:r>
      <w:r w:rsidR="001E384E">
        <w:rPr>
          <w:bCs/>
        </w:rPr>
        <w:t xml:space="preserve">awards fees to a prevailing defendant </w:t>
      </w:r>
      <w:r w:rsidR="003967E9">
        <w:rPr>
          <w:bCs/>
        </w:rPr>
        <w:t>“</w:t>
      </w:r>
      <w:r w:rsidR="000D7EFC">
        <w:rPr>
          <w:bCs/>
        </w:rPr>
        <w:t> </w:t>
      </w:r>
      <w:r w:rsidR="003967E9">
        <w:rPr>
          <w:bCs/>
        </w:rPr>
        <w:t>‘on the same basis as a prevailing plaintiff.’</w:t>
      </w:r>
      <w:r w:rsidR="000D7EFC">
        <w:rPr>
          <w:bCs/>
        </w:rPr>
        <w:t> </w:t>
      </w:r>
      <w:r w:rsidR="003967E9">
        <w:rPr>
          <w:bCs/>
        </w:rPr>
        <w:t xml:space="preserve">”  </w:t>
      </w:r>
      <w:r w:rsidR="0074042B">
        <w:rPr>
          <w:bCs/>
        </w:rPr>
        <w:t>(</w:t>
      </w:r>
      <w:bookmarkStart w:id="131" w:name="dabmci_e268f9055be8457283ad9f9a4dabde31"/>
      <w:r w:rsidR="0074042B">
        <w:rPr>
          <w:bCs/>
          <w:i/>
          <w:iCs/>
        </w:rPr>
        <w:t>Christiansburg</w:t>
      </w:r>
      <w:r w:rsidR="0074042B">
        <w:rPr>
          <w:bCs/>
        </w:rPr>
        <w:t>, at p.</w:t>
      </w:r>
      <w:r w:rsidR="000D7EFC">
        <w:rPr>
          <w:bCs/>
        </w:rPr>
        <w:t> </w:t>
      </w:r>
      <w:r w:rsidR="0074042B">
        <w:rPr>
          <w:bCs/>
        </w:rPr>
        <w:t>418</w:t>
      </w:r>
      <w:bookmarkEnd w:id="131"/>
      <w:r w:rsidR="0074042B">
        <w:rPr>
          <w:bCs/>
        </w:rPr>
        <w:t>.)</w:t>
      </w:r>
      <w:r w:rsidR="00096DF9">
        <w:rPr>
          <w:bCs/>
        </w:rPr>
        <w:t xml:space="preserve">  </w:t>
      </w:r>
      <w:r w:rsidR="006E1B4C">
        <w:rPr>
          <w:bCs/>
        </w:rPr>
        <w:t xml:space="preserve">Identifying the appropriate standard to guide the trial court’s discretion </w:t>
      </w:r>
      <w:r w:rsidR="00C61A26">
        <w:rPr>
          <w:bCs/>
        </w:rPr>
        <w:t xml:space="preserve">depends instead on a construction of the statutory text in conjunction with </w:t>
      </w:r>
      <w:r w:rsidR="00C41B8D">
        <w:rPr>
          <w:bCs/>
        </w:rPr>
        <w:t xml:space="preserve">the purpose underlying </w:t>
      </w:r>
      <w:r w:rsidR="00DE1849">
        <w:rPr>
          <w:bCs/>
        </w:rPr>
        <w:t xml:space="preserve">the </w:t>
      </w:r>
      <w:r w:rsidR="00CF1E8C">
        <w:rPr>
          <w:bCs/>
        </w:rPr>
        <w:t>governing statutory scheme</w:t>
      </w:r>
      <w:r w:rsidR="00C41B8D">
        <w:rPr>
          <w:bCs/>
        </w:rPr>
        <w:t xml:space="preserve">.  </w:t>
      </w:r>
      <w:r w:rsidR="008C1FEB">
        <w:rPr>
          <w:bCs/>
        </w:rPr>
        <w:t xml:space="preserve">(See </w:t>
      </w:r>
      <w:bookmarkStart w:id="132" w:name="dabmci_4c5ad304d3ad414ca136bfeafeeb06ad"/>
      <w:r w:rsidR="00931E8F">
        <w:rPr>
          <w:bCs/>
          <w:i/>
          <w:iCs/>
        </w:rPr>
        <w:t>id</w:t>
      </w:r>
      <w:r w:rsidR="00931E8F">
        <w:rPr>
          <w:bCs/>
        </w:rPr>
        <w:t>.</w:t>
      </w:r>
      <w:r w:rsidR="00CC6F67">
        <w:rPr>
          <w:bCs/>
        </w:rPr>
        <w:t xml:space="preserve"> at pp. 418–419</w:t>
      </w:r>
      <w:bookmarkEnd w:id="132"/>
      <w:r w:rsidR="00F27251">
        <w:rPr>
          <w:bCs/>
        </w:rPr>
        <w:t>;</w:t>
      </w:r>
      <w:r w:rsidR="00525C7C">
        <w:rPr>
          <w:bCs/>
        </w:rPr>
        <w:t xml:space="preserve"> </w:t>
      </w:r>
      <w:bookmarkStart w:id="133" w:name="dabmci_ce9150c91a754e258dcc12615f0b847e"/>
      <w:r w:rsidR="008C1FEB">
        <w:rPr>
          <w:bCs/>
          <w:i/>
          <w:iCs/>
        </w:rPr>
        <w:t>Fogerty</w:t>
      </w:r>
      <w:r w:rsidR="008C1FEB">
        <w:rPr>
          <w:bCs/>
        </w:rPr>
        <w:t xml:space="preserve">, </w:t>
      </w:r>
      <w:r w:rsidR="008C1FEB">
        <w:rPr>
          <w:bCs/>
          <w:i/>
          <w:iCs/>
        </w:rPr>
        <w:t>supra</w:t>
      </w:r>
      <w:r w:rsidR="008C1FEB">
        <w:rPr>
          <w:bCs/>
        </w:rPr>
        <w:t xml:space="preserve">, </w:t>
      </w:r>
      <w:r w:rsidR="008C4887">
        <w:rPr>
          <w:bCs/>
        </w:rPr>
        <w:t>510 U.S. at p. 527</w:t>
      </w:r>
      <w:bookmarkEnd w:id="133"/>
      <w:r w:rsidR="008C4887">
        <w:rPr>
          <w:bCs/>
        </w:rPr>
        <w:t>; accord,</w:t>
      </w:r>
      <w:r w:rsidR="00F27251">
        <w:rPr>
          <w:bCs/>
        </w:rPr>
        <w:t xml:space="preserve"> </w:t>
      </w:r>
      <w:bookmarkStart w:id="134" w:name="dabmci_c157c9d7d8e9420da262431d32b97f5b"/>
      <w:r w:rsidR="004E7A2C">
        <w:rPr>
          <w:bCs/>
          <w:i/>
          <w:iCs/>
        </w:rPr>
        <w:t>Williams</w:t>
      </w:r>
      <w:r w:rsidR="004E7A2C">
        <w:rPr>
          <w:bCs/>
        </w:rPr>
        <w:t xml:space="preserve">, </w:t>
      </w:r>
      <w:r w:rsidR="004E7A2C">
        <w:rPr>
          <w:bCs/>
          <w:i/>
          <w:iCs/>
        </w:rPr>
        <w:t>supra</w:t>
      </w:r>
      <w:r w:rsidR="004E7A2C">
        <w:rPr>
          <w:bCs/>
        </w:rPr>
        <w:t xml:space="preserve">, 61 Cal.4th </w:t>
      </w:r>
      <w:r w:rsidR="00EF4F9D">
        <w:rPr>
          <w:bCs/>
        </w:rPr>
        <w:t>at p</w:t>
      </w:r>
      <w:r w:rsidR="00286EEC">
        <w:rPr>
          <w:bCs/>
        </w:rPr>
        <w:t>p</w:t>
      </w:r>
      <w:r w:rsidR="00EF4F9D">
        <w:rPr>
          <w:bCs/>
        </w:rPr>
        <w:t>. 103</w:t>
      </w:r>
      <w:r w:rsidR="00286EEC">
        <w:rPr>
          <w:bCs/>
        </w:rPr>
        <w:t>, 113–114</w:t>
      </w:r>
      <w:bookmarkEnd w:id="134"/>
      <w:r w:rsidR="00B522D6">
        <w:rPr>
          <w:bCs/>
        </w:rPr>
        <w:t>.)</w:t>
      </w:r>
      <w:r w:rsidR="00F50E22">
        <w:rPr>
          <w:bCs/>
        </w:rPr>
        <w:t xml:space="preserve">  </w:t>
      </w:r>
      <w:r w:rsidR="00D05BDB">
        <w:rPr>
          <w:bCs/>
        </w:rPr>
        <w:t>Federal c</w:t>
      </w:r>
      <w:r w:rsidR="008B7F48">
        <w:rPr>
          <w:bCs/>
        </w:rPr>
        <w:t xml:space="preserve">ase law </w:t>
      </w:r>
      <w:r w:rsidR="00D05BDB">
        <w:rPr>
          <w:bCs/>
        </w:rPr>
        <w:t xml:space="preserve">provides persuasive </w:t>
      </w:r>
      <w:r w:rsidR="00A6251C">
        <w:rPr>
          <w:bCs/>
        </w:rPr>
        <w:t>support for our conclusion</w:t>
      </w:r>
      <w:r w:rsidR="008B7F48">
        <w:rPr>
          <w:bCs/>
        </w:rPr>
        <w:t xml:space="preserve"> that </w:t>
      </w:r>
      <w:r w:rsidR="00F50E22">
        <w:rPr>
          <w:bCs/>
        </w:rPr>
        <w:t xml:space="preserve">“even a neutrally-worded </w:t>
      </w:r>
      <w:r w:rsidR="00EC7BD1">
        <w:rPr>
          <w:bCs/>
        </w:rPr>
        <w:t>fee statute does not necessarily have an identical application to every prevailing party</w:t>
      </w:r>
      <w:r w:rsidR="00EA06B6">
        <w:rPr>
          <w:bCs/>
        </w:rPr>
        <w:t>.</w:t>
      </w:r>
      <w:r w:rsidR="005B618F">
        <w:rPr>
          <w:bCs/>
        </w:rPr>
        <w:t xml:space="preserve">  </w:t>
      </w:r>
      <w:r w:rsidRPr="005B618F" w:rsidR="005B618F">
        <w:rPr>
          <w:bCs/>
        </w:rPr>
        <w:t xml:space="preserve">Rather, when the statute establishes a flexible standard, a consideration of policy and </w:t>
      </w:r>
      <w:r w:rsidR="00B27EA9">
        <w:rPr>
          <w:bCs/>
        </w:rPr>
        <w:t>[legislative]</w:t>
      </w:r>
      <w:r w:rsidRPr="005B618F" w:rsidR="005B618F">
        <w:rPr>
          <w:bCs/>
        </w:rPr>
        <w:t xml:space="preserve"> intent must guide the determination of the circumstances under which a particular party, or class of parties (such as plaintiffs or defendants), is entitled to fees</w:t>
      </w:r>
      <w:r w:rsidR="005B618F">
        <w:rPr>
          <w:bCs/>
        </w:rPr>
        <w:t>.</w:t>
      </w:r>
      <w:r w:rsidRPr="005B618F" w:rsidR="005B618F">
        <w:rPr>
          <w:bCs/>
        </w:rPr>
        <w:t>”</w:t>
      </w:r>
      <w:r w:rsidR="00EA06B6">
        <w:rPr>
          <w:bCs/>
        </w:rPr>
        <w:t xml:space="preserve">  (</w:t>
      </w:r>
      <w:bookmarkStart w:id="135" w:name="dabmci_ab03156f51434708a7941965edebbf69"/>
      <w:r w:rsidRPr="00FC01A2" w:rsidR="00FC01A2">
        <w:rPr>
          <w:bCs/>
          <w:i/>
          <w:iCs/>
        </w:rPr>
        <w:t xml:space="preserve">Dorn’s Transp. v. Teamsters Pension Trust Fund </w:t>
      </w:r>
      <w:r w:rsidRPr="00FC01A2" w:rsidR="00FC01A2">
        <w:rPr>
          <w:bCs/>
        </w:rPr>
        <w:t>(3d Cir. 1986) 799</w:t>
      </w:r>
      <w:r w:rsidR="00C1585B">
        <w:rPr>
          <w:bCs/>
        </w:rPr>
        <w:t> </w:t>
      </w:r>
      <w:r w:rsidRPr="00FC01A2" w:rsidR="00FC01A2">
        <w:rPr>
          <w:bCs/>
        </w:rPr>
        <w:t>F.2d 45, 49</w:t>
      </w:r>
      <w:bookmarkEnd w:id="135"/>
      <w:r w:rsidR="00EA06B6">
        <w:rPr>
          <w:bCs/>
        </w:rPr>
        <w:t>.)</w:t>
      </w:r>
      <w:r w:rsidR="0050285D">
        <w:rPr>
          <w:bCs/>
        </w:rPr>
        <w:t xml:space="preserve">  </w:t>
      </w:r>
    </w:p>
    <w:p w:rsidR="00365237" w:rsidRPr="00715165" w:rsidP="00715165">
      <w:pPr>
        <w:ind w:firstLine="720"/>
        <w:rPr>
          <w:bCs/>
        </w:rPr>
      </w:pPr>
      <w:r>
        <w:rPr>
          <w:bCs/>
        </w:rPr>
        <w:t>We also find it significant that o</w:t>
      </w:r>
      <w:r w:rsidRPr="00715165" w:rsidR="0054098D">
        <w:rPr>
          <w:bCs/>
        </w:rPr>
        <w:t xml:space="preserve">ur </w:t>
      </w:r>
      <w:r w:rsidRPr="00715165" w:rsidR="00B77691">
        <w:rPr>
          <w:bCs/>
        </w:rPr>
        <w:t>a</w:t>
      </w:r>
      <w:r w:rsidR="00C40474">
        <w:rPr>
          <w:bCs/>
        </w:rPr>
        <w:t xml:space="preserve">pplication </w:t>
      </w:r>
      <w:r w:rsidRPr="00715165" w:rsidR="0054098D">
        <w:rPr>
          <w:bCs/>
        </w:rPr>
        <w:t xml:space="preserve">of the </w:t>
      </w:r>
      <w:r w:rsidRPr="00715165" w:rsidR="0054098D">
        <w:rPr>
          <w:bCs/>
          <w:i/>
          <w:iCs/>
        </w:rPr>
        <w:t>Christiansburg</w:t>
      </w:r>
      <w:r w:rsidRPr="00715165" w:rsidR="0054098D">
        <w:rPr>
          <w:bCs/>
        </w:rPr>
        <w:t xml:space="preserve"> standard in </w:t>
      </w:r>
      <w:r w:rsidRPr="00715165" w:rsidR="00DE6747">
        <w:rPr>
          <w:bCs/>
        </w:rPr>
        <w:t xml:space="preserve">Political Reform Act cases is consistent with </w:t>
      </w:r>
      <w:r w:rsidRPr="00715165" w:rsidR="007961AD">
        <w:rPr>
          <w:bCs/>
        </w:rPr>
        <w:t xml:space="preserve">the standard used for numerous public laws </w:t>
      </w:r>
      <w:r w:rsidRPr="00715165" w:rsidR="0016608F">
        <w:rPr>
          <w:bCs/>
        </w:rPr>
        <w:t>designed to be enforced by individuals acting as private attorneys general</w:t>
      </w:r>
      <w:r w:rsidRPr="00715165" w:rsidR="00AC69DA">
        <w:rPr>
          <w:bCs/>
        </w:rPr>
        <w:t xml:space="preserve"> and in other similar contexts</w:t>
      </w:r>
      <w:r w:rsidRPr="00715165" w:rsidR="0016608F">
        <w:rPr>
          <w:bCs/>
        </w:rPr>
        <w:t xml:space="preserve">.  </w:t>
      </w:r>
      <w:r w:rsidRPr="00715165" w:rsidR="007E280D">
        <w:rPr>
          <w:bCs/>
        </w:rPr>
        <w:t xml:space="preserve">(See, e.g., </w:t>
      </w:r>
      <w:bookmarkStart w:id="136" w:name="dabmci_4db4c4d3e4164b1b897dc7a6a116cea4"/>
      <w:r w:rsidRPr="00715165" w:rsidR="00703774">
        <w:rPr>
          <w:bCs/>
          <w:i/>
          <w:iCs/>
        </w:rPr>
        <w:t>Browder v. City of Moab</w:t>
      </w:r>
      <w:r w:rsidRPr="00715165" w:rsidR="00703774">
        <w:rPr>
          <w:bCs/>
        </w:rPr>
        <w:t xml:space="preserve"> (10th Cir. 2005) 427 F.3d 717, 723</w:t>
      </w:r>
      <w:bookmarkEnd w:id="136"/>
      <w:r w:rsidRPr="00715165" w:rsidR="00703774">
        <w:rPr>
          <w:bCs/>
        </w:rPr>
        <w:t xml:space="preserve"> [applying the </w:t>
      </w:r>
      <w:r w:rsidRPr="00715165" w:rsidR="00703774">
        <w:rPr>
          <w:bCs/>
          <w:i/>
          <w:iCs/>
        </w:rPr>
        <w:t>Christiansburg</w:t>
      </w:r>
      <w:r w:rsidRPr="00715165" w:rsidR="00703774">
        <w:rPr>
          <w:bCs/>
        </w:rPr>
        <w:t xml:space="preserve"> standard to a claim for attorney</w:t>
      </w:r>
      <w:r w:rsidRPr="00715165" w:rsidR="000A10A4">
        <w:rPr>
          <w:bCs/>
        </w:rPr>
        <w:t>’s</w:t>
      </w:r>
      <w:r w:rsidRPr="00715165" w:rsidR="00703774">
        <w:rPr>
          <w:bCs/>
        </w:rPr>
        <w:t xml:space="preserve"> fees by a defendant prevailing on claims under the Clean Water Act</w:t>
      </w:r>
      <w:r w:rsidR="00341074">
        <w:rPr>
          <w:bCs/>
        </w:rPr>
        <w:t xml:space="preserve"> (Federal Water Pollution Control Act)</w:t>
      </w:r>
      <w:r w:rsidRPr="00715165" w:rsidR="00703774">
        <w:rPr>
          <w:bCs/>
        </w:rPr>
        <w:t xml:space="preserve"> and the Resource Conservation </w:t>
      </w:r>
      <w:r w:rsidRPr="00715165" w:rsidR="000A632B">
        <w:rPr>
          <w:bCs/>
        </w:rPr>
        <w:t xml:space="preserve">and </w:t>
      </w:r>
      <w:r w:rsidRPr="00715165" w:rsidR="00703774">
        <w:rPr>
          <w:bCs/>
        </w:rPr>
        <w:t>Recovery Act];</w:t>
      </w:r>
      <w:r w:rsidRPr="00715165" w:rsidR="00E2223E">
        <w:rPr>
          <w:bCs/>
        </w:rPr>
        <w:t xml:space="preserve"> </w:t>
      </w:r>
      <w:bookmarkStart w:id="137" w:name="dabmci_d9cefb428c934d638881da6420273b86"/>
      <w:r w:rsidRPr="00715165" w:rsidR="00E2223E">
        <w:rPr>
          <w:bCs/>
          <w:i/>
          <w:iCs/>
        </w:rPr>
        <w:t>Lane v. Residential Funding Corp.</w:t>
      </w:r>
      <w:r w:rsidRPr="00715165" w:rsidR="00E2223E">
        <w:rPr>
          <w:bCs/>
        </w:rPr>
        <w:t xml:space="preserve"> (9th Cir. 2003) 323 F.3d 739, 748</w:t>
      </w:r>
      <w:bookmarkEnd w:id="137"/>
      <w:r w:rsidRPr="00715165" w:rsidR="00E2223E">
        <w:rPr>
          <w:bCs/>
        </w:rPr>
        <w:t xml:space="preserve"> [applying the </w:t>
      </w:r>
      <w:r w:rsidRPr="00715165" w:rsidR="00E2223E">
        <w:rPr>
          <w:bCs/>
          <w:i/>
          <w:iCs/>
        </w:rPr>
        <w:t>Christiansburg</w:t>
      </w:r>
      <w:r w:rsidRPr="00715165" w:rsidR="00E2223E">
        <w:rPr>
          <w:bCs/>
        </w:rPr>
        <w:t xml:space="preserve"> standard </w:t>
      </w:r>
      <w:r w:rsidRPr="00715165" w:rsidR="00F8444A">
        <w:rPr>
          <w:bCs/>
        </w:rPr>
        <w:t>to an action under the Real Estate Settlement Procedures Act];</w:t>
      </w:r>
      <w:r w:rsidRPr="00715165" w:rsidR="00911A22">
        <w:rPr>
          <w:bCs/>
        </w:rPr>
        <w:t xml:space="preserve"> </w:t>
      </w:r>
      <w:bookmarkStart w:id="138" w:name="dabmci_69e24607b4ef477ca8b508adcfbb0e5b"/>
      <w:r w:rsidRPr="00715165" w:rsidR="004058E0">
        <w:rPr>
          <w:bCs/>
          <w:i/>
          <w:iCs/>
        </w:rPr>
        <w:t>Bercovitch v. Baldwin School, Inc.</w:t>
      </w:r>
      <w:r w:rsidRPr="00715165" w:rsidR="004058E0">
        <w:rPr>
          <w:bCs/>
        </w:rPr>
        <w:t> (1st Cir. 1999) 191 F.3d 8, 10–11</w:t>
      </w:r>
      <w:bookmarkEnd w:id="138"/>
      <w:r w:rsidRPr="00715165" w:rsidR="004058E0">
        <w:rPr>
          <w:bCs/>
        </w:rPr>
        <w:t xml:space="preserve"> [applying the </w:t>
      </w:r>
      <w:r w:rsidRPr="00715165" w:rsidR="004058E0">
        <w:rPr>
          <w:bCs/>
          <w:i/>
          <w:iCs/>
        </w:rPr>
        <w:t>Christiansburg</w:t>
      </w:r>
      <w:r w:rsidRPr="00715165" w:rsidR="004058E0">
        <w:rPr>
          <w:bCs/>
        </w:rPr>
        <w:t xml:space="preserve"> standard to attorney</w:t>
      </w:r>
      <w:r w:rsidRPr="00715165" w:rsidR="000A10A4">
        <w:rPr>
          <w:bCs/>
        </w:rPr>
        <w:t>’s</w:t>
      </w:r>
      <w:r w:rsidRPr="00715165" w:rsidR="004058E0">
        <w:rPr>
          <w:bCs/>
        </w:rPr>
        <w:t xml:space="preserve"> fees awarded to a prevailing defendant under the Americans with Disabilities Act]; </w:t>
      </w:r>
      <w:bookmarkStart w:id="139" w:name="dabmci_6fe14a05e29346ae9b5508347e20497b"/>
      <w:r w:rsidRPr="00715165" w:rsidR="00911A22">
        <w:rPr>
          <w:bCs/>
          <w:i/>
          <w:iCs/>
        </w:rPr>
        <w:t>Marbled Murrelet v. Babbitt</w:t>
      </w:r>
      <w:r w:rsidRPr="00715165" w:rsidR="00911A22">
        <w:rPr>
          <w:bCs/>
        </w:rPr>
        <w:t xml:space="preserve"> (9th Cir. 1999)</w:t>
      </w:r>
      <w:r w:rsidRPr="00715165" w:rsidR="00703774">
        <w:rPr>
          <w:bCs/>
        </w:rPr>
        <w:t xml:space="preserve"> </w:t>
      </w:r>
      <w:r w:rsidRPr="00715165" w:rsidR="00911A22">
        <w:rPr>
          <w:bCs/>
        </w:rPr>
        <w:t>182 F.3d 1091, 1095</w:t>
      </w:r>
      <w:bookmarkEnd w:id="139"/>
      <w:r w:rsidRPr="00715165" w:rsidR="00911A22">
        <w:rPr>
          <w:bCs/>
        </w:rPr>
        <w:t xml:space="preserve"> [applying the </w:t>
      </w:r>
      <w:r w:rsidRPr="00715165" w:rsidR="00911A22">
        <w:rPr>
          <w:bCs/>
          <w:i/>
          <w:iCs/>
        </w:rPr>
        <w:t>Christiansburg</w:t>
      </w:r>
      <w:r w:rsidRPr="00715165" w:rsidR="00911A22">
        <w:rPr>
          <w:bCs/>
        </w:rPr>
        <w:t xml:space="preserve"> standard to a defendant’s claim for fees under the Endangered Species Act because that act and the Civil Rights Act </w:t>
      </w:r>
      <w:r w:rsidR="00341074">
        <w:rPr>
          <w:bCs/>
        </w:rPr>
        <w:t xml:space="preserve">of 1964 </w:t>
      </w:r>
      <w:r w:rsidRPr="00715165" w:rsidR="00911A22">
        <w:rPr>
          <w:bCs/>
        </w:rPr>
        <w:t>“have a common purpose”];</w:t>
      </w:r>
      <w:r w:rsidRPr="00715165" w:rsidR="0051455B">
        <w:rPr>
          <w:bCs/>
        </w:rPr>
        <w:t xml:space="preserve"> </w:t>
      </w:r>
      <w:bookmarkStart w:id="140" w:name="dabmci_df7ac08bbde744ffa6067029cc3a07ad"/>
      <w:r w:rsidRPr="00715165" w:rsidR="0051455B">
        <w:rPr>
          <w:bCs/>
          <w:i/>
          <w:iCs/>
        </w:rPr>
        <w:t xml:space="preserve">Com’rs Court of Medina </w:t>
      </w:r>
      <w:r w:rsidR="002E29D2">
        <w:rPr>
          <w:bCs/>
          <w:i/>
          <w:iCs/>
        </w:rPr>
        <w:t>Cy</w:t>
      </w:r>
      <w:r w:rsidR="00341074">
        <w:rPr>
          <w:bCs/>
        </w:rPr>
        <w:t xml:space="preserve">., </w:t>
      </w:r>
      <w:r w:rsidR="00341074">
        <w:rPr>
          <w:bCs/>
          <w:i/>
          <w:iCs/>
        </w:rPr>
        <w:t>Tex.</w:t>
      </w:r>
      <w:r w:rsidR="002E29D2">
        <w:rPr>
          <w:bCs/>
          <w:i/>
          <w:iCs/>
        </w:rPr>
        <w:t xml:space="preserve"> </w:t>
      </w:r>
      <w:r w:rsidRPr="00715165" w:rsidR="0051455B">
        <w:rPr>
          <w:bCs/>
          <w:i/>
          <w:iCs/>
        </w:rPr>
        <w:t>v. U</w:t>
      </w:r>
      <w:r w:rsidR="001D7221">
        <w:rPr>
          <w:bCs/>
          <w:i/>
          <w:iCs/>
        </w:rPr>
        <w:t>.</w:t>
      </w:r>
      <w:r w:rsidRPr="00715165" w:rsidR="0051455B">
        <w:rPr>
          <w:bCs/>
          <w:i/>
          <w:iCs/>
        </w:rPr>
        <w:t>S</w:t>
      </w:r>
      <w:r w:rsidR="001D7221">
        <w:rPr>
          <w:bCs/>
          <w:i/>
          <w:iCs/>
        </w:rPr>
        <w:t>.</w:t>
      </w:r>
      <w:r w:rsidRPr="00715165" w:rsidR="0051455B">
        <w:rPr>
          <w:bCs/>
        </w:rPr>
        <w:t xml:space="preserve"> (D.C.</w:t>
      </w:r>
      <w:r w:rsidR="001D7221">
        <w:rPr>
          <w:bCs/>
        </w:rPr>
        <w:t xml:space="preserve"> </w:t>
      </w:r>
      <w:r w:rsidRPr="00715165" w:rsidR="0051455B">
        <w:rPr>
          <w:bCs/>
        </w:rPr>
        <w:t>Cir. 1982) 683</w:t>
      </w:r>
      <w:r w:rsidR="00C1585B">
        <w:rPr>
          <w:bCs/>
        </w:rPr>
        <w:t> </w:t>
      </w:r>
      <w:r w:rsidRPr="00715165" w:rsidR="0051455B">
        <w:rPr>
          <w:bCs/>
        </w:rPr>
        <w:t>F.2d 435, 439</w:t>
      </w:r>
      <w:bookmarkEnd w:id="140"/>
      <w:r w:rsidRPr="00715165" w:rsidR="0051455B">
        <w:rPr>
          <w:bCs/>
        </w:rPr>
        <w:t xml:space="preserve"> [declaring that the </w:t>
      </w:r>
      <w:r w:rsidRPr="00715165" w:rsidR="0051455B">
        <w:rPr>
          <w:bCs/>
          <w:i/>
          <w:iCs/>
        </w:rPr>
        <w:t>Christiansburg</w:t>
      </w:r>
      <w:r w:rsidRPr="00715165" w:rsidR="0051455B">
        <w:rPr>
          <w:bCs/>
        </w:rPr>
        <w:t xml:space="preserve"> standard generally applies to fee awards under the Voting Rights Act, except “where the procedural posture of a particular case renders the general rule inapplicable”];</w:t>
      </w:r>
      <w:r w:rsidRPr="00715165" w:rsidR="00D62B72">
        <w:rPr>
          <w:bCs/>
          <w:i/>
          <w:iCs/>
        </w:rPr>
        <w:t xml:space="preserve"> </w:t>
      </w:r>
      <w:bookmarkStart w:id="141" w:name="dabmci_ee3f2f4637c04d5199623eec0831d300"/>
      <w:r w:rsidRPr="00715165" w:rsidR="007E280D">
        <w:rPr>
          <w:bCs/>
          <w:i/>
          <w:iCs/>
        </w:rPr>
        <w:t>Consol</w:t>
      </w:r>
      <w:r w:rsidR="00341074">
        <w:rPr>
          <w:bCs/>
          <w:i/>
          <w:iCs/>
        </w:rPr>
        <w:t>.</w:t>
      </w:r>
      <w:r w:rsidRPr="00715165" w:rsidR="007E280D">
        <w:rPr>
          <w:bCs/>
          <w:i/>
          <w:iCs/>
        </w:rPr>
        <w:t xml:space="preserve"> Edison Co. v. Realty Investment Assoc</w:t>
      </w:r>
      <w:r w:rsidR="00341074">
        <w:rPr>
          <w:bCs/>
          <w:i/>
          <w:iCs/>
        </w:rPr>
        <w:t>.</w:t>
      </w:r>
      <w:r w:rsidRPr="00715165" w:rsidR="007E280D">
        <w:rPr>
          <w:bCs/>
        </w:rPr>
        <w:t xml:space="preserve"> (S.D.N.Y. 1981) 524</w:t>
      </w:r>
      <w:r w:rsidR="00C1585B">
        <w:rPr>
          <w:bCs/>
        </w:rPr>
        <w:t> </w:t>
      </w:r>
      <w:r w:rsidRPr="00715165" w:rsidR="007E280D">
        <w:rPr>
          <w:bCs/>
        </w:rPr>
        <w:t>F.Supp. 150, 153</w:t>
      </w:r>
      <w:bookmarkEnd w:id="141"/>
      <w:r w:rsidRPr="00715165" w:rsidR="007E280D">
        <w:rPr>
          <w:bCs/>
        </w:rPr>
        <w:t xml:space="preserve"> [“Congress’ design of encouraging citizen suits [under the Clean Air Act] would be substantially frustrated were [the statute] read to permit prevailing defendants to recover attorneys’ fees with the same relative ease that successful plaintiffs enjoy</w:t>
      </w:r>
      <w:r w:rsidRPr="00715165" w:rsidR="005D5D2D">
        <w:rPr>
          <w:bCs/>
        </w:rPr>
        <w:t>”]</w:t>
      </w:r>
      <w:r w:rsidRPr="00715165" w:rsidR="00301DD4">
        <w:rPr>
          <w:bCs/>
        </w:rPr>
        <w:t xml:space="preserve">; accord, </w:t>
      </w:r>
      <w:bookmarkStart w:id="142" w:name="dabmci_aa04c14e853d444385a1dc4d8657501c"/>
      <w:r w:rsidRPr="00715165" w:rsidR="00301DD4">
        <w:rPr>
          <w:bCs/>
          <w:i/>
          <w:iCs/>
        </w:rPr>
        <w:t>Arcese v. Daniel Schmitt &amp; Co.</w:t>
      </w:r>
      <w:r w:rsidRPr="00715165" w:rsidR="00301DD4">
        <w:rPr>
          <w:bCs/>
        </w:rPr>
        <w:t xml:space="preserve"> (Mo.Ct.App. 2016) 504</w:t>
      </w:r>
      <w:r w:rsidR="0088184F">
        <w:rPr>
          <w:bCs/>
        </w:rPr>
        <w:t> </w:t>
      </w:r>
      <w:r w:rsidRPr="00715165" w:rsidR="00301DD4">
        <w:rPr>
          <w:bCs/>
        </w:rPr>
        <w:t>S.W.3d 772, 789</w:t>
      </w:r>
      <w:bookmarkEnd w:id="142"/>
      <w:r w:rsidRPr="00715165" w:rsidR="00301DD4">
        <w:rPr>
          <w:bCs/>
        </w:rPr>
        <w:t xml:space="preserve"> [applying the </w:t>
      </w:r>
      <w:r w:rsidRPr="00715165" w:rsidR="00301DD4">
        <w:rPr>
          <w:bCs/>
          <w:i/>
          <w:iCs/>
        </w:rPr>
        <w:t>Christiansburg</w:t>
      </w:r>
      <w:r w:rsidRPr="00715165" w:rsidR="00301DD4">
        <w:rPr>
          <w:bCs/>
        </w:rPr>
        <w:t xml:space="preserve"> standard to actions under the Missouri Merchandising Practices Act</w:t>
      </w:r>
      <w:r w:rsidRPr="00715165" w:rsidR="00DC57F2">
        <w:rPr>
          <w:bCs/>
        </w:rPr>
        <w:t>, a consumer protection statute</w:t>
      </w:r>
      <w:r w:rsidRPr="00715165" w:rsidR="00301DD4">
        <w:rPr>
          <w:bCs/>
        </w:rPr>
        <w:t>]</w:t>
      </w:r>
      <w:r w:rsidRPr="00715165" w:rsidR="000C407D">
        <w:rPr>
          <w:bCs/>
        </w:rPr>
        <w:t>.)</w:t>
      </w:r>
      <w:r w:rsidRPr="00715165" w:rsidR="00DE6747">
        <w:rPr>
          <w:bCs/>
        </w:rPr>
        <w:t xml:space="preserve">  In those contexts, as here, </w:t>
      </w:r>
      <w:r w:rsidRPr="00715165" w:rsidR="00D60CCF">
        <w:rPr>
          <w:bCs/>
        </w:rPr>
        <w:t xml:space="preserve">plaintiffs would be discouraged from bringing </w:t>
      </w:r>
      <w:r w:rsidRPr="00715165" w:rsidR="002B2901">
        <w:rPr>
          <w:bCs/>
        </w:rPr>
        <w:t>colorable</w:t>
      </w:r>
      <w:r w:rsidRPr="00715165" w:rsidR="001A0D90">
        <w:rPr>
          <w:bCs/>
        </w:rPr>
        <w:t xml:space="preserve"> </w:t>
      </w:r>
      <w:r w:rsidRPr="00715165" w:rsidR="00D60CCF">
        <w:rPr>
          <w:bCs/>
        </w:rPr>
        <w:t xml:space="preserve">claims to enforce laws for </w:t>
      </w:r>
      <w:r w:rsidRPr="00715165" w:rsidR="000A632B">
        <w:rPr>
          <w:bCs/>
        </w:rPr>
        <w:t xml:space="preserve">the </w:t>
      </w:r>
      <w:r w:rsidRPr="00715165" w:rsidR="00D60CCF">
        <w:rPr>
          <w:bCs/>
        </w:rPr>
        <w:t xml:space="preserve">benefit </w:t>
      </w:r>
      <w:r w:rsidRPr="00715165" w:rsidR="000A632B">
        <w:rPr>
          <w:bCs/>
        </w:rPr>
        <w:t xml:space="preserve">of the public </w:t>
      </w:r>
      <w:r w:rsidRPr="00715165" w:rsidR="00D60CCF">
        <w:rPr>
          <w:bCs/>
        </w:rPr>
        <w:t>if they faced the prospect of paying a defendant’s attorney</w:t>
      </w:r>
      <w:r w:rsidRPr="00715165" w:rsidR="009E00CA">
        <w:rPr>
          <w:bCs/>
        </w:rPr>
        <w:t>’s</w:t>
      </w:r>
      <w:r w:rsidRPr="00715165" w:rsidR="00D60CCF">
        <w:rPr>
          <w:bCs/>
        </w:rPr>
        <w:t xml:space="preserve"> fees</w:t>
      </w:r>
      <w:r w:rsidRPr="00715165" w:rsidR="007961AD">
        <w:rPr>
          <w:bCs/>
        </w:rPr>
        <w:t xml:space="preserve"> </w:t>
      </w:r>
      <w:r w:rsidRPr="00715165" w:rsidR="0011709A">
        <w:rPr>
          <w:bCs/>
        </w:rPr>
        <w:t>whenever</w:t>
      </w:r>
      <w:r w:rsidRPr="00715165" w:rsidR="007961AD">
        <w:rPr>
          <w:bCs/>
        </w:rPr>
        <w:t xml:space="preserve"> their suit ultimately </w:t>
      </w:r>
      <w:r w:rsidRPr="00715165" w:rsidR="001A0D90">
        <w:rPr>
          <w:bCs/>
        </w:rPr>
        <w:t xml:space="preserve">proved </w:t>
      </w:r>
      <w:r w:rsidRPr="00715165" w:rsidR="007961AD">
        <w:rPr>
          <w:bCs/>
        </w:rPr>
        <w:t>unsuccessful</w:t>
      </w:r>
      <w:r w:rsidRPr="00715165" w:rsidR="00D60CCF">
        <w:rPr>
          <w:bCs/>
        </w:rPr>
        <w:t>.</w:t>
      </w:r>
      <w:r w:rsidRPr="00715165" w:rsidR="007C2BAE">
        <w:rPr>
          <w:bCs/>
        </w:rPr>
        <w:t xml:space="preserve">  (See </w:t>
      </w:r>
      <w:r w:rsidRPr="00715165" w:rsidR="000D7035">
        <w:rPr>
          <w:bCs/>
        </w:rPr>
        <w:t xml:space="preserve">generally </w:t>
      </w:r>
      <w:bookmarkStart w:id="143" w:name="dabmci_790728460a8b42cc9899f849b553b4ec"/>
      <w:r w:rsidRPr="00715165" w:rsidR="000D7035">
        <w:rPr>
          <w:bCs/>
          <w:i/>
          <w:iCs/>
        </w:rPr>
        <w:t>Weinreb</w:t>
      </w:r>
      <w:r w:rsidRPr="00715165" w:rsidR="00EA70C8">
        <w:rPr>
          <w:bCs/>
        </w:rPr>
        <w:t xml:space="preserve">, </w:t>
      </w:r>
      <w:r w:rsidRPr="00715165" w:rsidR="00EA70C8">
        <w:rPr>
          <w:bCs/>
          <w:i/>
          <w:iCs/>
        </w:rPr>
        <w:t>supra</w:t>
      </w:r>
      <w:r w:rsidRPr="00715165" w:rsidR="00EA70C8">
        <w:rPr>
          <w:bCs/>
        </w:rPr>
        <w:t xml:space="preserve">, </w:t>
      </w:r>
      <w:r w:rsidRPr="00715165" w:rsidR="000D7035">
        <w:rPr>
          <w:bCs/>
        </w:rPr>
        <w:t xml:space="preserve">168 Cal.App.3d </w:t>
      </w:r>
      <w:r w:rsidRPr="00715165" w:rsidR="00EA70C8">
        <w:rPr>
          <w:bCs/>
        </w:rPr>
        <w:t>at p.</w:t>
      </w:r>
      <w:r w:rsidRPr="00715165" w:rsidR="000A632B">
        <w:rPr>
          <w:bCs/>
        </w:rPr>
        <w:t> </w:t>
      </w:r>
      <w:r w:rsidRPr="00715165" w:rsidR="000D7035">
        <w:rPr>
          <w:bCs/>
        </w:rPr>
        <w:t>538</w:t>
      </w:r>
      <w:bookmarkEnd w:id="143"/>
      <w:r w:rsidRPr="00715165" w:rsidR="000D7035">
        <w:rPr>
          <w:bCs/>
        </w:rPr>
        <w:t xml:space="preserve"> [“These decisions provide an impressive array of authority in aid of interpretation of a political reform enactment which is similarly dependent upon private litigation as a means of enforcement”].)</w:t>
      </w:r>
      <w:r w:rsidRPr="00715165" w:rsidR="00D60CCF">
        <w:rPr>
          <w:bCs/>
        </w:rPr>
        <w:t xml:space="preserve">  </w:t>
      </w:r>
    </w:p>
    <w:p w:rsidR="007B528A" w:rsidRPr="00715165" w:rsidP="00715165">
      <w:pPr>
        <w:ind w:firstLine="720"/>
        <w:rPr>
          <w:bCs/>
        </w:rPr>
      </w:pPr>
      <w:r w:rsidRPr="00715165">
        <w:rPr>
          <w:bCs/>
        </w:rPr>
        <w:t xml:space="preserve">We </w:t>
      </w:r>
      <w:r w:rsidRPr="00715165" w:rsidR="00C01319">
        <w:rPr>
          <w:bCs/>
        </w:rPr>
        <w:t>are</w:t>
      </w:r>
      <w:r w:rsidRPr="00715165">
        <w:rPr>
          <w:bCs/>
        </w:rPr>
        <w:t xml:space="preserve"> mindful of the financial burden </w:t>
      </w:r>
      <w:r w:rsidRPr="00715165" w:rsidR="000A114E">
        <w:rPr>
          <w:bCs/>
        </w:rPr>
        <w:t xml:space="preserve">that </w:t>
      </w:r>
      <w:r w:rsidRPr="00715165">
        <w:rPr>
          <w:bCs/>
        </w:rPr>
        <w:t xml:space="preserve">an action under the Political Reform Act can impose on </w:t>
      </w:r>
      <w:r w:rsidRPr="00715165" w:rsidR="006D27AE">
        <w:rPr>
          <w:bCs/>
        </w:rPr>
        <w:t xml:space="preserve">some </w:t>
      </w:r>
      <w:r w:rsidRPr="00715165">
        <w:rPr>
          <w:bCs/>
        </w:rPr>
        <w:t>defendants, who are themselves participants in the political process.</w:t>
      </w:r>
      <w:r w:rsidRPr="00715165" w:rsidR="00D572B7">
        <w:rPr>
          <w:bCs/>
        </w:rPr>
        <w:t xml:space="preserve">  </w:t>
      </w:r>
      <w:r w:rsidRPr="00715165" w:rsidR="006C0323">
        <w:rPr>
          <w:bCs/>
        </w:rPr>
        <w:t xml:space="preserve">But the </w:t>
      </w:r>
      <w:r w:rsidRPr="00715165" w:rsidR="00273E68">
        <w:rPr>
          <w:bCs/>
        </w:rPr>
        <w:t>expense</w:t>
      </w:r>
      <w:r w:rsidRPr="00715165" w:rsidR="006C0323">
        <w:rPr>
          <w:bCs/>
        </w:rPr>
        <w:t xml:space="preserve"> of defending </w:t>
      </w:r>
      <w:r w:rsidRPr="00715165" w:rsidR="00273E68">
        <w:rPr>
          <w:bCs/>
        </w:rPr>
        <w:t xml:space="preserve">against </w:t>
      </w:r>
      <w:r w:rsidRPr="00715165" w:rsidR="006C0323">
        <w:rPr>
          <w:bCs/>
        </w:rPr>
        <w:t xml:space="preserve">a </w:t>
      </w:r>
      <w:r w:rsidRPr="00715165" w:rsidR="00273E68">
        <w:rPr>
          <w:bCs/>
        </w:rPr>
        <w:t xml:space="preserve">lawsuit </w:t>
      </w:r>
      <w:r w:rsidRPr="00715165" w:rsidR="00AC69DA">
        <w:rPr>
          <w:bCs/>
        </w:rPr>
        <w:t xml:space="preserve">that has objective merit </w:t>
      </w:r>
      <w:r w:rsidRPr="00715165" w:rsidR="008F146B">
        <w:rPr>
          <w:bCs/>
        </w:rPr>
        <w:t>under the Political Reform Act</w:t>
      </w:r>
      <w:r w:rsidRPr="00715165" w:rsidR="00CC7223">
        <w:rPr>
          <w:bCs/>
        </w:rPr>
        <w:t>,</w:t>
      </w:r>
      <w:r w:rsidRPr="00715165" w:rsidR="00273E68">
        <w:rPr>
          <w:bCs/>
        </w:rPr>
        <w:t xml:space="preserve"> </w:t>
      </w:r>
      <w:r w:rsidRPr="00715165" w:rsidR="00CC7223">
        <w:rPr>
          <w:bCs/>
        </w:rPr>
        <w:t xml:space="preserve">even when the lawsuit </w:t>
      </w:r>
      <w:r w:rsidRPr="00715165" w:rsidR="00D7540E">
        <w:rPr>
          <w:bCs/>
        </w:rPr>
        <w:t>is</w:t>
      </w:r>
      <w:r w:rsidRPr="00715165" w:rsidR="00273E68">
        <w:rPr>
          <w:bCs/>
        </w:rPr>
        <w:t xml:space="preserve"> ultimately unsuccessful</w:t>
      </w:r>
      <w:r w:rsidRPr="00715165" w:rsidR="00CC7223">
        <w:rPr>
          <w:bCs/>
        </w:rPr>
        <w:t>,</w:t>
      </w:r>
      <w:r w:rsidRPr="00715165" w:rsidR="00273E68">
        <w:rPr>
          <w:bCs/>
        </w:rPr>
        <w:t xml:space="preserve"> is fairly characterized “as a cost of political participation.”  (</w:t>
      </w:r>
      <w:bookmarkStart w:id="144" w:name="dabmci_13e4b0bb97e1447695b500f3413ba1e4"/>
      <w:r w:rsidRPr="00715165" w:rsidR="00273E68">
        <w:rPr>
          <w:bCs/>
          <w:i/>
          <w:iCs/>
        </w:rPr>
        <w:t>Hedgecock</w:t>
      </w:r>
      <w:r w:rsidRPr="00715165" w:rsidR="00273E68">
        <w:rPr>
          <w:bCs/>
        </w:rPr>
        <w:t xml:space="preserve">, </w:t>
      </w:r>
      <w:r w:rsidRPr="00715165" w:rsidR="00273E68">
        <w:rPr>
          <w:bCs/>
          <w:i/>
          <w:iCs/>
        </w:rPr>
        <w:t>supra</w:t>
      </w:r>
      <w:r w:rsidRPr="00715165" w:rsidR="00273E68">
        <w:rPr>
          <w:bCs/>
        </w:rPr>
        <w:t>, 183 Cal.App.3d at p.</w:t>
      </w:r>
      <w:r w:rsidRPr="00715165" w:rsidR="00DB5C5D">
        <w:rPr>
          <w:bCs/>
        </w:rPr>
        <w:t> </w:t>
      </w:r>
      <w:r w:rsidRPr="00715165" w:rsidR="00273E68">
        <w:rPr>
          <w:bCs/>
        </w:rPr>
        <w:t>818</w:t>
      </w:r>
      <w:bookmarkEnd w:id="144"/>
      <w:r w:rsidRPr="00715165" w:rsidR="00273E68">
        <w:rPr>
          <w:bCs/>
        </w:rPr>
        <w:t>.)</w:t>
      </w:r>
      <w:r w:rsidRPr="00715165" w:rsidR="005426C5">
        <w:rPr>
          <w:bCs/>
        </w:rPr>
        <w:t xml:space="preserve">  </w:t>
      </w:r>
      <w:r w:rsidRPr="00715165" w:rsidR="007C2BAE">
        <w:rPr>
          <w:bCs/>
        </w:rPr>
        <w:t xml:space="preserve">California’s </w:t>
      </w:r>
      <w:r w:rsidRPr="00715165" w:rsidR="00CC7223">
        <w:rPr>
          <w:bCs/>
        </w:rPr>
        <w:t>campaign disclosure laws</w:t>
      </w:r>
      <w:r w:rsidRPr="00715165" w:rsidR="00912C56">
        <w:rPr>
          <w:bCs/>
        </w:rPr>
        <w:t>, after all,</w:t>
      </w:r>
      <w:r w:rsidRPr="00715165" w:rsidR="00CC7223">
        <w:rPr>
          <w:bCs/>
        </w:rPr>
        <w:t xml:space="preserve"> were enacted to “give citizens a basis for the faith and trust which must lie at the heart of our political process</w:t>
      </w:r>
      <w:r w:rsidR="000D3439">
        <w:rPr>
          <w:bCs/>
        </w:rPr>
        <w:t>.</w:t>
      </w:r>
      <w:r w:rsidRPr="00715165" w:rsidR="00CC7223">
        <w:rPr>
          <w:bCs/>
        </w:rPr>
        <w:t xml:space="preserve">” </w:t>
      </w:r>
      <w:r w:rsidR="000D3439">
        <w:rPr>
          <w:bCs/>
        </w:rPr>
        <w:t xml:space="preserve"> </w:t>
      </w:r>
      <w:r w:rsidRPr="00715165" w:rsidR="00CC7223">
        <w:rPr>
          <w:bCs/>
        </w:rPr>
        <w:t>(Ballot Pamp.,</w:t>
      </w:r>
      <w:r w:rsidR="001D7221">
        <w:rPr>
          <w:bCs/>
        </w:rPr>
        <w:t xml:space="preserve"> </w:t>
      </w:r>
      <w:r w:rsidRPr="00715165" w:rsidR="001D7221">
        <w:rPr>
          <w:bCs/>
        </w:rPr>
        <w:t>Primary Elec.</w:t>
      </w:r>
      <w:r w:rsidR="001D7221">
        <w:rPr>
          <w:bCs/>
        </w:rPr>
        <w:t>,</w:t>
      </w:r>
      <w:r w:rsidRPr="00715165" w:rsidR="001D7221">
        <w:rPr>
          <w:bCs/>
        </w:rPr>
        <w:t xml:space="preserve"> </w:t>
      </w:r>
      <w:r w:rsidRPr="00715165" w:rsidR="00CC7223">
        <w:rPr>
          <w:bCs/>
          <w:i/>
          <w:iCs/>
        </w:rPr>
        <w:t>supra</w:t>
      </w:r>
      <w:r w:rsidRPr="00715165" w:rsidR="00CC7223">
        <w:rPr>
          <w:bCs/>
        </w:rPr>
        <w:t>, rebuttal to argument against Prop. 9, p.</w:t>
      </w:r>
      <w:r w:rsidRPr="00715165" w:rsidR="00DB5C5D">
        <w:rPr>
          <w:bCs/>
        </w:rPr>
        <w:t> </w:t>
      </w:r>
      <w:r w:rsidRPr="00715165" w:rsidR="00CC7223">
        <w:rPr>
          <w:bCs/>
        </w:rPr>
        <w:t>37</w:t>
      </w:r>
      <w:r w:rsidR="000D3439">
        <w:rPr>
          <w:bCs/>
        </w:rPr>
        <w:t>.</w:t>
      </w:r>
      <w:r w:rsidRPr="00715165" w:rsidR="00CC7223">
        <w:rPr>
          <w:bCs/>
        </w:rPr>
        <w:t>)</w:t>
      </w:r>
      <w:r w:rsidRPr="00715165" w:rsidR="00B13A63">
        <w:rPr>
          <w:bCs/>
        </w:rPr>
        <w:t xml:space="preserve">  </w:t>
      </w:r>
      <w:r w:rsidRPr="00715165" w:rsidR="00E674F0">
        <w:rPr>
          <w:bCs/>
        </w:rPr>
        <w:t>Faith, trust, and transparency are vital aspects of self-government, and measures to promote these values serve compelling interests.</w:t>
      </w:r>
      <w:r w:rsidRPr="00715165" w:rsidR="00191023">
        <w:rPr>
          <w:bCs/>
        </w:rPr>
        <w:t xml:space="preserve">  Given the number of </w:t>
      </w:r>
      <w:r w:rsidRPr="00715165" w:rsidR="007C2BAE">
        <w:rPr>
          <w:bCs/>
        </w:rPr>
        <w:t xml:space="preserve">state and local </w:t>
      </w:r>
      <w:r w:rsidRPr="00715165" w:rsidR="00191023">
        <w:rPr>
          <w:bCs/>
        </w:rPr>
        <w:t xml:space="preserve">campaigns and the multiplicity of </w:t>
      </w:r>
      <w:r w:rsidR="00583BBE">
        <w:rPr>
          <w:bCs/>
        </w:rPr>
        <w:t>PACs</w:t>
      </w:r>
      <w:r w:rsidRPr="00715165" w:rsidR="00191023">
        <w:rPr>
          <w:bCs/>
        </w:rPr>
        <w:t xml:space="preserve">, the voters were aware as early as 1974 that meaningful </w:t>
      </w:r>
      <w:r w:rsidRPr="00715165" w:rsidR="007C2BAE">
        <w:rPr>
          <w:bCs/>
        </w:rPr>
        <w:t xml:space="preserve">compliance with </w:t>
      </w:r>
      <w:r w:rsidRPr="00715165" w:rsidR="00191023">
        <w:rPr>
          <w:bCs/>
        </w:rPr>
        <w:t xml:space="preserve">these </w:t>
      </w:r>
      <w:r w:rsidRPr="00715165" w:rsidR="00A80EAC">
        <w:rPr>
          <w:bCs/>
        </w:rPr>
        <w:t xml:space="preserve">disclosure laws depended on </w:t>
      </w:r>
      <w:r w:rsidRPr="00715165" w:rsidR="007C2BAE">
        <w:rPr>
          <w:bCs/>
        </w:rPr>
        <w:t xml:space="preserve">private </w:t>
      </w:r>
      <w:r w:rsidRPr="00715165">
        <w:rPr>
          <w:bCs/>
        </w:rPr>
        <w:t xml:space="preserve">enforcement actions.  We agree with </w:t>
      </w:r>
      <w:r w:rsidRPr="00715165">
        <w:rPr>
          <w:bCs/>
          <w:i/>
          <w:iCs/>
        </w:rPr>
        <w:t>Hedgecock</w:t>
      </w:r>
      <w:r w:rsidRPr="00715165">
        <w:rPr>
          <w:bCs/>
        </w:rPr>
        <w:t xml:space="preserve"> that “the need to avoid discouraging enforcement of the act must be deemed paramount.</w:t>
      </w:r>
      <w:r w:rsidRPr="00715165" w:rsidR="00DB5C5D">
        <w:rPr>
          <w:bCs/>
        </w:rPr>
        <w:t> </w:t>
      </w:r>
      <w:r w:rsidRPr="00715165">
        <w:rPr>
          <w:bCs/>
        </w:rPr>
        <w:t>.</w:t>
      </w:r>
      <w:r w:rsidRPr="00715165" w:rsidR="00DB5C5D">
        <w:rPr>
          <w:bCs/>
        </w:rPr>
        <w:t> </w:t>
      </w:r>
      <w:r w:rsidRPr="00715165">
        <w:rPr>
          <w:bCs/>
        </w:rPr>
        <w:t>.</w:t>
      </w:r>
      <w:r w:rsidRPr="00715165" w:rsidR="00216215">
        <w:rPr>
          <w:bCs/>
        </w:rPr>
        <w:t> </w:t>
      </w:r>
      <w:r w:rsidRPr="00715165" w:rsidR="00D6068D">
        <w:rPr>
          <w:bCs/>
        </w:rPr>
        <w:t>.</w:t>
      </w:r>
      <w:r w:rsidRPr="00715165">
        <w:rPr>
          <w:bCs/>
        </w:rPr>
        <w:t xml:space="preserve">  While we understand the financial burden a suit such as this can impose, in view of the fundamental need to enforce high standards of political ethics we do not believe it unfair to treat the price of defending against a reasonably grounded but ultimately unsuccessful allegation as a ‘cost of doing business’ in politics which is appropriately borne by the political participant.”  (</w:t>
      </w:r>
      <w:bookmarkStart w:id="145" w:name="dabmci_de20d5c945194936a7a5b53995e900dc"/>
      <w:r w:rsidRPr="00715165">
        <w:rPr>
          <w:bCs/>
          <w:i/>
          <w:iCs/>
        </w:rPr>
        <w:t>Hedgecock</w:t>
      </w:r>
      <w:r w:rsidRPr="00715165">
        <w:rPr>
          <w:bCs/>
        </w:rPr>
        <w:t>, at pp.</w:t>
      </w:r>
      <w:r w:rsidRPr="00715165" w:rsidR="00DB5C5D">
        <w:rPr>
          <w:bCs/>
        </w:rPr>
        <w:t> </w:t>
      </w:r>
      <w:r w:rsidRPr="00715165">
        <w:rPr>
          <w:bCs/>
        </w:rPr>
        <w:t>818</w:t>
      </w:r>
      <w:r w:rsidRPr="00715165" w:rsidR="004108BA">
        <w:rPr>
          <w:bCs/>
        </w:rPr>
        <w:t>–</w:t>
      </w:r>
      <w:r w:rsidRPr="00715165">
        <w:rPr>
          <w:bCs/>
        </w:rPr>
        <w:t>819</w:t>
      </w:r>
      <w:bookmarkEnd w:id="145"/>
      <w:r w:rsidRPr="00715165">
        <w:rPr>
          <w:bCs/>
        </w:rPr>
        <w:t xml:space="preserve">.) </w:t>
      </w:r>
      <w:r w:rsidRPr="00715165" w:rsidR="00DB5C5D">
        <w:rPr>
          <w:bCs/>
        </w:rPr>
        <w:t xml:space="preserve"> </w:t>
      </w:r>
      <w:r w:rsidRPr="00715165" w:rsidR="008F146B">
        <w:rPr>
          <w:bCs/>
        </w:rPr>
        <w:t>Moreover</w:t>
      </w:r>
      <w:r w:rsidRPr="00715165" w:rsidR="002B6488">
        <w:rPr>
          <w:bCs/>
        </w:rPr>
        <w:t xml:space="preserve">, </w:t>
      </w:r>
      <w:r w:rsidR="00587FF6">
        <w:rPr>
          <w:bCs/>
        </w:rPr>
        <w:t>as previously noted (see f</w:t>
      </w:r>
      <w:r w:rsidR="00687D53">
        <w:rPr>
          <w:bCs/>
        </w:rPr>
        <w:t>n.</w:t>
      </w:r>
      <w:r w:rsidR="00255838">
        <w:rPr>
          <w:bCs/>
        </w:rPr>
        <w:t> 6</w:t>
      </w:r>
      <w:r w:rsidR="00587FF6">
        <w:rPr>
          <w:bCs/>
        </w:rPr>
        <w:t xml:space="preserve">, </w:t>
      </w:r>
      <w:bookmarkStart w:id="146" w:name="dabmci_9d9217b04c824921a29de84bdf72d839"/>
      <w:r w:rsidR="00587FF6">
        <w:rPr>
          <w:bCs/>
          <w:i/>
          <w:iCs/>
        </w:rPr>
        <w:t>ante</w:t>
      </w:r>
      <w:r w:rsidR="00587FF6">
        <w:rPr>
          <w:bCs/>
        </w:rPr>
        <w:t>)</w:t>
      </w:r>
      <w:r w:rsidR="000F3D37">
        <w:rPr>
          <w:bCs/>
        </w:rPr>
        <w:t>,</w:t>
      </w:r>
      <w:bookmarkEnd w:id="146"/>
      <w:r w:rsidR="00587FF6">
        <w:rPr>
          <w:bCs/>
        </w:rPr>
        <w:t xml:space="preserve"> </w:t>
      </w:r>
      <w:r w:rsidRPr="00715165" w:rsidR="002B6488">
        <w:rPr>
          <w:bCs/>
        </w:rPr>
        <w:t xml:space="preserve">a prevailing defendant is not entirely without recourse.  </w:t>
      </w:r>
      <w:r w:rsidRPr="00715165" w:rsidR="008F146B">
        <w:rPr>
          <w:bCs/>
        </w:rPr>
        <w:t xml:space="preserve">When a </w:t>
      </w:r>
      <w:r w:rsidRPr="00715165" w:rsidR="002B6488">
        <w:rPr>
          <w:bCs/>
        </w:rPr>
        <w:t xml:space="preserve">trial </w:t>
      </w:r>
      <w:r w:rsidRPr="00715165" w:rsidR="008F146B">
        <w:rPr>
          <w:bCs/>
        </w:rPr>
        <w:t xml:space="preserve">court determines that an action was objectively without foundation, the prevailing defendant may </w:t>
      </w:r>
      <w:r w:rsidRPr="00715165" w:rsidR="002B6488">
        <w:rPr>
          <w:bCs/>
        </w:rPr>
        <w:t xml:space="preserve">still </w:t>
      </w:r>
      <w:r w:rsidRPr="00715165" w:rsidR="008F146B">
        <w:rPr>
          <w:bCs/>
        </w:rPr>
        <w:t>recover attorney</w:t>
      </w:r>
      <w:r w:rsidRPr="00715165" w:rsidR="00216215">
        <w:rPr>
          <w:bCs/>
        </w:rPr>
        <w:t>’s</w:t>
      </w:r>
      <w:r w:rsidRPr="00715165" w:rsidR="008F146B">
        <w:rPr>
          <w:bCs/>
        </w:rPr>
        <w:t xml:space="preserve"> fees.  (See </w:t>
      </w:r>
      <w:bookmarkStart w:id="147" w:name="dabmci_1100adf7a02a4a9890ebccf0206c7e37"/>
      <w:r w:rsidRPr="00715165" w:rsidR="008F146B">
        <w:rPr>
          <w:bCs/>
          <w:i/>
          <w:iCs/>
        </w:rPr>
        <w:t>Williams</w:t>
      </w:r>
      <w:r w:rsidRPr="00715165" w:rsidR="008F146B">
        <w:rPr>
          <w:bCs/>
        </w:rPr>
        <w:t xml:space="preserve">, </w:t>
      </w:r>
      <w:r w:rsidRPr="00715165" w:rsidR="008F146B">
        <w:rPr>
          <w:bCs/>
          <w:i/>
          <w:iCs/>
        </w:rPr>
        <w:t>supra</w:t>
      </w:r>
      <w:r w:rsidRPr="00715165" w:rsidR="008F146B">
        <w:rPr>
          <w:bCs/>
        </w:rPr>
        <w:t>,</w:t>
      </w:r>
      <w:r w:rsidRPr="00715165" w:rsidR="008F146B">
        <w:rPr>
          <w:bCs/>
          <w:i/>
          <w:iCs/>
        </w:rPr>
        <w:t xml:space="preserve"> </w:t>
      </w:r>
      <w:r w:rsidRPr="00715165" w:rsidR="008F146B">
        <w:rPr>
          <w:bCs/>
        </w:rPr>
        <w:t>61 Cal.4th at p. 115</w:t>
      </w:r>
      <w:bookmarkEnd w:id="147"/>
      <w:r w:rsidRPr="00715165" w:rsidR="008F146B">
        <w:rPr>
          <w:bCs/>
        </w:rPr>
        <w:t>.)</w:t>
      </w:r>
      <w:r w:rsidRPr="00715165" w:rsidR="002B6488">
        <w:rPr>
          <w:bCs/>
        </w:rPr>
        <w:t xml:space="preserve">  </w:t>
      </w:r>
    </w:p>
    <w:p w:rsidR="00B530EC" w:rsidRPr="00715165" w:rsidP="00715165">
      <w:pPr>
        <w:ind w:firstLine="720"/>
        <w:rPr>
          <w:bCs/>
        </w:rPr>
      </w:pPr>
      <w:r w:rsidRPr="00715165">
        <w:rPr>
          <w:bCs/>
        </w:rPr>
        <w:t xml:space="preserve">In sum, we conclude the </w:t>
      </w:r>
      <w:r w:rsidRPr="00715165">
        <w:rPr>
          <w:bCs/>
          <w:i/>
          <w:iCs/>
        </w:rPr>
        <w:t>Christiansburg</w:t>
      </w:r>
      <w:r w:rsidRPr="00715165">
        <w:rPr>
          <w:bCs/>
        </w:rPr>
        <w:t xml:space="preserve"> standard applies to discretionary awards of both attorney</w:t>
      </w:r>
      <w:r w:rsidRPr="00715165" w:rsidR="00C07BD2">
        <w:rPr>
          <w:bCs/>
        </w:rPr>
        <w:t>’s</w:t>
      </w:r>
      <w:r w:rsidRPr="00715165">
        <w:rPr>
          <w:bCs/>
        </w:rPr>
        <w:t xml:space="preserve"> fees and costs to prevailing </w:t>
      </w:r>
      <w:r w:rsidR="005C53D7">
        <w:rPr>
          <w:bCs/>
        </w:rPr>
        <w:t>defendants</w:t>
      </w:r>
      <w:r w:rsidRPr="00715165">
        <w:rPr>
          <w:bCs/>
        </w:rPr>
        <w:t xml:space="preserve"> under the Political Reform Act.  </w:t>
      </w:r>
      <w:r w:rsidRPr="00715165" w:rsidR="004C72A6">
        <w:rPr>
          <w:bCs/>
        </w:rPr>
        <w:t xml:space="preserve">The statute at issue here is not comparable to the one discussed in </w:t>
      </w:r>
      <w:r w:rsidRPr="00715165" w:rsidR="004C72A6">
        <w:rPr>
          <w:bCs/>
          <w:i/>
          <w:iCs/>
        </w:rPr>
        <w:t>Fogerty</w:t>
      </w:r>
      <w:r w:rsidRPr="00715165" w:rsidR="004C72A6">
        <w:rPr>
          <w:bCs/>
        </w:rPr>
        <w:t>.  Instead, we conclude a</w:t>
      </w:r>
      <w:r w:rsidRPr="00715165">
        <w:rPr>
          <w:bCs/>
        </w:rPr>
        <w:t xml:space="preserve">pplying an asymmetrical standard to fee awards </w:t>
      </w:r>
      <w:r w:rsidRPr="00715165" w:rsidR="004C72A6">
        <w:rPr>
          <w:bCs/>
        </w:rPr>
        <w:t xml:space="preserve">under the Political Reform Act </w:t>
      </w:r>
      <w:r w:rsidRPr="00715165">
        <w:rPr>
          <w:bCs/>
        </w:rPr>
        <w:t xml:space="preserve">is consistent with the principles outlined by our high court in </w:t>
      </w:r>
      <w:bookmarkStart w:id="148" w:name="dabmci_b8344fce76ae44ec811d7c2917210d84"/>
      <w:r w:rsidRPr="00715165">
        <w:rPr>
          <w:bCs/>
          <w:i/>
          <w:iCs/>
        </w:rPr>
        <w:t>Christiansburg</w:t>
      </w:r>
      <w:bookmarkEnd w:id="148"/>
      <w:r w:rsidRPr="00715165">
        <w:rPr>
          <w:bCs/>
        </w:rPr>
        <w:t xml:space="preserve">.  </w:t>
      </w:r>
      <w:r w:rsidRPr="00715165" w:rsidR="00216215">
        <w:rPr>
          <w:bCs/>
        </w:rPr>
        <w:t xml:space="preserve">To reiterate, under the </w:t>
      </w:r>
      <w:r w:rsidR="00AD7C9B">
        <w:rPr>
          <w:bCs/>
        </w:rPr>
        <w:t xml:space="preserve">asymmetrical </w:t>
      </w:r>
      <w:r w:rsidRPr="00715165" w:rsidR="00216215">
        <w:rPr>
          <w:bCs/>
        </w:rPr>
        <w:t xml:space="preserve">standard, </w:t>
      </w:r>
      <w:bookmarkStart w:id="149" w:name="_Hlk113449258"/>
      <w:r w:rsidRPr="00715165" w:rsidR="00216215">
        <w:rPr>
          <w:bCs/>
        </w:rPr>
        <w:t>a</w:t>
      </w:r>
      <w:r w:rsidRPr="00715165">
        <w:rPr>
          <w:bCs/>
        </w:rPr>
        <w:t xml:space="preserve"> prevailing </w:t>
      </w:r>
      <w:r w:rsidRPr="00715165">
        <w:rPr>
          <w:bCs/>
          <w:i/>
          <w:iCs/>
        </w:rPr>
        <w:t>defendant</w:t>
      </w:r>
      <w:r w:rsidRPr="00715165" w:rsidR="00216215">
        <w:rPr>
          <w:bCs/>
        </w:rPr>
        <w:t xml:space="preserve"> “</w:t>
      </w:r>
      <w:r w:rsidRPr="00715165">
        <w:rPr>
          <w:bCs/>
        </w:rPr>
        <w:t>should not be awarded fees and costs unless the court finds the action was objectively without foundation when brought, or the plaintiff continued to litigate after it clearly became so.</w:t>
      </w:r>
      <w:bookmarkEnd w:id="149"/>
      <w:r w:rsidRPr="00715165">
        <w:rPr>
          <w:bCs/>
        </w:rPr>
        <w:t>”  (</w:t>
      </w:r>
      <w:bookmarkStart w:id="150" w:name="dabmci_9fc6e6ab9893478f95b6bff61a35d02f"/>
      <w:r w:rsidRPr="00715165">
        <w:rPr>
          <w:i/>
          <w:iCs/>
        </w:rPr>
        <w:t>Williams</w:t>
      </w:r>
      <w:r w:rsidRPr="00715165">
        <w:t xml:space="preserve">, </w:t>
      </w:r>
      <w:r w:rsidRPr="00715165">
        <w:rPr>
          <w:i/>
          <w:iCs/>
        </w:rPr>
        <w:t>supra</w:t>
      </w:r>
      <w:r w:rsidRPr="00715165">
        <w:t>, 61 Cal.4th at p. 115</w:t>
      </w:r>
      <w:bookmarkEnd w:id="150"/>
      <w:r w:rsidRPr="00715165" w:rsidR="00FC3419">
        <w:t xml:space="preserve">; </w:t>
      </w:r>
      <w:r w:rsidR="00554B9F">
        <w:t>accord,</w:t>
      </w:r>
      <w:r w:rsidRPr="00715165" w:rsidR="00FC3419">
        <w:t xml:space="preserve"> </w:t>
      </w:r>
      <w:bookmarkStart w:id="151" w:name="dabmci_11021d13b6f64fa2b5e0a91fb3843af8"/>
      <w:r w:rsidRPr="00715165" w:rsidR="00FC3419">
        <w:rPr>
          <w:bCs/>
          <w:i/>
          <w:iCs/>
        </w:rPr>
        <w:t>Christiansburg</w:t>
      </w:r>
      <w:r w:rsidRPr="00715165" w:rsidR="00FC3419">
        <w:rPr>
          <w:bCs/>
        </w:rPr>
        <w:t xml:space="preserve">, </w:t>
      </w:r>
      <w:r w:rsidRPr="00715165" w:rsidR="00FC3419">
        <w:rPr>
          <w:bCs/>
          <w:i/>
          <w:iCs/>
        </w:rPr>
        <w:t>supra</w:t>
      </w:r>
      <w:r w:rsidRPr="00715165" w:rsidR="00FC3419">
        <w:rPr>
          <w:bCs/>
        </w:rPr>
        <w:t>, 434 U.S. at p. 421</w:t>
      </w:r>
      <w:bookmarkEnd w:id="151"/>
      <w:r w:rsidRPr="00715165" w:rsidR="00FC3419">
        <w:rPr>
          <w:bCs/>
        </w:rPr>
        <w:t xml:space="preserve"> </w:t>
      </w:r>
      <w:r w:rsidRPr="00715165" w:rsidR="00FC3419">
        <w:rPr>
          <w:szCs w:val="26"/>
        </w:rPr>
        <w:t>[prevailing defendants may recover only when “the plaintiff’s action was frivolous, unreasonable, or without foundation, even though not brought in subjective bad faith”]</w:t>
      </w:r>
      <w:r w:rsidRPr="00715165">
        <w:rPr>
          <w:bCs/>
        </w:rPr>
        <w:t>.)</w:t>
      </w:r>
      <w:r>
        <w:rPr>
          <w:rStyle w:val="FootnoteReference"/>
          <w:bCs/>
        </w:rPr>
        <w:footnoteReference w:id="11"/>
      </w:r>
      <w:r w:rsidRPr="00715165">
        <w:rPr>
          <w:bCs/>
        </w:rPr>
        <w:t xml:space="preserve">  </w:t>
      </w:r>
    </w:p>
    <w:p w:rsidR="007B528A" w:rsidRPr="00715165" w:rsidP="00715165">
      <w:pPr>
        <w:pStyle w:val="Heading1"/>
      </w:pPr>
      <w:r w:rsidRPr="00715165">
        <w:t>III.</w:t>
      </w:r>
    </w:p>
    <w:p w:rsidR="002B6488" w:rsidRPr="00715165" w:rsidP="00715165">
      <w:pPr>
        <w:ind w:firstLine="720"/>
        <w:rPr>
          <w:bCs/>
        </w:rPr>
      </w:pPr>
      <w:r w:rsidRPr="00715165">
        <w:rPr>
          <w:bCs/>
        </w:rPr>
        <w:t xml:space="preserve">The </w:t>
      </w:r>
      <w:r w:rsidRPr="00715165" w:rsidR="00703B53">
        <w:rPr>
          <w:bCs/>
        </w:rPr>
        <w:t>trial court awarded defendants attorney</w:t>
      </w:r>
      <w:r w:rsidRPr="00715165" w:rsidR="007A1176">
        <w:rPr>
          <w:bCs/>
        </w:rPr>
        <w:t>’s</w:t>
      </w:r>
      <w:r w:rsidRPr="00715165" w:rsidR="00703B53">
        <w:rPr>
          <w:bCs/>
        </w:rPr>
        <w:t xml:space="preserve"> fees under both </w:t>
      </w:r>
      <w:bookmarkStart w:id="154" w:name="dabmci_6fee8cd394d3490aa3fd717f09248d11"/>
      <w:r w:rsidRPr="00715165" w:rsidR="00091002">
        <w:rPr>
          <w:bCs/>
        </w:rPr>
        <w:t>Government Code section 91003(a)</w:t>
      </w:r>
      <w:bookmarkEnd w:id="154"/>
      <w:r w:rsidRPr="00715165" w:rsidR="00091002">
        <w:rPr>
          <w:bCs/>
        </w:rPr>
        <w:t xml:space="preserve"> as well as </w:t>
      </w:r>
      <w:bookmarkStart w:id="155" w:name="dabmci_3d1cb91d857e4320aa0c31b745a34c6b"/>
      <w:r w:rsidRPr="00715165" w:rsidR="00703B53">
        <w:rPr>
          <w:bCs/>
        </w:rPr>
        <w:t>Code of Civil Procedure section 1021.5</w:t>
      </w:r>
      <w:bookmarkEnd w:id="155"/>
      <w:r w:rsidRPr="00715165" w:rsidR="00703B53">
        <w:rPr>
          <w:bCs/>
        </w:rPr>
        <w:t>.  The Court of Appeal</w:t>
      </w:r>
      <w:r w:rsidR="008D333B">
        <w:rPr>
          <w:bCs/>
        </w:rPr>
        <w:t xml:space="preserve"> upheld </w:t>
      </w:r>
      <w:r w:rsidR="00836025">
        <w:rPr>
          <w:bCs/>
        </w:rPr>
        <w:t xml:space="preserve">the award </w:t>
      </w:r>
      <w:r w:rsidRPr="00715165" w:rsidR="00703B53">
        <w:rPr>
          <w:bCs/>
        </w:rPr>
        <w:t xml:space="preserve">under </w:t>
      </w:r>
      <w:bookmarkStart w:id="156" w:name="dabmci_c3d9316275394461b68a3f48361d579f"/>
      <w:r w:rsidRPr="00715165" w:rsidR="00703B53">
        <w:rPr>
          <w:bCs/>
        </w:rPr>
        <w:t>Government Code section 91003(a)</w:t>
      </w:r>
      <w:bookmarkEnd w:id="156"/>
      <w:r w:rsidRPr="00715165" w:rsidR="00CA2613">
        <w:rPr>
          <w:bCs/>
        </w:rPr>
        <w:t xml:space="preserve"> (</w:t>
      </w:r>
      <w:bookmarkStart w:id="157" w:name="dabmci_55ef13e17fa24ca2974c66926b2153da"/>
      <w:r w:rsidRPr="00715165" w:rsidR="00CA2613">
        <w:rPr>
          <w:bCs/>
          <w:i/>
          <w:iCs/>
        </w:rPr>
        <w:t>Travis</w:t>
      </w:r>
      <w:r w:rsidRPr="00715165" w:rsidR="009D292B">
        <w:rPr>
          <w:bCs/>
        </w:rPr>
        <w:t xml:space="preserve">, </w:t>
      </w:r>
      <w:r w:rsidRPr="00715165" w:rsidR="009D292B">
        <w:rPr>
          <w:bCs/>
          <w:i/>
          <w:iCs/>
        </w:rPr>
        <w:t>supra</w:t>
      </w:r>
      <w:r w:rsidRPr="00715165" w:rsidR="009D292B">
        <w:rPr>
          <w:bCs/>
        </w:rPr>
        <w:t xml:space="preserve">, </w:t>
      </w:r>
      <w:r w:rsidRPr="00715165" w:rsidR="00EB776B">
        <w:rPr>
          <w:bCs/>
        </w:rPr>
        <w:t>62 Cal.App.5th at p.</w:t>
      </w:r>
      <w:r w:rsidRPr="00715165" w:rsidR="00DB5C5D">
        <w:rPr>
          <w:bCs/>
        </w:rPr>
        <w:t> </w:t>
      </w:r>
      <w:r w:rsidRPr="00715165" w:rsidR="00EB776B">
        <w:rPr>
          <w:bCs/>
        </w:rPr>
        <w:t>263</w:t>
      </w:r>
      <w:bookmarkEnd w:id="157"/>
      <w:r w:rsidRPr="00715165" w:rsidR="00EB776B">
        <w:rPr>
          <w:bCs/>
        </w:rPr>
        <w:t>)</w:t>
      </w:r>
      <w:r w:rsidR="00651513">
        <w:rPr>
          <w:bCs/>
        </w:rPr>
        <w:t xml:space="preserve"> but never</w:t>
      </w:r>
      <w:r w:rsidRPr="00715165" w:rsidR="00046A37">
        <w:rPr>
          <w:bCs/>
        </w:rPr>
        <w:t xml:space="preserve"> consider</w:t>
      </w:r>
      <w:r w:rsidR="004C18B2">
        <w:rPr>
          <w:bCs/>
        </w:rPr>
        <w:t>ed</w:t>
      </w:r>
      <w:r w:rsidRPr="00715165" w:rsidR="00046A37">
        <w:rPr>
          <w:bCs/>
        </w:rPr>
        <w:t xml:space="preserve"> whether plaintiffs objectively brought their suit without foundation or continued to prosecute it after it clearly became so.  (See </w:t>
      </w:r>
      <w:bookmarkStart w:id="158" w:name="dabmci_465859252cc24642af3a67b74623bc6f"/>
      <w:r w:rsidRPr="00715165" w:rsidR="00046A37">
        <w:rPr>
          <w:bCs/>
          <w:i/>
          <w:iCs/>
        </w:rPr>
        <w:t>Williams</w:t>
      </w:r>
      <w:r w:rsidRPr="00715165" w:rsidR="00046A37">
        <w:rPr>
          <w:bCs/>
        </w:rPr>
        <w:t xml:space="preserve">, </w:t>
      </w:r>
      <w:r w:rsidRPr="00715165" w:rsidR="00046A37">
        <w:rPr>
          <w:bCs/>
          <w:i/>
          <w:iCs/>
        </w:rPr>
        <w:t>supra</w:t>
      </w:r>
      <w:r w:rsidRPr="00715165" w:rsidR="00046A37">
        <w:rPr>
          <w:bCs/>
        </w:rPr>
        <w:t>, 61 Cal.4th at p.</w:t>
      </w:r>
      <w:r w:rsidRPr="00715165" w:rsidR="00DB5C5D">
        <w:rPr>
          <w:bCs/>
        </w:rPr>
        <w:t> </w:t>
      </w:r>
      <w:r w:rsidRPr="00715165" w:rsidR="00046A37">
        <w:rPr>
          <w:bCs/>
        </w:rPr>
        <w:t>115</w:t>
      </w:r>
      <w:bookmarkEnd w:id="158"/>
      <w:r w:rsidRPr="00715165" w:rsidR="00046A37">
        <w:rPr>
          <w:bCs/>
        </w:rPr>
        <w:t>.)</w:t>
      </w:r>
      <w:r w:rsidR="00445AF4">
        <w:rPr>
          <w:bCs/>
        </w:rPr>
        <w:t xml:space="preserve">  </w:t>
      </w:r>
      <w:r w:rsidR="005A1F39">
        <w:rPr>
          <w:bCs/>
        </w:rPr>
        <w:t xml:space="preserve">Nor did the Court of Appeal consider the </w:t>
      </w:r>
      <w:r w:rsidR="00FA660C">
        <w:rPr>
          <w:bCs/>
        </w:rPr>
        <w:t xml:space="preserve">award’s validity under </w:t>
      </w:r>
      <w:bookmarkStart w:id="159" w:name="dabmci_95b8352392f0407d959ed2ecb7e86162"/>
      <w:r w:rsidR="00FA660C">
        <w:rPr>
          <w:bCs/>
        </w:rPr>
        <w:t>Code of Civil Procedure section 1021.5</w:t>
      </w:r>
      <w:bookmarkEnd w:id="159"/>
      <w:r w:rsidR="00FA660C">
        <w:rPr>
          <w:bCs/>
        </w:rPr>
        <w:t>.</w:t>
      </w:r>
      <w:r w:rsidR="00595492">
        <w:rPr>
          <w:bCs/>
        </w:rPr>
        <w:t xml:space="preserve"> </w:t>
      </w:r>
      <w:r w:rsidRPr="00715165" w:rsidR="00046A37">
        <w:rPr>
          <w:bCs/>
        </w:rPr>
        <w:t xml:space="preserve"> </w:t>
      </w:r>
    </w:p>
    <w:p w:rsidR="00BB4EB7" w:rsidRPr="00715165" w:rsidP="00B35052">
      <w:pPr>
        <w:ind w:firstLine="720"/>
        <w:rPr>
          <w:bCs/>
        </w:rPr>
      </w:pPr>
      <w:r w:rsidRPr="00715165">
        <w:rPr>
          <w:bCs/>
        </w:rPr>
        <w:t>Whether</w:t>
      </w:r>
      <w:r w:rsidRPr="00715165" w:rsidR="009B1F1E">
        <w:rPr>
          <w:bCs/>
        </w:rPr>
        <w:t xml:space="preserve"> defendants have demonstrated that plaintiffs’ lawsuit was objectively groundless</w:t>
      </w:r>
      <w:r w:rsidRPr="00715165" w:rsidR="002B6488">
        <w:rPr>
          <w:bCs/>
        </w:rPr>
        <w:t> </w:t>
      </w:r>
      <w:r w:rsidRPr="00715165" w:rsidR="009B1F1E">
        <w:rPr>
          <w:bCs/>
        </w:rPr>
        <w:t>—</w:t>
      </w:r>
      <w:r w:rsidR="00EB132D">
        <w:rPr>
          <w:bCs/>
        </w:rPr>
        <w:t xml:space="preserve"> </w:t>
      </w:r>
      <w:r w:rsidRPr="00715165" w:rsidR="009B1F1E">
        <w:rPr>
          <w:bCs/>
        </w:rPr>
        <w:t xml:space="preserve">or whether the fee award could instead be upheld under </w:t>
      </w:r>
      <w:bookmarkStart w:id="160" w:name="dabmci_e822ff4ccda442fabaacaebd45b0a279"/>
      <w:r w:rsidRPr="00715165" w:rsidR="009B1F1E">
        <w:rPr>
          <w:bCs/>
        </w:rPr>
        <w:t>Code of Civil Procedure section 1021.5</w:t>
      </w:r>
      <w:bookmarkEnd w:id="160"/>
      <w:r w:rsidRPr="00715165" w:rsidR="00DB5C5D">
        <w:rPr>
          <w:bCs/>
        </w:rPr>
        <w:t> </w:t>
      </w:r>
      <w:r w:rsidRPr="00715165" w:rsidR="009B1F1E">
        <w:rPr>
          <w:bCs/>
        </w:rPr>
        <w:t>—</w:t>
      </w:r>
      <w:r w:rsidR="00EB132D">
        <w:rPr>
          <w:bCs/>
        </w:rPr>
        <w:t xml:space="preserve"> </w:t>
      </w:r>
      <w:r w:rsidRPr="00715165" w:rsidR="009B1F1E">
        <w:rPr>
          <w:bCs/>
        </w:rPr>
        <w:t xml:space="preserve">is a matter for the Court of Appeal to determine in the first instance.  </w:t>
      </w:r>
      <w:r w:rsidR="006E2D61">
        <w:rPr>
          <w:bCs/>
        </w:rPr>
        <w:t xml:space="preserve">We express no view on the merits of awarding attorney’s fees under either statute.  </w:t>
      </w:r>
      <w:r w:rsidR="00953C64">
        <w:rPr>
          <w:bCs/>
        </w:rPr>
        <w:t>We</w:t>
      </w:r>
      <w:r w:rsidRPr="00715165" w:rsidR="009B1F1E">
        <w:rPr>
          <w:bCs/>
        </w:rPr>
        <w:t xml:space="preserve"> </w:t>
      </w:r>
      <w:r w:rsidRPr="00715165" w:rsidR="00E80960">
        <w:rPr>
          <w:bCs/>
        </w:rPr>
        <w:t xml:space="preserve">reverse the judgment of the Court of Appeal and remand for further proceedings consistent with this opinion.  </w:t>
      </w:r>
      <w:r w:rsidRPr="00715165" w:rsidR="002B6488">
        <w:rPr>
          <w:bCs/>
        </w:rPr>
        <w:t xml:space="preserve">(See </w:t>
      </w:r>
      <w:bookmarkStart w:id="161" w:name="dabmci_e2a1159d5f1d41bd8374bece2acc6f7c"/>
      <w:r w:rsidRPr="00715165" w:rsidR="00B957A3">
        <w:rPr>
          <w:bCs/>
          <w:i/>
          <w:iCs/>
        </w:rPr>
        <w:t>Pollock</w:t>
      </w:r>
      <w:r w:rsidRPr="00715165" w:rsidR="002B6488">
        <w:rPr>
          <w:bCs/>
        </w:rPr>
        <w:t xml:space="preserve">, </w:t>
      </w:r>
      <w:r w:rsidRPr="00715165" w:rsidR="002B6488">
        <w:rPr>
          <w:bCs/>
          <w:i/>
          <w:iCs/>
        </w:rPr>
        <w:t>supra</w:t>
      </w:r>
      <w:r w:rsidRPr="00715165" w:rsidR="002B6488">
        <w:rPr>
          <w:bCs/>
        </w:rPr>
        <w:t xml:space="preserve">, 11 Cal.5th </w:t>
      </w:r>
      <w:r w:rsidRPr="00715165" w:rsidR="00B957A3">
        <w:rPr>
          <w:bCs/>
        </w:rPr>
        <w:t>at pp.</w:t>
      </w:r>
      <w:r w:rsidRPr="00715165" w:rsidR="002B6488">
        <w:rPr>
          <w:bCs/>
        </w:rPr>
        <w:t> </w:t>
      </w:r>
      <w:r w:rsidRPr="00715165" w:rsidR="00B957A3">
        <w:rPr>
          <w:bCs/>
        </w:rPr>
        <w:t>929, 951</w:t>
      </w:r>
      <w:bookmarkEnd w:id="161"/>
      <w:r w:rsidRPr="00715165" w:rsidR="002B6488">
        <w:rPr>
          <w:bCs/>
        </w:rPr>
        <w:t>.)</w:t>
      </w:r>
      <w:r w:rsidRPr="00715165" w:rsidR="00C63C79">
        <w:rPr>
          <w:bCs/>
        </w:rPr>
        <w:t xml:space="preserve"> </w:t>
      </w:r>
    </w:p>
    <w:p w:rsidR="00BB4EB7" w:rsidP="006304E6">
      <w:pPr>
        <w:keepNext/>
        <w:ind w:firstLine="720"/>
        <w:rPr>
          <w:b/>
          <w:bCs/>
        </w:rPr>
      </w:pPr>
      <w:r w:rsidRPr="00715165">
        <w:rPr>
          <w:b/>
          <w:bCs/>
        </w:rPr>
        <w:tab/>
      </w:r>
      <w:r w:rsidRPr="00715165">
        <w:rPr>
          <w:b/>
          <w:bCs/>
        </w:rPr>
        <w:tab/>
      </w:r>
      <w:r w:rsidRPr="00715165">
        <w:rPr>
          <w:b/>
          <w:bCs/>
        </w:rPr>
        <w:tab/>
      </w:r>
      <w:r w:rsidRPr="00715165">
        <w:rPr>
          <w:b/>
          <w:bCs/>
        </w:rPr>
        <w:tab/>
      </w:r>
      <w:r w:rsidRPr="00715165">
        <w:rPr>
          <w:b/>
          <w:bCs/>
        </w:rPr>
        <w:tab/>
      </w:r>
      <w:r w:rsidRPr="00715165" w:rsidR="000D4B7A">
        <w:rPr>
          <w:b/>
          <w:bCs/>
        </w:rPr>
        <w:tab/>
      </w:r>
      <w:r w:rsidRPr="00715165">
        <w:rPr>
          <w:b/>
          <w:bCs/>
        </w:rPr>
        <w:t xml:space="preserve">GUERRERO, </w:t>
      </w:r>
      <w:r w:rsidR="00FB12B3">
        <w:rPr>
          <w:b/>
          <w:bCs/>
        </w:rPr>
        <w:t xml:space="preserve">C. </w:t>
      </w:r>
      <w:r w:rsidRPr="00715165">
        <w:rPr>
          <w:b/>
          <w:bCs/>
        </w:rPr>
        <w:t>J.</w:t>
      </w:r>
    </w:p>
    <w:p w:rsidR="00610231" w:rsidP="006304E6">
      <w:pPr>
        <w:keepNext/>
        <w:ind w:firstLine="720"/>
        <w:rPr>
          <w:b/>
          <w:bCs/>
        </w:rPr>
      </w:pPr>
    </w:p>
    <w:p w:rsidR="00610231" w:rsidP="00405237">
      <w:pPr>
        <w:rPr>
          <w:b/>
          <w:bCs/>
        </w:rPr>
      </w:pPr>
      <w:r>
        <w:rPr>
          <w:b/>
          <w:bCs/>
        </w:rPr>
        <w:t>We Concur:</w:t>
      </w:r>
      <w:bookmarkEnd w:id="1"/>
    </w:p>
    <w:p w:rsidR="00286E8D" w:rsidP="00104DF7">
      <w:pPr>
        <w:spacing w:after="0" w:line="240" w:lineRule="auto"/>
        <w:rPr>
          <w:b/>
          <w:bCs/>
          <w:lang w:val="it-IT"/>
        </w:rPr>
      </w:pPr>
      <w:r w:rsidRPr="00286E8D">
        <w:rPr>
          <w:b/>
          <w:bCs/>
          <w:lang w:val="it-IT"/>
        </w:rPr>
        <w:t>CORRIGAN, J.</w:t>
      </w:r>
    </w:p>
    <w:p w:rsidR="00737E03" w:rsidRPr="00286E8D" w:rsidP="00104DF7">
      <w:pPr>
        <w:spacing w:after="0" w:line="240" w:lineRule="auto"/>
        <w:rPr>
          <w:b/>
          <w:bCs/>
          <w:lang w:val="it-IT"/>
        </w:rPr>
      </w:pPr>
      <w:r>
        <w:rPr>
          <w:b/>
          <w:bCs/>
          <w:lang w:val="it-IT"/>
        </w:rPr>
        <w:t>LIU, J.</w:t>
      </w:r>
    </w:p>
    <w:p w:rsidR="00286E8D" w:rsidRPr="00286E8D" w:rsidP="00104DF7">
      <w:pPr>
        <w:spacing w:after="0" w:line="240" w:lineRule="auto"/>
        <w:rPr>
          <w:b/>
          <w:bCs/>
          <w:lang w:val="it-IT"/>
        </w:rPr>
      </w:pPr>
      <w:r w:rsidRPr="00286E8D">
        <w:rPr>
          <w:b/>
          <w:bCs/>
          <w:lang w:val="it-IT"/>
        </w:rPr>
        <w:t>KRUGER, J.</w:t>
      </w:r>
    </w:p>
    <w:p w:rsidR="00286E8D" w:rsidRPr="00286E8D" w:rsidP="00104DF7">
      <w:pPr>
        <w:spacing w:after="0" w:line="240" w:lineRule="auto"/>
        <w:rPr>
          <w:b/>
          <w:bCs/>
        </w:rPr>
      </w:pPr>
      <w:r w:rsidRPr="00286E8D">
        <w:rPr>
          <w:b/>
          <w:bCs/>
        </w:rPr>
        <w:t>GROBAN, J.</w:t>
      </w:r>
    </w:p>
    <w:p w:rsidR="00286E8D" w:rsidRPr="00286E8D" w:rsidP="00104DF7">
      <w:pPr>
        <w:spacing w:after="0" w:line="240" w:lineRule="auto"/>
        <w:rPr>
          <w:b/>
          <w:bCs/>
        </w:rPr>
      </w:pPr>
      <w:r w:rsidRPr="00286E8D">
        <w:rPr>
          <w:b/>
          <w:bCs/>
        </w:rPr>
        <w:t>JENKINS, J.</w:t>
      </w:r>
    </w:p>
    <w:p w:rsidR="00286E8D" w:rsidP="00104DF7">
      <w:pPr>
        <w:spacing w:after="0" w:line="240" w:lineRule="auto"/>
        <w:rPr>
          <w:bCs/>
        </w:rPr>
      </w:pPr>
      <w:r w:rsidRPr="00286E8D">
        <w:rPr>
          <w:b/>
          <w:bCs/>
          <w:lang w:val="it-IT"/>
        </w:rPr>
        <w:t>CANTIL-SAKAUYE</w:t>
      </w:r>
      <w:r w:rsidRPr="00286E8D">
        <w:rPr>
          <w:b/>
          <w:bCs/>
        </w:rPr>
        <w:t>, J.</w:t>
      </w:r>
      <w:r>
        <w:rPr>
          <w:rStyle w:val="FootnoteReference"/>
          <w:b w:val="0"/>
          <w:bCs/>
        </w:rPr>
        <w:footnoteReference w:customMarkFollows="1" w:id="12"/>
        <w:t xml:space="preserve">*</w:t>
      </w:r>
    </w:p>
    <w:p w:rsidR="007C301B" w:rsidP="00104DF7">
      <w:pPr>
        <w:spacing w:after="0" w:line="240" w:lineRule="auto"/>
        <w:rPr>
          <w:b/>
          <w:bCs/>
        </w:rPr>
        <w:sectPr w:rsidSect="00AA6868">
          <w:headerReference w:type="default" r:id="rId12"/>
          <w:footerReference w:type="default" r:id="rId13"/>
          <w:footerReference w:type="first" r:id="rId14"/>
          <w:pgSz w:w="12240" w:h="15840"/>
          <w:pgMar w:top="1800" w:right="2160" w:bottom="1440" w:left="2160" w:header="720" w:footer="720" w:gutter="0"/>
          <w:pgNumType w:start="1"/>
          <w:cols w:space="720"/>
          <w:titlePg/>
          <w:docGrid w:linePitch="367"/>
        </w:sectPr>
      </w:pPr>
    </w:p>
    <w:p w:rsidR="007C301B" w:rsidRPr="007C301B" w:rsidP="007C301B">
      <w:pPr>
        <w:spacing w:after="0" w:line="240" w:lineRule="auto"/>
        <w:jc w:val="left"/>
        <w:rPr>
          <w:i/>
          <w:sz w:val="24"/>
          <w:szCs w:val="24"/>
        </w:rPr>
      </w:pPr>
      <w:r w:rsidRPr="007C301B">
        <w:rPr>
          <w:i/>
          <w:sz w:val="24"/>
          <w:szCs w:val="24"/>
        </w:rPr>
        <w:t>See next page for addresses and telephone numbers for counsel who argued in Supreme Court.</w:t>
      </w:r>
    </w:p>
    <w:p w:rsidR="007C301B" w:rsidRPr="007C301B" w:rsidP="007C301B">
      <w:pPr>
        <w:spacing w:after="0" w:line="240" w:lineRule="auto"/>
        <w:jc w:val="left"/>
        <w:rPr>
          <w:i/>
          <w:sz w:val="24"/>
          <w:szCs w:val="24"/>
        </w:rPr>
      </w:pPr>
    </w:p>
    <w:p w:rsidR="007C301B" w:rsidRPr="007C301B" w:rsidP="007C301B">
      <w:pPr>
        <w:spacing w:after="0" w:line="240" w:lineRule="auto"/>
        <w:jc w:val="left"/>
        <w:rPr>
          <w:bCs/>
          <w:sz w:val="24"/>
          <w:szCs w:val="24"/>
        </w:rPr>
      </w:pPr>
      <w:r w:rsidRPr="007C301B">
        <w:rPr>
          <w:b/>
          <w:sz w:val="24"/>
          <w:szCs w:val="24"/>
        </w:rPr>
        <w:t xml:space="preserve">Name of Opinion  </w:t>
      </w:r>
      <w:r w:rsidRPr="007C301B">
        <w:rPr>
          <w:bCs/>
          <w:sz w:val="24"/>
          <w:szCs w:val="24"/>
        </w:rPr>
        <w:t>Travis v. Brand</w:t>
      </w:r>
    </w:p>
    <w:p w:rsidR="007C301B" w:rsidRPr="007C301B" w:rsidP="007C301B">
      <w:pPr>
        <w:spacing w:after="0" w:line="240" w:lineRule="auto"/>
        <w:jc w:val="left"/>
        <w:rPr>
          <w:b/>
          <w:sz w:val="24"/>
          <w:szCs w:val="24"/>
        </w:rPr>
      </w:pPr>
      <w:r w:rsidRPr="007C301B">
        <w:rPr>
          <w:b/>
          <w:sz w:val="24"/>
          <w:szCs w:val="24"/>
        </w:rPr>
        <w:t xml:space="preserve">__________________________________________________________ </w:t>
      </w:r>
    </w:p>
    <w:p w:rsidR="007C301B" w:rsidRPr="007C301B" w:rsidP="007C301B">
      <w:pPr>
        <w:spacing w:after="0" w:line="240" w:lineRule="auto"/>
        <w:jc w:val="left"/>
        <w:rPr>
          <w:b/>
          <w:sz w:val="24"/>
          <w:szCs w:val="24"/>
        </w:rPr>
      </w:pPr>
    </w:p>
    <w:p w:rsidR="007C301B" w:rsidRPr="007C301B" w:rsidP="007C301B">
      <w:pPr>
        <w:spacing w:after="0" w:line="240" w:lineRule="auto"/>
        <w:jc w:val="left"/>
        <w:rPr>
          <w:sz w:val="24"/>
          <w:szCs w:val="24"/>
        </w:rPr>
      </w:pPr>
      <w:r w:rsidRPr="007C301B">
        <w:rPr>
          <w:b/>
          <w:bCs/>
          <w:sz w:val="24"/>
          <w:szCs w:val="24"/>
          <w:u w:val="single"/>
        </w:rPr>
        <w:t>Procedural Posture</w:t>
      </w:r>
      <w:r w:rsidRPr="007C301B">
        <w:rPr>
          <w:b/>
          <w:bCs/>
          <w:sz w:val="24"/>
          <w:szCs w:val="24"/>
        </w:rPr>
        <w:t xml:space="preserve"> </w:t>
      </w:r>
      <w:r w:rsidRPr="007C301B">
        <w:rPr>
          <w:sz w:val="24"/>
          <w:szCs w:val="24"/>
        </w:rPr>
        <w:t>(see XX below)</w:t>
      </w:r>
    </w:p>
    <w:p w:rsidR="007C301B" w:rsidRPr="007C301B" w:rsidP="007C301B">
      <w:pPr>
        <w:spacing w:after="0" w:line="240" w:lineRule="auto"/>
        <w:jc w:val="left"/>
        <w:rPr>
          <w:sz w:val="24"/>
          <w:szCs w:val="24"/>
        </w:rPr>
      </w:pPr>
      <w:r w:rsidRPr="007C301B">
        <w:rPr>
          <w:b/>
          <w:bCs/>
          <w:sz w:val="24"/>
          <w:szCs w:val="24"/>
        </w:rPr>
        <w:t>Original Appeal</w:t>
      </w:r>
      <w:r w:rsidRPr="007C301B">
        <w:rPr>
          <w:sz w:val="24"/>
          <w:szCs w:val="24"/>
        </w:rPr>
        <w:t xml:space="preserve"> </w:t>
      </w:r>
    </w:p>
    <w:p w:rsidR="007C301B" w:rsidRPr="007C301B" w:rsidP="007C301B">
      <w:pPr>
        <w:spacing w:after="0" w:line="240" w:lineRule="auto"/>
        <w:jc w:val="left"/>
        <w:rPr>
          <w:b/>
          <w:bCs/>
          <w:sz w:val="24"/>
          <w:szCs w:val="24"/>
        </w:rPr>
      </w:pPr>
      <w:r w:rsidRPr="007C301B">
        <w:rPr>
          <w:b/>
          <w:bCs/>
          <w:sz w:val="24"/>
          <w:szCs w:val="24"/>
        </w:rPr>
        <w:t>Original Proceeding</w:t>
      </w:r>
    </w:p>
    <w:p w:rsidR="007C301B" w:rsidRPr="007C301B" w:rsidP="007C301B">
      <w:pPr>
        <w:spacing w:after="0" w:line="240" w:lineRule="auto"/>
        <w:jc w:val="left"/>
        <w:rPr>
          <w:sz w:val="24"/>
          <w:szCs w:val="24"/>
        </w:rPr>
      </w:pPr>
      <w:r w:rsidRPr="007C301B">
        <w:rPr>
          <w:b/>
          <w:bCs/>
          <w:sz w:val="24"/>
          <w:szCs w:val="24"/>
        </w:rPr>
        <w:t>Review Granted</w:t>
      </w:r>
      <w:r w:rsidRPr="007C301B">
        <w:rPr>
          <w:sz w:val="24"/>
          <w:szCs w:val="24"/>
        </w:rPr>
        <w:t xml:space="preserve"> </w:t>
      </w:r>
      <w:r w:rsidRPr="007C301B">
        <w:rPr>
          <w:b/>
          <w:bCs/>
          <w:sz w:val="24"/>
          <w:szCs w:val="24"/>
        </w:rPr>
        <w:t xml:space="preserve">(published) </w:t>
      </w:r>
      <w:r w:rsidRPr="007C301B">
        <w:rPr>
          <w:sz w:val="24"/>
          <w:szCs w:val="24"/>
        </w:rPr>
        <w:t>XX 62 Cal.App.5th 240</w:t>
      </w:r>
    </w:p>
    <w:p w:rsidR="007C301B" w:rsidRPr="007C301B" w:rsidP="007C301B">
      <w:pPr>
        <w:spacing w:after="0" w:line="240" w:lineRule="auto"/>
        <w:jc w:val="left"/>
        <w:rPr>
          <w:sz w:val="24"/>
          <w:szCs w:val="24"/>
        </w:rPr>
      </w:pPr>
      <w:r w:rsidRPr="007C301B">
        <w:rPr>
          <w:b/>
          <w:bCs/>
          <w:sz w:val="24"/>
          <w:szCs w:val="24"/>
        </w:rPr>
        <w:t xml:space="preserve">Review Granted (unpublished) </w:t>
      </w:r>
    </w:p>
    <w:p w:rsidR="007C301B" w:rsidRPr="007C301B" w:rsidP="007C301B">
      <w:pPr>
        <w:spacing w:after="0" w:line="240" w:lineRule="auto"/>
        <w:jc w:val="left"/>
        <w:rPr>
          <w:b/>
          <w:bCs/>
          <w:sz w:val="24"/>
          <w:szCs w:val="24"/>
        </w:rPr>
      </w:pPr>
      <w:r w:rsidRPr="007C301B">
        <w:rPr>
          <w:b/>
          <w:bCs/>
          <w:sz w:val="24"/>
          <w:szCs w:val="24"/>
        </w:rPr>
        <w:t>Rehearing Granted</w:t>
      </w:r>
    </w:p>
    <w:p w:rsidR="007C301B" w:rsidRPr="007C301B" w:rsidP="007C301B">
      <w:pPr>
        <w:spacing w:after="0" w:line="240" w:lineRule="auto"/>
        <w:jc w:val="left"/>
        <w:rPr>
          <w:b/>
          <w:sz w:val="24"/>
          <w:szCs w:val="24"/>
        </w:rPr>
      </w:pPr>
      <w:r w:rsidRPr="007C301B">
        <w:rPr>
          <w:b/>
          <w:sz w:val="24"/>
          <w:szCs w:val="24"/>
        </w:rPr>
        <w:t xml:space="preserve">__________________________________________________________ </w:t>
      </w:r>
    </w:p>
    <w:p w:rsidR="007C301B" w:rsidRPr="007C301B" w:rsidP="007C301B">
      <w:pPr>
        <w:spacing w:after="0" w:line="240" w:lineRule="auto"/>
        <w:jc w:val="left"/>
        <w:rPr>
          <w:b/>
          <w:sz w:val="24"/>
          <w:szCs w:val="24"/>
        </w:rPr>
      </w:pPr>
    </w:p>
    <w:p w:rsidR="007C301B" w:rsidRPr="007C301B" w:rsidP="007C301B">
      <w:pPr>
        <w:spacing w:after="0" w:line="240" w:lineRule="auto"/>
        <w:jc w:val="left"/>
        <w:rPr>
          <w:bCs/>
          <w:sz w:val="24"/>
          <w:szCs w:val="24"/>
        </w:rPr>
      </w:pPr>
      <w:r w:rsidRPr="007C301B">
        <w:rPr>
          <w:b/>
          <w:sz w:val="24"/>
          <w:szCs w:val="24"/>
        </w:rPr>
        <w:t>Opinion No.</w:t>
      </w:r>
      <w:r w:rsidRPr="007C301B">
        <w:rPr>
          <w:sz w:val="24"/>
          <w:szCs w:val="24"/>
        </w:rPr>
        <w:t xml:space="preserve"> S268480</w:t>
      </w:r>
    </w:p>
    <w:p w:rsidR="007C301B" w:rsidRPr="007C301B" w:rsidP="007C301B">
      <w:pPr>
        <w:spacing w:after="0" w:line="240" w:lineRule="auto"/>
        <w:jc w:val="left"/>
        <w:rPr>
          <w:bCs/>
          <w:sz w:val="24"/>
          <w:szCs w:val="24"/>
        </w:rPr>
      </w:pPr>
      <w:r w:rsidRPr="007C301B">
        <w:rPr>
          <w:b/>
          <w:sz w:val="24"/>
          <w:szCs w:val="24"/>
        </w:rPr>
        <w:t>Date Filed:</w:t>
      </w:r>
      <w:r w:rsidRPr="007C301B">
        <w:rPr>
          <w:sz w:val="24"/>
          <w:szCs w:val="24"/>
        </w:rPr>
        <w:t xml:space="preserve">  January 30, 2023</w:t>
      </w:r>
    </w:p>
    <w:p w:rsidR="007C301B" w:rsidRPr="007C301B" w:rsidP="007C301B">
      <w:pPr>
        <w:spacing w:after="0" w:line="240" w:lineRule="auto"/>
        <w:jc w:val="left"/>
        <w:rPr>
          <w:b/>
          <w:sz w:val="24"/>
          <w:szCs w:val="24"/>
        </w:rPr>
      </w:pPr>
      <w:r w:rsidRPr="007C301B">
        <w:rPr>
          <w:b/>
          <w:sz w:val="24"/>
          <w:szCs w:val="24"/>
        </w:rPr>
        <w:t xml:space="preserve">__________________________________________________________ </w:t>
      </w:r>
    </w:p>
    <w:p w:rsidR="007C301B" w:rsidRPr="007C301B" w:rsidP="007C301B">
      <w:pPr>
        <w:spacing w:after="0" w:line="240" w:lineRule="auto"/>
        <w:jc w:val="left"/>
        <w:rPr>
          <w:b/>
          <w:sz w:val="24"/>
          <w:szCs w:val="24"/>
        </w:rPr>
      </w:pPr>
    </w:p>
    <w:p w:rsidR="007C301B" w:rsidRPr="007C301B" w:rsidP="007C301B">
      <w:pPr>
        <w:spacing w:after="0" w:line="240" w:lineRule="auto"/>
        <w:jc w:val="left"/>
        <w:rPr>
          <w:bCs/>
          <w:sz w:val="24"/>
          <w:szCs w:val="24"/>
        </w:rPr>
      </w:pPr>
      <w:r w:rsidRPr="007C301B">
        <w:rPr>
          <w:b/>
          <w:sz w:val="24"/>
          <w:szCs w:val="24"/>
        </w:rPr>
        <w:t xml:space="preserve">Court:  </w:t>
      </w:r>
      <w:r w:rsidRPr="007C301B">
        <w:rPr>
          <w:bCs/>
          <w:sz w:val="24"/>
          <w:szCs w:val="24"/>
        </w:rPr>
        <w:t>Superior</w:t>
      </w:r>
      <w:r w:rsidRPr="007C301B">
        <w:rPr>
          <w:b/>
          <w:sz w:val="24"/>
          <w:szCs w:val="24"/>
        </w:rPr>
        <w:t xml:space="preserve"> </w:t>
      </w:r>
    </w:p>
    <w:p w:rsidR="007C301B" w:rsidRPr="007C301B" w:rsidP="007C301B">
      <w:pPr>
        <w:spacing w:after="0" w:line="240" w:lineRule="auto"/>
        <w:jc w:val="left"/>
        <w:rPr>
          <w:bCs/>
          <w:sz w:val="24"/>
          <w:szCs w:val="24"/>
        </w:rPr>
      </w:pPr>
      <w:r w:rsidRPr="007C301B">
        <w:rPr>
          <w:b/>
          <w:sz w:val="24"/>
          <w:szCs w:val="24"/>
        </w:rPr>
        <w:t xml:space="preserve">County:  </w:t>
      </w:r>
      <w:r w:rsidRPr="007C301B">
        <w:rPr>
          <w:bCs/>
          <w:sz w:val="24"/>
          <w:szCs w:val="24"/>
        </w:rPr>
        <w:t>Los Angeles</w:t>
      </w:r>
    </w:p>
    <w:p w:rsidR="007C301B" w:rsidRPr="007C301B" w:rsidP="007C301B">
      <w:pPr>
        <w:spacing w:after="0" w:line="240" w:lineRule="auto"/>
        <w:ind w:left="720" w:hanging="720"/>
        <w:jc w:val="left"/>
        <w:rPr>
          <w:bCs/>
          <w:sz w:val="24"/>
          <w:szCs w:val="24"/>
        </w:rPr>
      </w:pPr>
      <w:r w:rsidRPr="007C301B">
        <w:rPr>
          <w:b/>
          <w:sz w:val="24"/>
          <w:szCs w:val="24"/>
        </w:rPr>
        <w:t xml:space="preserve">Judge: </w:t>
      </w:r>
      <w:r w:rsidRPr="007C301B">
        <w:rPr>
          <w:bCs/>
          <w:sz w:val="24"/>
          <w:szCs w:val="24"/>
        </w:rPr>
        <w:t xml:space="preserve"> Malcolm H. Mackey</w:t>
      </w:r>
    </w:p>
    <w:p w:rsidR="007C301B" w:rsidRPr="007C301B" w:rsidP="007C301B">
      <w:pPr>
        <w:spacing w:after="0" w:line="240" w:lineRule="auto"/>
        <w:jc w:val="left"/>
        <w:rPr>
          <w:b/>
          <w:sz w:val="24"/>
          <w:szCs w:val="24"/>
        </w:rPr>
      </w:pPr>
      <w:r w:rsidRPr="007C301B">
        <w:rPr>
          <w:b/>
          <w:sz w:val="24"/>
          <w:szCs w:val="24"/>
        </w:rPr>
        <w:t xml:space="preserve">__________________________________________________________  </w:t>
      </w:r>
    </w:p>
    <w:p w:rsidR="007C301B" w:rsidRPr="007C301B" w:rsidP="007C301B">
      <w:pPr>
        <w:spacing w:after="0" w:line="240" w:lineRule="auto"/>
        <w:jc w:val="left"/>
        <w:rPr>
          <w:b/>
          <w:sz w:val="24"/>
          <w:szCs w:val="24"/>
        </w:rPr>
      </w:pPr>
    </w:p>
    <w:p w:rsidR="007C301B" w:rsidRPr="007C301B" w:rsidP="007C301B">
      <w:pPr>
        <w:spacing w:after="0" w:line="240" w:lineRule="auto"/>
        <w:jc w:val="left"/>
        <w:rPr>
          <w:b/>
          <w:sz w:val="24"/>
          <w:szCs w:val="24"/>
        </w:rPr>
      </w:pPr>
      <w:r w:rsidRPr="007C301B">
        <w:rPr>
          <w:b/>
          <w:sz w:val="24"/>
          <w:szCs w:val="24"/>
        </w:rPr>
        <w:t>Counsel:</w:t>
      </w:r>
    </w:p>
    <w:p w:rsidR="007C301B" w:rsidRPr="007C301B" w:rsidP="007C301B">
      <w:pPr>
        <w:spacing w:after="0" w:line="240" w:lineRule="auto"/>
        <w:jc w:val="left"/>
        <w:rPr>
          <w:b/>
          <w:sz w:val="24"/>
          <w:szCs w:val="24"/>
        </w:rPr>
      </w:pPr>
    </w:p>
    <w:p w:rsidR="007C301B" w:rsidRPr="007C301B" w:rsidP="007C301B">
      <w:pPr>
        <w:spacing w:after="0" w:line="240" w:lineRule="auto"/>
        <w:jc w:val="left"/>
        <w:rPr>
          <w:bCs/>
          <w:sz w:val="24"/>
          <w:szCs w:val="24"/>
        </w:rPr>
      </w:pPr>
      <w:r w:rsidRPr="007C301B">
        <w:rPr>
          <w:bCs/>
          <w:sz w:val="24"/>
          <w:szCs w:val="24"/>
        </w:rPr>
        <w:t>The Sutton Law Firm, Bradley W. Hertz, James R. Sutton, Nicholas L. Sanders; Shumener, Odson &amp; Oh, Betty M. Shumener, John D. Spurling and Daniel E. French for Plaintiffs and Appellants.</w:t>
      </w:r>
    </w:p>
    <w:p w:rsidR="007C301B" w:rsidRPr="007C301B" w:rsidP="007C301B">
      <w:pPr>
        <w:spacing w:after="0" w:line="240" w:lineRule="auto"/>
        <w:jc w:val="left"/>
        <w:rPr>
          <w:bCs/>
          <w:sz w:val="24"/>
          <w:szCs w:val="24"/>
        </w:rPr>
      </w:pPr>
    </w:p>
    <w:p w:rsidR="007C301B" w:rsidRPr="007C301B" w:rsidP="007C301B">
      <w:pPr>
        <w:spacing w:after="0" w:line="240" w:lineRule="auto"/>
        <w:jc w:val="left"/>
        <w:rPr>
          <w:bCs/>
          <w:sz w:val="24"/>
          <w:szCs w:val="24"/>
        </w:rPr>
      </w:pPr>
      <w:r w:rsidRPr="007C301B">
        <w:rPr>
          <w:bCs/>
          <w:sz w:val="24"/>
          <w:szCs w:val="24"/>
        </w:rPr>
        <w:t>Carlson &amp; Messer and Jeanne L. Zimmer for Defendant and Respondent Nils Nehrenheim.</w:t>
      </w:r>
    </w:p>
    <w:p w:rsidR="007C301B" w:rsidRPr="007C301B" w:rsidP="007C301B">
      <w:pPr>
        <w:spacing w:after="0" w:line="240" w:lineRule="auto"/>
        <w:jc w:val="left"/>
        <w:rPr>
          <w:bCs/>
          <w:sz w:val="24"/>
          <w:szCs w:val="24"/>
        </w:rPr>
      </w:pPr>
    </w:p>
    <w:p w:rsidR="007C301B" w:rsidRPr="007C301B" w:rsidP="007C301B">
      <w:pPr>
        <w:spacing w:after="0" w:line="240" w:lineRule="auto"/>
        <w:jc w:val="left"/>
        <w:rPr>
          <w:bCs/>
          <w:sz w:val="24"/>
          <w:szCs w:val="24"/>
        </w:rPr>
      </w:pPr>
      <w:r w:rsidRPr="007C301B">
        <w:rPr>
          <w:bCs/>
          <w:sz w:val="24"/>
          <w:szCs w:val="24"/>
        </w:rPr>
        <w:t>Gabriel &amp; Associates and Stevan Colin for Defendants and Respondents Bill Brand, Brand for Mayor 2017 and Linda Moffat.</w:t>
      </w:r>
    </w:p>
    <w:p w:rsidR="007C301B" w:rsidRPr="007C301B" w:rsidP="007C301B">
      <w:pPr>
        <w:spacing w:after="0" w:line="240" w:lineRule="auto"/>
        <w:jc w:val="left"/>
        <w:rPr>
          <w:bCs/>
          <w:sz w:val="24"/>
          <w:szCs w:val="24"/>
        </w:rPr>
      </w:pPr>
    </w:p>
    <w:p w:rsidR="007C301B" w:rsidRPr="007C301B" w:rsidP="007C301B">
      <w:pPr>
        <w:spacing w:after="0" w:line="240" w:lineRule="auto"/>
        <w:jc w:val="left"/>
        <w:rPr>
          <w:bCs/>
          <w:sz w:val="24"/>
          <w:szCs w:val="24"/>
        </w:rPr>
      </w:pPr>
      <w:r w:rsidRPr="007C301B">
        <w:rPr>
          <w:bCs/>
          <w:sz w:val="24"/>
          <w:szCs w:val="24"/>
        </w:rPr>
        <w:t>Law Offices of Bobak Nayebdadash and Bobak Nayebdadash for Defendants and Respondents Wayne Craig and Rescue Our Waterfront, P.A.C.</w:t>
      </w:r>
    </w:p>
    <w:p w:rsidR="007C301B" w:rsidRPr="007C301B" w:rsidP="007C301B">
      <w:pPr>
        <w:spacing w:after="0" w:line="240" w:lineRule="auto"/>
        <w:jc w:val="left"/>
        <w:rPr>
          <w:color w:val="212121"/>
          <w:sz w:val="24"/>
          <w:szCs w:val="24"/>
          <w:shd w:val="clear" w:color="auto" w:fill="FFFFFF"/>
        </w:rPr>
      </w:pPr>
      <w:r w:rsidRPr="007C301B">
        <w:rPr>
          <w:color w:val="212121"/>
          <w:sz w:val="24"/>
          <w:szCs w:val="24"/>
          <w:shd w:val="clear" w:color="auto" w:fill="FFFFFF"/>
        </w:rPr>
        <w:br w:type="page"/>
      </w:r>
      <w:r w:rsidRPr="007C301B">
        <w:rPr>
          <w:b/>
          <w:sz w:val="24"/>
          <w:szCs w:val="24"/>
        </w:rPr>
        <w:t>Counsel who argued in Supreme Court (not intended for publication with opinion):</w:t>
      </w:r>
    </w:p>
    <w:p w:rsidR="007C301B" w:rsidRPr="007C301B" w:rsidP="007C301B">
      <w:pPr>
        <w:spacing w:after="0" w:line="240" w:lineRule="auto"/>
        <w:jc w:val="left"/>
        <w:rPr>
          <w:sz w:val="24"/>
          <w:szCs w:val="24"/>
        </w:rPr>
      </w:pPr>
    </w:p>
    <w:p w:rsidR="007C301B" w:rsidRPr="007C301B" w:rsidP="007C301B">
      <w:pPr>
        <w:spacing w:after="0" w:line="240" w:lineRule="auto"/>
        <w:jc w:val="left"/>
        <w:rPr>
          <w:sz w:val="24"/>
          <w:szCs w:val="24"/>
        </w:rPr>
      </w:pPr>
      <w:r w:rsidRPr="007C301B">
        <w:rPr>
          <w:bCs/>
          <w:sz w:val="24"/>
          <w:szCs w:val="24"/>
        </w:rPr>
        <w:t>Betty M. Shumener</w:t>
      </w:r>
      <w:r w:rsidRPr="007C301B">
        <w:rPr>
          <w:sz w:val="24"/>
          <w:szCs w:val="24"/>
        </w:rPr>
        <w:t xml:space="preserve"> </w:t>
      </w:r>
    </w:p>
    <w:p w:rsidR="007C301B" w:rsidRPr="007C301B" w:rsidP="007C301B">
      <w:pPr>
        <w:spacing w:after="0" w:line="240" w:lineRule="auto"/>
        <w:jc w:val="left"/>
        <w:rPr>
          <w:sz w:val="24"/>
          <w:szCs w:val="24"/>
        </w:rPr>
      </w:pPr>
      <w:r w:rsidRPr="007C301B">
        <w:rPr>
          <w:sz w:val="24"/>
          <w:szCs w:val="24"/>
        </w:rPr>
        <w:t>550 South Hope Street, Suite 1050</w:t>
      </w:r>
    </w:p>
    <w:p w:rsidR="007C301B" w:rsidRPr="007C301B" w:rsidP="007C301B">
      <w:pPr>
        <w:spacing w:after="0" w:line="240" w:lineRule="auto"/>
        <w:jc w:val="left"/>
        <w:rPr>
          <w:sz w:val="24"/>
          <w:szCs w:val="24"/>
        </w:rPr>
      </w:pPr>
      <w:r w:rsidRPr="007C301B">
        <w:rPr>
          <w:sz w:val="24"/>
          <w:szCs w:val="24"/>
        </w:rPr>
        <w:t>Los Angeles, CA 90071</w:t>
      </w:r>
    </w:p>
    <w:p w:rsidR="007C301B" w:rsidRPr="007C301B" w:rsidP="007C301B">
      <w:pPr>
        <w:spacing w:after="0" w:line="240" w:lineRule="auto"/>
        <w:jc w:val="left"/>
        <w:rPr>
          <w:sz w:val="24"/>
          <w:szCs w:val="24"/>
        </w:rPr>
      </w:pPr>
      <w:r w:rsidRPr="007C301B">
        <w:rPr>
          <w:sz w:val="24"/>
          <w:szCs w:val="24"/>
        </w:rPr>
        <w:t>(213) 344-4201</w:t>
      </w:r>
    </w:p>
    <w:p w:rsidR="007C301B" w:rsidRPr="007C301B" w:rsidP="007C301B">
      <w:pPr>
        <w:spacing w:after="0" w:line="240" w:lineRule="auto"/>
        <w:jc w:val="left"/>
        <w:rPr>
          <w:sz w:val="24"/>
          <w:szCs w:val="24"/>
        </w:rPr>
      </w:pPr>
    </w:p>
    <w:p w:rsidR="007C301B" w:rsidRPr="007C301B" w:rsidP="007C301B">
      <w:pPr>
        <w:spacing w:after="0" w:line="240" w:lineRule="auto"/>
        <w:jc w:val="left"/>
        <w:rPr>
          <w:bCs/>
          <w:sz w:val="24"/>
          <w:szCs w:val="24"/>
        </w:rPr>
      </w:pPr>
      <w:r w:rsidRPr="007C301B">
        <w:rPr>
          <w:bCs/>
          <w:sz w:val="24"/>
          <w:szCs w:val="24"/>
        </w:rPr>
        <w:t>Jeanne L. Zimmer</w:t>
      </w:r>
    </w:p>
    <w:p w:rsidR="007C301B" w:rsidRPr="007C301B" w:rsidP="007C301B">
      <w:pPr>
        <w:spacing w:after="0" w:line="240" w:lineRule="auto"/>
        <w:jc w:val="left"/>
        <w:rPr>
          <w:sz w:val="24"/>
          <w:szCs w:val="24"/>
        </w:rPr>
      </w:pPr>
      <w:r w:rsidRPr="007C301B">
        <w:rPr>
          <w:sz w:val="24"/>
          <w:szCs w:val="24"/>
        </w:rPr>
        <w:t>5901 West Century Boulevard #1200</w:t>
      </w:r>
    </w:p>
    <w:p w:rsidR="007C301B" w:rsidRPr="007C301B" w:rsidP="007C301B">
      <w:pPr>
        <w:spacing w:after="0" w:line="240" w:lineRule="auto"/>
        <w:jc w:val="left"/>
        <w:rPr>
          <w:sz w:val="24"/>
          <w:szCs w:val="24"/>
        </w:rPr>
      </w:pPr>
      <w:r w:rsidRPr="007C301B">
        <w:rPr>
          <w:sz w:val="24"/>
          <w:szCs w:val="24"/>
        </w:rPr>
        <w:t>Los Angeles, CA 90045</w:t>
      </w:r>
    </w:p>
    <w:p w:rsidR="007C301B" w:rsidRPr="007C301B" w:rsidP="007C301B">
      <w:pPr>
        <w:spacing w:after="0" w:line="240" w:lineRule="auto"/>
        <w:jc w:val="left"/>
        <w:rPr>
          <w:sz w:val="24"/>
          <w:szCs w:val="24"/>
        </w:rPr>
      </w:pPr>
      <w:r w:rsidRPr="007C301B">
        <w:rPr>
          <w:sz w:val="24"/>
          <w:szCs w:val="24"/>
        </w:rPr>
        <w:t>(310) 265-2699</w:t>
      </w:r>
    </w:p>
    <w:p w:rsidR="007C301B" w:rsidRPr="007C301B" w:rsidP="007C301B">
      <w:pPr>
        <w:spacing w:after="0" w:line="240" w:lineRule="auto"/>
        <w:jc w:val="left"/>
        <w:rPr>
          <w:sz w:val="24"/>
          <w:szCs w:val="24"/>
        </w:rPr>
      </w:pPr>
    </w:p>
    <w:p w:rsidR="007C301B" w:rsidRPr="007C301B" w:rsidP="007C301B">
      <w:pPr>
        <w:spacing w:after="0" w:line="240" w:lineRule="auto"/>
        <w:jc w:val="left"/>
        <w:rPr>
          <w:bCs/>
          <w:sz w:val="24"/>
          <w:szCs w:val="24"/>
        </w:rPr>
      </w:pPr>
      <w:r w:rsidRPr="007C301B">
        <w:rPr>
          <w:bCs/>
          <w:sz w:val="24"/>
          <w:szCs w:val="24"/>
        </w:rPr>
        <w:t>Stevan Colin</w:t>
      </w:r>
    </w:p>
    <w:p w:rsidR="007C301B" w:rsidRPr="007C301B" w:rsidP="007C301B">
      <w:pPr>
        <w:spacing w:after="0" w:line="240" w:lineRule="auto"/>
        <w:jc w:val="left"/>
        <w:rPr>
          <w:sz w:val="24"/>
          <w:szCs w:val="24"/>
        </w:rPr>
      </w:pPr>
      <w:r w:rsidRPr="007C301B">
        <w:rPr>
          <w:sz w:val="24"/>
          <w:szCs w:val="24"/>
        </w:rPr>
        <w:t>1709 Haynes Lane</w:t>
      </w:r>
    </w:p>
    <w:p w:rsidR="007C301B" w:rsidRPr="007C301B" w:rsidP="007C301B">
      <w:pPr>
        <w:spacing w:after="0" w:line="240" w:lineRule="auto"/>
        <w:jc w:val="left"/>
        <w:rPr>
          <w:sz w:val="24"/>
          <w:szCs w:val="24"/>
        </w:rPr>
      </w:pPr>
      <w:r w:rsidRPr="007C301B">
        <w:rPr>
          <w:sz w:val="24"/>
          <w:szCs w:val="24"/>
        </w:rPr>
        <w:t>Redondo Beach, CA 90278</w:t>
      </w:r>
    </w:p>
    <w:p w:rsidR="007C301B" w:rsidRPr="007C301B" w:rsidP="007C301B">
      <w:pPr>
        <w:spacing w:after="0" w:line="240" w:lineRule="auto"/>
        <w:jc w:val="left"/>
        <w:rPr>
          <w:sz w:val="24"/>
          <w:szCs w:val="24"/>
        </w:rPr>
      </w:pPr>
      <w:r w:rsidRPr="007C301B">
        <w:rPr>
          <w:sz w:val="24"/>
          <w:szCs w:val="24"/>
        </w:rPr>
        <w:t>(310) 379-8655</w:t>
      </w:r>
    </w:p>
    <w:p w:rsidR="007C301B" w:rsidRPr="00715165" w:rsidP="00104DF7">
      <w:pPr>
        <w:spacing w:after="0" w:line="240" w:lineRule="auto"/>
        <w:rPr>
          <w:b/>
          <w:bCs/>
        </w:rPr>
      </w:pPr>
    </w:p>
    <w:sectPr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6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BCB">
    <w:pPr>
      <w:pStyle w:val="Footer"/>
    </w:pPr>
  </w:p>
  <w:p w:rsidR="00E93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9084339"/>
      <w:docPartObj>
        <w:docPartGallery w:val="Page Numbers (Bottom of Page)"/>
        <w:docPartUnique/>
      </w:docPartObj>
    </w:sdtPr>
    <w:sdtEndPr>
      <w:rPr>
        <w:noProof/>
      </w:rPr>
    </w:sdtEndPr>
    <w:sdtContent>
      <w:p w:rsidR="00E93BCB">
        <w:pPr>
          <w:pStyle w:val="Footer"/>
        </w:pPr>
      </w:p>
    </w:sdtContent>
  </w:sdt>
  <w:p w:rsidR="00EC3C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5319267"/>
      <w:docPartObj>
        <w:docPartGallery w:val="Page Numbers (Bottom of Page)"/>
        <w:docPartUnique/>
      </w:docPartObj>
    </w:sdtPr>
    <w:sdtEndPr>
      <w:rPr>
        <w:noProof/>
      </w:rPr>
    </w:sdtEndPr>
    <w:sdtContent>
      <w:p w:rsidR="004D225A">
        <w:pPr>
          <w:pStyle w:val="Footer"/>
        </w:pPr>
        <w:r>
          <w:fldChar w:fldCharType="begin"/>
        </w:r>
        <w:r>
          <w:instrText xml:space="preserve"> PAGE   \* MERGEFORMAT </w:instrText>
        </w:r>
        <w:r>
          <w:fldChar w:fldCharType="separate"/>
        </w:r>
        <w:r>
          <w:rPr>
            <w:noProof/>
          </w:rPr>
          <w:t>2</w:t>
        </w:r>
        <w:r>
          <w:rPr>
            <w:noProof/>
          </w:rPr>
          <w:fldChar w:fldCharType="end"/>
        </w:r>
      </w:p>
    </w:sdtContent>
  </w:sdt>
  <w:p w:rsidR="00DC67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2180098"/>
      <w:docPartObj>
        <w:docPartGallery w:val="Page Numbers (Bottom of Page)"/>
        <w:docPartUnique/>
      </w:docPartObj>
    </w:sdtPr>
    <w:sdtEndPr>
      <w:rPr>
        <w:noProof/>
      </w:rPr>
    </w:sdtEndPr>
    <w:sdtContent>
      <w:p w:rsidR="00E93BCB">
        <w:pPr>
          <w:pStyle w:val="Footer"/>
        </w:pPr>
        <w:r>
          <w:fldChar w:fldCharType="begin"/>
        </w:r>
        <w:r>
          <w:instrText xml:space="preserve"> PAGE   \* MERGEFORMAT </w:instrText>
        </w:r>
        <w:r>
          <w:fldChar w:fldCharType="separate"/>
        </w:r>
        <w:r>
          <w:rPr>
            <w:noProof/>
          </w:rPr>
          <w:t>2</w:t>
        </w:r>
        <w:r>
          <w:rPr>
            <w:noProof/>
          </w:rPr>
          <w:fldChar w:fldCharType="end"/>
        </w:r>
      </w:p>
    </w:sdtContent>
  </w:sdt>
  <w:p w:rsidR="00E93B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5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5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87E">
      <w:r>
        <w:separator/>
      </w:r>
    </w:p>
  </w:footnote>
  <w:footnote w:type="continuationSeparator" w:id="1">
    <w:p w:rsidR="0057687E">
      <w:pPr>
        <w:rPr>
          <w:i/>
          <w:iCs/>
          <w:sz w:val="20"/>
        </w:rPr>
      </w:pPr>
      <w:r>
        <w:continuationSeparator/>
      </w:r>
    </w:p>
  </w:footnote>
  <w:footnote w:type="continuationNotice" w:id="2">
    <w:p w:rsidR="0057687E">
      <w:pPr>
        <w:jc w:val="right"/>
        <w:rPr>
          <w:i/>
          <w:iCs/>
          <w:sz w:val="20"/>
        </w:rPr>
      </w:pPr>
    </w:p>
  </w:footnote>
  <w:footnote w:id="3">
    <w:p w:rsidR="006E1529">
      <w:pPr>
        <w:pStyle w:val="FootnoteText"/>
      </w:pPr>
      <w:r>
        <w:rPr>
          <w:rStyle w:val="FootnoteReference"/>
        </w:rPr>
        <w:t>*</w:t>
      </w:r>
      <w:r>
        <w:tab/>
      </w:r>
      <w:r w:rsidR="00465E91">
        <w:rPr>
          <w:szCs w:val="27"/>
        </w:rPr>
        <w:t xml:space="preserve">Retired Chief Justice of California, assigned by the Chief Justice pursuant to </w:t>
      </w:r>
      <w:bookmarkStart w:id="3" w:name="dabmci_ef592f75a6fd4a36995ccc419dfa91d9"/>
      <w:r w:rsidR="00465E91">
        <w:rPr>
          <w:szCs w:val="27"/>
        </w:rPr>
        <w:t>article VI, section 6 of the California Constitution</w:t>
      </w:r>
      <w:bookmarkEnd w:id="3"/>
      <w:r w:rsidR="00465E91">
        <w:rPr>
          <w:szCs w:val="27"/>
        </w:rPr>
        <w:t>.</w:t>
      </w:r>
    </w:p>
  </w:footnote>
  <w:footnote w:id="4">
    <w:p w:rsidR="000B0FEE" w:rsidP="00715165">
      <w:pPr>
        <w:pStyle w:val="FootnoteText"/>
      </w:pPr>
      <w:r>
        <w:rPr>
          <w:rStyle w:val="FootnoteReference"/>
        </w:rPr>
        <w:footnoteRef/>
      </w:r>
      <w:r>
        <w:t xml:space="preserve"> </w:t>
      </w:r>
      <w:r>
        <w:tab/>
        <w:t>All further statutory references are to the Government Code unless otherwise specified.</w:t>
      </w:r>
    </w:p>
  </w:footnote>
  <w:footnote w:id="5">
    <w:p w:rsidR="00583BBE" w:rsidP="00583BBE">
      <w:pPr>
        <w:pStyle w:val="FootnoteText"/>
      </w:pPr>
      <w:r>
        <w:rPr>
          <w:rStyle w:val="FootnoteReference"/>
        </w:rPr>
        <w:footnoteRef/>
      </w:r>
      <w:r>
        <w:t xml:space="preserve"> </w:t>
      </w:r>
      <w:r>
        <w:tab/>
        <w:t>The statute applies to actions “for inju</w:t>
      </w:r>
      <w:r w:rsidR="00125895">
        <w:t>n</w:t>
      </w:r>
      <w:r>
        <w:t>ctive relief to enjoin violations or compel compliance with” the act.  (</w:t>
      </w:r>
      <w:r w:rsidRPr="00715165">
        <w:t>§ </w:t>
      </w:r>
      <w:r>
        <w:t>9</w:t>
      </w:r>
      <w:r w:rsidRPr="00715165">
        <w:t>10</w:t>
      </w:r>
      <w:r>
        <w:t>03(a).)</w:t>
      </w:r>
      <w:r w:rsidR="00CE0842">
        <w:t xml:space="preserve">  </w:t>
      </w:r>
      <w:r>
        <w:t xml:space="preserve">Section 91012, also part of the Political Reform Act and discussed later in this opinion, contains similar language to </w:t>
      </w:r>
      <w:r w:rsidR="00127D46">
        <w:t xml:space="preserve">section </w:t>
      </w:r>
      <w:r>
        <w:t xml:space="preserve">91003(a) as it relates to awardable attorney’s fees (see fn. 5, </w:t>
      </w:r>
      <w:r w:rsidR="00233DA3">
        <w:rPr>
          <w:i/>
          <w:iCs/>
        </w:rPr>
        <w:t>post</w:t>
      </w:r>
      <w:r>
        <w:t>) if the plaintiff or defendant “</w:t>
      </w:r>
      <w:r w:rsidRPr="002929A0">
        <w:rPr>
          <w:szCs w:val="26"/>
        </w:rPr>
        <w:t>prevails in any action authorized by this title</w:t>
      </w:r>
      <w:r>
        <w:t xml:space="preserve">.”  </w:t>
      </w:r>
    </w:p>
  </w:footnote>
  <w:footnote w:id="6">
    <w:p w:rsidR="00B23831" w:rsidRPr="00E16754" w:rsidP="00715165">
      <w:pPr>
        <w:pStyle w:val="FootnoteText"/>
      </w:pPr>
      <w:r>
        <w:rPr>
          <w:rStyle w:val="FootnoteReference"/>
        </w:rPr>
        <w:footnoteRef/>
      </w:r>
      <w:r>
        <w:t xml:space="preserve"> </w:t>
      </w:r>
      <w:r>
        <w:tab/>
      </w:r>
      <w:r w:rsidRPr="00280BD0">
        <w:t>As summarized by the C</w:t>
      </w:r>
      <w:r w:rsidR="00E16754">
        <w:t>ourt of Appeal</w:t>
      </w:r>
      <w:r w:rsidRPr="00280BD0">
        <w:t>:</w:t>
      </w:r>
      <w:r w:rsidR="00E16754">
        <w:t xml:space="preserve"> </w:t>
      </w:r>
      <w:r w:rsidRPr="00280BD0">
        <w:t xml:space="preserve"> “General purpose committees support or oppose more than one candidate or ballot measure.  (</w:t>
      </w:r>
      <w:bookmarkStart w:id="14" w:name="dabmci_35b1eba6a171490793baf1e20a2d3ada"/>
      <w:r w:rsidRPr="00280BD0">
        <w:t>Gov. Code, §</w:t>
      </w:r>
      <w:r w:rsidR="00E16754">
        <w:t> </w:t>
      </w:r>
      <w:r w:rsidRPr="00280BD0">
        <w:t>82027.5</w:t>
      </w:r>
      <w:bookmarkEnd w:id="14"/>
      <w:r w:rsidRPr="00280BD0">
        <w:t>.)  Primarily formed committees support or oppose a single candidate, single measure, multiple candidates in a single election, or multiple measures in a single election.  (</w:t>
      </w:r>
      <w:bookmarkStart w:id="15" w:name="dabmci_4923fd0db1314ec3aab9092b0cca33b0"/>
      <w:r w:rsidR="006B39D2">
        <w:rPr>
          <w:i/>
          <w:iCs/>
        </w:rPr>
        <w:t>Id</w:t>
      </w:r>
      <w:r w:rsidRPr="004B4835" w:rsidR="006B39D2">
        <w:t>.</w:t>
      </w:r>
      <w:r w:rsidR="006B39D2">
        <w:t>,</w:t>
      </w:r>
      <w:r w:rsidR="006B39D2">
        <w:rPr>
          <w:i/>
          <w:iCs/>
        </w:rPr>
        <w:t xml:space="preserve"> </w:t>
      </w:r>
      <w:r w:rsidRPr="00280BD0">
        <w:t>§</w:t>
      </w:r>
      <w:r w:rsidR="00E16754">
        <w:t> </w:t>
      </w:r>
      <w:r w:rsidRPr="00280BD0">
        <w:t>82047.5</w:t>
      </w:r>
      <w:bookmarkEnd w:id="15"/>
      <w:r w:rsidRPr="00280BD0">
        <w:t xml:space="preserve">.)  A committee can be either general purpose or primarily formed. </w:t>
      </w:r>
      <w:r>
        <w:t xml:space="preserve"> </w:t>
      </w:r>
      <w:r w:rsidRPr="00280BD0">
        <w:t xml:space="preserve">Either type of committee may also be candidate-controlled, which means a candidate has significant influence over the committee. </w:t>
      </w:r>
      <w:r>
        <w:t xml:space="preserve"> </w:t>
      </w:r>
      <w:r w:rsidRPr="00280BD0">
        <w:t>(</w:t>
      </w:r>
      <w:bookmarkStart w:id="16" w:name="dabmci_9e3a4cae2df64411b5ff374835556b26"/>
      <w:r w:rsidR="006B39D2">
        <w:rPr>
          <w:i/>
          <w:iCs/>
        </w:rPr>
        <w:t>Id</w:t>
      </w:r>
      <w:r w:rsidRPr="00A63069" w:rsidR="006B39D2">
        <w:t>.</w:t>
      </w:r>
      <w:r w:rsidR="006B39D2">
        <w:t xml:space="preserve">, </w:t>
      </w:r>
      <w:r w:rsidRPr="00280BD0">
        <w:t>§</w:t>
      </w:r>
      <w:r w:rsidR="00E16754">
        <w:t> </w:t>
      </w:r>
      <w:r w:rsidRPr="00280BD0">
        <w:t>82016</w:t>
      </w:r>
      <w:bookmarkEnd w:id="16"/>
      <w:r w:rsidRPr="00280BD0">
        <w:t>.)”  (</w:t>
      </w:r>
      <w:bookmarkStart w:id="17" w:name="dabmci_4b885b349951438594835c6ccbf9b497"/>
      <w:r w:rsidRPr="00280BD0">
        <w:rPr>
          <w:i/>
          <w:iCs/>
        </w:rPr>
        <w:t>Travis</w:t>
      </w:r>
      <w:r w:rsidR="00E16754">
        <w:t>,</w:t>
      </w:r>
      <w:r w:rsidRPr="00280BD0">
        <w:t xml:space="preserve"> </w:t>
      </w:r>
      <w:r w:rsidRPr="00344A4C" w:rsidR="002E29D2">
        <w:rPr>
          <w:i/>
          <w:iCs/>
        </w:rPr>
        <w:t>supra</w:t>
      </w:r>
      <w:r w:rsidR="002E29D2">
        <w:t xml:space="preserve">, 62 Cal.App.5th </w:t>
      </w:r>
      <w:r w:rsidR="00E16754">
        <w:t>at p. </w:t>
      </w:r>
      <w:r w:rsidRPr="00280BD0">
        <w:t>246</w:t>
      </w:r>
      <w:bookmarkEnd w:id="17"/>
      <w:r w:rsidRPr="00280BD0">
        <w:t xml:space="preserve">.)  </w:t>
      </w:r>
      <w:r w:rsidR="00E16754">
        <w:t>“</w:t>
      </w:r>
      <w:r w:rsidRPr="00E16754" w:rsidR="00E16754">
        <w:t xml:space="preserve">Committees primarily formed to support or oppose a measure must say so in </w:t>
      </w:r>
      <w:bookmarkStart w:id="18" w:name="co_pp_sp_7053_247_1"/>
      <w:bookmarkEnd w:id="18"/>
      <w:r w:rsidRPr="00E16754" w:rsidR="00E16754">
        <w:t>their name, for example</w:t>
      </w:r>
      <w:r w:rsidR="002E29D2">
        <w:t>,</w:t>
      </w:r>
      <w:r w:rsidRPr="00E16754" w:rsidR="00E16754">
        <w:t xml:space="preserve"> </w:t>
      </w:r>
      <w:r w:rsidR="00E16754">
        <w:t>‘</w:t>
      </w:r>
      <w:r w:rsidRPr="00E16754" w:rsidR="00E16754">
        <w:t>No on Measure A.</w:t>
      </w:r>
      <w:r w:rsidR="00E16754">
        <w:t>’ </w:t>
      </w:r>
      <w:r w:rsidRPr="00E16754" w:rsidR="00E16754">
        <w:t xml:space="preserve">” </w:t>
      </w:r>
      <w:r w:rsidR="00E16754">
        <w:t xml:space="preserve"> (</w:t>
      </w:r>
      <w:bookmarkStart w:id="19" w:name="dabmci_a0c8754c067d46c49405395b41549023"/>
      <w:r w:rsidR="00E16754">
        <w:rPr>
          <w:i/>
          <w:iCs/>
        </w:rPr>
        <w:t>Id</w:t>
      </w:r>
      <w:r w:rsidR="00E16754">
        <w:t>. at pp. 246–247</w:t>
      </w:r>
      <w:bookmarkEnd w:id="19"/>
      <w:r w:rsidR="00E16754">
        <w:t>.)</w:t>
      </w:r>
    </w:p>
  </w:footnote>
  <w:footnote w:id="7">
    <w:p w:rsidR="00AC7065" w:rsidRPr="003320B6" w:rsidP="00715165">
      <w:pPr>
        <w:pStyle w:val="FootnoteText"/>
      </w:pPr>
      <w:r>
        <w:rPr>
          <w:rStyle w:val="FootnoteReference"/>
        </w:rPr>
        <w:footnoteRef/>
      </w:r>
      <w:r>
        <w:t xml:space="preserve"> </w:t>
      </w:r>
      <w:r>
        <w:tab/>
        <w:t>Those decision</w:t>
      </w:r>
      <w:r w:rsidR="00AC69DA">
        <w:t>s</w:t>
      </w:r>
      <w:r>
        <w:t xml:space="preserve"> in turn were based on the reasoning of </w:t>
      </w:r>
      <w:bookmarkStart w:id="36" w:name="dabmci_b3149696c1ce497a81c79b1d418c29ef"/>
      <w:r w:rsidRPr="000628E0">
        <w:rPr>
          <w:i/>
          <w:iCs/>
        </w:rPr>
        <w:t xml:space="preserve">Christiansburg Garment Co. v. EEOC </w:t>
      </w:r>
      <w:r w:rsidRPr="000628E0">
        <w:t>(1978) 434 U.S. 412</w:t>
      </w:r>
      <w:r>
        <w:t xml:space="preserve"> (</w:t>
      </w:r>
      <w:r w:rsidRPr="000628E0">
        <w:rPr>
          <w:i/>
          <w:iCs/>
        </w:rPr>
        <w:t>Christiansburg</w:t>
      </w:r>
      <w:r>
        <w:t>)</w:t>
      </w:r>
      <w:bookmarkEnd w:id="36"/>
      <w:r>
        <w:t xml:space="preserve">, which involved </w:t>
      </w:r>
      <w:r w:rsidR="00997838">
        <w:t>attorney</w:t>
      </w:r>
      <w:r w:rsidR="00B13B80">
        <w:t>’s</w:t>
      </w:r>
      <w:r w:rsidR="00997838">
        <w:t xml:space="preserve"> </w:t>
      </w:r>
      <w:r>
        <w:t xml:space="preserve">fee awards under </w:t>
      </w:r>
      <w:r w:rsidR="00934AD3">
        <w:t xml:space="preserve">title VII of </w:t>
      </w:r>
      <w:r>
        <w:t>the Civil Rights Act</w:t>
      </w:r>
      <w:r w:rsidR="004633A4">
        <w:t xml:space="preserve"> </w:t>
      </w:r>
      <w:r w:rsidR="00D306C0">
        <w:t xml:space="preserve">of 1964 </w:t>
      </w:r>
      <w:r w:rsidRPr="008652CD" w:rsidR="004633A4">
        <w:t>(</w:t>
      </w:r>
      <w:bookmarkStart w:id="37" w:name="dabmci_20343fe47e1e44f68517af070cece219"/>
      <w:r w:rsidRPr="008652CD" w:rsidR="004633A4">
        <w:t>Pub.L. No. 88-352</w:t>
      </w:r>
      <w:bookmarkEnd w:id="37"/>
      <w:r w:rsidRPr="008652CD" w:rsidR="004633A4">
        <w:t xml:space="preserve"> (July</w:t>
      </w:r>
      <w:r w:rsidR="004633A4">
        <w:t> </w:t>
      </w:r>
      <w:r w:rsidRPr="008652CD" w:rsidR="004633A4">
        <w:t>2, 1964) 78 Stat. 241)</w:t>
      </w:r>
      <w:r>
        <w:t>.  We discuss these decisions further</w:t>
      </w:r>
      <w:r w:rsidR="004633A4">
        <w:t>,</w:t>
      </w:r>
      <w:r>
        <w:t xml:space="preserve"> </w:t>
      </w:r>
      <w:r>
        <w:rPr>
          <w:i/>
          <w:iCs/>
        </w:rPr>
        <w:t>post</w:t>
      </w:r>
      <w:r>
        <w:t xml:space="preserve">.  </w:t>
      </w:r>
    </w:p>
  </w:footnote>
  <w:footnote w:id="8">
    <w:p w:rsidR="002929A0" w:rsidRPr="00C86B89" w:rsidP="00715165">
      <w:pPr>
        <w:pStyle w:val="FootnoteText"/>
      </w:pPr>
      <w:r>
        <w:rPr>
          <w:rStyle w:val="FootnoteReference"/>
        </w:rPr>
        <w:footnoteRef/>
      </w:r>
      <w:r>
        <w:t xml:space="preserve"> </w:t>
      </w:r>
      <w:r>
        <w:tab/>
        <w:t xml:space="preserve">The </w:t>
      </w:r>
      <w:r>
        <w:rPr>
          <w:i/>
          <w:iCs/>
        </w:rPr>
        <w:t>Hedgecock</w:t>
      </w:r>
      <w:r>
        <w:t xml:space="preserve"> court was interpreting </w:t>
      </w:r>
      <w:bookmarkStart w:id="66" w:name="dabmci_359844dd3a3c4ad18f5fe9c5ad955e35"/>
      <w:r>
        <w:t>section 910</w:t>
      </w:r>
      <w:r w:rsidR="00AC69DA">
        <w:t>0</w:t>
      </w:r>
      <w:r>
        <w:t>3(a)</w:t>
      </w:r>
      <w:bookmarkEnd w:id="66"/>
      <w:r>
        <w:t xml:space="preserve"> </w:t>
      </w:r>
      <w:r w:rsidRPr="00976488">
        <w:rPr>
          <w:szCs w:val="26"/>
        </w:rPr>
        <w:t>as well as section 91012, a separate but similarly worded provision of the Political Reform Act</w:t>
      </w:r>
      <w:r>
        <w:rPr>
          <w:szCs w:val="26"/>
        </w:rPr>
        <w:t>.  (</w:t>
      </w:r>
      <w:bookmarkStart w:id="67" w:name="dabmci_2ecced82541645e3b29eee385afb5599"/>
      <w:r w:rsidRPr="002929A0">
        <w:rPr>
          <w:i/>
          <w:iCs/>
          <w:szCs w:val="26"/>
        </w:rPr>
        <w:t>Hedgecock</w:t>
      </w:r>
      <w:r>
        <w:rPr>
          <w:szCs w:val="26"/>
        </w:rPr>
        <w:t xml:space="preserve">, </w:t>
      </w:r>
      <w:r w:rsidRPr="0011314E" w:rsidR="004633A4">
        <w:rPr>
          <w:i/>
          <w:iCs/>
          <w:szCs w:val="26"/>
        </w:rPr>
        <w:t>supra</w:t>
      </w:r>
      <w:r w:rsidR="004633A4">
        <w:rPr>
          <w:szCs w:val="26"/>
        </w:rPr>
        <w:t xml:space="preserve">, 183 Cal.App.3d </w:t>
      </w:r>
      <w:r>
        <w:rPr>
          <w:szCs w:val="26"/>
        </w:rPr>
        <w:t>at p. 815</w:t>
      </w:r>
      <w:bookmarkEnd w:id="67"/>
      <w:r>
        <w:rPr>
          <w:szCs w:val="26"/>
        </w:rPr>
        <w:t xml:space="preserve">.)  </w:t>
      </w:r>
      <w:r w:rsidRPr="002929A0">
        <w:rPr>
          <w:szCs w:val="26"/>
        </w:rPr>
        <w:t>Section</w:t>
      </w:r>
      <w:r>
        <w:rPr>
          <w:szCs w:val="26"/>
        </w:rPr>
        <w:t xml:space="preserve"> 91012 </w:t>
      </w:r>
      <w:r w:rsidR="00233DA3">
        <w:rPr>
          <w:szCs w:val="26"/>
        </w:rPr>
        <w:t xml:space="preserve">currently </w:t>
      </w:r>
      <w:r>
        <w:rPr>
          <w:szCs w:val="26"/>
        </w:rPr>
        <w:t>provides in relevant part:  “T</w:t>
      </w:r>
      <w:r w:rsidRPr="002929A0">
        <w:rPr>
          <w:szCs w:val="26"/>
        </w:rPr>
        <w:t>he court may award to a plaintiff or defendant other than an agency, who prevails in any action authorized by this title, that party’s costs of litigation, including reasonable attorney’s fees.</w:t>
      </w:r>
      <w:r>
        <w:rPr>
          <w:szCs w:val="26"/>
        </w:rPr>
        <w:t xml:space="preserve">”  </w:t>
      </w:r>
    </w:p>
  </w:footnote>
  <w:footnote w:id="9">
    <w:p w:rsidR="003C0FC1">
      <w:pPr>
        <w:pStyle w:val="FootnoteText"/>
      </w:pPr>
      <w:r>
        <w:rPr>
          <w:rStyle w:val="FootnoteReference"/>
        </w:rPr>
        <w:footnoteRef/>
      </w:r>
      <w:r>
        <w:t xml:space="preserve"> </w:t>
      </w:r>
      <w:r>
        <w:tab/>
        <w:t xml:space="preserve">Defendants contend plaintiffs in this case are pursuing their own self-interest rather than seeking to protect the public.  </w:t>
      </w:r>
      <w:r w:rsidR="00A46929">
        <w:t xml:space="preserve">We express no opinion on the merits of this factual claim, and we are not persuaded that this claim should alter how we interpret section 91003(a).  </w:t>
      </w:r>
      <w:r w:rsidRPr="00CA751D">
        <w:rPr>
          <w:bCs/>
        </w:rPr>
        <w:t xml:space="preserve">Even when a plaintiff </w:t>
      </w:r>
      <w:r w:rsidRPr="00CA751D">
        <w:rPr>
          <w:bCs/>
          <w:i/>
          <w:iCs/>
        </w:rPr>
        <w:t>does</w:t>
      </w:r>
      <w:r w:rsidRPr="00CA751D">
        <w:rPr>
          <w:bCs/>
        </w:rPr>
        <w:t xml:space="preserve"> have a distinct stake in the Political Reform Act enforcement action,</w:t>
      </w:r>
      <w:r>
        <w:rPr>
          <w:bCs/>
        </w:rPr>
        <w:t xml:space="preserve"> </w:t>
      </w:r>
      <w:r w:rsidRPr="00CA751D">
        <w:rPr>
          <w:bCs/>
        </w:rPr>
        <w:t>a prevailing defendant</w:t>
      </w:r>
      <w:r>
        <w:rPr>
          <w:bCs/>
        </w:rPr>
        <w:t>’s interests can be protected by an award of fees if the action is determined to be frivolous</w:t>
      </w:r>
      <w:r w:rsidRPr="00CA751D">
        <w:rPr>
          <w:bCs/>
        </w:rPr>
        <w:t>.</w:t>
      </w:r>
      <w:r>
        <w:rPr>
          <w:bCs/>
        </w:rPr>
        <w:t xml:space="preserve">  </w:t>
      </w:r>
    </w:p>
  </w:footnote>
  <w:footnote w:id="10">
    <w:p w:rsidR="001D06C5" w:rsidP="00715165">
      <w:pPr>
        <w:pStyle w:val="FootnoteText"/>
      </w:pPr>
      <w:r>
        <w:rPr>
          <w:rStyle w:val="FootnoteReference"/>
        </w:rPr>
        <w:footnoteRef/>
      </w:r>
      <w:r>
        <w:t xml:space="preserve"> </w:t>
      </w:r>
      <w:r>
        <w:tab/>
        <w:t xml:space="preserve">Our opinion in </w:t>
      </w:r>
      <w:bookmarkStart w:id="118" w:name="dabmci_517f785804784929a6ad659793d1caaf"/>
      <w:r w:rsidRPr="008F146B">
        <w:rPr>
          <w:i/>
          <w:iCs/>
        </w:rPr>
        <w:t>Williams</w:t>
      </w:r>
      <w:bookmarkEnd w:id="118"/>
      <w:r>
        <w:t xml:space="preserve"> cited to former section 12965, subdivision</w:t>
      </w:r>
      <w:r w:rsidR="00216215">
        <w:t> </w:t>
      </w:r>
      <w:r>
        <w:t>(b).  (</w:t>
      </w:r>
      <w:bookmarkStart w:id="119" w:name="dabmci_64562c9ba290448abf462acf9c068e6e"/>
      <w:r w:rsidRPr="008F146B">
        <w:rPr>
          <w:i/>
          <w:iCs/>
        </w:rPr>
        <w:t>Williams</w:t>
      </w:r>
      <w:r>
        <w:t xml:space="preserve">, </w:t>
      </w:r>
      <w:r w:rsidRPr="008F146B">
        <w:rPr>
          <w:i/>
          <w:iCs/>
        </w:rPr>
        <w:t>supra</w:t>
      </w:r>
      <w:r>
        <w:t>, 61 Cal.4th at p. 101</w:t>
      </w:r>
      <w:bookmarkEnd w:id="119"/>
      <w:r>
        <w:t xml:space="preserve">.)  </w:t>
      </w:r>
      <w:r w:rsidRPr="0056302F">
        <w:t>Effective January</w:t>
      </w:r>
      <w:r>
        <w:t> </w:t>
      </w:r>
      <w:r w:rsidRPr="0056302F">
        <w:t>1, 2022, the Legislature renumbered former subdivision (b) of</w:t>
      </w:r>
      <w:r>
        <w:t xml:space="preserve"> section 12965 </w:t>
      </w:r>
      <w:r w:rsidRPr="0056302F">
        <w:t xml:space="preserve">as current subdivision (c)(6). </w:t>
      </w:r>
      <w:r>
        <w:t xml:space="preserve"> </w:t>
      </w:r>
      <w:r w:rsidRPr="0056302F">
        <w:t>(Stats.</w:t>
      </w:r>
      <w:r>
        <w:t> </w:t>
      </w:r>
      <w:r w:rsidRPr="0056302F">
        <w:t>2021, ch.</w:t>
      </w:r>
      <w:r>
        <w:t> </w:t>
      </w:r>
      <w:r w:rsidRPr="0056302F">
        <w:t>278, §</w:t>
      </w:r>
      <w:r>
        <w:t> </w:t>
      </w:r>
      <w:r w:rsidRPr="0056302F">
        <w:t>7</w:t>
      </w:r>
      <w:r w:rsidR="00375897">
        <w:t>; see Stats. 2022, ch. 420, § 25</w:t>
      </w:r>
      <w:r w:rsidRPr="0056302F">
        <w:t xml:space="preserve">.) </w:t>
      </w:r>
      <w:r>
        <w:t xml:space="preserve"> </w:t>
      </w:r>
      <w:r w:rsidRPr="0056302F">
        <w:t>The language of this subdivision was left unaltered.</w:t>
      </w:r>
      <w:r w:rsidR="003372B2">
        <w:t xml:space="preserve">  </w:t>
      </w:r>
    </w:p>
  </w:footnote>
  <w:footnote w:id="11">
    <w:p w:rsidR="00665CE3" w:rsidRPr="00344A4C">
      <w:pPr>
        <w:pStyle w:val="FootnoteText"/>
      </w:pPr>
      <w:r>
        <w:rPr>
          <w:rStyle w:val="FootnoteReference"/>
        </w:rPr>
        <w:footnoteRef/>
      </w:r>
      <w:r>
        <w:t xml:space="preserve"> </w:t>
      </w:r>
      <w:r>
        <w:tab/>
      </w:r>
      <w:r w:rsidR="006E2D61">
        <w:t xml:space="preserve">We perceive no material difference between the standard set forth in </w:t>
      </w:r>
      <w:bookmarkStart w:id="152" w:name="dabmci_b72e92bd802e491bb5a98bf07124d0cc"/>
      <w:r w:rsidRPr="00344A4C" w:rsidR="006E2D61">
        <w:rPr>
          <w:i/>
          <w:iCs/>
        </w:rPr>
        <w:t>Williams</w:t>
      </w:r>
      <w:r w:rsidR="006E2D61">
        <w:t xml:space="preserve">, </w:t>
      </w:r>
      <w:r w:rsidRPr="00344A4C" w:rsidR="006E2D61">
        <w:rPr>
          <w:i/>
          <w:iCs/>
        </w:rPr>
        <w:t>supra</w:t>
      </w:r>
      <w:r w:rsidR="006E2D61">
        <w:t>, 61 Cal.4th at p. 115</w:t>
      </w:r>
      <w:bookmarkEnd w:id="152"/>
      <w:r w:rsidR="006E2D61">
        <w:t xml:space="preserve"> and the standard in </w:t>
      </w:r>
      <w:bookmarkStart w:id="153" w:name="dabmci_df49496715704f449b88a00e40acd18e"/>
      <w:r w:rsidRPr="00344A4C" w:rsidR="006E2D61">
        <w:rPr>
          <w:i/>
          <w:iCs/>
        </w:rPr>
        <w:t>Christiansburg</w:t>
      </w:r>
      <w:r w:rsidR="006E2D61">
        <w:t xml:space="preserve">, </w:t>
      </w:r>
      <w:r w:rsidR="006E2D61">
        <w:rPr>
          <w:i/>
          <w:iCs/>
        </w:rPr>
        <w:t>supra</w:t>
      </w:r>
      <w:r w:rsidR="006E2D61">
        <w:t>, 434 U.S. at p. 422</w:t>
      </w:r>
      <w:bookmarkEnd w:id="153"/>
      <w:r w:rsidR="006E2D61">
        <w:t xml:space="preserve">.  Although they use slightly different phrasing, they are functionally equivalent and embody a single standard which we apply here.  </w:t>
      </w:r>
    </w:p>
  </w:footnote>
  <w:footnote w:id="12">
    <w:p w:rsidR="00C816A5" w:rsidP="004B1167">
      <w:pPr>
        <w:spacing w:line="300" w:lineRule="exact"/>
        <w:rPr>
          <w:szCs w:val="27"/>
        </w:rPr>
      </w:pPr>
      <w:r>
        <w:rPr>
          <w:rStyle w:val="FootnoteReference"/>
        </w:rPr>
        <w:t>*</w:t>
      </w:r>
      <w:r>
        <w:tab/>
      </w:r>
      <w:r>
        <w:rPr>
          <w:szCs w:val="27"/>
        </w:rPr>
        <w:t xml:space="preserve">Retired Chief Justice of California, assigned by the Chief Justice pursuant to </w:t>
      </w:r>
      <w:bookmarkStart w:id="162" w:name="dabmci_85685017f55d4bdb876c18f10d42d03b"/>
      <w:r>
        <w:rPr>
          <w:szCs w:val="27"/>
        </w:rPr>
        <w:t>article VI, section 6 of the California Constitution</w:t>
      </w:r>
      <w:bookmarkEnd w:id="162"/>
      <w:r>
        <w:rPr>
          <w:szCs w:val="27"/>
        </w:rPr>
        <w:t>.</w:t>
      </w:r>
    </w:p>
    <w:p w:rsidR="00737E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6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6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6B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060" w:rsidRPr="00423141" w:rsidP="003412E0">
    <w:pPr>
      <w:pStyle w:val="Header"/>
    </w:pPr>
    <w:r w:rsidRPr="00423141">
      <w:t>TRAVIS v. BRAND</w:t>
    </w:r>
  </w:p>
  <w:p w:rsidR="00886060" w:rsidRPr="00423141" w:rsidP="003412E0">
    <w:pPr>
      <w:pStyle w:val="Header"/>
    </w:pPr>
    <w:r w:rsidRPr="00423141">
      <w:t xml:space="preserve">Opinion of the Court by Guerrero, </w:t>
    </w:r>
    <w:r>
      <w:t xml:space="preserve">C. </w:t>
    </w:r>
    <w:r w:rsidRPr="00423141">
      <w:t>J.</w:t>
    </w:r>
  </w:p>
  <w:p w:rsidR="00886060" w:rsidRPr="00CB69EB" w:rsidP="003412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5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5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B34546"/>
    <w:multiLevelType w:val="hybridMultilevel"/>
    <w:tmpl w:val="B79ED3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61BA77AD"/>
    <w:multiLevelType w:val="hybridMultilevel"/>
    <w:tmpl w:val="DBCCE1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6C4E3339"/>
    <w:multiLevelType w:val="hybridMultilevel"/>
    <w:tmpl w:val="7E609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65"/>
    <w:pPr>
      <w:spacing w:after="100" w:line="400" w:lineRule="exact"/>
      <w:jc w:val="both"/>
    </w:pPr>
    <w:rPr>
      <w:rFonts w:ascii="Century Schoolbook" w:hAnsi="Century Schoolbook"/>
      <w:sz w:val="27"/>
    </w:rPr>
  </w:style>
  <w:style w:type="paragraph" w:styleId="Heading1">
    <w:name w:val="heading 1"/>
    <w:basedOn w:val="Normal"/>
    <w:next w:val="Normal"/>
    <w:qFormat/>
    <w:rsid w:val="00715165"/>
    <w:pPr>
      <w:keepNext/>
      <w:spacing w:before="140" w:line="240" w:lineRule="atLeast"/>
      <w:jc w:val="center"/>
      <w:outlineLvl w:val="0"/>
    </w:pPr>
    <w:rPr>
      <w:b/>
      <w:smallCaps/>
    </w:rPr>
  </w:style>
  <w:style w:type="paragraph" w:styleId="Heading2">
    <w:name w:val="heading 2"/>
    <w:basedOn w:val="Normal"/>
    <w:next w:val="Normal"/>
    <w:qFormat/>
    <w:rsid w:val="0071516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15165"/>
    <w:pPr>
      <w:keepNext/>
      <w:tabs>
        <w:tab w:val="left" w:pos="1584"/>
      </w:tabs>
      <w:spacing w:before="140" w:line="240" w:lineRule="atLeast"/>
      <w:ind w:left="1584" w:hanging="432"/>
      <w:jc w:val="left"/>
      <w:outlineLvl w:val="2"/>
    </w:pPr>
    <w:rPr>
      <w:i/>
    </w:rPr>
  </w:style>
  <w:style w:type="paragraph" w:styleId="Heading4">
    <w:name w:val="heading 4"/>
    <w:basedOn w:val="Normal"/>
    <w:rsid w:val="00715165"/>
    <w:pPr>
      <w:keepNext/>
      <w:tabs>
        <w:tab w:val="left" w:pos="2016"/>
      </w:tabs>
      <w:spacing w:before="140" w:line="240" w:lineRule="atLeast"/>
      <w:ind w:left="2016" w:hanging="432"/>
      <w:jc w:val="left"/>
      <w:outlineLvl w:val="3"/>
    </w:pPr>
    <w:rPr>
      <w:i/>
    </w:rPr>
  </w:style>
  <w:style w:type="paragraph" w:styleId="Heading5">
    <w:name w:val="heading 5"/>
    <w:basedOn w:val="Normal"/>
    <w:rsid w:val="0071516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715165"/>
    <w:pPr>
      <w:tabs>
        <w:tab w:val="center" w:pos="3960"/>
        <w:tab w:val="right" w:pos="10080"/>
      </w:tabs>
      <w:spacing w:after="0" w:line="240" w:lineRule="auto"/>
      <w:jc w:val="center"/>
    </w:pPr>
    <w:rPr>
      <w:sz w:val="22"/>
    </w:rPr>
  </w:style>
  <w:style w:type="character" w:styleId="FootnoteReference">
    <w:name w:val="footnote reference"/>
    <w:basedOn w:val="DefaultParagraphFont"/>
    <w:rsid w:val="00715165"/>
    <w:rPr>
      <w:rFonts w:ascii="Century Schoolbook" w:hAnsi="Century Schoolbook"/>
      <w:b/>
      <w:i w:val="0"/>
      <w:position w:val="4"/>
      <w:sz w:val="27"/>
      <w:vertAlign w:val="superscript"/>
    </w:rPr>
  </w:style>
  <w:style w:type="paragraph" w:styleId="FootnoteText">
    <w:name w:val="footnote text"/>
    <w:basedOn w:val="Normal"/>
    <w:rsid w:val="00715165"/>
    <w:pPr>
      <w:spacing w:line="300" w:lineRule="exact"/>
    </w:pPr>
  </w:style>
  <w:style w:type="paragraph" w:styleId="Date">
    <w:name w:val="Date"/>
    <w:basedOn w:val="Normal"/>
    <w:semiHidden/>
    <w:rsid w:val="00715165"/>
    <w:pPr>
      <w:jc w:val="right"/>
    </w:pPr>
  </w:style>
  <w:style w:type="paragraph" w:styleId="Header">
    <w:name w:val="header"/>
    <w:basedOn w:val="Normal"/>
    <w:qFormat/>
    <w:rsid w:val="00715165"/>
    <w:pPr>
      <w:tabs>
        <w:tab w:val="center" w:pos="3960"/>
        <w:tab w:val="right" w:pos="10080"/>
      </w:tabs>
      <w:spacing w:after="80" w:line="240" w:lineRule="auto"/>
      <w:jc w:val="center"/>
    </w:pPr>
    <w:rPr>
      <w:sz w:val="22"/>
    </w:rPr>
  </w:style>
  <w:style w:type="paragraph" w:styleId="NormalIndent">
    <w:name w:val="Normal Indent"/>
    <w:basedOn w:val="Normal"/>
    <w:semiHidden/>
    <w:rsid w:val="00715165"/>
    <w:pPr>
      <w:ind w:left="720"/>
    </w:pPr>
  </w:style>
  <w:style w:type="character" w:styleId="PageNumber">
    <w:name w:val="page number"/>
    <w:basedOn w:val="DefaultParagraphFont"/>
    <w:semiHidden/>
    <w:rsid w:val="00715165"/>
  </w:style>
  <w:style w:type="paragraph" w:customStyle="1" w:styleId="Recommend">
    <w:name w:val="Recommend"/>
    <w:basedOn w:val="Normal"/>
    <w:rsid w:val="00715165"/>
  </w:style>
  <w:style w:type="paragraph" w:customStyle="1" w:styleId="subject">
    <w:name w:val="subject"/>
    <w:basedOn w:val="Normal"/>
    <w:rsid w:val="00715165"/>
    <w:pPr>
      <w:tabs>
        <w:tab w:val="left" w:pos="1008"/>
      </w:tabs>
      <w:ind w:left="990" w:hanging="990"/>
    </w:pPr>
    <w:rPr>
      <w:b/>
    </w:rPr>
  </w:style>
  <w:style w:type="paragraph" w:customStyle="1" w:styleId="Summary">
    <w:name w:val="Summary"/>
    <w:basedOn w:val="Normal"/>
    <w:rsid w:val="00715165"/>
    <w:pPr>
      <w:ind w:left="2160" w:hanging="2160"/>
    </w:pPr>
  </w:style>
  <w:style w:type="paragraph" w:customStyle="1" w:styleId="Text">
    <w:name w:val="Text"/>
    <w:basedOn w:val="Normal"/>
    <w:rsid w:val="00715165"/>
    <w:pPr>
      <w:tabs>
        <w:tab w:val="left" w:pos="720"/>
        <w:tab w:val="left" w:pos="1440"/>
        <w:tab w:val="left" w:pos="2160"/>
        <w:tab w:val="center" w:pos="4320"/>
      </w:tabs>
      <w:spacing w:line="480" w:lineRule="atLeast"/>
      <w:ind w:firstLine="540"/>
    </w:pPr>
  </w:style>
  <w:style w:type="paragraph" w:customStyle="1" w:styleId="Title1">
    <w:name w:val="Title1"/>
    <w:basedOn w:val="Normal"/>
    <w:rsid w:val="00715165"/>
    <w:pPr>
      <w:tabs>
        <w:tab w:val="left" w:pos="5760"/>
        <w:tab w:val="left" w:pos="6480"/>
      </w:tabs>
      <w:spacing w:line="240" w:lineRule="atLeast"/>
    </w:pPr>
  </w:style>
  <w:style w:type="paragraph" w:customStyle="1" w:styleId="Titles">
    <w:name w:val="Titles"/>
    <w:basedOn w:val="Normal"/>
    <w:rsid w:val="00715165"/>
    <w:pPr>
      <w:tabs>
        <w:tab w:val="left" w:pos="2160"/>
      </w:tabs>
      <w:ind w:left="2160" w:hanging="2160"/>
    </w:pPr>
    <w:rPr>
      <w:b/>
    </w:rPr>
  </w:style>
  <w:style w:type="paragraph" w:styleId="TOAHeading">
    <w:name w:val="toa heading"/>
    <w:basedOn w:val="Normal"/>
    <w:next w:val="Normal"/>
    <w:semiHidden/>
    <w:rsid w:val="00715165"/>
    <w:pPr>
      <w:spacing w:before="120"/>
    </w:pPr>
    <w:rPr>
      <w:b/>
    </w:rPr>
  </w:style>
  <w:style w:type="paragraph" w:styleId="TOC1">
    <w:name w:val="toc 1"/>
    <w:basedOn w:val="Normal"/>
    <w:next w:val="Normal"/>
    <w:autoRedefine/>
    <w:semiHidden/>
    <w:rsid w:val="00715165"/>
  </w:style>
  <w:style w:type="paragraph" w:styleId="TOC2">
    <w:name w:val="toc 2"/>
    <w:basedOn w:val="Normal"/>
    <w:next w:val="Normal"/>
    <w:autoRedefine/>
    <w:semiHidden/>
    <w:rsid w:val="00715165"/>
    <w:pPr>
      <w:ind w:left="259"/>
    </w:pPr>
  </w:style>
  <w:style w:type="paragraph" w:styleId="TOC3">
    <w:name w:val="toc 3"/>
    <w:basedOn w:val="Normal"/>
    <w:next w:val="Normal"/>
    <w:autoRedefine/>
    <w:semiHidden/>
    <w:rsid w:val="00715165"/>
    <w:pPr>
      <w:ind w:left="520"/>
    </w:pPr>
  </w:style>
  <w:style w:type="paragraph" w:styleId="TOC4">
    <w:name w:val="toc 4"/>
    <w:basedOn w:val="Normal"/>
    <w:next w:val="Normal"/>
    <w:autoRedefine/>
    <w:semiHidden/>
    <w:rsid w:val="00715165"/>
    <w:pPr>
      <w:ind w:left="780"/>
    </w:pPr>
  </w:style>
  <w:style w:type="paragraph" w:styleId="TOC5">
    <w:name w:val="toc 5"/>
    <w:basedOn w:val="Normal"/>
    <w:next w:val="Normal"/>
    <w:autoRedefine/>
    <w:semiHidden/>
    <w:rsid w:val="00715165"/>
    <w:pPr>
      <w:ind w:left="1040"/>
    </w:pPr>
  </w:style>
  <w:style w:type="paragraph" w:styleId="TOC6">
    <w:name w:val="toc 6"/>
    <w:basedOn w:val="Normal"/>
    <w:next w:val="Normal"/>
    <w:autoRedefine/>
    <w:semiHidden/>
    <w:rsid w:val="00715165"/>
    <w:pPr>
      <w:ind w:left="1300"/>
    </w:pPr>
  </w:style>
  <w:style w:type="paragraph" w:styleId="TOC7">
    <w:name w:val="toc 7"/>
    <w:basedOn w:val="Normal"/>
    <w:next w:val="Normal"/>
    <w:autoRedefine/>
    <w:semiHidden/>
    <w:rsid w:val="00715165"/>
    <w:pPr>
      <w:ind w:left="1560"/>
    </w:pPr>
  </w:style>
  <w:style w:type="paragraph" w:styleId="TOC8">
    <w:name w:val="toc 8"/>
    <w:basedOn w:val="Normal"/>
    <w:next w:val="Normal"/>
    <w:autoRedefine/>
    <w:semiHidden/>
    <w:rsid w:val="00715165"/>
    <w:pPr>
      <w:ind w:left="1820"/>
    </w:pPr>
  </w:style>
  <w:style w:type="paragraph" w:styleId="TOC9">
    <w:name w:val="toc 9"/>
    <w:basedOn w:val="Normal"/>
    <w:next w:val="Normal"/>
    <w:autoRedefine/>
    <w:semiHidden/>
    <w:rsid w:val="00715165"/>
    <w:pPr>
      <w:ind w:left="2080"/>
    </w:pPr>
  </w:style>
  <w:style w:type="paragraph" w:customStyle="1" w:styleId="Contents">
    <w:name w:val="Contents"/>
    <w:basedOn w:val="Normal"/>
    <w:rsid w:val="00715165"/>
    <w:pPr>
      <w:jc w:val="center"/>
    </w:pPr>
    <w:rPr>
      <w:b/>
      <w:spacing w:val="100"/>
    </w:rPr>
  </w:style>
  <w:style w:type="paragraph" w:styleId="ListParagraph">
    <w:name w:val="List Paragraph"/>
    <w:basedOn w:val="Normal"/>
    <w:uiPriority w:val="34"/>
    <w:qFormat/>
    <w:rsid w:val="006E0923"/>
    <w:pPr>
      <w:ind w:left="720"/>
      <w:contextualSpacing/>
    </w:pPr>
  </w:style>
  <w:style w:type="character" w:styleId="CommentReference">
    <w:name w:val="annotation reference"/>
    <w:basedOn w:val="DefaultParagraphFont"/>
    <w:uiPriority w:val="99"/>
    <w:semiHidden/>
    <w:unhideWhenUsed/>
    <w:rsid w:val="008F2CC8"/>
    <w:rPr>
      <w:sz w:val="16"/>
      <w:szCs w:val="16"/>
    </w:rPr>
  </w:style>
  <w:style w:type="paragraph" w:styleId="CommentText">
    <w:name w:val="annotation text"/>
    <w:basedOn w:val="Normal"/>
    <w:link w:val="CommentTextChar"/>
    <w:uiPriority w:val="99"/>
    <w:unhideWhenUsed/>
    <w:rsid w:val="008F2CC8"/>
    <w:rPr>
      <w:sz w:val="20"/>
    </w:rPr>
  </w:style>
  <w:style w:type="character" w:customStyle="1" w:styleId="CommentTextChar">
    <w:name w:val="Comment Text Char"/>
    <w:basedOn w:val="DefaultParagraphFont"/>
    <w:link w:val="CommentText"/>
    <w:uiPriority w:val="99"/>
    <w:rsid w:val="008F2CC8"/>
  </w:style>
  <w:style w:type="paragraph" w:styleId="CommentSubject">
    <w:name w:val="annotation subject"/>
    <w:basedOn w:val="CommentText"/>
    <w:next w:val="CommentText"/>
    <w:link w:val="CommentSubjectChar"/>
    <w:uiPriority w:val="99"/>
    <w:semiHidden/>
    <w:unhideWhenUsed/>
    <w:rsid w:val="008F2CC8"/>
    <w:rPr>
      <w:b/>
      <w:bCs/>
    </w:rPr>
  </w:style>
  <w:style w:type="character" w:customStyle="1" w:styleId="CommentSubjectChar">
    <w:name w:val="Comment Subject Char"/>
    <w:basedOn w:val="CommentTextChar"/>
    <w:link w:val="CommentSubject"/>
    <w:uiPriority w:val="99"/>
    <w:semiHidden/>
    <w:rsid w:val="008F2CC8"/>
    <w:rPr>
      <w:b/>
      <w:bCs/>
    </w:rPr>
  </w:style>
  <w:style w:type="paragraph" w:styleId="BalloonText">
    <w:name w:val="Balloon Text"/>
    <w:basedOn w:val="Normal"/>
    <w:link w:val="BalloonTextChar"/>
    <w:uiPriority w:val="99"/>
    <w:semiHidden/>
    <w:unhideWhenUsed/>
    <w:rsid w:val="00615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1B"/>
    <w:rPr>
      <w:rFonts w:ascii="Segoe UI" w:hAnsi="Segoe UI" w:cs="Segoe UI"/>
      <w:sz w:val="18"/>
      <w:szCs w:val="18"/>
    </w:rPr>
  </w:style>
  <w:style w:type="character" w:styleId="Hyperlink">
    <w:name w:val="Hyperlink"/>
    <w:basedOn w:val="DefaultParagraphFont"/>
    <w:uiPriority w:val="99"/>
    <w:unhideWhenUsed/>
    <w:rsid w:val="008C23AB"/>
    <w:rPr>
      <w:color w:val="0000FF" w:themeColor="hyperlink"/>
      <w:u w:val="single"/>
    </w:rPr>
  </w:style>
  <w:style w:type="character" w:customStyle="1" w:styleId="UnresolvedMention">
    <w:name w:val="Unresolved Mention"/>
    <w:basedOn w:val="DefaultParagraphFont"/>
    <w:uiPriority w:val="99"/>
    <w:semiHidden/>
    <w:unhideWhenUsed/>
    <w:rsid w:val="008C23AB"/>
    <w:rPr>
      <w:color w:val="605E5C"/>
      <w:shd w:val="clear" w:color="auto" w:fill="E1DFDD"/>
    </w:rPr>
  </w:style>
  <w:style w:type="character" w:customStyle="1" w:styleId="costarpage">
    <w:name w:val="co_starpage"/>
    <w:basedOn w:val="DefaultParagraphFont"/>
    <w:rsid w:val="00147C67"/>
  </w:style>
  <w:style w:type="paragraph" w:styleId="Revision">
    <w:name w:val="Revision"/>
    <w:hidden/>
    <w:uiPriority w:val="99"/>
    <w:semiHidden/>
    <w:rsid w:val="003C4C49"/>
    <w:rPr>
      <w:sz w:val="26"/>
    </w:rPr>
  </w:style>
  <w:style w:type="paragraph" w:styleId="NormalWeb">
    <w:name w:val="Normal (Web)"/>
    <w:basedOn w:val="Normal"/>
    <w:uiPriority w:val="99"/>
    <w:semiHidden/>
    <w:unhideWhenUsed/>
    <w:rsid w:val="00696AC2"/>
    <w:rPr>
      <w:sz w:val="24"/>
      <w:szCs w:val="24"/>
    </w:rPr>
  </w:style>
  <w:style w:type="paragraph" w:styleId="BodyText">
    <w:name w:val="Body Text"/>
    <w:basedOn w:val="Normal"/>
    <w:link w:val="BodyTextChar"/>
    <w:qFormat/>
    <w:rsid w:val="00715165"/>
  </w:style>
  <w:style w:type="character" w:customStyle="1" w:styleId="BodyTextChar">
    <w:name w:val="Body Text Char"/>
    <w:basedOn w:val="DefaultParagraphFont"/>
    <w:link w:val="BodyText"/>
    <w:rsid w:val="00715165"/>
    <w:rPr>
      <w:rFonts w:ascii="Century Schoolbook" w:hAnsi="Century Schoolbook"/>
      <w:sz w:val="27"/>
    </w:rPr>
  </w:style>
  <w:style w:type="character" w:customStyle="1" w:styleId="FooterChar">
    <w:name w:val="Footer Char"/>
    <w:basedOn w:val="DefaultParagraphFont"/>
    <w:link w:val="Footer"/>
    <w:uiPriority w:val="99"/>
    <w:rsid w:val="00BC572D"/>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6075</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2023-01-27T18:04:59Z</dcterms:created>
  <dcterms:modified xsi:type="dcterms:W3CDTF">2023-01-27T18:04:59Z</dcterms:modified>
</cp:coreProperties>
</file>