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47553" w:rsidRPr="007E085E" w:rsidP="00FC719E">
      <w:pPr>
        <w:spacing w:after="0"/>
        <w:jc w:val="center"/>
        <w:rPr>
          <w:sz w:val="36"/>
        </w:rPr>
      </w:pPr>
      <w:r w:rsidRPr="007E085E">
        <w:rPr>
          <w:b/>
          <w:sz w:val="36"/>
        </w:rPr>
        <w:t>IN THE SUPREME COURT OF CALIFORNIA</w:t>
      </w:r>
    </w:p>
    <w:p w:rsidR="007E1868" w:rsidRPr="00F41D07" w:rsidP="00F41D07">
      <w:pPr>
        <w:rPr>
          <w:spacing w:val="100"/>
        </w:rPr>
      </w:pPr>
    </w:p>
    <w:p w:rsidR="007E1868" w:rsidP="00F41D07">
      <w:pPr>
        <w:tabs>
          <w:tab w:val="left" w:pos="1440"/>
          <w:tab w:val="left" w:pos="4680"/>
          <w:tab w:val="center" w:pos="7200"/>
        </w:tabs>
        <w:spacing w:after="0"/>
        <w:jc w:val="center"/>
      </w:pPr>
      <w:bookmarkStart w:id="0" w:name="plaintiff"/>
      <w:bookmarkEnd w:id="0"/>
      <w:r>
        <w:t>THE PEOPLE,</w:t>
      </w:r>
    </w:p>
    <w:p w:rsidR="007E1868" w:rsidP="00F41D07">
      <w:pPr>
        <w:tabs>
          <w:tab w:val="left" w:pos="1440"/>
          <w:tab w:val="left" w:pos="4680"/>
          <w:tab w:val="center" w:pos="7200"/>
        </w:tabs>
        <w:spacing w:after="0"/>
        <w:jc w:val="center"/>
      </w:pPr>
      <w:bookmarkStart w:id="1" w:name="LD"/>
      <w:bookmarkEnd w:id="1"/>
      <w:r>
        <w:t>Plaintiff and Respondent</w:t>
      </w:r>
      <w:r w:rsidR="00486A2C">
        <w:t>,</w:t>
      </w:r>
    </w:p>
    <w:p w:rsidR="007E1868" w:rsidP="00F41D07">
      <w:pPr>
        <w:tabs>
          <w:tab w:val="left" w:pos="1440"/>
          <w:tab w:val="left" w:pos="4680"/>
          <w:tab w:val="center" w:pos="7200"/>
        </w:tabs>
        <w:spacing w:after="0"/>
        <w:jc w:val="center"/>
      </w:pPr>
      <w:r>
        <w:t>v.</w:t>
      </w:r>
    </w:p>
    <w:p w:rsidR="007E1868" w:rsidP="00F41D07">
      <w:pPr>
        <w:tabs>
          <w:tab w:val="left" w:pos="1440"/>
          <w:tab w:val="left" w:pos="4680"/>
          <w:tab w:val="center" w:pos="7200"/>
        </w:tabs>
        <w:spacing w:after="0"/>
        <w:jc w:val="center"/>
      </w:pPr>
      <w:bookmarkStart w:id="2" w:name="appealnum"/>
      <w:bookmarkStart w:id="3" w:name="defendant"/>
      <w:bookmarkEnd w:id="2"/>
      <w:bookmarkEnd w:id="3"/>
      <w:r>
        <w:t>JUVENTINO ESPINOZA,</w:t>
      </w:r>
    </w:p>
    <w:p w:rsidR="007E1868" w:rsidP="007E1868">
      <w:pPr>
        <w:tabs>
          <w:tab w:val="left" w:pos="1440"/>
          <w:tab w:val="left" w:pos="4680"/>
          <w:tab w:val="center" w:pos="7200"/>
        </w:tabs>
        <w:spacing w:after="0"/>
        <w:jc w:val="center"/>
      </w:pPr>
      <w:bookmarkStart w:id="4" w:name="county"/>
      <w:bookmarkStart w:id="5" w:name="VD"/>
      <w:bookmarkEnd w:id="4"/>
      <w:bookmarkEnd w:id="5"/>
      <w:r>
        <w:t>Defendant and Appellant.</w:t>
      </w:r>
    </w:p>
    <w:p w:rsidR="007E1868" w:rsidP="007E1868">
      <w:pPr>
        <w:tabs>
          <w:tab w:val="left" w:pos="1440"/>
          <w:tab w:val="left" w:pos="4680"/>
          <w:tab w:val="center" w:pos="7200"/>
        </w:tabs>
        <w:spacing w:after="0"/>
        <w:jc w:val="center"/>
      </w:pPr>
    </w:p>
    <w:p w:rsidR="007E1868" w:rsidP="00F41D07">
      <w:pPr>
        <w:tabs>
          <w:tab w:val="left" w:pos="1440"/>
          <w:tab w:val="left" w:pos="4680"/>
          <w:tab w:val="center" w:pos="7200"/>
        </w:tabs>
        <w:spacing w:after="0"/>
        <w:jc w:val="center"/>
      </w:pPr>
      <w:r>
        <w:t>S269647</w:t>
      </w:r>
    </w:p>
    <w:p w:rsidR="001F2F7E" w:rsidP="00F41D07">
      <w:pPr>
        <w:tabs>
          <w:tab w:val="left" w:pos="1440"/>
          <w:tab w:val="left" w:pos="4680"/>
          <w:tab w:val="center" w:pos="7200"/>
        </w:tabs>
        <w:spacing w:after="0"/>
        <w:jc w:val="center"/>
      </w:pPr>
    </w:p>
    <w:p w:rsidR="001F2F7E" w:rsidP="00F41D07">
      <w:pPr>
        <w:tabs>
          <w:tab w:val="left" w:pos="1440"/>
          <w:tab w:val="left" w:pos="4680"/>
          <w:tab w:val="center" w:pos="7200"/>
        </w:tabs>
        <w:spacing w:after="0"/>
        <w:jc w:val="center"/>
      </w:pPr>
      <w:r>
        <w:t>Fifth Appellate District</w:t>
      </w:r>
    </w:p>
    <w:p w:rsidR="001F2F7E" w:rsidP="00F41D07">
      <w:pPr>
        <w:tabs>
          <w:tab w:val="left" w:pos="1440"/>
          <w:tab w:val="left" w:pos="4680"/>
          <w:tab w:val="center" w:pos="7200"/>
        </w:tabs>
        <w:spacing w:after="0"/>
        <w:jc w:val="center"/>
      </w:pPr>
      <w:r>
        <w:t>F079209</w:t>
      </w:r>
    </w:p>
    <w:p w:rsidR="007E1868" w:rsidP="007E1868">
      <w:pPr>
        <w:tabs>
          <w:tab w:val="left" w:pos="1440"/>
          <w:tab w:val="left" w:pos="4680"/>
          <w:tab w:val="center" w:pos="7200"/>
        </w:tabs>
        <w:spacing w:after="0"/>
        <w:jc w:val="center"/>
      </w:pPr>
    </w:p>
    <w:p w:rsidR="007E1868" w:rsidP="00F41D07">
      <w:pPr>
        <w:tabs>
          <w:tab w:val="left" w:pos="1440"/>
          <w:tab w:val="left" w:pos="4680"/>
          <w:tab w:val="center" w:pos="7200"/>
        </w:tabs>
        <w:spacing w:after="0"/>
        <w:jc w:val="center"/>
      </w:pPr>
      <w:r>
        <w:t>Tulare County</w:t>
      </w:r>
      <w:r w:rsidR="00486A2C">
        <w:t xml:space="preserve"> Superior Court</w:t>
      </w:r>
    </w:p>
    <w:p w:rsidR="007E1868" w:rsidP="00F41D07">
      <w:pPr>
        <w:tabs>
          <w:tab w:val="left" w:pos="1440"/>
          <w:tab w:val="left" w:pos="4680"/>
          <w:tab w:val="center" w:pos="7200"/>
        </w:tabs>
        <w:spacing w:after="0"/>
        <w:jc w:val="center"/>
      </w:pPr>
      <w:bookmarkStart w:id="6" w:name="supernum"/>
      <w:bookmarkEnd w:id="6"/>
      <w:r w:rsidRPr="0045791F">
        <w:t>VCF109133</w:t>
      </w:r>
    </w:p>
    <w:p w:rsidR="007E1868" w:rsidP="007E1868">
      <w:pPr>
        <w:pBdr>
          <w:bottom w:val="single" w:sz="4" w:space="1" w:color="auto"/>
        </w:pBdr>
        <w:tabs>
          <w:tab w:val="left" w:pos="1440"/>
          <w:tab w:val="left" w:pos="4680"/>
          <w:tab w:val="center" w:pos="7200"/>
        </w:tabs>
        <w:spacing w:after="0"/>
        <w:jc w:val="center"/>
      </w:pPr>
      <w:bookmarkStart w:id="7" w:name="justice"/>
      <w:bookmarkEnd w:id="7"/>
    </w:p>
    <w:p w:rsidR="007E1868" w:rsidP="007E1868">
      <w:pPr>
        <w:tabs>
          <w:tab w:val="left" w:pos="1440"/>
          <w:tab w:val="left" w:pos="4680"/>
          <w:tab w:val="center" w:pos="7200"/>
        </w:tabs>
        <w:spacing w:after="0"/>
        <w:jc w:val="center"/>
      </w:pPr>
    </w:p>
    <w:p w:rsidR="007E1868" w:rsidP="00F3773E">
      <w:pPr>
        <w:tabs>
          <w:tab w:val="left" w:pos="570"/>
          <w:tab w:val="left" w:pos="1440"/>
          <w:tab w:val="center" w:pos="3960"/>
          <w:tab w:val="left" w:pos="4680"/>
          <w:tab w:val="center" w:pos="7200"/>
        </w:tabs>
        <w:spacing w:after="0"/>
        <w:jc w:val="left"/>
      </w:pPr>
      <w:r>
        <w:tab/>
      </w:r>
      <w:r>
        <w:tab/>
      </w:r>
      <w:r>
        <w:tab/>
      </w:r>
      <w:r w:rsidR="009107DC">
        <w:t xml:space="preserve">January </w:t>
      </w:r>
      <w:r w:rsidR="003E7002">
        <w:t>26</w:t>
      </w:r>
      <w:r>
        <w:t>, 202</w:t>
      </w:r>
      <w:r w:rsidR="008C551B">
        <w:t>3</w:t>
      </w:r>
    </w:p>
    <w:p w:rsidR="007E1868" w:rsidP="007E1868">
      <w:pPr>
        <w:tabs>
          <w:tab w:val="left" w:pos="1440"/>
          <w:tab w:val="left" w:pos="4680"/>
          <w:tab w:val="center" w:pos="7200"/>
        </w:tabs>
        <w:spacing w:after="0"/>
        <w:jc w:val="center"/>
      </w:pPr>
    </w:p>
    <w:p w:rsidR="007E1868" w:rsidP="007E1868">
      <w:pPr>
        <w:tabs>
          <w:tab w:val="left" w:pos="1440"/>
          <w:tab w:val="left" w:pos="4680"/>
          <w:tab w:val="center" w:pos="7200"/>
        </w:tabs>
        <w:spacing w:after="0"/>
        <w:jc w:val="left"/>
      </w:pPr>
      <w:r>
        <w:t xml:space="preserve">Justice Liu authored the opinion of the Court, in which </w:t>
      </w:r>
      <w:r w:rsidRPr="00077BAA" w:rsidR="009107DC">
        <w:rPr>
          <w:szCs w:val="27"/>
        </w:rPr>
        <w:t>Chief Justice Guerrero and Justices Corrigan, Kruger, Groban, Jenkins,</w:t>
      </w:r>
      <w:r w:rsidRPr="00077BAA" w:rsidR="009107DC">
        <w:t xml:space="preserve"> and </w:t>
      </w:r>
      <w:r w:rsidRPr="00077BAA" w:rsidR="009107DC">
        <w:rPr>
          <w:szCs w:val="27"/>
        </w:rPr>
        <w:t>Cantil-Sakauye</w:t>
      </w:r>
      <w:r>
        <w:rPr>
          <w:b/>
          <w:position w:val="4"/>
          <w:vertAlign w:val="superscript"/>
        </w:rPr>
        <w:footnoteReference w:customMarkFollows="1" w:id="3"/>
        <w:t xml:space="preserve">*</w:t>
      </w:r>
      <w:r w:rsidRPr="00077BAA" w:rsidR="009107DC">
        <w:t xml:space="preserve"> </w:t>
      </w:r>
      <w:r>
        <w:t>concurred.</w:t>
      </w:r>
    </w:p>
    <w:p w:rsidR="007E1868" w:rsidP="007E1868">
      <w:pPr>
        <w:pBdr>
          <w:bottom w:val="single" w:sz="4" w:space="1" w:color="auto"/>
        </w:pBdr>
        <w:tabs>
          <w:tab w:val="left" w:pos="1440"/>
          <w:tab w:val="left" w:pos="4680"/>
          <w:tab w:val="center" w:pos="7200"/>
        </w:tabs>
        <w:spacing w:after="0"/>
        <w:jc w:val="left"/>
      </w:pPr>
    </w:p>
    <w:p w:rsidR="007E1868" w:rsidRPr="00B47553" w:rsidP="00B47553">
      <w:pPr>
        <w:jc w:val="center"/>
        <w:rPr>
          <w:spacing w:val="100"/>
        </w:rPr>
        <w:sectPr w:rsidSect="00B4755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FC418A" w:rsidP="00FC418A">
      <w:pPr>
        <w:tabs>
          <w:tab w:val="left" w:pos="1440"/>
          <w:tab w:val="left" w:pos="4680"/>
          <w:tab w:val="center" w:pos="7200"/>
        </w:tabs>
        <w:jc w:val="center"/>
      </w:pPr>
      <w:bookmarkStart w:id="8" w:name="mainstory"/>
      <w:bookmarkEnd w:id="8"/>
      <w:r>
        <w:t>PEOPLE v. ESPINOZA</w:t>
      </w:r>
    </w:p>
    <w:p w:rsidR="00D86594" w:rsidP="00D86594">
      <w:pPr>
        <w:tabs>
          <w:tab w:val="left" w:pos="1440"/>
          <w:tab w:val="left" w:pos="4680"/>
          <w:tab w:val="center" w:pos="7200"/>
        </w:tabs>
        <w:spacing w:after="0"/>
        <w:jc w:val="center"/>
      </w:pPr>
      <w:r>
        <w:t>S269647</w:t>
      </w:r>
    </w:p>
    <w:p w:rsidR="00FC418A" w:rsidP="00FC418A">
      <w:pPr>
        <w:tabs>
          <w:tab w:val="left" w:pos="1440"/>
          <w:tab w:val="left" w:pos="4680"/>
          <w:tab w:val="center" w:pos="7200"/>
        </w:tabs>
        <w:jc w:val="center"/>
      </w:pPr>
    </w:p>
    <w:p w:rsidR="00FC418A" w:rsidP="00FC418A">
      <w:pPr>
        <w:tabs>
          <w:tab w:val="left" w:pos="1440"/>
          <w:tab w:val="left" w:pos="4680"/>
          <w:tab w:val="center" w:pos="7200"/>
        </w:tabs>
        <w:jc w:val="center"/>
      </w:pPr>
      <w:r>
        <w:t>Opinion of the Court by Liu</w:t>
      </w:r>
      <w:r w:rsidRPr="00F41D07">
        <w:t>, J.</w:t>
      </w:r>
    </w:p>
    <w:p w:rsidR="00D16158" w:rsidRPr="00F41D07" w:rsidP="00F41D07">
      <w:pPr>
        <w:tabs>
          <w:tab w:val="left" w:pos="1440"/>
        </w:tabs>
      </w:pPr>
    </w:p>
    <w:p w:rsidR="00D30A1B" w:rsidRPr="00B47553" w:rsidP="00F41D07">
      <w:pPr>
        <w:tabs>
          <w:tab w:val="left" w:pos="1440"/>
        </w:tabs>
        <w:ind w:firstLine="720"/>
      </w:pPr>
      <w:r w:rsidRPr="00B47553">
        <w:t xml:space="preserve">Penal Code section 1473.7 </w:t>
      </w:r>
      <w:r w:rsidRPr="00B47553" w:rsidR="00E74114">
        <w:t xml:space="preserve">allows </w:t>
      </w:r>
      <w:r w:rsidR="00751986">
        <w:t xml:space="preserve">noncitizens who have served their sentences </w:t>
      </w:r>
      <w:r w:rsidRPr="00B47553" w:rsidR="00E74114">
        <w:t xml:space="preserve">to vacate </w:t>
      </w:r>
      <w:r w:rsidRPr="00B47553" w:rsidR="001D73ED">
        <w:t>a</w:t>
      </w:r>
      <w:r w:rsidRPr="00B47553" w:rsidR="00E74114">
        <w:t xml:space="preserve"> conviction if </w:t>
      </w:r>
      <w:r w:rsidR="00EA674C">
        <w:t>they</w:t>
      </w:r>
      <w:r w:rsidRPr="00B47553" w:rsidR="00EA674C">
        <w:t xml:space="preserve"> </w:t>
      </w:r>
      <w:r w:rsidRPr="00B47553" w:rsidR="00087CE4">
        <w:t xml:space="preserve">can </w:t>
      </w:r>
      <w:r w:rsidRPr="00B47553" w:rsidR="00D95F6B">
        <w:t>establish</w:t>
      </w:r>
      <w:r w:rsidRPr="00B47553" w:rsidR="00087CE4">
        <w:t xml:space="preserve"> by a preponderance of the evidence</w:t>
      </w:r>
      <w:r w:rsidRPr="00B47553" w:rsidR="00E35029">
        <w:t xml:space="preserve"> that </w:t>
      </w:r>
      <w:r w:rsidR="000D4BCE">
        <w:t>their</w:t>
      </w:r>
      <w:r w:rsidRPr="00B47553" w:rsidR="000D4BCE">
        <w:t xml:space="preserve"> </w:t>
      </w:r>
      <w:r w:rsidRPr="00B47553" w:rsidR="00E35029">
        <w:t xml:space="preserve">conviction is “legally invalid due to </w:t>
      </w:r>
      <w:r w:rsidRPr="00B47553" w:rsidR="00087CE4">
        <w:t xml:space="preserve">prejudicial error </w:t>
      </w:r>
      <w:r w:rsidRPr="00B47553" w:rsidR="00A75519">
        <w:t>damaging [</w:t>
      </w:r>
      <w:r w:rsidR="000D4BCE">
        <w:t>their</w:t>
      </w:r>
      <w:r w:rsidRPr="00B47553" w:rsidR="00A75519">
        <w:t>] ability to meaningfully understand, defend against, or knowingly accept the actual or potential adverse immigration consequences of a conviction or sentence.”</w:t>
      </w:r>
      <w:r w:rsidRPr="00B47553" w:rsidR="00CB5D7E">
        <w:t xml:space="preserve">  (Pen. Code, § 1473.7, subd</w:t>
      </w:r>
      <w:r w:rsidRPr="00B47553" w:rsidR="004612C4">
        <w:t>.</w:t>
      </w:r>
      <w:r w:rsidR="004612C4">
        <w:t> </w:t>
      </w:r>
      <w:r w:rsidRPr="00B47553" w:rsidR="00CB5D7E">
        <w:t>(a)(1)</w:t>
      </w:r>
      <w:r w:rsidRPr="00B47553" w:rsidR="007402CF">
        <w:t xml:space="preserve">; </w:t>
      </w:r>
      <w:r w:rsidRPr="00B47553" w:rsidR="007402CF">
        <w:rPr>
          <w:i/>
          <w:iCs/>
        </w:rPr>
        <w:t>id.</w:t>
      </w:r>
      <w:r w:rsidRPr="00B47553" w:rsidR="007402CF">
        <w:t>, subd</w:t>
      </w:r>
      <w:r w:rsidRPr="00B47553" w:rsidR="000F05B0">
        <w:t>.</w:t>
      </w:r>
      <w:r w:rsidR="000F05B0">
        <w:t> </w:t>
      </w:r>
      <w:r w:rsidRPr="00B47553" w:rsidR="00CB5D7E">
        <w:t xml:space="preserve">(e)(1); all undesignated statutory references are to this </w:t>
      </w:r>
      <w:r w:rsidR="00115088">
        <w:t>c</w:t>
      </w:r>
      <w:r w:rsidRPr="00B47553" w:rsidR="00CB5D7E">
        <w:t>ode.)</w:t>
      </w:r>
      <w:r w:rsidRPr="00B47553" w:rsidR="00BE1A92">
        <w:t xml:space="preserve">  </w:t>
      </w:r>
      <w:r w:rsidRPr="00B47553" w:rsidR="00872365">
        <w:t>To establish prejudic</w:t>
      </w:r>
      <w:r w:rsidRPr="00B47553" w:rsidR="00B96BF4">
        <w:t>ial error</w:t>
      </w:r>
      <w:r w:rsidRPr="00B47553" w:rsidR="00872365">
        <w:t xml:space="preserve">, a </w:t>
      </w:r>
      <w:r w:rsidR="00D3760B">
        <w:t>defendant</w:t>
      </w:r>
      <w:r w:rsidRPr="00B47553" w:rsidR="00872365">
        <w:t xml:space="preserve"> must demonstrate a </w:t>
      </w:r>
      <w:r w:rsidRPr="00B47553" w:rsidR="00B51159">
        <w:t>“</w:t>
      </w:r>
      <w:r w:rsidRPr="00B47553" w:rsidR="00872365">
        <w:t xml:space="preserve">reasonable </w:t>
      </w:r>
      <w:bookmarkStart w:id="9" w:name="_Hlk120877625"/>
      <w:r w:rsidRPr="00B47553" w:rsidR="00872365">
        <w:t xml:space="preserve">probability that </w:t>
      </w:r>
      <w:r w:rsidR="00115088">
        <w:t>the defendant</w:t>
      </w:r>
      <w:r w:rsidRPr="00B47553" w:rsidR="00872365">
        <w:t xml:space="preserve"> </w:t>
      </w:r>
      <w:r w:rsidRPr="00B47553" w:rsidR="00681CB4">
        <w:t xml:space="preserve">would have rejected the plea if </w:t>
      </w:r>
      <w:r w:rsidR="00115088">
        <w:t>the defendant</w:t>
      </w:r>
      <w:r w:rsidRPr="00B47553" w:rsidR="00681CB4">
        <w:t xml:space="preserve"> had correctly understood its actual or potential immigration consequences</w:t>
      </w:r>
      <w:bookmarkEnd w:id="9"/>
      <w:r w:rsidRPr="00B47553" w:rsidR="00681CB4">
        <w:t xml:space="preserve">” </w:t>
      </w:r>
      <w:bookmarkStart w:id="10" w:name="_Hlk114578534"/>
      <w:r w:rsidRPr="00B47553" w:rsidR="00681CB4">
        <w:t>(</w:t>
      </w:r>
      <w:r w:rsidRPr="00B47553" w:rsidR="00681CB4">
        <w:rPr>
          <w:i/>
          <w:iCs/>
        </w:rPr>
        <w:t>People v. Vivar</w:t>
      </w:r>
      <w:r w:rsidRPr="00B47553" w:rsidR="00681CB4">
        <w:t xml:space="preserve"> (2021) 11 Cal.5th 510, 5</w:t>
      </w:r>
      <w:r w:rsidRPr="00B47553" w:rsidR="007221FC">
        <w:t>29</w:t>
      </w:r>
      <w:r w:rsidRPr="00B47553" w:rsidR="0052460C">
        <w:t xml:space="preserve"> (</w:t>
      </w:r>
      <w:r w:rsidRPr="00B47553" w:rsidR="00EB5B6D">
        <w:rPr>
          <w:i/>
          <w:iCs/>
        </w:rPr>
        <w:t>Vivar</w:t>
      </w:r>
      <w:r w:rsidRPr="00B47553" w:rsidR="00EB5B6D">
        <w:t>)</w:t>
      </w:r>
      <w:r w:rsidRPr="00B47553" w:rsidR="00681CB4">
        <w:t>)</w:t>
      </w:r>
      <w:bookmarkEnd w:id="10"/>
      <w:r w:rsidRPr="00B47553" w:rsidR="007221FC">
        <w:t xml:space="preserve"> </w:t>
      </w:r>
      <w:r w:rsidRPr="00B47553" w:rsidR="0030517E">
        <w:t xml:space="preserve">and </w:t>
      </w:r>
      <w:r w:rsidRPr="00B47553" w:rsidR="00657A31">
        <w:t xml:space="preserve">must </w:t>
      </w:r>
      <w:r w:rsidRPr="00B47553" w:rsidR="007221FC">
        <w:t xml:space="preserve">corroborate </w:t>
      </w:r>
      <w:r w:rsidR="00E277B8">
        <w:t>any</w:t>
      </w:r>
      <w:r w:rsidRPr="00B47553" w:rsidR="000D4BCE">
        <w:t xml:space="preserve"> </w:t>
      </w:r>
      <w:r w:rsidRPr="00B47553" w:rsidR="007221FC">
        <w:t xml:space="preserve">assertions with </w:t>
      </w:r>
      <w:r w:rsidRPr="00B47553" w:rsidR="008B42F1">
        <w:t>“ </w:t>
      </w:r>
      <w:r w:rsidRPr="00B47553" w:rsidR="007221FC">
        <w:t xml:space="preserve">‘ “objective evidence” ’ ” </w:t>
      </w:r>
      <w:r w:rsidRPr="00B47553" w:rsidR="008B42F1">
        <w:t>(</w:t>
      </w:r>
      <w:r w:rsidRPr="00B47553" w:rsidR="0030517E">
        <w:rPr>
          <w:i/>
          <w:iCs/>
        </w:rPr>
        <w:t>i</w:t>
      </w:r>
      <w:r w:rsidRPr="00B47553" w:rsidR="008B42F1">
        <w:rPr>
          <w:i/>
          <w:iCs/>
        </w:rPr>
        <w:t>d.</w:t>
      </w:r>
      <w:r w:rsidRPr="00B47553" w:rsidR="008B42F1">
        <w:t xml:space="preserve"> at p. 530</w:t>
      </w:r>
      <w:r w:rsidR="00715F47">
        <w:t>)</w:t>
      </w:r>
      <w:r w:rsidR="00115088">
        <w:t>.</w:t>
      </w:r>
      <w:r w:rsidR="00CB779C">
        <w:t xml:space="preserve">  </w:t>
      </w:r>
      <w:r w:rsidR="004B123C">
        <w:t xml:space="preserve">We note that </w:t>
      </w:r>
      <w:r w:rsidR="005F1742">
        <w:t xml:space="preserve">a </w:t>
      </w:r>
      <w:r w:rsidR="004B123C">
        <w:t>motion to vacate a conviction, in contrast to a direct appellate challenge to the plea itself, is generally filed, as here, after “the individual filing the motion is no longer in criminal custody.”  (§ 1473.7, subd</w:t>
      </w:r>
      <w:r w:rsidR="00E277B8">
        <w:t>. </w:t>
      </w:r>
      <w:r w:rsidR="004B123C">
        <w:t>(b)(1).)</w:t>
      </w:r>
    </w:p>
    <w:p w:rsidR="00C93367" w:rsidRPr="00B47553" w:rsidP="00F41D07">
      <w:pPr>
        <w:tabs>
          <w:tab w:val="left" w:pos="1440"/>
        </w:tabs>
        <w:ind w:firstLine="720"/>
      </w:pPr>
      <w:r>
        <w:t xml:space="preserve">Defendant </w:t>
      </w:r>
      <w:r w:rsidRPr="00B47553" w:rsidR="00BD438E">
        <w:t>Juventino Espinoza</w:t>
      </w:r>
      <w:r w:rsidRPr="00B47553" w:rsidR="00576F94">
        <w:t xml:space="preserve"> </w:t>
      </w:r>
      <w:r w:rsidRPr="00B47553" w:rsidR="00A543CC">
        <w:t>accepted a plea</w:t>
      </w:r>
      <w:r w:rsidRPr="00B47553" w:rsidR="008F0D9F">
        <w:t xml:space="preserve"> bargain</w:t>
      </w:r>
      <w:r w:rsidRPr="00B47553" w:rsidR="00A543CC">
        <w:t xml:space="preserve"> in 2004 </w:t>
      </w:r>
      <w:r w:rsidRPr="00B47553" w:rsidR="00AC6786">
        <w:t xml:space="preserve">and served one year in jail.  </w:t>
      </w:r>
      <w:r w:rsidR="0034760A">
        <w:t>He argues</w:t>
      </w:r>
      <w:r w:rsidR="008F606A">
        <w:t xml:space="preserve"> that h</w:t>
      </w:r>
      <w:r w:rsidRPr="00B47553" w:rsidR="008F606A">
        <w:t xml:space="preserve">e </w:t>
      </w:r>
      <w:r w:rsidRPr="00B47553" w:rsidR="008F0D9F">
        <w:t xml:space="preserve">first learned that the plea </w:t>
      </w:r>
      <w:r w:rsidRPr="00B47553" w:rsidR="00283B29">
        <w:t>put him at risk of losing his permanent resident status and being deported</w:t>
      </w:r>
      <w:r w:rsidRPr="00B47553" w:rsidR="008F0D9F">
        <w:t xml:space="preserve"> </w:t>
      </w:r>
      <w:r w:rsidRPr="00B47553" w:rsidR="008F0D9F">
        <w:t>i</w:t>
      </w:r>
      <w:r w:rsidRPr="00B47553" w:rsidR="006D05CB">
        <w:t xml:space="preserve">n 2015, </w:t>
      </w:r>
      <w:r w:rsidR="00FD6234">
        <w:t>when</w:t>
      </w:r>
      <w:r w:rsidRPr="00B47553" w:rsidR="008F0D9F">
        <w:t xml:space="preserve"> </w:t>
      </w:r>
      <w:r w:rsidRPr="00B47553" w:rsidR="006D05CB">
        <w:t xml:space="preserve">he was detained </w:t>
      </w:r>
      <w:r w:rsidRPr="00B47553" w:rsidR="00143203">
        <w:t xml:space="preserve">by federal immigration authorities </w:t>
      </w:r>
      <w:r w:rsidRPr="00B47553" w:rsidR="008F0D9F">
        <w:t xml:space="preserve">at the airport </w:t>
      </w:r>
      <w:r w:rsidR="00876A08">
        <w:t xml:space="preserve">after a </w:t>
      </w:r>
      <w:r>
        <w:t xml:space="preserve">return </w:t>
      </w:r>
      <w:r w:rsidR="00876A08">
        <w:t>flight</w:t>
      </w:r>
      <w:r w:rsidRPr="00B47553" w:rsidR="008F0D9F">
        <w:t xml:space="preserve"> </w:t>
      </w:r>
      <w:r w:rsidRPr="00B47553" w:rsidR="00CA2EAC">
        <w:t>to the United States</w:t>
      </w:r>
      <w:r w:rsidRPr="00B47553" w:rsidR="006D05CB">
        <w:t xml:space="preserve">.  He then sought </w:t>
      </w:r>
      <w:r w:rsidRPr="00B47553" w:rsidR="001149AC">
        <w:t>to vacate his conviction</w:t>
      </w:r>
      <w:r w:rsidRPr="00261333" w:rsidR="00261333">
        <w:t xml:space="preserve"> </w:t>
      </w:r>
      <w:r w:rsidRPr="00B47553" w:rsidR="00261333">
        <w:t>three separate times</w:t>
      </w:r>
      <w:r w:rsidRPr="00B47553" w:rsidR="00640C85">
        <w:t xml:space="preserve">.  </w:t>
      </w:r>
      <w:r w:rsidRPr="00B47553" w:rsidR="00890592">
        <w:t>H</w:t>
      </w:r>
      <w:r w:rsidRPr="00B47553" w:rsidR="00B95B7E">
        <w:t xml:space="preserve">e </w:t>
      </w:r>
      <w:r w:rsidR="001251EA">
        <w:t>asserts</w:t>
      </w:r>
      <w:r w:rsidRPr="00B47553" w:rsidR="00B95B7E">
        <w:t xml:space="preserve"> </w:t>
      </w:r>
      <w:r w:rsidR="0034760A">
        <w:t>counsel</w:t>
      </w:r>
      <w:r w:rsidRPr="00B47553" w:rsidR="00B275C0">
        <w:t xml:space="preserve"> never </w:t>
      </w:r>
      <w:r w:rsidRPr="00B47553" w:rsidR="00B275C0">
        <w:t xml:space="preserve">informed </w:t>
      </w:r>
      <w:r w:rsidR="0034760A">
        <w:t xml:space="preserve">him </w:t>
      </w:r>
      <w:r w:rsidRPr="00B47553" w:rsidR="00B275C0">
        <w:t xml:space="preserve">of the immigration consequences of his plea and </w:t>
      </w:r>
      <w:r w:rsidR="0034760A">
        <w:t xml:space="preserve">that he </w:t>
      </w:r>
      <w:r w:rsidRPr="00B47553" w:rsidR="00B275C0">
        <w:t xml:space="preserve">would not have accepted </w:t>
      </w:r>
      <w:r w:rsidRPr="00B47553" w:rsidR="00584CE2">
        <w:t xml:space="preserve">the </w:t>
      </w:r>
      <w:r w:rsidRPr="00B47553" w:rsidR="00FC79B8">
        <w:t xml:space="preserve">terms </w:t>
      </w:r>
      <w:r w:rsidRPr="00B47553" w:rsidR="00584CE2">
        <w:t xml:space="preserve">of the plea bargain </w:t>
      </w:r>
      <w:r w:rsidRPr="00B47553" w:rsidR="00FC79B8">
        <w:t xml:space="preserve">if he had </w:t>
      </w:r>
      <w:r w:rsidRPr="00B47553" w:rsidR="0058230C">
        <w:t>been</w:t>
      </w:r>
      <w:r w:rsidR="0034760A">
        <w:t xml:space="preserve"> so informed</w:t>
      </w:r>
      <w:r w:rsidRPr="00B47553" w:rsidR="0058230C">
        <w:t>.</w:t>
      </w:r>
      <w:r w:rsidRPr="00B47553" w:rsidR="00FC79B8">
        <w:t xml:space="preserve"> </w:t>
      </w:r>
      <w:r w:rsidRPr="00B47553" w:rsidR="0058230C">
        <w:t xml:space="preserve"> </w:t>
      </w:r>
      <w:r w:rsidRPr="00B47553" w:rsidR="004300AE">
        <w:t xml:space="preserve">In support of his third motion, before us now, Espinoza </w:t>
      </w:r>
      <w:r w:rsidRPr="00B47553" w:rsidR="00B44A91">
        <w:t xml:space="preserve">attached a declaration </w:t>
      </w:r>
      <w:r w:rsidRPr="00B47553" w:rsidR="002C1DF1">
        <w:t>describing his biographical history</w:t>
      </w:r>
      <w:r w:rsidRPr="00B47553" w:rsidR="00657A31">
        <w:t>, which</w:t>
      </w:r>
      <w:r w:rsidRPr="00B47553" w:rsidR="00E96F4B">
        <w:t xml:space="preserve"> includ</w:t>
      </w:r>
      <w:r w:rsidRPr="00B47553" w:rsidR="00657A31">
        <w:t>es</w:t>
      </w:r>
      <w:r w:rsidRPr="00B47553" w:rsidR="00E96F4B">
        <w:t xml:space="preserve"> more than 20 years </w:t>
      </w:r>
      <w:r w:rsidRPr="00B47553" w:rsidR="00657A31">
        <w:t xml:space="preserve">living </w:t>
      </w:r>
      <w:r w:rsidRPr="00B47553" w:rsidR="00E96F4B">
        <w:t>in the United States prior to conviction</w:t>
      </w:r>
      <w:r w:rsidRPr="00B47553" w:rsidR="002C1DF1">
        <w:t xml:space="preserve">; a declaration </w:t>
      </w:r>
      <w:r w:rsidRPr="00B47553" w:rsidR="00B44A91">
        <w:t>from an immigration attorney</w:t>
      </w:r>
      <w:r w:rsidRPr="00B47553" w:rsidR="00FF273D">
        <w:t xml:space="preserve"> explaining </w:t>
      </w:r>
      <w:r w:rsidRPr="00B47553" w:rsidR="00A04662">
        <w:t xml:space="preserve">that </w:t>
      </w:r>
      <w:r w:rsidRPr="00B47553" w:rsidR="0034051A">
        <w:t>Espinoza’s</w:t>
      </w:r>
      <w:r w:rsidRPr="00B47553" w:rsidR="00A04662">
        <w:t xml:space="preserve"> convictions place him in danger of </w:t>
      </w:r>
      <w:r w:rsidR="00FA7898">
        <w:t>losing</w:t>
      </w:r>
      <w:r w:rsidRPr="00B47553" w:rsidR="00382F6A">
        <w:t xml:space="preserve"> his permanent residence, </w:t>
      </w:r>
      <w:r w:rsidR="00FA7898">
        <w:t xml:space="preserve">being </w:t>
      </w:r>
      <w:r w:rsidRPr="00B47553" w:rsidR="00382F6A">
        <w:t xml:space="preserve">deported, and </w:t>
      </w:r>
      <w:r w:rsidR="00FA7898">
        <w:t xml:space="preserve">being </w:t>
      </w:r>
      <w:r w:rsidRPr="00B47553" w:rsidR="00382F6A">
        <w:t>barred from reentering the United States</w:t>
      </w:r>
      <w:r w:rsidR="00FC719E">
        <w:t>,</w:t>
      </w:r>
      <w:r w:rsidRPr="00B47553" w:rsidR="00382F6A">
        <w:t xml:space="preserve"> </w:t>
      </w:r>
      <w:r w:rsidRPr="00B47553" w:rsidR="00A04662">
        <w:t xml:space="preserve">and that there were </w:t>
      </w:r>
      <w:r w:rsidRPr="00B47553" w:rsidR="00283B29">
        <w:t>immigration-</w:t>
      </w:r>
      <w:r w:rsidRPr="00B47553" w:rsidR="00A04662">
        <w:t>safe alternatives</w:t>
      </w:r>
      <w:r w:rsidRPr="00B47553" w:rsidR="0034051A">
        <w:t xml:space="preserve"> his counsel could have pursued</w:t>
      </w:r>
      <w:r w:rsidRPr="00B47553" w:rsidR="00E96F4B">
        <w:t>;</w:t>
      </w:r>
      <w:r w:rsidRPr="00B47553" w:rsidR="00EA7BBF">
        <w:t xml:space="preserve"> and </w:t>
      </w:r>
      <w:r w:rsidRPr="00B47553" w:rsidR="00907CB1">
        <w:t xml:space="preserve">30 letters from family, friends, community members, </w:t>
      </w:r>
      <w:r w:rsidRPr="00B47553" w:rsidR="008D4168">
        <w:t>clients</w:t>
      </w:r>
      <w:r w:rsidRPr="00B47553" w:rsidR="00697084">
        <w:t>,</w:t>
      </w:r>
      <w:r w:rsidRPr="00B47553" w:rsidR="008D4168">
        <w:t xml:space="preserve"> and employers </w:t>
      </w:r>
      <w:r w:rsidRPr="00B47553" w:rsidR="00907CB1">
        <w:t xml:space="preserve">documenting </w:t>
      </w:r>
      <w:r w:rsidRPr="00B47553" w:rsidR="00674890">
        <w:t>his family ties</w:t>
      </w:r>
      <w:r w:rsidRPr="00B47553" w:rsidR="00697084">
        <w:t xml:space="preserve">, </w:t>
      </w:r>
      <w:r w:rsidRPr="00B47553" w:rsidR="00674890">
        <w:t>community</w:t>
      </w:r>
      <w:r w:rsidRPr="00B47553" w:rsidR="00657A31">
        <w:t xml:space="preserve"> connections</w:t>
      </w:r>
      <w:r w:rsidRPr="00B47553" w:rsidR="00697084">
        <w:t>, and work history</w:t>
      </w:r>
      <w:r w:rsidRPr="00B47553" w:rsidR="00674890">
        <w:t>.</w:t>
      </w:r>
      <w:r w:rsidRPr="00B47553" w:rsidR="00B44A91">
        <w:t xml:space="preserve"> </w:t>
      </w:r>
      <w:r w:rsidRPr="00B47553" w:rsidR="00674890">
        <w:t xml:space="preserve"> </w:t>
      </w:r>
      <w:r w:rsidRPr="00B47553" w:rsidR="00640C85">
        <w:t xml:space="preserve">The </w:t>
      </w:r>
      <w:r w:rsidRPr="00B47553" w:rsidR="00721F60">
        <w:t xml:space="preserve">trial court denied </w:t>
      </w:r>
      <w:r w:rsidRPr="00B47553" w:rsidR="00A956E6">
        <w:t>his motion, as it had his previous two</w:t>
      </w:r>
      <w:r w:rsidRPr="00B47553" w:rsidR="00DB216F">
        <w:t>.  T</w:t>
      </w:r>
      <w:r w:rsidRPr="00B47553" w:rsidR="00721F60">
        <w:t xml:space="preserve">he </w:t>
      </w:r>
      <w:r w:rsidRPr="00B47553" w:rsidR="00640C85">
        <w:t xml:space="preserve">Court of Appeal </w:t>
      </w:r>
      <w:r w:rsidRPr="00B47553" w:rsidR="00721F60">
        <w:t xml:space="preserve">affirmed, </w:t>
      </w:r>
      <w:r w:rsidRPr="00B47553" w:rsidR="006E2E15">
        <w:t xml:space="preserve">concluding </w:t>
      </w:r>
      <w:r w:rsidRPr="00B47553" w:rsidR="00640C85">
        <w:t xml:space="preserve">that </w:t>
      </w:r>
      <w:r w:rsidRPr="00B47553" w:rsidR="001D736F">
        <w:t xml:space="preserve">Espinoza </w:t>
      </w:r>
      <w:r w:rsidRPr="00B47553" w:rsidR="00101CFC">
        <w:t>had</w:t>
      </w:r>
      <w:r w:rsidRPr="00B47553" w:rsidR="00CF1953">
        <w:t xml:space="preserve"> not </w:t>
      </w:r>
      <w:r w:rsidRPr="00B47553" w:rsidR="001D736F">
        <w:t>adequately corroborate</w:t>
      </w:r>
      <w:r w:rsidRPr="00B47553" w:rsidR="00101CFC">
        <w:t>d</w:t>
      </w:r>
      <w:r w:rsidRPr="00B47553" w:rsidR="001D736F">
        <w:t xml:space="preserve"> his claim</w:t>
      </w:r>
      <w:r w:rsidRPr="00B47553" w:rsidR="00101CFC">
        <w:t xml:space="preserve"> that</w:t>
      </w:r>
      <w:r w:rsidRPr="00B47553" w:rsidR="004D434D">
        <w:t xml:space="preserve"> immigration consequences were a </w:t>
      </w:r>
      <w:r w:rsidRPr="00B47553" w:rsidR="00B87BB9">
        <w:t>paramount</w:t>
      </w:r>
      <w:r w:rsidRPr="00B47553" w:rsidR="004D434D">
        <w:t xml:space="preserve"> concern</w:t>
      </w:r>
      <w:r w:rsidRPr="00B47553" w:rsidR="00A35B08">
        <w:t xml:space="preserve"> at the time of his plea</w:t>
      </w:r>
      <w:r w:rsidRPr="00B47553" w:rsidR="00B864EF">
        <w:t xml:space="preserve">. </w:t>
      </w:r>
    </w:p>
    <w:p w:rsidR="00481801" w:rsidRPr="00B47553" w:rsidP="00F41D07">
      <w:pPr>
        <w:tabs>
          <w:tab w:val="left" w:pos="1440"/>
        </w:tabs>
        <w:ind w:firstLine="720"/>
      </w:pPr>
      <w:r w:rsidRPr="00B47553">
        <w:t xml:space="preserve">We granted review to </w:t>
      </w:r>
      <w:r w:rsidR="007534F5">
        <w:t xml:space="preserve">consider </w:t>
      </w:r>
      <w:r w:rsidRPr="00B47553" w:rsidR="00382F6A">
        <w:t>what constitutes a</w:t>
      </w:r>
      <w:r w:rsidRPr="00B47553" w:rsidR="000C5379">
        <w:t xml:space="preserve"> sufficient showing </w:t>
      </w:r>
      <w:r w:rsidRPr="00B47553" w:rsidR="00382F6A">
        <w:t>of prejudic</w:t>
      </w:r>
      <w:r w:rsidRPr="00B47553" w:rsidR="00A762FB">
        <w:t>ial</w:t>
      </w:r>
      <w:r w:rsidRPr="00B47553" w:rsidR="00382F6A">
        <w:t xml:space="preserve"> </w:t>
      </w:r>
      <w:r w:rsidRPr="00B47553" w:rsidR="00443578">
        <w:t xml:space="preserve">error </w:t>
      </w:r>
      <w:r w:rsidRPr="00B47553" w:rsidR="00552515">
        <w:t xml:space="preserve">within the meaning of </w:t>
      </w:r>
      <w:r w:rsidRPr="00B47553" w:rsidR="000C5379">
        <w:t>section 1473.7</w:t>
      </w:r>
      <w:r w:rsidRPr="00B47553" w:rsidR="00EE73FD">
        <w:t xml:space="preserve">.  </w:t>
      </w:r>
      <w:r w:rsidRPr="00B47553" w:rsidR="00BF146D">
        <w:t xml:space="preserve">We limited the issue </w:t>
      </w:r>
      <w:r w:rsidR="007534F5">
        <w:t>before us</w:t>
      </w:r>
      <w:r w:rsidRPr="00B47553" w:rsidR="00BF146D">
        <w:t xml:space="preserve"> to the following:  “Did the Court of Appeal err in ruling that defendant failed to adequately corroborate his claim that immigration consequences were a paramount concern and thus that he could not demonstrate prejudice within the meaning of Penal Code section 1473.7?”  </w:t>
      </w:r>
      <w:r w:rsidRPr="00B47553" w:rsidR="00AA77CF">
        <w:t>We</w:t>
      </w:r>
      <w:r w:rsidRPr="00B47553" w:rsidR="00114133">
        <w:t xml:space="preserve"> hold </w:t>
      </w:r>
      <w:r w:rsidRPr="00B47553" w:rsidR="004914E7">
        <w:t xml:space="preserve">that </w:t>
      </w:r>
      <w:r w:rsidRPr="00B47553" w:rsidR="00BF146D">
        <w:t xml:space="preserve">Espinoza </w:t>
      </w:r>
      <w:r w:rsidRPr="00B47553" w:rsidR="00114133">
        <w:t>has</w:t>
      </w:r>
      <w:r w:rsidRPr="00B47553" w:rsidR="00552515">
        <w:t xml:space="preserve"> </w:t>
      </w:r>
      <w:r w:rsidRPr="00B47553" w:rsidR="00BF146D">
        <w:t xml:space="preserve">made the requisite showing </w:t>
      </w:r>
      <w:r w:rsidRPr="00B47553" w:rsidR="00552515">
        <w:t>and</w:t>
      </w:r>
      <w:r w:rsidRPr="00B47553" w:rsidR="00B4005C">
        <w:t xml:space="preserve"> </w:t>
      </w:r>
      <w:r w:rsidRPr="00B47553" w:rsidR="00657A31">
        <w:t xml:space="preserve">accordingly </w:t>
      </w:r>
      <w:r w:rsidRPr="00B47553" w:rsidR="00552515">
        <w:t xml:space="preserve">reverse </w:t>
      </w:r>
      <w:r w:rsidR="00B20AA1">
        <w:t>the judgment of the Court of Appeal</w:t>
      </w:r>
      <w:r w:rsidRPr="00B47553" w:rsidR="00552515">
        <w:t>.</w:t>
      </w:r>
    </w:p>
    <w:p w:rsidR="000162CD" w:rsidRPr="00B47553" w:rsidP="00F41D07">
      <w:pPr>
        <w:keepNext/>
        <w:tabs>
          <w:tab w:val="left" w:pos="1440"/>
        </w:tabs>
        <w:jc w:val="center"/>
        <w:rPr>
          <w:b/>
          <w:bCs/>
        </w:rPr>
      </w:pPr>
      <w:r w:rsidRPr="00B47553">
        <w:rPr>
          <w:b/>
          <w:bCs/>
        </w:rPr>
        <w:t>I</w:t>
      </w:r>
      <w:r w:rsidRPr="00B47553">
        <w:t>.</w:t>
      </w:r>
    </w:p>
    <w:p w:rsidR="00FB1075" w:rsidRPr="00B47553" w:rsidP="00B47553">
      <w:pPr>
        <w:keepNext/>
        <w:ind w:firstLine="720"/>
      </w:pPr>
      <w:r w:rsidRPr="00B47553">
        <w:t xml:space="preserve">Espinoza </w:t>
      </w:r>
      <w:r w:rsidRPr="00B47553" w:rsidR="00096394">
        <w:t xml:space="preserve">migrated </w:t>
      </w:r>
      <w:r w:rsidRPr="00B47553" w:rsidR="00ED4E3C">
        <w:t xml:space="preserve">from Mexico </w:t>
      </w:r>
      <w:r w:rsidRPr="00B47553" w:rsidR="00096394">
        <w:t xml:space="preserve">to </w:t>
      </w:r>
      <w:r w:rsidRPr="00B47553" w:rsidR="008A2A9E">
        <w:t xml:space="preserve">Northern </w:t>
      </w:r>
      <w:r w:rsidRPr="00B47553" w:rsidR="00CE06BD">
        <w:t xml:space="preserve">California </w:t>
      </w:r>
      <w:r w:rsidRPr="00B47553" w:rsidR="00096394">
        <w:t>in 1981, when he was 13</w:t>
      </w:r>
      <w:r w:rsidR="00D1779D">
        <w:t xml:space="preserve"> </w:t>
      </w:r>
      <w:r w:rsidRPr="00B47553" w:rsidR="00096394">
        <w:t>year</w:t>
      </w:r>
      <w:r w:rsidR="00D1779D">
        <w:t xml:space="preserve">s </w:t>
      </w:r>
      <w:r w:rsidRPr="00B47553" w:rsidR="00096394">
        <w:t xml:space="preserve">old.  </w:t>
      </w:r>
      <w:r w:rsidRPr="00B47553" w:rsidR="00EE7708">
        <w:t xml:space="preserve">After arriving in </w:t>
      </w:r>
      <w:r w:rsidRPr="00B47553" w:rsidR="008A2A9E">
        <w:t xml:space="preserve">Oroville, he </w:t>
      </w:r>
      <w:r w:rsidR="00D1779D">
        <w:t>earned wages</w:t>
      </w:r>
      <w:r w:rsidRPr="00B47553" w:rsidR="008A2A9E">
        <w:t xml:space="preserve"> </w:t>
      </w:r>
      <w:r w:rsidRPr="00B47553" w:rsidR="00B26346">
        <w:t>as a</w:t>
      </w:r>
      <w:r w:rsidR="00D1779D">
        <w:t xml:space="preserve"> farmworker </w:t>
      </w:r>
      <w:r w:rsidRPr="00B47553" w:rsidR="008A2A9E">
        <w:t xml:space="preserve">to support his </w:t>
      </w:r>
      <w:r w:rsidRPr="00B47553" w:rsidR="00B767FD">
        <w:t>parents</w:t>
      </w:r>
      <w:r w:rsidRPr="00B47553" w:rsidR="00233115">
        <w:t xml:space="preserve"> and siblings</w:t>
      </w:r>
      <w:r w:rsidRPr="00B47553" w:rsidR="008A2A9E">
        <w:t xml:space="preserve">.  In </w:t>
      </w:r>
      <w:r w:rsidRPr="00B47553" w:rsidR="0076182A">
        <w:t>1986</w:t>
      </w:r>
      <w:r w:rsidRPr="00B47553" w:rsidR="008A2A9E">
        <w:t xml:space="preserve">, </w:t>
      </w:r>
      <w:r w:rsidRPr="00B47553" w:rsidR="00FB2FD9">
        <w:t xml:space="preserve">when </w:t>
      </w:r>
      <w:r w:rsidRPr="00B47553" w:rsidR="008A2A9E">
        <w:t xml:space="preserve">Espinoza </w:t>
      </w:r>
      <w:r w:rsidRPr="00B47553" w:rsidR="00FB2FD9">
        <w:t xml:space="preserve">turned 18, he </w:t>
      </w:r>
      <w:r w:rsidRPr="00B47553" w:rsidR="008A2A9E">
        <w:t xml:space="preserve">became a </w:t>
      </w:r>
      <w:r w:rsidR="00492F7C">
        <w:t>lawful</w:t>
      </w:r>
      <w:r w:rsidRPr="00B47553" w:rsidR="00492F7C">
        <w:t xml:space="preserve"> </w:t>
      </w:r>
      <w:r w:rsidRPr="00B47553" w:rsidR="008A2A9E">
        <w:t>permanent resident</w:t>
      </w:r>
      <w:r w:rsidRPr="00B47553" w:rsidR="000A27AA">
        <w:t xml:space="preserve">.  </w:t>
      </w:r>
      <w:r w:rsidR="002A72BB">
        <w:t>W</w:t>
      </w:r>
      <w:r w:rsidRPr="00B47553" w:rsidR="00783E3B">
        <w:t>hen Espinoza was 22 years old,</w:t>
      </w:r>
      <w:r w:rsidRPr="00B47553" w:rsidR="00B43B51">
        <w:t xml:space="preserve"> he married Sandra Rose.  The couple </w:t>
      </w:r>
      <w:r w:rsidRPr="00B47553" w:rsidR="00ED3D64">
        <w:t>had six children together</w:t>
      </w:r>
      <w:r w:rsidRPr="00B47553" w:rsidR="00A618BD">
        <w:t xml:space="preserve">.  </w:t>
      </w:r>
      <w:r w:rsidRPr="00B47553" w:rsidR="00C850BC">
        <w:t xml:space="preserve">Espinoza’s </w:t>
      </w:r>
      <w:r w:rsidRPr="00B47553" w:rsidR="008122F5">
        <w:t xml:space="preserve">wife and </w:t>
      </w:r>
      <w:r w:rsidRPr="00B47553" w:rsidR="00FC33CD">
        <w:t xml:space="preserve">children </w:t>
      </w:r>
      <w:r w:rsidRPr="00B47553" w:rsidR="00C850BC">
        <w:t xml:space="preserve">are </w:t>
      </w:r>
      <w:r w:rsidR="001F2F7E">
        <w:t xml:space="preserve">United </w:t>
      </w:r>
      <w:r w:rsidRPr="00B47553" w:rsidR="00C850BC">
        <w:t>S</w:t>
      </w:r>
      <w:r w:rsidR="001F2F7E">
        <w:t>tates</w:t>
      </w:r>
      <w:r w:rsidRPr="00B47553" w:rsidR="00C850BC">
        <w:t xml:space="preserve"> citizens</w:t>
      </w:r>
      <w:r w:rsidRPr="00B47553" w:rsidR="00D26F69">
        <w:t xml:space="preserve"> and have resided in </w:t>
      </w:r>
      <w:r w:rsidRPr="00B47553" w:rsidR="00D44752">
        <w:t>California</w:t>
      </w:r>
      <w:r w:rsidRPr="00B47553" w:rsidR="0076182A">
        <w:t xml:space="preserve"> </w:t>
      </w:r>
      <w:r w:rsidRPr="00B47553" w:rsidR="00D44752">
        <w:t xml:space="preserve">for </w:t>
      </w:r>
      <w:r w:rsidRPr="00B47553" w:rsidR="00D26F69">
        <w:t>their entire lives</w:t>
      </w:r>
      <w:r w:rsidRPr="00B47553" w:rsidR="00C850BC">
        <w:t>.</w:t>
      </w:r>
      <w:r w:rsidRPr="00B47553" w:rsidR="005A6B8F">
        <w:t xml:space="preserve"> </w:t>
      </w:r>
      <w:r w:rsidRPr="00B47553" w:rsidR="00D26F69">
        <w:t xml:space="preserve"> </w:t>
      </w:r>
      <w:r w:rsidRPr="00B47553" w:rsidR="00930750">
        <w:t xml:space="preserve">Espinoza’s </w:t>
      </w:r>
      <w:r w:rsidRPr="00B47553" w:rsidR="00407DBE">
        <w:t xml:space="preserve">elderly </w:t>
      </w:r>
      <w:r w:rsidRPr="00B47553" w:rsidR="00930750">
        <w:t>parents</w:t>
      </w:r>
      <w:r w:rsidRPr="00B47553" w:rsidR="00D44752">
        <w:t xml:space="preserve">, </w:t>
      </w:r>
      <w:r w:rsidRPr="00B47553" w:rsidR="00F119C8">
        <w:t>eight</w:t>
      </w:r>
      <w:r w:rsidRPr="00B47553" w:rsidR="007A4A4F">
        <w:t xml:space="preserve"> siblings</w:t>
      </w:r>
      <w:r w:rsidRPr="00B47553" w:rsidR="00D44752">
        <w:t>, grandchildren, and sons-in-law</w:t>
      </w:r>
      <w:r w:rsidRPr="00B47553" w:rsidR="007A4A4F">
        <w:t xml:space="preserve"> </w:t>
      </w:r>
      <w:r w:rsidRPr="00B47553" w:rsidR="00F40D01">
        <w:t xml:space="preserve">also </w:t>
      </w:r>
      <w:r w:rsidR="006C01BC">
        <w:t>live</w:t>
      </w:r>
      <w:r w:rsidRPr="00B47553" w:rsidR="006C01BC">
        <w:t xml:space="preserve"> </w:t>
      </w:r>
      <w:r w:rsidRPr="00B47553" w:rsidR="00ED3D64">
        <w:t>in</w:t>
      </w:r>
      <w:r w:rsidR="00D1779D">
        <w:t xml:space="preserve"> the</w:t>
      </w:r>
      <w:r w:rsidRPr="00B47553" w:rsidR="00ED3D64">
        <w:t xml:space="preserve"> </w:t>
      </w:r>
      <w:r w:rsidRPr="00B47553" w:rsidR="00D44752">
        <w:t xml:space="preserve">United States </w:t>
      </w:r>
      <w:r w:rsidRPr="00B47553" w:rsidR="00ED3D64">
        <w:t>and are either U</w:t>
      </w:r>
      <w:r w:rsidR="001F2F7E">
        <w:t xml:space="preserve">nited </w:t>
      </w:r>
      <w:r w:rsidRPr="00B47553" w:rsidR="00ED3D64">
        <w:t>S</w:t>
      </w:r>
      <w:r w:rsidR="001F2F7E">
        <w:t>tates</w:t>
      </w:r>
      <w:r w:rsidRPr="00B47553" w:rsidR="00ED3D64">
        <w:t xml:space="preserve"> citizens or </w:t>
      </w:r>
      <w:r w:rsidR="00492F7C">
        <w:t>lawful</w:t>
      </w:r>
      <w:r w:rsidRPr="00B47553" w:rsidR="00492F7C">
        <w:t xml:space="preserve"> </w:t>
      </w:r>
      <w:r w:rsidRPr="00B47553" w:rsidR="00ED3D64">
        <w:t>permanent residents</w:t>
      </w:r>
      <w:r w:rsidRPr="00B47553" w:rsidR="007A4A4F">
        <w:t>.  Espinoza has</w:t>
      </w:r>
      <w:r w:rsidRPr="00B47553" w:rsidR="00455130">
        <w:t xml:space="preserve"> now</w:t>
      </w:r>
      <w:r w:rsidRPr="00B47553" w:rsidR="007A4A4F">
        <w:t xml:space="preserve"> lived in </w:t>
      </w:r>
      <w:r w:rsidRPr="00B47553" w:rsidR="003D574D">
        <w:t xml:space="preserve">the United States for over four decades.  </w:t>
      </w:r>
    </w:p>
    <w:p w:rsidR="0062506E" w:rsidRPr="00B47553" w:rsidP="00B47553">
      <w:pPr>
        <w:keepNext/>
        <w:ind w:firstLine="720"/>
      </w:pPr>
      <w:r w:rsidRPr="00B47553">
        <w:t xml:space="preserve">Espinoza and </w:t>
      </w:r>
      <w:r w:rsidRPr="00B47553" w:rsidR="00761B3E">
        <w:t xml:space="preserve">his </w:t>
      </w:r>
      <w:r w:rsidRPr="00B47553" w:rsidR="00FF74D0">
        <w:t xml:space="preserve">wife </w:t>
      </w:r>
      <w:r w:rsidR="000F06DE">
        <w:t>created</w:t>
      </w:r>
      <w:r w:rsidRPr="00B47553" w:rsidR="00FF74D0">
        <w:t xml:space="preserve"> </w:t>
      </w:r>
      <w:r w:rsidRPr="00B47553">
        <w:t>a family</w:t>
      </w:r>
      <w:r w:rsidRPr="00B47553" w:rsidR="00E56062">
        <w:t xml:space="preserve"> and </w:t>
      </w:r>
      <w:r w:rsidRPr="00B47553" w:rsidR="00CE3ECB">
        <w:t xml:space="preserve">a </w:t>
      </w:r>
      <w:r w:rsidRPr="00B47553" w:rsidR="00E56062">
        <w:t>home together</w:t>
      </w:r>
      <w:r w:rsidRPr="00B47553" w:rsidR="00FF74D0">
        <w:t xml:space="preserve"> in California</w:t>
      </w:r>
      <w:r w:rsidRPr="00B47553">
        <w:t xml:space="preserve">.  </w:t>
      </w:r>
      <w:r w:rsidRPr="00B47553" w:rsidR="00765412">
        <w:t>The</w:t>
      </w:r>
      <w:r w:rsidRPr="00B47553" w:rsidR="005D448E">
        <w:t xml:space="preserve"> couple</w:t>
      </w:r>
      <w:r w:rsidRPr="00B47553" w:rsidR="00765412">
        <w:t xml:space="preserve"> bought </w:t>
      </w:r>
      <w:r w:rsidR="004D5B2A">
        <w:t xml:space="preserve">a </w:t>
      </w:r>
      <w:r w:rsidRPr="00B47553" w:rsidR="00CE3ECB">
        <w:t>ho</w:t>
      </w:r>
      <w:r w:rsidR="004D5B2A">
        <w:t>me</w:t>
      </w:r>
      <w:r w:rsidRPr="00B47553" w:rsidR="00CE3ECB">
        <w:t xml:space="preserve"> </w:t>
      </w:r>
      <w:r w:rsidRPr="00B47553" w:rsidR="00765412">
        <w:t xml:space="preserve">in Cutler, </w:t>
      </w:r>
      <w:r w:rsidRPr="00B47553" w:rsidR="00B520FA">
        <w:t>where they raised their children</w:t>
      </w:r>
      <w:r w:rsidRPr="00B47553" w:rsidR="00765412">
        <w:t xml:space="preserve">.  </w:t>
      </w:r>
      <w:r w:rsidRPr="00B47553" w:rsidR="00294E3E">
        <w:t xml:space="preserve">Their </w:t>
      </w:r>
      <w:r w:rsidRPr="00B47553" w:rsidR="00A844DE">
        <w:t>first-</w:t>
      </w:r>
      <w:r w:rsidRPr="00B47553" w:rsidR="00EF1BD8">
        <w:t>born</w:t>
      </w:r>
      <w:r w:rsidRPr="00B47553" w:rsidR="00484F0E">
        <w:t xml:space="preserve"> child</w:t>
      </w:r>
      <w:r w:rsidRPr="00B47553" w:rsidR="00920C44">
        <w:t xml:space="preserve">, </w:t>
      </w:r>
      <w:r w:rsidRPr="00B47553" w:rsidR="00484F0E">
        <w:t>Juventino Espinoza, Jr., graduate</w:t>
      </w:r>
      <w:r w:rsidRPr="00B47553" w:rsidR="000A27AA">
        <w:t>d</w:t>
      </w:r>
      <w:r w:rsidRPr="00B47553" w:rsidR="00484F0E">
        <w:t xml:space="preserve"> from Sierra Nevada College with a bachelor</w:t>
      </w:r>
      <w:r w:rsidR="00D1779D">
        <w:t>’</w:t>
      </w:r>
      <w:r w:rsidRPr="00B47553" w:rsidR="00484F0E">
        <w:t>s degree in psychology</w:t>
      </w:r>
      <w:r w:rsidRPr="00B47553" w:rsidR="007D7C69">
        <w:t xml:space="preserve"> and has </w:t>
      </w:r>
      <w:r w:rsidRPr="00B47553" w:rsidR="00FA349A">
        <w:t xml:space="preserve">plans to join the army to serve as a behavioral therapist </w:t>
      </w:r>
      <w:r w:rsidRPr="00B47553" w:rsidR="009C03C9">
        <w:t xml:space="preserve">for </w:t>
      </w:r>
      <w:r w:rsidRPr="00B47553" w:rsidR="00FA349A">
        <w:t>struggling soldiers</w:t>
      </w:r>
      <w:r w:rsidRPr="00B47553" w:rsidR="00484F0E">
        <w:t xml:space="preserve">.  </w:t>
      </w:r>
      <w:r w:rsidRPr="00B47553" w:rsidR="000A27AA">
        <w:t>Their</w:t>
      </w:r>
      <w:r w:rsidRPr="00B47553" w:rsidR="00F140CE">
        <w:t xml:space="preserve"> </w:t>
      </w:r>
      <w:r w:rsidRPr="00B47553" w:rsidR="00DC230E">
        <w:t xml:space="preserve">eldest </w:t>
      </w:r>
      <w:r w:rsidRPr="00B47553" w:rsidR="00F140CE">
        <w:t xml:space="preserve">daughter, Marisol Espinoza, graduated from Milan Institute in Fresno </w:t>
      </w:r>
      <w:r w:rsidRPr="00B47553" w:rsidR="009F2BE5">
        <w:t xml:space="preserve">as </w:t>
      </w:r>
      <w:r w:rsidR="0073663D">
        <w:t xml:space="preserve">a </w:t>
      </w:r>
      <w:r w:rsidRPr="00B47553" w:rsidR="009F2BE5">
        <w:t>beautician</w:t>
      </w:r>
      <w:r w:rsidRPr="00B47553" w:rsidR="00F140CE">
        <w:t xml:space="preserve">.  </w:t>
      </w:r>
      <w:r w:rsidRPr="00B47553" w:rsidR="002D5C08">
        <w:t xml:space="preserve">Their </w:t>
      </w:r>
      <w:r w:rsidR="00FE0455">
        <w:t xml:space="preserve">second </w:t>
      </w:r>
      <w:r w:rsidRPr="00B47553" w:rsidR="00A844DE">
        <w:t xml:space="preserve">daughter attended La Sierra Military Academy.  </w:t>
      </w:r>
      <w:r w:rsidRPr="00B47553" w:rsidR="00117AF5">
        <w:t xml:space="preserve">One of their sons, Juan Carlos Espinoza, died a few months after birth.  </w:t>
      </w:r>
    </w:p>
    <w:p w:rsidR="0000079A" w:rsidRPr="00B47553" w:rsidP="00B47553">
      <w:pPr>
        <w:keepNext/>
        <w:ind w:firstLine="720"/>
      </w:pPr>
      <w:r w:rsidRPr="00B47553">
        <w:t xml:space="preserve">Espinoza </w:t>
      </w:r>
      <w:r w:rsidRPr="00B47553" w:rsidR="00DA7933">
        <w:t>is</w:t>
      </w:r>
      <w:r w:rsidRPr="00B47553" w:rsidR="00BD1CAF">
        <w:t xml:space="preserve"> </w:t>
      </w:r>
      <w:r w:rsidRPr="00B47553" w:rsidR="00BA500A">
        <w:t xml:space="preserve">the primary </w:t>
      </w:r>
      <w:r w:rsidRPr="00B47553" w:rsidR="00BD1CAF">
        <w:t>caregiver to his parents</w:t>
      </w:r>
      <w:r w:rsidRPr="00B47553" w:rsidR="0001530A">
        <w:t xml:space="preserve">, who suffer </w:t>
      </w:r>
      <w:r w:rsidRPr="00B47553" w:rsidR="0072383C">
        <w:t>from Parkinson’s disease</w:t>
      </w:r>
      <w:r w:rsidRPr="00B47553" w:rsidR="008E6715">
        <w:t xml:space="preserve"> and </w:t>
      </w:r>
      <w:r w:rsidRPr="00B47553" w:rsidR="005E682B">
        <w:t>d</w:t>
      </w:r>
      <w:r w:rsidRPr="00B47553" w:rsidR="008E6715">
        <w:t>iabetes</w:t>
      </w:r>
      <w:r w:rsidRPr="00B47553" w:rsidR="003A4659">
        <w:t>.</w:t>
      </w:r>
      <w:r w:rsidRPr="00B47553" w:rsidR="007D7C69">
        <w:t xml:space="preserve"> </w:t>
      </w:r>
      <w:r w:rsidR="009E040E">
        <w:t xml:space="preserve"> </w:t>
      </w:r>
      <w:r w:rsidRPr="00B47553" w:rsidR="005C013B">
        <w:t>Espinoza</w:t>
      </w:r>
      <w:r w:rsidRPr="00B47553" w:rsidR="00BD162E">
        <w:t>’s parents</w:t>
      </w:r>
      <w:r w:rsidRPr="00B47553" w:rsidR="003A4659">
        <w:t xml:space="preserve"> live with him</w:t>
      </w:r>
      <w:r w:rsidRPr="00B47553" w:rsidR="005C2244">
        <w:t xml:space="preserve"> </w:t>
      </w:r>
      <w:r w:rsidR="00835F7E">
        <w:t xml:space="preserve">in Cutler </w:t>
      </w:r>
      <w:r w:rsidRPr="00B47553" w:rsidR="005C2244">
        <w:t>and</w:t>
      </w:r>
      <w:r w:rsidRPr="00B47553" w:rsidR="00BD162E">
        <w:t xml:space="preserve"> rely on him for assistance </w:t>
      </w:r>
      <w:r w:rsidRPr="00B47553" w:rsidR="005C2244">
        <w:t xml:space="preserve">with </w:t>
      </w:r>
      <w:r w:rsidRPr="00B47553" w:rsidR="00BD162E">
        <w:t>their daily activities</w:t>
      </w:r>
      <w:r w:rsidRPr="00B47553" w:rsidR="00407DBE">
        <w:t xml:space="preserve">, including cooking, shopping, doing laundry, administering medication, and driving to medical appointments. </w:t>
      </w:r>
      <w:r w:rsidRPr="00B47553" w:rsidR="00BD162E">
        <w:t xml:space="preserve"> </w:t>
      </w:r>
    </w:p>
    <w:p w:rsidR="009551C8" w:rsidRPr="00B47553" w:rsidP="00F41D07">
      <w:pPr>
        <w:keepNext/>
        <w:ind w:firstLine="720"/>
      </w:pPr>
      <w:r w:rsidRPr="00B47553">
        <w:t xml:space="preserve">Espinoza </w:t>
      </w:r>
      <w:r w:rsidRPr="00B47553" w:rsidR="00E50C72">
        <w:t>is</w:t>
      </w:r>
      <w:r w:rsidRPr="00B47553" w:rsidR="00997DA6">
        <w:t xml:space="preserve"> </w:t>
      </w:r>
      <w:r w:rsidRPr="00B47553" w:rsidR="00CF0D19">
        <w:t xml:space="preserve">the main financial provider for his family.  </w:t>
      </w:r>
      <w:r w:rsidRPr="00B47553">
        <w:t>After several years as a</w:t>
      </w:r>
      <w:r w:rsidR="00CB5816">
        <w:t xml:space="preserve"> farmworker</w:t>
      </w:r>
      <w:r w:rsidRPr="00B47553">
        <w:t xml:space="preserve">, Espinoza relocated </w:t>
      </w:r>
      <w:r w:rsidR="00CB5816">
        <w:t xml:space="preserve">with his wife in 1991 </w:t>
      </w:r>
      <w:r w:rsidRPr="00B47553">
        <w:t xml:space="preserve">to the Central Valley, where he worked for Schellenberg Farms in Reedley as a farm manager.  </w:t>
      </w:r>
      <w:r w:rsidRPr="00B47553" w:rsidR="00514A43">
        <w:t xml:space="preserve">Beginning </w:t>
      </w:r>
      <w:r w:rsidRPr="00B47553" w:rsidR="00514A43">
        <w:t>i</w:t>
      </w:r>
      <w:r w:rsidRPr="00B47553">
        <w:t xml:space="preserve">n 1994, Espinoza </w:t>
      </w:r>
      <w:r w:rsidRPr="00B47553" w:rsidR="00514A43">
        <w:t xml:space="preserve">worked for </w:t>
      </w:r>
      <w:r w:rsidR="00CB5816">
        <w:t>eight</w:t>
      </w:r>
      <w:r w:rsidRPr="00B47553" w:rsidR="00514A43">
        <w:t xml:space="preserve"> years as a supervisor at </w:t>
      </w:r>
      <w:r w:rsidRPr="00B47553">
        <w:t>Abe-El Produce in Orosi</w:t>
      </w:r>
      <w:r w:rsidRPr="00B47553" w:rsidR="00514A43">
        <w:t xml:space="preserve"> </w:t>
      </w:r>
      <w:r w:rsidR="00042C18">
        <w:t>before start</w:t>
      </w:r>
      <w:r w:rsidR="006C7504">
        <w:t>ing</w:t>
      </w:r>
      <w:r w:rsidR="00042C18">
        <w:t xml:space="preserve"> his own business</w:t>
      </w:r>
      <w:r w:rsidRPr="00B47553">
        <w:t xml:space="preserve">.  </w:t>
      </w:r>
    </w:p>
    <w:p w:rsidR="00890FAF" w:rsidP="00B47553">
      <w:pPr>
        <w:ind w:firstLine="720"/>
      </w:pPr>
      <w:r w:rsidRPr="00B47553">
        <w:t xml:space="preserve">In 2003, </w:t>
      </w:r>
      <w:r w:rsidRPr="00B47553" w:rsidR="00A5158B">
        <w:t>Espinoza</w:t>
      </w:r>
      <w:r w:rsidR="00312EE7">
        <w:t xml:space="preserve"> and </w:t>
      </w:r>
      <w:r w:rsidRPr="00B47553" w:rsidR="00647547">
        <w:t>several other</w:t>
      </w:r>
      <w:r w:rsidR="00312EE7">
        <w:t>s were</w:t>
      </w:r>
      <w:r w:rsidRPr="00B47553" w:rsidR="00A5158B">
        <w:t xml:space="preserve"> arrested following an investigation into suspected methamphetamine manufacturing.  </w:t>
      </w:r>
      <w:r w:rsidR="00FF1CE9">
        <w:t xml:space="preserve">During the proceedings, </w:t>
      </w:r>
      <w:r w:rsidR="007B3780">
        <w:t xml:space="preserve">it was undisputed that </w:t>
      </w:r>
      <w:r w:rsidRPr="00B47553" w:rsidR="003971C5">
        <w:t xml:space="preserve">Espinoza </w:t>
      </w:r>
      <w:r w:rsidR="0042581D">
        <w:t xml:space="preserve">had </w:t>
      </w:r>
      <w:r w:rsidRPr="00B47553" w:rsidR="003971C5">
        <w:t xml:space="preserve">no prior criminal history.  </w:t>
      </w:r>
      <w:r w:rsidR="008E5396">
        <w:t>Eventually</w:t>
      </w:r>
      <w:r w:rsidR="00922436">
        <w:t xml:space="preserve">, Espinoza </w:t>
      </w:r>
      <w:r w:rsidRPr="00B47553" w:rsidR="00AC6E9C">
        <w:t>ple</w:t>
      </w:r>
      <w:r w:rsidR="00FA7898">
        <w:t>ade</w:t>
      </w:r>
      <w:r w:rsidRPr="00B47553" w:rsidR="00AC6E9C">
        <w:t>d no contest to conspiracy (§ 182, subd.</w:t>
      </w:r>
      <w:r w:rsidRPr="00B47553" w:rsidR="00657A31">
        <w:t> </w:t>
      </w:r>
      <w:r w:rsidRPr="00B47553" w:rsidR="00AC6E9C">
        <w:t xml:space="preserve">(a)(1)), </w:t>
      </w:r>
      <w:r w:rsidRPr="00B47553" w:rsidR="001600BD">
        <w:t>felony child abuse (</w:t>
      </w:r>
      <w:r w:rsidRPr="00B47553" w:rsidR="00B7062D">
        <w:t>§ </w:t>
      </w:r>
      <w:r w:rsidRPr="00B47553" w:rsidR="001600BD">
        <w:t>273a, subd.</w:t>
      </w:r>
      <w:r w:rsidRPr="00B47553" w:rsidR="00657A31">
        <w:t> </w:t>
      </w:r>
      <w:r w:rsidRPr="00B47553" w:rsidR="001600BD">
        <w:t xml:space="preserve">(a)), </w:t>
      </w:r>
      <w:r w:rsidRPr="00B47553" w:rsidR="00AC6E9C">
        <w:t xml:space="preserve">controlling property to manufacture a controlled substance (Health </w:t>
      </w:r>
      <w:r w:rsidRPr="00B47553" w:rsidR="007C671C">
        <w:t xml:space="preserve">&amp; </w:t>
      </w:r>
      <w:r w:rsidRPr="00B47553" w:rsidR="00AC6E9C">
        <w:t>Saf. Code, § </w:t>
      </w:r>
      <w:r w:rsidRPr="00B47553" w:rsidR="00527369">
        <w:t>11366.5, subd.</w:t>
      </w:r>
      <w:r w:rsidRPr="00B47553" w:rsidR="00657A31">
        <w:t> </w:t>
      </w:r>
      <w:r w:rsidRPr="00B47553" w:rsidR="00527369">
        <w:t>(a)), and possess</w:t>
      </w:r>
      <w:r w:rsidRPr="00B47553" w:rsidR="001D62EE">
        <w:t>ion of</w:t>
      </w:r>
      <w:r w:rsidRPr="00B47553" w:rsidR="00527369">
        <w:t xml:space="preserve"> a controlled substance (</w:t>
      </w:r>
      <w:r w:rsidRPr="00B47553" w:rsidR="001600BD">
        <w:rPr>
          <w:i/>
          <w:iCs/>
        </w:rPr>
        <w:t>id.</w:t>
      </w:r>
      <w:r w:rsidRPr="00B47553" w:rsidR="00527369">
        <w:t>, § 11350, subd.</w:t>
      </w:r>
      <w:r w:rsidRPr="00B47553" w:rsidR="00657A31">
        <w:t> </w:t>
      </w:r>
      <w:r w:rsidRPr="00B47553" w:rsidR="00527369">
        <w:t>(a))</w:t>
      </w:r>
      <w:r w:rsidRPr="00B47553" w:rsidR="00EA75C3">
        <w:t xml:space="preserve">. </w:t>
      </w:r>
    </w:p>
    <w:p w:rsidR="00B444C4" w:rsidP="00F41D07">
      <w:pPr>
        <w:ind w:firstLine="720"/>
      </w:pPr>
      <w:r w:rsidRPr="00B47553">
        <w:t>At the time, Espinoza did not speak English; his attorney used a Spanish-speaking assistant to communicate with him</w:t>
      </w:r>
      <w:r w:rsidRPr="00B47553" w:rsidR="002C25E7">
        <w:t xml:space="preserve"> before his plea</w:t>
      </w:r>
      <w:r w:rsidRPr="00B47553">
        <w:t xml:space="preserve">.  The assistant told Espinoza to plead no contest and “everything was going to be fine.”  </w:t>
      </w:r>
      <w:r w:rsidRPr="00B47553" w:rsidR="002C25E7">
        <w:t xml:space="preserve">Espinoza </w:t>
      </w:r>
      <w:r w:rsidRPr="00B47553" w:rsidR="00CD6FBD">
        <w:t>never discussed the immigration consequences of the plea with his attorney</w:t>
      </w:r>
      <w:r w:rsidR="00FD328C">
        <w:t>, who</w:t>
      </w:r>
      <w:r w:rsidRPr="00B47553" w:rsidR="006E0F30">
        <w:t xml:space="preserve"> </w:t>
      </w:r>
      <w:r w:rsidR="00FD328C">
        <w:t>did</w:t>
      </w:r>
      <w:r w:rsidRPr="00B47553" w:rsidR="006E0F30">
        <w:t xml:space="preserve"> not advise</w:t>
      </w:r>
      <w:r w:rsidR="00FD328C">
        <w:t xml:space="preserve"> him</w:t>
      </w:r>
      <w:r w:rsidRPr="00B47553" w:rsidR="006E0F30">
        <w:t xml:space="preserve"> that pleading to these charges </w:t>
      </w:r>
      <w:r w:rsidRPr="00B47553" w:rsidR="005A3208">
        <w:t>w</w:t>
      </w:r>
      <w:r w:rsidRPr="00B47553" w:rsidR="006E0F30">
        <w:t xml:space="preserve">ould </w:t>
      </w:r>
      <w:r w:rsidRPr="00B47553" w:rsidR="001B618E">
        <w:t>put him in danger of losing his permanent resident status</w:t>
      </w:r>
      <w:r w:rsidRPr="00B47553" w:rsidR="0054457E">
        <w:t>,</w:t>
      </w:r>
      <w:r w:rsidRPr="00B47553" w:rsidR="001B618E">
        <w:t xml:space="preserve"> being deported</w:t>
      </w:r>
      <w:r w:rsidRPr="00B47553" w:rsidR="0054457E">
        <w:t>, and being barred from reentering the United States</w:t>
      </w:r>
      <w:r w:rsidRPr="00B47553" w:rsidR="00CD6FBD">
        <w:t>.</w:t>
      </w:r>
      <w:r w:rsidRPr="00B47553" w:rsidR="001B618E">
        <w:t xml:space="preserve">  </w:t>
      </w:r>
      <w:r w:rsidRPr="00FD328C" w:rsidR="00FD328C">
        <w:t>It appears he relied on the reassurance of his attorney’s assistant that</w:t>
      </w:r>
      <w:r w:rsidR="00FD328C">
        <w:t>,</w:t>
      </w:r>
      <w:r w:rsidRPr="00FD328C" w:rsidR="00FD328C">
        <w:t xml:space="preserve"> if he pleaded no contest</w:t>
      </w:r>
      <w:r w:rsidR="00FD328C">
        <w:t>,</w:t>
      </w:r>
      <w:r w:rsidRPr="00FD328C" w:rsidR="00FD328C">
        <w:t xml:space="preserve"> “everything was going to be fine.”</w:t>
      </w:r>
    </w:p>
    <w:p w:rsidR="00B03DB1" w:rsidRPr="00B47553" w:rsidP="00F41D07">
      <w:pPr>
        <w:ind w:firstLine="720"/>
      </w:pPr>
      <w:r w:rsidRPr="00FD328C">
        <w:t xml:space="preserve">When </w:t>
      </w:r>
      <w:r w:rsidR="00B444C4">
        <w:t>Espinoza’s</w:t>
      </w:r>
      <w:r w:rsidRPr="00FD328C">
        <w:t xml:space="preserve"> plea was taken, the court </w:t>
      </w:r>
      <w:r w:rsidR="00104EA4">
        <w:t>provided</w:t>
      </w:r>
      <w:r w:rsidRPr="00FD328C" w:rsidR="00104EA4">
        <w:t xml:space="preserve"> </w:t>
      </w:r>
      <w:r w:rsidR="00B444C4">
        <w:t>him</w:t>
      </w:r>
      <w:r w:rsidR="00104EA4">
        <w:t xml:space="preserve"> with the following advisement</w:t>
      </w:r>
      <w:r w:rsidR="00B444C4">
        <w:t xml:space="preserve">, pursuant to </w:t>
      </w:r>
      <w:r w:rsidRPr="00FD328C">
        <w:t>section 1016.5</w:t>
      </w:r>
      <w:r w:rsidR="00104EA4">
        <w:t xml:space="preserve">: </w:t>
      </w:r>
      <w:r w:rsidRPr="00104EA4" w:rsidR="00104EA4">
        <w:t>“If you are not a citizen, you are hereby advised that conviction of the offense for which you have been charged may have the consequences of deportation, exclusion from admission to the United States, or denial of naturalization pursuant to the laws of the United States.”</w:t>
      </w:r>
      <w:r w:rsidR="00104EA4">
        <w:t xml:space="preserve"> </w:t>
      </w:r>
      <w:r w:rsidRPr="00FD328C">
        <w:t xml:space="preserve"> Espinoza explain</w:t>
      </w:r>
      <w:r w:rsidR="00877594">
        <w:t>ed</w:t>
      </w:r>
      <w:r w:rsidRPr="00FD328C">
        <w:t xml:space="preserve"> in his declaration</w:t>
      </w:r>
      <w:r w:rsidR="00877594">
        <w:t xml:space="preserve">: </w:t>
      </w:r>
      <w:r w:rsidRPr="00FD328C">
        <w:t xml:space="preserve"> “</w:t>
      </w:r>
      <w:r w:rsidRPr="00D10F7A" w:rsidR="00D10F7A">
        <w:t xml:space="preserve">I took the warning to be a general one that the court had to give </w:t>
      </w:r>
      <w:r w:rsidRPr="00D10F7A" w:rsidR="00D10F7A">
        <w:t>everyone who pleads guilty.  I did not understand it to have applied to me as a legal permanent resident who was in the United States legally, my attorney at the time did not mention to me that my plea would have immigration consequences.”</w:t>
      </w:r>
      <w:r w:rsidRPr="00FD328C">
        <w:t xml:space="preserve"> </w:t>
      </w:r>
      <w:r w:rsidR="00D10F7A">
        <w:t xml:space="preserve"> </w:t>
      </w:r>
      <w:r w:rsidRPr="00FD328C">
        <w:t>It appears the court made no further inquiry into Espinoza’s understanding or offer to answer any questions he might have</w:t>
      </w:r>
      <w:r w:rsidR="00D10F7A">
        <w:t xml:space="preserve"> had</w:t>
      </w:r>
      <w:r w:rsidRPr="00FD328C">
        <w:t xml:space="preserve">. </w:t>
      </w:r>
      <w:r w:rsidR="00D10F7A">
        <w:t xml:space="preserve"> </w:t>
      </w:r>
      <w:r w:rsidRPr="00B47553" w:rsidR="00657A31">
        <w:t xml:space="preserve">He </w:t>
      </w:r>
      <w:r w:rsidR="00F21113">
        <w:t>asserts</w:t>
      </w:r>
      <w:r w:rsidRPr="00B47553" w:rsidR="00657A31">
        <w:t xml:space="preserve"> that i</w:t>
      </w:r>
      <w:r w:rsidRPr="00B47553" w:rsidR="00291452">
        <w:t xml:space="preserve">f he had known, he would </w:t>
      </w:r>
      <w:r w:rsidRPr="00B47553" w:rsidR="008F6116">
        <w:t xml:space="preserve">not </w:t>
      </w:r>
      <w:r w:rsidRPr="00B47553" w:rsidR="00291452">
        <w:t xml:space="preserve">have </w:t>
      </w:r>
      <w:r w:rsidRPr="00B47553" w:rsidR="00E86167">
        <w:t xml:space="preserve">accepted the plea and </w:t>
      </w:r>
      <w:r w:rsidRPr="00B47553" w:rsidR="00E32516">
        <w:t xml:space="preserve">would instead have </w:t>
      </w:r>
      <w:r w:rsidRPr="00B47553" w:rsidR="00E86167">
        <w:t>taken the case to trial</w:t>
      </w:r>
      <w:r w:rsidRPr="00B47553" w:rsidR="00894677">
        <w:t xml:space="preserve"> or </w:t>
      </w:r>
      <w:r w:rsidRPr="00B47553" w:rsidR="00E32516">
        <w:t>agreed to a longer sentence</w:t>
      </w:r>
      <w:r w:rsidRPr="00B47553" w:rsidR="003A3668">
        <w:t xml:space="preserve"> in exchange for an immigration-</w:t>
      </w:r>
      <w:r w:rsidR="001251EA">
        <w:t>safe</w:t>
      </w:r>
      <w:r w:rsidRPr="00B47553" w:rsidR="003A3668">
        <w:t xml:space="preserve"> plea</w:t>
      </w:r>
      <w:r w:rsidRPr="00B47553" w:rsidR="00E86167">
        <w:t xml:space="preserve">.  </w:t>
      </w:r>
    </w:p>
    <w:p w:rsidR="004111B5" w:rsidRPr="00B47553" w:rsidP="00F41D07">
      <w:pPr>
        <w:ind w:firstLine="720"/>
      </w:pPr>
      <w:r w:rsidRPr="00B47553">
        <w:t xml:space="preserve">Following </w:t>
      </w:r>
      <w:r w:rsidRPr="00B47553" w:rsidR="006F7835">
        <w:t>Espinoza</w:t>
      </w:r>
      <w:r w:rsidRPr="00B47553">
        <w:t xml:space="preserve">’s plea, he </w:t>
      </w:r>
      <w:r w:rsidRPr="00B47553" w:rsidR="006A6516">
        <w:t>was placed on five years</w:t>
      </w:r>
      <w:r w:rsidRPr="00B47553" w:rsidR="00553343">
        <w:t xml:space="preserve"> of</w:t>
      </w:r>
      <w:r w:rsidRPr="00B47553" w:rsidR="006A6516">
        <w:t xml:space="preserve"> probation and ordered to </w:t>
      </w:r>
      <w:r w:rsidRPr="00B47553" w:rsidR="006F7835">
        <w:t xml:space="preserve">serve </w:t>
      </w:r>
      <w:r w:rsidRPr="00B47553" w:rsidR="006A6516">
        <w:t xml:space="preserve">365 days </w:t>
      </w:r>
      <w:r w:rsidRPr="00B47553" w:rsidR="009D631D">
        <w:t>in jail</w:t>
      </w:r>
      <w:r w:rsidRPr="00B47553" w:rsidR="006F7835">
        <w:t>.</w:t>
      </w:r>
      <w:r w:rsidRPr="00B47553" w:rsidR="00E77546">
        <w:t xml:space="preserve">  </w:t>
      </w:r>
      <w:r w:rsidR="00232B24">
        <w:t xml:space="preserve">According to </w:t>
      </w:r>
      <w:r w:rsidR="00247EFE">
        <w:t>Espinoza</w:t>
      </w:r>
      <w:r w:rsidR="00232B24">
        <w:t>,</w:t>
      </w:r>
      <w:r w:rsidR="00247EFE">
        <w:t xml:space="preserve"> he was not informed by his attorney that his plea agreement included jail time.  </w:t>
      </w:r>
      <w:r w:rsidR="00DC24FF">
        <w:t xml:space="preserve">Nevertheless, he served the jail term called for by the plea bargain.  </w:t>
      </w:r>
      <w:r w:rsidRPr="00B47553">
        <w:t xml:space="preserve">Upon release, Espinoza returned to being </w:t>
      </w:r>
      <w:r w:rsidRPr="00B47553" w:rsidR="00B608A6">
        <w:t xml:space="preserve">the family’s </w:t>
      </w:r>
      <w:r w:rsidRPr="00B47553">
        <w:t xml:space="preserve">main financial provider.  He </w:t>
      </w:r>
      <w:r w:rsidR="00044E73">
        <w:t>started</w:t>
      </w:r>
      <w:r w:rsidRPr="00B47553" w:rsidR="00044E73">
        <w:t xml:space="preserve"> </w:t>
      </w:r>
      <w:r w:rsidRPr="00B47553">
        <w:t>his own lawn services and gardening business.</w:t>
      </w:r>
      <w:r w:rsidRPr="00B47553" w:rsidR="002B7CF1">
        <w:t xml:space="preserve">  He was well-known and involved in the community.  He </w:t>
      </w:r>
      <w:r w:rsidRPr="00B47553" w:rsidR="00A75519">
        <w:t xml:space="preserve">volunteered, </w:t>
      </w:r>
      <w:r w:rsidR="007A7A36">
        <w:t xml:space="preserve">went to </w:t>
      </w:r>
      <w:r w:rsidRPr="00B47553" w:rsidR="002B7CF1">
        <w:t xml:space="preserve">church, </w:t>
      </w:r>
      <w:r w:rsidRPr="00B47553" w:rsidR="00161384">
        <w:t xml:space="preserve">and </w:t>
      </w:r>
      <w:r w:rsidRPr="00B47553" w:rsidR="0086364E">
        <w:t xml:space="preserve">took part in </w:t>
      </w:r>
      <w:r w:rsidRPr="00B47553" w:rsidR="001943D4">
        <w:t xml:space="preserve">numerous </w:t>
      </w:r>
      <w:r w:rsidRPr="00B47553" w:rsidR="0086364E">
        <w:t>community organizations</w:t>
      </w:r>
      <w:r w:rsidRPr="00B47553" w:rsidR="00161384">
        <w:t xml:space="preserve">.  </w:t>
      </w:r>
      <w:r w:rsidRPr="00B47553" w:rsidR="00200B27">
        <w:t>His wife</w:t>
      </w:r>
      <w:r w:rsidRPr="00B47553" w:rsidR="00F90E9F">
        <w:t xml:space="preserve">, </w:t>
      </w:r>
      <w:r w:rsidRPr="00B47553" w:rsidR="00B70589">
        <w:t>five children</w:t>
      </w:r>
      <w:r w:rsidRPr="00B47553" w:rsidR="00F90E9F">
        <w:t xml:space="preserve">, </w:t>
      </w:r>
      <w:r w:rsidR="0059247C">
        <w:t xml:space="preserve">two sons-in-law, </w:t>
      </w:r>
      <w:r w:rsidRPr="00B47553" w:rsidR="00F90E9F">
        <w:t xml:space="preserve">several grandchildren, and </w:t>
      </w:r>
      <w:r w:rsidRPr="00B47553" w:rsidR="00200B27">
        <w:t xml:space="preserve">his parents and siblings continue to reside in the United States.  </w:t>
      </w:r>
    </w:p>
    <w:p w:rsidR="0019300B" w:rsidRPr="00B47553" w:rsidP="00F41D07">
      <w:pPr>
        <w:ind w:firstLine="720"/>
      </w:pPr>
      <w:r w:rsidRPr="00B47553">
        <w:t xml:space="preserve">In 2015, </w:t>
      </w:r>
      <w:r w:rsidRPr="00B47553" w:rsidR="008D61C4">
        <w:t xml:space="preserve">more than a decade after </w:t>
      </w:r>
      <w:r w:rsidRPr="00B47553" w:rsidR="003F1B50">
        <w:t xml:space="preserve">his </w:t>
      </w:r>
      <w:r w:rsidRPr="00B47553" w:rsidR="008D61C4">
        <w:t>conviction</w:t>
      </w:r>
      <w:r w:rsidRPr="00B47553" w:rsidR="003F1B50">
        <w:t>s</w:t>
      </w:r>
      <w:r w:rsidR="00DC24FF">
        <w:t xml:space="preserve"> and the service of his jail term</w:t>
      </w:r>
      <w:r w:rsidRPr="00B47553" w:rsidR="008D61C4">
        <w:t xml:space="preserve">, </w:t>
      </w:r>
      <w:r w:rsidRPr="00B47553" w:rsidR="009446CA">
        <w:t xml:space="preserve">Espinoza </w:t>
      </w:r>
      <w:r w:rsidRPr="00B47553" w:rsidR="0068239F">
        <w:t xml:space="preserve">left the country for a trip.  </w:t>
      </w:r>
      <w:r w:rsidRPr="00B47553" w:rsidR="00EF3DC2">
        <w:t>When h</w:t>
      </w:r>
      <w:r w:rsidRPr="00B47553" w:rsidR="002803E2">
        <w:t xml:space="preserve">e </w:t>
      </w:r>
      <w:r w:rsidRPr="00B47553" w:rsidR="008F6116">
        <w:t>returned</w:t>
      </w:r>
      <w:r w:rsidRPr="00B47553" w:rsidR="002803E2">
        <w:t xml:space="preserve"> </w:t>
      </w:r>
      <w:r w:rsidRPr="00B47553" w:rsidR="008F6116">
        <w:t xml:space="preserve">to </w:t>
      </w:r>
      <w:r w:rsidRPr="00B47553" w:rsidR="00EF3DC2">
        <w:t xml:space="preserve">the United States, he </w:t>
      </w:r>
      <w:r w:rsidRPr="00B47553" w:rsidR="002803E2">
        <w:t>was questioned by immigration officials</w:t>
      </w:r>
      <w:r w:rsidRPr="00B47553" w:rsidR="00A75519">
        <w:t>, and they</w:t>
      </w:r>
      <w:r w:rsidRPr="00B47553" w:rsidR="00234C0E">
        <w:t xml:space="preserve"> </w:t>
      </w:r>
      <w:r w:rsidR="00A94A2C">
        <w:t>seized</w:t>
      </w:r>
      <w:r w:rsidRPr="00B47553" w:rsidR="00234C0E">
        <w:t xml:space="preserve"> his permanent residence card</w:t>
      </w:r>
      <w:r w:rsidRPr="00B47553" w:rsidR="008C428B">
        <w:t xml:space="preserve">.  </w:t>
      </w:r>
      <w:r w:rsidR="00DC24FF">
        <w:t>He asserts it</w:t>
      </w:r>
      <w:r w:rsidRPr="00B47553" w:rsidR="00DC24FF">
        <w:t xml:space="preserve"> </w:t>
      </w:r>
      <w:r w:rsidRPr="00B47553" w:rsidR="00234C0E">
        <w:t xml:space="preserve">was </w:t>
      </w:r>
      <w:r w:rsidRPr="00B47553" w:rsidR="004563B1">
        <w:t xml:space="preserve">during </w:t>
      </w:r>
      <w:r w:rsidRPr="00B47553" w:rsidR="00A75519">
        <w:t>that encounter</w:t>
      </w:r>
      <w:r w:rsidRPr="00B47553" w:rsidR="00234C0E">
        <w:t xml:space="preserve"> that </w:t>
      </w:r>
      <w:r w:rsidRPr="00B47553" w:rsidR="009D3196">
        <w:t>he</w:t>
      </w:r>
      <w:r w:rsidRPr="00B47553" w:rsidR="00234C0E">
        <w:t xml:space="preserve"> </w:t>
      </w:r>
      <w:r w:rsidR="008A38B3">
        <w:t xml:space="preserve">became aware of </w:t>
      </w:r>
      <w:r w:rsidRPr="00B47553" w:rsidR="00234C0E">
        <w:t xml:space="preserve">the immigration consequences of his plea. </w:t>
      </w:r>
    </w:p>
    <w:p w:rsidR="00FE3BE4" w:rsidP="00F41D07">
      <w:pPr>
        <w:ind w:firstLine="720"/>
      </w:pPr>
      <w:r w:rsidRPr="00B47553">
        <w:t xml:space="preserve">In 2017, Espinoza filed a </w:t>
      </w:r>
      <w:r w:rsidRPr="00B47553" w:rsidR="00856DBE">
        <w:t xml:space="preserve">nonstatutory </w:t>
      </w:r>
      <w:r w:rsidRPr="00B47553">
        <w:t xml:space="preserve">motion </w:t>
      </w:r>
      <w:r w:rsidRPr="00B47553" w:rsidR="006848A3">
        <w:t>to vacate his conviction</w:t>
      </w:r>
      <w:r w:rsidRPr="00B47553">
        <w:t xml:space="preserve">.  He filed </w:t>
      </w:r>
      <w:r w:rsidRPr="00B47553" w:rsidR="00D56DD7">
        <w:t>additional</w:t>
      </w:r>
      <w:r w:rsidRPr="00B47553">
        <w:t xml:space="preserve"> motion</w:t>
      </w:r>
      <w:r w:rsidRPr="00B47553" w:rsidR="00D56DD7">
        <w:t>s</w:t>
      </w:r>
      <w:r w:rsidRPr="00B47553">
        <w:t xml:space="preserve"> under section 1473.7 in 2018 and 2019.  In each</w:t>
      </w:r>
      <w:r w:rsidRPr="00B47553" w:rsidR="00A75519">
        <w:t xml:space="preserve"> motion</w:t>
      </w:r>
      <w:r w:rsidRPr="00B47553">
        <w:t xml:space="preserve">, Espinoza maintained that he had not been aware of the immigration consequences of his plea and that had he been aware, he would have sought a plea with lesser immigration consequences or taken his case to trial.  </w:t>
      </w:r>
      <w:r w:rsidRPr="00B47553" w:rsidR="00F86081">
        <w:t>The trial court denied all three</w:t>
      </w:r>
      <w:r w:rsidRPr="00B47553" w:rsidR="00F615AE">
        <w:t xml:space="preserve"> motions</w:t>
      </w:r>
      <w:r w:rsidR="00FA7898">
        <w:t>, each time</w:t>
      </w:r>
      <w:r w:rsidRPr="00B47553" w:rsidR="00F615AE">
        <w:t xml:space="preserve"> without an evidentiary hearing.</w:t>
      </w:r>
      <w:r w:rsidRPr="00B47553" w:rsidR="00FC6B78">
        <w:t xml:space="preserve"> </w:t>
      </w:r>
      <w:r w:rsidRPr="00B47553" w:rsidR="00F615AE">
        <w:t xml:space="preserve"> </w:t>
      </w:r>
      <w:r w:rsidRPr="00B47553" w:rsidR="008A0B5E">
        <w:t>Espinoza appealed the third denial</w:t>
      </w:r>
      <w:r w:rsidR="00FA7898">
        <w:t>,</w:t>
      </w:r>
      <w:r w:rsidR="00EB04CE">
        <w:t xml:space="preserve"> and</w:t>
      </w:r>
      <w:r w:rsidRPr="00B47553" w:rsidR="003B65AE">
        <w:t xml:space="preserve"> the Court of Appeal affirmed</w:t>
      </w:r>
      <w:r w:rsidR="00FA7898">
        <w:t xml:space="preserve">.  We granted </w:t>
      </w:r>
      <w:r w:rsidR="00EB04CE">
        <w:t>revie</w:t>
      </w:r>
      <w:r w:rsidR="003B65AE">
        <w:t>w</w:t>
      </w:r>
      <w:r w:rsidR="00EB04CE">
        <w:t>.</w:t>
      </w:r>
    </w:p>
    <w:p w:rsidR="00E07D35" w:rsidRPr="00B47553" w:rsidP="00F41D07">
      <w:pPr>
        <w:keepNext/>
        <w:tabs>
          <w:tab w:val="left" w:pos="1440"/>
        </w:tabs>
        <w:jc w:val="center"/>
        <w:rPr>
          <w:b/>
          <w:bCs/>
        </w:rPr>
      </w:pPr>
      <w:r w:rsidRPr="00B47553">
        <w:rPr>
          <w:b/>
          <w:bCs/>
        </w:rPr>
        <w:t>II.</w:t>
      </w:r>
    </w:p>
    <w:p w:rsidR="00FC0A9C" w:rsidRPr="00D95AC3" w:rsidP="00B47553">
      <w:r w:rsidRPr="00B47553">
        <w:tab/>
      </w:r>
      <w:r w:rsidR="009C5FFD">
        <w:t xml:space="preserve">To prevail under section 1473.7, </w:t>
      </w:r>
      <w:r w:rsidRPr="00B47553" w:rsidR="00F40657">
        <w:t xml:space="preserve">a </w:t>
      </w:r>
      <w:r w:rsidRPr="00B47553" w:rsidR="00D16EED">
        <w:t>defendant</w:t>
      </w:r>
      <w:r w:rsidRPr="00B47553" w:rsidR="00F40657">
        <w:t xml:space="preserve"> </w:t>
      </w:r>
      <w:r w:rsidR="009C5FFD">
        <w:t>must</w:t>
      </w:r>
      <w:r w:rsidRPr="00B47553" w:rsidR="009C5FFD">
        <w:t xml:space="preserve"> </w:t>
      </w:r>
      <w:r w:rsidRPr="00B47553" w:rsidR="00F40657">
        <w:t xml:space="preserve">demonstrate </w:t>
      </w:r>
      <w:r w:rsidRPr="00B47553" w:rsidR="00BC5099">
        <w:t xml:space="preserve">that </w:t>
      </w:r>
      <w:r w:rsidRPr="00B47553" w:rsidR="00D83623">
        <w:t>his conviction is “legally invalid due to</w:t>
      </w:r>
      <w:r w:rsidRPr="00B47553" w:rsidR="00F40657">
        <w:t xml:space="preserve"> prejudicial error</w:t>
      </w:r>
      <w:r w:rsidRPr="00B47553" w:rsidR="00D95F6B">
        <w:t xml:space="preserve"> damag</w:t>
      </w:r>
      <w:r w:rsidRPr="00B47553" w:rsidR="003E2BAE">
        <w:t>ing</w:t>
      </w:r>
      <w:r w:rsidRPr="00B47553" w:rsidR="00D95F6B">
        <w:t xml:space="preserve"> [his</w:t>
      </w:r>
      <w:r w:rsidR="00B160F5">
        <w:t xml:space="preserve"> or her</w:t>
      </w:r>
      <w:r w:rsidRPr="00B47553" w:rsidR="00D95F6B">
        <w:t>]</w:t>
      </w:r>
      <w:r w:rsidRPr="00B47553" w:rsidR="00F40657">
        <w:t xml:space="preserve"> ability </w:t>
      </w:r>
      <w:r w:rsidRPr="00B47553" w:rsidR="00B12235">
        <w:t xml:space="preserve">to meaningfully understand, defend against, or knowingly accept the actual or potential adverse immigration consequences of a conviction or sentence.”  </w:t>
      </w:r>
      <w:r w:rsidR="009C5FFD">
        <w:t>(§ </w:t>
      </w:r>
      <w:r w:rsidRPr="00B47553" w:rsidR="009C5FFD">
        <w:t xml:space="preserve">1473.7, </w:t>
      </w:r>
      <w:r w:rsidR="009C5FFD">
        <w:t>subd. </w:t>
      </w:r>
      <w:r w:rsidRPr="00B47553" w:rsidR="009C5FFD">
        <w:t>(a)(1)</w:t>
      </w:r>
      <w:r w:rsidR="009C5FFD">
        <w:t xml:space="preserve">.)  The defendant must first show that he </w:t>
      </w:r>
      <w:r w:rsidR="00281A18">
        <w:t>did not</w:t>
      </w:r>
      <w:r w:rsidR="009C5FFD">
        <w:t xml:space="preserve"> meaningfully understand the immigration consequences of his plea.  Next, the defendant must show that his misunderstanding constituted prejudicial error.  </w:t>
      </w:r>
      <w:r w:rsidRPr="00B47553" w:rsidR="00C64D51">
        <w:t xml:space="preserve">“[P]rejudical error . . . means demonstrating </w:t>
      </w:r>
      <w:r w:rsidRPr="006D61B5" w:rsidR="00C64D51">
        <w:t>a reasonable probability</w:t>
      </w:r>
      <w:r w:rsidRPr="00B47553" w:rsidR="00C64D51">
        <w:t xml:space="preserve"> that the defendant would have rejected the plea if the defendant had correctly understood its actual or potential immigration consequences.</w:t>
      </w:r>
      <w:r w:rsidRPr="00B47553" w:rsidR="00807E86">
        <w:t>”</w:t>
      </w:r>
      <w:r w:rsidRPr="00B47553" w:rsidR="00C64D51">
        <w:t xml:space="preserve">  </w:t>
      </w:r>
      <w:bookmarkStart w:id="11" w:name="_Hlk118362718"/>
      <w:r w:rsidRPr="00B47553" w:rsidR="001A10EE">
        <w:t>(</w:t>
      </w:r>
      <w:r w:rsidRPr="00B47553" w:rsidR="001A10EE">
        <w:rPr>
          <w:i/>
          <w:iCs/>
        </w:rPr>
        <w:t>Vivar</w:t>
      </w:r>
      <w:r w:rsidRPr="00B47553" w:rsidR="001A10EE">
        <w:t xml:space="preserve">, </w:t>
      </w:r>
      <w:r w:rsidRPr="00B47553" w:rsidR="001A10EE">
        <w:rPr>
          <w:i/>
          <w:iCs/>
        </w:rPr>
        <w:t>supra</w:t>
      </w:r>
      <w:r w:rsidRPr="00B47553" w:rsidR="001A10EE">
        <w:t>, 11</w:t>
      </w:r>
      <w:r w:rsidR="00CF6639">
        <w:t xml:space="preserve"> </w:t>
      </w:r>
      <w:r w:rsidRPr="00B47553" w:rsidR="001A10EE">
        <w:t>Cal.5th at p. 529</w:t>
      </w:r>
      <w:r w:rsidR="00C87605">
        <w:t>.</w:t>
      </w:r>
      <w:r w:rsidRPr="00B47553" w:rsidR="001A10EE">
        <w:t>)</w:t>
      </w:r>
      <w:bookmarkEnd w:id="11"/>
      <w:r w:rsidR="00D95AC3">
        <w:t xml:space="preserve"> </w:t>
      </w:r>
      <w:r w:rsidRPr="00B47553">
        <w:t xml:space="preserve"> </w:t>
      </w:r>
    </w:p>
    <w:p w:rsidR="005E3E42" w:rsidRPr="00B47553" w:rsidP="00F41D07">
      <w:pPr>
        <w:ind w:firstLine="720"/>
      </w:pPr>
      <w:r w:rsidRPr="00B47553">
        <w:t xml:space="preserve">We apply independent review to </w:t>
      </w:r>
      <w:r w:rsidR="00AD255D">
        <w:t xml:space="preserve">evaluate </w:t>
      </w:r>
      <w:r w:rsidR="00CC3DB8">
        <w:t>whether a defendant has demonstrated</w:t>
      </w:r>
      <w:r w:rsidR="00AD255D">
        <w:t xml:space="preserve"> </w:t>
      </w:r>
      <w:r w:rsidRPr="00B47553" w:rsidR="00AD255D">
        <w:t xml:space="preserve">a reasonable probability that </w:t>
      </w:r>
      <w:r w:rsidR="00975433">
        <w:t xml:space="preserve">he </w:t>
      </w:r>
      <w:r w:rsidRPr="00B47553" w:rsidR="00AD255D">
        <w:t xml:space="preserve">would have rejected </w:t>
      </w:r>
      <w:r w:rsidR="00B160F5">
        <w:t>the</w:t>
      </w:r>
      <w:r w:rsidRPr="00B47553" w:rsidR="00B160F5">
        <w:t xml:space="preserve"> </w:t>
      </w:r>
      <w:r w:rsidRPr="00B47553" w:rsidR="00AD255D">
        <w:t xml:space="preserve">plea offer </w:t>
      </w:r>
      <w:r w:rsidR="009C4F7F">
        <w:t>had he</w:t>
      </w:r>
      <w:r w:rsidR="00BC7062">
        <w:t xml:space="preserve"> </w:t>
      </w:r>
      <w:r w:rsidRPr="00B47553" w:rsidR="00AD255D">
        <w:t>understood its immigration consequences.</w:t>
      </w:r>
      <w:r w:rsidRPr="00B47553" w:rsidR="00483BF1">
        <w:t xml:space="preserve"> </w:t>
      </w:r>
      <w:r w:rsidR="00CC3DB8">
        <w:t xml:space="preserve"> </w:t>
      </w:r>
      <w:r w:rsidRPr="00B47553" w:rsidR="002A623E">
        <w:t>(</w:t>
      </w:r>
      <w:r w:rsidRPr="00B47553" w:rsidR="002A623E">
        <w:rPr>
          <w:i/>
          <w:iCs/>
        </w:rPr>
        <w:t>Vivar</w:t>
      </w:r>
      <w:r w:rsidRPr="00B47553" w:rsidR="002A623E">
        <w:t xml:space="preserve">, </w:t>
      </w:r>
      <w:r w:rsidRPr="00B47553" w:rsidR="002A623E">
        <w:rPr>
          <w:i/>
          <w:iCs/>
        </w:rPr>
        <w:t>supra</w:t>
      </w:r>
      <w:r w:rsidRPr="00B47553" w:rsidR="002A623E">
        <w:t xml:space="preserve">, 11 Cal.5th at </w:t>
      </w:r>
      <w:r w:rsidR="008C6D49">
        <w:t>p</w:t>
      </w:r>
      <w:r w:rsidR="006137E9">
        <w:t>. </w:t>
      </w:r>
      <w:r w:rsidRPr="00B47553" w:rsidR="002A623E">
        <w:t>52</w:t>
      </w:r>
      <w:r w:rsidR="00D26D4B">
        <w:t>7</w:t>
      </w:r>
      <w:r w:rsidRPr="00B47553" w:rsidR="002A623E">
        <w:t xml:space="preserve">.) </w:t>
      </w:r>
      <w:r w:rsidRPr="00B47553" w:rsidR="00ED55CB">
        <w:t xml:space="preserve"> </w:t>
      </w:r>
      <w:r w:rsidRPr="00B47553" w:rsidR="003A4B4D">
        <w:t>“</w:t>
      </w:r>
      <w:r w:rsidR="003A4B4D">
        <w:t> </w:t>
      </w:r>
      <w:r w:rsidR="00036471">
        <w:t>‘</w:t>
      </w:r>
      <w:r w:rsidRPr="00B47553" w:rsidR="006264A7">
        <w:t>[U]nder independent review, an appellate court exercises its independent judgment to determine whether the facts satisfy the rule of law.</w:t>
      </w:r>
      <w:r w:rsidR="00572738">
        <w:t>’ </w:t>
      </w:r>
      <w:r w:rsidRPr="00B47553" w:rsidR="006264A7">
        <w:t xml:space="preserve">” </w:t>
      </w:r>
      <w:r w:rsidRPr="00B47553" w:rsidR="00113E49">
        <w:t xml:space="preserve"> </w:t>
      </w:r>
      <w:r w:rsidRPr="00B47553" w:rsidR="00752569">
        <w:t>(</w:t>
      </w:r>
      <w:r w:rsidRPr="00B47553" w:rsidR="00752569">
        <w:rPr>
          <w:i/>
          <w:iCs/>
        </w:rPr>
        <w:t>I</w:t>
      </w:r>
      <w:r w:rsidR="00F26CF1">
        <w:rPr>
          <w:i/>
          <w:iCs/>
        </w:rPr>
        <w:t>bi</w:t>
      </w:r>
      <w:r w:rsidRPr="00B47553" w:rsidR="00752569">
        <w:rPr>
          <w:i/>
          <w:iCs/>
        </w:rPr>
        <w:t>d</w:t>
      </w:r>
      <w:r w:rsidRPr="00D74E24" w:rsidR="00752569">
        <w:rPr>
          <w:i/>
        </w:rPr>
        <w:t>.</w:t>
      </w:r>
      <w:r w:rsidRPr="00B47553" w:rsidR="00496CF4">
        <w:t xml:space="preserve">)  </w:t>
      </w:r>
      <w:r w:rsidRPr="00B47553" w:rsidR="003C57F1">
        <w:t xml:space="preserve">When courts engage in independent review, they must give deference to the trial court’s factual determinations </w:t>
      </w:r>
      <w:r w:rsidR="00B9435C">
        <w:t>if</w:t>
      </w:r>
      <w:r w:rsidRPr="00B47553" w:rsidR="00FA5E2A">
        <w:t xml:space="preserve"> they are based on </w:t>
      </w:r>
      <w:r w:rsidRPr="00B47553" w:rsidR="007A7BB4">
        <w:t>“</w:t>
      </w:r>
      <w:r w:rsidR="007A7BB4">
        <w:t> </w:t>
      </w:r>
      <w:r w:rsidRPr="00B47553" w:rsidR="003C57F1">
        <w:t>‘</w:t>
      </w:r>
      <w:r w:rsidR="008858E7">
        <w:t> “</w:t>
      </w:r>
      <w:r w:rsidRPr="00B47553" w:rsidR="003C57F1">
        <w:t>the credibility of witnesses the [superior court] heard and observed</w:t>
      </w:r>
      <w:r w:rsidRPr="00B47553" w:rsidR="00B24BF7">
        <w:t>.</w:t>
      </w:r>
      <w:r w:rsidR="008858E7">
        <w:t>” </w:t>
      </w:r>
      <w:r w:rsidRPr="00B47553" w:rsidR="008858E7">
        <w:t>’</w:t>
      </w:r>
      <w:r w:rsidR="008858E7">
        <w:t> </w:t>
      </w:r>
      <w:r w:rsidRPr="00B47553" w:rsidR="003C57F1">
        <w:t xml:space="preserve">” </w:t>
      </w:r>
      <w:r w:rsidRPr="00B47553" w:rsidR="00B24BF7">
        <w:t xml:space="preserve"> (</w:t>
      </w:r>
      <w:r w:rsidRPr="00B47553" w:rsidR="00394D4D">
        <w:rPr>
          <w:i/>
          <w:iCs/>
        </w:rPr>
        <w:t>Ibid</w:t>
      </w:r>
      <w:r w:rsidRPr="00B47553" w:rsidR="00492439">
        <w:t>.)</w:t>
      </w:r>
      <w:r w:rsidRPr="00B47553" w:rsidR="004F4DC1">
        <w:t xml:space="preserve">  </w:t>
      </w:r>
      <w:r w:rsidR="009C5FFD">
        <w:t xml:space="preserve">But </w:t>
      </w:r>
      <w:r w:rsidRPr="00B47553" w:rsidR="00D87A79">
        <w:t xml:space="preserve">when the trial court’s </w:t>
      </w:r>
      <w:r w:rsidR="008C7991">
        <w:t>findings</w:t>
      </w:r>
      <w:r w:rsidRPr="00B47553" w:rsidR="00D87A79">
        <w:t xml:space="preserve"> “derive entirely from written declarations and other documents</w:t>
      </w:r>
      <w:r w:rsidRPr="00B47553" w:rsidR="002B131A">
        <w:t xml:space="preserve">,” the trial court and the reviewing court </w:t>
      </w:r>
      <w:r w:rsidR="003A55EE">
        <w:t>“</w:t>
      </w:r>
      <w:r w:rsidR="009C5FFD">
        <w:t> </w:t>
      </w:r>
      <w:r w:rsidRPr="00B47553" w:rsidR="002B131A">
        <w:t>‘are in the same position</w:t>
      </w:r>
      <w:r w:rsidR="009C5FFD">
        <w:t>,</w:t>
      </w:r>
      <w:r w:rsidRPr="00B47553" w:rsidR="002B131A">
        <w:t>’ ”</w:t>
      </w:r>
      <w:r w:rsidRPr="00B47553" w:rsidR="00F71F46">
        <w:t xml:space="preserve"> and no deference is owed.</w:t>
      </w:r>
      <w:r w:rsidRPr="00B47553" w:rsidR="002B131A">
        <w:t xml:space="preserve"> </w:t>
      </w:r>
      <w:r w:rsidRPr="00B47553" w:rsidR="00682A8E">
        <w:t xml:space="preserve"> </w:t>
      </w:r>
      <w:r w:rsidRPr="00B47553" w:rsidR="00A27944">
        <w:t>(</w:t>
      </w:r>
      <w:r w:rsidRPr="00B47553" w:rsidR="00A27944">
        <w:rPr>
          <w:i/>
          <w:iCs/>
        </w:rPr>
        <w:t>Id.</w:t>
      </w:r>
      <w:r w:rsidRPr="00F41D07" w:rsidR="00A27944">
        <w:rPr>
          <w:i/>
        </w:rPr>
        <w:t xml:space="preserve"> </w:t>
      </w:r>
      <w:r w:rsidRPr="00B47553" w:rsidR="00A27944">
        <w:t xml:space="preserve">at </w:t>
      </w:r>
      <w:r w:rsidR="009F1ECB">
        <w:t>p.</w:t>
      </w:r>
      <w:r w:rsidR="009C5FFD">
        <w:t> </w:t>
      </w:r>
      <w:r w:rsidRPr="00B47553" w:rsidR="00A27944">
        <w:t>528.</w:t>
      </w:r>
      <w:r w:rsidRPr="00B47553" w:rsidR="002B131A">
        <w:t>)</w:t>
      </w:r>
      <w:r w:rsidR="009C5FFD">
        <w:t xml:space="preserve">  Because the trial court here conducted</w:t>
      </w:r>
      <w:r w:rsidR="002760FE">
        <w:t xml:space="preserve"> no </w:t>
      </w:r>
      <w:r w:rsidRPr="00B47553" w:rsidR="002760FE">
        <w:t>evidentiary hearing</w:t>
      </w:r>
      <w:r w:rsidR="009C5FFD">
        <w:t xml:space="preserve">, there is no basis for </w:t>
      </w:r>
      <w:r w:rsidRPr="00B47553" w:rsidR="00A0674F">
        <w:t>deference</w:t>
      </w:r>
      <w:r w:rsidR="009C5FFD">
        <w:t>,</w:t>
      </w:r>
      <w:r w:rsidRPr="00B47553">
        <w:t xml:space="preserve"> and</w:t>
      </w:r>
      <w:r w:rsidRPr="00B47553" w:rsidR="00C73E08">
        <w:t xml:space="preserve"> </w:t>
      </w:r>
      <w:r w:rsidRPr="00B47553" w:rsidR="001B4B87">
        <w:t>“it is for the appellate court to decide, based on its independent judgment, whether the facts establish prejudice under section 1473.7.”  (</w:t>
      </w:r>
      <w:r w:rsidRPr="00B47553" w:rsidR="001B4B87">
        <w:rPr>
          <w:i/>
          <w:iCs/>
        </w:rPr>
        <w:t>Ibid.</w:t>
      </w:r>
      <w:r w:rsidRPr="00B47553" w:rsidR="001B4B87">
        <w:t>)</w:t>
      </w:r>
    </w:p>
    <w:p w:rsidR="008C6B6F" w:rsidP="008C6B6F">
      <w:pPr>
        <w:ind w:firstLine="720"/>
      </w:pPr>
      <w:r>
        <w:t xml:space="preserve">The record </w:t>
      </w:r>
      <w:r w:rsidR="00B92727">
        <w:t xml:space="preserve">establishes </w:t>
      </w:r>
      <w:r>
        <w:t>that</w:t>
      </w:r>
      <w:r>
        <w:rPr>
          <w:rStyle w:val="CommentReference"/>
        </w:rPr>
        <w:t xml:space="preserve"> </w:t>
      </w:r>
      <w:r w:rsidR="00E375AA">
        <w:t xml:space="preserve">Espinoza did not </w:t>
      </w:r>
      <w:r w:rsidR="00C84C52">
        <w:t xml:space="preserve">meaningfully </w:t>
      </w:r>
      <w:r w:rsidR="00E375AA">
        <w:t>understand the immigration consequences of his plea</w:t>
      </w:r>
      <w:r w:rsidR="000216A7">
        <w:t>.</w:t>
      </w:r>
      <w:r w:rsidRPr="002F4613" w:rsidR="000216A7">
        <w:t xml:space="preserve"> </w:t>
      </w:r>
      <w:r w:rsidR="000216A7">
        <w:t xml:space="preserve"> </w:t>
      </w:r>
      <w:r w:rsidR="00A13D51">
        <w:t xml:space="preserve">Although the trial court provided a general advisement </w:t>
      </w:r>
      <w:r w:rsidR="00D66089">
        <w:t xml:space="preserve">under section 1016.5 </w:t>
      </w:r>
      <w:r w:rsidR="00A13D51">
        <w:t xml:space="preserve">that his conviction may have immigration consequences, </w:t>
      </w:r>
      <w:r w:rsidR="005A7C40">
        <w:t xml:space="preserve">Espinoza’s attorney never </w:t>
      </w:r>
      <w:r w:rsidR="00914C06">
        <w:t xml:space="preserve">advised him that pleading no contest to the charges at issue would result in his deportation.  </w:t>
      </w:r>
      <w:bookmarkStart w:id="12" w:name="_Hlk122525896"/>
      <w:r w:rsidR="00FE0455">
        <w:t xml:space="preserve">After </w:t>
      </w:r>
      <w:r w:rsidR="00131082">
        <w:t>his</w:t>
      </w:r>
      <w:r w:rsidR="00FE0455">
        <w:t xml:space="preserve"> conviction, rather than living in hiding, Espinoza </w:t>
      </w:r>
      <w:r w:rsidR="00C74E56">
        <w:t xml:space="preserve">started his own business, joined community organizations, and became well-known in his local community.  </w:t>
      </w:r>
      <w:bookmarkEnd w:id="12"/>
      <w:r w:rsidRPr="00914C06" w:rsidR="00914C06">
        <w:t xml:space="preserve">Moreover, </w:t>
      </w:r>
      <w:r w:rsidR="00131082">
        <w:t xml:space="preserve">he </w:t>
      </w:r>
      <w:r w:rsidR="00C74E56">
        <w:t xml:space="preserve">took </w:t>
      </w:r>
      <w:r w:rsidRPr="00914C06" w:rsidR="00914C06">
        <w:t xml:space="preserve">an </w:t>
      </w:r>
      <w:r w:rsidR="003822F5">
        <w:t xml:space="preserve">international </w:t>
      </w:r>
      <w:r w:rsidRPr="00914C06" w:rsidR="00914C06">
        <w:t>commercial flight</w:t>
      </w:r>
      <w:r w:rsidR="000216A7">
        <w:t xml:space="preserve"> to the United States</w:t>
      </w:r>
      <w:r w:rsidRPr="00914C06" w:rsidR="00914C06">
        <w:t>, which predictably require</w:t>
      </w:r>
      <w:r w:rsidR="009F3FF8">
        <w:t>d</w:t>
      </w:r>
      <w:r w:rsidRPr="00914C06" w:rsidR="00914C06">
        <w:t xml:space="preserve"> subjecting </w:t>
      </w:r>
      <w:r w:rsidR="00E10CA1">
        <w:t xml:space="preserve">himself </w:t>
      </w:r>
      <w:r w:rsidRPr="00914C06" w:rsidR="00914C06">
        <w:t xml:space="preserve">to the scrutiny of </w:t>
      </w:r>
      <w:r w:rsidR="000216A7">
        <w:t>U</w:t>
      </w:r>
      <w:r w:rsidR="00B160F5">
        <w:t xml:space="preserve">nited </w:t>
      </w:r>
      <w:r w:rsidR="000216A7">
        <w:t>S</w:t>
      </w:r>
      <w:r w:rsidR="00B160F5">
        <w:t>tates</w:t>
      </w:r>
      <w:r w:rsidR="000216A7">
        <w:t xml:space="preserve"> </w:t>
      </w:r>
      <w:r w:rsidRPr="00914C06" w:rsidR="00914C06">
        <w:t>immigration officials</w:t>
      </w:r>
      <w:r w:rsidR="003822F5">
        <w:t xml:space="preserve">, </w:t>
      </w:r>
      <w:r w:rsidR="00C74E56">
        <w:t xml:space="preserve">which is </w:t>
      </w:r>
      <w:r w:rsidRPr="00914C06" w:rsidR="00914C06">
        <w:t xml:space="preserve">not </w:t>
      </w:r>
      <w:r w:rsidR="000216A7">
        <w:t xml:space="preserve">consistent with </w:t>
      </w:r>
      <w:r w:rsidRPr="00914C06" w:rsidR="00914C06">
        <w:t xml:space="preserve">the behavior of </w:t>
      </w:r>
      <w:r w:rsidR="000216A7">
        <w:t xml:space="preserve">a person </w:t>
      </w:r>
      <w:r w:rsidRPr="00914C06" w:rsidR="00914C06">
        <w:t xml:space="preserve">who understood that his convictions effectively ended his lawful resident status.  </w:t>
      </w:r>
      <w:r w:rsidRPr="00914C06" w:rsidR="00EF602F">
        <w:t xml:space="preserve">(See </w:t>
      </w:r>
      <w:r w:rsidRPr="005B7AD4" w:rsidR="00EF602F">
        <w:rPr>
          <w:i/>
          <w:iCs/>
        </w:rPr>
        <w:t>People v. Alatorre</w:t>
      </w:r>
      <w:r w:rsidR="00EF602F">
        <w:t xml:space="preserve"> (2021)</w:t>
      </w:r>
      <w:r w:rsidRPr="00EE7B1E" w:rsidR="00EF602F">
        <w:t xml:space="preserve"> 70 Cal.App.5th 747, 770</w:t>
      </w:r>
      <w:r w:rsidR="00EF602F">
        <w:t xml:space="preserve"> </w:t>
      </w:r>
      <w:r w:rsidRPr="00914C06" w:rsidR="00EF602F">
        <w:t>[“It goes without saying that someone who understood his criminal conviction made him automatically deportable would not voluntarily contact immigration authorities and advise them of his presence in the country.</w:t>
      </w:r>
      <w:r w:rsidR="00EF602F">
        <w:t xml:space="preserve">”].)  </w:t>
      </w:r>
      <w:r w:rsidR="00075AFC">
        <w:t>T</w:t>
      </w:r>
      <w:r w:rsidR="000B441D">
        <w:t xml:space="preserve">he remaining question </w:t>
      </w:r>
      <w:r w:rsidR="004954FA">
        <w:t>is whether Espinoza established prejudicial error.</w:t>
      </w:r>
    </w:p>
    <w:p w:rsidR="007B521C" w:rsidP="00460719">
      <w:pPr>
        <w:ind w:firstLine="720"/>
      </w:pPr>
      <w:r w:rsidRPr="00B47553">
        <w:t>To determine</w:t>
      </w:r>
      <w:r w:rsidRPr="00B47553" w:rsidR="00ED374B">
        <w:t xml:space="preserve"> whether there is a reasonable </w:t>
      </w:r>
      <w:r w:rsidR="00177D24">
        <w:t>probability</w:t>
      </w:r>
      <w:r w:rsidRPr="00B47553" w:rsidR="00ED374B">
        <w:t xml:space="preserve"> a defendant would have rejected a plea offer if </w:t>
      </w:r>
      <w:r w:rsidR="003A1B8F">
        <w:t xml:space="preserve">he </w:t>
      </w:r>
      <w:r w:rsidRPr="00B47553" w:rsidR="00ED374B">
        <w:t xml:space="preserve">had understood its immigration consequences, courts must </w:t>
      </w:r>
      <w:r w:rsidR="008120CC">
        <w:t>“</w:t>
      </w:r>
      <w:r w:rsidRPr="00B47553" w:rsidR="00ED374B">
        <w:t xml:space="preserve">consider </w:t>
      </w:r>
      <w:r w:rsidR="008120CC">
        <w:t xml:space="preserve">the </w:t>
      </w:r>
      <w:r w:rsidRPr="00B47553" w:rsidR="00ED374B">
        <w:t>totality of the circumstances</w:t>
      </w:r>
      <w:r w:rsidR="008120CC">
        <w:t>.</w:t>
      </w:r>
      <w:r w:rsidRPr="00B47553" w:rsidR="00ED374B">
        <w:t>”  (</w:t>
      </w:r>
      <w:r w:rsidRPr="00B47553" w:rsidR="00ED374B">
        <w:rPr>
          <w:i/>
          <w:iCs/>
        </w:rPr>
        <w:t>Vivar</w:t>
      </w:r>
      <w:r w:rsidRPr="00B47553" w:rsidR="00ED374B">
        <w:t xml:space="preserve">, </w:t>
      </w:r>
      <w:r w:rsidRPr="00B47553" w:rsidR="00ED374B">
        <w:rPr>
          <w:i/>
          <w:iCs/>
        </w:rPr>
        <w:t>supra</w:t>
      </w:r>
      <w:r w:rsidRPr="00B47553" w:rsidR="00ED374B">
        <w:t xml:space="preserve">, 11 Cal.5th at p. 529.)  </w:t>
      </w:r>
      <w:r w:rsidRPr="00743666" w:rsidR="00174E55">
        <w:t>“</w:t>
      </w:r>
      <w:r w:rsidR="008120CC">
        <w:t xml:space="preserve">Factors particularly relevant to this inquiry include </w:t>
      </w:r>
      <w:r w:rsidRPr="00743666" w:rsidR="00174E55">
        <w:t>the defendant’s ties to the United States, the importance the defendant placed on avoiding deportation,</w:t>
      </w:r>
      <w:r w:rsidRPr="00743666" w:rsidR="00B4141A">
        <w:t xml:space="preserve"> </w:t>
      </w:r>
      <w:r w:rsidRPr="00743666" w:rsidR="00174E55">
        <w:t>the defendant’s priorities in seeking a plea bargain</w:t>
      </w:r>
      <w:r w:rsidRPr="00743666" w:rsidR="00705893">
        <w:t>, and whether the defendant had reason to believe an immigration-</w:t>
      </w:r>
      <w:r w:rsidR="006B65D5">
        <w:t>neutral</w:t>
      </w:r>
      <w:r w:rsidRPr="00743666" w:rsidR="006B65D5">
        <w:t xml:space="preserve"> </w:t>
      </w:r>
      <w:r w:rsidRPr="00743666" w:rsidR="00705893">
        <w:t>negotiated disposition was possible</w:t>
      </w:r>
      <w:r w:rsidRPr="00743666" w:rsidR="00174E55">
        <w:t>.”  (</w:t>
      </w:r>
      <w:r w:rsidR="008120CC">
        <w:rPr>
          <w:i/>
          <w:iCs/>
        </w:rPr>
        <w:t>Id.</w:t>
      </w:r>
      <w:r w:rsidRPr="00743666" w:rsidR="00174E55">
        <w:t xml:space="preserve"> at </w:t>
      </w:r>
      <w:r w:rsidRPr="00743666" w:rsidR="000B3A99">
        <w:t>p</w:t>
      </w:r>
      <w:r w:rsidR="004A0F0A">
        <w:t>p</w:t>
      </w:r>
      <w:r w:rsidRPr="00743666" w:rsidR="004A0F0A">
        <w:t>.</w:t>
      </w:r>
      <w:r w:rsidR="004A0F0A">
        <w:t> 529–</w:t>
      </w:r>
      <w:r w:rsidRPr="00743666" w:rsidR="00174E55">
        <w:t>530</w:t>
      </w:r>
      <w:r w:rsidR="00D6418E">
        <w:t xml:space="preserve">, citing </w:t>
      </w:r>
      <w:r w:rsidRPr="00743666" w:rsidR="00D6418E">
        <w:rPr>
          <w:i/>
          <w:iCs/>
        </w:rPr>
        <w:t>Lee v. United States</w:t>
      </w:r>
      <w:r w:rsidRPr="00743666" w:rsidR="00D6418E">
        <w:t xml:space="preserve"> (2017) </w:t>
      </w:r>
      <w:r w:rsidR="00D6418E">
        <w:t>582 U.S. __, __–__ [</w:t>
      </w:r>
      <w:r w:rsidRPr="00743666" w:rsidR="00D6418E">
        <w:t xml:space="preserve">137 S.Ct. 1958, </w:t>
      </w:r>
      <w:r w:rsidRPr="00CE6257" w:rsidR="00D6418E">
        <w:t>196</w:t>
      </w:r>
      <w:r w:rsidR="00D6418E">
        <w:t>7–</w:t>
      </w:r>
      <w:r w:rsidRPr="00CE6257" w:rsidR="00D6418E">
        <w:t>1969</w:t>
      </w:r>
      <w:r w:rsidR="00D6418E">
        <w:t>]</w:t>
      </w:r>
      <w:r w:rsidR="0034698C">
        <w:t xml:space="preserve"> (</w:t>
      </w:r>
      <w:r w:rsidR="0034698C">
        <w:rPr>
          <w:i/>
          <w:iCs/>
        </w:rPr>
        <w:t>Lee</w:t>
      </w:r>
      <w:r w:rsidR="0034698C">
        <w:t>)</w:t>
      </w:r>
      <w:r w:rsidR="00504D50">
        <w:t xml:space="preserve">; see </w:t>
      </w:r>
      <w:r w:rsidRPr="00B47553" w:rsidR="00504D50">
        <w:rPr>
          <w:i/>
          <w:iCs/>
        </w:rPr>
        <w:t>People v. Mejia</w:t>
      </w:r>
      <w:r w:rsidRPr="00B47553" w:rsidR="00504D50">
        <w:t xml:space="preserve"> (2019) 36 Cal.App.5th 859, </w:t>
      </w:r>
      <w:r w:rsidR="00504D50">
        <w:t>872–873</w:t>
      </w:r>
      <w:r w:rsidR="007371B8">
        <w:t xml:space="preserve"> (</w:t>
      </w:r>
      <w:r w:rsidR="007371B8">
        <w:rPr>
          <w:i/>
          <w:iCs/>
        </w:rPr>
        <w:t>Mejia</w:t>
      </w:r>
      <w:r w:rsidR="007371B8">
        <w:t>)</w:t>
      </w:r>
      <w:r w:rsidRPr="00B47553" w:rsidR="00504D50">
        <w:t>.</w:t>
      </w:r>
      <w:r w:rsidRPr="00743666" w:rsidR="00174E55">
        <w:t xml:space="preserve">) </w:t>
      </w:r>
      <w:r w:rsidRPr="00743666" w:rsidR="00FA2DF3">
        <w:t xml:space="preserve"> </w:t>
      </w:r>
      <w:r w:rsidRPr="00743666" w:rsidR="005A0C37">
        <w:t xml:space="preserve">Also relevant </w:t>
      </w:r>
      <w:r w:rsidR="00991C6B">
        <w:t>are</w:t>
      </w:r>
      <w:r w:rsidR="003A12A9">
        <w:t xml:space="preserve"> </w:t>
      </w:r>
      <w:r w:rsidRPr="00743666" w:rsidR="005A0C37">
        <w:t xml:space="preserve">the </w:t>
      </w:r>
      <w:r w:rsidR="001E3A8F">
        <w:t>defendant’s probability of obtaining a more favorable outcome</w:t>
      </w:r>
      <w:r w:rsidR="00504D50">
        <w:t xml:space="preserve"> if he had rejected the plea</w:t>
      </w:r>
      <w:r w:rsidR="001E3A8F">
        <w:t xml:space="preserve">, </w:t>
      </w:r>
      <w:r w:rsidR="00504D50">
        <w:t>as well as</w:t>
      </w:r>
      <w:r w:rsidR="001E3A8F">
        <w:t xml:space="preserve"> the </w:t>
      </w:r>
      <w:r w:rsidRPr="00743666" w:rsidR="00CE6257">
        <w:t>difference between the bargained</w:t>
      </w:r>
      <w:r w:rsidR="00504D50">
        <w:t>-</w:t>
      </w:r>
      <w:r w:rsidRPr="00743666" w:rsidR="00CE6257">
        <w:t xml:space="preserve">for term and the </w:t>
      </w:r>
      <w:r w:rsidR="00504D50">
        <w:t xml:space="preserve">likely </w:t>
      </w:r>
      <w:r w:rsidRPr="00743666" w:rsidR="00CE6257">
        <w:t>term if he were convicted at trial.</w:t>
      </w:r>
      <w:r w:rsidR="00CE6257">
        <w:t xml:space="preserve">  (</w:t>
      </w:r>
      <w:r w:rsidR="00504D50">
        <w:t xml:space="preserve">See </w:t>
      </w:r>
      <w:r w:rsidRPr="00B47553" w:rsidR="00150968">
        <w:rPr>
          <w:i/>
          <w:iCs/>
        </w:rPr>
        <w:t>People v. Martinez</w:t>
      </w:r>
      <w:r w:rsidRPr="00B47553" w:rsidR="00150968">
        <w:t xml:space="preserve"> (2013) 57 Cal.4th 555, 564</w:t>
      </w:r>
      <w:r w:rsidR="006A1F3B">
        <w:t xml:space="preserve"> (</w:t>
      </w:r>
      <w:r w:rsidR="006A1F3B">
        <w:rPr>
          <w:i/>
          <w:iCs/>
        </w:rPr>
        <w:t>Martinez</w:t>
      </w:r>
      <w:r w:rsidR="006A1F3B">
        <w:t>)</w:t>
      </w:r>
      <w:r w:rsidR="00CE6257">
        <w:t xml:space="preserve">.)  </w:t>
      </w:r>
      <w:r w:rsidRPr="00CE6257">
        <w:t>These</w:t>
      </w:r>
      <w:r w:rsidRPr="00B47553">
        <w:t xml:space="preserve"> </w:t>
      </w:r>
      <w:r w:rsidR="00504D50">
        <w:t>factors</w:t>
      </w:r>
      <w:r w:rsidRPr="00B47553">
        <w:t xml:space="preserve"> are not </w:t>
      </w:r>
      <w:r w:rsidRPr="00B47553" w:rsidR="00361FDC">
        <w:t>exhaustive,</w:t>
      </w:r>
      <w:r w:rsidRPr="00B47553">
        <w:t xml:space="preserve"> and no single type of evidence is a prerequisite to relief.  </w:t>
      </w:r>
    </w:p>
    <w:p w:rsidR="00E0335B" w:rsidRPr="00926E57" w:rsidP="00460719">
      <w:pPr>
        <w:ind w:firstLine="720"/>
      </w:pPr>
      <w:r>
        <w:t xml:space="preserve">A defendant must provide </w:t>
      </w:r>
      <w:r w:rsidRPr="00B47553">
        <w:t>“</w:t>
      </w:r>
      <w:r>
        <w:t> ‘</w:t>
      </w:r>
      <w:r w:rsidRPr="00B47553">
        <w:t>objective evidence</w:t>
      </w:r>
      <w:r>
        <w:t>’ </w:t>
      </w:r>
      <w:r w:rsidRPr="00B47553">
        <w:t>”</w:t>
      </w:r>
      <w:r>
        <w:t xml:space="preserve"> to corroborate factual assertions.  </w:t>
      </w:r>
      <w:r w:rsidRPr="00B47553">
        <w:t>(</w:t>
      </w:r>
      <w:r w:rsidRPr="00B47553">
        <w:rPr>
          <w:i/>
          <w:iCs/>
        </w:rPr>
        <w:t>Vivar</w:t>
      </w:r>
      <w:r w:rsidRPr="00B47553">
        <w:t xml:space="preserve">, </w:t>
      </w:r>
      <w:r w:rsidRPr="00396BFF">
        <w:rPr>
          <w:i/>
        </w:rPr>
        <w:t>supra</w:t>
      </w:r>
      <w:r w:rsidRPr="00B47553">
        <w:t>, 11 Cal.5</w:t>
      </w:r>
      <w:r w:rsidR="00247207">
        <w:t>th</w:t>
      </w:r>
      <w:r w:rsidRPr="00B47553">
        <w:t xml:space="preserve"> at </w:t>
      </w:r>
      <w:r>
        <w:t>p. </w:t>
      </w:r>
      <w:r w:rsidRPr="00B47553">
        <w:t xml:space="preserve">530.)  </w:t>
      </w:r>
      <w:r>
        <w:t xml:space="preserve">Objective evidence includes </w:t>
      </w:r>
      <w:r w:rsidR="00460719">
        <w:t xml:space="preserve">facts </w:t>
      </w:r>
      <w:r w:rsidR="00E40237">
        <w:t xml:space="preserve">provided by </w:t>
      </w:r>
      <w:r w:rsidR="00460719">
        <w:t>declaration</w:t>
      </w:r>
      <w:r w:rsidR="00E40237">
        <w:t>s</w:t>
      </w:r>
      <w:r w:rsidR="0082615C">
        <w:t xml:space="preserve">, contemporaneous </w:t>
      </w:r>
      <w:r w:rsidR="007B521C">
        <w:t>documentation</w:t>
      </w:r>
      <w:r w:rsidR="0082615C">
        <w:t xml:space="preserve"> </w:t>
      </w:r>
      <w:r w:rsidR="007B521C">
        <w:t>of</w:t>
      </w:r>
      <w:r w:rsidR="0082615C">
        <w:t xml:space="preserve"> the defendant’s immigration concerns</w:t>
      </w:r>
      <w:r w:rsidRPr="00905A88" w:rsidR="00905A88">
        <w:t xml:space="preserve"> </w:t>
      </w:r>
      <w:r w:rsidR="00E40237">
        <w:t>or interactions with counsel</w:t>
      </w:r>
      <w:r w:rsidR="002A26C1">
        <w:t xml:space="preserve">, </w:t>
      </w:r>
      <w:r w:rsidR="00387788">
        <w:t>and</w:t>
      </w:r>
      <w:r w:rsidR="001C0BC9">
        <w:t xml:space="preserve"> </w:t>
      </w:r>
      <w:r w:rsidR="00D2016C">
        <w:t>evidence</w:t>
      </w:r>
      <w:r w:rsidR="001C0BC9">
        <w:t xml:space="preserve"> </w:t>
      </w:r>
      <w:r w:rsidR="00D2016C">
        <w:t xml:space="preserve">of </w:t>
      </w:r>
      <w:r w:rsidR="002A26C1">
        <w:t xml:space="preserve">the charges the defendant faced.  (See </w:t>
      </w:r>
      <w:r w:rsidR="002A26C1">
        <w:rPr>
          <w:i/>
          <w:iCs/>
        </w:rPr>
        <w:t>Vivar</w:t>
      </w:r>
      <w:r w:rsidR="002A26C1">
        <w:t xml:space="preserve">, </w:t>
      </w:r>
      <w:r w:rsidR="002A26C1">
        <w:rPr>
          <w:i/>
          <w:iCs/>
        </w:rPr>
        <w:t>supra</w:t>
      </w:r>
      <w:r w:rsidR="002A26C1">
        <w:t xml:space="preserve">, </w:t>
      </w:r>
      <w:r w:rsidR="00EF7D2B">
        <w:t xml:space="preserve">11 Cal.5th at </w:t>
      </w:r>
      <w:r w:rsidR="00281A18">
        <w:t>p</w:t>
      </w:r>
      <w:r w:rsidR="00EF7D2B">
        <w:t>p.</w:t>
      </w:r>
      <w:r w:rsidR="00281A18">
        <w:t> </w:t>
      </w:r>
      <w:r w:rsidR="00461DE7">
        <w:t xml:space="preserve">530–531; </w:t>
      </w:r>
      <w:r w:rsidR="00461DE7">
        <w:rPr>
          <w:i/>
          <w:iCs/>
        </w:rPr>
        <w:t>Lee</w:t>
      </w:r>
      <w:r w:rsidR="00461DE7">
        <w:t>,</w:t>
      </w:r>
      <w:r w:rsidR="00EC7431">
        <w:t xml:space="preserve"> </w:t>
      </w:r>
      <w:r w:rsidR="00EC7431">
        <w:rPr>
          <w:i/>
          <w:iCs/>
        </w:rPr>
        <w:t>supra</w:t>
      </w:r>
      <w:r w:rsidR="00EC7431">
        <w:t xml:space="preserve">, </w:t>
      </w:r>
      <w:r w:rsidR="00281A18">
        <w:t>582</w:t>
      </w:r>
      <w:r w:rsidR="00EC7431">
        <w:t xml:space="preserve"> U.S. at p. __ [137 S.Ct. at p.</w:t>
      </w:r>
      <w:r w:rsidR="009F0069">
        <w:t> </w:t>
      </w:r>
      <w:r w:rsidR="00EC7431">
        <w:t>196</w:t>
      </w:r>
      <w:r w:rsidR="009F0069">
        <w:t>1</w:t>
      </w:r>
      <w:r w:rsidR="00EC7431">
        <w:t>].)</w:t>
      </w:r>
    </w:p>
    <w:p w:rsidR="00C776E9" w:rsidRPr="00B47553" w:rsidP="00D6418E">
      <w:pPr>
        <w:ind w:firstLine="720"/>
      </w:pPr>
      <w:r>
        <w:t xml:space="preserve">Espinoza supported his </w:t>
      </w:r>
      <w:r w:rsidR="002721D0">
        <w:t xml:space="preserve">section 1473.7 </w:t>
      </w:r>
      <w:r>
        <w:t>claim with evidence regarding his biographical history and ties to the United States</w:t>
      </w:r>
      <w:r w:rsidR="007D376C">
        <w:t>;</w:t>
      </w:r>
      <w:r>
        <w:t xml:space="preserve"> </w:t>
      </w:r>
      <w:r w:rsidR="00EA1F0A">
        <w:t xml:space="preserve">his lack of a criminal record; </w:t>
      </w:r>
      <w:r w:rsidR="000D67F3">
        <w:t xml:space="preserve">his community involvement following his conviction; </w:t>
      </w:r>
      <w:r w:rsidR="00EA1F0A">
        <w:t xml:space="preserve">and </w:t>
      </w:r>
      <w:r w:rsidR="007D376C">
        <w:t xml:space="preserve">a declaration from an immigration law expert </w:t>
      </w:r>
      <w:r w:rsidR="00BB4296">
        <w:t>explaining that</w:t>
      </w:r>
      <w:r w:rsidR="000B1B21">
        <w:t xml:space="preserve"> he </w:t>
      </w:r>
      <w:r w:rsidRPr="00B47553" w:rsidR="000B1B21">
        <w:t>could have ple</w:t>
      </w:r>
      <w:r w:rsidR="006B65D5">
        <w:t>a</w:t>
      </w:r>
      <w:r w:rsidRPr="00B47553" w:rsidR="000B1B21">
        <w:t>d</w:t>
      </w:r>
      <w:r w:rsidR="006B65D5">
        <w:t>ed</w:t>
      </w:r>
      <w:r w:rsidRPr="00B47553" w:rsidR="000B1B21">
        <w:t xml:space="preserve"> to </w:t>
      </w:r>
      <w:r w:rsidR="000B1B21">
        <w:t xml:space="preserve">alternative, </w:t>
      </w:r>
      <w:r w:rsidRPr="00B47553" w:rsidR="000B1B21">
        <w:t>immigration-</w:t>
      </w:r>
      <w:r w:rsidR="000B1B21">
        <w:t>safe</w:t>
      </w:r>
      <w:r w:rsidRPr="00B47553" w:rsidR="000B1B21">
        <w:t xml:space="preserve"> disposition</w:t>
      </w:r>
      <w:r w:rsidR="009A2487">
        <w:t>s</w:t>
      </w:r>
      <w:r w:rsidR="00D6418E">
        <w:t xml:space="preserve">.  In the proceedings below, the </w:t>
      </w:r>
      <w:r w:rsidR="006B65D5">
        <w:t>d</w:t>
      </w:r>
      <w:r w:rsidR="00D6418E">
        <w:t xml:space="preserve">istrict </w:t>
      </w:r>
      <w:r w:rsidR="006B65D5">
        <w:t>a</w:t>
      </w:r>
      <w:r w:rsidR="00D6418E">
        <w:t xml:space="preserve">ttorney and the Attorney General opposed Espinoza’s motions to vacate his convictions.  The Attorney General has since reversed his position and now agrees that Espinoza’s evidentiary showing establishes prejudicial error within the meaning of section 1473.7.  </w:t>
      </w:r>
      <w:r w:rsidR="007B3780">
        <w:t>A</w:t>
      </w:r>
      <w:r w:rsidR="00CF5A52">
        <w:t>pply</w:t>
      </w:r>
      <w:r w:rsidR="007B3780">
        <w:t>ing</w:t>
      </w:r>
      <w:r w:rsidR="00CF5A52">
        <w:t xml:space="preserve"> our independent judgment</w:t>
      </w:r>
      <w:r w:rsidR="007B3780">
        <w:t>, we</w:t>
      </w:r>
      <w:r w:rsidR="00CF5A52">
        <w:t xml:space="preserve"> </w:t>
      </w:r>
      <w:r w:rsidRPr="00C908A8" w:rsidR="00C908A8">
        <w:t xml:space="preserve">weigh all relevant circumstances, </w:t>
      </w:r>
      <w:r w:rsidR="00042CA0">
        <w:t>with no</w:t>
      </w:r>
      <w:r w:rsidRPr="00C908A8" w:rsidR="00C908A8">
        <w:t xml:space="preserve"> single factor </w:t>
      </w:r>
      <w:r w:rsidR="00042CA0">
        <w:t xml:space="preserve">being </w:t>
      </w:r>
      <w:r w:rsidRPr="00C908A8" w:rsidR="00C908A8">
        <w:t xml:space="preserve">dispositive </w:t>
      </w:r>
      <w:r w:rsidR="00042CA0">
        <w:t xml:space="preserve">in our </w:t>
      </w:r>
      <w:r w:rsidRPr="00C908A8" w:rsidR="00C908A8">
        <w:t>consideration of the totality</w:t>
      </w:r>
      <w:r w:rsidR="007B3780">
        <w:t>,</w:t>
      </w:r>
      <w:r w:rsidR="009267D4">
        <w:t xml:space="preserve"> and reach the same conclusion</w:t>
      </w:r>
      <w:r w:rsidRPr="00C908A8" w:rsidR="00C908A8">
        <w:t>.</w:t>
      </w:r>
      <w:r w:rsidR="00C908A8">
        <w:t xml:space="preserve">  </w:t>
      </w:r>
    </w:p>
    <w:p w:rsidR="00901AFA" w:rsidRPr="00E35B80" w:rsidP="00E35B80">
      <w:pPr>
        <w:jc w:val="center"/>
        <w:rPr>
          <w:b/>
          <w:bCs/>
        </w:rPr>
      </w:pPr>
      <w:r>
        <w:rPr>
          <w:b/>
          <w:bCs/>
        </w:rPr>
        <w:t xml:space="preserve">A. </w:t>
      </w:r>
    </w:p>
    <w:p w:rsidR="002618A6" w:rsidRPr="00396BFF" w:rsidP="00D6418E">
      <w:pPr>
        <w:ind w:firstLine="720"/>
      </w:pPr>
      <w:r>
        <w:t>T</w:t>
      </w:r>
      <w:r w:rsidRPr="00B47553" w:rsidR="004E769F">
        <w:t xml:space="preserve">ies to the United States are an important factor in evaluating </w:t>
      </w:r>
      <w:r w:rsidR="00347481">
        <w:t xml:space="preserve">prejudicial error under </w:t>
      </w:r>
      <w:r w:rsidRPr="00B47553" w:rsidR="004E769F">
        <w:t>section 1473.7</w:t>
      </w:r>
      <w:r w:rsidRPr="00D05418">
        <w:t xml:space="preserve"> </w:t>
      </w:r>
      <w:r>
        <w:t>because they shed light on a defendant’s immigration priorities</w:t>
      </w:r>
      <w:r w:rsidRPr="00B47553" w:rsidR="004E769F">
        <w:t>.  (</w:t>
      </w:r>
      <w:r w:rsidRPr="00B47553" w:rsidR="004E769F">
        <w:rPr>
          <w:i/>
          <w:iCs/>
        </w:rPr>
        <w:t>Vivar</w:t>
      </w:r>
      <w:r w:rsidRPr="00B47553" w:rsidR="004E769F">
        <w:t xml:space="preserve">, </w:t>
      </w:r>
      <w:r w:rsidRPr="00B47553" w:rsidR="004E769F">
        <w:rPr>
          <w:i/>
          <w:iCs/>
        </w:rPr>
        <w:t>supra</w:t>
      </w:r>
      <w:r w:rsidRPr="00B47553" w:rsidR="004E769F">
        <w:t xml:space="preserve">, 11 Cal. 5th at </w:t>
      </w:r>
      <w:r w:rsidR="000B3A99">
        <w:t>p</w:t>
      </w:r>
      <w:r w:rsidR="007450E3">
        <w:t>. </w:t>
      </w:r>
      <w:r w:rsidRPr="00B47553" w:rsidR="004E769F">
        <w:t xml:space="preserve">530.)  </w:t>
      </w:r>
      <w:r w:rsidR="00290227">
        <w:t>“[W]</w:t>
      </w:r>
      <w:r w:rsidRPr="00290227" w:rsidR="00290227">
        <w:t>hen long-standing noncitizen residents of this country are accused of committing a crime, the most devastating consequence may not be a prison sentence, but their removal and exclusion from the United States.</w:t>
      </w:r>
      <w:r w:rsidR="00290227">
        <w:t>”</w:t>
      </w:r>
      <w:r w:rsidRPr="00290227" w:rsidR="00290227">
        <w:t xml:space="preserve"> </w:t>
      </w:r>
      <w:r w:rsidR="00EF4739">
        <w:t xml:space="preserve"> (</w:t>
      </w:r>
      <w:r w:rsidR="00EF4739">
        <w:rPr>
          <w:i/>
          <w:iCs/>
        </w:rPr>
        <w:t>Id.</w:t>
      </w:r>
      <w:r w:rsidRPr="00F41D07" w:rsidR="00EF4739">
        <w:rPr>
          <w:i/>
        </w:rPr>
        <w:t xml:space="preserve"> </w:t>
      </w:r>
      <w:r w:rsidR="00EF4739">
        <w:t xml:space="preserve">at </w:t>
      </w:r>
      <w:r w:rsidR="00022485">
        <w:t>p. </w:t>
      </w:r>
      <w:r w:rsidR="00EF4739">
        <w:t xml:space="preserve">516.)  </w:t>
      </w:r>
      <w:r w:rsidR="007E3060">
        <w:t xml:space="preserve">Depending on the strength of a defendant’s community ties, </w:t>
      </w:r>
      <w:r w:rsidR="0044662A">
        <w:t>“</w:t>
      </w:r>
      <w:r w:rsidR="007E3060">
        <w:t>t</w:t>
      </w:r>
      <w:r w:rsidRPr="0044662A" w:rsidR="0044662A">
        <w:t>he prospect of deportation</w:t>
      </w:r>
      <w:r w:rsidR="0002754A">
        <w:t>” may be</w:t>
      </w:r>
      <w:r w:rsidRPr="0044662A" w:rsidR="0044662A">
        <w:t xml:space="preserve"> </w:t>
      </w:r>
      <w:r w:rsidR="0002754A">
        <w:t>“</w:t>
      </w:r>
      <w:r w:rsidR="00D6418E">
        <w:t> </w:t>
      </w:r>
      <w:r w:rsidR="00F253C8">
        <w:t>‘</w:t>
      </w:r>
      <w:r w:rsidRPr="0044662A" w:rsidR="0044662A">
        <w:t>an integral part</w:t>
      </w:r>
      <w:r w:rsidR="00F253C8">
        <w:t>’</w:t>
      </w:r>
      <w:r w:rsidR="00D6418E">
        <w:t> </w:t>
      </w:r>
      <w:r w:rsidR="004A1718">
        <w:t>”</w:t>
      </w:r>
      <w:r w:rsidR="001D7D21">
        <w:t xml:space="preserve"> or </w:t>
      </w:r>
      <w:r w:rsidRPr="0044662A" w:rsidR="0044662A">
        <w:t>“</w:t>
      </w:r>
      <w:r w:rsidR="00D6418E">
        <w:t> </w:t>
      </w:r>
      <w:r w:rsidR="00FB7DD8">
        <w:t>‘</w:t>
      </w:r>
      <w:r w:rsidRPr="0044662A" w:rsidR="0044662A">
        <w:t>the most important part</w:t>
      </w:r>
      <w:r w:rsidR="00F253C8">
        <w:t>’</w:t>
      </w:r>
      <w:r w:rsidR="00D6418E">
        <w:t> </w:t>
      </w:r>
      <w:r w:rsidR="007B69E9">
        <w:t>”</w:t>
      </w:r>
      <w:r w:rsidR="006C5494">
        <w:t xml:space="preserve"> </w:t>
      </w:r>
      <w:r w:rsidRPr="0044662A" w:rsidR="0044662A">
        <w:t>of</w:t>
      </w:r>
      <w:r w:rsidR="007B69E9">
        <w:t xml:space="preserve"> </w:t>
      </w:r>
      <w:r w:rsidR="00AF2550">
        <w:t xml:space="preserve">the defendant’s </w:t>
      </w:r>
      <w:r w:rsidR="006C5494">
        <w:t>“</w:t>
      </w:r>
      <w:r w:rsidRPr="0044662A" w:rsidR="0044662A">
        <w:t>calculus in responding to certain criminal charges</w:t>
      </w:r>
      <w:r w:rsidR="00F253C8">
        <w:t>.”  (</w:t>
      </w:r>
      <w:r w:rsidR="00F253C8">
        <w:rPr>
          <w:i/>
          <w:iCs/>
        </w:rPr>
        <w:t>Ibid.</w:t>
      </w:r>
      <w:r w:rsidR="00F253C8">
        <w:t>)</w:t>
      </w:r>
      <w:r w:rsidR="00633A58">
        <w:t xml:space="preserve"> </w:t>
      </w:r>
      <w:r w:rsidR="00D6418E">
        <w:t xml:space="preserve"> C</w:t>
      </w:r>
      <w:r w:rsidRPr="00B47553" w:rsidR="00063428">
        <w:t xml:space="preserve">ommunity ties may be </w:t>
      </w:r>
      <w:r w:rsidRPr="00B47553" w:rsidR="008E31E7">
        <w:t xml:space="preserve">established by </w:t>
      </w:r>
      <w:r w:rsidRPr="00B47553" w:rsidR="00063428">
        <w:t xml:space="preserve">length of residence; immigration status; </w:t>
      </w:r>
      <w:r w:rsidR="00E00794">
        <w:t xml:space="preserve">lack of connection to </w:t>
      </w:r>
      <w:r w:rsidR="00381793">
        <w:t xml:space="preserve">the </w:t>
      </w:r>
      <w:r w:rsidR="00E00794">
        <w:t xml:space="preserve">country of origin; </w:t>
      </w:r>
      <w:r w:rsidRPr="00B47553" w:rsidR="00063428">
        <w:t xml:space="preserve">connections to family, friends, or the community; work history or financial ties; or other forms of attachment.  </w:t>
      </w:r>
      <w:r w:rsidRPr="00B47553" w:rsidR="0066001D">
        <w:t>(</w:t>
      </w:r>
      <w:r w:rsidR="00D6418E">
        <w:rPr>
          <w:i/>
          <w:iCs/>
        </w:rPr>
        <w:t>I</w:t>
      </w:r>
      <w:r w:rsidR="002866BD">
        <w:rPr>
          <w:i/>
          <w:iCs/>
        </w:rPr>
        <w:t xml:space="preserve">d. </w:t>
      </w:r>
      <w:r w:rsidR="002866BD">
        <w:t xml:space="preserve">at </w:t>
      </w:r>
      <w:r w:rsidR="003158A9">
        <w:t>p. </w:t>
      </w:r>
      <w:r w:rsidR="002866BD">
        <w:t>530</w:t>
      </w:r>
      <w:r w:rsidR="009F2278">
        <w:t xml:space="preserve">; </w:t>
      </w:r>
      <w:r w:rsidR="00EA5F34">
        <w:t xml:space="preserve">see </w:t>
      </w:r>
      <w:r w:rsidRPr="00B47553" w:rsidR="006137F3">
        <w:rPr>
          <w:i/>
          <w:iCs/>
        </w:rPr>
        <w:t xml:space="preserve">People v. Rodriguez </w:t>
      </w:r>
      <w:r w:rsidRPr="00B47553" w:rsidR="006137F3">
        <w:t>(2021) 68</w:t>
      </w:r>
      <w:r w:rsidR="00B53A0D">
        <w:t xml:space="preserve"> </w:t>
      </w:r>
      <w:r w:rsidRPr="00B47553" w:rsidR="006137F3">
        <w:t xml:space="preserve">Cal.App.5th 301, </w:t>
      </w:r>
      <w:r w:rsidR="00814257">
        <w:t>324–</w:t>
      </w:r>
      <w:r w:rsidRPr="00B47553" w:rsidR="0066001D">
        <w:t>32</w:t>
      </w:r>
      <w:r w:rsidR="00234D62">
        <w:t>5</w:t>
      </w:r>
      <w:r w:rsidR="006341A0">
        <w:t xml:space="preserve"> (</w:t>
      </w:r>
      <w:r w:rsidR="006341A0">
        <w:rPr>
          <w:i/>
          <w:iCs/>
        </w:rPr>
        <w:t>Rodriguez</w:t>
      </w:r>
      <w:r w:rsidR="006341A0">
        <w:t>)</w:t>
      </w:r>
      <w:r w:rsidRPr="00B47553" w:rsidR="0066001D">
        <w:t xml:space="preserve">; </w:t>
      </w:r>
      <w:r w:rsidRPr="00B47553" w:rsidR="0066001D">
        <w:rPr>
          <w:i/>
          <w:iCs/>
        </w:rPr>
        <w:t xml:space="preserve">People v. Lopez </w:t>
      </w:r>
      <w:r w:rsidRPr="00B47553" w:rsidR="0066001D">
        <w:t>(2021) 66 Cal.App.5th 561, 581</w:t>
      </w:r>
      <w:r w:rsidR="008922EA">
        <w:t xml:space="preserve"> (</w:t>
      </w:r>
      <w:r w:rsidR="008922EA">
        <w:rPr>
          <w:i/>
          <w:iCs/>
        </w:rPr>
        <w:t>Lopez</w:t>
      </w:r>
      <w:r w:rsidR="008922EA">
        <w:t>)</w:t>
      </w:r>
      <w:r w:rsidRPr="00B47553" w:rsidR="0066001D">
        <w:t xml:space="preserve">; </w:t>
      </w:r>
      <w:r w:rsidRPr="00B47553" w:rsidR="00272DEE">
        <w:rPr>
          <w:i/>
          <w:iCs/>
        </w:rPr>
        <w:t>People v. Soto</w:t>
      </w:r>
      <w:r w:rsidRPr="00B47553" w:rsidR="00272DEE">
        <w:t xml:space="preserve"> (2022) 79 Cal.App.5th 602, 610</w:t>
      </w:r>
      <w:r w:rsidR="006341A0">
        <w:t xml:space="preserve"> (</w:t>
      </w:r>
      <w:r w:rsidR="006341A0">
        <w:rPr>
          <w:i/>
          <w:iCs/>
        </w:rPr>
        <w:t>Soto</w:t>
      </w:r>
      <w:r w:rsidR="006341A0">
        <w:t>)</w:t>
      </w:r>
      <w:r w:rsidRPr="00B47553" w:rsidR="0066001D">
        <w:t>.)</w:t>
      </w:r>
      <w:r w:rsidRPr="00B47553" w:rsidR="008E31E7">
        <w:t xml:space="preserve">  </w:t>
      </w:r>
    </w:p>
    <w:p w:rsidR="00063CE3" w:rsidRPr="008F3C5A" w:rsidP="008F3C5A">
      <w:pPr>
        <w:ind w:firstLine="720"/>
      </w:pPr>
      <w:r>
        <w:t xml:space="preserve">Objective evidence </w:t>
      </w:r>
      <w:r w:rsidR="00887BE2">
        <w:t xml:space="preserve">of a defendant’s community ties </w:t>
      </w:r>
      <w:r>
        <w:t>includes facts provided by a</w:t>
      </w:r>
      <w:r w:rsidR="002618A6">
        <w:t xml:space="preserve"> </w:t>
      </w:r>
      <w:r w:rsidRPr="00B47553" w:rsidR="002618A6">
        <w:t xml:space="preserve">defendant’s declaration </w:t>
      </w:r>
      <w:r w:rsidR="002618A6">
        <w:t xml:space="preserve">or declarations from </w:t>
      </w:r>
      <w:r w:rsidRPr="00B47553" w:rsidR="002618A6">
        <w:t>family members, friends,</w:t>
      </w:r>
      <w:r w:rsidR="002618A6">
        <w:t xml:space="preserve"> colleagues,</w:t>
      </w:r>
      <w:r w:rsidRPr="00B47553" w:rsidR="002618A6">
        <w:t xml:space="preserve"> community members, or other acquaintances.  (</w:t>
      </w:r>
      <w:r w:rsidRPr="00B47553" w:rsidR="00334CED">
        <w:rPr>
          <w:i/>
          <w:iCs/>
        </w:rPr>
        <w:t>Vivar</w:t>
      </w:r>
      <w:r w:rsidRPr="00B47553" w:rsidR="00334CED">
        <w:t xml:space="preserve">, </w:t>
      </w:r>
      <w:r w:rsidRPr="00B47553" w:rsidR="00334CED">
        <w:rPr>
          <w:i/>
          <w:iCs/>
        </w:rPr>
        <w:t>supra</w:t>
      </w:r>
      <w:r w:rsidRPr="00B47553" w:rsidR="00334CED">
        <w:t xml:space="preserve">, 11 Cal. 5th at </w:t>
      </w:r>
      <w:r w:rsidR="00334CED">
        <w:t>p. </w:t>
      </w:r>
      <w:r w:rsidRPr="00B47553" w:rsidR="00334CED">
        <w:t>530</w:t>
      </w:r>
      <w:r w:rsidR="002618A6">
        <w:t>;</w:t>
      </w:r>
      <w:r w:rsidR="00D6418E">
        <w:t xml:space="preserve"> see</w:t>
      </w:r>
      <w:r w:rsidR="002618A6">
        <w:t xml:space="preserve"> </w:t>
      </w:r>
      <w:r w:rsidRPr="00F96171" w:rsidR="002618A6">
        <w:rPr>
          <w:i/>
          <w:iCs/>
        </w:rPr>
        <w:t>Lopez</w:t>
      </w:r>
      <w:r w:rsidR="002618A6">
        <w:t xml:space="preserve">, </w:t>
      </w:r>
      <w:r w:rsidR="002618A6">
        <w:rPr>
          <w:i/>
          <w:iCs/>
        </w:rPr>
        <w:t>supra</w:t>
      </w:r>
      <w:r w:rsidR="002618A6">
        <w:t xml:space="preserve">, </w:t>
      </w:r>
      <w:r w:rsidRPr="00F96171" w:rsidR="002618A6">
        <w:t>66</w:t>
      </w:r>
      <w:r w:rsidRPr="00B47553" w:rsidR="002618A6">
        <w:t xml:space="preserve"> Cal.App.5th </w:t>
      </w:r>
      <w:r w:rsidR="002618A6">
        <w:t>at p.</w:t>
      </w:r>
      <w:r w:rsidR="00D6418E">
        <w:t> </w:t>
      </w:r>
      <w:r w:rsidRPr="00B47553" w:rsidR="002618A6">
        <w:t xml:space="preserve">581; </w:t>
      </w:r>
      <w:r w:rsidR="006341A0">
        <w:rPr>
          <w:i/>
          <w:iCs/>
        </w:rPr>
        <w:t xml:space="preserve">People v. </w:t>
      </w:r>
      <w:r w:rsidRPr="00B47553" w:rsidR="002618A6">
        <w:rPr>
          <w:i/>
          <w:iCs/>
        </w:rPr>
        <w:t>Ogunmowo</w:t>
      </w:r>
      <w:r w:rsidR="002618A6">
        <w:t xml:space="preserve"> </w:t>
      </w:r>
      <w:r w:rsidR="006341A0">
        <w:t>(2018)</w:t>
      </w:r>
      <w:r w:rsidR="002618A6">
        <w:t xml:space="preserve"> </w:t>
      </w:r>
      <w:r w:rsidRPr="00B47553" w:rsidR="002618A6">
        <w:t>23</w:t>
      </w:r>
      <w:r w:rsidR="00640618">
        <w:t xml:space="preserve"> </w:t>
      </w:r>
      <w:r w:rsidRPr="00B47553" w:rsidR="002618A6">
        <w:t xml:space="preserve">Cal.App.5th </w:t>
      </w:r>
      <w:r w:rsidR="006341A0">
        <w:t>67,</w:t>
      </w:r>
      <w:r w:rsidR="00D6418E">
        <w:t> </w:t>
      </w:r>
      <w:r w:rsidRPr="00B47553" w:rsidR="002618A6">
        <w:t>7</w:t>
      </w:r>
      <w:r w:rsidR="002618A6">
        <w:t>3</w:t>
      </w:r>
      <w:r w:rsidRPr="00B47553" w:rsidR="002618A6">
        <w:t>;</w:t>
      </w:r>
      <w:r w:rsidRPr="00B47553" w:rsidR="002618A6">
        <w:rPr>
          <w:i/>
          <w:iCs/>
        </w:rPr>
        <w:t xml:space="preserve"> </w:t>
      </w:r>
      <w:r w:rsidRPr="00F81DC6" w:rsidR="002618A6">
        <w:rPr>
          <w:i/>
          <w:iCs/>
        </w:rPr>
        <w:t>Soto</w:t>
      </w:r>
      <w:r w:rsidRPr="00F81DC6" w:rsidR="002618A6">
        <w:t>,</w:t>
      </w:r>
      <w:r w:rsidR="002618A6">
        <w:t xml:space="preserve"> </w:t>
      </w:r>
      <w:r w:rsidR="002618A6">
        <w:rPr>
          <w:i/>
          <w:iCs/>
        </w:rPr>
        <w:t>supra</w:t>
      </w:r>
      <w:r w:rsidR="002618A6">
        <w:t>,</w:t>
      </w:r>
      <w:r w:rsidRPr="00F81DC6" w:rsidR="002618A6">
        <w:t xml:space="preserve"> 79 Cal.App.5th </w:t>
      </w:r>
      <w:r w:rsidR="002618A6">
        <w:t>at p.</w:t>
      </w:r>
      <w:r w:rsidR="00D6418E">
        <w:t> </w:t>
      </w:r>
      <w:r w:rsidRPr="00F81DC6" w:rsidR="002618A6">
        <w:t xml:space="preserve">610; </w:t>
      </w:r>
      <w:r w:rsidRPr="00B47553" w:rsidR="002618A6">
        <w:rPr>
          <w:i/>
          <w:iCs/>
        </w:rPr>
        <w:t>Rodriguez</w:t>
      </w:r>
      <w:r w:rsidRPr="00B47553" w:rsidR="002618A6">
        <w:t xml:space="preserve">, </w:t>
      </w:r>
      <w:r w:rsidRPr="00B47553" w:rsidR="002618A6">
        <w:rPr>
          <w:i/>
          <w:iCs/>
        </w:rPr>
        <w:t>supra</w:t>
      </w:r>
      <w:r w:rsidRPr="00B47553" w:rsidR="002618A6">
        <w:t>,</w:t>
      </w:r>
      <w:r w:rsidRPr="00B47553" w:rsidR="002618A6">
        <w:rPr>
          <w:i/>
          <w:iCs/>
        </w:rPr>
        <w:t xml:space="preserve"> </w:t>
      </w:r>
      <w:r w:rsidRPr="00B47553" w:rsidR="002618A6">
        <w:t>68</w:t>
      </w:r>
      <w:r w:rsidR="00FF0EF6">
        <w:t xml:space="preserve"> </w:t>
      </w:r>
      <w:r w:rsidRPr="00B47553" w:rsidR="002618A6">
        <w:t>Cal.App.5th at p</w:t>
      </w:r>
      <w:r w:rsidR="002618A6">
        <w:t>p</w:t>
      </w:r>
      <w:r w:rsidRPr="00B47553" w:rsidR="002618A6">
        <w:t>.</w:t>
      </w:r>
      <w:r w:rsidR="00D6418E">
        <w:t> </w:t>
      </w:r>
      <w:r w:rsidR="002618A6">
        <w:t>324–</w:t>
      </w:r>
      <w:r w:rsidRPr="00B47553" w:rsidR="002618A6">
        <w:t>32</w:t>
      </w:r>
      <w:r w:rsidR="002618A6">
        <w:t>5.)</w:t>
      </w:r>
      <w:r w:rsidR="008F3C5A">
        <w:t xml:space="preserve">  </w:t>
      </w:r>
      <w:r w:rsidR="00BF3F86">
        <w:t>T</w:t>
      </w:r>
      <w:r w:rsidR="008F3C5A">
        <w:t xml:space="preserve">he Court of Appeal erred by </w:t>
      </w:r>
      <w:r w:rsidR="0080117E">
        <w:t>disregarding</w:t>
      </w:r>
      <w:r w:rsidR="008F3C5A">
        <w:t xml:space="preserve"> Espinoza’s declaration on the basis that it did not constitute </w:t>
      </w:r>
      <w:r w:rsidR="00E71715">
        <w:t xml:space="preserve">objective </w:t>
      </w:r>
      <w:r w:rsidRPr="00B47553" w:rsidR="002618A6">
        <w:t>evidence</w:t>
      </w:r>
      <w:r w:rsidR="00E71715">
        <w:t>.</w:t>
      </w:r>
      <w:r w:rsidRPr="00B47553" w:rsidR="002618A6">
        <w:t xml:space="preserve">  </w:t>
      </w:r>
      <w:r w:rsidR="00FF1B41">
        <w:t xml:space="preserve">We made clear in </w:t>
      </w:r>
      <w:r w:rsidR="00FF1B41">
        <w:rPr>
          <w:i/>
          <w:iCs/>
        </w:rPr>
        <w:t>Vivar</w:t>
      </w:r>
      <w:r w:rsidR="00FF1B41">
        <w:t xml:space="preserve"> </w:t>
      </w:r>
      <w:r w:rsidRPr="00B47553" w:rsidR="002618A6">
        <w:t xml:space="preserve">that a defendant’s declaration </w:t>
      </w:r>
      <w:r w:rsidR="0007159E">
        <w:t>is one form of</w:t>
      </w:r>
      <w:r w:rsidRPr="00B47553" w:rsidR="002618A6">
        <w:t xml:space="preserve"> objective evidence </w:t>
      </w:r>
      <w:r w:rsidR="002618A6">
        <w:t xml:space="preserve">relevant to a </w:t>
      </w:r>
      <w:r w:rsidRPr="00B47553" w:rsidR="002618A6">
        <w:t xml:space="preserve">prejudicial error </w:t>
      </w:r>
      <w:r w:rsidR="002618A6">
        <w:t>inquiry</w:t>
      </w:r>
      <w:r w:rsidRPr="00B47553" w:rsidR="002618A6">
        <w:t>.  (</w:t>
      </w:r>
      <w:r w:rsidRPr="00B47553" w:rsidR="002618A6">
        <w:rPr>
          <w:i/>
          <w:iCs/>
        </w:rPr>
        <w:t>Vivar</w:t>
      </w:r>
      <w:r w:rsidRPr="00B47553" w:rsidR="002618A6">
        <w:t xml:space="preserve">, </w:t>
      </w:r>
      <w:r w:rsidRPr="00B47553" w:rsidR="002618A6">
        <w:rPr>
          <w:i/>
          <w:iCs/>
        </w:rPr>
        <w:t>supra</w:t>
      </w:r>
      <w:r w:rsidRPr="00B47553" w:rsidR="002618A6">
        <w:t>,</w:t>
      </w:r>
      <w:r w:rsidRPr="00B47553" w:rsidR="002618A6">
        <w:rPr>
          <w:i/>
          <w:iCs/>
        </w:rPr>
        <w:t xml:space="preserve"> </w:t>
      </w:r>
      <w:r w:rsidRPr="00B47553" w:rsidR="002618A6">
        <w:t>11 Cal.5th at p.</w:t>
      </w:r>
      <w:r w:rsidR="00FF1B41">
        <w:t> </w:t>
      </w:r>
      <w:r w:rsidRPr="00B47553" w:rsidR="002618A6">
        <w:t>530</w:t>
      </w:r>
      <w:r w:rsidR="002618A6">
        <w:t>.</w:t>
      </w:r>
      <w:r w:rsidRPr="00B47553" w:rsidR="002618A6">
        <w:t>)</w:t>
      </w:r>
    </w:p>
    <w:p w:rsidR="00953C9F" w:rsidRPr="00032AAF" w:rsidP="00F41D07">
      <w:r w:rsidRPr="00B47553">
        <w:tab/>
        <w:t xml:space="preserve">In </w:t>
      </w:r>
      <w:r w:rsidRPr="00B47553">
        <w:rPr>
          <w:i/>
          <w:iCs/>
        </w:rPr>
        <w:t>Vivar</w:t>
      </w:r>
      <w:r w:rsidRPr="00B47553">
        <w:t xml:space="preserve">, we held that a </w:t>
      </w:r>
      <w:r w:rsidRPr="00B47553" w:rsidR="0096301C">
        <w:t>defendant’s</w:t>
      </w:r>
      <w:r w:rsidRPr="00B47553">
        <w:t xml:space="preserve"> substantial ties to the United States were an important factor </w:t>
      </w:r>
      <w:r w:rsidR="0007159E">
        <w:t>in support of granting</w:t>
      </w:r>
      <w:r w:rsidRPr="00B47553">
        <w:t xml:space="preserve"> relief.  Vivar “was brought to this country at age six</w:t>
      </w:r>
      <w:r w:rsidR="00922A86">
        <w:t xml:space="preserve"> </w:t>
      </w:r>
      <w:r w:rsidRPr="00B47553">
        <w:t>.</w:t>
      </w:r>
      <w:r w:rsidR="00FF1B41">
        <w:t> </w:t>
      </w:r>
      <w:r w:rsidRPr="00B47553">
        <w:t>.</w:t>
      </w:r>
      <w:r w:rsidR="00FF1B41">
        <w:t> </w:t>
      </w:r>
      <w:r w:rsidRPr="00B47553">
        <w:t>.</w:t>
      </w:r>
      <w:r w:rsidR="00FF1B41">
        <w:t> </w:t>
      </w:r>
      <w:r w:rsidRPr="00B47553">
        <w:t>, and he attended schools, formed a family, and remained here for 40 years.”  (</w:t>
      </w:r>
      <w:r w:rsidR="00FF1B41">
        <w:rPr>
          <w:i/>
          <w:iCs/>
        </w:rPr>
        <w:t>Vivar</w:t>
      </w:r>
      <w:r w:rsidR="00FF1B41">
        <w:t xml:space="preserve">, </w:t>
      </w:r>
      <w:r w:rsidR="00FF1B41">
        <w:rPr>
          <w:i/>
          <w:iCs/>
        </w:rPr>
        <w:t>supra</w:t>
      </w:r>
      <w:r w:rsidR="00FF1B41">
        <w:t>, 11 Cal.5th at p. 530.</w:t>
      </w:r>
      <w:r w:rsidRPr="00B47553">
        <w:t>)  “At the time of his plea, he had two children, two grandchildren, and a wife, all of whom are citizens and all of whom resided in California.</w:t>
      </w:r>
      <w:r w:rsidR="00FF1B41">
        <w:t> </w:t>
      </w:r>
      <w:r w:rsidRPr="00B47553">
        <w:t>.</w:t>
      </w:r>
      <w:r w:rsidR="00FF1B41">
        <w:t> </w:t>
      </w:r>
      <w:r w:rsidRPr="00B47553">
        <w:t>.</w:t>
      </w:r>
      <w:r w:rsidR="00FF1B41">
        <w:t> </w:t>
      </w:r>
      <w:r w:rsidRPr="00B47553">
        <w:t>.  Vivar had virtually no ties to Mexico, spoke Spanish ‘like an American,’ and found it ‘difficult to function in Mexican society because people treat [him] like an outsider.’ ”  (</w:t>
      </w:r>
      <w:r w:rsidRPr="00B47553">
        <w:rPr>
          <w:i/>
          <w:iCs/>
        </w:rPr>
        <w:t>Ibid.</w:t>
      </w:r>
      <w:r w:rsidRPr="00B47553">
        <w:t xml:space="preserve">)  </w:t>
      </w:r>
      <w:r w:rsidR="00032AAF">
        <w:t xml:space="preserve">We concluded that these facts </w:t>
      </w:r>
      <w:r w:rsidR="00DE248F">
        <w:t>provided objective evidence of</w:t>
      </w:r>
      <w:r w:rsidR="00032AAF">
        <w:t xml:space="preserve"> “Vivar’s concern about the immigration consequences of his plea options</w:t>
      </w:r>
      <w:r w:rsidR="00431E5C">
        <w:t>,</w:t>
      </w:r>
      <w:r w:rsidR="00032AAF">
        <w:t>”</w:t>
      </w:r>
      <w:r w:rsidR="00431E5C">
        <w:t xml:space="preserve"> supporting a finding of prejudicial error.</w:t>
      </w:r>
      <w:r w:rsidR="00032AAF">
        <w:t xml:space="preserve">  (</w:t>
      </w:r>
      <w:r w:rsidR="00032AAF">
        <w:rPr>
          <w:i/>
          <w:iCs/>
        </w:rPr>
        <w:t>Ibid.</w:t>
      </w:r>
      <w:r w:rsidR="00032AAF">
        <w:t xml:space="preserve">) </w:t>
      </w:r>
    </w:p>
    <w:p w:rsidR="006168A2" w:rsidRPr="00B47553" w:rsidP="00B47553">
      <w:pPr>
        <w:ind w:firstLine="720"/>
      </w:pPr>
      <w:r>
        <w:t xml:space="preserve">Similarly, </w:t>
      </w:r>
      <w:r w:rsidR="00387788">
        <w:t xml:space="preserve">the </w:t>
      </w:r>
      <w:r w:rsidR="00AA4A01">
        <w:t>Court</w:t>
      </w:r>
      <w:r>
        <w:t>s</w:t>
      </w:r>
      <w:r w:rsidR="00AA4A01">
        <w:t xml:space="preserve"> of Appeal</w:t>
      </w:r>
      <w:r w:rsidR="00F2285C">
        <w:t xml:space="preserve"> </w:t>
      </w:r>
      <w:r w:rsidR="00F44162">
        <w:t>ha</w:t>
      </w:r>
      <w:r>
        <w:t>ve</w:t>
      </w:r>
      <w:r w:rsidR="00F44162">
        <w:t xml:space="preserve"> </w:t>
      </w:r>
      <w:r w:rsidR="00F2285C">
        <w:t>found a defendant’s strong community ties to provide compelling evidence in support of a</w:t>
      </w:r>
      <w:r w:rsidR="00E7084B">
        <w:t xml:space="preserve"> finding of</w:t>
      </w:r>
      <w:r w:rsidR="00F2285C">
        <w:t xml:space="preserve"> prejudicial error.  </w:t>
      </w:r>
      <w:r w:rsidRPr="00B47553" w:rsidR="0006175C">
        <w:t>(</w:t>
      </w:r>
      <w:r w:rsidRPr="00B47553" w:rsidR="001A3C08">
        <w:t>See</w:t>
      </w:r>
      <w:r w:rsidR="006D428F">
        <w:t xml:space="preserve"> </w:t>
      </w:r>
      <w:r w:rsidRPr="006D428F" w:rsidR="006D428F">
        <w:rPr>
          <w:i/>
          <w:iCs/>
        </w:rPr>
        <w:t>People v. Lopez</w:t>
      </w:r>
      <w:r w:rsidR="006D428F">
        <w:t xml:space="preserve"> (2022)</w:t>
      </w:r>
      <w:r w:rsidRPr="006D428F" w:rsidR="006D428F">
        <w:t xml:space="preserve"> 83 Cal.App.5th 698</w:t>
      </w:r>
      <w:r w:rsidR="006D428F">
        <w:t xml:space="preserve">, </w:t>
      </w:r>
      <w:r w:rsidRPr="00B47553" w:rsidR="007515FE">
        <w:t>7</w:t>
      </w:r>
      <w:r w:rsidR="00280DE7">
        <w:t>08</w:t>
      </w:r>
      <w:r w:rsidRPr="00B47553" w:rsidR="007515FE">
        <w:t xml:space="preserve"> [prejudice established where the defendant moved to the United States at the age of 13, his entire family lived here, and he lacked meaningful ties to his country of origin]; </w:t>
      </w:r>
      <w:r w:rsidRPr="00B47553" w:rsidR="00A527A0">
        <w:rPr>
          <w:i/>
          <w:iCs/>
        </w:rPr>
        <w:t>Mejia</w:t>
      </w:r>
      <w:r w:rsidRPr="00B47553" w:rsidR="00A65BD9">
        <w:t xml:space="preserve">, </w:t>
      </w:r>
      <w:r w:rsidRPr="00B47553" w:rsidR="00A65BD9">
        <w:rPr>
          <w:i/>
          <w:iCs/>
        </w:rPr>
        <w:t>supra</w:t>
      </w:r>
      <w:r w:rsidRPr="00B47553" w:rsidR="00A65BD9">
        <w:t>,</w:t>
      </w:r>
      <w:r w:rsidRPr="00B47553" w:rsidR="00A527A0">
        <w:t xml:space="preserve"> 36 Cal.App.5th </w:t>
      </w:r>
      <w:r w:rsidRPr="00B47553" w:rsidR="00A65BD9">
        <w:t>at p.</w:t>
      </w:r>
      <w:r w:rsidR="00D677C0">
        <w:t> </w:t>
      </w:r>
      <w:r w:rsidRPr="00B47553" w:rsidR="00A527A0">
        <w:t>872 [compelling evidence of prejudice where the defendant liv</w:t>
      </w:r>
      <w:r w:rsidR="00100CEE">
        <w:t>ed</w:t>
      </w:r>
      <w:r w:rsidRPr="00B47553" w:rsidR="00A527A0">
        <w:t xml:space="preserve"> in the United States since he was 14 years old, and his wife and </w:t>
      </w:r>
      <w:r w:rsidRPr="00B47553" w:rsidR="00AF4AEC">
        <w:t xml:space="preserve">child </w:t>
      </w:r>
      <w:r w:rsidRPr="00B47553" w:rsidR="00A527A0">
        <w:t xml:space="preserve">lived here, as well as his mother and siblings]; </w:t>
      </w:r>
      <w:r w:rsidR="00BA0EC0">
        <w:t xml:space="preserve">see also </w:t>
      </w:r>
      <w:r w:rsidRPr="00B47553" w:rsidR="00A527A0">
        <w:rPr>
          <w:i/>
          <w:iCs/>
        </w:rPr>
        <w:t>People v. Camacho</w:t>
      </w:r>
      <w:r w:rsidRPr="00B47553" w:rsidR="00A527A0">
        <w:t xml:space="preserve"> (2019) 32 Cal.App.5th 998, 1011</w:t>
      </w:r>
      <w:r w:rsidRPr="00B47553" w:rsidR="00184909">
        <w:t xml:space="preserve">; </w:t>
      </w:r>
      <w:r w:rsidRPr="00B47553" w:rsidR="00184909">
        <w:rPr>
          <w:i/>
          <w:iCs/>
        </w:rPr>
        <w:t>Soto</w:t>
      </w:r>
      <w:r w:rsidR="00C26D35">
        <w:t xml:space="preserve">, </w:t>
      </w:r>
      <w:r w:rsidR="00C26D35">
        <w:rPr>
          <w:i/>
          <w:iCs/>
        </w:rPr>
        <w:t>supra</w:t>
      </w:r>
      <w:r w:rsidR="00C26D35">
        <w:t xml:space="preserve">, </w:t>
      </w:r>
      <w:r w:rsidRPr="00B47553" w:rsidR="00184909">
        <w:t xml:space="preserve">79 Cal.App.5th </w:t>
      </w:r>
      <w:r w:rsidR="00C26D35">
        <w:t>at p.</w:t>
      </w:r>
      <w:r w:rsidR="00834142">
        <w:t> </w:t>
      </w:r>
      <w:r w:rsidRPr="00B47553" w:rsidR="00184909">
        <w:t>610</w:t>
      </w:r>
      <w:r w:rsidRPr="00B47553" w:rsidR="00FD6927">
        <w:t>.)</w:t>
      </w:r>
    </w:p>
    <w:p w:rsidR="0015316C" w:rsidP="000C0271">
      <w:pPr>
        <w:ind w:firstLine="720"/>
        <w:rPr>
          <w:szCs w:val="26"/>
        </w:rPr>
      </w:pPr>
      <w:r w:rsidRPr="00B47553">
        <w:t xml:space="preserve">The facts </w:t>
      </w:r>
      <w:r w:rsidR="00FF1B41">
        <w:t>here</w:t>
      </w:r>
      <w:r w:rsidRPr="00B47553">
        <w:t xml:space="preserve"> are no less compelling.  </w:t>
      </w:r>
      <w:r w:rsidRPr="00B47553" w:rsidR="00A3668C">
        <w:rPr>
          <w:szCs w:val="26"/>
        </w:rPr>
        <w:t>Espinoza</w:t>
      </w:r>
      <w:r w:rsidRPr="00B47553" w:rsidR="001E6E42">
        <w:rPr>
          <w:szCs w:val="26"/>
        </w:rPr>
        <w:t xml:space="preserve"> </w:t>
      </w:r>
      <w:r w:rsidR="00785588">
        <w:rPr>
          <w:szCs w:val="26"/>
        </w:rPr>
        <w:t xml:space="preserve">has </w:t>
      </w:r>
      <w:r w:rsidRPr="00B47553" w:rsidR="0004086A">
        <w:rPr>
          <w:szCs w:val="26"/>
        </w:rPr>
        <w:t xml:space="preserve">spent </w:t>
      </w:r>
      <w:r w:rsidRPr="00B47553" w:rsidR="00C13468">
        <w:rPr>
          <w:szCs w:val="26"/>
        </w:rPr>
        <w:t xml:space="preserve">most of </w:t>
      </w:r>
      <w:r w:rsidRPr="00B47553" w:rsidR="0004086A">
        <w:rPr>
          <w:szCs w:val="26"/>
        </w:rPr>
        <w:t xml:space="preserve">his life in the United States.  He </w:t>
      </w:r>
      <w:r w:rsidR="00FF1B41">
        <w:rPr>
          <w:szCs w:val="26"/>
        </w:rPr>
        <w:t>came</w:t>
      </w:r>
      <w:r w:rsidRPr="00B47553" w:rsidR="00A3668C">
        <w:rPr>
          <w:szCs w:val="26"/>
        </w:rPr>
        <w:t xml:space="preserve"> to </w:t>
      </w:r>
      <w:r w:rsidR="00785588">
        <w:rPr>
          <w:szCs w:val="26"/>
        </w:rPr>
        <w:t xml:space="preserve">California </w:t>
      </w:r>
      <w:r w:rsidRPr="00B47553" w:rsidR="00A3668C">
        <w:rPr>
          <w:szCs w:val="26"/>
        </w:rPr>
        <w:t xml:space="preserve">when he </w:t>
      </w:r>
      <w:r w:rsidR="00B878C7">
        <w:rPr>
          <w:szCs w:val="26"/>
        </w:rPr>
        <w:t xml:space="preserve">was </w:t>
      </w:r>
      <w:r w:rsidRPr="00B47553" w:rsidR="003E19FC">
        <w:rPr>
          <w:szCs w:val="26"/>
        </w:rPr>
        <w:t>13</w:t>
      </w:r>
      <w:r w:rsidR="00B878C7">
        <w:rPr>
          <w:szCs w:val="26"/>
        </w:rPr>
        <w:t xml:space="preserve"> years old</w:t>
      </w:r>
      <w:r w:rsidRPr="00B47553" w:rsidR="00F10182">
        <w:rPr>
          <w:szCs w:val="26"/>
        </w:rPr>
        <w:t xml:space="preserve">.  </w:t>
      </w:r>
      <w:r w:rsidRPr="00B47553" w:rsidR="008879A1">
        <w:rPr>
          <w:szCs w:val="26"/>
        </w:rPr>
        <w:t xml:space="preserve">At the time of the plea, Espinoza </w:t>
      </w:r>
      <w:r w:rsidRPr="00B47553" w:rsidR="00C109D1">
        <w:rPr>
          <w:szCs w:val="26"/>
        </w:rPr>
        <w:t xml:space="preserve">had </w:t>
      </w:r>
      <w:r w:rsidRPr="00B47553" w:rsidR="008879A1">
        <w:rPr>
          <w:szCs w:val="26"/>
        </w:rPr>
        <w:t xml:space="preserve">lived in California for </w:t>
      </w:r>
      <w:r w:rsidR="00B878C7">
        <w:rPr>
          <w:szCs w:val="26"/>
        </w:rPr>
        <w:t>23 years</w:t>
      </w:r>
      <w:r w:rsidRPr="00B47553" w:rsidR="00850851">
        <w:rPr>
          <w:szCs w:val="26"/>
        </w:rPr>
        <w:t xml:space="preserve">.  </w:t>
      </w:r>
      <w:r w:rsidRPr="00B47553" w:rsidR="0077677D">
        <w:rPr>
          <w:szCs w:val="26"/>
        </w:rPr>
        <w:t xml:space="preserve">His wife and </w:t>
      </w:r>
      <w:r w:rsidR="0077677D">
        <w:rPr>
          <w:szCs w:val="26"/>
        </w:rPr>
        <w:t>five</w:t>
      </w:r>
      <w:r w:rsidRPr="00B47553" w:rsidR="0077677D">
        <w:rPr>
          <w:szCs w:val="26"/>
        </w:rPr>
        <w:t xml:space="preserve"> children </w:t>
      </w:r>
      <w:r w:rsidR="00B6531D">
        <w:rPr>
          <w:szCs w:val="26"/>
        </w:rPr>
        <w:t>we</w:t>
      </w:r>
      <w:r w:rsidRPr="00B47553" w:rsidR="0077677D">
        <w:rPr>
          <w:szCs w:val="26"/>
        </w:rPr>
        <w:t xml:space="preserve">re </w:t>
      </w:r>
      <w:r w:rsidR="0077677D">
        <w:rPr>
          <w:szCs w:val="26"/>
        </w:rPr>
        <w:t>United States</w:t>
      </w:r>
      <w:r w:rsidRPr="00B47553" w:rsidR="0077677D">
        <w:rPr>
          <w:szCs w:val="26"/>
        </w:rPr>
        <w:t xml:space="preserve"> citizens.  </w:t>
      </w:r>
      <w:r w:rsidRPr="00B47553" w:rsidR="00B6531D">
        <w:rPr>
          <w:szCs w:val="26"/>
        </w:rPr>
        <w:t>His parents</w:t>
      </w:r>
      <w:r w:rsidR="00B6531D">
        <w:rPr>
          <w:szCs w:val="26"/>
        </w:rPr>
        <w:t xml:space="preserve"> and </w:t>
      </w:r>
      <w:r w:rsidRPr="00B47553" w:rsidR="00B6531D">
        <w:rPr>
          <w:szCs w:val="26"/>
        </w:rPr>
        <w:t>siblings</w:t>
      </w:r>
      <w:r w:rsidR="00B6531D">
        <w:rPr>
          <w:szCs w:val="26"/>
        </w:rPr>
        <w:t xml:space="preserve"> lived in the United States</w:t>
      </w:r>
      <w:r w:rsidRPr="00B47553" w:rsidR="00B6531D">
        <w:rPr>
          <w:szCs w:val="26"/>
        </w:rPr>
        <w:t xml:space="preserve">.  He </w:t>
      </w:r>
      <w:r w:rsidR="00B6531D">
        <w:rPr>
          <w:szCs w:val="26"/>
        </w:rPr>
        <w:t>wa</w:t>
      </w:r>
      <w:r w:rsidRPr="00B47553" w:rsidR="00B6531D">
        <w:rPr>
          <w:szCs w:val="26"/>
        </w:rPr>
        <w:t xml:space="preserve">s the financial provider for his family.  </w:t>
      </w:r>
      <w:r w:rsidRPr="00B47553" w:rsidR="006277ED">
        <w:t xml:space="preserve">As Espinoza puts it, “[e]verything important in his life” at the time he entered his plea “was in the United States.” </w:t>
      </w:r>
      <w:r w:rsidR="008A56BE">
        <w:t xml:space="preserve"> </w:t>
      </w:r>
      <w:r w:rsidRPr="00B47553" w:rsidR="00FC0538">
        <w:t xml:space="preserve">(Cf. </w:t>
      </w:r>
      <w:r w:rsidRPr="00B47553" w:rsidR="00FC0538">
        <w:rPr>
          <w:i/>
          <w:iCs/>
        </w:rPr>
        <w:t xml:space="preserve">People v. Superior Court </w:t>
      </w:r>
      <w:r w:rsidRPr="00B47553" w:rsidR="00FC0538">
        <w:t>(</w:t>
      </w:r>
      <w:r w:rsidRPr="00B47553" w:rsidR="00FC0538">
        <w:rPr>
          <w:i/>
          <w:iCs/>
        </w:rPr>
        <w:t>Zamudio</w:t>
      </w:r>
      <w:r w:rsidRPr="00B47553" w:rsidR="00FC0538">
        <w:t xml:space="preserve">) (2000) 23 Cal.4th 183, 209 [“a deported alien who cannot return ‘loses his job, his friends, his home, and maybe even his children’ ”].)  </w:t>
      </w:r>
      <w:r w:rsidR="009C5642">
        <w:rPr>
          <w:szCs w:val="26"/>
        </w:rPr>
        <w:t xml:space="preserve">Espinoza’s </w:t>
      </w:r>
      <w:r w:rsidRPr="00B47553" w:rsidR="00454FBF">
        <w:rPr>
          <w:szCs w:val="26"/>
        </w:rPr>
        <w:t>deep and long</w:t>
      </w:r>
      <w:r w:rsidR="007371B8">
        <w:rPr>
          <w:szCs w:val="26"/>
        </w:rPr>
        <w:t>-</w:t>
      </w:r>
      <w:r w:rsidRPr="00B47553" w:rsidR="00454FBF">
        <w:rPr>
          <w:szCs w:val="26"/>
        </w:rPr>
        <w:t xml:space="preserve">standing ties are undisputed and </w:t>
      </w:r>
      <w:r w:rsidR="001D31E5">
        <w:rPr>
          <w:szCs w:val="26"/>
        </w:rPr>
        <w:t xml:space="preserve">weigh in favor of finding </w:t>
      </w:r>
      <w:r w:rsidRPr="00B47553" w:rsidR="00454FBF">
        <w:rPr>
          <w:szCs w:val="26"/>
        </w:rPr>
        <w:t xml:space="preserve">that </w:t>
      </w:r>
      <w:r w:rsidR="009C5642">
        <w:rPr>
          <w:szCs w:val="26"/>
        </w:rPr>
        <w:t xml:space="preserve">he </w:t>
      </w:r>
      <w:r w:rsidRPr="00B47553" w:rsidR="00454FBF">
        <w:rPr>
          <w:szCs w:val="26"/>
        </w:rPr>
        <w:t xml:space="preserve">would have considered immigration </w:t>
      </w:r>
      <w:r w:rsidR="007C1DE3">
        <w:rPr>
          <w:szCs w:val="26"/>
        </w:rPr>
        <w:t xml:space="preserve">consequences </w:t>
      </w:r>
      <w:r w:rsidRPr="00B47553" w:rsidR="00454FBF">
        <w:rPr>
          <w:szCs w:val="26"/>
        </w:rPr>
        <w:t xml:space="preserve">to be </w:t>
      </w:r>
      <w:r w:rsidRPr="00B47553" w:rsidR="00B25DBC">
        <w:rPr>
          <w:szCs w:val="26"/>
        </w:rPr>
        <w:t xml:space="preserve">of paramount concern in </w:t>
      </w:r>
      <w:r w:rsidR="001D31E5">
        <w:rPr>
          <w:szCs w:val="26"/>
        </w:rPr>
        <w:t>deciding whether to accept a plea agreement</w:t>
      </w:r>
      <w:r w:rsidRPr="00B47553" w:rsidR="00454FBF">
        <w:rPr>
          <w:szCs w:val="26"/>
        </w:rPr>
        <w:t>.</w:t>
      </w:r>
    </w:p>
    <w:p w:rsidR="00D20BDC" w:rsidRPr="00B47553" w:rsidP="000C0271">
      <w:pPr>
        <w:ind w:firstLine="720"/>
        <w:rPr>
          <w:szCs w:val="26"/>
        </w:rPr>
      </w:pPr>
      <w:r>
        <w:rPr>
          <w:szCs w:val="26"/>
        </w:rPr>
        <w:t xml:space="preserve">After Espinoza accepted the plea and served jail time, he returned home to care for his family and community.  He became the caregiver for his elderly parents who suffer from severe medical conditions.  He ran his own business to provide for his family.  </w:t>
      </w:r>
      <w:r w:rsidRPr="00B47553">
        <w:t xml:space="preserve">He volunteered, </w:t>
      </w:r>
      <w:r>
        <w:t xml:space="preserve">went to </w:t>
      </w:r>
      <w:r w:rsidRPr="00B47553">
        <w:t xml:space="preserve">church, and took part in numerous community organizations.  </w:t>
      </w:r>
      <w:r>
        <w:t>These facts lend credence to Espinoza’s assertion that his community ties were important to him at the time of his plea.</w:t>
      </w:r>
    </w:p>
    <w:p w:rsidR="00E97278" w:rsidRPr="00B47553" w:rsidP="00B47553">
      <w:pPr>
        <w:ind w:firstLine="720"/>
      </w:pPr>
      <w:r>
        <w:t xml:space="preserve">Espinoza’s case is unlike instances where courts have found </w:t>
      </w:r>
      <w:r w:rsidR="00387788">
        <w:t xml:space="preserve">insufficient </w:t>
      </w:r>
      <w:r w:rsidR="00175E82">
        <w:t xml:space="preserve">community ties to </w:t>
      </w:r>
      <w:r>
        <w:t xml:space="preserve">support a finding of </w:t>
      </w:r>
      <w:r w:rsidR="00AF2D0B">
        <w:t>prejudicial error</w:t>
      </w:r>
      <w:r>
        <w:t xml:space="preserve">. </w:t>
      </w:r>
      <w:r w:rsidR="00AF2D0B">
        <w:t xml:space="preserve"> </w:t>
      </w:r>
      <w:r>
        <w:t>I</w:t>
      </w:r>
      <w:r w:rsidRPr="00B47553" w:rsidR="008D1CBF">
        <w:t xml:space="preserve">n </w:t>
      </w:r>
      <w:r w:rsidRPr="00B47553" w:rsidR="008D1CBF">
        <w:rPr>
          <w:i/>
          <w:iCs/>
        </w:rPr>
        <w:t>People v. Bravo</w:t>
      </w:r>
      <w:r w:rsidRPr="00B47553" w:rsidR="008D1CBF">
        <w:t xml:space="preserve"> (2021) 69 Cal.App.5th 1063, 1077, </w:t>
      </w:r>
      <w:r>
        <w:t xml:space="preserve">for example, </w:t>
      </w:r>
      <w:r w:rsidRPr="00B47553" w:rsidR="00C25775">
        <w:t>the Court of Appeal</w:t>
      </w:r>
      <w:r w:rsidRPr="00B47553" w:rsidR="00967C56">
        <w:t xml:space="preserve"> </w:t>
      </w:r>
      <w:r w:rsidRPr="00B47553" w:rsidR="00DE2746">
        <w:t xml:space="preserve">concluded </w:t>
      </w:r>
      <w:r w:rsidRPr="00B47553" w:rsidR="003A32C7">
        <w:t xml:space="preserve">that a defendant’s connection to the </w:t>
      </w:r>
      <w:r w:rsidRPr="00B47553" w:rsidR="009C7FA8">
        <w:t>U</w:t>
      </w:r>
      <w:r>
        <w:t>nited States</w:t>
      </w:r>
      <w:r w:rsidRPr="00B47553" w:rsidR="009C7FA8">
        <w:t xml:space="preserve"> </w:t>
      </w:r>
      <w:r w:rsidRPr="00B47553" w:rsidR="003A32C7">
        <w:t xml:space="preserve">was too tenuous to support an inference that </w:t>
      </w:r>
      <w:r w:rsidRPr="00B47553" w:rsidR="002D6504">
        <w:t>he</w:t>
      </w:r>
      <w:r w:rsidRPr="00B47553" w:rsidR="003A32C7">
        <w:t xml:space="preserve"> </w:t>
      </w:r>
      <w:r w:rsidRPr="00B47553" w:rsidR="002E475A">
        <w:t xml:space="preserve">might </w:t>
      </w:r>
      <w:r w:rsidRPr="00B47553" w:rsidR="00020E56">
        <w:t xml:space="preserve">not have knowingly accepted </w:t>
      </w:r>
      <w:r w:rsidRPr="00B47553" w:rsidR="002E475A">
        <w:t>a</w:t>
      </w:r>
      <w:r w:rsidRPr="00B47553" w:rsidR="003A32C7">
        <w:t xml:space="preserve"> plea deal </w:t>
      </w:r>
      <w:r w:rsidRPr="00B47553" w:rsidR="002E475A">
        <w:t>with immigration consequences</w:t>
      </w:r>
      <w:r w:rsidRPr="00B47553" w:rsidR="003A32C7">
        <w:t xml:space="preserve">.  </w:t>
      </w:r>
      <w:r w:rsidRPr="00B47553" w:rsidR="002B293E">
        <w:t xml:space="preserve">The defendant, </w:t>
      </w:r>
      <w:r w:rsidRPr="00B47553" w:rsidR="00967C56">
        <w:t>Bravo,</w:t>
      </w:r>
      <w:r w:rsidRPr="00B47553" w:rsidR="00C40553">
        <w:t xml:space="preserve"> </w:t>
      </w:r>
      <w:r w:rsidRPr="00B47553" w:rsidR="00173958">
        <w:t xml:space="preserve">moved </w:t>
      </w:r>
      <w:r w:rsidRPr="00B47553" w:rsidR="00C40553">
        <w:t xml:space="preserve">to the United States </w:t>
      </w:r>
      <w:r>
        <w:t>at age 18</w:t>
      </w:r>
      <w:r w:rsidRPr="00B47553" w:rsidR="00C40553">
        <w:t>.  (</w:t>
      </w:r>
      <w:r w:rsidRPr="00B47553" w:rsidR="00C40553">
        <w:rPr>
          <w:i/>
          <w:iCs/>
        </w:rPr>
        <w:t>I</w:t>
      </w:r>
      <w:r w:rsidR="00E15786">
        <w:rPr>
          <w:i/>
          <w:iCs/>
        </w:rPr>
        <w:t>d.</w:t>
      </w:r>
      <w:r w:rsidRPr="00F41D07" w:rsidR="00E15786">
        <w:rPr>
          <w:i/>
        </w:rPr>
        <w:t xml:space="preserve"> </w:t>
      </w:r>
      <w:r w:rsidR="00E15786">
        <w:t>at p.</w:t>
      </w:r>
      <w:r w:rsidR="00CF4D50">
        <w:t> </w:t>
      </w:r>
      <w:r w:rsidR="00E15786">
        <w:t>1076</w:t>
      </w:r>
      <w:r w:rsidRPr="00B47553" w:rsidR="00C40553">
        <w:rPr>
          <w:i/>
          <w:iCs/>
        </w:rPr>
        <w:t>.</w:t>
      </w:r>
      <w:r w:rsidRPr="00B47553" w:rsidR="00C40553">
        <w:t xml:space="preserve">) </w:t>
      </w:r>
      <w:r w:rsidRPr="00B47553" w:rsidR="003343E1">
        <w:t xml:space="preserve"> </w:t>
      </w:r>
      <w:r w:rsidRPr="00B47553" w:rsidR="00951992">
        <w:t>At the time of his plea, h</w:t>
      </w:r>
      <w:r w:rsidRPr="00B47553" w:rsidR="008B160F">
        <w:t xml:space="preserve">e had </w:t>
      </w:r>
      <w:r w:rsidRPr="00B47553" w:rsidR="003343E1">
        <w:t xml:space="preserve">lived </w:t>
      </w:r>
      <w:r>
        <w:t>here</w:t>
      </w:r>
      <w:r w:rsidRPr="00B47553" w:rsidR="003343E1">
        <w:t xml:space="preserve"> for four </w:t>
      </w:r>
      <w:r w:rsidR="0005540F">
        <w:t xml:space="preserve">and a half </w:t>
      </w:r>
      <w:r w:rsidRPr="00B47553" w:rsidR="003343E1">
        <w:t>years.  (</w:t>
      </w:r>
      <w:r w:rsidRPr="00B47553" w:rsidR="003343E1">
        <w:rPr>
          <w:i/>
          <w:iCs/>
        </w:rPr>
        <w:t>Ibid.</w:t>
      </w:r>
      <w:r w:rsidRPr="00B47553" w:rsidR="003343E1">
        <w:t xml:space="preserve">) </w:t>
      </w:r>
      <w:r w:rsidRPr="00B47553" w:rsidR="008A0F41">
        <w:t xml:space="preserve"> Although </w:t>
      </w:r>
      <w:r w:rsidRPr="00B47553" w:rsidR="00B042EC">
        <w:t>Bravo had a girlfriend and a baby in the United States</w:t>
      </w:r>
      <w:r w:rsidRPr="00B47553" w:rsidR="00583A8D">
        <w:t xml:space="preserve">, </w:t>
      </w:r>
      <w:r>
        <w:t xml:space="preserve">the court found </w:t>
      </w:r>
      <w:r w:rsidRPr="00B47553" w:rsidR="00AD43FA">
        <w:t>those</w:t>
      </w:r>
      <w:r w:rsidRPr="00B47553" w:rsidR="00B36170">
        <w:t xml:space="preserve"> relationships</w:t>
      </w:r>
      <w:r w:rsidR="004C3702">
        <w:t xml:space="preserve"> </w:t>
      </w:r>
      <w:r w:rsidRPr="00B47553" w:rsidR="00B36170">
        <w:t xml:space="preserve">insufficient to establish a probability that Bravo would have rejected his plea deal.  </w:t>
      </w:r>
      <w:r w:rsidRPr="00B47553" w:rsidR="003225BB">
        <w:t>(</w:t>
      </w:r>
      <w:r w:rsidRPr="00B47553" w:rsidR="003225BB">
        <w:rPr>
          <w:i/>
          <w:iCs/>
        </w:rPr>
        <w:t xml:space="preserve">Id. </w:t>
      </w:r>
      <w:r w:rsidRPr="00B47553" w:rsidR="003225BB">
        <w:t xml:space="preserve">at </w:t>
      </w:r>
      <w:r>
        <w:t>p</w:t>
      </w:r>
      <w:r w:rsidR="003A55EE">
        <w:t>p.</w:t>
      </w:r>
      <w:r>
        <w:t> </w:t>
      </w:r>
      <w:r w:rsidRPr="00B47553" w:rsidR="003225BB">
        <w:t xml:space="preserve">1075–1076.)  </w:t>
      </w:r>
      <w:r w:rsidRPr="00B47553" w:rsidR="000D7186">
        <w:t>“</w:t>
      </w:r>
      <w:r>
        <w:t>[T]</w:t>
      </w:r>
      <w:r w:rsidRPr="00B47553" w:rsidR="000D7186">
        <w:t xml:space="preserve">he offenses making </w:t>
      </w:r>
      <w:r w:rsidRPr="00B47553" w:rsidR="00006D29">
        <w:t xml:space="preserve">[Bravo] </w:t>
      </w:r>
      <w:r w:rsidRPr="00B47553" w:rsidR="000D7186">
        <w:t xml:space="preserve">a candidate for mandatory deportation were domestic violence and child cruelty against </w:t>
      </w:r>
      <w:r w:rsidRPr="00B47553" w:rsidR="006B6EA8">
        <w:t>[his girlfriend and baby</w:t>
      </w:r>
      <w:r>
        <w:t>, respectively</w:t>
      </w:r>
      <w:r w:rsidRPr="00B47553" w:rsidR="006B6EA8">
        <w:t>]</w:t>
      </w:r>
      <w:r w:rsidRPr="00B47553" w:rsidR="000D7186">
        <w:t xml:space="preserve">,” </w:t>
      </w:r>
      <w:r w:rsidRPr="00B47553" w:rsidR="00D258A9">
        <w:t xml:space="preserve">which undermined </w:t>
      </w:r>
      <w:r w:rsidRPr="00B47553" w:rsidR="00243459">
        <w:t xml:space="preserve">the </w:t>
      </w:r>
      <w:r w:rsidRPr="00B47553" w:rsidR="00F537EA">
        <w:t xml:space="preserve">argument that Bravo would have rejected his plea offer </w:t>
      </w:r>
      <w:r w:rsidRPr="00B47553" w:rsidR="00987211">
        <w:t>based on</w:t>
      </w:r>
      <w:r w:rsidRPr="00B47553" w:rsidR="00F537EA">
        <w:t xml:space="preserve"> those relationships. </w:t>
      </w:r>
      <w:r w:rsidR="00BB2163">
        <w:t xml:space="preserve"> </w:t>
      </w:r>
      <w:r w:rsidRPr="00B47553" w:rsidR="000D7186">
        <w:t>(</w:t>
      </w:r>
      <w:r w:rsidRPr="00B47553" w:rsidR="000D7186">
        <w:rPr>
          <w:i/>
          <w:iCs/>
        </w:rPr>
        <w:t>I</w:t>
      </w:r>
      <w:r w:rsidR="00903371">
        <w:rPr>
          <w:i/>
          <w:iCs/>
        </w:rPr>
        <w:t xml:space="preserve">d. </w:t>
      </w:r>
      <w:r w:rsidR="00903371">
        <w:t>at p.</w:t>
      </w:r>
      <w:r w:rsidR="00BB2163">
        <w:t> </w:t>
      </w:r>
      <w:r w:rsidR="00903371">
        <w:t>1076</w:t>
      </w:r>
      <w:r w:rsidRPr="00B47553" w:rsidR="007A1929">
        <w:t xml:space="preserve">; see </w:t>
      </w:r>
      <w:r w:rsidRPr="00B47553" w:rsidR="007A1929">
        <w:rPr>
          <w:i/>
          <w:iCs/>
        </w:rPr>
        <w:t>People v. Abdelsalam</w:t>
      </w:r>
      <w:r w:rsidRPr="00B47553" w:rsidR="007A1929">
        <w:t xml:space="preserve"> </w:t>
      </w:r>
      <w:r w:rsidRPr="00B47553" w:rsidR="00C07CB1">
        <w:t>(2022)</w:t>
      </w:r>
      <w:r w:rsidRPr="00B47553" w:rsidR="007A1929">
        <w:t xml:space="preserve"> 73</w:t>
      </w:r>
      <w:r>
        <w:t xml:space="preserve"> </w:t>
      </w:r>
      <w:r w:rsidRPr="00B47553" w:rsidR="007A1929">
        <w:t>Cal.App.5th 654, 665</w:t>
      </w:r>
      <w:r w:rsidRPr="00B47553" w:rsidR="00C07CB1">
        <w:t xml:space="preserve"> [</w:t>
      </w:r>
      <w:r w:rsidR="00385CD8">
        <w:t xml:space="preserve">finding </w:t>
      </w:r>
      <w:r w:rsidR="00D56EE2">
        <w:t xml:space="preserve">no prejudice </w:t>
      </w:r>
      <w:r w:rsidRPr="00B47553" w:rsidR="00C07CB1">
        <w:t>where defendant “had just arrived</w:t>
      </w:r>
      <w:r w:rsidR="00A4363A">
        <w:t>”</w:t>
      </w:r>
      <w:r w:rsidRPr="00B47553" w:rsidR="00C07CB1">
        <w:t xml:space="preserve"> in the United States]</w:t>
      </w:r>
      <w:r w:rsidR="00715F47">
        <w:t>.</w:t>
      </w:r>
      <w:r w:rsidRPr="00B47553" w:rsidR="000D7186">
        <w:t>)</w:t>
      </w:r>
      <w:r w:rsidRPr="00B47553" w:rsidR="000D72C5">
        <w:t xml:space="preserve"> </w:t>
      </w:r>
    </w:p>
    <w:p w:rsidR="00063CE3" w:rsidP="00063CE3">
      <w:pPr>
        <w:ind w:firstLine="720"/>
        <w:rPr>
          <w:i/>
          <w:iCs/>
          <w:szCs w:val="26"/>
        </w:rPr>
      </w:pPr>
      <w:r w:rsidRPr="00B47553">
        <w:t xml:space="preserve">In sum, </w:t>
      </w:r>
      <w:r w:rsidRPr="00B47553" w:rsidR="00911F9E">
        <w:t>a</w:t>
      </w:r>
      <w:r w:rsidRPr="00B47553">
        <w:t xml:space="preserve"> defendant</w:t>
      </w:r>
      <w:r w:rsidR="00387788">
        <w:t>’s</w:t>
      </w:r>
      <w:r w:rsidR="002174D6">
        <w:t xml:space="preserve"> </w:t>
      </w:r>
      <w:r w:rsidRPr="00B47553" w:rsidR="000761A7">
        <w:t>deep and long</w:t>
      </w:r>
      <w:r w:rsidR="00A4363A">
        <w:t>-</w:t>
      </w:r>
      <w:r w:rsidRPr="00B47553" w:rsidR="000761A7">
        <w:t>standing ties to the United States</w:t>
      </w:r>
      <w:r w:rsidR="002174D6">
        <w:t xml:space="preserve"> </w:t>
      </w:r>
      <w:r w:rsidR="003D08D5">
        <w:t xml:space="preserve">are among the totality of circumstances that </w:t>
      </w:r>
      <w:r w:rsidRPr="00B47553" w:rsidR="00DD07B3">
        <w:t xml:space="preserve">can </w:t>
      </w:r>
      <w:r w:rsidRPr="00B47553" w:rsidR="00A66DA3">
        <w:rPr>
          <w:szCs w:val="26"/>
        </w:rPr>
        <w:t xml:space="preserve">support </w:t>
      </w:r>
      <w:r w:rsidRPr="00B47553" w:rsidR="00292373">
        <w:rPr>
          <w:szCs w:val="26"/>
        </w:rPr>
        <w:t xml:space="preserve">an inference that </w:t>
      </w:r>
      <w:r w:rsidR="00C41094">
        <w:rPr>
          <w:szCs w:val="26"/>
        </w:rPr>
        <w:t xml:space="preserve">immigration consequences were of paramount concern </w:t>
      </w:r>
      <w:r w:rsidR="00B418A8">
        <w:rPr>
          <w:szCs w:val="26"/>
        </w:rPr>
        <w:t xml:space="preserve">at the time of the </w:t>
      </w:r>
      <w:r w:rsidR="004C2A99">
        <w:rPr>
          <w:szCs w:val="26"/>
        </w:rPr>
        <w:t xml:space="preserve">defendant’s </w:t>
      </w:r>
      <w:r w:rsidR="00B418A8">
        <w:rPr>
          <w:szCs w:val="26"/>
        </w:rPr>
        <w:t>guilty plea</w:t>
      </w:r>
      <w:r w:rsidRPr="00B47553" w:rsidR="00292373">
        <w:rPr>
          <w:szCs w:val="26"/>
        </w:rPr>
        <w:t xml:space="preserve">. </w:t>
      </w:r>
      <w:r w:rsidRPr="00B47553" w:rsidR="00731752">
        <w:rPr>
          <w:szCs w:val="26"/>
        </w:rPr>
        <w:t xml:space="preserve"> </w:t>
      </w:r>
      <w:r w:rsidRPr="00B47553" w:rsidR="00292373">
        <w:rPr>
          <w:szCs w:val="26"/>
        </w:rPr>
        <w:t>Espinoza</w:t>
      </w:r>
      <w:r w:rsidRPr="00B47553" w:rsidR="00B93219">
        <w:rPr>
          <w:szCs w:val="26"/>
        </w:rPr>
        <w:t xml:space="preserve"> has </w:t>
      </w:r>
      <w:r w:rsidR="00506011">
        <w:rPr>
          <w:szCs w:val="26"/>
        </w:rPr>
        <w:t>demonstrated his</w:t>
      </w:r>
      <w:r w:rsidRPr="00B47553" w:rsidR="00B93219">
        <w:rPr>
          <w:szCs w:val="26"/>
        </w:rPr>
        <w:t xml:space="preserve"> ties</w:t>
      </w:r>
      <w:r w:rsidR="00506011">
        <w:rPr>
          <w:szCs w:val="26"/>
        </w:rPr>
        <w:t xml:space="preserve"> to the United States</w:t>
      </w:r>
      <w:r w:rsidRPr="00B47553" w:rsidR="00B93219">
        <w:rPr>
          <w:szCs w:val="26"/>
        </w:rPr>
        <w:t xml:space="preserve">, </w:t>
      </w:r>
      <w:r w:rsidR="000C0271">
        <w:rPr>
          <w:szCs w:val="26"/>
        </w:rPr>
        <w:t xml:space="preserve">and those ties </w:t>
      </w:r>
      <w:r w:rsidRPr="00B47553" w:rsidR="00756305">
        <w:rPr>
          <w:szCs w:val="26"/>
        </w:rPr>
        <w:t xml:space="preserve">weigh in favor of </w:t>
      </w:r>
      <w:r w:rsidRPr="00B47553" w:rsidR="00292373">
        <w:rPr>
          <w:szCs w:val="26"/>
        </w:rPr>
        <w:t xml:space="preserve">a </w:t>
      </w:r>
      <w:r w:rsidR="000C0271">
        <w:rPr>
          <w:szCs w:val="26"/>
        </w:rPr>
        <w:t xml:space="preserve">finding of </w:t>
      </w:r>
      <w:r w:rsidRPr="00B47553" w:rsidR="00292373">
        <w:rPr>
          <w:szCs w:val="26"/>
        </w:rPr>
        <w:t>prejudicial error</w:t>
      </w:r>
      <w:r w:rsidRPr="00B47553" w:rsidR="00756305">
        <w:rPr>
          <w:szCs w:val="26"/>
        </w:rPr>
        <w:t xml:space="preserve">.  </w:t>
      </w:r>
    </w:p>
    <w:p w:rsidR="006C59F9" w:rsidRPr="006C59F9" w:rsidP="00964D79">
      <w:pPr>
        <w:keepNext/>
        <w:jc w:val="center"/>
        <w:rPr>
          <w:b/>
          <w:bCs/>
        </w:rPr>
      </w:pPr>
      <w:r w:rsidRPr="006C59F9">
        <w:rPr>
          <w:b/>
          <w:bCs/>
        </w:rPr>
        <w:t>B.</w:t>
      </w:r>
    </w:p>
    <w:p w:rsidR="008979BC" w:rsidP="00964D79">
      <w:pPr>
        <w:keepNext/>
        <w:ind w:firstLine="720"/>
      </w:pPr>
      <w:r>
        <w:t>A</w:t>
      </w:r>
      <w:r w:rsidRPr="00B47553" w:rsidR="00357AF0">
        <w:t>nother</w:t>
      </w:r>
      <w:r w:rsidRPr="00B47553" w:rsidR="00E57244">
        <w:t xml:space="preserve"> </w:t>
      </w:r>
      <w:r w:rsidRPr="00B47553" w:rsidR="001C54EC">
        <w:t>consideration</w:t>
      </w:r>
      <w:r w:rsidRPr="00B47553" w:rsidR="00E57244">
        <w:t xml:space="preserve"> is </w:t>
      </w:r>
      <w:r w:rsidRPr="00B47553" w:rsidR="00525237">
        <w:t xml:space="preserve">whether </w:t>
      </w:r>
      <w:r w:rsidR="00071309">
        <w:t xml:space="preserve">alternative, </w:t>
      </w:r>
      <w:r w:rsidRPr="00B47553" w:rsidR="00525237">
        <w:t>immigration-</w:t>
      </w:r>
      <w:r w:rsidR="00042C18">
        <w:t>safe</w:t>
      </w:r>
      <w:r w:rsidRPr="00B47553" w:rsidR="00525237">
        <w:t xml:space="preserve"> disposition</w:t>
      </w:r>
      <w:r w:rsidR="00BB4296">
        <w:t>s</w:t>
      </w:r>
      <w:r>
        <w:t xml:space="preserve"> were available at the time of the defendant’s plea</w:t>
      </w:r>
      <w:r w:rsidRPr="00B47553" w:rsidR="00525237">
        <w:t>.</w:t>
      </w:r>
      <w:r>
        <w:t xml:space="preserve">  </w:t>
      </w:r>
      <w:r w:rsidR="00A13F27">
        <w:t xml:space="preserve">Factors relevant to </w:t>
      </w:r>
      <w:r w:rsidR="0035674A">
        <w:t xml:space="preserve">this inquiry </w:t>
      </w:r>
      <w:r w:rsidRPr="006A2337" w:rsidR="0098281A">
        <w:t xml:space="preserve">include </w:t>
      </w:r>
      <w:r w:rsidRPr="006A2337" w:rsidR="00AC3B29">
        <w:t>the defendant’s criminal record</w:t>
      </w:r>
      <w:r w:rsidR="006A1F3B">
        <w:t>,</w:t>
      </w:r>
      <w:r w:rsidRPr="006A2337" w:rsidR="00AC3B29">
        <w:t xml:space="preserve"> </w:t>
      </w:r>
      <w:r w:rsidRPr="006A2337">
        <w:t>the strength of the prosecution’s case</w:t>
      </w:r>
      <w:r w:rsidR="006A1F3B">
        <w:t>,</w:t>
      </w:r>
      <w:r w:rsidRPr="006A2337">
        <w:t xml:space="preserve"> </w:t>
      </w:r>
      <w:r w:rsidRPr="006A2337" w:rsidR="00AC3B29">
        <w:t>the seriousness of the charges</w:t>
      </w:r>
      <w:r w:rsidR="00C54701">
        <w:t xml:space="preserve"> or whether the crimes involved sophistication</w:t>
      </w:r>
      <w:r w:rsidR="006A1F3B">
        <w:t>,</w:t>
      </w:r>
      <w:r w:rsidRPr="006A2337" w:rsidR="00AC3B29">
        <w:t xml:space="preserve"> </w:t>
      </w:r>
      <w:r w:rsidRPr="006A2337">
        <w:t>the</w:t>
      </w:r>
      <w:r w:rsidRPr="00B47553">
        <w:t xml:space="preserve"> district attorney’s charging policies</w:t>
      </w:r>
      <w:r w:rsidR="00E218CE">
        <w:t xml:space="preserve"> with respect to immigration consequences</w:t>
      </w:r>
      <w:r w:rsidR="006A1F3B">
        <w:t>,</w:t>
      </w:r>
      <w:r w:rsidRPr="00AF39EA" w:rsidR="00C27E51">
        <w:t xml:space="preserve"> </w:t>
      </w:r>
      <w:r w:rsidRPr="00AF39EA" w:rsidR="00FE07AE">
        <w:t>and</w:t>
      </w:r>
      <w:r w:rsidRPr="00AF39EA">
        <w:t xml:space="preserve"> the existence of </w:t>
      </w:r>
      <w:r w:rsidRPr="00AF39EA" w:rsidR="0056131E">
        <w:t>comparable</w:t>
      </w:r>
      <w:r w:rsidRPr="00AF39EA" w:rsidR="00FE07AE">
        <w:t xml:space="preserve"> </w:t>
      </w:r>
      <w:r w:rsidRPr="00AF39EA" w:rsidR="00544334">
        <w:t>offenses</w:t>
      </w:r>
      <w:r w:rsidRPr="00AF39EA" w:rsidR="00FE07AE">
        <w:t xml:space="preserve"> without </w:t>
      </w:r>
      <w:r w:rsidRPr="00AF39EA">
        <w:t xml:space="preserve">immigration </w:t>
      </w:r>
      <w:r w:rsidRPr="00AF39EA" w:rsidR="00544334">
        <w:t>consequences</w:t>
      </w:r>
      <w:r w:rsidRPr="00AF39EA" w:rsidR="00115AD6">
        <w:t>.  (See</w:t>
      </w:r>
      <w:r w:rsidRPr="00AF39EA" w:rsidR="0098281A">
        <w:t xml:space="preserve"> </w:t>
      </w:r>
      <w:r w:rsidRPr="00165AF8" w:rsidR="00165AF8">
        <w:rPr>
          <w:i/>
          <w:iCs/>
        </w:rPr>
        <w:t>Rodriguez</w:t>
      </w:r>
      <w:r w:rsidRPr="00165AF8" w:rsidR="00165AF8">
        <w:t xml:space="preserve">, </w:t>
      </w:r>
      <w:r w:rsidR="00165AF8">
        <w:rPr>
          <w:i/>
          <w:iCs/>
        </w:rPr>
        <w:t>supra</w:t>
      </w:r>
      <w:r w:rsidR="00165AF8">
        <w:t xml:space="preserve">, </w:t>
      </w:r>
      <w:r w:rsidRPr="00165AF8" w:rsidR="00165AF8">
        <w:t xml:space="preserve">68 Cal.App.5th </w:t>
      </w:r>
      <w:r w:rsidR="008D3E5D">
        <w:t>at p. </w:t>
      </w:r>
      <w:r w:rsidRPr="00165AF8" w:rsidR="00165AF8">
        <w:t xml:space="preserve">325; </w:t>
      </w:r>
      <w:r w:rsidRPr="00AF39EA" w:rsidR="0066523B">
        <w:rPr>
          <w:i/>
          <w:iCs/>
        </w:rPr>
        <w:t>Mejia</w:t>
      </w:r>
      <w:r w:rsidRPr="00AF39EA" w:rsidR="0066523B">
        <w:t xml:space="preserve">, </w:t>
      </w:r>
      <w:r w:rsidRPr="00AF39EA" w:rsidR="0066523B">
        <w:rPr>
          <w:i/>
          <w:iCs/>
        </w:rPr>
        <w:t>supra</w:t>
      </w:r>
      <w:r w:rsidRPr="00AF39EA" w:rsidR="0066523B">
        <w:t>, 36 Cal.App.5th at p.</w:t>
      </w:r>
      <w:r w:rsidRPr="00B47553" w:rsidR="0066523B">
        <w:t> 873</w:t>
      </w:r>
      <w:r w:rsidR="0066523B">
        <w:t>;</w:t>
      </w:r>
      <w:r w:rsidR="0066523B">
        <w:rPr>
          <w:i/>
          <w:iCs/>
        </w:rPr>
        <w:t xml:space="preserve"> </w:t>
      </w:r>
      <w:r w:rsidRPr="00DC2AFC" w:rsidR="00DC2AFC">
        <w:rPr>
          <w:i/>
          <w:iCs/>
        </w:rPr>
        <w:t>Martinez</w:t>
      </w:r>
      <w:r w:rsidRPr="00DC2AFC" w:rsidR="00DC2AFC">
        <w:t>,</w:t>
      </w:r>
      <w:r w:rsidRPr="00DC2AFC" w:rsidR="00DC2AFC">
        <w:rPr>
          <w:i/>
          <w:iCs/>
        </w:rPr>
        <w:t xml:space="preserve"> supra</w:t>
      </w:r>
      <w:r w:rsidRPr="00DC2AFC" w:rsidR="00DC2AFC">
        <w:t>, 57 Cal.4th at p.</w:t>
      </w:r>
      <w:r w:rsidR="00AB3A97">
        <w:t> </w:t>
      </w:r>
      <w:r w:rsidRPr="00DC2AFC" w:rsidR="00DC2AFC">
        <w:t>564</w:t>
      </w:r>
      <w:r w:rsidRPr="00DC2AFC" w:rsidR="00DC2AFC">
        <w:rPr>
          <w:i/>
          <w:iCs/>
        </w:rPr>
        <w:t>.</w:t>
      </w:r>
      <w:r w:rsidR="0098281A">
        <w:t>)</w:t>
      </w:r>
      <w:r w:rsidR="006B5A17">
        <w:t xml:space="preserve">  </w:t>
      </w:r>
      <w:r w:rsidRPr="006B5A17" w:rsidR="006B5A17">
        <w:t xml:space="preserve">These matters can be </w:t>
      </w:r>
      <w:r w:rsidR="001A36F8">
        <w:t xml:space="preserve">placed </w:t>
      </w:r>
      <w:r w:rsidRPr="006B5A17" w:rsidR="006B5A17">
        <w:t>in the record by either party.</w:t>
      </w:r>
      <w:r w:rsidR="006B5A17">
        <w:t xml:space="preserve">  </w:t>
      </w:r>
    </w:p>
    <w:p w:rsidR="009C3B9C" w:rsidRPr="00B47553" w:rsidP="009C3B9C">
      <w:pPr>
        <w:ind w:firstLine="720"/>
      </w:pPr>
      <w:r w:rsidRPr="00B47553">
        <w:t xml:space="preserve">Espinoza had no prior criminal </w:t>
      </w:r>
      <w:r>
        <w:t>history</w:t>
      </w:r>
      <w:r w:rsidR="002305E3">
        <w:t xml:space="preserve"> at the time of his plea</w:t>
      </w:r>
      <w:r w:rsidR="002016DE">
        <w:t xml:space="preserve">.  </w:t>
      </w:r>
      <w:r w:rsidR="000C0271">
        <w:t xml:space="preserve">This fact is </w:t>
      </w:r>
      <w:r w:rsidR="002016DE">
        <w:t xml:space="preserve">relevant </w:t>
      </w:r>
      <w:r w:rsidR="000C0271">
        <w:t>because</w:t>
      </w:r>
      <w:r w:rsidR="002016DE">
        <w:t xml:space="preserve"> </w:t>
      </w:r>
      <w:r w:rsidR="000C0271">
        <w:t>a</w:t>
      </w:r>
      <w:r w:rsidR="00696363">
        <w:t xml:space="preserve"> defendant without an extensive criminal record may </w:t>
      </w:r>
      <w:r w:rsidR="002568E7">
        <w:t>persuasively contend that the prosecutor might have been willing to offer an alternative plea without immigration consequences</w:t>
      </w:r>
      <w:r w:rsidRPr="00B47553">
        <w:t xml:space="preserve">. </w:t>
      </w:r>
      <w:r>
        <w:t xml:space="preserve"> </w:t>
      </w:r>
      <w:r w:rsidRPr="00B47553">
        <w:t>(</w:t>
      </w:r>
      <w:r w:rsidR="00CB7976">
        <w:t xml:space="preserve">See </w:t>
      </w:r>
      <w:r w:rsidRPr="00B47553" w:rsidR="002568E7">
        <w:rPr>
          <w:i/>
          <w:iCs/>
        </w:rPr>
        <w:t>Rodriguez</w:t>
      </w:r>
      <w:r w:rsidRPr="00B47553" w:rsidR="002568E7">
        <w:t xml:space="preserve">, </w:t>
      </w:r>
      <w:r w:rsidRPr="00B47553" w:rsidR="002568E7">
        <w:rPr>
          <w:i/>
          <w:iCs/>
        </w:rPr>
        <w:t>supra</w:t>
      </w:r>
      <w:r w:rsidRPr="00B47553" w:rsidR="002568E7">
        <w:t>,</w:t>
      </w:r>
      <w:r w:rsidRPr="00B47553" w:rsidR="002568E7">
        <w:rPr>
          <w:i/>
          <w:iCs/>
        </w:rPr>
        <w:t xml:space="preserve"> </w:t>
      </w:r>
      <w:r w:rsidRPr="00B47553" w:rsidR="002568E7">
        <w:t>68 Cal.App.5th at p. 32</w:t>
      </w:r>
      <w:r w:rsidR="0066523B">
        <w:t>5</w:t>
      </w:r>
      <w:r w:rsidR="002568E7">
        <w:t xml:space="preserve"> [</w:t>
      </w:r>
      <w:r w:rsidR="0066523B">
        <w:t>“</w:t>
      </w:r>
      <w:r w:rsidRPr="0066523B" w:rsidR="0066523B">
        <w:t>The record does not indicate that in 2005 Rodriguez extensively trafficked in methamphetamine or had such a serious criminal record that the prosecution would necessarily have been unwilling to enter an immigration-neutral plea.</w:t>
      </w:r>
      <w:r w:rsidR="002527C3">
        <w:t>”</w:t>
      </w:r>
      <w:r w:rsidR="002568E7">
        <w:t>]</w:t>
      </w:r>
      <w:r w:rsidR="000C0271">
        <w:t>.</w:t>
      </w:r>
      <w:r w:rsidR="0023382B">
        <w:t>)</w:t>
      </w:r>
    </w:p>
    <w:p w:rsidR="00B95673" w:rsidRPr="00B47553" w:rsidP="00503D37">
      <w:pPr>
        <w:ind w:firstLine="720"/>
      </w:pPr>
      <w:r>
        <w:t>Additionally</w:t>
      </w:r>
      <w:r w:rsidR="004440EB">
        <w:t xml:space="preserve">, </w:t>
      </w:r>
      <w:r w:rsidRPr="00B47553" w:rsidR="00E246BC">
        <w:t xml:space="preserve">Espinoza presented evidence from an immigration attorney that there were alternatives the prosecution </w:t>
      </w:r>
      <w:r w:rsidRPr="00B47553" w:rsidR="00DE6152">
        <w:t>could</w:t>
      </w:r>
      <w:r w:rsidRPr="00B47553" w:rsidR="00E246BC">
        <w:t xml:space="preserve"> have offered that would not have </w:t>
      </w:r>
      <w:r w:rsidRPr="00B47553" w:rsidR="00762819">
        <w:t>resulted in mandatory deportation</w:t>
      </w:r>
      <w:r w:rsidRPr="00B47553" w:rsidR="00E246BC">
        <w:t xml:space="preserve">.  </w:t>
      </w:r>
      <w:r w:rsidR="00145A9D">
        <w:t>Espinoza ple</w:t>
      </w:r>
      <w:r w:rsidR="000C0271">
        <w:t>a</w:t>
      </w:r>
      <w:r w:rsidR="00145A9D">
        <w:t>d</w:t>
      </w:r>
      <w:r w:rsidR="000C0271">
        <w:t>ed</w:t>
      </w:r>
      <w:r w:rsidR="00145A9D">
        <w:t xml:space="preserve"> no contest </w:t>
      </w:r>
      <w:r w:rsidR="001F58CD">
        <w:t>to</w:t>
      </w:r>
      <w:r w:rsidR="00145A9D">
        <w:t xml:space="preserve"> </w:t>
      </w:r>
      <w:r w:rsidRPr="00B47553" w:rsidR="002671F4">
        <w:t xml:space="preserve">conspiracy (§ 182, subd. (a)(1)), felony child abuse (§ 273a, subd. (a)), </w:t>
      </w:r>
      <w:r w:rsidRPr="00B47553" w:rsidR="00420F8F">
        <w:t>controlling property to manufactur</w:t>
      </w:r>
      <w:r w:rsidR="000168AE">
        <w:t>e</w:t>
      </w:r>
      <w:r w:rsidR="00A47F46">
        <w:t xml:space="preserve"> </w:t>
      </w:r>
      <w:r w:rsidR="00420F8F">
        <w:t>methamphet</w:t>
      </w:r>
      <w:r w:rsidR="00AA073A">
        <w:t xml:space="preserve">amine </w:t>
      </w:r>
      <w:r w:rsidR="007D21C6">
        <w:t>(</w:t>
      </w:r>
      <w:r w:rsidR="00145A9D">
        <w:t>Health &amp; Saf</w:t>
      </w:r>
      <w:r w:rsidR="000C0271">
        <w:t>.</w:t>
      </w:r>
      <w:r w:rsidR="00145A9D">
        <w:t xml:space="preserve"> Code</w:t>
      </w:r>
      <w:r w:rsidR="000C0271">
        <w:t>, § </w:t>
      </w:r>
      <w:r w:rsidR="00145A9D">
        <w:t>11366.5</w:t>
      </w:r>
      <w:r w:rsidR="007D21C6">
        <w:t>)</w:t>
      </w:r>
      <w:r w:rsidR="00420F8F">
        <w:t xml:space="preserve"> and to possessing cocaine </w:t>
      </w:r>
      <w:r w:rsidR="007D21C6">
        <w:t>(</w:t>
      </w:r>
      <w:r w:rsidRPr="00F41D07" w:rsidR="00373501">
        <w:rPr>
          <w:i/>
          <w:iCs/>
        </w:rPr>
        <w:t>id.</w:t>
      </w:r>
      <w:r w:rsidR="00373501">
        <w:t>, § </w:t>
      </w:r>
      <w:r w:rsidR="00420F8F">
        <w:t>11350</w:t>
      </w:r>
      <w:r w:rsidR="007D21C6">
        <w:t>)</w:t>
      </w:r>
      <w:r w:rsidR="00420F8F">
        <w:t xml:space="preserve">. </w:t>
      </w:r>
      <w:r w:rsidR="006C1935">
        <w:t xml:space="preserve"> </w:t>
      </w:r>
      <w:r w:rsidR="00373501">
        <w:t xml:space="preserve">The </w:t>
      </w:r>
      <w:r w:rsidRPr="00B47553" w:rsidR="007B5167">
        <w:t xml:space="preserve">immigration </w:t>
      </w:r>
      <w:r w:rsidR="00373501">
        <w:t xml:space="preserve">attorney’s </w:t>
      </w:r>
      <w:r w:rsidR="00497EA8">
        <w:t xml:space="preserve">declaration </w:t>
      </w:r>
      <w:r w:rsidR="00B75231">
        <w:t xml:space="preserve">identified alternative offenses without deportation consequences </w:t>
      </w:r>
      <w:r w:rsidR="009133CB">
        <w:t xml:space="preserve">to which </w:t>
      </w:r>
      <w:r w:rsidRPr="00B47553" w:rsidR="007B5167">
        <w:t xml:space="preserve">Espinoza </w:t>
      </w:r>
      <w:r w:rsidR="00E26B65">
        <w:t>might</w:t>
      </w:r>
      <w:r w:rsidRPr="00B47553" w:rsidR="00E26B65">
        <w:t xml:space="preserve"> </w:t>
      </w:r>
      <w:r w:rsidRPr="00B47553" w:rsidR="00D50F01">
        <w:t>ha</w:t>
      </w:r>
      <w:r w:rsidRPr="00B47553" w:rsidR="007B5167">
        <w:t xml:space="preserve">ve </w:t>
      </w:r>
      <w:r w:rsidR="00E26B65">
        <w:t xml:space="preserve">been able to </w:t>
      </w:r>
      <w:r w:rsidRPr="00B47553" w:rsidR="007B5167">
        <w:t>ple</w:t>
      </w:r>
      <w:r w:rsidR="00373501">
        <w:t>ad</w:t>
      </w:r>
      <w:r w:rsidR="00B75231">
        <w:t xml:space="preserve">. </w:t>
      </w:r>
      <w:r w:rsidR="00510CEC">
        <w:t xml:space="preserve"> </w:t>
      </w:r>
    </w:p>
    <w:p w:rsidR="00530054" w:rsidRPr="00250A59" w:rsidP="001016F6">
      <w:pPr>
        <w:ind w:firstLine="720"/>
      </w:pPr>
      <w:r w:rsidRPr="00250A59">
        <w:t>T</w:t>
      </w:r>
      <w:r w:rsidRPr="00250A59" w:rsidR="00CA6F9A">
        <w:t xml:space="preserve">he Court of Appeal </w:t>
      </w:r>
      <w:r w:rsidRPr="00250A59" w:rsidR="00373501">
        <w:t>said</w:t>
      </w:r>
      <w:r w:rsidRPr="00250A59" w:rsidR="0038607E">
        <w:t xml:space="preserve"> </w:t>
      </w:r>
      <w:r w:rsidRPr="00250A59" w:rsidR="008429B7">
        <w:t>“</w:t>
      </w:r>
      <w:r w:rsidR="00131082">
        <w:t>[w]</w:t>
      </w:r>
      <w:r w:rsidRPr="00250A59" w:rsidR="008429B7">
        <w:t>e need not pass upon the practical likelihood</w:t>
      </w:r>
      <w:r w:rsidRPr="00250A59" w:rsidR="006512E9">
        <w:t>”</w:t>
      </w:r>
      <w:r w:rsidRPr="00250A59" w:rsidR="008429B7">
        <w:t xml:space="preserve"> </w:t>
      </w:r>
      <w:r w:rsidRPr="00250A59" w:rsidR="007C77D0">
        <w:t>that Espinoza could have bargained for an immigration-</w:t>
      </w:r>
      <w:r w:rsidRPr="00250A59" w:rsidR="00042C18">
        <w:t>safe</w:t>
      </w:r>
      <w:r w:rsidRPr="00250A59" w:rsidR="007C77D0">
        <w:t xml:space="preserve"> plea because “</w:t>
      </w:r>
      <w:r w:rsidRPr="00250A59" w:rsidR="008429B7">
        <w:t>the focus is on whether Espinoza would have pursued such an alternative resolution notwithstanding its viability</w:t>
      </w:r>
      <w:r w:rsidRPr="00250A59" w:rsidR="004754EA">
        <w:t>.</w:t>
      </w:r>
      <w:r w:rsidRPr="00250A59" w:rsidR="00B95673">
        <w:t>”</w:t>
      </w:r>
      <w:r w:rsidR="00E052B7">
        <w:t xml:space="preserve">  (</w:t>
      </w:r>
      <w:r w:rsidR="00E052B7">
        <w:rPr>
          <w:i/>
          <w:iCs/>
        </w:rPr>
        <w:t>People v. Espinoza</w:t>
      </w:r>
      <w:r w:rsidR="00E052B7">
        <w:t xml:space="preserve"> (May 28, 2021, F079209) [nonpub. opn.] (</w:t>
      </w:r>
      <w:r w:rsidR="00E052B7">
        <w:rPr>
          <w:i/>
          <w:iCs/>
        </w:rPr>
        <w:t>Espinoza</w:t>
      </w:r>
      <w:r w:rsidR="00E052B7">
        <w:t>).)</w:t>
      </w:r>
      <w:r w:rsidRPr="00250A59" w:rsidR="004754EA">
        <w:t xml:space="preserve">  </w:t>
      </w:r>
      <w:r w:rsidRPr="00F41D07" w:rsidR="00213A65">
        <w:t>While i</w:t>
      </w:r>
      <w:r w:rsidRPr="00F41D07" w:rsidR="00F23860">
        <w:t>t</w:t>
      </w:r>
      <w:r w:rsidRPr="00F41D07" w:rsidR="00D6367A">
        <w:t xml:space="preserve"> is true that the </w:t>
      </w:r>
      <w:r w:rsidRPr="00F41D07" w:rsidR="00373501">
        <w:t>key</w:t>
      </w:r>
      <w:r w:rsidRPr="00F41D07" w:rsidR="00D6367A">
        <w:t xml:space="preserve"> question </w:t>
      </w:r>
      <w:r w:rsidRPr="00F41D07" w:rsidR="006E750D">
        <w:t xml:space="preserve">under </w:t>
      </w:r>
      <w:r w:rsidRPr="00F41D07" w:rsidR="00E267EE">
        <w:t xml:space="preserve">section 1473.7 </w:t>
      </w:r>
      <w:r w:rsidRPr="00F41D07" w:rsidR="00597A1B">
        <w:t>is</w:t>
      </w:r>
      <w:r w:rsidR="00B96393">
        <w:t xml:space="preserve"> </w:t>
      </w:r>
      <w:r w:rsidRPr="00F41D07" w:rsidR="00D6367A">
        <w:t>“</w:t>
      </w:r>
      <w:r w:rsidRPr="00F41D07" w:rsidR="00373501">
        <w:t> </w:t>
      </w:r>
      <w:r w:rsidRPr="00F41D07" w:rsidR="00D6367A">
        <w:t>‘what the defendant would have done’</w:t>
      </w:r>
      <w:r w:rsidRPr="00F41D07" w:rsidR="00373501">
        <w:t> </w:t>
      </w:r>
      <w:r w:rsidRPr="00F41D07" w:rsidR="00D6367A">
        <w:t xml:space="preserve">” </w:t>
      </w:r>
      <w:r w:rsidRPr="00F41D07" w:rsidR="001857A6">
        <w:t>(</w:t>
      </w:r>
      <w:r w:rsidRPr="00F41D07" w:rsidR="001857A6">
        <w:rPr>
          <w:i/>
          <w:iCs/>
        </w:rPr>
        <w:t>Vivar</w:t>
      </w:r>
      <w:r w:rsidRPr="00F41D07" w:rsidR="001857A6">
        <w:t xml:space="preserve">, </w:t>
      </w:r>
      <w:r w:rsidRPr="00F41D07" w:rsidR="001857A6">
        <w:rPr>
          <w:i/>
          <w:iCs/>
        </w:rPr>
        <w:t>supra</w:t>
      </w:r>
      <w:r w:rsidRPr="00F41D07" w:rsidR="001857A6">
        <w:t>, 11 Cal.5th at p.</w:t>
      </w:r>
      <w:r w:rsidRPr="00F41D07" w:rsidR="00373501">
        <w:t> </w:t>
      </w:r>
      <w:r w:rsidRPr="00F41D07" w:rsidR="001857A6">
        <w:t>528)</w:t>
      </w:r>
      <w:r w:rsidRPr="00F41D07" w:rsidR="004D41E3">
        <w:t>,</w:t>
      </w:r>
      <w:r w:rsidRPr="00F41D07" w:rsidR="001857A6">
        <w:t xml:space="preserve"> </w:t>
      </w:r>
      <w:r w:rsidRPr="00F41D07" w:rsidR="001016F6">
        <w:t xml:space="preserve">a relevant consideration is </w:t>
      </w:r>
      <w:r w:rsidRPr="00F41D07" w:rsidR="00B67637">
        <w:t xml:space="preserve">the probability of </w:t>
      </w:r>
      <w:r w:rsidRPr="00F41D07" w:rsidR="006E750D">
        <w:t xml:space="preserve">obtaining </w:t>
      </w:r>
      <w:r w:rsidRPr="00F41D07" w:rsidR="00B67637">
        <w:t>a more favorable outcome</w:t>
      </w:r>
      <w:r w:rsidR="009A39D7">
        <w:t xml:space="preserve"> </w:t>
      </w:r>
      <w:r w:rsidRPr="00F41D07" w:rsidR="002578DA">
        <w:t>(</w:t>
      </w:r>
      <w:r w:rsidRPr="00F41D07" w:rsidR="002578DA">
        <w:rPr>
          <w:i/>
          <w:iCs/>
        </w:rPr>
        <w:t>Martinez</w:t>
      </w:r>
      <w:r w:rsidRPr="00F41D07" w:rsidR="002578DA">
        <w:t xml:space="preserve">, </w:t>
      </w:r>
      <w:r w:rsidRPr="00964D79" w:rsidR="002578DA">
        <w:rPr>
          <w:i/>
          <w:iCs/>
        </w:rPr>
        <w:t>supra</w:t>
      </w:r>
      <w:r w:rsidRPr="00F41D07" w:rsidR="002578DA">
        <w:t>, 57 Cal.4th at p.</w:t>
      </w:r>
      <w:r w:rsidRPr="00F41D07" w:rsidR="001016F6">
        <w:t> </w:t>
      </w:r>
      <w:r w:rsidRPr="00F41D07" w:rsidR="002578DA">
        <w:t>56</w:t>
      </w:r>
      <w:r w:rsidRPr="00F41D07" w:rsidR="00A44AC5">
        <w:t>4</w:t>
      </w:r>
      <w:r w:rsidRPr="00F41D07" w:rsidR="001016F6">
        <w:t xml:space="preserve">), and that inquiry is informed by </w:t>
      </w:r>
      <w:r w:rsidRPr="00F41D07" w:rsidR="00250A59">
        <w:t xml:space="preserve">whether the defendant would have had reason “to expect or hope” that </w:t>
      </w:r>
      <w:r w:rsidRPr="00F41D07" w:rsidR="001016F6">
        <w:t>a plea deal without immigration consequences</w:t>
      </w:r>
      <w:r w:rsidRPr="00F41D07" w:rsidR="00250A59">
        <w:t xml:space="preserve"> “would or could have been negotiated” (</w:t>
      </w:r>
      <w:r w:rsidRPr="00F41D07" w:rsidR="00250A59">
        <w:rPr>
          <w:i/>
          <w:iCs/>
        </w:rPr>
        <w:t>id</w:t>
      </w:r>
      <w:r w:rsidRPr="009F19BB" w:rsidR="00250A59">
        <w:rPr>
          <w:i/>
        </w:rPr>
        <w:t>.</w:t>
      </w:r>
      <w:r w:rsidRPr="00F41D07" w:rsidR="00250A59">
        <w:t xml:space="preserve"> at p. 567)</w:t>
      </w:r>
      <w:r w:rsidRPr="00F41D07" w:rsidR="001016F6">
        <w:t xml:space="preserve">.  </w:t>
      </w:r>
      <w:r w:rsidRPr="00F41D07" w:rsidR="00B87507">
        <w:t>Espinoza’s lack of a criminal record</w:t>
      </w:r>
      <w:r w:rsidR="00B87507">
        <w:t xml:space="preserve">, combined with </w:t>
      </w:r>
      <w:r w:rsidRPr="00F41D07" w:rsidR="00B87507">
        <w:t xml:space="preserve">the declaration of the immigration attorney, </w:t>
      </w:r>
      <w:r w:rsidR="00235C0D">
        <w:t xml:space="preserve">support his assertion </w:t>
      </w:r>
      <w:r w:rsidR="00B87507">
        <w:t xml:space="preserve">that he had reason to expect or hope for a plea bargain without immigration consequences.  This </w:t>
      </w:r>
      <w:r w:rsidR="00942050">
        <w:t xml:space="preserve">enhances </w:t>
      </w:r>
      <w:r w:rsidR="00027D9D">
        <w:t xml:space="preserve">the </w:t>
      </w:r>
      <w:r w:rsidRPr="00942050" w:rsidR="00942050">
        <w:t>“credibility of [the] defendant’s claim” that he “would have rejected the plea bargain” had he been properly advised.  (</w:t>
      </w:r>
      <w:r w:rsidRPr="00E67F9A" w:rsidR="00942050">
        <w:rPr>
          <w:i/>
          <w:iCs/>
        </w:rPr>
        <w:t>Id.</w:t>
      </w:r>
      <w:r w:rsidRPr="00942050" w:rsidR="00942050">
        <w:t xml:space="preserve"> at p</w:t>
      </w:r>
      <w:r w:rsidRPr="00942050" w:rsidR="00D123E5">
        <w:t>.</w:t>
      </w:r>
      <w:r w:rsidR="00D123E5">
        <w:t> </w:t>
      </w:r>
      <w:r w:rsidRPr="00942050" w:rsidR="00942050">
        <w:t>568.)</w:t>
      </w:r>
    </w:p>
    <w:p w:rsidR="001131E0" w:rsidRPr="001131E0" w:rsidP="00F41D07">
      <w:pPr>
        <w:keepNext/>
        <w:jc w:val="center"/>
        <w:rPr>
          <w:b/>
          <w:bCs/>
        </w:rPr>
      </w:pPr>
      <w:r w:rsidRPr="001131E0">
        <w:rPr>
          <w:b/>
          <w:bCs/>
        </w:rPr>
        <w:t>C.</w:t>
      </w:r>
    </w:p>
    <w:p w:rsidR="00726DD8" w:rsidP="003C350C">
      <w:pPr>
        <w:ind w:firstLine="720"/>
        <w:rPr>
          <w:szCs w:val="26"/>
        </w:rPr>
      </w:pPr>
      <w:r>
        <w:t>In denying relief, t</w:t>
      </w:r>
      <w:r w:rsidRPr="00B47553">
        <w:t xml:space="preserve">he Court of Appeal </w:t>
      </w:r>
      <w:r w:rsidR="00012648">
        <w:t xml:space="preserve">observed that </w:t>
      </w:r>
      <w:r w:rsidR="00A1453E">
        <w:rPr>
          <w:szCs w:val="26"/>
        </w:rPr>
        <w:t>Espinoza</w:t>
      </w:r>
      <w:r w:rsidR="00FC14B3">
        <w:rPr>
          <w:szCs w:val="26"/>
        </w:rPr>
        <w:t xml:space="preserve"> </w:t>
      </w:r>
      <w:r w:rsidR="00494F62">
        <w:rPr>
          <w:szCs w:val="26"/>
        </w:rPr>
        <w:t>did not express contemporaneous confusion, as Vivar did.  (</w:t>
      </w:r>
      <w:r w:rsidR="00494F62">
        <w:rPr>
          <w:i/>
          <w:iCs/>
          <w:szCs w:val="26"/>
        </w:rPr>
        <w:t>Vivar</w:t>
      </w:r>
      <w:r w:rsidR="00494F62">
        <w:rPr>
          <w:szCs w:val="26"/>
        </w:rPr>
        <w:t xml:space="preserve">, </w:t>
      </w:r>
      <w:r w:rsidR="00494F62">
        <w:rPr>
          <w:i/>
          <w:iCs/>
          <w:szCs w:val="26"/>
        </w:rPr>
        <w:t>supra</w:t>
      </w:r>
      <w:r w:rsidR="00494F62">
        <w:rPr>
          <w:szCs w:val="26"/>
        </w:rPr>
        <w:t>, 11 Cal.5th at pp. 530–531</w:t>
      </w:r>
      <w:r w:rsidR="00D83C09">
        <w:rPr>
          <w:szCs w:val="26"/>
        </w:rPr>
        <w:t>.</w:t>
      </w:r>
      <w:r w:rsidR="00494F62">
        <w:rPr>
          <w:szCs w:val="26"/>
        </w:rPr>
        <w:t xml:space="preserve">) </w:t>
      </w:r>
      <w:r w:rsidR="00494F62">
        <w:t xml:space="preserve"> </w:t>
      </w:r>
      <w:r w:rsidR="00205457">
        <w:rPr>
          <w:szCs w:val="26"/>
        </w:rPr>
        <w:t>But unlike Vivar, who was aware of the immigration consequences of his plea “at or near the time of his plea” (</w:t>
      </w:r>
      <w:r w:rsidR="00205457">
        <w:rPr>
          <w:i/>
          <w:iCs/>
          <w:szCs w:val="26"/>
        </w:rPr>
        <w:t>id.</w:t>
      </w:r>
      <w:r w:rsidR="00205457">
        <w:rPr>
          <w:szCs w:val="26"/>
        </w:rPr>
        <w:t xml:space="preserve"> at p. 530), </w:t>
      </w:r>
      <w:r w:rsidRPr="00B47553" w:rsidR="00205457">
        <w:t xml:space="preserve">Espinoza </w:t>
      </w:r>
      <w:r w:rsidR="001A36F8">
        <w:t xml:space="preserve">has declared that </w:t>
      </w:r>
      <w:r w:rsidR="00457CFC">
        <w:t xml:space="preserve">he </w:t>
      </w:r>
      <w:r w:rsidRPr="00B47553" w:rsidR="00205457">
        <w:t xml:space="preserve">did not </w:t>
      </w:r>
      <w:r w:rsidR="00205457">
        <w:t>discover those consequences until more than a decade after his plea (</w:t>
      </w:r>
      <w:r w:rsidR="00205457">
        <w:rPr>
          <w:i/>
          <w:iCs/>
        </w:rPr>
        <w:t>ante</w:t>
      </w:r>
      <w:r w:rsidR="00205457">
        <w:t xml:space="preserve">, at p. 5).  </w:t>
      </w:r>
      <w:r w:rsidR="00131082">
        <w:t>T</w:t>
      </w:r>
      <w:r w:rsidR="00D83C09">
        <w:t xml:space="preserve">he Court of Appeal </w:t>
      </w:r>
      <w:r w:rsidR="00131082">
        <w:t xml:space="preserve">also </w:t>
      </w:r>
      <w:r w:rsidR="00D83C09">
        <w:t>questioned Espinoza’s credibility because</w:t>
      </w:r>
      <w:r w:rsidR="00881131">
        <w:t xml:space="preserve"> </w:t>
      </w:r>
      <w:r w:rsidR="00D83C09">
        <w:t>he did not submit evidence from his plea counsel</w:t>
      </w:r>
      <w:r w:rsidR="00881131">
        <w:rPr>
          <w:szCs w:val="26"/>
        </w:rPr>
        <w:t>, as Vivar did</w:t>
      </w:r>
      <w:r w:rsidR="00D83C09">
        <w:t xml:space="preserve">.  </w:t>
      </w:r>
      <w:r w:rsidR="00D83C09">
        <w:rPr>
          <w:szCs w:val="26"/>
        </w:rPr>
        <w:t>(</w:t>
      </w:r>
      <w:r w:rsidR="00D83C09">
        <w:rPr>
          <w:i/>
          <w:iCs/>
          <w:szCs w:val="26"/>
        </w:rPr>
        <w:t>Vivar</w:t>
      </w:r>
      <w:r w:rsidR="00D83C09">
        <w:rPr>
          <w:szCs w:val="26"/>
        </w:rPr>
        <w:t xml:space="preserve">, at pp. 530–531.)  </w:t>
      </w:r>
      <w:r w:rsidR="00205457">
        <w:t>B</w:t>
      </w:r>
      <w:r w:rsidR="001A36F8">
        <w:t>ut b</w:t>
      </w:r>
      <w:r w:rsidR="00205457">
        <w:t xml:space="preserve">y the time </w:t>
      </w:r>
      <w:r w:rsidRPr="00B47553" w:rsidR="00205457">
        <w:t>Espinoza</w:t>
      </w:r>
      <w:r w:rsidR="00205457">
        <w:t xml:space="preserve"> filed the </w:t>
      </w:r>
      <w:r w:rsidRPr="00B47553" w:rsidR="00205457">
        <w:t>motion</w:t>
      </w:r>
      <w:r w:rsidR="00205457">
        <w:t xml:space="preserve"> at issue in this appeal</w:t>
      </w:r>
      <w:r w:rsidRPr="00B47553" w:rsidR="00205457">
        <w:t xml:space="preserve">, it had been 15 years since the plea.  </w:t>
      </w:r>
      <w:r w:rsidR="00205457">
        <w:t xml:space="preserve">Both the </w:t>
      </w:r>
      <w:r w:rsidR="00494F62">
        <w:t>d</w:t>
      </w:r>
      <w:r w:rsidR="00205457">
        <w:t xml:space="preserve">istrict </w:t>
      </w:r>
      <w:r w:rsidR="00494F62">
        <w:t>a</w:t>
      </w:r>
      <w:r w:rsidR="00205457">
        <w:t xml:space="preserve">ttorney and Espinoza’s counsel represented to the court that they tried, without success, to contact the attorney who represented Espinoza at the time his plea was entered.  </w:t>
      </w:r>
      <w:r w:rsidRPr="00B47553" w:rsidR="00205457">
        <w:t>As the Attorney General observes, “</w:t>
      </w:r>
      <w:r w:rsidRPr="00B47553" w:rsidR="00205457">
        <w:rPr>
          <w:szCs w:val="26"/>
        </w:rPr>
        <w:t xml:space="preserve">the robust evidence introduced in </w:t>
      </w:r>
      <w:r w:rsidRPr="00B47553" w:rsidR="00205457">
        <w:rPr>
          <w:i/>
          <w:iCs/>
          <w:szCs w:val="26"/>
        </w:rPr>
        <w:t>Vivar</w:t>
      </w:r>
      <w:r w:rsidRPr="00B47553" w:rsidR="00205457">
        <w:rPr>
          <w:szCs w:val="26"/>
        </w:rPr>
        <w:t xml:space="preserve"> will not be available in most cases</w:t>
      </w:r>
      <w:r w:rsidR="00205457">
        <w:rPr>
          <w:szCs w:val="26"/>
        </w:rPr>
        <w:t> </w:t>
      </w:r>
      <w:r w:rsidRPr="00B47553" w:rsidR="00205457">
        <w:rPr>
          <w:szCs w:val="26"/>
        </w:rPr>
        <w:t>—</w:t>
      </w:r>
      <w:r w:rsidR="00205457">
        <w:rPr>
          <w:szCs w:val="26"/>
        </w:rPr>
        <w:t xml:space="preserve"> </w:t>
      </w:r>
      <w:r w:rsidRPr="00B47553" w:rsidR="00205457">
        <w:rPr>
          <w:szCs w:val="26"/>
        </w:rPr>
        <w:t>especially where defendants do not learn about the immigration consequences of their pleas until years or decades later.”</w:t>
      </w:r>
    </w:p>
    <w:p w:rsidR="00A53915" w:rsidP="00BF3F86">
      <w:pPr>
        <w:ind w:firstLine="720"/>
      </w:pPr>
      <w:r w:rsidRPr="00B47553">
        <w:rPr>
          <w:i/>
          <w:iCs/>
        </w:rPr>
        <w:t>Vivar</w:t>
      </w:r>
      <w:r w:rsidRPr="00B47553">
        <w:t xml:space="preserve"> did not </w:t>
      </w:r>
      <w:r w:rsidR="00811924">
        <w:t xml:space="preserve">suggest that </w:t>
      </w:r>
      <w:r w:rsidRPr="00B47553">
        <w:t xml:space="preserve">the circumstances </w:t>
      </w:r>
      <w:r w:rsidR="0063770F">
        <w:t>of that case</w:t>
      </w:r>
      <w:r w:rsidRPr="00B47553">
        <w:t xml:space="preserve"> constitute minimum requirements for establishing prejudicial error.  </w:t>
      </w:r>
      <w:r w:rsidR="00052ED4">
        <w:t xml:space="preserve">A </w:t>
      </w:r>
      <w:r w:rsidR="00BE608E">
        <w:t>party seeking relief under section 1473.7 is not required to provide the declaration of plea counsel.</w:t>
      </w:r>
      <w:r w:rsidR="00012B00">
        <w:t xml:space="preserve"> </w:t>
      </w:r>
      <w:r w:rsidR="00BE608E">
        <w:t xml:space="preserve"> </w:t>
      </w:r>
      <w:r w:rsidRPr="00B47553" w:rsidR="00587FBE">
        <w:t>(</w:t>
      </w:r>
      <w:r w:rsidRPr="00B47553" w:rsidR="00587FBE">
        <w:rPr>
          <w:i/>
          <w:iCs/>
        </w:rPr>
        <w:t>People v. Manzanilla</w:t>
      </w:r>
      <w:r w:rsidRPr="00B47553" w:rsidR="00587FBE">
        <w:t xml:space="preserve"> (2022) 80 Cal.App.5th 891, 909.)</w:t>
      </w:r>
      <w:r w:rsidR="00252E77">
        <w:t xml:space="preserve"> </w:t>
      </w:r>
      <w:r w:rsidRPr="00457CFC" w:rsidR="00457CFC">
        <w:t xml:space="preserve"> </w:t>
      </w:r>
      <w:r w:rsidR="00012648">
        <w:t xml:space="preserve">Nor is </w:t>
      </w:r>
      <w:r w:rsidR="00AF2550">
        <w:t xml:space="preserve">a defendant </w:t>
      </w:r>
      <w:r w:rsidR="00012648">
        <w:t>required to submit contemporaneous documentation from the time of the plea.  Rather, t</w:t>
      </w:r>
      <w:r w:rsidR="0074155C">
        <w:t xml:space="preserve">he </w:t>
      </w:r>
      <w:r w:rsidR="00B945C6">
        <w:t xml:space="preserve">inquiry under section 1473.7 </w:t>
      </w:r>
      <w:r w:rsidR="00881F59">
        <w:t>requires consideration of the</w:t>
      </w:r>
      <w:r w:rsidR="00B945C6">
        <w:t xml:space="preserve"> “totality of the circumstances</w:t>
      </w:r>
      <w:r w:rsidR="00881F59">
        <w:t>,</w:t>
      </w:r>
      <w:r w:rsidR="00B945C6">
        <w:t>”</w:t>
      </w:r>
      <w:r w:rsidR="00881F59">
        <w:t xml:space="preserve"> which necessarily involves </w:t>
      </w:r>
      <w:r w:rsidRPr="00B47553" w:rsidR="00B945C6">
        <w:t xml:space="preserve">case-by-case examination of </w:t>
      </w:r>
      <w:r w:rsidR="00881F59">
        <w:t>the</w:t>
      </w:r>
      <w:r w:rsidRPr="00B47553" w:rsidR="00B945C6">
        <w:t xml:space="preserve"> record </w:t>
      </w:r>
      <w:r w:rsidR="00B945C6">
        <w:t>(</w:t>
      </w:r>
      <w:r w:rsidRPr="00291BA0" w:rsidR="00B945C6">
        <w:rPr>
          <w:i/>
          <w:iCs/>
        </w:rPr>
        <w:t>Vivar</w:t>
      </w:r>
      <w:r w:rsidR="00B945C6">
        <w:t xml:space="preserve">, </w:t>
      </w:r>
      <w:r w:rsidR="00B945C6">
        <w:rPr>
          <w:i/>
          <w:iCs/>
        </w:rPr>
        <w:t>supra</w:t>
      </w:r>
      <w:r w:rsidR="00B945C6">
        <w:t>, 11 Cal.5th at pp</w:t>
      </w:r>
      <w:r w:rsidR="00A4024B">
        <w:t>. </w:t>
      </w:r>
      <w:r w:rsidR="00B945C6">
        <w:t>529–530)</w:t>
      </w:r>
      <w:r w:rsidR="00881F59">
        <w:t xml:space="preserve">, and </w:t>
      </w:r>
      <w:r w:rsidR="004A5BBB">
        <w:t>no specific</w:t>
      </w:r>
      <w:r w:rsidR="00BC3B48">
        <w:t xml:space="preserve"> kind of</w:t>
      </w:r>
      <w:r w:rsidR="004A5BBB">
        <w:t xml:space="preserve"> evidence is a prerequisite to relief.</w:t>
      </w:r>
      <w:r>
        <w:t xml:space="preserve"> </w:t>
      </w:r>
      <w:r w:rsidR="004D0E8A">
        <w:t xml:space="preserve"> </w:t>
      </w:r>
      <w:r w:rsidR="00012648">
        <w:t xml:space="preserve">As noted, </w:t>
      </w:r>
      <w:r w:rsidRPr="00457CFC" w:rsidR="00012648">
        <w:t>the burden rests</w:t>
      </w:r>
      <w:r w:rsidR="00012648">
        <w:t xml:space="preserve"> </w:t>
      </w:r>
      <w:r w:rsidRPr="00457CFC" w:rsidR="00012648">
        <w:t xml:space="preserve">with the defendant to establish </w:t>
      </w:r>
      <w:r w:rsidR="00012648">
        <w:t xml:space="preserve">entitlement to relief.  </w:t>
      </w:r>
      <w:r w:rsidRPr="00457CFC" w:rsidR="00012648">
        <w:t xml:space="preserve">In addition to </w:t>
      </w:r>
      <w:r w:rsidR="00012648">
        <w:t xml:space="preserve">submitting </w:t>
      </w:r>
      <w:r w:rsidRPr="00457CFC" w:rsidR="00012648">
        <w:t xml:space="preserve">declarations, both parties are entitled to request an evidentiary hearing.  </w:t>
      </w:r>
      <w:r w:rsidR="00012648">
        <w:t>(§ 1473.7, subd</w:t>
      </w:r>
      <w:r w:rsidR="00F879FB">
        <w:t>. </w:t>
      </w:r>
      <w:r w:rsidR="00012648">
        <w:t>(d).)  T</w:t>
      </w:r>
      <w:r w:rsidRPr="00457CFC" w:rsidR="00012648">
        <w:t>he more robust and inclusive a record, the greater the opportunity for effective persuasion and meaningful judicial review.</w:t>
      </w:r>
      <w:r w:rsidR="00012648">
        <w:t xml:space="preserve">  </w:t>
      </w:r>
      <w:r w:rsidRPr="00FC6D78" w:rsidR="00FC6D78">
        <w:t>A</w:t>
      </w:r>
      <w:r w:rsidR="00012648">
        <w:t xml:space="preserve">nd the inquiry into a defendant’s </w:t>
      </w:r>
      <w:r w:rsidRPr="00FC6D78" w:rsidR="00FC6D78">
        <w:t>state of mind</w:t>
      </w:r>
      <w:r w:rsidR="00012648">
        <w:t xml:space="preserve"> </w:t>
      </w:r>
      <w:r w:rsidRPr="00FC6D78" w:rsidR="00FC6D78">
        <w:t>may often involve the weighing of credibility and circumstantial evidence.</w:t>
      </w:r>
    </w:p>
    <w:p w:rsidR="00BF3F86" w:rsidP="00BF3F86">
      <w:pPr>
        <w:ind w:firstLine="720"/>
      </w:pPr>
      <w:r w:rsidRPr="00B47553">
        <w:t xml:space="preserve">Having </w:t>
      </w:r>
      <w:r w:rsidR="00881F59">
        <w:t xml:space="preserve">considered the totality of the circumstances here, </w:t>
      </w:r>
      <w:r w:rsidR="00403E13">
        <w:t>we conclude that</w:t>
      </w:r>
      <w:r w:rsidR="007E5B7F">
        <w:t xml:space="preserve"> </w:t>
      </w:r>
      <w:r w:rsidR="00403E13">
        <w:t xml:space="preserve">Espinoza has </w:t>
      </w:r>
      <w:r w:rsidR="00881F59">
        <w:t xml:space="preserve">shown </w:t>
      </w:r>
      <w:r w:rsidRPr="00B47553" w:rsidR="001D21D6">
        <w:t xml:space="preserve">a reasonable </w:t>
      </w:r>
      <w:r w:rsidR="00881F59">
        <w:t xml:space="preserve">probability </w:t>
      </w:r>
      <w:r w:rsidR="005466B3">
        <w:t xml:space="preserve">that </w:t>
      </w:r>
      <w:r w:rsidRPr="00B47553" w:rsidR="001D21D6">
        <w:t xml:space="preserve">he would have rejected the plea and </w:t>
      </w:r>
      <w:r>
        <w:t xml:space="preserve">either </w:t>
      </w:r>
      <w:r w:rsidRPr="00B47553" w:rsidR="008B1159">
        <w:t xml:space="preserve">gone to trial or </w:t>
      </w:r>
      <w:r w:rsidRPr="00B47553" w:rsidR="001D21D6">
        <w:t>sought a different</w:t>
      </w:r>
      <w:r>
        <w:t>, immigration-safe</w:t>
      </w:r>
      <w:r w:rsidRPr="00B47553" w:rsidR="001D21D6">
        <w:t xml:space="preserve"> bargain if he had </w:t>
      </w:r>
      <w:r w:rsidR="004A262F">
        <w:t>understood</w:t>
      </w:r>
      <w:r w:rsidRPr="00B47553" w:rsidR="001D21D6">
        <w:t xml:space="preserve"> the consequences of the plea. </w:t>
      </w:r>
      <w:r w:rsidRPr="00B47553" w:rsidR="00E72100">
        <w:t xml:space="preserve"> </w:t>
      </w:r>
      <w:r w:rsidRPr="00B47553" w:rsidR="00F668E6">
        <w:t xml:space="preserve">Espinoza’s </w:t>
      </w:r>
      <w:r w:rsidR="009434B7">
        <w:t xml:space="preserve">deep and longstanding </w:t>
      </w:r>
      <w:r w:rsidRPr="00B47553" w:rsidR="00F668E6">
        <w:t>ties to the United States</w:t>
      </w:r>
      <w:r w:rsidR="009434B7">
        <w:t>, along with those to his family and community,</w:t>
      </w:r>
      <w:r w:rsidR="001D4218">
        <w:t xml:space="preserve"> </w:t>
      </w:r>
      <w:r w:rsidR="00FB3B0F">
        <w:t xml:space="preserve">support the conclusion </w:t>
      </w:r>
      <w:r>
        <w:t xml:space="preserve">that immigration concerns would have been paramount to </w:t>
      </w:r>
      <w:r w:rsidR="00715DF1">
        <w:t xml:space="preserve">him </w:t>
      </w:r>
      <w:r>
        <w:t>at the time of his plea</w:t>
      </w:r>
      <w:r w:rsidRPr="00B47553" w:rsidR="00F668E6">
        <w:t xml:space="preserve">.  </w:t>
      </w:r>
      <w:r w:rsidRPr="00B47553" w:rsidR="009A076C">
        <w:t xml:space="preserve">(See </w:t>
      </w:r>
      <w:r w:rsidRPr="00B47553" w:rsidR="009A076C">
        <w:rPr>
          <w:i/>
          <w:iCs/>
        </w:rPr>
        <w:t>Vivar</w:t>
      </w:r>
      <w:r w:rsidRPr="00B47553" w:rsidR="009A076C">
        <w:t xml:space="preserve">, </w:t>
      </w:r>
      <w:r w:rsidRPr="00B47553" w:rsidR="009A076C">
        <w:rPr>
          <w:i/>
          <w:iCs/>
        </w:rPr>
        <w:t>supra</w:t>
      </w:r>
      <w:r w:rsidRPr="00B47553" w:rsidR="009A076C">
        <w:t xml:space="preserve">, </w:t>
      </w:r>
      <w:r w:rsidRPr="00B47553" w:rsidR="006F7453">
        <w:t>11</w:t>
      </w:r>
      <w:r w:rsidR="00420F6A">
        <w:t xml:space="preserve"> </w:t>
      </w:r>
      <w:r w:rsidRPr="00B47553" w:rsidR="006F7453">
        <w:t>Cal.5th at pp. 516–517</w:t>
      </w:r>
      <w:r w:rsidR="00715F47">
        <w:t>.</w:t>
      </w:r>
      <w:r w:rsidRPr="00B47553" w:rsidR="006F7453">
        <w:t>)</w:t>
      </w:r>
      <w:r w:rsidRPr="00B47553" w:rsidR="00D75DFA">
        <w:t xml:space="preserve"> </w:t>
      </w:r>
      <w:r w:rsidRPr="00B47553" w:rsidR="006F7453">
        <w:t xml:space="preserve"> </w:t>
      </w:r>
      <w:r>
        <w:t>In addition</w:t>
      </w:r>
      <w:r w:rsidR="00341DAD">
        <w:t xml:space="preserve">, </w:t>
      </w:r>
      <w:r w:rsidRPr="00B47553" w:rsidR="00610202">
        <w:t xml:space="preserve">Espinoza’s </w:t>
      </w:r>
      <w:r w:rsidR="001D4218">
        <w:t xml:space="preserve">lack of criminal </w:t>
      </w:r>
      <w:r>
        <w:t xml:space="preserve">history </w:t>
      </w:r>
      <w:r w:rsidR="001D4218">
        <w:t xml:space="preserve">at the time of </w:t>
      </w:r>
      <w:r w:rsidR="00B40A3B">
        <w:t>his</w:t>
      </w:r>
      <w:r w:rsidR="001D4218">
        <w:t xml:space="preserve"> plea</w:t>
      </w:r>
      <w:r w:rsidR="00420F6A">
        <w:t xml:space="preserve"> </w:t>
      </w:r>
      <w:r>
        <w:t>and</w:t>
      </w:r>
      <w:r w:rsidR="001D4218">
        <w:t xml:space="preserve"> </w:t>
      </w:r>
      <w:r w:rsidR="00785CDB">
        <w:t xml:space="preserve">the </w:t>
      </w:r>
      <w:r w:rsidR="001D4218">
        <w:t xml:space="preserve">immigration </w:t>
      </w:r>
      <w:r>
        <w:t xml:space="preserve">attorney’s </w:t>
      </w:r>
      <w:r w:rsidR="009D5FB3">
        <w:t>declaration</w:t>
      </w:r>
      <w:r w:rsidR="001D4218">
        <w:t xml:space="preserve"> identifying alternative immigration-</w:t>
      </w:r>
      <w:r w:rsidR="00042C18">
        <w:t>safe</w:t>
      </w:r>
      <w:r w:rsidR="001D4218">
        <w:t xml:space="preserve"> dispositions </w:t>
      </w:r>
      <w:r>
        <w:t xml:space="preserve">suggest that he had reason to expect or hope for a different plea agreement without immigration consequences.  (See </w:t>
      </w:r>
      <w:r w:rsidRPr="00B47553">
        <w:rPr>
          <w:i/>
          <w:iCs/>
        </w:rPr>
        <w:t>Martinez</w:t>
      </w:r>
      <w:r w:rsidRPr="00B47553">
        <w:t xml:space="preserve">, </w:t>
      </w:r>
      <w:r w:rsidRPr="00964D79">
        <w:rPr>
          <w:i/>
          <w:iCs/>
        </w:rPr>
        <w:t>supra</w:t>
      </w:r>
      <w:r w:rsidRPr="00B47553">
        <w:t>, 57 Cal.4th at p.</w:t>
      </w:r>
      <w:r>
        <w:t> </w:t>
      </w:r>
      <w:r w:rsidRPr="00B47553">
        <w:t>56</w:t>
      </w:r>
      <w:r>
        <w:t xml:space="preserve">7; </w:t>
      </w:r>
      <w:r w:rsidRPr="00B47553" w:rsidR="00AB5D4E">
        <w:rPr>
          <w:i/>
          <w:iCs/>
        </w:rPr>
        <w:t>Mejia</w:t>
      </w:r>
      <w:r w:rsidRPr="00B47553" w:rsidR="00AB5D4E">
        <w:t xml:space="preserve">, </w:t>
      </w:r>
      <w:r w:rsidRPr="00B47553" w:rsidR="00AB5D4E">
        <w:rPr>
          <w:i/>
          <w:iCs/>
        </w:rPr>
        <w:t>supra</w:t>
      </w:r>
      <w:r w:rsidRPr="00B47553" w:rsidR="00AB5D4E">
        <w:t>, 36 Cal.App.5th at p. 873</w:t>
      </w:r>
      <w:r w:rsidR="00715F47">
        <w:t>.</w:t>
      </w:r>
      <w:r w:rsidR="00DD5F4A">
        <w:t>)</w:t>
      </w:r>
    </w:p>
    <w:p w:rsidR="00C068B9" w:rsidP="00BF3F86">
      <w:pPr>
        <w:ind w:firstLine="720"/>
      </w:pPr>
      <w:r>
        <w:t xml:space="preserve">We also find it significant </w:t>
      </w:r>
      <w:r w:rsidRPr="00831273" w:rsidR="00831273">
        <w:t xml:space="preserve">that the Attorney General agrees Espinoza is entitled to relief.  Although we are not </w:t>
      </w:r>
      <w:r>
        <w:t>required</w:t>
      </w:r>
      <w:r w:rsidRPr="00831273" w:rsidR="00831273">
        <w:t xml:space="preserve"> to accept this concession, it suggest</w:t>
      </w:r>
      <w:r>
        <w:t>s</w:t>
      </w:r>
      <w:r w:rsidRPr="00831273" w:rsidR="00831273">
        <w:t xml:space="preserve"> that any remand for further development of the record will </w:t>
      </w:r>
      <w:r>
        <w:t xml:space="preserve">serve </w:t>
      </w:r>
      <w:r w:rsidRPr="00831273" w:rsidR="00831273">
        <w:t xml:space="preserve">only </w:t>
      </w:r>
      <w:r>
        <w:t xml:space="preserve">to </w:t>
      </w:r>
      <w:r w:rsidRPr="00831273" w:rsidR="00831273">
        <w:t xml:space="preserve">delay the relief to which both parties </w:t>
      </w:r>
      <w:r w:rsidR="0043496B">
        <w:t xml:space="preserve">now </w:t>
      </w:r>
      <w:r w:rsidRPr="00831273" w:rsidR="00831273">
        <w:t xml:space="preserve">agree </w:t>
      </w:r>
      <w:r>
        <w:t>Espinoza</w:t>
      </w:r>
      <w:r w:rsidRPr="00831273" w:rsidR="00831273">
        <w:t xml:space="preserve"> is entitled. </w:t>
      </w:r>
      <w:r w:rsidR="00831273">
        <w:t xml:space="preserve"> </w:t>
      </w:r>
      <w:r w:rsidRPr="0043496B" w:rsidR="0043496B">
        <w:t xml:space="preserve">While a remand for reconsideration and the development of the record may be advisable in </w:t>
      </w:r>
      <w:r w:rsidR="008050EA">
        <w:t>other</w:t>
      </w:r>
      <w:r w:rsidRPr="0043496B" w:rsidR="0043496B">
        <w:t xml:space="preserve"> cases, </w:t>
      </w:r>
      <w:r>
        <w:t xml:space="preserve">we are satisfied </w:t>
      </w:r>
      <w:r w:rsidRPr="00831273" w:rsidR="00831273">
        <w:t xml:space="preserve">that </w:t>
      </w:r>
      <w:r>
        <w:t xml:space="preserve">the evidence here establishes a reasonable probability that Espinoza would </w:t>
      </w:r>
      <w:r w:rsidRPr="00B47553">
        <w:t>have rejected the plea if he had understood its immigration consequences</w:t>
      </w:r>
      <w:r w:rsidRPr="00831273" w:rsidR="00831273">
        <w:t>.</w:t>
      </w:r>
      <w:r>
        <w:br w:type="page"/>
      </w:r>
    </w:p>
    <w:p w:rsidR="00B542C2" w:rsidRPr="00C55DED" w:rsidP="009107DC">
      <w:pPr>
        <w:widowControl w:val="0"/>
        <w:jc w:val="center"/>
        <w:outlineLvl w:val="0"/>
        <w:rPr>
          <w:b/>
          <w:bCs/>
          <w:szCs w:val="26"/>
        </w:rPr>
      </w:pPr>
      <w:r>
        <w:rPr>
          <w:b/>
          <w:bCs/>
        </w:rPr>
        <w:t>CONCLUSION</w:t>
      </w:r>
    </w:p>
    <w:p w:rsidR="003E6EDE" w:rsidP="00F41D07">
      <w:pPr>
        <w:keepNext/>
        <w:ind w:firstLine="720"/>
      </w:pPr>
      <w:r w:rsidRPr="00B47553">
        <w:t>We</w:t>
      </w:r>
      <w:r w:rsidRPr="00B47553">
        <w:t xml:space="preserve"> reverse the </w:t>
      </w:r>
      <w:r w:rsidR="00881F59">
        <w:t xml:space="preserve">judgment </w:t>
      </w:r>
      <w:r w:rsidRPr="00210818" w:rsidR="00210818">
        <w:t xml:space="preserve">and remand the case to the Court of Appeal with directions </w:t>
      </w:r>
      <w:r w:rsidR="009133CB">
        <w:t>to</w:t>
      </w:r>
      <w:r w:rsidRPr="00210818" w:rsidR="00210818">
        <w:t xml:space="preserve"> remand the case to the trial court for ent</w:t>
      </w:r>
      <w:r w:rsidR="009133CB">
        <w:t>ry of</w:t>
      </w:r>
      <w:r w:rsidRPr="00210818" w:rsidR="00210818">
        <w:t xml:space="preserve"> an order granting </w:t>
      </w:r>
      <w:r w:rsidR="00752FD4">
        <w:t xml:space="preserve">Espinoza’s </w:t>
      </w:r>
      <w:r w:rsidRPr="00210818" w:rsidR="00210818">
        <w:t xml:space="preserve">section 1473.7 motion to </w:t>
      </w:r>
      <w:r w:rsidR="00E26B65">
        <w:t>vacate his conviction</w:t>
      </w:r>
      <w:r w:rsidRPr="00210818" w:rsidR="00210818">
        <w:t>.</w:t>
      </w:r>
    </w:p>
    <w:p w:rsidR="003C63CE" w:rsidP="00F41D07">
      <w:pPr>
        <w:keepNext/>
        <w:ind w:firstLine="720"/>
      </w:pPr>
    </w:p>
    <w:p w:rsidR="009107DC" w:rsidP="009107DC">
      <w:pPr>
        <w:tabs>
          <w:tab w:val="left" w:pos="1440"/>
        </w:tabs>
        <w:ind w:firstLine="720"/>
      </w:pPr>
      <w:r w:rsidRPr="00B47553">
        <w:rPr>
          <w:b/>
          <w:szCs w:val="26"/>
        </w:rPr>
        <w:tab/>
      </w:r>
      <w:r w:rsidRPr="00B47553">
        <w:rPr>
          <w:b/>
          <w:szCs w:val="26"/>
        </w:rPr>
        <w:tab/>
      </w:r>
      <w:r w:rsidRPr="00B47553">
        <w:rPr>
          <w:b/>
          <w:szCs w:val="26"/>
        </w:rPr>
        <w:tab/>
      </w:r>
      <w:r w:rsidRPr="00B47553">
        <w:rPr>
          <w:b/>
          <w:szCs w:val="26"/>
        </w:rPr>
        <w:tab/>
      </w:r>
      <w:r w:rsidRPr="00B47553">
        <w:rPr>
          <w:b/>
          <w:szCs w:val="26"/>
        </w:rPr>
        <w:tab/>
      </w:r>
      <w:r w:rsidRPr="00B47553">
        <w:rPr>
          <w:b/>
          <w:szCs w:val="26"/>
        </w:rPr>
        <w:tab/>
        <w:t>LIU, J.</w:t>
      </w:r>
      <w:r w:rsidRPr="00B47553" w:rsidR="005F77AE">
        <w:t xml:space="preserve"> </w:t>
      </w:r>
    </w:p>
    <w:p w:rsidR="003C63CE" w:rsidP="009107DC">
      <w:pPr>
        <w:tabs>
          <w:tab w:val="left" w:pos="1440"/>
        </w:tabs>
        <w:ind w:firstLine="720"/>
      </w:pPr>
    </w:p>
    <w:p w:rsidR="009107DC" w:rsidRPr="00077BAA" w:rsidP="00C068B9">
      <w:pPr>
        <w:rPr>
          <w:b/>
        </w:rPr>
      </w:pPr>
      <w:r w:rsidRPr="00077BAA">
        <w:rPr>
          <w:b/>
        </w:rPr>
        <w:t>We Concur:</w:t>
      </w:r>
    </w:p>
    <w:p w:rsidR="009107DC" w:rsidRPr="00077BAA" w:rsidP="009107DC">
      <w:pPr>
        <w:spacing w:after="0" w:line="240" w:lineRule="auto"/>
        <w:jc w:val="left"/>
        <w:rPr>
          <w:b/>
        </w:rPr>
      </w:pPr>
      <w:r w:rsidRPr="00077BAA">
        <w:rPr>
          <w:b/>
        </w:rPr>
        <w:t>GUERRERO, C.</w:t>
      </w:r>
      <w:r w:rsidR="001872DC">
        <w:rPr>
          <w:b/>
        </w:rPr>
        <w:t> </w:t>
      </w:r>
      <w:r w:rsidRPr="00077BAA">
        <w:rPr>
          <w:b/>
        </w:rPr>
        <w:t>J.</w:t>
      </w:r>
    </w:p>
    <w:p w:rsidR="009107DC" w:rsidRPr="00077BAA" w:rsidP="009107DC">
      <w:pPr>
        <w:spacing w:after="0" w:line="240" w:lineRule="auto"/>
        <w:rPr>
          <w:b/>
          <w:lang w:val="it-IT"/>
        </w:rPr>
      </w:pPr>
      <w:r w:rsidRPr="00077BAA">
        <w:rPr>
          <w:b/>
          <w:lang w:val="it-IT"/>
        </w:rPr>
        <w:t>CORRIGAN, J.</w:t>
      </w:r>
    </w:p>
    <w:p w:rsidR="009107DC" w:rsidRPr="00077BAA" w:rsidP="009107DC">
      <w:pPr>
        <w:spacing w:after="0" w:line="240" w:lineRule="auto"/>
        <w:jc w:val="left"/>
        <w:rPr>
          <w:b/>
          <w:lang w:val="it-IT"/>
        </w:rPr>
      </w:pPr>
      <w:r w:rsidRPr="00077BAA">
        <w:rPr>
          <w:b/>
          <w:lang w:val="it-IT"/>
        </w:rPr>
        <w:t>KRUGER, J.</w:t>
      </w:r>
    </w:p>
    <w:p w:rsidR="009107DC" w:rsidRPr="00077BAA" w:rsidP="009107DC">
      <w:pPr>
        <w:spacing w:after="0" w:line="240" w:lineRule="auto"/>
        <w:jc w:val="left"/>
        <w:rPr>
          <w:b/>
        </w:rPr>
      </w:pPr>
      <w:r w:rsidRPr="00077BAA">
        <w:rPr>
          <w:b/>
        </w:rPr>
        <w:t>GROBAN, J.</w:t>
      </w:r>
    </w:p>
    <w:p w:rsidR="009107DC" w:rsidRPr="00077BAA" w:rsidP="009107DC">
      <w:pPr>
        <w:spacing w:after="0" w:line="240" w:lineRule="auto"/>
        <w:jc w:val="left"/>
        <w:rPr>
          <w:b/>
        </w:rPr>
      </w:pPr>
      <w:r w:rsidRPr="00077BAA">
        <w:rPr>
          <w:b/>
        </w:rPr>
        <w:t>JENKINS, J.</w:t>
      </w:r>
    </w:p>
    <w:p w:rsidR="009107DC" w:rsidP="009107DC">
      <w:pPr>
        <w:spacing w:after="0" w:line="240" w:lineRule="auto"/>
        <w:rPr>
          <w:b/>
          <w:position w:val="4"/>
          <w:vertAlign w:val="superscript"/>
        </w:rPr>
      </w:pPr>
      <w:r w:rsidRPr="00077BAA">
        <w:rPr>
          <w:b/>
          <w:lang w:val="it-IT"/>
        </w:rPr>
        <w:t>CANTIL-SAKAUYE</w:t>
      </w:r>
      <w:r w:rsidRPr="00077BAA">
        <w:rPr>
          <w:b/>
        </w:rPr>
        <w:t>, J.</w:t>
      </w:r>
      <w:r>
        <w:rPr>
          <w:b/>
          <w:position w:val="4"/>
          <w:vertAlign w:val="superscript"/>
        </w:rPr>
        <w:footnoteReference w:customMarkFollows="1" w:id="4"/>
        <w:t xml:space="preserve">*</w:t>
      </w:r>
    </w:p>
    <w:p w:rsidR="00C068B9" w:rsidP="009107DC">
      <w:pPr>
        <w:spacing w:after="0" w:line="240" w:lineRule="auto"/>
        <w:rPr>
          <w:b/>
        </w:rPr>
        <w:sectPr w:rsidSect="000C0271">
          <w:footerReference w:type="first" r:id="rId11"/>
          <w:pgSz w:w="12240" w:h="15840"/>
          <w:pgMar w:top="1800" w:right="2160" w:bottom="1440" w:left="2160" w:header="720" w:footer="720" w:gutter="0"/>
          <w:pgNumType w:start="1"/>
          <w:cols w:space="720"/>
          <w:titlePg/>
          <w:docGrid w:linePitch="367"/>
        </w:sectPr>
      </w:pPr>
    </w:p>
    <w:p w:rsidR="004E4DE6" w:rsidRPr="004E4DE6" w:rsidP="004E4DE6">
      <w:pPr>
        <w:spacing w:after="0" w:line="240" w:lineRule="auto"/>
        <w:jc w:val="left"/>
        <w:rPr>
          <w:i/>
          <w:sz w:val="24"/>
          <w:szCs w:val="24"/>
        </w:rPr>
      </w:pPr>
      <w:bookmarkStart w:id="13" w:name="_Hlk105508284"/>
      <w:r w:rsidRPr="004E4DE6">
        <w:rPr>
          <w:i/>
          <w:sz w:val="24"/>
          <w:szCs w:val="24"/>
        </w:rPr>
        <w:t>See next page for addresses and telephone numbers for counsel who argued in Supreme Court.</w:t>
      </w:r>
    </w:p>
    <w:p w:rsidR="004E4DE6" w:rsidRPr="004E4DE6" w:rsidP="004E4DE6">
      <w:pPr>
        <w:spacing w:after="0" w:line="240" w:lineRule="auto"/>
        <w:jc w:val="left"/>
        <w:rPr>
          <w:i/>
          <w:sz w:val="24"/>
          <w:szCs w:val="24"/>
        </w:rPr>
      </w:pPr>
    </w:p>
    <w:p w:rsidR="004E4DE6" w:rsidRPr="004E4DE6" w:rsidP="004E4DE6">
      <w:pPr>
        <w:spacing w:after="0" w:line="240" w:lineRule="auto"/>
        <w:jc w:val="left"/>
        <w:rPr>
          <w:bCs/>
          <w:sz w:val="24"/>
          <w:szCs w:val="24"/>
        </w:rPr>
      </w:pPr>
      <w:r w:rsidRPr="004E4DE6">
        <w:rPr>
          <w:b/>
          <w:sz w:val="24"/>
          <w:szCs w:val="24"/>
        </w:rPr>
        <w:t xml:space="preserve">Name of Opinion </w:t>
      </w:r>
      <w:r w:rsidRPr="004E4DE6">
        <w:rPr>
          <w:bCs/>
          <w:sz w:val="24"/>
          <w:szCs w:val="24"/>
        </w:rPr>
        <w:t xml:space="preserve"> People v. Espinoza</w:t>
      </w:r>
    </w:p>
    <w:p w:rsidR="004E4DE6" w:rsidRPr="004E4DE6" w:rsidP="004E4DE6">
      <w:pPr>
        <w:spacing w:after="0" w:line="240" w:lineRule="auto"/>
        <w:jc w:val="left"/>
        <w:rPr>
          <w:b/>
          <w:sz w:val="24"/>
          <w:szCs w:val="24"/>
        </w:rPr>
      </w:pPr>
      <w:r w:rsidRPr="004E4DE6">
        <w:rPr>
          <w:b/>
          <w:sz w:val="24"/>
          <w:szCs w:val="24"/>
        </w:rPr>
        <w:t xml:space="preserve">__________________________________________________________ </w:t>
      </w:r>
    </w:p>
    <w:p w:rsidR="004E4DE6" w:rsidRPr="004E4DE6" w:rsidP="004E4DE6">
      <w:pPr>
        <w:spacing w:after="0" w:line="240" w:lineRule="auto"/>
        <w:jc w:val="left"/>
        <w:rPr>
          <w:b/>
          <w:sz w:val="24"/>
          <w:szCs w:val="24"/>
        </w:rPr>
      </w:pPr>
    </w:p>
    <w:p w:rsidR="004E4DE6" w:rsidRPr="004E4DE6" w:rsidP="004E4DE6">
      <w:pPr>
        <w:spacing w:after="0" w:line="240" w:lineRule="auto"/>
        <w:jc w:val="left"/>
        <w:rPr>
          <w:sz w:val="24"/>
          <w:szCs w:val="24"/>
        </w:rPr>
      </w:pPr>
      <w:r w:rsidRPr="004E4DE6">
        <w:rPr>
          <w:b/>
          <w:bCs/>
          <w:sz w:val="24"/>
          <w:szCs w:val="24"/>
          <w:u w:val="single"/>
        </w:rPr>
        <w:t>Procedural Posture</w:t>
      </w:r>
      <w:r w:rsidRPr="004E4DE6">
        <w:rPr>
          <w:b/>
          <w:bCs/>
          <w:sz w:val="24"/>
          <w:szCs w:val="24"/>
        </w:rPr>
        <w:t xml:space="preserve"> </w:t>
      </w:r>
      <w:r w:rsidRPr="004E4DE6">
        <w:rPr>
          <w:sz w:val="24"/>
          <w:szCs w:val="24"/>
        </w:rPr>
        <w:t>(see XX below)</w:t>
      </w:r>
    </w:p>
    <w:p w:rsidR="004E4DE6" w:rsidRPr="004E4DE6" w:rsidP="004E4DE6">
      <w:pPr>
        <w:spacing w:after="0" w:line="240" w:lineRule="auto"/>
        <w:jc w:val="left"/>
        <w:rPr>
          <w:sz w:val="24"/>
          <w:szCs w:val="24"/>
        </w:rPr>
      </w:pPr>
      <w:r w:rsidRPr="004E4DE6">
        <w:rPr>
          <w:b/>
          <w:bCs/>
          <w:sz w:val="24"/>
          <w:szCs w:val="24"/>
        </w:rPr>
        <w:t>Original Appeal</w:t>
      </w:r>
      <w:r w:rsidRPr="004E4DE6">
        <w:rPr>
          <w:sz w:val="24"/>
          <w:szCs w:val="24"/>
        </w:rPr>
        <w:t xml:space="preserve"> </w:t>
      </w:r>
    </w:p>
    <w:p w:rsidR="004E4DE6" w:rsidRPr="004E4DE6" w:rsidP="004E4DE6">
      <w:pPr>
        <w:spacing w:after="0" w:line="240" w:lineRule="auto"/>
        <w:jc w:val="left"/>
        <w:rPr>
          <w:b/>
          <w:bCs/>
          <w:sz w:val="24"/>
          <w:szCs w:val="24"/>
        </w:rPr>
      </w:pPr>
      <w:r w:rsidRPr="004E4DE6">
        <w:rPr>
          <w:b/>
          <w:bCs/>
          <w:sz w:val="24"/>
          <w:szCs w:val="24"/>
        </w:rPr>
        <w:t>Original Proceeding</w:t>
      </w:r>
    </w:p>
    <w:p w:rsidR="004E4DE6" w:rsidRPr="004E4DE6" w:rsidP="004E4DE6">
      <w:pPr>
        <w:spacing w:after="0" w:line="240" w:lineRule="auto"/>
        <w:jc w:val="left"/>
        <w:rPr>
          <w:sz w:val="24"/>
          <w:szCs w:val="24"/>
        </w:rPr>
      </w:pPr>
      <w:r w:rsidRPr="004E4DE6">
        <w:rPr>
          <w:b/>
          <w:bCs/>
          <w:sz w:val="24"/>
          <w:szCs w:val="24"/>
        </w:rPr>
        <w:t>Review Granted</w:t>
      </w:r>
      <w:r w:rsidRPr="004E4DE6">
        <w:rPr>
          <w:sz w:val="24"/>
          <w:szCs w:val="24"/>
        </w:rPr>
        <w:t xml:space="preserve"> </w:t>
      </w:r>
      <w:r w:rsidRPr="004E4DE6">
        <w:rPr>
          <w:b/>
          <w:bCs/>
          <w:sz w:val="24"/>
          <w:szCs w:val="24"/>
        </w:rPr>
        <w:t xml:space="preserve">(published) </w:t>
      </w:r>
    </w:p>
    <w:p w:rsidR="004E4DE6" w:rsidRPr="004E4DE6" w:rsidP="004E4DE6">
      <w:pPr>
        <w:spacing w:after="0" w:line="240" w:lineRule="auto"/>
        <w:jc w:val="left"/>
        <w:rPr>
          <w:sz w:val="24"/>
          <w:szCs w:val="24"/>
        </w:rPr>
      </w:pPr>
      <w:r w:rsidRPr="004E4DE6">
        <w:rPr>
          <w:b/>
          <w:bCs/>
          <w:sz w:val="24"/>
          <w:szCs w:val="24"/>
        </w:rPr>
        <w:t xml:space="preserve">Review Granted (unpublished) </w:t>
      </w:r>
      <w:r w:rsidRPr="004E4DE6">
        <w:rPr>
          <w:sz w:val="24"/>
          <w:szCs w:val="24"/>
        </w:rPr>
        <w:t>XX NP opn. filed 5/28/21 – 5th Dist.</w:t>
      </w:r>
    </w:p>
    <w:p w:rsidR="004E4DE6" w:rsidRPr="004E4DE6" w:rsidP="004E4DE6">
      <w:pPr>
        <w:spacing w:after="0" w:line="240" w:lineRule="auto"/>
        <w:jc w:val="left"/>
        <w:rPr>
          <w:b/>
          <w:bCs/>
          <w:sz w:val="24"/>
          <w:szCs w:val="24"/>
        </w:rPr>
      </w:pPr>
      <w:r w:rsidRPr="004E4DE6">
        <w:rPr>
          <w:b/>
          <w:bCs/>
          <w:sz w:val="24"/>
          <w:szCs w:val="24"/>
        </w:rPr>
        <w:t>Rehearing Granted</w:t>
      </w:r>
    </w:p>
    <w:p w:rsidR="004E4DE6" w:rsidRPr="004E4DE6" w:rsidP="004E4DE6">
      <w:pPr>
        <w:spacing w:after="0" w:line="240" w:lineRule="auto"/>
        <w:jc w:val="left"/>
        <w:rPr>
          <w:b/>
          <w:sz w:val="24"/>
          <w:szCs w:val="24"/>
        </w:rPr>
      </w:pPr>
      <w:r w:rsidRPr="004E4DE6">
        <w:rPr>
          <w:b/>
          <w:sz w:val="24"/>
          <w:szCs w:val="24"/>
        </w:rPr>
        <w:t xml:space="preserve">__________________________________________________________ </w:t>
      </w:r>
    </w:p>
    <w:p w:rsidR="004E4DE6" w:rsidRPr="004E4DE6" w:rsidP="004E4DE6">
      <w:pPr>
        <w:spacing w:after="0" w:line="240" w:lineRule="auto"/>
        <w:jc w:val="left"/>
        <w:rPr>
          <w:b/>
          <w:sz w:val="24"/>
          <w:szCs w:val="24"/>
        </w:rPr>
      </w:pPr>
    </w:p>
    <w:p w:rsidR="004E4DE6" w:rsidRPr="004E4DE6" w:rsidP="004E4DE6">
      <w:pPr>
        <w:spacing w:after="0" w:line="240" w:lineRule="auto"/>
        <w:jc w:val="left"/>
        <w:rPr>
          <w:bCs/>
          <w:sz w:val="24"/>
          <w:szCs w:val="24"/>
        </w:rPr>
      </w:pPr>
      <w:r w:rsidRPr="004E4DE6">
        <w:rPr>
          <w:b/>
          <w:sz w:val="24"/>
          <w:szCs w:val="24"/>
        </w:rPr>
        <w:t>Opinion No.</w:t>
      </w:r>
      <w:r w:rsidRPr="004E4DE6">
        <w:rPr>
          <w:sz w:val="24"/>
          <w:szCs w:val="24"/>
        </w:rPr>
        <w:t xml:space="preserve"> S269647</w:t>
      </w:r>
    </w:p>
    <w:p w:rsidR="004E4DE6" w:rsidRPr="004E4DE6" w:rsidP="004E4DE6">
      <w:pPr>
        <w:spacing w:after="0" w:line="240" w:lineRule="auto"/>
        <w:jc w:val="left"/>
        <w:rPr>
          <w:bCs/>
          <w:sz w:val="24"/>
          <w:szCs w:val="24"/>
        </w:rPr>
      </w:pPr>
      <w:r w:rsidRPr="004E4DE6">
        <w:rPr>
          <w:b/>
          <w:sz w:val="24"/>
          <w:szCs w:val="24"/>
        </w:rPr>
        <w:t>Date Filed:</w:t>
      </w:r>
      <w:r w:rsidRPr="004E4DE6">
        <w:rPr>
          <w:sz w:val="24"/>
          <w:szCs w:val="24"/>
        </w:rPr>
        <w:t xml:space="preserve">  January 26, 2023</w:t>
      </w:r>
    </w:p>
    <w:p w:rsidR="004E4DE6" w:rsidRPr="004E4DE6" w:rsidP="004E4DE6">
      <w:pPr>
        <w:spacing w:after="0" w:line="240" w:lineRule="auto"/>
        <w:jc w:val="left"/>
        <w:rPr>
          <w:b/>
          <w:sz w:val="24"/>
          <w:szCs w:val="24"/>
        </w:rPr>
      </w:pPr>
      <w:r w:rsidRPr="004E4DE6">
        <w:rPr>
          <w:b/>
          <w:sz w:val="24"/>
          <w:szCs w:val="24"/>
        </w:rPr>
        <w:t xml:space="preserve">__________________________________________________________ </w:t>
      </w:r>
    </w:p>
    <w:p w:rsidR="004E4DE6" w:rsidRPr="004E4DE6" w:rsidP="004E4DE6">
      <w:pPr>
        <w:spacing w:after="0" w:line="240" w:lineRule="auto"/>
        <w:jc w:val="left"/>
        <w:rPr>
          <w:b/>
          <w:sz w:val="24"/>
          <w:szCs w:val="24"/>
        </w:rPr>
      </w:pPr>
    </w:p>
    <w:p w:rsidR="004E4DE6" w:rsidRPr="004E4DE6" w:rsidP="004E4DE6">
      <w:pPr>
        <w:spacing w:after="0" w:line="240" w:lineRule="auto"/>
        <w:jc w:val="left"/>
        <w:rPr>
          <w:bCs/>
          <w:sz w:val="24"/>
          <w:szCs w:val="24"/>
        </w:rPr>
      </w:pPr>
      <w:r w:rsidRPr="004E4DE6">
        <w:rPr>
          <w:b/>
          <w:sz w:val="24"/>
          <w:szCs w:val="24"/>
        </w:rPr>
        <w:t xml:space="preserve">Court:  </w:t>
      </w:r>
      <w:r w:rsidRPr="004E4DE6">
        <w:rPr>
          <w:bCs/>
          <w:sz w:val="24"/>
          <w:szCs w:val="24"/>
        </w:rPr>
        <w:t>Superior</w:t>
      </w:r>
      <w:r w:rsidRPr="004E4DE6">
        <w:rPr>
          <w:b/>
          <w:sz w:val="24"/>
          <w:szCs w:val="24"/>
        </w:rPr>
        <w:t xml:space="preserve"> </w:t>
      </w:r>
    </w:p>
    <w:p w:rsidR="004E4DE6" w:rsidRPr="004E4DE6" w:rsidP="004E4DE6">
      <w:pPr>
        <w:spacing w:after="0" w:line="240" w:lineRule="auto"/>
        <w:jc w:val="left"/>
        <w:rPr>
          <w:bCs/>
          <w:sz w:val="24"/>
          <w:szCs w:val="24"/>
        </w:rPr>
      </w:pPr>
      <w:r w:rsidRPr="004E4DE6">
        <w:rPr>
          <w:b/>
          <w:sz w:val="24"/>
          <w:szCs w:val="24"/>
        </w:rPr>
        <w:t xml:space="preserve">County:  </w:t>
      </w:r>
      <w:r w:rsidRPr="004E4DE6">
        <w:rPr>
          <w:bCs/>
          <w:sz w:val="24"/>
          <w:szCs w:val="24"/>
        </w:rPr>
        <w:t>Tulare</w:t>
      </w:r>
    </w:p>
    <w:p w:rsidR="004E4DE6" w:rsidRPr="004E4DE6" w:rsidP="004E4DE6">
      <w:pPr>
        <w:spacing w:after="0" w:line="240" w:lineRule="auto"/>
        <w:ind w:left="720" w:hanging="720"/>
        <w:jc w:val="left"/>
        <w:rPr>
          <w:bCs/>
          <w:sz w:val="24"/>
          <w:szCs w:val="24"/>
        </w:rPr>
      </w:pPr>
      <w:r w:rsidRPr="004E4DE6">
        <w:rPr>
          <w:b/>
          <w:sz w:val="24"/>
          <w:szCs w:val="24"/>
        </w:rPr>
        <w:t xml:space="preserve">Judge:  </w:t>
      </w:r>
      <w:r w:rsidRPr="004E4DE6">
        <w:rPr>
          <w:bCs/>
          <w:sz w:val="24"/>
          <w:szCs w:val="24"/>
        </w:rPr>
        <w:t>Steven D. Barnes</w:t>
      </w:r>
    </w:p>
    <w:p w:rsidR="004E4DE6" w:rsidRPr="004E4DE6" w:rsidP="004E4DE6">
      <w:pPr>
        <w:spacing w:after="0" w:line="240" w:lineRule="auto"/>
        <w:jc w:val="left"/>
        <w:rPr>
          <w:b/>
          <w:sz w:val="24"/>
          <w:szCs w:val="24"/>
        </w:rPr>
      </w:pPr>
      <w:r w:rsidRPr="004E4DE6">
        <w:rPr>
          <w:b/>
          <w:sz w:val="24"/>
          <w:szCs w:val="24"/>
        </w:rPr>
        <w:t xml:space="preserve">__________________________________________________________  </w:t>
      </w:r>
    </w:p>
    <w:p w:rsidR="004E4DE6" w:rsidRPr="004E4DE6" w:rsidP="004E4DE6">
      <w:pPr>
        <w:spacing w:after="0" w:line="240" w:lineRule="auto"/>
        <w:jc w:val="left"/>
        <w:rPr>
          <w:b/>
          <w:sz w:val="24"/>
          <w:szCs w:val="24"/>
        </w:rPr>
      </w:pPr>
    </w:p>
    <w:p w:rsidR="004E4DE6" w:rsidRPr="004E4DE6" w:rsidP="004E4DE6">
      <w:pPr>
        <w:spacing w:after="0" w:line="240" w:lineRule="auto"/>
        <w:jc w:val="left"/>
        <w:rPr>
          <w:b/>
          <w:sz w:val="24"/>
          <w:szCs w:val="24"/>
        </w:rPr>
      </w:pPr>
      <w:r w:rsidRPr="004E4DE6">
        <w:rPr>
          <w:b/>
          <w:sz w:val="24"/>
          <w:szCs w:val="24"/>
        </w:rPr>
        <w:t>Counsel:</w:t>
      </w:r>
    </w:p>
    <w:p w:rsidR="004E4DE6" w:rsidRPr="004E4DE6" w:rsidP="004E4DE6">
      <w:pPr>
        <w:spacing w:after="0" w:line="240" w:lineRule="auto"/>
        <w:jc w:val="left"/>
        <w:rPr>
          <w:b/>
          <w:sz w:val="24"/>
          <w:szCs w:val="24"/>
        </w:rPr>
      </w:pPr>
    </w:p>
    <w:p w:rsidR="004E4DE6" w:rsidRPr="004E4DE6" w:rsidP="004E4DE6">
      <w:pPr>
        <w:spacing w:after="0" w:line="240" w:lineRule="auto"/>
        <w:jc w:val="left"/>
        <w:rPr>
          <w:bCs/>
          <w:sz w:val="24"/>
          <w:szCs w:val="24"/>
        </w:rPr>
      </w:pPr>
      <w:r w:rsidRPr="004E4DE6">
        <w:rPr>
          <w:bCs/>
          <w:sz w:val="24"/>
          <w:szCs w:val="24"/>
        </w:rPr>
        <w:t>Sanger Swysen &amp; Dunkle, Stephen K. Dunkle and Sarah S. Sanger for Defendant and Appellant.</w:t>
      </w:r>
    </w:p>
    <w:p w:rsidR="004E4DE6" w:rsidRPr="004E4DE6" w:rsidP="004E4DE6">
      <w:pPr>
        <w:spacing w:after="0" w:line="240" w:lineRule="auto"/>
        <w:jc w:val="left"/>
        <w:rPr>
          <w:bCs/>
          <w:sz w:val="24"/>
          <w:szCs w:val="24"/>
        </w:rPr>
      </w:pPr>
    </w:p>
    <w:p w:rsidR="004E4DE6" w:rsidRPr="004E4DE6" w:rsidP="004E4DE6">
      <w:pPr>
        <w:spacing w:after="0" w:line="240" w:lineRule="auto"/>
        <w:jc w:val="left"/>
        <w:rPr>
          <w:bCs/>
          <w:sz w:val="24"/>
          <w:szCs w:val="24"/>
        </w:rPr>
      </w:pPr>
      <w:r w:rsidRPr="004E4DE6">
        <w:rPr>
          <w:bCs/>
          <w:sz w:val="24"/>
          <w:szCs w:val="24"/>
        </w:rPr>
        <w:t>Gibson, Dunn &amp; Crutcher, Kahn A. Scolnick, Daniel R. Adler, Emily R. Sauer, Patrick J. Fuster and Matt Aidan Getz for Alyssa Bell, Reuven Cohen, Ingrid V. Eagly, Gilbert Garcetti, Meline Mkrtichian, Ronald J. Nessim, Gabriel Pardo and Jennifer Resnik as Amici Curiae on behalf of Defendant and Appellant.</w:t>
      </w:r>
    </w:p>
    <w:p w:rsidR="004E4DE6" w:rsidRPr="004E4DE6" w:rsidP="004E4DE6">
      <w:pPr>
        <w:spacing w:after="0" w:line="240" w:lineRule="auto"/>
        <w:jc w:val="left"/>
        <w:rPr>
          <w:bCs/>
          <w:sz w:val="24"/>
          <w:szCs w:val="24"/>
        </w:rPr>
      </w:pPr>
    </w:p>
    <w:p w:rsidR="004E4DE6" w:rsidRPr="004E4DE6" w:rsidP="004E4DE6">
      <w:pPr>
        <w:spacing w:after="0" w:line="240" w:lineRule="auto"/>
        <w:jc w:val="left"/>
        <w:rPr>
          <w:bCs/>
          <w:sz w:val="24"/>
          <w:szCs w:val="24"/>
        </w:rPr>
      </w:pPr>
      <w:r w:rsidRPr="004E4DE6">
        <w:rPr>
          <w:bCs/>
          <w:sz w:val="24"/>
          <w:szCs w:val="24"/>
        </w:rPr>
        <w:t>Stanford Law School Immigrants’ Rights Clinic, Jayashri Srikantiah and Yulie Landan for Asian Americans Advancing Justice – Asian Law Caucus, Alameda County Public Defender’s Office, American Civil Liberties Union Foundation of Southern California, American Civil Liberties Union of Northern California, California Collaborative for Immigrant Justice, Centro Legal de la Raza, Community Legal Services in East Palo Alto, Dolores Street Community Services, Dreamer Fund, Immigrant Alliance for Justice and Equity, Immigrant Legal Defense, Jewish Family &amp; Community Services East Bay, National Immigration Project of the National Lawyers Guild, Open Immigration Legal Services, Organization for the Legal Advancement of Raza, Public Counsel, San Francisco Office of the Public Defender, San Joaquin College of Law New American Legal Clinic, Santa Barbara County Immigrant Legal Defense Center, Silicon Valley De-Bug, Stand Together Contra Costa, Tahirih Justice Center, University of California Davis Immigration Law Clinic, University of California Irvine Criminal Justice Clinic and University of California Irvine Immigrant Rights Clinic as Amici Curiae on behalf of Defendant and Appellant.</w:t>
      </w:r>
    </w:p>
    <w:p w:rsidR="004E4DE6" w:rsidRPr="004E4DE6" w:rsidP="004E4DE6">
      <w:pPr>
        <w:spacing w:after="0" w:line="240" w:lineRule="auto"/>
        <w:jc w:val="left"/>
        <w:rPr>
          <w:bCs/>
          <w:sz w:val="24"/>
          <w:szCs w:val="24"/>
        </w:rPr>
      </w:pPr>
    </w:p>
    <w:p w:rsidR="004E4DE6" w:rsidRPr="004E4DE6" w:rsidP="004E4DE6">
      <w:pPr>
        <w:spacing w:after="0" w:line="240" w:lineRule="auto"/>
        <w:jc w:val="left"/>
        <w:rPr>
          <w:bCs/>
          <w:sz w:val="24"/>
          <w:szCs w:val="24"/>
        </w:rPr>
      </w:pPr>
      <w:r w:rsidRPr="004E4DE6">
        <w:rPr>
          <w:bCs/>
          <w:sz w:val="24"/>
          <w:szCs w:val="24"/>
        </w:rPr>
        <w:t>Xavier Becerra and Rob Bonta, Attorneys General, Michael J. Mongan, State Solicitor General, Lance E. Winters, Chief Assistant Attorney General, Michael P. Farrell, Assistant Attorney General, Samuel P. Siegel, Deputy State Solicitor General, Darren K. Indermill, David Andrew Eldredge and Kari Ricci Mueller, Deputy Attorneys General, and Kimberly M. Castle, Associate Deputy State Solicitor General, for Plaintiff and Respondent.</w:t>
      </w:r>
    </w:p>
    <w:p w:rsidR="004E4DE6" w:rsidRPr="004E4DE6" w:rsidP="004E4DE6">
      <w:pPr>
        <w:spacing w:after="0" w:line="240" w:lineRule="auto"/>
        <w:jc w:val="left"/>
        <w:rPr>
          <w:bCs/>
          <w:color w:val="212121"/>
          <w:sz w:val="24"/>
          <w:szCs w:val="24"/>
          <w:shd w:val="clear" w:color="auto" w:fill="FFFFFF"/>
        </w:rPr>
      </w:pPr>
      <w:r w:rsidRPr="004E4DE6">
        <w:rPr>
          <w:bCs/>
          <w:color w:val="212121"/>
          <w:sz w:val="24"/>
          <w:szCs w:val="24"/>
          <w:shd w:val="clear" w:color="auto" w:fill="FFFFFF"/>
        </w:rPr>
        <w:br w:type="page"/>
      </w:r>
      <w:r w:rsidRPr="004E4DE6">
        <w:rPr>
          <w:b/>
          <w:sz w:val="24"/>
          <w:szCs w:val="24"/>
        </w:rPr>
        <w:t>Counsel who argued in Supreme Court (not intended for publication with opinion):</w:t>
      </w:r>
    </w:p>
    <w:p w:rsidR="004E4DE6" w:rsidRPr="004E4DE6" w:rsidP="004E4DE6">
      <w:pPr>
        <w:spacing w:after="0" w:line="240" w:lineRule="auto"/>
        <w:jc w:val="left"/>
        <w:rPr>
          <w:bCs/>
          <w:color w:val="212121"/>
          <w:sz w:val="24"/>
          <w:szCs w:val="24"/>
          <w:shd w:val="clear" w:color="auto" w:fill="FFFFFF"/>
        </w:rPr>
      </w:pPr>
      <w:bookmarkEnd w:id="13"/>
    </w:p>
    <w:p w:rsidR="004E4DE6" w:rsidRPr="004E4DE6" w:rsidP="004E4DE6">
      <w:pPr>
        <w:spacing w:after="0" w:line="240" w:lineRule="auto"/>
        <w:jc w:val="left"/>
        <w:rPr>
          <w:bCs/>
          <w:sz w:val="24"/>
          <w:szCs w:val="24"/>
        </w:rPr>
      </w:pPr>
      <w:r w:rsidRPr="004E4DE6">
        <w:rPr>
          <w:bCs/>
          <w:sz w:val="24"/>
          <w:szCs w:val="24"/>
        </w:rPr>
        <w:t>Stephen K. Dunkle</w:t>
      </w:r>
    </w:p>
    <w:p w:rsidR="004E4DE6" w:rsidRPr="004E4DE6" w:rsidP="004E4DE6">
      <w:pPr>
        <w:spacing w:after="0" w:line="240" w:lineRule="auto"/>
        <w:jc w:val="left"/>
        <w:rPr>
          <w:bCs/>
          <w:sz w:val="24"/>
          <w:szCs w:val="24"/>
        </w:rPr>
      </w:pPr>
      <w:r w:rsidRPr="004E4DE6">
        <w:rPr>
          <w:bCs/>
          <w:sz w:val="24"/>
          <w:szCs w:val="24"/>
        </w:rPr>
        <w:t>Sanger Swysen &amp; Dunkle</w:t>
      </w:r>
    </w:p>
    <w:p w:rsidR="004E4DE6" w:rsidRPr="004E4DE6" w:rsidP="004E4DE6">
      <w:pPr>
        <w:spacing w:after="0" w:line="240" w:lineRule="auto"/>
        <w:jc w:val="left"/>
        <w:rPr>
          <w:bCs/>
          <w:color w:val="212121"/>
          <w:sz w:val="24"/>
          <w:szCs w:val="24"/>
          <w:shd w:val="clear" w:color="auto" w:fill="FFFFFF"/>
        </w:rPr>
      </w:pPr>
      <w:r w:rsidRPr="004E4DE6">
        <w:rPr>
          <w:bCs/>
          <w:color w:val="212121"/>
          <w:sz w:val="24"/>
          <w:szCs w:val="24"/>
          <w:shd w:val="clear" w:color="auto" w:fill="FFFFFF"/>
        </w:rPr>
        <w:t>222 East Carrillo Street, Suite 300</w:t>
      </w:r>
    </w:p>
    <w:p w:rsidR="004E4DE6" w:rsidRPr="004E4DE6" w:rsidP="004E4DE6">
      <w:pPr>
        <w:spacing w:after="0" w:line="240" w:lineRule="auto"/>
        <w:jc w:val="left"/>
        <w:rPr>
          <w:bCs/>
          <w:color w:val="212121"/>
          <w:sz w:val="24"/>
          <w:szCs w:val="24"/>
          <w:shd w:val="clear" w:color="auto" w:fill="FFFFFF"/>
        </w:rPr>
      </w:pPr>
      <w:r w:rsidRPr="004E4DE6">
        <w:rPr>
          <w:bCs/>
          <w:color w:val="212121"/>
          <w:sz w:val="24"/>
          <w:szCs w:val="24"/>
          <w:shd w:val="clear" w:color="auto" w:fill="FFFFFF"/>
        </w:rPr>
        <w:t>Santa Barbara, CA 93101</w:t>
      </w:r>
    </w:p>
    <w:p w:rsidR="004E4DE6" w:rsidRPr="004E4DE6" w:rsidP="004E4DE6">
      <w:pPr>
        <w:spacing w:after="0" w:line="240" w:lineRule="auto"/>
        <w:jc w:val="left"/>
        <w:rPr>
          <w:bCs/>
          <w:color w:val="212121"/>
          <w:sz w:val="24"/>
          <w:szCs w:val="24"/>
          <w:shd w:val="clear" w:color="auto" w:fill="FFFFFF"/>
        </w:rPr>
      </w:pPr>
      <w:r w:rsidRPr="004E4DE6">
        <w:rPr>
          <w:bCs/>
          <w:color w:val="212121"/>
          <w:sz w:val="24"/>
          <w:szCs w:val="24"/>
          <w:shd w:val="clear" w:color="auto" w:fill="FFFFFF"/>
        </w:rPr>
        <w:t>(805) 962-4887</w:t>
      </w:r>
    </w:p>
    <w:p w:rsidR="004E4DE6" w:rsidRPr="004E4DE6" w:rsidP="004E4DE6">
      <w:pPr>
        <w:spacing w:after="0" w:line="240" w:lineRule="auto"/>
        <w:jc w:val="left"/>
        <w:rPr>
          <w:bCs/>
          <w:color w:val="212121"/>
          <w:sz w:val="24"/>
          <w:szCs w:val="24"/>
          <w:shd w:val="clear" w:color="auto" w:fill="FFFFFF"/>
        </w:rPr>
      </w:pPr>
    </w:p>
    <w:p w:rsidR="004E4DE6" w:rsidRPr="004E4DE6" w:rsidP="004E4DE6">
      <w:pPr>
        <w:spacing w:after="0" w:line="240" w:lineRule="auto"/>
        <w:jc w:val="left"/>
        <w:rPr>
          <w:bCs/>
          <w:sz w:val="24"/>
          <w:szCs w:val="24"/>
        </w:rPr>
      </w:pPr>
      <w:r w:rsidRPr="004E4DE6">
        <w:rPr>
          <w:bCs/>
          <w:sz w:val="24"/>
          <w:szCs w:val="24"/>
        </w:rPr>
        <w:t>Samuel P. Siegel</w:t>
      </w:r>
    </w:p>
    <w:p w:rsidR="004E4DE6" w:rsidRPr="004E4DE6" w:rsidP="004E4DE6">
      <w:pPr>
        <w:spacing w:after="0" w:line="240" w:lineRule="auto"/>
        <w:jc w:val="left"/>
        <w:rPr>
          <w:bCs/>
          <w:sz w:val="24"/>
          <w:szCs w:val="24"/>
        </w:rPr>
      </w:pPr>
      <w:r w:rsidRPr="004E4DE6">
        <w:rPr>
          <w:bCs/>
          <w:sz w:val="24"/>
          <w:szCs w:val="24"/>
        </w:rPr>
        <w:t>Deputy State Solicitor General</w:t>
      </w:r>
    </w:p>
    <w:p w:rsidR="004E4DE6" w:rsidRPr="004E4DE6" w:rsidP="004E4DE6">
      <w:pPr>
        <w:spacing w:after="0" w:line="240" w:lineRule="auto"/>
        <w:jc w:val="left"/>
        <w:rPr>
          <w:bCs/>
          <w:sz w:val="24"/>
          <w:szCs w:val="24"/>
        </w:rPr>
      </w:pPr>
      <w:r w:rsidRPr="004E4DE6">
        <w:rPr>
          <w:bCs/>
          <w:sz w:val="24"/>
          <w:szCs w:val="24"/>
        </w:rPr>
        <w:t>455 Golden Gate Avenue, Suite 11000</w:t>
      </w:r>
    </w:p>
    <w:p w:rsidR="004E4DE6" w:rsidRPr="004E4DE6" w:rsidP="004E4DE6">
      <w:pPr>
        <w:spacing w:after="0" w:line="240" w:lineRule="auto"/>
        <w:jc w:val="left"/>
        <w:rPr>
          <w:bCs/>
          <w:sz w:val="24"/>
          <w:szCs w:val="24"/>
        </w:rPr>
      </w:pPr>
      <w:r w:rsidRPr="004E4DE6">
        <w:rPr>
          <w:bCs/>
          <w:sz w:val="24"/>
          <w:szCs w:val="24"/>
        </w:rPr>
        <w:t>San Francisco, CA 94102</w:t>
      </w:r>
    </w:p>
    <w:p w:rsidR="004E4DE6" w:rsidRPr="004E4DE6" w:rsidP="004E4DE6">
      <w:pPr>
        <w:spacing w:after="0" w:line="240" w:lineRule="auto"/>
        <w:jc w:val="left"/>
        <w:rPr>
          <w:bCs/>
          <w:color w:val="212121"/>
          <w:sz w:val="24"/>
          <w:szCs w:val="24"/>
          <w:shd w:val="clear" w:color="auto" w:fill="FFFFFF"/>
        </w:rPr>
      </w:pPr>
      <w:r w:rsidRPr="004E4DE6">
        <w:rPr>
          <w:bCs/>
          <w:sz w:val="24"/>
          <w:szCs w:val="24"/>
        </w:rPr>
        <w:t>(415) 510-3917</w:t>
      </w:r>
    </w:p>
    <w:p w:rsidR="00C068B9" w:rsidRPr="00C068B9" w:rsidP="009107DC">
      <w:pPr>
        <w:spacing w:after="0" w:line="240" w:lineRule="auto"/>
        <w:rPr>
          <w:b/>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5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5CB2" w:rsidP="00F41D0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51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553">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5CF4">
      <w:r>
        <w:separator/>
      </w:r>
    </w:p>
  </w:footnote>
  <w:footnote w:type="continuationSeparator" w:id="1">
    <w:p w:rsidR="00145CF4" w:rsidRPr="007C4824" w:rsidP="007C4824">
      <w:pPr>
        <w:pStyle w:val="Footer"/>
      </w:pPr>
    </w:p>
  </w:footnote>
  <w:footnote w:type="continuationNotice" w:id="2">
    <w:p w:rsidR="00145CF4" w:rsidRPr="007C4824" w:rsidP="007C4824">
      <w:pPr>
        <w:pStyle w:val="Footer"/>
      </w:pPr>
    </w:p>
  </w:footnote>
  <w:footnote w:id="3">
    <w:p w:rsidR="009107DC" w:rsidP="009107DC">
      <w:pPr>
        <w:pStyle w:val="FootnoteText"/>
      </w:pPr>
      <w:r>
        <w:rPr>
          <w:rStyle w:val="FootnoteReference"/>
        </w:rPr>
        <w:t>*</w:t>
      </w:r>
      <w:r>
        <w:tab/>
      </w:r>
      <w:r>
        <w:rPr>
          <w:szCs w:val="27"/>
        </w:rPr>
        <w:t>Retired Chief Justice of California, assigned by the Chief Justice pursuant to article VI, section 6 of the California Constitution.</w:t>
      </w:r>
    </w:p>
  </w:footnote>
  <w:footnote w:id="4">
    <w:p w:rsidR="009107DC" w:rsidRPr="00B876D3" w:rsidP="00C068B9">
      <w:pPr>
        <w:spacing w:line="300" w:lineRule="exact"/>
        <w:rPr>
          <w:szCs w:val="27"/>
        </w:rPr>
      </w:pPr>
      <w:r>
        <w:rPr>
          <w:rStyle w:val="FootnoteReference"/>
        </w:rPr>
        <w:t>*</w:t>
      </w:r>
      <w:r>
        <w:tab/>
      </w:r>
      <w:r>
        <w:rPr>
          <w:szCs w:val="27"/>
        </w:rPr>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5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553">
    <w:pPr>
      <w:pStyle w:val="Header"/>
    </w:pPr>
    <w:r>
      <w:t>PEOPLE v. ESPINOZA</w:t>
    </w:r>
  </w:p>
  <w:p w:rsidR="00B47553">
    <w:pPr>
      <w:pStyle w:val="Header"/>
    </w:pPr>
    <w:r>
      <w:t>Opinion of the Court by Liu</w:t>
    </w:r>
    <w:r w:rsidR="001F2F7E">
      <w:t>, J.</w:t>
    </w:r>
  </w:p>
  <w:p w:rsidR="00B47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51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B6B79"/>
    <w:multiLevelType w:val="hybridMultilevel"/>
    <w:tmpl w:val="242ACF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8374E2"/>
    <w:multiLevelType w:val="hybridMultilevel"/>
    <w:tmpl w:val="4ADE925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30A73E18"/>
    <w:multiLevelType w:val="hybridMultilevel"/>
    <w:tmpl w:val="E5440BEA"/>
    <w:lvl w:ilvl="0">
      <w:start w:val="2017"/>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91878E4"/>
    <w:multiLevelType w:val="hybridMultilevel"/>
    <w:tmpl w:val="242ACF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19E"/>
    <w:pPr>
      <w:spacing w:after="100" w:line="400" w:lineRule="exact"/>
      <w:jc w:val="both"/>
    </w:pPr>
    <w:rPr>
      <w:rFonts w:ascii="Century Schoolbook" w:hAnsi="Century Schoolbook"/>
      <w:sz w:val="27"/>
    </w:rPr>
  </w:style>
  <w:style w:type="paragraph" w:styleId="Heading1">
    <w:name w:val="heading 1"/>
    <w:basedOn w:val="Normal"/>
    <w:next w:val="Normal"/>
    <w:qFormat/>
    <w:rsid w:val="00FC719E"/>
    <w:pPr>
      <w:keepNext/>
      <w:spacing w:before="140" w:line="240" w:lineRule="atLeast"/>
      <w:jc w:val="center"/>
      <w:outlineLvl w:val="0"/>
    </w:pPr>
    <w:rPr>
      <w:b/>
      <w:smallCaps/>
    </w:rPr>
  </w:style>
  <w:style w:type="paragraph" w:styleId="Heading2">
    <w:name w:val="heading 2"/>
    <w:basedOn w:val="Normal"/>
    <w:next w:val="Normal"/>
    <w:qFormat/>
    <w:rsid w:val="00FC719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C719E"/>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531362"/>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53136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47553"/>
    <w:pPr>
      <w:ind w:left="720"/>
    </w:pPr>
  </w:style>
  <w:style w:type="paragraph" w:styleId="Footer">
    <w:name w:val="footer"/>
    <w:basedOn w:val="Normal"/>
    <w:qFormat/>
    <w:rsid w:val="00FC719E"/>
    <w:pPr>
      <w:tabs>
        <w:tab w:val="center" w:pos="3960"/>
        <w:tab w:val="right" w:pos="10080"/>
      </w:tabs>
      <w:spacing w:after="0" w:line="240" w:lineRule="auto"/>
      <w:jc w:val="center"/>
    </w:pPr>
    <w:rPr>
      <w:sz w:val="22"/>
    </w:rPr>
  </w:style>
  <w:style w:type="paragraph" w:styleId="Header">
    <w:name w:val="header"/>
    <w:basedOn w:val="Normal"/>
    <w:qFormat/>
    <w:rsid w:val="00FC719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C719E"/>
    <w:rPr>
      <w:rFonts w:ascii="Century Schoolbook" w:hAnsi="Century Schoolbook"/>
      <w:b/>
      <w:i w:val="0"/>
      <w:position w:val="4"/>
      <w:sz w:val="27"/>
      <w:vertAlign w:val="superscript"/>
    </w:rPr>
  </w:style>
  <w:style w:type="paragraph" w:styleId="FootnoteText">
    <w:name w:val="footnote text"/>
    <w:basedOn w:val="Normal"/>
    <w:rsid w:val="00FC719E"/>
    <w:pPr>
      <w:spacing w:line="300" w:lineRule="exact"/>
    </w:pPr>
  </w:style>
  <w:style w:type="paragraph" w:customStyle="1" w:styleId="Title1">
    <w:name w:val="Title1"/>
    <w:basedOn w:val="Normal"/>
    <w:rsid w:val="00B47553"/>
    <w:pPr>
      <w:tabs>
        <w:tab w:val="left" w:pos="5760"/>
        <w:tab w:val="left" w:pos="6480"/>
      </w:tabs>
      <w:spacing w:line="240" w:lineRule="atLeast"/>
    </w:pPr>
  </w:style>
  <w:style w:type="paragraph" w:customStyle="1" w:styleId="Recommend">
    <w:name w:val="Recommend"/>
    <w:basedOn w:val="Normal"/>
    <w:rsid w:val="00B47553"/>
  </w:style>
  <w:style w:type="paragraph" w:customStyle="1" w:styleId="Summary">
    <w:name w:val="Summary"/>
    <w:basedOn w:val="Normal"/>
    <w:rsid w:val="00B47553"/>
    <w:pPr>
      <w:ind w:left="2160" w:hanging="2160"/>
    </w:pPr>
  </w:style>
  <w:style w:type="paragraph" w:customStyle="1" w:styleId="Text">
    <w:name w:val="Text"/>
    <w:basedOn w:val="Normal"/>
    <w:rsid w:val="00B47553"/>
    <w:pPr>
      <w:tabs>
        <w:tab w:val="left" w:pos="720"/>
        <w:tab w:val="left" w:pos="1440"/>
        <w:tab w:val="left" w:pos="2160"/>
        <w:tab w:val="center" w:pos="4320"/>
      </w:tabs>
      <w:spacing w:line="480" w:lineRule="atLeast"/>
      <w:ind w:firstLine="540"/>
    </w:pPr>
  </w:style>
  <w:style w:type="paragraph" w:styleId="Date">
    <w:name w:val="Date"/>
    <w:basedOn w:val="Normal"/>
    <w:semiHidden/>
    <w:rsid w:val="00B47553"/>
    <w:pPr>
      <w:jc w:val="right"/>
    </w:pPr>
  </w:style>
  <w:style w:type="character" w:styleId="PageNumber">
    <w:name w:val="page number"/>
    <w:basedOn w:val="DefaultParagraphFont"/>
    <w:rsid w:val="00B47553"/>
  </w:style>
  <w:style w:type="paragraph" w:customStyle="1" w:styleId="subject">
    <w:name w:val="subject"/>
    <w:basedOn w:val="Normal"/>
    <w:rsid w:val="00B47553"/>
    <w:pPr>
      <w:tabs>
        <w:tab w:val="left" w:pos="1008"/>
      </w:tabs>
      <w:ind w:left="990" w:hanging="990"/>
    </w:pPr>
    <w:rPr>
      <w:b/>
    </w:rPr>
  </w:style>
  <w:style w:type="paragraph" w:customStyle="1" w:styleId="Titles">
    <w:name w:val="Titles"/>
    <w:basedOn w:val="Normal"/>
    <w:rsid w:val="00B47553"/>
    <w:pPr>
      <w:tabs>
        <w:tab w:val="left" w:pos="2160"/>
      </w:tabs>
      <w:ind w:left="2160" w:hanging="2160"/>
    </w:pPr>
    <w:rPr>
      <w:b/>
    </w:rPr>
  </w:style>
  <w:style w:type="paragraph" w:styleId="TOAHeading">
    <w:name w:val="toa heading"/>
    <w:basedOn w:val="Normal"/>
    <w:next w:val="Normal"/>
    <w:semiHidden/>
    <w:rsid w:val="00B47553"/>
    <w:pPr>
      <w:spacing w:before="120"/>
    </w:pPr>
    <w:rPr>
      <w:b/>
    </w:rPr>
  </w:style>
  <w:style w:type="paragraph" w:styleId="TOC1">
    <w:name w:val="toc 1"/>
    <w:basedOn w:val="Normal"/>
    <w:next w:val="Normal"/>
    <w:autoRedefine/>
    <w:semiHidden/>
    <w:rsid w:val="00B47553"/>
  </w:style>
  <w:style w:type="paragraph" w:styleId="TOC2">
    <w:name w:val="toc 2"/>
    <w:basedOn w:val="Normal"/>
    <w:next w:val="Normal"/>
    <w:autoRedefine/>
    <w:semiHidden/>
    <w:rsid w:val="00B47553"/>
    <w:pPr>
      <w:ind w:left="259"/>
    </w:pPr>
  </w:style>
  <w:style w:type="paragraph" w:styleId="TOC3">
    <w:name w:val="toc 3"/>
    <w:basedOn w:val="Normal"/>
    <w:next w:val="Normal"/>
    <w:autoRedefine/>
    <w:semiHidden/>
    <w:rsid w:val="00B47553"/>
    <w:pPr>
      <w:ind w:left="520"/>
    </w:pPr>
  </w:style>
  <w:style w:type="paragraph" w:styleId="TOC4">
    <w:name w:val="toc 4"/>
    <w:basedOn w:val="Normal"/>
    <w:next w:val="Normal"/>
    <w:autoRedefine/>
    <w:semiHidden/>
    <w:rsid w:val="00B47553"/>
    <w:pPr>
      <w:ind w:left="780"/>
    </w:pPr>
  </w:style>
  <w:style w:type="paragraph" w:styleId="TOC5">
    <w:name w:val="toc 5"/>
    <w:basedOn w:val="Normal"/>
    <w:next w:val="Normal"/>
    <w:autoRedefine/>
    <w:semiHidden/>
    <w:rsid w:val="00B47553"/>
    <w:pPr>
      <w:ind w:left="1040"/>
    </w:pPr>
  </w:style>
  <w:style w:type="paragraph" w:styleId="TOC6">
    <w:name w:val="toc 6"/>
    <w:basedOn w:val="Normal"/>
    <w:next w:val="Normal"/>
    <w:autoRedefine/>
    <w:semiHidden/>
    <w:rsid w:val="00B47553"/>
    <w:pPr>
      <w:ind w:left="1300"/>
    </w:pPr>
  </w:style>
  <w:style w:type="paragraph" w:styleId="TOC7">
    <w:name w:val="toc 7"/>
    <w:basedOn w:val="Normal"/>
    <w:next w:val="Normal"/>
    <w:autoRedefine/>
    <w:semiHidden/>
    <w:rsid w:val="00B47553"/>
    <w:pPr>
      <w:ind w:left="1560"/>
    </w:pPr>
  </w:style>
  <w:style w:type="paragraph" w:styleId="TOC8">
    <w:name w:val="toc 8"/>
    <w:basedOn w:val="Normal"/>
    <w:next w:val="Normal"/>
    <w:autoRedefine/>
    <w:semiHidden/>
    <w:rsid w:val="00B47553"/>
    <w:pPr>
      <w:ind w:left="1820"/>
    </w:pPr>
  </w:style>
  <w:style w:type="paragraph" w:styleId="TOC9">
    <w:name w:val="toc 9"/>
    <w:basedOn w:val="Normal"/>
    <w:next w:val="Normal"/>
    <w:autoRedefine/>
    <w:semiHidden/>
    <w:rsid w:val="00B47553"/>
    <w:pPr>
      <w:ind w:left="2080"/>
    </w:pPr>
  </w:style>
  <w:style w:type="paragraph" w:customStyle="1" w:styleId="Contents">
    <w:name w:val="Contents"/>
    <w:basedOn w:val="Normal"/>
    <w:rsid w:val="00B47553"/>
    <w:pPr>
      <w:jc w:val="center"/>
    </w:pPr>
    <w:rPr>
      <w:b/>
      <w:spacing w:val="100"/>
    </w:rPr>
  </w:style>
  <w:style w:type="paragraph" w:styleId="ListParagraph">
    <w:name w:val="List Paragraph"/>
    <w:basedOn w:val="Normal"/>
    <w:uiPriority w:val="34"/>
    <w:qFormat/>
    <w:rsid w:val="000162CD"/>
    <w:pPr>
      <w:ind w:left="720"/>
      <w:contextualSpacing/>
    </w:pPr>
  </w:style>
  <w:style w:type="character" w:styleId="CommentReference">
    <w:name w:val="annotation reference"/>
    <w:basedOn w:val="DefaultParagraphFont"/>
    <w:uiPriority w:val="99"/>
    <w:semiHidden/>
    <w:unhideWhenUsed/>
    <w:rsid w:val="000854E7"/>
    <w:rPr>
      <w:sz w:val="16"/>
      <w:szCs w:val="16"/>
    </w:rPr>
  </w:style>
  <w:style w:type="paragraph" w:styleId="CommentText">
    <w:name w:val="annotation text"/>
    <w:basedOn w:val="Normal"/>
    <w:link w:val="CommentTextChar"/>
    <w:uiPriority w:val="99"/>
    <w:unhideWhenUsed/>
    <w:rsid w:val="000854E7"/>
    <w:rPr>
      <w:sz w:val="20"/>
    </w:rPr>
  </w:style>
  <w:style w:type="character" w:customStyle="1" w:styleId="CommentTextChar">
    <w:name w:val="Comment Text Char"/>
    <w:basedOn w:val="DefaultParagraphFont"/>
    <w:link w:val="CommentText"/>
    <w:uiPriority w:val="99"/>
    <w:rsid w:val="000854E7"/>
  </w:style>
  <w:style w:type="paragraph" w:styleId="CommentSubject">
    <w:name w:val="annotation subject"/>
    <w:basedOn w:val="CommentText"/>
    <w:next w:val="CommentText"/>
    <w:link w:val="CommentSubjectChar"/>
    <w:uiPriority w:val="99"/>
    <w:semiHidden/>
    <w:unhideWhenUsed/>
    <w:rsid w:val="000854E7"/>
    <w:rPr>
      <w:b/>
      <w:bCs/>
    </w:rPr>
  </w:style>
  <w:style w:type="character" w:customStyle="1" w:styleId="CommentSubjectChar">
    <w:name w:val="Comment Subject Char"/>
    <w:basedOn w:val="CommentTextChar"/>
    <w:link w:val="CommentSubject"/>
    <w:uiPriority w:val="99"/>
    <w:semiHidden/>
    <w:rsid w:val="000854E7"/>
    <w:rPr>
      <w:b/>
      <w:bCs/>
    </w:rPr>
  </w:style>
  <w:style w:type="paragraph" w:styleId="Revision">
    <w:name w:val="Revision"/>
    <w:hidden/>
    <w:uiPriority w:val="99"/>
    <w:semiHidden/>
    <w:rsid w:val="007A6757"/>
    <w:rPr>
      <w:sz w:val="26"/>
    </w:rPr>
  </w:style>
  <w:style w:type="paragraph" w:styleId="BodyText">
    <w:name w:val="Body Text"/>
    <w:basedOn w:val="Normal"/>
    <w:link w:val="BodyTextChar"/>
    <w:qFormat/>
    <w:rsid w:val="00B47553"/>
  </w:style>
  <w:style w:type="character" w:customStyle="1" w:styleId="BodyTextChar">
    <w:name w:val="Body Text Char"/>
    <w:basedOn w:val="DefaultParagraphFont"/>
    <w:link w:val="BodyText"/>
    <w:rsid w:val="00B47553"/>
    <w:rPr>
      <w:rFonts w:ascii="Century Schoolbook" w:hAnsi="Century Schoolbook"/>
      <w:sz w:val="27"/>
    </w:rPr>
  </w:style>
  <w:style w:type="paragraph" w:customStyle="1" w:styleId="PRComments">
    <w:name w:val="PR Comments"/>
    <w:basedOn w:val="Normal"/>
    <w:rsid w:val="006C4FAC"/>
    <w:pPr>
      <w:spacing w:after="0" w:line="360" w:lineRule="atLeast"/>
      <w:ind w:right="-360"/>
      <w:jc w:val="left"/>
    </w:pPr>
    <w:rPr>
      <w:rFonts w:ascii="Times New Roman" w:hAnsi="Times New Roman"/>
      <w:sz w:val="26"/>
    </w:rPr>
  </w:style>
  <w:style w:type="character" w:styleId="Hyperlink">
    <w:name w:val="Hyperlink"/>
    <w:basedOn w:val="DefaultParagraphFont"/>
    <w:uiPriority w:val="99"/>
    <w:unhideWhenUsed/>
    <w:rsid w:val="00275ABB"/>
    <w:rPr>
      <w:color w:val="0000FF" w:themeColor="hyperlink"/>
      <w:u w:val="single"/>
    </w:rPr>
  </w:style>
  <w:style w:type="character" w:customStyle="1" w:styleId="UnresolvedMention">
    <w:name w:val="Unresolved Mention"/>
    <w:basedOn w:val="DefaultParagraphFont"/>
    <w:uiPriority w:val="99"/>
    <w:semiHidden/>
    <w:unhideWhenUsed/>
    <w:rsid w:val="0027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4646</Words>
  <Characters>26488</Characters>
  <Application>Microsoft Office Word</Application>
  <DocSecurity>0</DocSecurity>
  <Lines>220</Lines>
  <Paragraphs>62</Paragraphs>
  <ScaleCrop>false</ScaleCrop>
  <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2023-01-26T17:25:16Z</dcterms:created>
  <dcterms:modified xsi:type="dcterms:W3CDTF">2023-01-26T17:25:16Z</dcterms:modified>
</cp:coreProperties>
</file>