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F0B3A" w:rsidP="000B1431" w14:paraId="28144BC8" w14:textId="7D6BA751">
      <w:pPr>
        <w:spacing w:after="0"/>
        <w:jc w:val="center"/>
        <w:rPr>
          <w:bCs/>
          <w:sz w:val="36"/>
          <w:szCs w:val="26"/>
        </w:rPr>
      </w:pPr>
      <w:bookmarkStart w:id="0" w:name="_Hlk133476997"/>
      <w:r>
        <w:rPr>
          <w:b/>
          <w:bCs/>
          <w:sz w:val="36"/>
          <w:szCs w:val="26"/>
        </w:rPr>
        <w:t>IN THE SUPREME COURT OF CALIFORNIA</w:t>
      </w:r>
    </w:p>
    <w:p w:rsidR="000B1431" w:rsidP="000B1431" w14:paraId="653CD805" w14:textId="6A38347F">
      <w:pPr>
        <w:spacing w:after="0"/>
        <w:jc w:val="center"/>
        <w:rPr>
          <w:bCs/>
          <w:szCs w:val="26"/>
        </w:rPr>
      </w:pPr>
    </w:p>
    <w:p w:rsidR="000B1431" w:rsidP="000B1431" w14:paraId="0942CF92" w14:textId="719EDC59">
      <w:pPr>
        <w:spacing w:after="0"/>
        <w:jc w:val="center"/>
        <w:rPr>
          <w:bCs/>
          <w:szCs w:val="26"/>
        </w:rPr>
      </w:pPr>
      <w:r>
        <w:rPr>
          <w:bCs/>
          <w:szCs w:val="26"/>
        </w:rPr>
        <w:t>THE PEOPLE</w:t>
      </w:r>
      <w:r w:rsidR="008C652F">
        <w:rPr>
          <w:bCs/>
          <w:szCs w:val="26"/>
        </w:rPr>
        <w:t>,</w:t>
      </w:r>
    </w:p>
    <w:p w:rsidR="000B1431" w:rsidP="000B1431" w14:paraId="3A5C8370" w14:textId="1E4ADE6C">
      <w:pPr>
        <w:spacing w:after="0"/>
        <w:jc w:val="center"/>
        <w:rPr>
          <w:bCs/>
          <w:szCs w:val="26"/>
        </w:rPr>
      </w:pPr>
      <w:r>
        <w:rPr>
          <w:bCs/>
          <w:szCs w:val="26"/>
        </w:rPr>
        <w:t>Plaintiff and Respondent</w:t>
      </w:r>
      <w:r w:rsidR="008C652F">
        <w:rPr>
          <w:bCs/>
          <w:szCs w:val="26"/>
        </w:rPr>
        <w:t>,</w:t>
      </w:r>
    </w:p>
    <w:p w:rsidR="000B1431" w:rsidP="000B1431" w14:paraId="7175916D" w14:textId="60711CC5">
      <w:pPr>
        <w:spacing w:after="0"/>
        <w:jc w:val="center"/>
        <w:rPr>
          <w:bCs/>
          <w:szCs w:val="26"/>
        </w:rPr>
      </w:pPr>
      <w:r>
        <w:rPr>
          <w:bCs/>
          <w:szCs w:val="26"/>
        </w:rPr>
        <w:t>v.</w:t>
      </w:r>
    </w:p>
    <w:p w:rsidR="000B1431" w:rsidP="000B1431" w14:paraId="6E69AC99" w14:textId="7D3CF311">
      <w:pPr>
        <w:spacing w:after="0"/>
        <w:jc w:val="center"/>
        <w:rPr>
          <w:bCs/>
          <w:szCs w:val="26"/>
        </w:rPr>
      </w:pPr>
      <w:r>
        <w:rPr>
          <w:bCs/>
          <w:szCs w:val="26"/>
        </w:rPr>
        <w:t>ANDRES QUINONEZ REYES</w:t>
      </w:r>
      <w:r w:rsidR="008C652F">
        <w:rPr>
          <w:bCs/>
          <w:szCs w:val="26"/>
        </w:rPr>
        <w:t>,</w:t>
      </w:r>
    </w:p>
    <w:p w:rsidR="000B1431" w:rsidP="000B1431" w14:paraId="6EEFDE53" w14:textId="762349B3">
      <w:pPr>
        <w:spacing w:after="0"/>
        <w:jc w:val="center"/>
        <w:rPr>
          <w:bCs/>
          <w:szCs w:val="26"/>
        </w:rPr>
      </w:pPr>
      <w:r>
        <w:rPr>
          <w:bCs/>
          <w:szCs w:val="26"/>
        </w:rPr>
        <w:t>Defendant and Appellant</w:t>
      </w:r>
      <w:r w:rsidR="008C652F">
        <w:rPr>
          <w:bCs/>
          <w:szCs w:val="26"/>
        </w:rPr>
        <w:t>.</w:t>
      </w:r>
    </w:p>
    <w:p w:rsidR="000B1431" w:rsidP="000B1431" w14:paraId="05FA6112" w14:textId="716AB5A9">
      <w:pPr>
        <w:spacing w:after="0"/>
        <w:jc w:val="center"/>
        <w:rPr>
          <w:bCs/>
          <w:szCs w:val="26"/>
        </w:rPr>
      </w:pPr>
    </w:p>
    <w:p w:rsidR="000B1431" w:rsidP="000B1431" w14:paraId="25C805F1" w14:textId="4DBA5F20">
      <w:pPr>
        <w:spacing w:after="0"/>
        <w:jc w:val="center"/>
        <w:rPr>
          <w:bCs/>
          <w:szCs w:val="26"/>
        </w:rPr>
      </w:pPr>
      <w:r>
        <w:rPr>
          <w:bCs/>
          <w:szCs w:val="26"/>
        </w:rPr>
        <w:t>S270723</w:t>
      </w:r>
    </w:p>
    <w:p w:rsidR="000B1431" w:rsidP="000B1431" w14:paraId="01E02E2A" w14:textId="1057A514">
      <w:pPr>
        <w:spacing w:after="0"/>
        <w:jc w:val="center"/>
        <w:rPr>
          <w:bCs/>
          <w:szCs w:val="26"/>
        </w:rPr>
      </w:pPr>
    </w:p>
    <w:p w:rsidR="000B1431" w:rsidP="000B1431" w14:paraId="0D649D01" w14:textId="462FA131">
      <w:pPr>
        <w:spacing w:after="0"/>
        <w:jc w:val="center"/>
        <w:rPr>
          <w:bCs/>
          <w:szCs w:val="26"/>
        </w:rPr>
      </w:pPr>
      <w:r>
        <w:rPr>
          <w:bCs/>
          <w:szCs w:val="26"/>
        </w:rPr>
        <w:t>Fourth Appellate District, Division Three</w:t>
      </w:r>
    </w:p>
    <w:p w:rsidR="000B1431" w:rsidP="000B1431" w14:paraId="2C47A87F" w14:textId="33D9D49B">
      <w:pPr>
        <w:spacing w:after="0"/>
        <w:jc w:val="center"/>
        <w:rPr>
          <w:bCs/>
          <w:szCs w:val="26"/>
        </w:rPr>
      </w:pPr>
      <w:r>
        <w:rPr>
          <w:bCs/>
          <w:szCs w:val="26"/>
        </w:rPr>
        <w:t>G059251</w:t>
      </w:r>
    </w:p>
    <w:p w:rsidR="000B1431" w:rsidP="000B1431" w14:paraId="46BE142D" w14:textId="0518E256">
      <w:pPr>
        <w:spacing w:after="0"/>
        <w:jc w:val="center"/>
        <w:rPr>
          <w:bCs/>
          <w:szCs w:val="26"/>
        </w:rPr>
      </w:pPr>
    </w:p>
    <w:p w:rsidR="000B1431" w:rsidP="000B1431" w14:paraId="26AFA482" w14:textId="2FA16CA9">
      <w:pPr>
        <w:spacing w:after="0"/>
        <w:jc w:val="center"/>
        <w:rPr>
          <w:bCs/>
          <w:szCs w:val="26"/>
        </w:rPr>
      </w:pPr>
      <w:r>
        <w:rPr>
          <w:bCs/>
          <w:szCs w:val="26"/>
        </w:rPr>
        <w:t>Orange County Superior Court</w:t>
      </w:r>
    </w:p>
    <w:p w:rsidR="000B1431" w:rsidP="000B1431" w14:paraId="07BC5E26" w14:textId="6FBD1599">
      <w:pPr>
        <w:spacing w:after="0"/>
        <w:jc w:val="center"/>
        <w:rPr>
          <w:bCs/>
          <w:szCs w:val="26"/>
        </w:rPr>
      </w:pPr>
      <w:r>
        <w:rPr>
          <w:bCs/>
          <w:szCs w:val="26"/>
        </w:rPr>
        <w:t>04CF2780</w:t>
      </w:r>
    </w:p>
    <w:p w:rsidR="000B1431" w:rsidP="000B1431" w14:paraId="43F2710A" w14:textId="46E75A2F">
      <w:pPr>
        <w:pBdr>
          <w:bottom w:val="single" w:sz="4" w:space="1" w:color="auto"/>
        </w:pBdr>
        <w:spacing w:after="0"/>
        <w:jc w:val="center"/>
        <w:rPr>
          <w:bCs/>
          <w:szCs w:val="26"/>
        </w:rPr>
      </w:pPr>
    </w:p>
    <w:p w:rsidR="000B1431" w:rsidP="000B1431" w14:paraId="347B96D7" w14:textId="045680D0">
      <w:pPr>
        <w:spacing w:after="0"/>
        <w:jc w:val="center"/>
        <w:rPr>
          <w:bCs/>
          <w:szCs w:val="26"/>
        </w:rPr>
      </w:pPr>
    </w:p>
    <w:p w:rsidR="000B1431" w:rsidP="000B1431" w14:paraId="059862B7" w14:textId="3405ABCA">
      <w:pPr>
        <w:spacing w:after="0"/>
        <w:jc w:val="center"/>
        <w:rPr>
          <w:bCs/>
          <w:szCs w:val="26"/>
        </w:rPr>
      </w:pPr>
      <w:r>
        <w:rPr>
          <w:bCs/>
          <w:szCs w:val="26"/>
        </w:rPr>
        <w:t>June 29</w:t>
      </w:r>
      <w:r>
        <w:rPr>
          <w:bCs/>
          <w:szCs w:val="26"/>
        </w:rPr>
        <w:t>, 2023</w:t>
      </w:r>
    </w:p>
    <w:p w:rsidR="000B1431" w:rsidP="000B1431" w14:paraId="6B4040BB" w14:textId="1B002505">
      <w:pPr>
        <w:spacing w:after="0"/>
        <w:jc w:val="center"/>
        <w:rPr>
          <w:bCs/>
          <w:szCs w:val="26"/>
        </w:rPr>
      </w:pPr>
    </w:p>
    <w:p w:rsidR="000B1431" w:rsidP="000B1431" w14:paraId="6F98F79F" w14:textId="7D9D937F">
      <w:pPr>
        <w:spacing w:after="0"/>
        <w:jc w:val="left"/>
        <w:rPr>
          <w:bCs/>
          <w:szCs w:val="26"/>
        </w:rPr>
      </w:pPr>
      <w:r>
        <w:rPr>
          <w:bCs/>
          <w:szCs w:val="26"/>
        </w:rPr>
        <w:t xml:space="preserve">Justice Liu authored the opinion of the Court, in which </w:t>
      </w:r>
      <w:r w:rsidRPr="00F579F3" w:rsidR="00F579F3">
        <w:rPr>
          <w:bCs/>
          <w:szCs w:val="26"/>
        </w:rPr>
        <w:t xml:space="preserve">Chief Justice Guerrero and Justices Corrigan, Kruger, Groban, Jenkins, and Evans </w:t>
      </w:r>
      <w:r>
        <w:rPr>
          <w:bCs/>
          <w:szCs w:val="26"/>
        </w:rPr>
        <w:t xml:space="preserve">concurred. </w:t>
      </w:r>
    </w:p>
    <w:p w:rsidR="000B1431" w:rsidRPr="000B1431" w:rsidP="000B1431" w14:paraId="2297D061" w14:textId="77777777">
      <w:pPr>
        <w:pBdr>
          <w:bottom w:val="single" w:sz="4" w:space="1" w:color="auto"/>
        </w:pBdr>
        <w:spacing w:line="480" w:lineRule="atLeast"/>
        <w:jc w:val="left"/>
        <w:rPr>
          <w:bCs/>
          <w:szCs w:val="26"/>
        </w:rPr>
      </w:pPr>
      <w:bookmarkStart w:id="1" w:name="Return"/>
      <w:bookmarkEnd w:id="1"/>
    </w:p>
    <w:p w:rsidR="000B1431" w:rsidP="00586011" w14:paraId="6D16745F" w14:textId="77777777">
      <w:pPr>
        <w:spacing w:line="480" w:lineRule="atLeast"/>
        <w:jc w:val="center"/>
        <w:rPr>
          <w:b/>
          <w:bCs/>
          <w:szCs w:val="26"/>
        </w:rPr>
        <w:sectPr w:rsidSect="000B1431">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0B1431" w:rsidRPr="000B1431" w:rsidP="000B1431" w14:paraId="1EFD0E33" w14:textId="7758B5C7">
      <w:pPr>
        <w:jc w:val="center"/>
        <w:rPr>
          <w:szCs w:val="26"/>
        </w:rPr>
      </w:pPr>
      <w:r w:rsidRPr="000B1431">
        <w:rPr>
          <w:szCs w:val="26"/>
        </w:rPr>
        <w:t xml:space="preserve">PEOPLE </w:t>
      </w:r>
      <w:r>
        <w:rPr>
          <w:szCs w:val="26"/>
        </w:rPr>
        <w:t>v</w:t>
      </w:r>
      <w:r w:rsidRPr="000B1431">
        <w:rPr>
          <w:szCs w:val="26"/>
        </w:rPr>
        <w:t>. REYES</w:t>
      </w:r>
    </w:p>
    <w:p w:rsidR="000B1431" w:rsidRPr="000B1431" w:rsidP="000B1431" w14:paraId="36BFD4D5" w14:textId="65961396">
      <w:pPr>
        <w:jc w:val="center"/>
        <w:rPr>
          <w:szCs w:val="26"/>
        </w:rPr>
      </w:pPr>
      <w:r w:rsidRPr="000B1431">
        <w:rPr>
          <w:szCs w:val="26"/>
        </w:rPr>
        <w:t>S270723</w:t>
      </w:r>
    </w:p>
    <w:p w:rsidR="000B1431" w:rsidRPr="000B1431" w:rsidP="000B1431" w14:paraId="497A4A9E" w14:textId="738D632A">
      <w:pPr>
        <w:jc w:val="center"/>
        <w:rPr>
          <w:szCs w:val="26"/>
        </w:rPr>
      </w:pPr>
    </w:p>
    <w:p w:rsidR="000B1431" w:rsidRPr="000B1431" w:rsidP="000B1431" w14:paraId="1222454F" w14:textId="204C713E">
      <w:pPr>
        <w:jc w:val="center"/>
        <w:rPr>
          <w:szCs w:val="26"/>
        </w:rPr>
      </w:pPr>
      <w:r w:rsidRPr="000B1431">
        <w:rPr>
          <w:szCs w:val="26"/>
        </w:rPr>
        <w:t>Opinion of the Court by Liu, J.</w:t>
      </w:r>
    </w:p>
    <w:p w:rsidR="000B1431" w:rsidRPr="000B1431" w:rsidP="000B1431" w14:paraId="2FA10980" w14:textId="77777777">
      <w:pPr>
        <w:jc w:val="center"/>
        <w:rPr>
          <w:b/>
          <w:bCs/>
          <w:szCs w:val="26"/>
        </w:rPr>
      </w:pPr>
    </w:p>
    <w:p w:rsidR="000F0B3A" w:rsidRPr="000B1431" w:rsidP="000B1431" w14:paraId="2DABFFE3" w14:textId="2E60E87A">
      <w:pPr>
        <w:ind w:firstLine="720"/>
        <w:rPr>
          <w:szCs w:val="26"/>
          <w:highlight w:val="yellow"/>
        </w:rPr>
      </w:pPr>
      <w:r w:rsidRPr="000B1431">
        <w:rPr>
          <w:szCs w:val="26"/>
        </w:rPr>
        <w:t xml:space="preserve">Defendant Andres Quinonez Reyes was convicted of second degree murder following a homicide committed by a fellow member of Santa Ana’s F-Troop gang.  Reyes was one of several members or affiliates of F-Troop who were present when the killing occurred, </w:t>
      </w:r>
      <w:r w:rsidRPr="000B1431" w:rsidR="00977342">
        <w:rPr>
          <w:szCs w:val="26"/>
        </w:rPr>
        <w:t>although</w:t>
      </w:r>
      <w:r w:rsidRPr="000B1431">
        <w:rPr>
          <w:szCs w:val="26"/>
        </w:rPr>
        <w:t xml:space="preserve"> the evidence </w:t>
      </w:r>
      <w:r w:rsidRPr="000B1431" w:rsidR="00380D1D">
        <w:rPr>
          <w:szCs w:val="26"/>
        </w:rPr>
        <w:t xml:space="preserve">showed </w:t>
      </w:r>
      <w:r w:rsidRPr="000B1431" w:rsidR="00977342">
        <w:rPr>
          <w:szCs w:val="26"/>
        </w:rPr>
        <w:t xml:space="preserve">he </w:t>
      </w:r>
      <w:r w:rsidRPr="000B1431" w:rsidR="00380D1D">
        <w:rPr>
          <w:szCs w:val="26"/>
        </w:rPr>
        <w:t xml:space="preserve">was not the </w:t>
      </w:r>
      <w:r w:rsidRPr="000B1431">
        <w:rPr>
          <w:szCs w:val="26"/>
        </w:rPr>
        <w:t xml:space="preserve">shooter.  The prosecutor’s principal arguments at trial were that Reyes had intended to aid either an assault or disturbing the peace, or that he had conspired to commit one of those offenses.  Under the then-applicable natural and probable consequences theory, Reyes could be found guilty of second degree murder if the jury </w:t>
      </w:r>
      <w:r w:rsidRPr="000B1431" w:rsidR="00977342">
        <w:rPr>
          <w:szCs w:val="26"/>
        </w:rPr>
        <w:t>determined</w:t>
      </w:r>
      <w:r w:rsidRPr="000B1431">
        <w:rPr>
          <w:szCs w:val="26"/>
        </w:rPr>
        <w:t xml:space="preserve"> that he aided and abetted one of those </w:t>
      </w:r>
      <w:r w:rsidRPr="000B1431" w:rsidR="00070332">
        <w:rPr>
          <w:szCs w:val="26"/>
        </w:rPr>
        <w:t xml:space="preserve">target </w:t>
      </w:r>
      <w:r w:rsidRPr="000B1431">
        <w:rPr>
          <w:szCs w:val="26"/>
        </w:rPr>
        <w:t xml:space="preserve">crimes and that murder was a natural and probable consequence of the offense.  </w:t>
      </w:r>
    </w:p>
    <w:p w:rsidR="000F0B3A" w:rsidRPr="000B1431" w:rsidP="000B1431" w14:paraId="08F6D849" w14:textId="71B8FB2E">
      <w:pPr>
        <w:ind w:firstLine="720"/>
        <w:rPr>
          <w:szCs w:val="26"/>
        </w:rPr>
      </w:pPr>
      <w:r w:rsidRPr="000B1431">
        <w:rPr>
          <w:szCs w:val="26"/>
        </w:rPr>
        <w:t>The Legislature subsequently eliminated th</w:t>
      </w:r>
      <w:r w:rsidR="00D45A63">
        <w:rPr>
          <w:szCs w:val="26"/>
        </w:rPr>
        <w:t>e natural and probable consequences</w:t>
      </w:r>
      <w:r w:rsidRPr="000B1431">
        <w:rPr>
          <w:szCs w:val="26"/>
        </w:rPr>
        <w:t xml:space="preserve"> theory of liability as a basis for a murder conviction in Senate Bill No. 1437 (2017–2018 Reg. Sess.) (Senate Bill No. 1437)</w:t>
      </w:r>
      <w:r w:rsidR="003110E6">
        <w:rPr>
          <w:szCs w:val="26"/>
        </w:rPr>
        <w:t xml:space="preserve"> (Stats. 2018, ch. 1015, </w:t>
      </w:r>
      <w:r w:rsidRPr="000B1431" w:rsidR="003110E6">
        <w:t>§</w:t>
      </w:r>
      <w:r w:rsidR="003110E6">
        <w:t xml:space="preserve"> 2)</w:t>
      </w:r>
      <w:r w:rsidRPr="000B1431">
        <w:rPr>
          <w:szCs w:val="26"/>
        </w:rPr>
        <w:t>.  Reyes petitioned for resentencing</w:t>
      </w:r>
      <w:r w:rsidRPr="000B1431" w:rsidR="000535B1">
        <w:rPr>
          <w:szCs w:val="26"/>
        </w:rPr>
        <w:t xml:space="preserve"> under Penal Code </w:t>
      </w:r>
      <w:r w:rsidR="003110E6">
        <w:rPr>
          <w:szCs w:val="26"/>
        </w:rPr>
        <w:t xml:space="preserve">former </w:t>
      </w:r>
      <w:r w:rsidRPr="000B1431" w:rsidR="000535B1">
        <w:rPr>
          <w:szCs w:val="26"/>
        </w:rPr>
        <w:t>section 1170.95</w:t>
      </w:r>
      <w:r w:rsidRPr="000B1431" w:rsidR="003B701C">
        <w:rPr>
          <w:szCs w:val="26"/>
        </w:rPr>
        <w:t>,</w:t>
      </w:r>
      <w:r w:rsidRPr="000B1431" w:rsidR="00935130">
        <w:rPr>
          <w:szCs w:val="26"/>
        </w:rPr>
        <w:t xml:space="preserve"> </w:t>
      </w:r>
      <w:r w:rsidRPr="000B1431" w:rsidR="006C400B">
        <w:rPr>
          <w:szCs w:val="26"/>
        </w:rPr>
        <w:t>which has since been renumbered</w:t>
      </w:r>
      <w:r w:rsidRPr="000B1431" w:rsidR="00935130">
        <w:rPr>
          <w:szCs w:val="26"/>
        </w:rPr>
        <w:t xml:space="preserve"> </w:t>
      </w:r>
      <w:r w:rsidRPr="000B1431" w:rsidR="006C400B">
        <w:rPr>
          <w:szCs w:val="26"/>
        </w:rPr>
        <w:t>as Penal Code section 1172.6</w:t>
      </w:r>
      <w:r w:rsidR="003110E6">
        <w:rPr>
          <w:szCs w:val="26"/>
        </w:rPr>
        <w:t xml:space="preserve"> (Stats. 2022, ch. 58, </w:t>
      </w:r>
      <w:r w:rsidRPr="000B1431" w:rsidR="003110E6">
        <w:t>§</w:t>
      </w:r>
      <w:r w:rsidR="003110E6">
        <w:t> 10</w:t>
      </w:r>
      <w:r w:rsidR="003110E6">
        <w:rPr>
          <w:szCs w:val="26"/>
        </w:rPr>
        <w:t>)</w:t>
      </w:r>
      <w:r w:rsidRPr="000B1431" w:rsidR="00935130">
        <w:rPr>
          <w:szCs w:val="26"/>
        </w:rPr>
        <w:t>.</w:t>
      </w:r>
      <w:r w:rsidRPr="000B1431">
        <w:rPr>
          <w:szCs w:val="26"/>
        </w:rPr>
        <w:t xml:space="preserve"> </w:t>
      </w:r>
      <w:r w:rsidRPr="000B1431" w:rsidR="00935130">
        <w:rPr>
          <w:szCs w:val="26"/>
        </w:rPr>
        <w:t xml:space="preserve"> </w:t>
      </w:r>
      <w:r w:rsidRPr="000B1431" w:rsidR="00070332">
        <w:rPr>
          <w:szCs w:val="26"/>
        </w:rPr>
        <w:t xml:space="preserve">(All statutory references are to the Penal Code.)  </w:t>
      </w:r>
      <w:r w:rsidRPr="000B1431" w:rsidR="00935130">
        <w:rPr>
          <w:szCs w:val="26"/>
        </w:rPr>
        <w:t xml:space="preserve">He argued </w:t>
      </w:r>
      <w:r w:rsidRPr="000B1431">
        <w:rPr>
          <w:szCs w:val="26"/>
        </w:rPr>
        <w:t xml:space="preserve">that the evidence against him did not support a conviction under any </w:t>
      </w:r>
      <w:r w:rsidRPr="000B1431" w:rsidR="00977342">
        <w:rPr>
          <w:szCs w:val="26"/>
        </w:rPr>
        <w:t xml:space="preserve">valid </w:t>
      </w:r>
      <w:r w:rsidRPr="000B1431">
        <w:rPr>
          <w:szCs w:val="26"/>
        </w:rPr>
        <w:t xml:space="preserve">theory of murder </w:t>
      </w:r>
      <w:r w:rsidRPr="000B1431" w:rsidR="00977342">
        <w:rPr>
          <w:szCs w:val="26"/>
        </w:rPr>
        <w:t xml:space="preserve">in light of </w:t>
      </w:r>
      <w:r w:rsidRPr="000B1431">
        <w:rPr>
          <w:szCs w:val="26"/>
        </w:rPr>
        <w:t xml:space="preserve">the limitations imposed by Senate Bill No. 1437.  The </w:t>
      </w:r>
      <w:r w:rsidRPr="000B1431" w:rsidR="007B4330">
        <w:rPr>
          <w:szCs w:val="26"/>
        </w:rPr>
        <w:t xml:space="preserve">trial </w:t>
      </w:r>
      <w:r w:rsidRPr="000B1431">
        <w:rPr>
          <w:szCs w:val="26"/>
        </w:rPr>
        <w:t xml:space="preserve">court denied his petition, finding that he was guilty </w:t>
      </w:r>
      <w:r w:rsidRPr="000B1431" w:rsidR="000A0936">
        <w:rPr>
          <w:szCs w:val="26"/>
        </w:rPr>
        <w:t xml:space="preserve">beyond a reasonable doubt of implied malice murder, </w:t>
      </w:r>
      <w:r w:rsidRPr="000B1431">
        <w:rPr>
          <w:szCs w:val="26"/>
        </w:rPr>
        <w:t xml:space="preserve">an alternative theory that remained available after Senate Bill No. 1437.  The Court of Appeal affirmed.  </w:t>
      </w:r>
      <w:r w:rsidR="00AB0C5F">
        <w:rPr>
          <w:szCs w:val="26"/>
        </w:rPr>
        <w:t>(</w:t>
      </w:r>
      <w:r w:rsidR="00AB0C5F">
        <w:rPr>
          <w:i/>
          <w:iCs/>
          <w:szCs w:val="26"/>
        </w:rPr>
        <w:t xml:space="preserve">People v. Reyes </w:t>
      </w:r>
      <w:r w:rsidR="00AB0C5F">
        <w:rPr>
          <w:szCs w:val="26"/>
        </w:rPr>
        <w:t xml:space="preserve">(Aug. 4, 2021, G059251) [nonpub. opn.].)  </w:t>
      </w:r>
      <w:r w:rsidRPr="000B1431" w:rsidR="00E82686">
        <w:rPr>
          <w:szCs w:val="26"/>
        </w:rPr>
        <w:t xml:space="preserve">Because the </w:t>
      </w:r>
      <w:r w:rsidRPr="000B1431" w:rsidR="007B4330">
        <w:rPr>
          <w:szCs w:val="26"/>
        </w:rPr>
        <w:t xml:space="preserve">trial </w:t>
      </w:r>
      <w:r w:rsidRPr="000B1431" w:rsidR="00E82686">
        <w:rPr>
          <w:szCs w:val="26"/>
        </w:rPr>
        <w:t>court</w:t>
      </w:r>
      <w:r w:rsidRPr="000B1431" w:rsidR="00977342">
        <w:rPr>
          <w:szCs w:val="26"/>
        </w:rPr>
        <w:t xml:space="preserve"> erred in </w:t>
      </w:r>
      <w:r w:rsidRPr="000B1431" w:rsidR="00755E66">
        <w:rPr>
          <w:szCs w:val="26"/>
        </w:rPr>
        <w:t>den</w:t>
      </w:r>
      <w:r w:rsidRPr="000B1431" w:rsidR="00977342">
        <w:rPr>
          <w:szCs w:val="26"/>
        </w:rPr>
        <w:t>ying</w:t>
      </w:r>
      <w:r w:rsidRPr="000B1431" w:rsidR="00755E66">
        <w:rPr>
          <w:szCs w:val="26"/>
        </w:rPr>
        <w:t xml:space="preserve"> Reyes’s petition, </w:t>
      </w:r>
      <w:r w:rsidRPr="000B1431">
        <w:rPr>
          <w:szCs w:val="26"/>
        </w:rPr>
        <w:t>we reverse</w:t>
      </w:r>
      <w:r w:rsidRPr="000B1431" w:rsidR="007546EE">
        <w:rPr>
          <w:szCs w:val="26"/>
        </w:rPr>
        <w:t xml:space="preserve"> the Court of Appeal’s judgment</w:t>
      </w:r>
      <w:r w:rsidRPr="000B1431" w:rsidR="008233D8">
        <w:rPr>
          <w:szCs w:val="26"/>
        </w:rPr>
        <w:t xml:space="preserve"> with instructions to remand the case to the </w:t>
      </w:r>
      <w:r w:rsidRPr="000B1431" w:rsidR="007B4330">
        <w:rPr>
          <w:szCs w:val="26"/>
        </w:rPr>
        <w:t xml:space="preserve">trial </w:t>
      </w:r>
      <w:r w:rsidRPr="000B1431" w:rsidR="008233D8">
        <w:rPr>
          <w:szCs w:val="26"/>
        </w:rPr>
        <w:t xml:space="preserve">court for further proceedings on </w:t>
      </w:r>
      <w:r w:rsidRPr="000B1431" w:rsidR="00987B31">
        <w:rPr>
          <w:szCs w:val="26"/>
        </w:rPr>
        <w:t>Reyes’s</w:t>
      </w:r>
      <w:r w:rsidRPr="000B1431" w:rsidR="008233D8">
        <w:rPr>
          <w:szCs w:val="26"/>
        </w:rPr>
        <w:t xml:space="preserve"> resentencing </w:t>
      </w:r>
      <w:r w:rsidRPr="000B1431" w:rsidR="00977342">
        <w:rPr>
          <w:szCs w:val="26"/>
        </w:rPr>
        <w:t>petition</w:t>
      </w:r>
      <w:r w:rsidRPr="000B1431">
        <w:rPr>
          <w:szCs w:val="26"/>
        </w:rPr>
        <w:t>.</w:t>
      </w:r>
    </w:p>
    <w:p w:rsidR="000F0B3A" w:rsidRPr="000B1431" w:rsidP="000B1431" w14:paraId="00D42B6F" w14:textId="77777777">
      <w:pPr>
        <w:pStyle w:val="Heading1"/>
        <w:rPr>
          <w:szCs w:val="26"/>
        </w:rPr>
      </w:pPr>
      <w:r w:rsidRPr="000B1431">
        <w:rPr>
          <w:szCs w:val="26"/>
        </w:rPr>
        <w:t>I.</w:t>
      </w:r>
    </w:p>
    <w:p w:rsidR="004B1093" w:rsidRPr="000B1431" w:rsidP="000B1431" w14:paraId="1415BC28" w14:textId="0A69152D">
      <w:pPr>
        <w:ind w:firstLine="720"/>
        <w:rPr>
          <w:szCs w:val="26"/>
        </w:rPr>
      </w:pPr>
      <w:r w:rsidRPr="000B1431">
        <w:rPr>
          <w:szCs w:val="26"/>
        </w:rPr>
        <w:t>I</w:t>
      </w:r>
      <w:r w:rsidRPr="000B1431" w:rsidR="000F0B3A">
        <w:rPr>
          <w:szCs w:val="26"/>
        </w:rPr>
        <w:t xml:space="preserve">n August 2004, when Reyes was 15 years old, he was in a park with a group of older boys </w:t>
      </w:r>
      <w:r w:rsidR="00F50D20">
        <w:rPr>
          <w:szCs w:val="26"/>
        </w:rPr>
        <w:t xml:space="preserve">and young men </w:t>
      </w:r>
      <w:r w:rsidRPr="000B1431" w:rsidR="000F0B3A">
        <w:rPr>
          <w:szCs w:val="26"/>
        </w:rPr>
        <w:t xml:space="preserve">between the ages of 16 and 21.  All of them, including Reyes, were members of F-Troop or an affiliated gang.  </w:t>
      </w:r>
      <w:r w:rsidRPr="000B1431" w:rsidR="00807FE3">
        <w:rPr>
          <w:szCs w:val="26"/>
        </w:rPr>
        <w:t xml:space="preserve">One of the </w:t>
      </w:r>
      <w:r w:rsidR="00F50D20">
        <w:rPr>
          <w:szCs w:val="26"/>
        </w:rPr>
        <w:t>young men</w:t>
      </w:r>
      <w:r w:rsidRPr="000B1431" w:rsidR="00807FE3">
        <w:rPr>
          <w:szCs w:val="26"/>
        </w:rPr>
        <w:t xml:space="preserve">, </w:t>
      </w:r>
      <w:r w:rsidRPr="000B1431" w:rsidR="000F0B3A">
        <w:rPr>
          <w:szCs w:val="26"/>
        </w:rPr>
        <w:t>Francisco Lopez</w:t>
      </w:r>
      <w:r w:rsidRPr="000B1431" w:rsidR="00807FE3">
        <w:rPr>
          <w:szCs w:val="26"/>
        </w:rPr>
        <w:t>,</w:t>
      </w:r>
      <w:r w:rsidRPr="000B1431" w:rsidR="000F0B3A">
        <w:rPr>
          <w:szCs w:val="26"/>
        </w:rPr>
        <w:t xml:space="preserve"> showed the group a revolver he was carrying.  A few hours later, after meeting with two other members of F-Troop, some of </w:t>
      </w:r>
      <w:r w:rsidR="00F50D20">
        <w:rPr>
          <w:szCs w:val="26"/>
        </w:rPr>
        <w:t>them</w:t>
      </w:r>
      <w:r w:rsidR="00634ABF">
        <w:rPr>
          <w:szCs w:val="26"/>
        </w:rPr>
        <w:t>, including Reyes,</w:t>
      </w:r>
      <w:r w:rsidRPr="000B1431" w:rsidR="00C44AD9">
        <w:rPr>
          <w:szCs w:val="26"/>
        </w:rPr>
        <w:t xml:space="preserve"> </w:t>
      </w:r>
      <w:r w:rsidRPr="000B1431" w:rsidR="00ED6C4C">
        <w:rPr>
          <w:szCs w:val="26"/>
        </w:rPr>
        <w:t xml:space="preserve">proceeded </w:t>
      </w:r>
      <w:r w:rsidR="00EF5DBC">
        <w:rPr>
          <w:szCs w:val="26"/>
        </w:rPr>
        <w:t xml:space="preserve">on their bicycles </w:t>
      </w:r>
      <w:r w:rsidRPr="000B1431" w:rsidR="00ED6C4C">
        <w:rPr>
          <w:szCs w:val="26"/>
        </w:rPr>
        <w:t xml:space="preserve">to </w:t>
      </w:r>
      <w:r w:rsidRPr="000B1431" w:rsidR="000F0B3A">
        <w:rPr>
          <w:szCs w:val="26"/>
        </w:rPr>
        <w:t xml:space="preserve">an area on the edge of </w:t>
      </w:r>
      <w:r w:rsidRPr="000B1431" w:rsidR="00977342">
        <w:rPr>
          <w:szCs w:val="26"/>
        </w:rPr>
        <w:t xml:space="preserve">territory belonging to a </w:t>
      </w:r>
      <w:r w:rsidRPr="000B1431" w:rsidR="000F0B3A">
        <w:rPr>
          <w:szCs w:val="26"/>
        </w:rPr>
        <w:t>rival gang.</w:t>
      </w:r>
    </w:p>
    <w:p w:rsidR="004B1093" w:rsidRPr="000B1431" w:rsidP="000B1431" w14:paraId="64205EE9" w14:textId="14059003">
      <w:pPr>
        <w:ind w:firstLine="720"/>
        <w:rPr>
          <w:szCs w:val="26"/>
        </w:rPr>
      </w:pPr>
      <w:r w:rsidRPr="000B1431">
        <w:rPr>
          <w:szCs w:val="26"/>
        </w:rPr>
        <w:t xml:space="preserve">A witness testified that </w:t>
      </w:r>
      <w:r w:rsidR="00EF5DBC">
        <w:rPr>
          <w:szCs w:val="26"/>
        </w:rPr>
        <w:t>a member of the group</w:t>
      </w:r>
      <w:r w:rsidR="002C4B3F">
        <w:rPr>
          <w:szCs w:val="26"/>
        </w:rPr>
        <w:t xml:space="preserve"> of bicycle riders</w:t>
      </w:r>
      <w:r w:rsidR="00F50D20">
        <w:rPr>
          <w:szCs w:val="26"/>
        </w:rPr>
        <w:t xml:space="preserve"> </w:t>
      </w:r>
      <w:r w:rsidRPr="000B1431" w:rsidR="000F0B3A">
        <w:rPr>
          <w:szCs w:val="26"/>
        </w:rPr>
        <w:t>called out for a passing car to stop</w:t>
      </w:r>
      <w:r w:rsidRPr="000B1431">
        <w:rPr>
          <w:szCs w:val="26"/>
        </w:rPr>
        <w:t>, saying</w:t>
      </w:r>
      <w:r w:rsidRPr="000B1431" w:rsidR="00977342">
        <w:rPr>
          <w:szCs w:val="26"/>
        </w:rPr>
        <w:t>, “Hey, Homey, stop.  We want to talk to you.”  The car sped up</w:t>
      </w:r>
      <w:r w:rsidRPr="000B1431">
        <w:rPr>
          <w:szCs w:val="26"/>
        </w:rPr>
        <w:t>,</w:t>
      </w:r>
      <w:r w:rsidRPr="000B1431" w:rsidR="00977342">
        <w:rPr>
          <w:szCs w:val="26"/>
        </w:rPr>
        <w:t xml:space="preserve"> and the group chased after it</w:t>
      </w:r>
      <w:r w:rsidRPr="000B1431">
        <w:rPr>
          <w:szCs w:val="26"/>
        </w:rPr>
        <w:t xml:space="preserve">, with riders in front yelling to those in back to “keep up” and those in back yelling for the riders in front to slow down.  The group came together </w:t>
      </w:r>
      <w:r w:rsidRPr="000B1431" w:rsidR="0004478D">
        <w:rPr>
          <w:szCs w:val="26"/>
        </w:rPr>
        <w:t xml:space="preserve">and stopped </w:t>
      </w:r>
      <w:r w:rsidRPr="000B1431">
        <w:rPr>
          <w:szCs w:val="26"/>
        </w:rPr>
        <w:t>at an intersection, and the car made a U-turn and drove past the</w:t>
      </w:r>
      <w:r w:rsidR="005B55C4">
        <w:rPr>
          <w:szCs w:val="26"/>
        </w:rPr>
        <w:t>m</w:t>
      </w:r>
      <w:r w:rsidRPr="000B1431">
        <w:rPr>
          <w:szCs w:val="26"/>
        </w:rPr>
        <w:t xml:space="preserve">.  Moments later, there was a gunshot, and the riders fled in different directions.  The evidence showed that a single gunshot had struck the </w:t>
      </w:r>
      <w:r w:rsidR="00231D73">
        <w:rPr>
          <w:szCs w:val="26"/>
        </w:rPr>
        <w:t>driver</w:t>
      </w:r>
      <w:r w:rsidRPr="000B1431" w:rsidR="00231D73">
        <w:rPr>
          <w:szCs w:val="26"/>
        </w:rPr>
        <w:t xml:space="preserve"> </w:t>
      </w:r>
      <w:r w:rsidRPr="000B1431">
        <w:rPr>
          <w:szCs w:val="26"/>
        </w:rPr>
        <w:t>Pedro Rosario in the head, killing him.  The prosecutor argued that Lopez was the shooter.</w:t>
      </w:r>
      <w:r w:rsidRPr="000B1431" w:rsidR="0005442A">
        <w:rPr>
          <w:szCs w:val="26"/>
        </w:rPr>
        <w:t xml:space="preserve">  </w:t>
      </w:r>
      <w:r w:rsidRPr="00AF133E" w:rsidR="0005442A">
        <w:rPr>
          <w:szCs w:val="26"/>
        </w:rPr>
        <w:t xml:space="preserve">There does not appear to be any </w:t>
      </w:r>
      <w:r w:rsidRPr="0034639C" w:rsidR="00AF133E">
        <w:rPr>
          <w:szCs w:val="26"/>
        </w:rPr>
        <w:t xml:space="preserve">direct </w:t>
      </w:r>
      <w:r w:rsidRPr="00AF133E" w:rsidR="0005442A">
        <w:rPr>
          <w:szCs w:val="26"/>
        </w:rPr>
        <w:t xml:space="preserve">evidence that Reyes knew the </w:t>
      </w:r>
      <w:r w:rsidRPr="00AF133E" w:rsidR="00664D95">
        <w:rPr>
          <w:szCs w:val="26"/>
        </w:rPr>
        <w:t>gun was loaded before Lopez shot Rosario.</w:t>
      </w:r>
    </w:p>
    <w:p w:rsidR="00300E5B" w:rsidRPr="000B1431" w:rsidP="000B1431" w14:paraId="43F3EC48" w14:textId="2926C8BA">
      <w:pPr>
        <w:ind w:firstLine="720"/>
        <w:rPr>
          <w:szCs w:val="26"/>
        </w:rPr>
      </w:pPr>
      <w:r w:rsidRPr="000B1431">
        <w:rPr>
          <w:szCs w:val="26"/>
        </w:rPr>
        <w:t>Reyes</w:t>
      </w:r>
      <w:r w:rsidRPr="000B1431" w:rsidR="00977342">
        <w:rPr>
          <w:szCs w:val="26"/>
        </w:rPr>
        <w:t xml:space="preserve"> was in possession of the murder weapon approximately 40 minutes later when</w:t>
      </w:r>
      <w:r w:rsidRPr="000B1431">
        <w:rPr>
          <w:szCs w:val="26"/>
        </w:rPr>
        <w:t xml:space="preserve">, together with three other </w:t>
      </w:r>
      <w:r w:rsidRPr="000B1431">
        <w:rPr>
          <w:szCs w:val="26"/>
        </w:rPr>
        <w:t>bicycle riders,</w:t>
      </w:r>
      <w:r w:rsidRPr="000B1431" w:rsidR="00977342">
        <w:rPr>
          <w:szCs w:val="26"/>
        </w:rPr>
        <w:t xml:space="preserve"> he confronted </w:t>
      </w:r>
      <w:r w:rsidRPr="000B1431">
        <w:rPr>
          <w:szCs w:val="26"/>
        </w:rPr>
        <w:t xml:space="preserve">Felix </w:t>
      </w:r>
      <w:r w:rsidRPr="000B1431" w:rsidR="00977342">
        <w:rPr>
          <w:szCs w:val="26"/>
        </w:rPr>
        <w:t xml:space="preserve">Nieves.  Nieves, who </w:t>
      </w:r>
      <w:r w:rsidRPr="000B1431" w:rsidR="0004478D">
        <w:rPr>
          <w:szCs w:val="26"/>
        </w:rPr>
        <w:t>did not belong to</w:t>
      </w:r>
      <w:r w:rsidRPr="000B1431" w:rsidR="00977342">
        <w:rPr>
          <w:szCs w:val="26"/>
        </w:rPr>
        <w:t xml:space="preserve"> a gang, was walking in F-Troop territory near where Rosario had been shot.  </w:t>
      </w:r>
      <w:r w:rsidRPr="000B1431">
        <w:rPr>
          <w:szCs w:val="26"/>
        </w:rPr>
        <w:t>Reyes</w:t>
      </w:r>
      <w:r w:rsidRPr="000B1431" w:rsidR="00977342">
        <w:rPr>
          <w:szCs w:val="26"/>
        </w:rPr>
        <w:t xml:space="preserve"> </w:t>
      </w:r>
      <w:r w:rsidRPr="000B1431">
        <w:rPr>
          <w:szCs w:val="26"/>
        </w:rPr>
        <w:t>asked</w:t>
      </w:r>
      <w:r w:rsidRPr="000B1431" w:rsidR="00977342">
        <w:rPr>
          <w:szCs w:val="26"/>
        </w:rPr>
        <w:t xml:space="preserve"> Nieves what “barrio” </w:t>
      </w:r>
      <w:r w:rsidRPr="000B1431">
        <w:rPr>
          <w:szCs w:val="26"/>
        </w:rPr>
        <w:t xml:space="preserve">he </w:t>
      </w:r>
      <w:r w:rsidRPr="000B1431" w:rsidR="00977342">
        <w:rPr>
          <w:szCs w:val="26"/>
        </w:rPr>
        <w:t>belonged to</w:t>
      </w:r>
      <w:r w:rsidRPr="000B1431">
        <w:rPr>
          <w:szCs w:val="26"/>
        </w:rPr>
        <w:t>;</w:t>
      </w:r>
      <w:r w:rsidRPr="000B1431" w:rsidR="00977342">
        <w:rPr>
          <w:szCs w:val="26"/>
        </w:rPr>
        <w:t xml:space="preserve"> Nieves denied any gang affiliation and said he did not want any problems.  </w:t>
      </w:r>
      <w:r w:rsidRPr="000B1431">
        <w:rPr>
          <w:szCs w:val="26"/>
        </w:rPr>
        <w:t>Reyes</w:t>
      </w:r>
      <w:r w:rsidRPr="000B1431" w:rsidR="00977342">
        <w:rPr>
          <w:szCs w:val="26"/>
        </w:rPr>
        <w:t xml:space="preserve"> </w:t>
      </w:r>
      <w:r w:rsidRPr="000B1431">
        <w:rPr>
          <w:szCs w:val="26"/>
        </w:rPr>
        <w:t>said</w:t>
      </w:r>
      <w:r w:rsidRPr="000B1431" w:rsidR="00977342">
        <w:rPr>
          <w:szCs w:val="26"/>
        </w:rPr>
        <w:t xml:space="preserve"> he was from “the Troop” and </w:t>
      </w:r>
      <w:r w:rsidRPr="000B1431">
        <w:rPr>
          <w:szCs w:val="26"/>
        </w:rPr>
        <w:t>challenged Nieves to a fight</w:t>
      </w:r>
      <w:r w:rsidR="001B055F">
        <w:rPr>
          <w:szCs w:val="26"/>
        </w:rPr>
        <w:t>.</w:t>
      </w:r>
      <w:r w:rsidRPr="000B1431">
        <w:rPr>
          <w:szCs w:val="26"/>
        </w:rPr>
        <w:t xml:space="preserve"> </w:t>
      </w:r>
      <w:r w:rsidR="001B055F">
        <w:rPr>
          <w:szCs w:val="26"/>
        </w:rPr>
        <w:t xml:space="preserve"> W</w:t>
      </w:r>
      <w:r w:rsidRPr="000B1431" w:rsidR="00977342">
        <w:rPr>
          <w:szCs w:val="26"/>
        </w:rPr>
        <w:t xml:space="preserve">hen Nieves saw </w:t>
      </w:r>
      <w:r w:rsidRPr="000B1431">
        <w:rPr>
          <w:szCs w:val="26"/>
        </w:rPr>
        <w:t>Reyes</w:t>
      </w:r>
      <w:r w:rsidRPr="000B1431" w:rsidR="00977342">
        <w:rPr>
          <w:szCs w:val="26"/>
        </w:rPr>
        <w:t xml:space="preserve"> reach to pull something from his waistband, he fled.  </w:t>
      </w:r>
      <w:r w:rsidRPr="000B1431">
        <w:rPr>
          <w:szCs w:val="26"/>
        </w:rPr>
        <w:t xml:space="preserve">Reyes and </w:t>
      </w:r>
      <w:r w:rsidRPr="000B1431" w:rsidR="00977342">
        <w:rPr>
          <w:szCs w:val="26"/>
        </w:rPr>
        <w:t>his companions caught Nieves about two blocks away</w:t>
      </w:r>
      <w:r w:rsidRPr="000B1431">
        <w:rPr>
          <w:szCs w:val="26"/>
        </w:rPr>
        <w:t xml:space="preserve">, and the group assaulted him.  </w:t>
      </w:r>
      <w:r w:rsidRPr="000B1431" w:rsidR="00977342">
        <w:rPr>
          <w:szCs w:val="26"/>
        </w:rPr>
        <w:t>A</w:t>
      </w:r>
      <w:r w:rsidRPr="000B1431">
        <w:rPr>
          <w:szCs w:val="26"/>
        </w:rPr>
        <w:t>t one point, Reyes</w:t>
      </w:r>
      <w:r w:rsidRPr="000B1431" w:rsidR="00977342">
        <w:rPr>
          <w:szCs w:val="26"/>
        </w:rPr>
        <w:t xml:space="preserve"> stood behind Nieves and held a gun </w:t>
      </w:r>
      <w:r w:rsidRPr="000B1431" w:rsidR="0004478D">
        <w:rPr>
          <w:szCs w:val="26"/>
        </w:rPr>
        <w:t>to</w:t>
      </w:r>
      <w:r w:rsidRPr="000B1431" w:rsidR="00977342">
        <w:rPr>
          <w:szCs w:val="26"/>
        </w:rPr>
        <w:t xml:space="preserve"> the back of his neck.  Nieves </w:t>
      </w:r>
      <w:r w:rsidRPr="000B1431" w:rsidR="0004478D">
        <w:rPr>
          <w:szCs w:val="26"/>
        </w:rPr>
        <w:t xml:space="preserve">managed to hit Reyes and grab the weapon.  </w:t>
      </w:r>
      <w:r w:rsidRPr="000B1431" w:rsidR="00B67878">
        <w:rPr>
          <w:szCs w:val="26"/>
        </w:rPr>
        <w:t xml:space="preserve">Reyes and the others fled.  </w:t>
      </w:r>
    </w:p>
    <w:p w:rsidR="000F0B3A" w:rsidRPr="000B1431" w:rsidP="0034639C" w14:paraId="2FF40091" w14:textId="6A4304DA">
      <w:pPr>
        <w:ind w:firstLine="720"/>
        <w:rPr>
          <w:szCs w:val="26"/>
          <w:highlight w:val="yellow"/>
        </w:rPr>
      </w:pPr>
      <w:r w:rsidRPr="000B1431">
        <w:rPr>
          <w:szCs w:val="26"/>
        </w:rPr>
        <w:t xml:space="preserve">Two days later, when </w:t>
      </w:r>
      <w:r w:rsidRPr="000B1431" w:rsidR="0004478D">
        <w:rPr>
          <w:szCs w:val="26"/>
        </w:rPr>
        <w:t xml:space="preserve">Reyes </w:t>
      </w:r>
      <w:r w:rsidRPr="000B1431">
        <w:rPr>
          <w:szCs w:val="26"/>
        </w:rPr>
        <w:t xml:space="preserve">was arrested, he admitted </w:t>
      </w:r>
      <w:r w:rsidRPr="000B1431" w:rsidR="0004478D">
        <w:rPr>
          <w:szCs w:val="26"/>
        </w:rPr>
        <w:t>he was</w:t>
      </w:r>
      <w:r w:rsidRPr="000B1431">
        <w:rPr>
          <w:szCs w:val="26"/>
        </w:rPr>
        <w:t xml:space="preserve"> at the scene of the shooting</w:t>
      </w:r>
      <w:r w:rsidRPr="000B1431" w:rsidR="0004478D">
        <w:rPr>
          <w:szCs w:val="26"/>
        </w:rPr>
        <w:t>, saying</w:t>
      </w:r>
      <w:r w:rsidRPr="000B1431">
        <w:rPr>
          <w:szCs w:val="26"/>
        </w:rPr>
        <w:t xml:space="preserve">, “I didn’t shoot, but because I was there with my homies, I’m going to get charged with murder too.”  </w:t>
      </w:r>
      <w:r w:rsidRPr="000B1431">
        <w:rPr>
          <w:szCs w:val="26"/>
        </w:rPr>
        <w:t xml:space="preserve">Reyes was charged with murder.  </w:t>
      </w:r>
      <w:r w:rsidRPr="000B1431" w:rsidR="00B67878">
        <w:rPr>
          <w:szCs w:val="26"/>
        </w:rPr>
        <w:t>C</w:t>
      </w:r>
      <w:r w:rsidRPr="000B1431">
        <w:rPr>
          <w:szCs w:val="26"/>
        </w:rPr>
        <w:t>onced</w:t>
      </w:r>
      <w:r w:rsidRPr="000B1431" w:rsidR="00B67878">
        <w:rPr>
          <w:szCs w:val="26"/>
        </w:rPr>
        <w:t>ing</w:t>
      </w:r>
      <w:r w:rsidRPr="000B1431">
        <w:rPr>
          <w:szCs w:val="26"/>
        </w:rPr>
        <w:t xml:space="preserve"> that </w:t>
      </w:r>
      <w:r w:rsidRPr="000B1431" w:rsidR="00B67878">
        <w:rPr>
          <w:szCs w:val="26"/>
        </w:rPr>
        <w:t xml:space="preserve">Reyes </w:t>
      </w:r>
      <w:r w:rsidRPr="000B1431">
        <w:rPr>
          <w:szCs w:val="26"/>
        </w:rPr>
        <w:t>was not the shooter</w:t>
      </w:r>
      <w:r w:rsidRPr="000B1431" w:rsidR="00B67878">
        <w:rPr>
          <w:szCs w:val="26"/>
        </w:rPr>
        <w:t>, the prosecutor</w:t>
      </w:r>
      <w:r w:rsidRPr="000B1431">
        <w:rPr>
          <w:szCs w:val="26"/>
        </w:rPr>
        <w:t xml:space="preserve"> proceeded on two theories of </w:t>
      </w:r>
      <w:r w:rsidRPr="000B1431" w:rsidR="00C1222E">
        <w:rPr>
          <w:szCs w:val="26"/>
        </w:rPr>
        <w:t xml:space="preserve">derivative </w:t>
      </w:r>
      <w:r w:rsidRPr="000B1431">
        <w:rPr>
          <w:szCs w:val="26"/>
        </w:rPr>
        <w:t xml:space="preserve">liability.  First, the prosecutor argued that Reyes </w:t>
      </w:r>
      <w:r w:rsidRPr="000B1431" w:rsidR="00F31924">
        <w:rPr>
          <w:szCs w:val="26"/>
        </w:rPr>
        <w:t xml:space="preserve">aided and abetted the crime of </w:t>
      </w:r>
      <w:r w:rsidRPr="000B1431">
        <w:rPr>
          <w:szCs w:val="26"/>
        </w:rPr>
        <w:t xml:space="preserve">disturbing the peace or that he conspired with Lopez to commit either disturbing the peace or assault, and that murder was a natural and probable consequence of one of those </w:t>
      </w:r>
      <w:r w:rsidRPr="000B1431" w:rsidR="00070332">
        <w:rPr>
          <w:szCs w:val="26"/>
        </w:rPr>
        <w:t xml:space="preserve">target </w:t>
      </w:r>
      <w:r w:rsidRPr="000B1431">
        <w:rPr>
          <w:szCs w:val="26"/>
        </w:rPr>
        <w:t>offenses.  Alternatively, the prosecutor argued that Reyes directly aided and abetted the murder by “backing up fellow gang members” during the killing</w:t>
      </w:r>
      <w:r w:rsidRPr="000B1431" w:rsidR="003A2B8D">
        <w:rPr>
          <w:szCs w:val="26"/>
        </w:rPr>
        <w:t xml:space="preserve">.  </w:t>
      </w:r>
      <w:r w:rsidRPr="000B1431">
        <w:rPr>
          <w:szCs w:val="26"/>
        </w:rPr>
        <w:t xml:space="preserve">This theory relied on the testimony of David Rondou, a Santa Ana </w:t>
      </w:r>
      <w:r w:rsidR="007D7D42">
        <w:rPr>
          <w:szCs w:val="26"/>
        </w:rPr>
        <w:t>P</w:t>
      </w:r>
      <w:r w:rsidRPr="000B1431">
        <w:rPr>
          <w:szCs w:val="26"/>
        </w:rPr>
        <w:t xml:space="preserve">olice </w:t>
      </w:r>
      <w:r w:rsidR="007D7D42">
        <w:rPr>
          <w:szCs w:val="26"/>
        </w:rPr>
        <w:t>D</w:t>
      </w:r>
      <w:r w:rsidRPr="000B1431">
        <w:rPr>
          <w:szCs w:val="26"/>
        </w:rPr>
        <w:t xml:space="preserve">epartment </w:t>
      </w:r>
      <w:r w:rsidRPr="000B1431" w:rsidR="008D1B06">
        <w:rPr>
          <w:szCs w:val="26"/>
        </w:rPr>
        <w:t xml:space="preserve">detective </w:t>
      </w:r>
      <w:r w:rsidRPr="000B1431">
        <w:rPr>
          <w:szCs w:val="26"/>
        </w:rPr>
        <w:t xml:space="preserve">who testified for the prosecution as a gang expert.  </w:t>
      </w:r>
      <w:r w:rsidRPr="000B1431" w:rsidR="00664D95">
        <w:rPr>
          <w:szCs w:val="26"/>
        </w:rPr>
        <w:t xml:space="preserve">Detective </w:t>
      </w:r>
      <w:r w:rsidRPr="000B1431">
        <w:rPr>
          <w:szCs w:val="26"/>
        </w:rPr>
        <w:t xml:space="preserve">Rondou testified that when gang members accompany a fellow gang member who commits a murder, “[t]hey’re there for backup.”  He explained that among street gangs, having backup means “taking other members of that gang or entrusted members of that gang with you to commit some sort of crime in case you need help.  They’re </w:t>
      </w:r>
      <w:r w:rsidRPr="000B1431">
        <w:rPr>
          <w:szCs w:val="26"/>
        </w:rPr>
        <w:t xml:space="preserve">there to support whatever you’re doing.  And if you need something, whether it be fighting, getting the gun and shooting, whatever need be for the incident you’re involved in, those guys that are there for backup are there to support whatever you’re doing.”  </w:t>
      </w:r>
    </w:p>
    <w:p w:rsidR="000F0B3A" w:rsidRPr="000B1431" w:rsidP="000B1431" w14:paraId="3EC694D1" w14:textId="2056BDDD">
      <w:pPr>
        <w:ind w:firstLine="720"/>
        <w:rPr>
          <w:szCs w:val="26"/>
        </w:rPr>
      </w:pPr>
      <w:r w:rsidRPr="000B1431">
        <w:rPr>
          <w:szCs w:val="26"/>
        </w:rPr>
        <w:t xml:space="preserve">There was no evidence that Reyes had expressly agreed to serve as backup while Lopez committed the murder.  The prosecutor argued that there was no need to show an express agreement because the jury could “infer from the surrounding facts” that Reyes was acting as backup.  The prosecutor pointed to Reyes’s “presence” at the time of the shooting and earlier in the park when Lopez showed the gun to the </w:t>
      </w:r>
      <w:r w:rsidR="008B4403">
        <w:rPr>
          <w:szCs w:val="26"/>
        </w:rPr>
        <w:t>others</w:t>
      </w:r>
      <w:r w:rsidRPr="000B1431">
        <w:rPr>
          <w:szCs w:val="26"/>
        </w:rPr>
        <w:t>; his “companionship” with Lopez</w:t>
      </w:r>
      <w:r w:rsidRPr="000B1431" w:rsidR="00070332">
        <w:rPr>
          <w:szCs w:val="26"/>
        </w:rPr>
        <w:t>,</w:t>
      </w:r>
      <w:r w:rsidRPr="000B1431">
        <w:rPr>
          <w:szCs w:val="26"/>
        </w:rPr>
        <w:t xml:space="preserve"> i.e., “[t]he fact that they’re homies”; his “flight from the scene” after the killing; and the fact that Reyes subsequently possessed the murder weapon and used it during a separate assault later that day.</w:t>
      </w:r>
    </w:p>
    <w:p w:rsidR="000F0B3A" w:rsidRPr="000B1431" w:rsidP="000B1431" w14:paraId="6347DD1B" w14:textId="746328D6">
      <w:pPr>
        <w:ind w:firstLine="720"/>
        <w:rPr>
          <w:szCs w:val="26"/>
          <w:highlight w:val="yellow"/>
        </w:rPr>
      </w:pPr>
      <w:r w:rsidRPr="000B1431">
        <w:rPr>
          <w:szCs w:val="26"/>
        </w:rPr>
        <w:t>Reyes was convicted of second degree murder and street terrorism, as well as enhancements for committing the murder for the benefit of a gang and for vicariously discharging a firearm resulting in death.  He was sentenced to 40 years to life in prison for the murder and firearm enhancement, with the gang enhancement stayed and a two</w:t>
      </w:r>
      <w:r w:rsidRPr="000B1431" w:rsidR="00F375EC">
        <w:rPr>
          <w:szCs w:val="26"/>
        </w:rPr>
        <w:noBreakHyphen/>
      </w:r>
      <w:r w:rsidRPr="000B1431">
        <w:rPr>
          <w:szCs w:val="26"/>
        </w:rPr>
        <w:t xml:space="preserve">year sentence for the street terrorism charge imposed concurrently.  </w:t>
      </w:r>
    </w:p>
    <w:p w:rsidR="00954496" w:rsidRPr="000B1431" w:rsidP="000B1431" w14:paraId="4AEBA1A3" w14:textId="1339CE00">
      <w:pPr>
        <w:ind w:firstLine="720"/>
        <w:rPr>
          <w:szCs w:val="26"/>
        </w:rPr>
      </w:pPr>
      <w:r w:rsidRPr="000B1431">
        <w:rPr>
          <w:szCs w:val="26"/>
        </w:rPr>
        <w:t>Twelve years after Reyes was sentenced, the Legislature enacted Senate Bill No. 1437 “ ‘to more equitably sentence offenders in accordance with their involvement in homicides.’ ”  (</w:t>
      </w:r>
      <w:r w:rsidRPr="000B1431">
        <w:rPr>
          <w:i/>
          <w:iCs/>
          <w:szCs w:val="26"/>
        </w:rPr>
        <w:t>People v. Gentile</w:t>
      </w:r>
      <w:r w:rsidRPr="000B1431">
        <w:rPr>
          <w:szCs w:val="26"/>
        </w:rPr>
        <w:t xml:space="preserve"> (2020) 10 Cal.5th 830, 839</w:t>
      </w:r>
      <w:r w:rsidRPr="000B1431" w:rsidR="00B516F5">
        <w:rPr>
          <w:szCs w:val="26"/>
        </w:rPr>
        <w:t xml:space="preserve"> (</w:t>
      </w:r>
      <w:r w:rsidRPr="000B1431" w:rsidR="00B516F5">
        <w:rPr>
          <w:i/>
          <w:iCs/>
          <w:szCs w:val="26"/>
        </w:rPr>
        <w:t>Gentile</w:t>
      </w:r>
      <w:r w:rsidRPr="000B1431" w:rsidR="00B516F5">
        <w:rPr>
          <w:szCs w:val="26"/>
        </w:rPr>
        <w:t>)</w:t>
      </w:r>
      <w:r w:rsidRPr="000B1431">
        <w:rPr>
          <w:szCs w:val="26"/>
        </w:rPr>
        <w:t xml:space="preserve">.)  As relevant here, the </w:t>
      </w:r>
      <w:r w:rsidR="009B2FDF">
        <w:rPr>
          <w:szCs w:val="26"/>
        </w:rPr>
        <w:t>bill</w:t>
      </w:r>
      <w:r w:rsidRPr="000B1431">
        <w:rPr>
          <w:szCs w:val="26"/>
        </w:rPr>
        <w:t xml:space="preserve"> amended section 188 to provide that, except in cases of felony murder, “in order to be convicted of murder, a principal in a crime shall act with malice aforethought.”  </w:t>
      </w:r>
      <w:bookmarkStart w:id="2" w:name="_Hlk133933931"/>
      <w:r w:rsidRPr="000B1431">
        <w:rPr>
          <w:szCs w:val="26"/>
        </w:rPr>
        <w:t>(§ 188, subd. (a)(3)</w:t>
      </w:r>
      <w:r w:rsidR="009B2FDF">
        <w:rPr>
          <w:szCs w:val="26"/>
        </w:rPr>
        <w:t xml:space="preserve">, as amended by Stats. 2018, ch. 1015, </w:t>
      </w:r>
      <w:r w:rsidRPr="000B1431" w:rsidR="009B2FDF">
        <w:rPr>
          <w:szCs w:val="26"/>
        </w:rPr>
        <w:t>§</w:t>
      </w:r>
      <w:r w:rsidR="007E425B">
        <w:rPr>
          <w:szCs w:val="26"/>
        </w:rPr>
        <w:t> </w:t>
      </w:r>
      <w:r w:rsidR="009B2FDF">
        <w:rPr>
          <w:szCs w:val="26"/>
        </w:rPr>
        <w:t>2</w:t>
      </w:r>
      <w:r w:rsidRPr="000B1431">
        <w:rPr>
          <w:szCs w:val="26"/>
        </w:rPr>
        <w:t xml:space="preserve">.)  </w:t>
      </w:r>
      <w:bookmarkEnd w:id="2"/>
      <w:r w:rsidRPr="000B1431" w:rsidR="00B65CEA">
        <w:rPr>
          <w:szCs w:val="26"/>
        </w:rPr>
        <w:t>T</w:t>
      </w:r>
      <w:r w:rsidRPr="000B1431">
        <w:rPr>
          <w:szCs w:val="26"/>
        </w:rPr>
        <w:t>his change “bar</w:t>
      </w:r>
      <w:r w:rsidRPr="000B1431" w:rsidR="00B65CEA">
        <w:rPr>
          <w:szCs w:val="26"/>
        </w:rPr>
        <w:t>s</w:t>
      </w:r>
      <w:r w:rsidRPr="000B1431">
        <w:rPr>
          <w:szCs w:val="26"/>
        </w:rPr>
        <w:t xml:space="preserve"> a conviction for first or second degree murder under a natural and probable consequences theory.”  (</w:t>
      </w:r>
      <w:r w:rsidRPr="000B1431">
        <w:rPr>
          <w:i/>
          <w:iCs/>
          <w:szCs w:val="26"/>
        </w:rPr>
        <w:t>Gentile</w:t>
      </w:r>
      <w:r w:rsidRPr="000B1431">
        <w:rPr>
          <w:szCs w:val="26"/>
        </w:rPr>
        <w:t>, at p.</w:t>
      </w:r>
      <w:r w:rsidRPr="000B1431" w:rsidR="001F5FBB">
        <w:rPr>
          <w:szCs w:val="26"/>
        </w:rPr>
        <w:t> </w:t>
      </w:r>
      <w:r w:rsidRPr="000B1431">
        <w:rPr>
          <w:szCs w:val="26"/>
        </w:rPr>
        <w:t>8</w:t>
      </w:r>
      <w:r w:rsidRPr="000B1431" w:rsidR="00C73297">
        <w:rPr>
          <w:szCs w:val="26"/>
        </w:rPr>
        <w:t>46</w:t>
      </w:r>
      <w:r w:rsidRPr="000B1431" w:rsidR="001F5FBB">
        <w:rPr>
          <w:szCs w:val="26"/>
        </w:rPr>
        <w:t>.</w:t>
      </w:r>
      <w:r w:rsidRPr="000B1431">
        <w:rPr>
          <w:szCs w:val="26"/>
        </w:rPr>
        <w:t>)</w:t>
      </w:r>
    </w:p>
    <w:p w:rsidR="000F0B3A" w:rsidRPr="000B1431" w:rsidP="000B1431" w14:paraId="133807F1" w14:textId="608CEE0A">
      <w:pPr>
        <w:ind w:firstLine="720"/>
        <w:rPr>
          <w:szCs w:val="26"/>
        </w:rPr>
      </w:pPr>
      <w:r w:rsidRPr="000B1431">
        <w:rPr>
          <w:szCs w:val="26"/>
        </w:rPr>
        <w:t xml:space="preserve">Reyes petitioned the </w:t>
      </w:r>
      <w:r w:rsidRPr="000B1431" w:rsidR="007B4330">
        <w:rPr>
          <w:szCs w:val="26"/>
        </w:rPr>
        <w:t xml:space="preserve">trial </w:t>
      </w:r>
      <w:r w:rsidRPr="000B1431">
        <w:rPr>
          <w:szCs w:val="26"/>
        </w:rPr>
        <w:t xml:space="preserve">court for resentencing under </w:t>
      </w:r>
      <w:r w:rsidR="009B2FDF">
        <w:rPr>
          <w:szCs w:val="26"/>
        </w:rPr>
        <w:t xml:space="preserve">former </w:t>
      </w:r>
      <w:r w:rsidRPr="000B1431" w:rsidR="009B2FDF">
        <w:rPr>
          <w:szCs w:val="26"/>
        </w:rPr>
        <w:t>section 1170.95</w:t>
      </w:r>
      <w:r w:rsidR="002429BB">
        <w:rPr>
          <w:szCs w:val="26"/>
        </w:rPr>
        <w:t xml:space="preserve"> (now </w:t>
      </w:r>
      <w:r w:rsidRPr="000B1431" w:rsidR="002429BB">
        <w:rPr>
          <w:szCs w:val="26"/>
        </w:rPr>
        <w:t>§ 1172.6</w:t>
      </w:r>
      <w:r w:rsidR="002429BB">
        <w:rPr>
          <w:szCs w:val="26"/>
        </w:rPr>
        <w:t>)</w:t>
      </w:r>
      <w:r w:rsidRPr="000B1431">
        <w:rPr>
          <w:szCs w:val="26"/>
        </w:rPr>
        <w:t>, arguing that he was convicted of murder under the now</w:t>
      </w:r>
      <w:r w:rsidRPr="000B1431">
        <w:rPr>
          <w:szCs w:val="26"/>
        </w:rPr>
        <w:noBreakHyphen/>
        <w:t xml:space="preserve">invalid natural and probable consequences theory.  </w:t>
      </w:r>
      <w:r w:rsidRPr="000B1431" w:rsidR="00DE3465">
        <w:rPr>
          <w:szCs w:val="26"/>
        </w:rPr>
        <w:t>(</w:t>
      </w:r>
      <w:r w:rsidR="002429BB">
        <w:rPr>
          <w:szCs w:val="26"/>
        </w:rPr>
        <w:t xml:space="preserve">For clarity, we refer simply to </w:t>
      </w:r>
      <w:r w:rsidRPr="000B1431" w:rsidR="00170D2C">
        <w:rPr>
          <w:szCs w:val="26"/>
        </w:rPr>
        <w:t>§ </w:t>
      </w:r>
      <w:r w:rsidRPr="000B1431" w:rsidR="00DE3465">
        <w:rPr>
          <w:szCs w:val="26"/>
        </w:rPr>
        <w:t>1172.6.)</w:t>
      </w:r>
      <w:r w:rsidRPr="000B1431">
        <w:rPr>
          <w:szCs w:val="26"/>
        </w:rPr>
        <w:t xml:space="preserve">  The court appointed counsel for Reyes and held a hearing, at which Reyes argued that the evidence did not support a murder conviction under any valid theory because it did not show that he committed “an act that actually</w:t>
      </w:r>
      <w:r w:rsidRPr="000B1431" w:rsidR="003A2B8D">
        <w:rPr>
          <w:szCs w:val="26"/>
        </w:rPr>
        <w:t> </w:t>
      </w:r>
      <w:r w:rsidRPr="000B1431" w:rsidR="000825BE">
        <w:rPr>
          <w:szCs w:val="26"/>
        </w:rPr>
        <w:t xml:space="preserve">. . . </w:t>
      </w:r>
      <w:r w:rsidRPr="000B1431">
        <w:rPr>
          <w:szCs w:val="26"/>
        </w:rPr>
        <w:t>help</w:t>
      </w:r>
      <w:r w:rsidRPr="000B1431" w:rsidR="000825BE">
        <w:rPr>
          <w:szCs w:val="26"/>
        </w:rPr>
        <w:t>[ed]</w:t>
      </w:r>
      <w:r w:rsidRPr="000B1431">
        <w:rPr>
          <w:szCs w:val="26"/>
        </w:rPr>
        <w:t>, encourage</w:t>
      </w:r>
      <w:r w:rsidRPr="000B1431" w:rsidR="000825BE">
        <w:rPr>
          <w:szCs w:val="26"/>
        </w:rPr>
        <w:t>[d]</w:t>
      </w:r>
      <w:r w:rsidRPr="000B1431">
        <w:rPr>
          <w:szCs w:val="26"/>
        </w:rPr>
        <w:t xml:space="preserve">, </w:t>
      </w:r>
      <w:r w:rsidRPr="000B1431" w:rsidR="009E400B">
        <w:rPr>
          <w:szCs w:val="26"/>
        </w:rPr>
        <w:t xml:space="preserve">[or] </w:t>
      </w:r>
      <w:r w:rsidRPr="000B1431">
        <w:rPr>
          <w:szCs w:val="26"/>
        </w:rPr>
        <w:t>facilitate</w:t>
      </w:r>
      <w:r w:rsidRPr="000B1431" w:rsidR="000825BE">
        <w:rPr>
          <w:szCs w:val="26"/>
        </w:rPr>
        <w:t>[d]</w:t>
      </w:r>
      <w:r w:rsidRPr="000B1431">
        <w:rPr>
          <w:szCs w:val="26"/>
        </w:rPr>
        <w:t xml:space="preserve"> Francisco [Lopez] in the shooting.”  The court denied </w:t>
      </w:r>
      <w:r w:rsidRPr="000B1431" w:rsidR="0092434E">
        <w:rPr>
          <w:szCs w:val="26"/>
        </w:rPr>
        <w:t>the petition</w:t>
      </w:r>
      <w:r w:rsidRPr="000B1431">
        <w:rPr>
          <w:szCs w:val="26"/>
        </w:rPr>
        <w:t xml:space="preserve">, finding that Reyes was </w:t>
      </w:r>
      <w:r w:rsidRPr="000B1431" w:rsidR="00B516F5">
        <w:rPr>
          <w:szCs w:val="26"/>
        </w:rPr>
        <w:t xml:space="preserve">guilty </w:t>
      </w:r>
      <w:r w:rsidRPr="000B1431">
        <w:rPr>
          <w:szCs w:val="26"/>
        </w:rPr>
        <w:t xml:space="preserve">beyond a reasonable doubt </w:t>
      </w:r>
      <w:r w:rsidRPr="000B1431" w:rsidR="005559F1">
        <w:rPr>
          <w:szCs w:val="26"/>
        </w:rPr>
        <w:t>of</w:t>
      </w:r>
      <w:r w:rsidRPr="000B1431">
        <w:rPr>
          <w:szCs w:val="26"/>
        </w:rPr>
        <w:t xml:space="preserve"> second degree murder.  </w:t>
      </w:r>
      <w:r w:rsidRPr="000B1431" w:rsidR="0098017F">
        <w:rPr>
          <w:szCs w:val="26"/>
        </w:rPr>
        <w:t>The court was “guided by</w:t>
      </w:r>
      <w:r w:rsidRPr="000B1431" w:rsidR="00BA2DFE">
        <w:rPr>
          <w:szCs w:val="26"/>
        </w:rPr>
        <w:t xml:space="preserve"> the principles that are in </w:t>
      </w:r>
      <w:r w:rsidRPr="000B1431" w:rsidR="0092434E">
        <w:rPr>
          <w:szCs w:val="26"/>
        </w:rPr>
        <w:t>[CALCRIM No. </w:t>
      </w:r>
      <w:r w:rsidRPr="000B1431" w:rsidR="00BA2DFE">
        <w:rPr>
          <w:szCs w:val="26"/>
        </w:rPr>
        <w:t>520</w:t>
      </w:r>
      <w:r w:rsidRPr="000B1431" w:rsidR="0092434E">
        <w:rPr>
          <w:szCs w:val="26"/>
        </w:rPr>
        <w:t>]</w:t>
      </w:r>
      <w:r w:rsidRPr="000B1431" w:rsidR="00BA2DFE">
        <w:rPr>
          <w:szCs w:val="26"/>
        </w:rPr>
        <w:t>, specifically implied malice.</w:t>
      </w:r>
      <w:r w:rsidRPr="000B1431" w:rsidR="0098017F">
        <w:rPr>
          <w:szCs w:val="26"/>
        </w:rPr>
        <w:t xml:space="preserve">” </w:t>
      </w:r>
      <w:r w:rsidRPr="000B1431" w:rsidR="00BA2DFE">
        <w:rPr>
          <w:szCs w:val="26"/>
        </w:rPr>
        <w:t xml:space="preserve"> </w:t>
      </w:r>
      <w:r w:rsidRPr="000B1431">
        <w:rPr>
          <w:szCs w:val="26"/>
        </w:rPr>
        <w:t xml:space="preserve">It found that “the act in this case is the defendant, along with several other gang members, one of which </w:t>
      </w:r>
      <w:r w:rsidRPr="000B1431" w:rsidR="008C5740">
        <w:rPr>
          <w:szCs w:val="26"/>
        </w:rPr>
        <w:t>[was]</w:t>
      </w:r>
      <w:r w:rsidRPr="000B1431">
        <w:rPr>
          <w:szCs w:val="26"/>
        </w:rPr>
        <w:t xml:space="preserve"> armed, traveled to rival gang territory</w:t>
      </w:r>
      <w:r w:rsidRPr="000B1431" w:rsidR="00AC0D02">
        <w:rPr>
          <w:szCs w:val="26"/>
        </w:rPr>
        <w:t>,</w:t>
      </w:r>
      <w:r w:rsidRPr="000B1431">
        <w:rPr>
          <w:szCs w:val="26"/>
        </w:rPr>
        <w:t>”</w:t>
      </w:r>
      <w:r w:rsidRPr="000B1431" w:rsidR="00AC0D02">
        <w:rPr>
          <w:szCs w:val="26"/>
        </w:rPr>
        <w:t xml:space="preserve"> that </w:t>
      </w:r>
      <w:r w:rsidRPr="000B1431" w:rsidR="005F3BEF">
        <w:rPr>
          <w:szCs w:val="26"/>
        </w:rPr>
        <w:t xml:space="preserve">the natural and probable consequence of </w:t>
      </w:r>
      <w:r w:rsidRPr="000B1431" w:rsidR="00AC0D02">
        <w:rPr>
          <w:szCs w:val="26"/>
        </w:rPr>
        <w:t xml:space="preserve">their doing so was dangerous to human life, that </w:t>
      </w:r>
      <w:r w:rsidRPr="000B1431" w:rsidR="00056D5B">
        <w:rPr>
          <w:szCs w:val="26"/>
        </w:rPr>
        <w:t xml:space="preserve">Reyes was aware </w:t>
      </w:r>
      <w:r w:rsidRPr="000B1431" w:rsidR="005F3BEF">
        <w:rPr>
          <w:szCs w:val="26"/>
        </w:rPr>
        <w:t>the act was dangerous</w:t>
      </w:r>
      <w:r w:rsidRPr="000B1431" w:rsidR="00C73297">
        <w:rPr>
          <w:szCs w:val="26"/>
        </w:rPr>
        <w:t xml:space="preserve"> to human life</w:t>
      </w:r>
      <w:r w:rsidRPr="000B1431" w:rsidR="005F3BEF">
        <w:rPr>
          <w:szCs w:val="26"/>
        </w:rPr>
        <w:t xml:space="preserve">, and </w:t>
      </w:r>
      <w:r w:rsidRPr="000B1431" w:rsidR="009E400B">
        <w:rPr>
          <w:szCs w:val="26"/>
        </w:rPr>
        <w:t xml:space="preserve">that he </w:t>
      </w:r>
      <w:r w:rsidRPr="000B1431" w:rsidR="005F3BEF">
        <w:rPr>
          <w:szCs w:val="26"/>
        </w:rPr>
        <w:t>deliberately acted with conscious disregard for</w:t>
      </w:r>
      <w:r w:rsidRPr="000B1431" w:rsidR="008C5740">
        <w:rPr>
          <w:szCs w:val="26"/>
        </w:rPr>
        <w:t xml:space="preserve"> </w:t>
      </w:r>
      <w:r w:rsidRPr="000B1431" w:rsidR="00071151">
        <w:rPr>
          <w:szCs w:val="26"/>
        </w:rPr>
        <w:t>that</w:t>
      </w:r>
      <w:r w:rsidRPr="000B1431" w:rsidR="00056D5B">
        <w:rPr>
          <w:szCs w:val="26"/>
        </w:rPr>
        <w:t xml:space="preserve"> danger.</w:t>
      </w:r>
      <w:r w:rsidRPr="000B1431">
        <w:rPr>
          <w:szCs w:val="26"/>
        </w:rPr>
        <w:t xml:space="preserve">  Reyes appealed, arguing in part that “there was no evidence of any acts taken by appellant to aid or assist in or facilitate the commission of the murder.”  </w:t>
      </w:r>
      <w:r w:rsidRPr="000B1431" w:rsidR="00C74625">
        <w:rPr>
          <w:szCs w:val="26"/>
        </w:rPr>
        <w:t xml:space="preserve">After extensively quoting the </w:t>
      </w:r>
      <w:r w:rsidRPr="000B1431" w:rsidR="00D658DE">
        <w:rPr>
          <w:szCs w:val="26"/>
        </w:rPr>
        <w:t>trial</w:t>
      </w:r>
      <w:r w:rsidRPr="000B1431" w:rsidR="00C74625">
        <w:rPr>
          <w:szCs w:val="26"/>
        </w:rPr>
        <w:t xml:space="preserve"> court’s finding</w:t>
      </w:r>
      <w:r w:rsidRPr="000B1431" w:rsidR="00B65CEA">
        <w:rPr>
          <w:szCs w:val="26"/>
        </w:rPr>
        <w:t>s</w:t>
      </w:r>
      <w:r w:rsidRPr="000B1431" w:rsidR="00031B47">
        <w:rPr>
          <w:szCs w:val="26"/>
        </w:rPr>
        <w:t>,</w:t>
      </w:r>
      <w:r w:rsidRPr="000B1431" w:rsidR="00C74625">
        <w:rPr>
          <w:szCs w:val="26"/>
        </w:rPr>
        <w:t xml:space="preserve"> </w:t>
      </w:r>
      <w:r w:rsidRPr="000B1431" w:rsidR="00031B47">
        <w:rPr>
          <w:szCs w:val="26"/>
        </w:rPr>
        <w:t>t</w:t>
      </w:r>
      <w:r w:rsidRPr="000B1431">
        <w:rPr>
          <w:szCs w:val="26"/>
        </w:rPr>
        <w:t xml:space="preserve">he Court of Appeal </w:t>
      </w:r>
      <w:r w:rsidRPr="000B1431" w:rsidR="00031B47">
        <w:rPr>
          <w:szCs w:val="26"/>
        </w:rPr>
        <w:t xml:space="preserve">held </w:t>
      </w:r>
      <w:r w:rsidRPr="000B1431">
        <w:rPr>
          <w:szCs w:val="26"/>
        </w:rPr>
        <w:t xml:space="preserve">that the evidence was sufficient to establish Reyes’s </w:t>
      </w:r>
      <w:r w:rsidRPr="000B1431" w:rsidR="00C044D9">
        <w:rPr>
          <w:szCs w:val="26"/>
        </w:rPr>
        <w:t>guilt of</w:t>
      </w:r>
      <w:r w:rsidRPr="000B1431">
        <w:rPr>
          <w:szCs w:val="26"/>
        </w:rPr>
        <w:t xml:space="preserve"> </w:t>
      </w:r>
      <w:r w:rsidRPr="000B1431" w:rsidR="00EB3C67">
        <w:rPr>
          <w:szCs w:val="26"/>
        </w:rPr>
        <w:t xml:space="preserve">second degree </w:t>
      </w:r>
      <w:r w:rsidRPr="000B1431">
        <w:rPr>
          <w:szCs w:val="26"/>
        </w:rPr>
        <w:t>murder</w:t>
      </w:r>
      <w:r w:rsidRPr="000B1431" w:rsidR="00B65CEA">
        <w:rPr>
          <w:szCs w:val="26"/>
        </w:rPr>
        <w:t xml:space="preserve"> and affirmed</w:t>
      </w:r>
      <w:r w:rsidRPr="000B1431">
        <w:rPr>
          <w:szCs w:val="26"/>
        </w:rPr>
        <w:t xml:space="preserve">.  </w:t>
      </w:r>
      <w:r w:rsidRPr="000B1431" w:rsidR="007B4330">
        <w:rPr>
          <w:szCs w:val="26"/>
        </w:rPr>
        <w:t>We granted review.</w:t>
      </w:r>
    </w:p>
    <w:p w:rsidR="000F0B3A" w:rsidRPr="000B1431" w:rsidP="000B1431" w14:paraId="67956ED5" w14:textId="6EAA7024">
      <w:pPr>
        <w:pStyle w:val="Heading1"/>
        <w:rPr>
          <w:szCs w:val="26"/>
        </w:rPr>
      </w:pPr>
      <w:r w:rsidRPr="000B1431">
        <w:rPr>
          <w:szCs w:val="26"/>
        </w:rPr>
        <w:t>II.</w:t>
      </w:r>
      <w:r w:rsidRPr="000B1431" w:rsidR="00D37617">
        <w:rPr>
          <w:szCs w:val="26"/>
        </w:rPr>
        <w:t xml:space="preserve"> </w:t>
      </w:r>
    </w:p>
    <w:p w:rsidR="00766656" w:rsidRPr="000B1431" w:rsidP="000B1431" w14:paraId="5AA773AE" w14:textId="6D762E03">
      <w:pPr>
        <w:ind w:firstLine="720"/>
        <w:rPr>
          <w:szCs w:val="26"/>
        </w:rPr>
      </w:pPr>
      <w:r>
        <w:rPr>
          <w:szCs w:val="26"/>
        </w:rPr>
        <w:t>As noted, i</w:t>
      </w:r>
      <w:r w:rsidRPr="000B1431" w:rsidR="006B34AF">
        <w:rPr>
          <w:szCs w:val="26"/>
        </w:rPr>
        <w:t xml:space="preserve">n denying </w:t>
      </w:r>
      <w:r w:rsidRPr="000B1431" w:rsidR="002F725A">
        <w:rPr>
          <w:szCs w:val="26"/>
        </w:rPr>
        <w:t>Reyes’s resentencing petition</w:t>
      </w:r>
      <w:r w:rsidRPr="000B1431" w:rsidR="006B34AF">
        <w:rPr>
          <w:szCs w:val="26"/>
        </w:rPr>
        <w:t xml:space="preserve">, the </w:t>
      </w:r>
      <w:r w:rsidRPr="000B1431" w:rsidR="009502BB">
        <w:rPr>
          <w:szCs w:val="26"/>
        </w:rPr>
        <w:t xml:space="preserve">trial </w:t>
      </w:r>
      <w:r w:rsidRPr="000B1431" w:rsidR="006B34AF">
        <w:rPr>
          <w:szCs w:val="26"/>
        </w:rPr>
        <w:t xml:space="preserve">court said it was </w:t>
      </w:r>
      <w:r w:rsidRPr="000B1431" w:rsidR="002F725A">
        <w:rPr>
          <w:szCs w:val="26"/>
        </w:rPr>
        <w:t>“guided by the principles</w:t>
      </w:r>
      <w:r w:rsidRPr="000B1431" w:rsidR="006B34AF">
        <w:rPr>
          <w:szCs w:val="26"/>
        </w:rPr>
        <w:t>”</w:t>
      </w:r>
      <w:r w:rsidRPr="000B1431" w:rsidR="002F725A">
        <w:rPr>
          <w:szCs w:val="26"/>
        </w:rPr>
        <w:t xml:space="preserve"> of implied malice murder</w:t>
      </w:r>
      <w:r w:rsidRPr="000B1431" w:rsidR="00577FE1">
        <w:rPr>
          <w:szCs w:val="26"/>
        </w:rPr>
        <w:t xml:space="preserve"> in CALCRIM No. 520</w:t>
      </w:r>
      <w:r w:rsidRPr="000B1431" w:rsidR="00203D8E">
        <w:rPr>
          <w:szCs w:val="26"/>
        </w:rPr>
        <w:t>.</w:t>
      </w:r>
      <w:r w:rsidRPr="000B1431" w:rsidR="00C33711">
        <w:rPr>
          <w:szCs w:val="26"/>
        </w:rPr>
        <w:t xml:space="preserve"> </w:t>
      </w:r>
      <w:r w:rsidRPr="000B1431" w:rsidR="002F725A">
        <w:rPr>
          <w:szCs w:val="26"/>
        </w:rPr>
        <w:t xml:space="preserve"> </w:t>
      </w:r>
      <w:r w:rsidRPr="000B1431" w:rsidR="001D6E3C">
        <w:rPr>
          <w:szCs w:val="26"/>
        </w:rPr>
        <w:t>A</w:t>
      </w:r>
      <w:r>
        <w:rPr>
          <w:szCs w:val="26"/>
        </w:rPr>
        <w:t>pplying the four elements set out in CALCRIM No.</w:t>
      </w:r>
      <w:r w:rsidR="00192E57">
        <w:rPr>
          <w:szCs w:val="26"/>
        </w:rPr>
        <w:t> </w:t>
      </w:r>
      <w:r>
        <w:rPr>
          <w:szCs w:val="26"/>
        </w:rPr>
        <w:t>520</w:t>
      </w:r>
      <w:r w:rsidRPr="000B1431" w:rsidR="001D6E3C">
        <w:rPr>
          <w:szCs w:val="26"/>
        </w:rPr>
        <w:t>, t</w:t>
      </w:r>
      <w:r w:rsidRPr="000B1431" w:rsidR="006B34AF">
        <w:rPr>
          <w:szCs w:val="26"/>
        </w:rPr>
        <w:t xml:space="preserve">he court </w:t>
      </w:r>
      <w:r w:rsidRPr="000B1431" w:rsidR="00577FE1">
        <w:rPr>
          <w:szCs w:val="26"/>
        </w:rPr>
        <w:t>found</w:t>
      </w:r>
      <w:r w:rsidRPr="000B1431">
        <w:rPr>
          <w:szCs w:val="26"/>
        </w:rPr>
        <w:t xml:space="preserve"> </w:t>
      </w:r>
      <w:r w:rsidRPr="000B1431" w:rsidR="005C4F47">
        <w:rPr>
          <w:szCs w:val="26"/>
        </w:rPr>
        <w:t xml:space="preserve">that </w:t>
      </w:r>
      <w:r w:rsidRPr="000B1431">
        <w:rPr>
          <w:szCs w:val="26"/>
        </w:rPr>
        <w:t>(1) Reyes</w:t>
      </w:r>
      <w:r w:rsidRPr="000B1431" w:rsidR="006B34AF">
        <w:rPr>
          <w:szCs w:val="26"/>
        </w:rPr>
        <w:t xml:space="preserve"> intentionally committed the act of traveling “along with several other gang members, one of which [was] armed</w:t>
      </w:r>
      <w:r w:rsidRPr="000B1431" w:rsidR="00E37333">
        <w:rPr>
          <w:szCs w:val="26"/>
        </w:rPr>
        <w:t>,</w:t>
      </w:r>
      <w:r w:rsidRPr="000B1431" w:rsidR="006B34AF">
        <w:rPr>
          <w:szCs w:val="26"/>
        </w:rPr>
        <w:t> .</w:t>
      </w:r>
      <w:r w:rsidRPr="000B1431" w:rsidR="00E37333">
        <w:rPr>
          <w:szCs w:val="26"/>
        </w:rPr>
        <w:t> </w:t>
      </w:r>
      <w:r w:rsidRPr="000B1431" w:rsidR="006B34AF">
        <w:rPr>
          <w:szCs w:val="26"/>
        </w:rPr>
        <w:t>.</w:t>
      </w:r>
      <w:r w:rsidRPr="000B1431" w:rsidR="00E37333">
        <w:rPr>
          <w:szCs w:val="26"/>
        </w:rPr>
        <w:t> </w:t>
      </w:r>
      <w:r w:rsidRPr="000B1431" w:rsidR="006B34AF">
        <w:rPr>
          <w:szCs w:val="26"/>
        </w:rPr>
        <w:t>. to rival gang territory”</w:t>
      </w:r>
      <w:r w:rsidRPr="000B1431">
        <w:rPr>
          <w:szCs w:val="26"/>
        </w:rPr>
        <w:t xml:space="preserve">; (2) </w:t>
      </w:r>
      <w:r w:rsidRPr="000B1431" w:rsidR="00577FE1">
        <w:rPr>
          <w:szCs w:val="26"/>
        </w:rPr>
        <w:t>“</w:t>
      </w:r>
      <w:r w:rsidRPr="000B1431" w:rsidR="00AD7D4E">
        <w:rPr>
          <w:szCs w:val="26"/>
        </w:rPr>
        <w:t>[t]</w:t>
      </w:r>
      <w:r w:rsidRPr="000B1431" w:rsidR="00577FE1">
        <w:rPr>
          <w:szCs w:val="26"/>
        </w:rPr>
        <w:t xml:space="preserve">he natural and probable consequences of the act were </w:t>
      </w:r>
      <w:r w:rsidRPr="000B1431" w:rsidR="006B34AF">
        <w:rPr>
          <w:szCs w:val="26"/>
        </w:rPr>
        <w:t>dangerous to human life”</w:t>
      </w:r>
      <w:r w:rsidRPr="000B1431">
        <w:rPr>
          <w:szCs w:val="26"/>
        </w:rPr>
        <w:t>;</w:t>
      </w:r>
      <w:r w:rsidRPr="000B1431" w:rsidR="006B34AF">
        <w:rPr>
          <w:szCs w:val="26"/>
        </w:rPr>
        <w:t xml:space="preserve"> </w:t>
      </w:r>
      <w:r w:rsidRPr="000B1431">
        <w:rPr>
          <w:szCs w:val="26"/>
        </w:rPr>
        <w:t>(3)</w:t>
      </w:r>
      <w:r w:rsidRPr="000B1431" w:rsidR="006B34AF">
        <w:rPr>
          <w:szCs w:val="26"/>
        </w:rPr>
        <w:t xml:space="preserve"> </w:t>
      </w:r>
      <w:r w:rsidRPr="000B1431">
        <w:rPr>
          <w:szCs w:val="26"/>
        </w:rPr>
        <w:t>Reyes</w:t>
      </w:r>
      <w:r w:rsidRPr="000B1431" w:rsidR="006B34AF">
        <w:rPr>
          <w:szCs w:val="26"/>
        </w:rPr>
        <w:t xml:space="preserve"> knew his act of traveling to rival gang territory was dangerous to human life</w:t>
      </w:r>
      <w:r w:rsidRPr="000B1431">
        <w:rPr>
          <w:szCs w:val="26"/>
        </w:rPr>
        <w:t xml:space="preserve">; and (4) he </w:t>
      </w:r>
      <w:r w:rsidRPr="000B1431" w:rsidR="006B34AF">
        <w:rPr>
          <w:szCs w:val="26"/>
        </w:rPr>
        <w:t>acted deliberately and with conscious disregard of th</w:t>
      </w:r>
      <w:r w:rsidRPr="000B1431" w:rsidR="00867D90">
        <w:rPr>
          <w:szCs w:val="26"/>
        </w:rPr>
        <w:t>at</w:t>
      </w:r>
      <w:r w:rsidRPr="000B1431" w:rsidR="006B34AF">
        <w:rPr>
          <w:szCs w:val="26"/>
        </w:rPr>
        <w:t xml:space="preserve"> danger</w:t>
      </w:r>
      <w:r w:rsidRPr="000B1431">
        <w:rPr>
          <w:szCs w:val="26"/>
        </w:rPr>
        <w:t xml:space="preserve">.  </w:t>
      </w:r>
    </w:p>
    <w:p w:rsidR="00185D70" w:rsidRPr="000B1431" w:rsidP="000B1431" w14:paraId="2330DAB8" w14:textId="6403AD9F">
      <w:pPr>
        <w:ind w:firstLine="720"/>
      </w:pPr>
      <w:r w:rsidRPr="000B1431">
        <w:rPr>
          <w:szCs w:val="26"/>
        </w:rPr>
        <w:t xml:space="preserve">The trial court </w:t>
      </w:r>
      <w:r w:rsidRPr="000B1431" w:rsidR="00766656">
        <w:rPr>
          <w:szCs w:val="26"/>
        </w:rPr>
        <w:t>did not</w:t>
      </w:r>
      <w:r w:rsidRPr="000B1431">
        <w:rPr>
          <w:szCs w:val="26"/>
        </w:rPr>
        <w:t xml:space="preserve"> mention </w:t>
      </w:r>
      <w:r w:rsidRPr="000B1431" w:rsidR="00FD5CB6">
        <w:rPr>
          <w:szCs w:val="26"/>
        </w:rPr>
        <w:t xml:space="preserve">direct </w:t>
      </w:r>
      <w:r w:rsidRPr="000B1431">
        <w:rPr>
          <w:szCs w:val="26"/>
        </w:rPr>
        <w:t>aiding and abetting</w:t>
      </w:r>
      <w:r w:rsidRPr="000B1431" w:rsidR="00766656">
        <w:rPr>
          <w:szCs w:val="26"/>
        </w:rPr>
        <w:t>, and it</w:t>
      </w:r>
      <w:r w:rsidRPr="000B1431" w:rsidR="00DC18E1">
        <w:rPr>
          <w:szCs w:val="26"/>
        </w:rPr>
        <w:t>s findings can be read to indicate</w:t>
      </w:r>
      <w:r w:rsidRPr="000B1431" w:rsidR="00766656">
        <w:rPr>
          <w:szCs w:val="26"/>
        </w:rPr>
        <w:t xml:space="preserve"> that </w:t>
      </w:r>
      <w:r w:rsidRPr="000B1431" w:rsidR="00E37333">
        <w:rPr>
          <w:szCs w:val="26"/>
        </w:rPr>
        <w:t xml:space="preserve">it </w:t>
      </w:r>
      <w:r w:rsidRPr="000B1431" w:rsidR="00C60411">
        <w:rPr>
          <w:szCs w:val="26"/>
        </w:rPr>
        <w:t>upheld Reyes’s murder conviction on the theory that he was a direct perpetrator who harbored implied malice</w:t>
      </w:r>
      <w:r w:rsidR="00D45726">
        <w:rPr>
          <w:szCs w:val="26"/>
        </w:rPr>
        <w:t>.  At oral argument</w:t>
      </w:r>
      <w:r w:rsidR="004E6F2C">
        <w:rPr>
          <w:szCs w:val="26"/>
        </w:rPr>
        <w:t>,</w:t>
      </w:r>
      <w:r w:rsidR="002A4579">
        <w:rPr>
          <w:szCs w:val="26"/>
        </w:rPr>
        <w:t xml:space="preserve"> the Attorney General </w:t>
      </w:r>
      <w:r w:rsidR="00D45726">
        <w:rPr>
          <w:szCs w:val="26"/>
        </w:rPr>
        <w:t>said</w:t>
      </w:r>
      <w:r w:rsidR="002A4579">
        <w:rPr>
          <w:szCs w:val="26"/>
        </w:rPr>
        <w:t xml:space="preserve"> there is “no doubt” </w:t>
      </w:r>
      <w:r w:rsidR="004E6F2C">
        <w:rPr>
          <w:szCs w:val="26"/>
        </w:rPr>
        <w:t>this reading is correct</w:t>
      </w:r>
      <w:r w:rsidRPr="000B1431">
        <w:rPr>
          <w:szCs w:val="26"/>
        </w:rPr>
        <w:t>.</w:t>
      </w:r>
      <w:r w:rsidRPr="000B1431" w:rsidR="00C60411">
        <w:rPr>
          <w:szCs w:val="26"/>
        </w:rPr>
        <w:t xml:space="preserve">  But the </w:t>
      </w:r>
      <w:r w:rsidRPr="000B1431" w:rsidR="00DC18E1">
        <w:rPr>
          <w:szCs w:val="26"/>
        </w:rPr>
        <w:t xml:space="preserve">prosecutor relied only on aiding and abetting theories to prove Reyes’s liability for murder, and the trial court, prior to the resentencing hearing, asked the parties to review </w:t>
      </w:r>
      <w:r w:rsidRPr="000B1431" w:rsidR="00DC18E1">
        <w:rPr>
          <w:i/>
          <w:iCs/>
          <w:szCs w:val="26"/>
        </w:rPr>
        <w:t>People v. Soto</w:t>
      </w:r>
      <w:r w:rsidRPr="000B1431" w:rsidR="00DC18E1">
        <w:rPr>
          <w:szCs w:val="26"/>
        </w:rPr>
        <w:t xml:space="preserve"> (2020) 51 Cal.App.5th 1043, a resentencing matter that involved aider and abettor liability for an implied malice murder, and then questioned the parties about</w:t>
      </w:r>
      <w:r w:rsidRPr="000B1431" w:rsidR="00E37333">
        <w:rPr>
          <w:szCs w:val="26"/>
        </w:rPr>
        <w:t xml:space="preserve"> that case </w:t>
      </w:r>
      <w:r w:rsidRPr="000B1431" w:rsidR="00DC18E1">
        <w:rPr>
          <w:szCs w:val="26"/>
        </w:rPr>
        <w:t xml:space="preserve">at the hearing.  </w:t>
      </w:r>
      <w:r w:rsidRPr="000B1431" w:rsidR="00D918FE">
        <w:rPr>
          <w:szCs w:val="26"/>
        </w:rPr>
        <w:t>In this context, the trial court’s findings arguably could be read to uphold Reyes’s murder conviction on the theory that he directly aided and abetted implied malice murder.</w:t>
      </w:r>
      <w:r w:rsidRPr="000B1431" w:rsidR="009B42A9">
        <w:rPr>
          <w:szCs w:val="26"/>
        </w:rPr>
        <w:t xml:space="preserve">  </w:t>
      </w:r>
      <w:r w:rsidRPr="000B1431" w:rsidR="00097331">
        <w:rPr>
          <w:szCs w:val="26"/>
        </w:rPr>
        <w:t xml:space="preserve">Given the lack of clarity on this point, and </w:t>
      </w:r>
      <w:r w:rsidRPr="000B1431" w:rsidR="007626D3">
        <w:rPr>
          <w:szCs w:val="26"/>
        </w:rPr>
        <w:t>out of</w:t>
      </w:r>
      <w:r w:rsidRPr="000B1431" w:rsidR="00097331">
        <w:rPr>
          <w:szCs w:val="26"/>
        </w:rPr>
        <w:t xml:space="preserve"> an abundance of caution, </w:t>
      </w:r>
      <w:r w:rsidRPr="000B1431" w:rsidR="009B42A9">
        <w:rPr>
          <w:szCs w:val="26"/>
        </w:rPr>
        <w:t xml:space="preserve">we address </w:t>
      </w:r>
      <w:r w:rsidRPr="000B1431" w:rsidR="00097331">
        <w:rPr>
          <w:szCs w:val="26"/>
        </w:rPr>
        <w:t xml:space="preserve">the trial court’s consideration of </w:t>
      </w:r>
      <w:r w:rsidRPr="000B1431" w:rsidR="007626D3">
        <w:rPr>
          <w:szCs w:val="26"/>
        </w:rPr>
        <w:t>Reyes’</w:t>
      </w:r>
      <w:r w:rsidRPr="000B1431" w:rsidR="00220BDE">
        <w:rPr>
          <w:szCs w:val="26"/>
        </w:rPr>
        <w:t>s</w:t>
      </w:r>
      <w:r w:rsidRPr="000B1431" w:rsidR="007626D3">
        <w:rPr>
          <w:szCs w:val="26"/>
        </w:rPr>
        <w:t xml:space="preserve"> resentencing petition under </w:t>
      </w:r>
      <w:r w:rsidRPr="000B1431" w:rsidR="009B42A9">
        <w:rPr>
          <w:szCs w:val="26"/>
        </w:rPr>
        <w:t xml:space="preserve">both </w:t>
      </w:r>
      <w:r w:rsidRPr="000B1431" w:rsidR="00097331">
        <w:rPr>
          <w:szCs w:val="26"/>
        </w:rPr>
        <w:t xml:space="preserve">direct perpetrator and </w:t>
      </w:r>
      <w:r w:rsidRPr="000B1431" w:rsidR="00D379BB">
        <w:rPr>
          <w:szCs w:val="26"/>
        </w:rPr>
        <w:t xml:space="preserve">direct </w:t>
      </w:r>
      <w:r w:rsidRPr="000B1431" w:rsidR="00097331">
        <w:rPr>
          <w:szCs w:val="26"/>
        </w:rPr>
        <w:t>aiding and abetting theories.</w:t>
      </w:r>
      <w:r w:rsidRPr="000B1431" w:rsidR="008370CA">
        <w:rPr>
          <w:szCs w:val="26"/>
        </w:rPr>
        <w:t xml:space="preserve">  In so doing, w</w:t>
      </w:r>
      <w:r w:rsidRPr="000B1431" w:rsidR="00D918FE">
        <w:rPr>
          <w:szCs w:val="26"/>
        </w:rPr>
        <w:t>e express no view on whether a court may deny a section</w:t>
      </w:r>
      <w:r w:rsidRPr="000B1431" w:rsidR="001D6E3C">
        <w:rPr>
          <w:szCs w:val="26"/>
        </w:rPr>
        <w:t xml:space="preserve"> </w:t>
      </w:r>
      <w:r w:rsidRPr="000B1431" w:rsidR="006C400B">
        <w:rPr>
          <w:szCs w:val="26"/>
        </w:rPr>
        <w:t>1172.6</w:t>
      </w:r>
      <w:r w:rsidRPr="000B1431" w:rsidR="001D6E3C">
        <w:rPr>
          <w:szCs w:val="26"/>
        </w:rPr>
        <w:t xml:space="preserve"> </w:t>
      </w:r>
      <w:r w:rsidRPr="000B1431" w:rsidR="00D918FE">
        <w:rPr>
          <w:szCs w:val="26"/>
        </w:rPr>
        <w:t xml:space="preserve">resentencing petition </w:t>
      </w:r>
      <w:r w:rsidRPr="000B1431" w:rsidR="00730504">
        <w:rPr>
          <w:szCs w:val="26"/>
        </w:rPr>
        <w:t xml:space="preserve">based on a theory of murder not argued by the prosecution at trial.  </w:t>
      </w:r>
      <w:r w:rsidRPr="000B1431" w:rsidR="008F7015">
        <w:rPr>
          <w:szCs w:val="26"/>
        </w:rPr>
        <w:t>Nor do we have occasion</w:t>
      </w:r>
      <w:r w:rsidR="00893EA1">
        <w:t xml:space="preserve">, given the parties’ contentions and the procedural posture of this matter, to </w:t>
      </w:r>
      <w:r w:rsidR="00893EA1">
        <w:rPr>
          <w:szCs w:val="26"/>
        </w:rPr>
        <w:t>consider the overall scope of section 1172.6 resentencing proceedings</w:t>
      </w:r>
      <w:r w:rsidRPr="000B1431" w:rsidR="008F7015">
        <w:rPr>
          <w:bCs/>
          <w:szCs w:val="26"/>
        </w:rPr>
        <w:t xml:space="preserve">.  </w:t>
      </w:r>
      <w:r w:rsidRPr="000B1431" w:rsidR="0040173F">
        <w:t>(</w:t>
      </w:r>
      <w:r w:rsidRPr="000B1431" w:rsidR="008C73C1">
        <w:t xml:space="preserve">See </w:t>
      </w:r>
      <w:r w:rsidRPr="000B1431" w:rsidR="0040173F">
        <w:rPr>
          <w:i/>
          <w:iCs/>
        </w:rPr>
        <w:t>People v. Curiel</w:t>
      </w:r>
      <w:r w:rsidRPr="000B1431" w:rsidR="0040173F">
        <w:t xml:space="preserve"> (Nov. 4, 2021, G058604) [nonpub. opn.], review granted </w:t>
      </w:r>
      <w:r w:rsidRPr="000B1431" w:rsidR="008F7015">
        <w:t>Jan. 26, 2022</w:t>
      </w:r>
      <w:r w:rsidRPr="000B1431" w:rsidR="0040173F">
        <w:t>, S272238</w:t>
      </w:r>
      <w:bookmarkStart w:id="3" w:name="_Hlk136358743"/>
      <w:r w:rsidR="009E2FBC">
        <w:t>.</w:t>
      </w:r>
      <w:bookmarkEnd w:id="3"/>
      <w:r w:rsidR="00B630A4">
        <w:t>)</w:t>
      </w:r>
    </w:p>
    <w:p w:rsidR="00DC18E1" w:rsidRPr="00266289" w:rsidP="00266289" w14:paraId="3DC96D6C" w14:textId="5521CA3D">
      <w:pPr>
        <w:ind w:firstLine="720"/>
      </w:pPr>
      <w:r w:rsidRPr="000B1431">
        <w:t>Ordinarily,</w:t>
      </w:r>
      <w:r w:rsidRPr="000B1431" w:rsidR="00A01365">
        <w:t xml:space="preserve"> a trial court’s denial of a section 1172.6 petition is reviewed for substantial evidence.  </w:t>
      </w:r>
      <w:r w:rsidRPr="000B1431" w:rsidR="002A25F4">
        <w:t>(</w:t>
      </w:r>
      <w:r w:rsidRPr="000B1431" w:rsidR="00E9127C">
        <w:t>See</w:t>
      </w:r>
      <w:r w:rsidRPr="000B1431" w:rsidR="008370CA">
        <w:t>,</w:t>
      </w:r>
      <w:r w:rsidRPr="000B1431" w:rsidR="00E9127C">
        <w:t xml:space="preserve"> e.g., </w:t>
      </w:r>
      <w:r w:rsidRPr="000B1431" w:rsidR="002A25F4">
        <w:rPr>
          <w:i/>
          <w:iCs/>
        </w:rPr>
        <w:t xml:space="preserve">People v. Vargas </w:t>
      </w:r>
      <w:r w:rsidRPr="000B1431" w:rsidR="002A25F4">
        <w:t>(2022) 84 Cal.App.5th 943, 951</w:t>
      </w:r>
      <w:r w:rsidRPr="000B1431" w:rsidR="00017D74">
        <w:t>.)</w:t>
      </w:r>
      <w:r w:rsidRPr="000B1431" w:rsidR="00E9127C">
        <w:t xml:space="preserve">  </w:t>
      </w:r>
      <w:r w:rsidR="00A340EF">
        <w:t xml:space="preserve">Under this </w:t>
      </w:r>
      <w:r w:rsidR="00D45726">
        <w:t>standard,</w:t>
      </w:r>
      <w:r w:rsidR="0052584D">
        <w:t xml:space="preserve"> we review the record “ ‘ “in the light most favorable to the judgment below to determine whether it discloses substantial evidence — that is, evidence which is reasonable, credible, and of solid value — such that a reasonable trier of fact could find the defendant guilty beyond a reasonable doubt</w:t>
      </w:r>
      <w:r w:rsidR="00D45726">
        <w:t>.</w:t>
      </w:r>
      <w:r w:rsidR="0052584D">
        <w:t xml:space="preserve">” ’ ” </w:t>
      </w:r>
      <w:r w:rsidR="00D45726">
        <w:t xml:space="preserve"> </w:t>
      </w:r>
      <w:r w:rsidR="0052584D">
        <w:t>(</w:t>
      </w:r>
      <w:r w:rsidR="0052584D">
        <w:rPr>
          <w:i/>
          <w:iCs/>
        </w:rPr>
        <w:t>People v. Ghobrial</w:t>
      </w:r>
      <w:r w:rsidR="0052584D">
        <w:t xml:space="preserve"> (2018) 5 Cal.5th 250, 277</w:t>
      </w:r>
      <w:r w:rsidR="00231D73">
        <w:t>, italics omitted</w:t>
      </w:r>
      <w:r w:rsidR="00D45726">
        <w:t>.</w:t>
      </w:r>
      <w:r w:rsidR="0052584D">
        <w:t>)</w:t>
      </w:r>
      <w:r w:rsidR="00266289">
        <w:t xml:space="preserve">  </w:t>
      </w:r>
      <w:r w:rsidRPr="000B1431" w:rsidR="00A37157">
        <w:t>But</w:t>
      </w:r>
      <w:r w:rsidRPr="000B1431" w:rsidR="00EA4A0C">
        <w:t xml:space="preserve"> where </w:t>
      </w:r>
      <w:r w:rsidR="00960992">
        <w:t xml:space="preserve">there is an issue as to whether </w:t>
      </w:r>
      <w:r w:rsidRPr="000B1431" w:rsidR="00EA4A0C">
        <w:t xml:space="preserve">the trial court misunderstood the elements of the applicable offense, </w:t>
      </w:r>
      <w:r w:rsidRPr="000B1431" w:rsidR="008370CA">
        <w:t>the case presents</w:t>
      </w:r>
      <w:r w:rsidRPr="000B1431" w:rsidR="00FB1DA4">
        <w:t xml:space="preserve"> a question of law which we review independently.  </w:t>
      </w:r>
      <w:r w:rsidRPr="000B1431" w:rsidR="0009261C">
        <w:rPr>
          <w:szCs w:val="26"/>
        </w:rPr>
        <w:t xml:space="preserve">(See </w:t>
      </w:r>
      <w:r w:rsidRPr="00AA7C51" w:rsidR="00323C1C">
        <w:rPr>
          <w:i/>
          <w:iCs/>
          <w:szCs w:val="26"/>
        </w:rPr>
        <w:t>Crocker National Bank v. City and County of San Francisco</w:t>
      </w:r>
      <w:r w:rsidRPr="00323C1C" w:rsidR="00323C1C">
        <w:rPr>
          <w:szCs w:val="26"/>
        </w:rPr>
        <w:t xml:space="preserve"> (1989) 49 Cal.3d 881, 888 [</w:t>
      </w:r>
      <w:r w:rsidR="00323C1C">
        <w:rPr>
          <w:szCs w:val="26"/>
        </w:rPr>
        <w:t>“</w:t>
      </w:r>
      <w:r w:rsidRPr="00323C1C" w:rsidR="00323C1C">
        <w:rPr>
          <w:szCs w:val="26"/>
        </w:rPr>
        <w:t>Questions of law relate to the selection of a rule; their resolution is reviewed independently.</w:t>
      </w:r>
      <w:r w:rsidR="00323C1C">
        <w:rPr>
          <w:szCs w:val="26"/>
        </w:rPr>
        <w:t>”</w:t>
      </w:r>
      <w:r w:rsidRPr="00323C1C" w:rsidR="00323C1C">
        <w:rPr>
          <w:szCs w:val="26"/>
        </w:rPr>
        <w:t>]</w:t>
      </w:r>
      <w:r w:rsidR="007623C9">
        <w:rPr>
          <w:szCs w:val="26"/>
        </w:rPr>
        <w:t xml:space="preserve">.)  </w:t>
      </w:r>
      <w:r w:rsidRPr="000B1431" w:rsidR="00730504">
        <w:rPr>
          <w:szCs w:val="26"/>
        </w:rPr>
        <w:t xml:space="preserve">As we explain, </w:t>
      </w:r>
      <w:r w:rsidR="006C0135">
        <w:rPr>
          <w:szCs w:val="26"/>
        </w:rPr>
        <w:t>assuming</w:t>
      </w:r>
      <w:r w:rsidR="004F6EF8">
        <w:rPr>
          <w:szCs w:val="26"/>
        </w:rPr>
        <w:t xml:space="preserve"> without deciding that </w:t>
      </w:r>
      <w:r w:rsidR="006C0135">
        <w:rPr>
          <w:szCs w:val="26"/>
        </w:rPr>
        <w:t>the trial court permissibly upheld Reyes’s murder conviction on a theory that was not presented at trial, its conclusion that Reyes</w:t>
      </w:r>
      <w:r w:rsidR="00D87CCC">
        <w:rPr>
          <w:szCs w:val="26"/>
        </w:rPr>
        <w:t>’s conviction was sustainable</w:t>
      </w:r>
      <w:r w:rsidR="006C0135">
        <w:rPr>
          <w:szCs w:val="26"/>
        </w:rPr>
        <w:t xml:space="preserve"> </w:t>
      </w:r>
      <w:r w:rsidR="0052581F">
        <w:rPr>
          <w:szCs w:val="26"/>
        </w:rPr>
        <w:t xml:space="preserve">on a direct perpetrator theory was not supported by substantial </w:t>
      </w:r>
      <w:r w:rsidR="000A04AA">
        <w:rPr>
          <w:szCs w:val="26"/>
        </w:rPr>
        <w:t xml:space="preserve">evidence.  </w:t>
      </w:r>
      <w:r w:rsidR="00617BB3">
        <w:rPr>
          <w:szCs w:val="26"/>
        </w:rPr>
        <w:t>And t</w:t>
      </w:r>
      <w:r w:rsidR="000A04AA">
        <w:rPr>
          <w:szCs w:val="26"/>
        </w:rPr>
        <w:t xml:space="preserve">o the extent the trial court </w:t>
      </w:r>
      <w:r w:rsidRPr="000B1431" w:rsidR="00730504">
        <w:rPr>
          <w:szCs w:val="26"/>
        </w:rPr>
        <w:t xml:space="preserve">purported to uphold Reyes’s murder conviction on a direct aiding and abetting theory, the court misapprehended what is required as a matter of law to prove </w:t>
      </w:r>
      <w:r w:rsidR="003D3E6C">
        <w:rPr>
          <w:szCs w:val="26"/>
        </w:rPr>
        <w:t xml:space="preserve">aiding and abetting </w:t>
      </w:r>
      <w:r w:rsidRPr="000B1431" w:rsidR="00730504">
        <w:rPr>
          <w:szCs w:val="26"/>
        </w:rPr>
        <w:t>implied malice murder.</w:t>
      </w:r>
    </w:p>
    <w:p w:rsidR="00123B09" w:rsidRPr="000B1431" w:rsidP="000B1431" w14:paraId="153C87AC" w14:textId="77777777">
      <w:pPr>
        <w:pStyle w:val="Heading1"/>
        <w:rPr>
          <w:szCs w:val="26"/>
        </w:rPr>
      </w:pPr>
      <w:r w:rsidRPr="000B1431">
        <w:rPr>
          <w:szCs w:val="26"/>
        </w:rPr>
        <w:t>A.</w:t>
      </w:r>
    </w:p>
    <w:p w:rsidR="000B551B" w:rsidRPr="005247E2" w:rsidP="00AA7C51" w14:paraId="09590C9E" w14:textId="37A2756C">
      <w:pPr>
        <w:ind w:firstLine="720"/>
        <w:rPr>
          <w:szCs w:val="26"/>
        </w:rPr>
      </w:pPr>
      <w:r w:rsidRPr="000B1431">
        <w:rPr>
          <w:szCs w:val="26"/>
        </w:rPr>
        <w:t xml:space="preserve">We first address simple implied malice murder.  </w:t>
      </w:r>
      <w:r w:rsidRPr="000B1431" w:rsidR="008B2020">
        <w:rPr>
          <w:szCs w:val="26"/>
        </w:rPr>
        <w:t>Murde</w:t>
      </w:r>
      <w:r w:rsidRPr="000B1431" w:rsidR="00E73E6A">
        <w:rPr>
          <w:szCs w:val="26"/>
        </w:rPr>
        <w:t>r</w:t>
      </w:r>
      <w:r w:rsidRPr="000B1431" w:rsidR="008B2020">
        <w:rPr>
          <w:szCs w:val="26"/>
        </w:rPr>
        <w:t xml:space="preserve"> is committed with implied malice when “the killing is proximately caused by </w:t>
      </w:r>
      <w:r w:rsidRPr="000B1431" w:rsidR="00E73E6A">
        <w:rPr>
          <w:szCs w:val="26"/>
        </w:rPr>
        <w:t>‘ </w:t>
      </w:r>
      <w:r w:rsidRPr="000B1431" w:rsidR="008B2020">
        <w:rPr>
          <w:szCs w:val="26"/>
        </w:rPr>
        <w:t>“an act, the natural consequences of which are dangerous to life, which act was deliberately performed by a person who knows that his conduct endangers the life of another and who acts with conscious disregard for life.”</w:t>
      </w:r>
      <w:r w:rsidRPr="000B1431" w:rsidR="00E73E6A">
        <w:rPr>
          <w:szCs w:val="26"/>
        </w:rPr>
        <w:t> </w:t>
      </w:r>
      <w:r w:rsidRPr="000B1431" w:rsidR="008B2020">
        <w:rPr>
          <w:szCs w:val="26"/>
        </w:rPr>
        <w:t>’</w:t>
      </w:r>
      <w:r w:rsidRPr="000B1431" w:rsidR="00E73E6A">
        <w:rPr>
          <w:szCs w:val="26"/>
        </w:rPr>
        <w:t> </w:t>
      </w:r>
      <w:r w:rsidRPr="000B1431" w:rsidR="008B2020">
        <w:rPr>
          <w:szCs w:val="26"/>
        </w:rPr>
        <w:t>”  (</w:t>
      </w:r>
      <w:bookmarkStart w:id="4" w:name="_Hlk137048896"/>
      <w:r w:rsidRPr="000B1431" w:rsidR="008B2020">
        <w:rPr>
          <w:i/>
          <w:iCs/>
          <w:szCs w:val="26"/>
        </w:rPr>
        <w:t>People v. Knoller</w:t>
      </w:r>
      <w:r w:rsidRPr="000B1431" w:rsidR="008B2020">
        <w:rPr>
          <w:szCs w:val="26"/>
        </w:rPr>
        <w:t xml:space="preserve"> (2007) 41 Cal.4th 139, 143 </w:t>
      </w:r>
      <w:bookmarkEnd w:id="4"/>
      <w:r w:rsidRPr="000B1431" w:rsidR="008B2020">
        <w:rPr>
          <w:szCs w:val="26"/>
        </w:rPr>
        <w:t>(</w:t>
      </w:r>
      <w:r w:rsidRPr="000B1431" w:rsidR="008B2020">
        <w:rPr>
          <w:i/>
          <w:iCs/>
          <w:szCs w:val="26"/>
        </w:rPr>
        <w:t>Knoller</w:t>
      </w:r>
      <w:r w:rsidRPr="000B1431" w:rsidR="008B2020">
        <w:rPr>
          <w:szCs w:val="26"/>
        </w:rPr>
        <w:t>)</w:t>
      </w:r>
      <w:r w:rsidRPr="000B1431" w:rsidR="00E73E6A">
        <w:rPr>
          <w:szCs w:val="26"/>
        </w:rPr>
        <w:t xml:space="preserve">.)  </w:t>
      </w:r>
      <w:r w:rsidRPr="000B1431" w:rsidR="004E693D">
        <w:rPr>
          <w:szCs w:val="26"/>
        </w:rPr>
        <w:t>“ ‘To be considered the proximate cause of the victim’s death, the defendant’s act must have been a substantial factor contributing to the result, rather than insignificant or merely theoretical.’ ”  (</w:t>
      </w:r>
      <w:r w:rsidRPr="000B1431" w:rsidR="004E693D">
        <w:rPr>
          <w:i/>
          <w:iCs/>
          <w:szCs w:val="26"/>
        </w:rPr>
        <w:t>People v. Jennings</w:t>
      </w:r>
      <w:r w:rsidRPr="000B1431" w:rsidR="004E693D">
        <w:rPr>
          <w:szCs w:val="26"/>
        </w:rPr>
        <w:t xml:space="preserve"> (2010) 50 Cal.4th 616, 643</w:t>
      </w:r>
      <w:r w:rsidR="003469C9">
        <w:rPr>
          <w:szCs w:val="26"/>
        </w:rPr>
        <w:t xml:space="preserve"> (</w:t>
      </w:r>
      <w:r w:rsidRPr="00AA7C51" w:rsidR="003469C9">
        <w:rPr>
          <w:i/>
          <w:iCs/>
          <w:szCs w:val="26"/>
        </w:rPr>
        <w:t>Jennings</w:t>
      </w:r>
      <w:r w:rsidR="003469C9">
        <w:rPr>
          <w:szCs w:val="26"/>
        </w:rPr>
        <w:t>)</w:t>
      </w:r>
      <w:r w:rsidRPr="000B1431" w:rsidR="004E693D">
        <w:rPr>
          <w:szCs w:val="26"/>
        </w:rPr>
        <w:t xml:space="preserve">.)  </w:t>
      </w:r>
    </w:p>
    <w:p w:rsidR="00680414" w:rsidRPr="000B1431" w:rsidP="00680414" w14:paraId="65725540" w14:textId="69D028EA">
      <w:pPr>
        <w:ind w:firstLine="720"/>
        <w:rPr>
          <w:szCs w:val="26"/>
        </w:rPr>
      </w:pPr>
      <w:r>
        <w:rPr>
          <w:szCs w:val="26"/>
        </w:rPr>
        <w:t>On this record</w:t>
      </w:r>
      <w:r w:rsidRPr="0072696F" w:rsidR="00F66F01">
        <w:rPr>
          <w:szCs w:val="26"/>
        </w:rPr>
        <w:t xml:space="preserve">, </w:t>
      </w:r>
      <w:r w:rsidRPr="000B1431" w:rsidR="004E693D">
        <w:rPr>
          <w:szCs w:val="26"/>
        </w:rPr>
        <w:t xml:space="preserve">it cannot be said that </w:t>
      </w:r>
      <w:r w:rsidR="005A7E87">
        <w:rPr>
          <w:szCs w:val="26"/>
        </w:rPr>
        <w:t>Reyes</w:t>
      </w:r>
      <w:r w:rsidR="00FC71D8">
        <w:rPr>
          <w:szCs w:val="26"/>
        </w:rPr>
        <w:t xml:space="preserve"> committed an act</w:t>
      </w:r>
      <w:r w:rsidR="005A7E87">
        <w:rPr>
          <w:szCs w:val="26"/>
        </w:rPr>
        <w:t xml:space="preserve"> </w:t>
      </w:r>
      <w:r w:rsidR="00FC71D8">
        <w:rPr>
          <w:szCs w:val="26"/>
        </w:rPr>
        <w:t xml:space="preserve">that </w:t>
      </w:r>
      <w:r w:rsidRPr="000B1431" w:rsidR="004E693D">
        <w:rPr>
          <w:szCs w:val="26"/>
        </w:rPr>
        <w:t xml:space="preserve">“proximately caused” </w:t>
      </w:r>
      <w:r w:rsidR="000112F7">
        <w:rPr>
          <w:szCs w:val="26"/>
        </w:rPr>
        <w:t xml:space="preserve">Rosario’s death.  </w:t>
      </w:r>
      <w:r w:rsidRPr="000B1431" w:rsidR="004E693D">
        <w:rPr>
          <w:szCs w:val="26"/>
        </w:rPr>
        <w:t>(</w:t>
      </w:r>
      <w:r w:rsidRPr="000B1431" w:rsidR="004E693D">
        <w:rPr>
          <w:i/>
          <w:iCs/>
          <w:szCs w:val="26"/>
        </w:rPr>
        <w:t>Knoller</w:t>
      </w:r>
      <w:r w:rsidRPr="000B1431" w:rsidR="004E693D">
        <w:rPr>
          <w:szCs w:val="26"/>
        </w:rPr>
        <w:t xml:space="preserve">, </w:t>
      </w:r>
      <w:r w:rsidRPr="000B1431" w:rsidR="004E693D">
        <w:rPr>
          <w:i/>
          <w:iCs/>
          <w:szCs w:val="26"/>
        </w:rPr>
        <w:t>supra</w:t>
      </w:r>
      <w:r w:rsidRPr="000B1431" w:rsidR="004E693D">
        <w:rPr>
          <w:szCs w:val="26"/>
        </w:rPr>
        <w:t>, 41 Cal.4th at p. 152</w:t>
      </w:r>
      <w:r w:rsidR="000112F7">
        <w:rPr>
          <w:szCs w:val="26"/>
        </w:rPr>
        <w:t>.</w:t>
      </w:r>
      <w:r w:rsidRPr="000B1431" w:rsidR="004E693D">
        <w:rPr>
          <w:szCs w:val="26"/>
        </w:rPr>
        <w:t xml:space="preserve">)  </w:t>
      </w:r>
      <w:r w:rsidRPr="000B1431" w:rsidR="0017571A">
        <w:rPr>
          <w:szCs w:val="26"/>
        </w:rPr>
        <w:t>The prosecutor proceeded on the theory that Lopez shot Rosario</w:t>
      </w:r>
      <w:r w:rsidR="0017571A">
        <w:rPr>
          <w:szCs w:val="26"/>
        </w:rPr>
        <w:t>, and no evidence was presented that R</w:t>
      </w:r>
      <w:r w:rsidR="00F41885">
        <w:rPr>
          <w:szCs w:val="26"/>
        </w:rPr>
        <w:t>eyes</w:t>
      </w:r>
      <w:r w:rsidR="003469C9">
        <w:rPr>
          <w:szCs w:val="26"/>
        </w:rPr>
        <w:t xml:space="preserve">’s </w:t>
      </w:r>
      <w:r w:rsidR="00CE2B57">
        <w:rPr>
          <w:szCs w:val="26"/>
        </w:rPr>
        <w:t>conduct</w:t>
      </w:r>
      <w:r w:rsidR="003469C9">
        <w:rPr>
          <w:szCs w:val="26"/>
        </w:rPr>
        <w:t xml:space="preserve"> was a “substantial factor” that contributed to </w:t>
      </w:r>
      <w:r w:rsidR="00E61A0B">
        <w:rPr>
          <w:szCs w:val="26"/>
        </w:rPr>
        <w:t xml:space="preserve">the </w:t>
      </w:r>
      <w:r w:rsidR="003469C9">
        <w:rPr>
          <w:szCs w:val="26"/>
        </w:rPr>
        <w:t>shooting.  (</w:t>
      </w:r>
      <w:r w:rsidRPr="000B1431" w:rsidR="003469C9">
        <w:rPr>
          <w:i/>
          <w:iCs/>
          <w:szCs w:val="26"/>
        </w:rPr>
        <w:t>Jennings</w:t>
      </w:r>
      <w:r w:rsidR="003469C9">
        <w:rPr>
          <w:i/>
          <w:iCs/>
          <w:szCs w:val="26"/>
        </w:rPr>
        <w:t>, supra,</w:t>
      </w:r>
      <w:r w:rsidRPr="000B1431" w:rsidR="003469C9">
        <w:rPr>
          <w:szCs w:val="26"/>
        </w:rPr>
        <w:t xml:space="preserve"> 50 Cal.4th </w:t>
      </w:r>
      <w:r w:rsidR="003469C9">
        <w:rPr>
          <w:szCs w:val="26"/>
        </w:rPr>
        <w:t>at p. </w:t>
      </w:r>
      <w:r w:rsidRPr="000B1431" w:rsidR="003469C9">
        <w:rPr>
          <w:szCs w:val="26"/>
        </w:rPr>
        <w:t>643</w:t>
      </w:r>
      <w:r w:rsidR="003469C9">
        <w:rPr>
          <w:szCs w:val="26"/>
        </w:rPr>
        <w:t>.)</w:t>
      </w:r>
      <w:r w:rsidR="00F2470E">
        <w:rPr>
          <w:szCs w:val="26"/>
        </w:rPr>
        <w:t xml:space="preserve">  </w:t>
      </w:r>
      <w:r w:rsidR="000C1B63">
        <w:rPr>
          <w:szCs w:val="26"/>
        </w:rPr>
        <w:t>T</w:t>
      </w:r>
      <w:r w:rsidR="00F370C4">
        <w:rPr>
          <w:szCs w:val="26"/>
        </w:rPr>
        <w:t>he evidence established that Reye</w:t>
      </w:r>
      <w:r w:rsidR="009E64A5">
        <w:rPr>
          <w:szCs w:val="26"/>
        </w:rPr>
        <w:t xml:space="preserve">s </w:t>
      </w:r>
      <w:r w:rsidR="00B043A4">
        <w:rPr>
          <w:szCs w:val="26"/>
        </w:rPr>
        <w:t xml:space="preserve">proceeded to an area on the edge of territory belonging to </w:t>
      </w:r>
      <w:r w:rsidRPr="000B1431" w:rsidR="00B043A4">
        <w:rPr>
          <w:szCs w:val="26"/>
        </w:rPr>
        <w:t>a rival gang</w:t>
      </w:r>
      <w:r w:rsidR="00120823">
        <w:rPr>
          <w:szCs w:val="26"/>
        </w:rPr>
        <w:t xml:space="preserve"> and</w:t>
      </w:r>
      <w:r w:rsidR="00053E7D">
        <w:rPr>
          <w:szCs w:val="26"/>
        </w:rPr>
        <w:t>, alongside the other bikers, chased after Rosario’s car</w:t>
      </w:r>
      <w:r w:rsidR="000C1B63">
        <w:rPr>
          <w:szCs w:val="26"/>
        </w:rPr>
        <w:t>.</w:t>
      </w:r>
      <w:r w:rsidRPr="00F51863" w:rsidR="00F51863">
        <w:rPr>
          <w:szCs w:val="26"/>
        </w:rPr>
        <w:t xml:space="preserve"> </w:t>
      </w:r>
      <w:r w:rsidRPr="000B1431" w:rsidR="00F51863">
        <w:rPr>
          <w:szCs w:val="26"/>
        </w:rPr>
        <w:t xml:space="preserve"> </w:t>
      </w:r>
      <w:r w:rsidR="000C1B63">
        <w:rPr>
          <w:szCs w:val="26"/>
        </w:rPr>
        <w:t xml:space="preserve">But </w:t>
      </w:r>
      <w:r w:rsidRPr="000B1431" w:rsidR="00F51863">
        <w:rPr>
          <w:szCs w:val="26"/>
        </w:rPr>
        <w:t>act</w:t>
      </w:r>
      <w:r w:rsidR="000C1B63">
        <w:rPr>
          <w:szCs w:val="26"/>
        </w:rPr>
        <w:t>s</w:t>
      </w:r>
      <w:r w:rsidRPr="000B1431" w:rsidR="00F51863">
        <w:rPr>
          <w:szCs w:val="26"/>
        </w:rPr>
        <w:t xml:space="preserve"> that merely create </w:t>
      </w:r>
      <w:r w:rsidRPr="000B1431" w:rsidR="00F51863">
        <w:rPr>
          <w:szCs w:val="26"/>
        </w:rPr>
        <w:t xml:space="preserve">a </w:t>
      </w:r>
      <w:r w:rsidRPr="000B1431" w:rsidR="00F51863">
        <w:rPr>
          <w:szCs w:val="26"/>
        </w:rPr>
        <w:t xml:space="preserve">dangerous situation </w:t>
      </w:r>
      <w:r w:rsidR="00053E7D">
        <w:rPr>
          <w:szCs w:val="26"/>
        </w:rPr>
        <w:t xml:space="preserve">in which death is possible depending on how circumstances unfold </w:t>
      </w:r>
      <w:r w:rsidRPr="000B1431" w:rsidR="00F51863">
        <w:rPr>
          <w:szCs w:val="26"/>
        </w:rPr>
        <w:t xml:space="preserve">do not, without more, </w:t>
      </w:r>
      <w:r w:rsidR="00E61A0B">
        <w:rPr>
          <w:szCs w:val="26"/>
        </w:rPr>
        <w:t>satisfy this</w:t>
      </w:r>
      <w:r w:rsidRPr="000B1431" w:rsidR="00F51863">
        <w:rPr>
          <w:szCs w:val="26"/>
        </w:rPr>
        <w:t xml:space="preserve"> </w:t>
      </w:r>
      <w:r w:rsidR="008A1A1A">
        <w:rPr>
          <w:szCs w:val="26"/>
        </w:rPr>
        <w:t>causation requirement</w:t>
      </w:r>
      <w:r w:rsidRPr="000B1431" w:rsidR="00F51863">
        <w:rPr>
          <w:szCs w:val="26"/>
        </w:rPr>
        <w:t xml:space="preserve">. </w:t>
      </w:r>
      <w:r w:rsidR="00F2470E">
        <w:rPr>
          <w:szCs w:val="26"/>
        </w:rPr>
        <w:t xml:space="preserve"> </w:t>
      </w:r>
      <w:r w:rsidR="00E61A0B">
        <w:rPr>
          <w:szCs w:val="26"/>
        </w:rPr>
        <w:t xml:space="preserve">There was </w:t>
      </w:r>
      <w:r w:rsidR="001D46A6">
        <w:rPr>
          <w:szCs w:val="26"/>
        </w:rPr>
        <w:t xml:space="preserve">no evidence that </w:t>
      </w:r>
      <w:r w:rsidR="00E61A0B">
        <w:rPr>
          <w:szCs w:val="26"/>
        </w:rPr>
        <w:t>Reyes’s</w:t>
      </w:r>
      <w:r w:rsidR="001D46A6">
        <w:rPr>
          <w:szCs w:val="26"/>
        </w:rPr>
        <w:t xml:space="preserve"> act</w:t>
      </w:r>
      <w:r w:rsidR="000C1B63">
        <w:rPr>
          <w:szCs w:val="26"/>
        </w:rPr>
        <w:t>s</w:t>
      </w:r>
      <w:r w:rsidR="001D46A6">
        <w:rPr>
          <w:szCs w:val="26"/>
        </w:rPr>
        <w:t xml:space="preserve"> </w:t>
      </w:r>
      <w:r w:rsidR="004820E2">
        <w:rPr>
          <w:szCs w:val="26"/>
        </w:rPr>
        <w:t>precipitated</w:t>
      </w:r>
      <w:r w:rsidR="00650036">
        <w:rPr>
          <w:szCs w:val="26"/>
        </w:rPr>
        <w:t xml:space="preserve"> or provoked</w:t>
      </w:r>
      <w:r w:rsidR="004820E2">
        <w:rPr>
          <w:szCs w:val="26"/>
        </w:rPr>
        <w:t xml:space="preserve"> the shooting</w:t>
      </w:r>
      <w:r w:rsidR="00F2470E">
        <w:rPr>
          <w:szCs w:val="26"/>
        </w:rPr>
        <w:t>.</w:t>
      </w:r>
      <w:r w:rsidR="004820E2">
        <w:rPr>
          <w:szCs w:val="26"/>
        </w:rPr>
        <w:t xml:space="preserve"> </w:t>
      </w:r>
      <w:r w:rsidRPr="000B1431" w:rsidR="00F51863">
        <w:rPr>
          <w:szCs w:val="26"/>
        </w:rPr>
        <w:t xml:space="preserve"> </w:t>
      </w:r>
      <w:r w:rsidR="00A84B9F">
        <w:rPr>
          <w:szCs w:val="26"/>
        </w:rPr>
        <w:t>And t</w:t>
      </w:r>
      <w:r w:rsidRPr="000B1431" w:rsidR="00A84B9F">
        <w:rPr>
          <w:szCs w:val="26"/>
        </w:rPr>
        <w:t xml:space="preserve">here is no reason to believe that the killing </w:t>
      </w:r>
      <w:r w:rsidRPr="000C1A92" w:rsidR="00A84B9F">
        <w:rPr>
          <w:szCs w:val="26"/>
        </w:rPr>
        <w:t>of Rosario would not have occurred if Reyes had not accompanied his fellow gang members on the ride</w:t>
      </w:r>
      <w:r w:rsidRPr="000C1A92" w:rsidR="000C1B63">
        <w:rPr>
          <w:szCs w:val="26"/>
        </w:rPr>
        <w:t xml:space="preserve"> or participated in the chase</w:t>
      </w:r>
      <w:r w:rsidRPr="000C1A92" w:rsidR="00A84B9F">
        <w:rPr>
          <w:szCs w:val="26"/>
        </w:rPr>
        <w:t xml:space="preserve">.  </w:t>
      </w:r>
      <w:r w:rsidRPr="000C1A92" w:rsidR="00124AC1">
        <w:rPr>
          <w:szCs w:val="26"/>
        </w:rPr>
        <w:t xml:space="preserve">(See </w:t>
      </w:r>
      <w:r w:rsidRPr="00BD4070" w:rsidR="008338F7">
        <w:rPr>
          <w:i/>
          <w:iCs/>
          <w:szCs w:val="26"/>
        </w:rPr>
        <w:t>People v. Cervantes</w:t>
      </w:r>
      <w:r w:rsidRPr="000C1A92" w:rsidR="008338F7">
        <w:rPr>
          <w:szCs w:val="26"/>
        </w:rPr>
        <w:t xml:space="preserve"> (2001) 26 Cal.4th 860, 86</w:t>
      </w:r>
      <w:r w:rsidR="00231D73">
        <w:rPr>
          <w:szCs w:val="26"/>
        </w:rPr>
        <w:t>6</w:t>
      </w:r>
      <w:r w:rsidRPr="000C1A92" w:rsidR="00124AC1">
        <w:rPr>
          <w:szCs w:val="26"/>
        </w:rPr>
        <w:t xml:space="preserve"> [“In homicide cases, a ‘cause of the death of </w:t>
      </w:r>
      <w:r w:rsidRPr="000C1A92" w:rsidR="008338F7">
        <w:rPr>
          <w:szCs w:val="26"/>
        </w:rPr>
        <w:t>[</w:t>
      </w:r>
      <w:r w:rsidRPr="000C1A92" w:rsidR="00124AC1">
        <w:rPr>
          <w:szCs w:val="26"/>
        </w:rPr>
        <w:t xml:space="preserve">the decedent] is an act </w:t>
      </w:r>
      <w:r w:rsidRPr="000C1A92" w:rsidR="001A1EAB">
        <w:rPr>
          <w:szCs w:val="26"/>
        </w:rPr>
        <w:t>. . .</w:t>
      </w:r>
      <w:r w:rsidRPr="000C1A92" w:rsidR="00124AC1">
        <w:rPr>
          <w:szCs w:val="26"/>
        </w:rPr>
        <w:t xml:space="preserve"> that sets in motion a chain of events that produces as a direct, natural and probable consequence of the act </w:t>
      </w:r>
      <w:r w:rsidRPr="000C1A92" w:rsidR="001A1EAB">
        <w:rPr>
          <w:szCs w:val="26"/>
        </w:rPr>
        <w:t>. . .</w:t>
      </w:r>
      <w:r w:rsidRPr="000C1A92" w:rsidR="00124AC1">
        <w:rPr>
          <w:szCs w:val="26"/>
        </w:rPr>
        <w:t xml:space="preserve"> the death</w:t>
      </w:r>
      <w:r w:rsidRPr="000C1A92" w:rsidR="008338F7">
        <w:rPr>
          <w:szCs w:val="26"/>
        </w:rPr>
        <w:t xml:space="preserve"> . . .</w:t>
      </w:r>
      <w:r w:rsidRPr="000C1A92" w:rsidR="00124AC1">
        <w:rPr>
          <w:szCs w:val="26"/>
        </w:rPr>
        <w:t xml:space="preserve"> and without which the death would not occur.’ ”]</w:t>
      </w:r>
      <w:r w:rsidRPr="000C1A92" w:rsidR="00E61A0B">
        <w:rPr>
          <w:szCs w:val="26"/>
        </w:rPr>
        <w:t>.</w:t>
      </w:r>
      <w:r w:rsidRPr="000C1A92" w:rsidR="00124AC1">
        <w:rPr>
          <w:szCs w:val="26"/>
        </w:rPr>
        <w:t>)</w:t>
      </w:r>
      <w:r w:rsidR="000A0753">
        <w:rPr>
          <w:szCs w:val="26"/>
        </w:rPr>
        <w:t xml:space="preserve">  </w:t>
      </w:r>
      <w:r w:rsidRPr="000B1431" w:rsidR="00CD7FF8">
        <w:rPr>
          <w:szCs w:val="26"/>
        </w:rPr>
        <w:t>Reyes’s act</w:t>
      </w:r>
      <w:r w:rsidR="00A355AD">
        <w:rPr>
          <w:szCs w:val="26"/>
        </w:rPr>
        <w:t>s</w:t>
      </w:r>
      <w:r w:rsidRPr="000B1431" w:rsidR="00CD7FF8">
        <w:rPr>
          <w:szCs w:val="26"/>
        </w:rPr>
        <w:t xml:space="preserve"> of bicycling into rival territory</w:t>
      </w:r>
      <w:r w:rsidR="00A355AD">
        <w:rPr>
          <w:szCs w:val="26"/>
        </w:rPr>
        <w:t xml:space="preserve"> and chasing after Rosario’s car</w:t>
      </w:r>
      <w:r w:rsidRPr="000B1431" w:rsidR="00CD7FF8">
        <w:rPr>
          <w:szCs w:val="26"/>
        </w:rPr>
        <w:t xml:space="preserve"> with Lopez and other fellow gang members</w:t>
      </w:r>
      <w:r w:rsidR="00A355AD">
        <w:rPr>
          <w:szCs w:val="26"/>
        </w:rPr>
        <w:t xml:space="preserve"> </w:t>
      </w:r>
      <w:r w:rsidRPr="000B1431" w:rsidR="00CD7FF8">
        <w:rPr>
          <w:szCs w:val="26"/>
        </w:rPr>
        <w:t>w</w:t>
      </w:r>
      <w:r w:rsidR="000C1B63">
        <w:rPr>
          <w:szCs w:val="26"/>
        </w:rPr>
        <w:t>ere</w:t>
      </w:r>
      <w:r w:rsidRPr="000B1431" w:rsidR="00CD7FF8">
        <w:rPr>
          <w:szCs w:val="26"/>
        </w:rPr>
        <w:t xml:space="preserve"> too attenuated in the chain of events to have proximately caused the killing</w:t>
      </w:r>
      <w:r w:rsidR="00E61A0B">
        <w:rPr>
          <w:szCs w:val="26"/>
        </w:rPr>
        <w:t>;</w:t>
      </w:r>
      <w:r w:rsidR="00720D06">
        <w:rPr>
          <w:szCs w:val="26"/>
        </w:rPr>
        <w:t xml:space="preserve"> a</w:t>
      </w:r>
      <w:r w:rsidRPr="000B1431" w:rsidR="00CD7FF8">
        <w:rPr>
          <w:szCs w:val="26"/>
        </w:rPr>
        <w:t>ny causal link between Reyes’s conduct and Rosario’s death is tenuous at best</w:t>
      </w:r>
      <w:r w:rsidR="00B07690">
        <w:rPr>
          <w:szCs w:val="26"/>
        </w:rPr>
        <w:t xml:space="preserve">. </w:t>
      </w:r>
      <w:r>
        <w:rPr>
          <w:szCs w:val="26"/>
        </w:rPr>
        <w:t xml:space="preserve"> Accordingly, we find no substantial evidence to support the trial court’s denial of Reyes’s resentencing petition based on his liability for second degree murder </w:t>
      </w:r>
      <w:r>
        <w:rPr>
          <w:szCs w:val="26"/>
        </w:rPr>
        <w:t>on</w:t>
      </w:r>
      <w:r>
        <w:rPr>
          <w:szCs w:val="26"/>
        </w:rPr>
        <w:t xml:space="preserve"> a direct perpetrator theory.</w:t>
      </w:r>
    </w:p>
    <w:p w:rsidR="001D4200" w:rsidP="000E4A37" w14:paraId="3F825A2B" w14:textId="71BE94B6">
      <w:pPr>
        <w:ind w:firstLine="720"/>
        <w:rPr>
          <w:szCs w:val="26"/>
        </w:rPr>
      </w:pPr>
      <w:r>
        <w:rPr>
          <w:szCs w:val="26"/>
        </w:rPr>
        <w:t xml:space="preserve">Although </w:t>
      </w:r>
      <w:r w:rsidR="000E4A37">
        <w:rPr>
          <w:szCs w:val="26"/>
        </w:rPr>
        <w:t xml:space="preserve">lack of proximate causation suffices to establish that the trial court erred </w:t>
      </w:r>
      <w:r w:rsidR="00BD4070">
        <w:rPr>
          <w:szCs w:val="26"/>
        </w:rPr>
        <w:t xml:space="preserve">in denying Reyes’s resentencing petition on </w:t>
      </w:r>
      <w:r w:rsidR="000E4A37">
        <w:rPr>
          <w:szCs w:val="26"/>
        </w:rPr>
        <w:t>a direct perpetrator theory</w:t>
      </w:r>
      <w:r>
        <w:rPr>
          <w:szCs w:val="26"/>
        </w:rPr>
        <w:t xml:space="preserve">, we also take issue with the </w:t>
      </w:r>
      <w:r w:rsidR="00B701C8">
        <w:rPr>
          <w:szCs w:val="26"/>
        </w:rPr>
        <w:t xml:space="preserve">trial </w:t>
      </w:r>
      <w:r>
        <w:rPr>
          <w:szCs w:val="26"/>
        </w:rPr>
        <w:t xml:space="preserve">court’s conclusion that </w:t>
      </w:r>
      <w:r w:rsidRPr="000B1431">
        <w:rPr>
          <w:szCs w:val="26"/>
        </w:rPr>
        <w:t>“[t]he natural and probable consequences</w:t>
      </w:r>
      <w:r w:rsidR="000E4A37">
        <w:rPr>
          <w:szCs w:val="26"/>
        </w:rPr>
        <w:t xml:space="preserve">” of Reyes’s act of traveling to rival gang territory </w:t>
      </w:r>
      <w:r w:rsidRPr="000B1431" w:rsidR="000E4A37">
        <w:rPr>
          <w:szCs w:val="26"/>
        </w:rPr>
        <w:t xml:space="preserve">with several other gang members, one of </w:t>
      </w:r>
      <w:r w:rsidR="000E4A37">
        <w:rPr>
          <w:szCs w:val="26"/>
        </w:rPr>
        <w:t>whom was</w:t>
      </w:r>
      <w:r w:rsidRPr="000B1431" w:rsidR="000E4A37">
        <w:rPr>
          <w:szCs w:val="26"/>
        </w:rPr>
        <w:t xml:space="preserve"> armed, </w:t>
      </w:r>
      <w:r w:rsidR="000E4A37">
        <w:rPr>
          <w:szCs w:val="26"/>
        </w:rPr>
        <w:t>“</w:t>
      </w:r>
      <w:r w:rsidRPr="000B1431">
        <w:rPr>
          <w:szCs w:val="26"/>
        </w:rPr>
        <w:t xml:space="preserve">were dangerous to human life.”  </w:t>
      </w:r>
      <w:r w:rsidR="00040D2E">
        <w:rPr>
          <w:szCs w:val="26"/>
        </w:rPr>
        <w:t>T</w:t>
      </w:r>
      <w:r w:rsidRPr="000B1431" w:rsidR="00644A28">
        <w:rPr>
          <w:szCs w:val="26"/>
        </w:rPr>
        <w:t xml:space="preserve">o suffice for implied malice murder, </w:t>
      </w:r>
      <w:r w:rsidR="00644A28">
        <w:rPr>
          <w:szCs w:val="26"/>
        </w:rPr>
        <w:t>the</w:t>
      </w:r>
      <w:r w:rsidRPr="000B1431" w:rsidR="00644A28">
        <w:rPr>
          <w:szCs w:val="26"/>
        </w:rPr>
        <w:t xml:space="preserve"> </w:t>
      </w:r>
      <w:r w:rsidR="00E61A0B">
        <w:rPr>
          <w:szCs w:val="26"/>
        </w:rPr>
        <w:t xml:space="preserve">defendant’s </w:t>
      </w:r>
      <w:r w:rsidRPr="000B1431" w:rsidR="00644A28">
        <w:rPr>
          <w:szCs w:val="26"/>
        </w:rPr>
        <w:t>act must not merely be dangerous to life in some vague or speculative sense; it must “</w:t>
      </w:r>
      <w:r w:rsidR="00644A28">
        <w:rPr>
          <w:szCs w:val="26"/>
        </w:rPr>
        <w:t> ‘</w:t>
      </w:r>
      <w:r w:rsidRPr="000B1431" w:rsidR="00644A28">
        <w:rPr>
          <w:szCs w:val="26"/>
        </w:rPr>
        <w:t>involve[] a high degree of probability that it will result in death.</w:t>
      </w:r>
      <w:r w:rsidR="00644A28">
        <w:rPr>
          <w:szCs w:val="26"/>
        </w:rPr>
        <w:t>’ </w:t>
      </w:r>
      <w:r w:rsidRPr="000B1431" w:rsidR="00644A28">
        <w:rPr>
          <w:szCs w:val="26"/>
        </w:rPr>
        <w:t>”  (</w:t>
      </w:r>
      <w:r w:rsidRPr="00AA7C51" w:rsidR="00831932">
        <w:rPr>
          <w:i/>
          <w:iCs/>
          <w:szCs w:val="26"/>
        </w:rPr>
        <w:t>Knoller</w:t>
      </w:r>
      <w:r w:rsidRPr="00AA7C51" w:rsidR="00831932">
        <w:rPr>
          <w:szCs w:val="26"/>
        </w:rPr>
        <w:t xml:space="preserve">, </w:t>
      </w:r>
      <w:r w:rsidRPr="00AA7C51" w:rsidR="00831932">
        <w:rPr>
          <w:i/>
          <w:iCs/>
          <w:szCs w:val="26"/>
        </w:rPr>
        <w:t>supra</w:t>
      </w:r>
      <w:r w:rsidR="00831932">
        <w:rPr>
          <w:szCs w:val="26"/>
        </w:rPr>
        <w:t xml:space="preserve">, </w:t>
      </w:r>
      <w:r w:rsidRPr="000B1431" w:rsidR="00831932">
        <w:rPr>
          <w:szCs w:val="26"/>
        </w:rPr>
        <w:t>41 Cal.4</w:t>
      </w:r>
      <w:r w:rsidR="00831932">
        <w:rPr>
          <w:szCs w:val="26"/>
        </w:rPr>
        <w:t>th</w:t>
      </w:r>
      <w:r w:rsidR="009C0730">
        <w:rPr>
          <w:szCs w:val="26"/>
        </w:rPr>
        <w:t xml:space="preserve"> </w:t>
      </w:r>
      <w:r w:rsidRPr="000B1431" w:rsidR="00644A28">
        <w:rPr>
          <w:szCs w:val="26"/>
        </w:rPr>
        <w:t>at p. 152</w:t>
      </w:r>
      <w:r w:rsidR="00644A28">
        <w:rPr>
          <w:szCs w:val="26"/>
        </w:rPr>
        <w:t xml:space="preserve">; see </w:t>
      </w:r>
      <w:r w:rsidR="00644A28">
        <w:rPr>
          <w:i/>
          <w:iCs/>
          <w:szCs w:val="26"/>
        </w:rPr>
        <w:t>ibid.</w:t>
      </w:r>
      <w:r w:rsidRPr="000B1431" w:rsidR="00644A28">
        <w:rPr>
          <w:szCs w:val="26"/>
        </w:rPr>
        <w:t xml:space="preserve"> [under the objective component of implied malice, “</w:t>
      </w:r>
      <w:r w:rsidR="00644A28">
        <w:rPr>
          <w:szCs w:val="26"/>
        </w:rPr>
        <w:t> ‘ “</w:t>
      </w:r>
      <w:r w:rsidRPr="000B1431" w:rsidR="00644A28">
        <w:rPr>
          <w:szCs w:val="26"/>
        </w:rPr>
        <w:t>dangerous to life</w:t>
      </w:r>
      <w:r w:rsidR="00644A28">
        <w:rPr>
          <w:szCs w:val="26"/>
        </w:rPr>
        <w:t>” ’ </w:t>
      </w:r>
      <w:r w:rsidRPr="000B1431" w:rsidR="00644A28">
        <w:rPr>
          <w:szCs w:val="26"/>
        </w:rPr>
        <w:t>” means the same thing as a “</w:t>
      </w:r>
      <w:r w:rsidR="00644A28">
        <w:rPr>
          <w:szCs w:val="26"/>
        </w:rPr>
        <w:t> ‘</w:t>
      </w:r>
      <w:r w:rsidRPr="000B1431" w:rsidR="00644A28">
        <w:rPr>
          <w:szCs w:val="26"/>
        </w:rPr>
        <w:t>high degree of probability that</w:t>
      </w:r>
      <w:r w:rsidR="00644A28">
        <w:rPr>
          <w:szCs w:val="26"/>
        </w:rPr>
        <w:t>’ </w:t>
      </w:r>
      <w:r w:rsidRPr="000B1431" w:rsidR="00644A28">
        <w:rPr>
          <w:szCs w:val="26"/>
        </w:rPr>
        <w:t>” the act in question “</w:t>
      </w:r>
      <w:r w:rsidR="00644A28">
        <w:rPr>
          <w:szCs w:val="26"/>
        </w:rPr>
        <w:t> ‘</w:t>
      </w:r>
      <w:r w:rsidRPr="000B1431" w:rsidR="00644A28">
        <w:rPr>
          <w:szCs w:val="26"/>
        </w:rPr>
        <w:t>will result in death</w:t>
      </w:r>
      <w:r w:rsidR="00644A28">
        <w:rPr>
          <w:szCs w:val="26"/>
        </w:rPr>
        <w:t>’ </w:t>
      </w:r>
      <w:r w:rsidRPr="000B1431" w:rsidR="00644A28">
        <w:rPr>
          <w:szCs w:val="26"/>
        </w:rPr>
        <w:t xml:space="preserve">”]; </w:t>
      </w:r>
      <w:r w:rsidRPr="000B1431" w:rsidR="00644A28">
        <w:rPr>
          <w:i/>
          <w:iCs/>
          <w:szCs w:val="26"/>
        </w:rPr>
        <w:t>People v. Cravens</w:t>
      </w:r>
      <w:r w:rsidRPr="000B1431" w:rsidR="00644A28">
        <w:rPr>
          <w:szCs w:val="26"/>
        </w:rPr>
        <w:t xml:space="preserve"> (2012) 53 Cal.4</w:t>
      </w:r>
      <w:r w:rsidR="004E4D36">
        <w:rPr>
          <w:szCs w:val="26"/>
        </w:rPr>
        <w:t>th</w:t>
      </w:r>
      <w:r w:rsidRPr="000B1431" w:rsidR="00644A28">
        <w:rPr>
          <w:szCs w:val="26"/>
        </w:rPr>
        <w:t xml:space="preserve"> 500, 513 (conc. opn. of Liu, J.) [“Although an act that will certainly lead to death is not required, the probability of death from the act must be more than remote or merely possible.”].)</w:t>
      </w:r>
    </w:p>
    <w:p w:rsidR="00C05657" w:rsidRPr="000B1431" w:rsidP="00C05657" w14:paraId="012B4BF4" w14:textId="0B84BF22">
      <w:pPr>
        <w:ind w:firstLine="720"/>
        <w:rPr>
          <w:szCs w:val="26"/>
        </w:rPr>
      </w:pPr>
      <w:r>
        <w:rPr>
          <w:szCs w:val="26"/>
        </w:rPr>
        <w:t>As noted</w:t>
      </w:r>
      <w:r w:rsidR="00005549">
        <w:rPr>
          <w:szCs w:val="26"/>
        </w:rPr>
        <w:t>, the prosecutor conceded that Reyes was not the shooter</w:t>
      </w:r>
      <w:r w:rsidR="00E61A0B">
        <w:rPr>
          <w:szCs w:val="26"/>
        </w:rPr>
        <w:t>; t</w:t>
      </w:r>
      <w:r w:rsidR="004D1144">
        <w:rPr>
          <w:szCs w:val="26"/>
        </w:rPr>
        <w:t xml:space="preserve">he evidence established </w:t>
      </w:r>
      <w:r w:rsidR="009275F0">
        <w:rPr>
          <w:szCs w:val="26"/>
        </w:rPr>
        <w:t>that R</w:t>
      </w:r>
      <w:r w:rsidR="00C96D49">
        <w:rPr>
          <w:szCs w:val="26"/>
        </w:rPr>
        <w:t xml:space="preserve">eyes and </w:t>
      </w:r>
      <w:r w:rsidR="0032407B">
        <w:rPr>
          <w:szCs w:val="26"/>
        </w:rPr>
        <w:t xml:space="preserve">his </w:t>
      </w:r>
      <w:r w:rsidR="00C96D49">
        <w:rPr>
          <w:szCs w:val="26"/>
        </w:rPr>
        <w:t>fellow gang members</w:t>
      </w:r>
      <w:r w:rsidR="004D1144">
        <w:rPr>
          <w:szCs w:val="26"/>
        </w:rPr>
        <w:t>, one of whom was armed,</w:t>
      </w:r>
      <w:r w:rsidR="00C96D49">
        <w:rPr>
          <w:szCs w:val="26"/>
        </w:rPr>
        <w:t xml:space="preserve"> </w:t>
      </w:r>
      <w:r w:rsidR="00E61A0B">
        <w:rPr>
          <w:szCs w:val="26"/>
        </w:rPr>
        <w:t>bicycled</w:t>
      </w:r>
      <w:r w:rsidR="00C96D49">
        <w:rPr>
          <w:szCs w:val="26"/>
        </w:rPr>
        <w:t xml:space="preserve"> to an area on the edge of territory belonging to </w:t>
      </w:r>
      <w:r w:rsidRPr="000B1431" w:rsidR="00C96D49">
        <w:rPr>
          <w:szCs w:val="26"/>
        </w:rPr>
        <w:t>a rival gang</w:t>
      </w:r>
      <w:r w:rsidR="004D1144">
        <w:rPr>
          <w:szCs w:val="26"/>
        </w:rPr>
        <w:t xml:space="preserve">. </w:t>
      </w:r>
      <w:r w:rsidR="00C96D49">
        <w:rPr>
          <w:szCs w:val="26"/>
        </w:rPr>
        <w:t xml:space="preserve"> </w:t>
      </w:r>
      <w:r w:rsidRPr="000B1431" w:rsidR="0072696F">
        <w:rPr>
          <w:szCs w:val="26"/>
        </w:rPr>
        <w:t xml:space="preserve">It may have been likely that </w:t>
      </w:r>
      <w:r w:rsidR="004D1144">
        <w:rPr>
          <w:szCs w:val="26"/>
        </w:rPr>
        <w:t>this act</w:t>
      </w:r>
      <w:r w:rsidRPr="000B1431" w:rsidR="0072696F">
        <w:rPr>
          <w:szCs w:val="26"/>
        </w:rPr>
        <w:t xml:space="preserve"> would result in some sort of gang confrontation, and it is possible that someone would get hurt or killed.  But the act does not by itself give rise to a high degree of probability that death will result.  </w:t>
      </w:r>
      <w:r>
        <w:rPr>
          <w:szCs w:val="26"/>
        </w:rPr>
        <w:t>I</w:t>
      </w:r>
      <w:r w:rsidRPr="000B1431">
        <w:rPr>
          <w:szCs w:val="26"/>
        </w:rPr>
        <w:t xml:space="preserve">n issuing its ruling, the </w:t>
      </w:r>
      <w:r>
        <w:rPr>
          <w:szCs w:val="26"/>
        </w:rPr>
        <w:t xml:space="preserve">trial </w:t>
      </w:r>
      <w:r w:rsidRPr="000B1431">
        <w:rPr>
          <w:szCs w:val="26"/>
        </w:rPr>
        <w:t>court mentioned Detective Rondou’s testimony suggesting that Reyes was providing “backup” to the shooter, as well as Reyes’s use of the same gun in the subsequent attack on Nieves</w:t>
      </w:r>
      <w:r w:rsidRPr="0072696F">
        <w:rPr>
          <w:szCs w:val="26"/>
        </w:rPr>
        <w:t>.</w:t>
      </w:r>
      <w:r>
        <w:rPr>
          <w:szCs w:val="26"/>
        </w:rPr>
        <w:t xml:space="preserve">  But this evidence is </w:t>
      </w:r>
      <w:r w:rsidRPr="00AA7C51">
        <w:rPr>
          <w:szCs w:val="26"/>
        </w:rPr>
        <w:t xml:space="preserve">insufficient to </w:t>
      </w:r>
      <w:r>
        <w:rPr>
          <w:szCs w:val="26"/>
        </w:rPr>
        <w:t>support a conclusion that Reyes committed an act that carried</w:t>
      </w:r>
      <w:r w:rsidRPr="00AA7C51">
        <w:rPr>
          <w:szCs w:val="26"/>
        </w:rPr>
        <w:t xml:space="preserve"> a “ ‘high degree of probability’ ” of death.  (</w:t>
      </w:r>
      <w:r w:rsidRPr="00AA7C51">
        <w:rPr>
          <w:i/>
          <w:iCs/>
          <w:szCs w:val="26"/>
        </w:rPr>
        <w:t>Knoller</w:t>
      </w:r>
      <w:r w:rsidRPr="00AA7C51">
        <w:rPr>
          <w:szCs w:val="26"/>
        </w:rPr>
        <w:t xml:space="preserve">, </w:t>
      </w:r>
      <w:r w:rsidRPr="00AA7C51">
        <w:rPr>
          <w:i/>
          <w:iCs/>
          <w:szCs w:val="26"/>
        </w:rPr>
        <w:t>supra</w:t>
      </w:r>
      <w:r>
        <w:rPr>
          <w:szCs w:val="26"/>
        </w:rPr>
        <w:t xml:space="preserve">, </w:t>
      </w:r>
      <w:r w:rsidRPr="000B1431">
        <w:rPr>
          <w:szCs w:val="26"/>
        </w:rPr>
        <w:t>41 Cal.4</w:t>
      </w:r>
      <w:r>
        <w:rPr>
          <w:szCs w:val="26"/>
        </w:rPr>
        <w:t>th</w:t>
      </w:r>
      <w:r w:rsidRPr="000B1431">
        <w:rPr>
          <w:szCs w:val="26"/>
        </w:rPr>
        <w:t xml:space="preserve"> </w:t>
      </w:r>
      <w:r w:rsidRPr="00AA7C51">
        <w:rPr>
          <w:szCs w:val="26"/>
        </w:rPr>
        <w:t>at p. 152.)</w:t>
      </w:r>
      <w:r w:rsidRPr="000B1431">
        <w:rPr>
          <w:szCs w:val="26"/>
        </w:rPr>
        <w:t xml:space="preserve">  </w:t>
      </w:r>
      <w:r>
        <w:rPr>
          <w:szCs w:val="26"/>
        </w:rPr>
        <w:t>E</w:t>
      </w:r>
      <w:r w:rsidRPr="000B1431" w:rsidR="0072696F">
        <w:rPr>
          <w:szCs w:val="26"/>
        </w:rPr>
        <w:t xml:space="preserve">ven if the gang expert’s testimony and the attack on Nieves might shed light on Reyes’s role and mental state in </w:t>
      </w:r>
      <w:r w:rsidRPr="00696A2C" w:rsidR="0072696F">
        <w:rPr>
          <w:szCs w:val="26"/>
        </w:rPr>
        <w:t xml:space="preserve">the sequence of events, those pieces of evidence </w:t>
      </w:r>
      <w:r w:rsidRPr="00696A2C" w:rsidR="0072696F">
        <w:rPr>
          <w:rFonts w:cs="TimesNewRomanPSMT"/>
          <w:szCs w:val="26"/>
        </w:rPr>
        <w:t>do not speak to whether</w:t>
      </w:r>
      <w:r w:rsidR="00FE7430">
        <w:rPr>
          <w:rFonts w:cs="TimesNewRomanPSMT"/>
          <w:szCs w:val="26"/>
        </w:rPr>
        <w:t xml:space="preserve"> </w:t>
      </w:r>
      <w:r w:rsidRPr="009037FA" w:rsidR="00FE7430">
        <w:rPr>
          <w:rFonts w:cs="TimesNewRomanPSMT"/>
          <w:szCs w:val="26"/>
        </w:rPr>
        <w:t>Reyes’s a</w:t>
      </w:r>
      <w:r w:rsidRPr="009037FA" w:rsidR="00C82333">
        <w:rPr>
          <w:rFonts w:cs="TimesNewRomanPSMT"/>
          <w:szCs w:val="26"/>
        </w:rPr>
        <w:t>ct itself</w:t>
      </w:r>
      <w:r w:rsidRPr="00696A2C" w:rsidR="0072696F">
        <w:rPr>
          <w:rFonts w:cs="TimesNewRomanPS-ItalicMT"/>
          <w:i/>
          <w:iCs/>
          <w:szCs w:val="26"/>
        </w:rPr>
        <w:t> </w:t>
      </w:r>
      <w:r w:rsidRPr="00696A2C" w:rsidR="0072696F">
        <w:rPr>
          <w:rFonts w:cs="TimesNewRomanPSMT"/>
          <w:szCs w:val="26"/>
        </w:rPr>
        <w:t>—in the</w:t>
      </w:r>
      <w:r w:rsidRPr="00696A2C" w:rsidR="0072696F">
        <w:rPr>
          <w:szCs w:val="26"/>
        </w:rPr>
        <w:t xml:space="preserve"> </w:t>
      </w:r>
      <w:r w:rsidRPr="00696A2C" w:rsidR="0072696F">
        <w:rPr>
          <w:rFonts w:cs="TimesNewRomanPSMT"/>
          <w:szCs w:val="26"/>
        </w:rPr>
        <w:t>trial court’s words, “the act in this case is the defendant, along with several other</w:t>
      </w:r>
      <w:r w:rsidRPr="00696A2C" w:rsidR="0072696F">
        <w:rPr>
          <w:szCs w:val="26"/>
        </w:rPr>
        <w:t xml:space="preserve"> </w:t>
      </w:r>
      <w:r w:rsidRPr="00696A2C" w:rsidR="0072696F">
        <w:rPr>
          <w:rFonts w:cs="TimesNewRomanPSMT"/>
          <w:szCs w:val="26"/>
        </w:rPr>
        <w:t>gang members, one of which [was] armed, traveled to rival gang territory” — was</w:t>
      </w:r>
      <w:r w:rsidRPr="000B1431" w:rsidR="0072696F">
        <w:rPr>
          <w:rFonts w:cs="TimesNewRomanPSMT"/>
          <w:szCs w:val="26"/>
        </w:rPr>
        <w:t xml:space="preserve"> dangerous to life such that it satisfied the actus reus element of implied malice murder.</w:t>
      </w:r>
    </w:p>
    <w:p w:rsidR="00194073" w:rsidRPr="000B1431" w:rsidP="000B1431" w14:paraId="29341DC4" w14:textId="7E5B55D4">
      <w:pPr>
        <w:pStyle w:val="Heading1"/>
        <w:rPr>
          <w:szCs w:val="26"/>
        </w:rPr>
      </w:pPr>
      <w:r w:rsidRPr="000B1431">
        <w:rPr>
          <w:szCs w:val="26"/>
        </w:rPr>
        <w:t>B</w:t>
      </w:r>
      <w:r w:rsidRPr="000B1431">
        <w:rPr>
          <w:szCs w:val="26"/>
        </w:rPr>
        <w:t>.</w:t>
      </w:r>
    </w:p>
    <w:p w:rsidR="009108B6" w:rsidRPr="000B1431" w:rsidP="000B1431" w14:paraId="0E9D9460" w14:textId="39FE1275">
      <w:pPr>
        <w:ind w:firstLine="720"/>
        <w:rPr>
          <w:szCs w:val="26"/>
        </w:rPr>
      </w:pPr>
      <w:r>
        <w:rPr>
          <w:szCs w:val="26"/>
        </w:rPr>
        <w:t xml:space="preserve">To the extent the trial court purported </w:t>
      </w:r>
      <w:r w:rsidRPr="000B1431" w:rsidR="00424CD3">
        <w:rPr>
          <w:szCs w:val="26"/>
        </w:rPr>
        <w:t>to sustain Reyes’s conviction on a theory of directly aiding and abetting implied malice murder</w:t>
      </w:r>
      <w:r w:rsidR="007A1D86">
        <w:rPr>
          <w:szCs w:val="26"/>
        </w:rPr>
        <w:t>, the trial court’s findings rested on an error of law</w:t>
      </w:r>
      <w:r w:rsidRPr="000B1431" w:rsidR="00424CD3">
        <w:rPr>
          <w:szCs w:val="26"/>
        </w:rPr>
        <w:t xml:space="preserve">.  </w:t>
      </w:r>
      <w:r w:rsidRPr="000B1431" w:rsidR="00D658DE">
        <w:rPr>
          <w:szCs w:val="26"/>
        </w:rPr>
        <w:t xml:space="preserve">As noted, </w:t>
      </w:r>
      <w:r w:rsidRPr="000B1431" w:rsidR="00FE5C30">
        <w:rPr>
          <w:szCs w:val="26"/>
        </w:rPr>
        <w:t>the prosecutor</w:t>
      </w:r>
      <w:r w:rsidRPr="000B1431" w:rsidR="00101FCF">
        <w:rPr>
          <w:szCs w:val="26"/>
        </w:rPr>
        <w:t xml:space="preserve"> </w:t>
      </w:r>
      <w:r w:rsidRPr="000B1431" w:rsidR="00424CD3">
        <w:rPr>
          <w:szCs w:val="26"/>
        </w:rPr>
        <w:t>relied on</w:t>
      </w:r>
      <w:r w:rsidRPr="000B1431" w:rsidR="00101FCF">
        <w:rPr>
          <w:szCs w:val="26"/>
        </w:rPr>
        <w:t xml:space="preserve"> </w:t>
      </w:r>
      <w:r w:rsidRPr="000B1431" w:rsidR="002D313D">
        <w:rPr>
          <w:szCs w:val="26"/>
        </w:rPr>
        <w:t xml:space="preserve">two </w:t>
      </w:r>
      <w:r w:rsidRPr="000B1431" w:rsidR="00101FCF">
        <w:rPr>
          <w:szCs w:val="26"/>
        </w:rPr>
        <w:t xml:space="preserve">theories of </w:t>
      </w:r>
      <w:r w:rsidRPr="000B1431" w:rsidR="00996708">
        <w:rPr>
          <w:szCs w:val="26"/>
        </w:rPr>
        <w:t>aiding and abetting</w:t>
      </w:r>
      <w:r w:rsidRPr="000B1431" w:rsidR="00424CD3">
        <w:rPr>
          <w:szCs w:val="26"/>
        </w:rPr>
        <w:t xml:space="preserve"> to establish Reyes’s liability for murder. </w:t>
      </w:r>
      <w:r w:rsidRPr="000B1431" w:rsidR="0016064E">
        <w:rPr>
          <w:szCs w:val="26"/>
        </w:rPr>
        <w:t xml:space="preserve"> </w:t>
      </w:r>
      <w:r w:rsidRPr="000B1431" w:rsidR="002F4CF6">
        <w:rPr>
          <w:szCs w:val="26"/>
        </w:rPr>
        <w:t xml:space="preserve">After conceding </w:t>
      </w:r>
      <w:r w:rsidRPr="000B1431" w:rsidR="00B8238B">
        <w:rPr>
          <w:szCs w:val="26"/>
        </w:rPr>
        <w:t>that Reyes was not the shooter</w:t>
      </w:r>
      <w:r w:rsidRPr="000B1431" w:rsidR="002F4CF6">
        <w:rPr>
          <w:szCs w:val="26"/>
        </w:rPr>
        <w:t>, the prosecutor</w:t>
      </w:r>
      <w:r w:rsidRPr="000B1431" w:rsidR="00B8238B">
        <w:rPr>
          <w:szCs w:val="26"/>
        </w:rPr>
        <w:t xml:space="preserve"> informed the jury that it could find Reyes guilty of second degree murder under </w:t>
      </w:r>
      <w:r w:rsidRPr="000B1431" w:rsidR="00424CD3">
        <w:rPr>
          <w:szCs w:val="26"/>
        </w:rPr>
        <w:t xml:space="preserve">a theory of </w:t>
      </w:r>
      <w:r w:rsidRPr="000B1431" w:rsidR="00B8238B">
        <w:rPr>
          <w:szCs w:val="26"/>
        </w:rPr>
        <w:t>direct aiding and abetting</w:t>
      </w:r>
      <w:r w:rsidRPr="000B1431" w:rsidR="00424CD3">
        <w:rPr>
          <w:szCs w:val="26"/>
        </w:rPr>
        <w:t xml:space="preserve"> or under a </w:t>
      </w:r>
      <w:r w:rsidRPr="000B1431" w:rsidR="00B8238B">
        <w:rPr>
          <w:szCs w:val="26"/>
        </w:rPr>
        <w:t>natural and probable consequences theory.</w:t>
      </w:r>
      <w:r w:rsidRPr="000B1431" w:rsidR="00424CD3">
        <w:rPr>
          <w:szCs w:val="26"/>
        </w:rPr>
        <w:t xml:space="preserve">  </w:t>
      </w:r>
      <w:r w:rsidRPr="000B1431" w:rsidR="0018767F">
        <w:rPr>
          <w:szCs w:val="26"/>
        </w:rPr>
        <w:t xml:space="preserve">Because </w:t>
      </w:r>
      <w:r w:rsidRPr="000B1431" w:rsidR="00424CD3">
        <w:rPr>
          <w:szCs w:val="26"/>
        </w:rPr>
        <w:t>Senate Bill No. 1437 eliminated the latter theory</w:t>
      </w:r>
      <w:r w:rsidRPr="000B1431" w:rsidR="0018767F">
        <w:rPr>
          <w:szCs w:val="26"/>
        </w:rPr>
        <w:t xml:space="preserve"> (see </w:t>
      </w:r>
      <w:r w:rsidRPr="000B1431" w:rsidR="0018767F">
        <w:rPr>
          <w:i/>
          <w:iCs/>
          <w:szCs w:val="26"/>
        </w:rPr>
        <w:t>Gentile</w:t>
      </w:r>
      <w:r w:rsidRPr="000B1431" w:rsidR="0018767F">
        <w:rPr>
          <w:szCs w:val="26"/>
        </w:rPr>
        <w:t xml:space="preserve">, </w:t>
      </w:r>
      <w:r w:rsidRPr="000B1431" w:rsidR="0018767F">
        <w:rPr>
          <w:i/>
          <w:iCs/>
          <w:szCs w:val="26"/>
        </w:rPr>
        <w:t>supra</w:t>
      </w:r>
      <w:r w:rsidRPr="000B1431" w:rsidR="0018767F">
        <w:rPr>
          <w:szCs w:val="26"/>
        </w:rPr>
        <w:t>, 10 Cal.5th at p</w:t>
      </w:r>
      <w:r w:rsidRPr="000B1431" w:rsidR="001F5FBB">
        <w:rPr>
          <w:szCs w:val="26"/>
        </w:rPr>
        <w:t>. 839</w:t>
      </w:r>
      <w:r w:rsidRPr="000B1431" w:rsidR="0018767F">
        <w:rPr>
          <w:szCs w:val="26"/>
        </w:rPr>
        <w:t>),</w:t>
      </w:r>
      <w:r w:rsidRPr="000B1431" w:rsidR="00424CD3">
        <w:rPr>
          <w:szCs w:val="26"/>
        </w:rPr>
        <w:t xml:space="preserve"> we examine </w:t>
      </w:r>
      <w:r w:rsidRPr="000B1431" w:rsidR="0018767F">
        <w:rPr>
          <w:szCs w:val="26"/>
        </w:rPr>
        <w:t xml:space="preserve">whether the trial court properly </w:t>
      </w:r>
      <w:r w:rsidR="007A1D86">
        <w:rPr>
          <w:szCs w:val="26"/>
        </w:rPr>
        <w:t xml:space="preserve">understood the elements </w:t>
      </w:r>
      <w:r w:rsidRPr="000B1431" w:rsidR="0018767F">
        <w:rPr>
          <w:szCs w:val="26"/>
        </w:rPr>
        <w:t>of direct aiding and abetting</w:t>
      </w:r>
      <w:r w:rsidRPr="000B1431" w:rsidR="006E06DD">
        <w:rPr>
          <w:szCs w:val="26"/>
        </w:rPr>
        <w:t>.</w:t>
      </w:r>
      <w:r w:rsidRPr="007B2AB4" w:rsidR="007B2AB4">
        <w:rPr>
          <w:szCs w:val="26"/>
        </w:rPr>
        <w:t xml:space="preserve"> </w:t>
      </w:r>
      <w:r w:rsidR="0032407B">
        <w:rPr>
          <w:szCs w:val="26"/>
        </w:rPr>
        <w:t xml:space="preserve"> </w:t>
      </w:r>
    </w:p>
    <w:p w:rsidR="008A28B0" w:rsidRPr="000B1431" w:rsidP="000B1431" w14:paraId="4A47518B" w14:textId="193C3B22">
      <w:pPr>
        <w:ind w:firstLine="720"/>
        <w:rPr>
          <w:szCs w:val="26"/>
        </w:rPr>
      </w:pPr>
      <w:r w:rsidRPr="000B1431">
        <w:rPr>
          <w:szCs w:val="26"/>
        </w:rPr>
        <w:t xml:space="preserve">At the outset, we note that Reyes does not contest the validity of a direct aiding and abetting theory of second degree murder, but the Office of the State Public Defender as amicus curiae does.  </w:t>
      </w:r>
      <w:r w:rsidRPr="000B1431" w:rsidR="007B21EB">
        <w:rPr>
          <w:szCs w:val="26"/>
        </w:rPr>
        <w:t xml:space="preserve">Case law has recognized and applied this theory, and we see no basis </w:t>
      </w:r>
      <w:r w:rsidRPr="000B1431" w:rsidR="00741846">
        <w:rPr>
          <w:szCs w:val="26"/>
        </w:rPr>
        <w:t xml:space="preserve">to </w:t>
      </w:r>
      <w:r w:rsidRPr="000B1431" w:rsidR="007B21EB">
        <w:rPr>
          <w:szCs w:val="26"/>
        </w:rPr>
        <w:t>abrogat</w:t>
      </w:r>
      <w:r w:rsidRPr="000B1431" w:rsidR="00741846">
        <w:rPr>
          <w:szCs w:val="26"/>
        </w:rPr>
        <w:t>e</w:t>
      </w:r>
      <w:r w:rsidRPr="000B1431" w:rsidR="007B21EB">
        <w:rPr>
          <w:szCs w:val="26"/>
        </w:rPr>
        <w:t xml:space="preserve"> it.  </w:t>
      </w:r>
      <w:r w:rsidRPr="000B1431">
        <w:rPr>
          <w:szCs w:val="26"/>
        </w:rPr>
        <w:t xml:space="preserve">In </w:t>
      </w:r>
      <w:r w:rsidRPr="000B1431">
        <w:rPr>
          <w:i/>
          <w:iCs/>
          <w:szCs w:val="26"/>
        </w:rPr>
        <w:t>Gentile</w:t>
      </w:r>
      <w:r w:rsidRPr="000B1431">
        <w:rPr>
          <w:szCs w:val="26"/>
        </w:rPr>
        <w:t>, we observed that “notwithstanding Senate Bill 1437’s elimination of natural and probable consequences liability for second degree murder, an aider and abettor who does not expressly intend to aid a killing can still be convicted of second degree murder if the person knows that his or her conduct endangers the life of another and acts with conscious disregard for life.”  (</w:t>
      </w:r>
      <w:r w:rsidRPr="000B1431">
        <w:rPr>
          <w:i/>
          <w:iCs/>
          <w:szCs w:val="26"/>
        </w:rPr>
        <w:t>Gentile</w:t>
      </w:r>
      <w:r w:rsidRPr="000B1431">
        <w:rPr>
          <w:szCs w:val="26"/>
        </w:rPr>
        <w:t xml:space="preserve">, </w:t>
      </w:r>
      <w:r w:rsidRPr="000B1431">
        <w:rPr>
          <w:i/>
          <w:iCs/>
          <w:szCs w:val="26"/>
        </w:rPr>
        <w:t>supra</w:t>
      </w:r>
      <w:r w:rsidRPr="000B1431">
        <w:rPr>
          <w:szCs w:val="26"/>
        </w:rPr>
        <w:t xml:space="preserve">, 10 Cal.5th at p. 850.)  </w:t>
      </w:r>
      <w:r w:rsidRPr="000B1431" w:rsidR="002D313D">
        <w:rPr>
          <w:szCs w:val="26"/>
        </w:rPr>
        <w:t>S</w:t>
      </w:r>
      <w:r w:rsidRPr="000B1431" w:rsidR="007B21EB">
        <w:rPr>
          <w:szCs w:val="26"/>
        </w:rPr>
        <w:t xml:space="preserve">ince </w:t>
      </w:r>
      <w:r w:rsidRPr="000B1431" w:rsidR="002D313D">
        <w:rPr>
          <w:szCs w:val="26"/>
        </w:rPr>
        <w:t xml:space="preserve">our decision in </w:t>
      </w:r>
      <w:r w:rsidRPr="000B1431" w:rsidR="007B21EB">
        <w:rPr>
          <w:i/>
          <w:iCs/>
          <w:szCs w:val="26"/>
        </w:rPr>
        <w:t>Gentile</w:t>
      </w:r>
      <w:r w:rsidRPr="000B1431" w:rsidR="007B21EB">
        <w:rPr>
          <w:szCs w:val="26"/>
        </w:rPr>
        <w:t>, t</w:t>
      </w:r>
      <w:r w:rsidRPr="000B1431">
        <w:rPr>
          <w:szCs w:val="26"/>
        </w:rPr>
        <w:t>he Courts of Appeal have held that a defendant may directly aid and abet an implied malice murder.  (</w:t>
      </w:r>
      <w:r w:rsidRPr="000B1431" w:rsidR="004868DA">
        <w:rPr>
          <w:szCs w:val="26"/>
        </w:rPr>
        <w:t xml:space="preserve">See </w:t>
      </w:r>
      <w:r w:rsidRPr="000B1431">
        <w:rPr>
          <w:i/>
          <w:iCs/>
          <w:szCs w:val="26"/>
        </w:rPr>
        <w:t>People v. Glukhoy</w:t>
      </w:r>
      <w:r w:rsidRPr="000B1431">
        <w:rPr>
          <w:szCs w:val="26"/>
        </w:rPr>
        <w:t xml:space="preserve"> (2022) 77 Cal.App.5th 576, 588–591</w:t>
      </w:r>
      <w:r w:rsidR="00D463D4">
        <w:rPr>
          <w:szCs w:val="26"/>
        </w:rPr>
        <w:t>, review granted July 27, 2022, S274792</w:t>
      </w:r>
      <w:r w:rsidRPr="000B1431">
        <w:rPr>
          <w:szCs w:val="26"/>
        </w:rPr>
        <w:t xml:space="preserve">; </w:t>
      </w:r>
      <w:r w:rsidRPr="000B1431">
        <w:rPr>
          <w:i/>
          <w:iCs/>
          <w:szCs w:val="26"/>
        </w:rPr>
        <w:t xml:space="preserve">People v. Superior Court </w:t>
      </w:r>
      <w:r w:rsidRPr="00B94E63">
        <w:rPr>
          <w:szCs w:val="26"/>
        </w:rPr>
        <w:t>(</w:t>
      </w:r>
      <w:r w:rsidRPr="000B1431">
        <w:rPr>
          <w:i/>
          <w:iCs/>
          <w:szCs w:val="26"/>
        </w:rPr>
        <w:t>Valenzuela</w:t>
      </w:r>
      <w:r w:rsidRPr="00B94E63">
        <w:rPr>
          <w:szCs w:val="26"/>
        </w:rPr>
        <w:t>)</w:t>
      </w:r>
      <w:r w:rsidRPr="000B1431">
        <w:rPr>
          <w:szCs w:val="26"/>
        </w:rPr>
        <w:t xml:space="preserve"> (2021) 73 Cal.App.5th 485, </w:t>
      </w:r>
      <w:r w:rsidRPr="000B1431" w:rsidR="00075D59">
        <w:rPr>
          <w:szCs w:val="26"/>
        </w:rPr>
        <w:t>499</w:t>
      </w:r>
      <w:r w:rsidRPr="000B1431">
        <w:rPr>
          <w:szCs w:val="26"/>
        </w:rPr>
        <w:t xml:space="preserve">; </w:t>
      </w:r>
      <w:r w:rsidRPr="000B1431" w:rsidR="004868DA">
        <w:rPr>
          <w:i/>
          <w:iCs/>
          <w:szCs w:val="26"/>
        </w:rPr>
        <w:t>People v. Powell</w:t>
      </w:r>
      <w:r w:rsidRPr="000B1431" w:rsidR="004868DA">
        <w:rPr>
          <w:szCs w:val="26"/>
        </w:rPr>
        <w:t xml:space="preserve"> (2021) 63 Cal.App.5th 689, </w:t>
      </w:r>
      <w:r w:rsidRPr="000B1431">
        <w:rPr>
          <w:szCs w:val="26"/>
        </w:rPr>
        <w:t>710–714 (</w:t>
      </w:r>
      <w:r w:rsidRPr="000B1431">
        <w:rPr>
          <w:i/>
          <w:iCs/>
          <w:szCs w:val="26"/>
        </w:rPr>
        <w:t>Powell</w:t>
      </w:r>
      <w:r w:rsidRPr="000B1431">
        <w:rPr>
          <w:szCs w:val="26"/>
        </w:rPr>
        <w:t>)</w:t>
      </w:r>
      <w:r w:rsidRPr="000B1431" w:rsidR="00075D59">
        <w:rPr>
          <w:szCs w:val="26"/>
        </w:rPr>
        <w:t xml:space="preserve">; see also </w:t>
      </w:r>
      <w:r w:rsidRPr="000B1431" w:rsidR="00075D59">
        <w:rPr>
          <w:i/>
          <w:iCs/>
          <w:szCs w:val="26"/>
        </w:rPr>
        <w:t>People v. Langi</w:t>
      </w:r>
      <w:r w:rsidRPr="000B1431" w:rsidR="00075D59">
        <w:rPr>
          <w:szCs w:val="26"/>
        </w:rPr>
        <w:t xml:space="preserve"> (2022) 73 Cal.App.5th 972, 979–983</w:t>
      </w:r>
      <w:r w:rsidRPr="000B1431">
        <w:rPr>
          <w:szCs w:val="26"/>
        </w:rPr>
        <w:t>.)</w:t>
      </w:r>
    </w:p>
    <w:p w:rsidR="008A28B0" w:rsidRPr="000B1431" w:rsidP="000B1431" w14:paraId="2D101A4A" w14:textId="1295556E">
      <w:pPr>
        <w:ind w:firstLine="720"/>
        <w:rPr>
          <w:szCs w:val="26"/>
        </w:rPr>
      </w:pPr>
      <w:r w:rsidRPr="000B1431">
        <w:rPr>
          <w:szCs w:val="26"/>
        </w:rPr>
        <w:t xml:space="preserve">The Court of Appeal in </w:t>
      </w:r>
      <w:r w:rsidRPr="000B1431">
        <w:rPr>
          <w:i/>
          <w:iCs/>
          <w:szCs w:val="26"/>
        </w:rPr>
        <w:t>Powell</w:t>
      </w:r>
      <w:r w:rsidRPr="000B1431">
        <w:rPr>
          <w:szCs w:val="26"/>
        </w:rPr>
        <w:t xml:space="preserve"> explained the elements as follows:  “</w:t>
      </w:r>
      <w:r w:rsidRPr="000B1431">
        <w:rPr>
          <w:szCs w:val="26"/>
        </w:rPr>
        <w:t>[D]</w:t>
      </w:r>
      <w:r w:rsidRPr="000B1431">
        <w:rPr>
          <w:szCs w:val="26"/>
        </w:rPr>
        <w:t>irect aiding and abetting is based on the combined actus reus of the participants and the aider and abettor’s own mens rea.  ([</w:t>
      </w:r>
      <w:r w:rsidRPr="000B1431">
        <w:rPr>
          <w:i/>
          <w:iCs/>
          <w:szCs w:val="26"/>
        </w:rPr>
        <w:t>People v</w:t>
      </w:r>
      <w:r w:rsidRPr="000B1431">
        <w:rPr>
          <w:szCs w:val="26"/>
        </w:rPr>
        <w:t>.</w:t>
      </w:r>
      <w:r w:rsidRPr="000B1431">
        <w:rPr>
          <w:i/>
          <w:iCs/>
          <w:szCs w:val="26"/>
        </w:rPr>
        <w:t xml:space="preserve"> McCoy</w:t>
      </w:r>
      <w:r w:rsidRPr="000B1431">
        <w:rPr>
          <w:szCs w:val="26"/>
        </w:rPr>
        <w:t xml:space="preserve"> (2001) 25 Cal.4th 1111, 1122.</w:t>
      </w:r>
      <w:r w:rsidR="00E404A3">
        <w:rPr>
          <w:szCs w:val="26"/>
        </w:rPr>
        <w:t>]</w:t>
      </w:r>
      <w:r w:rsidRPr="000B1431">
        <w:rPr>
          <w:szCs w:val="26"/>
        </w:rPr>
        <w:t>)  In the context of implied malice, the actus reus required of the perpetrator is the commission of a life endangering act</w:t>
      </w:r>
      <w:r w:rsidRPr="000B1431" w:rsidR="001F5FBB">
        <w:rPr>
          <w:szCs w:val="26"/>
        </w:rPr>
        <w:t xml:space="preserve">.  </w:t>
      </w:r>
      <w:r w:rsidRPr="000B1431">
        <w:rPr>
          <w:szCs w:val="26"/>
        </w:rPr>
        <w:t>For the direct aider and abettor, the actus reus includes whatever acts constitute aiding the commission of the life</w:t>
      </w:r>
      <w:r w:rsidR="00A145E4">
        <w:rPr>
          <w:szCs w:val="26"/>
        </w:rPr>
        <w:t>-</w:t>
      </w:r>
      <w:r w:rsidRPr="000B1431">
        <w:rPr>
          <w:szCs w:val="26"/>
        </w:rPr>
        <w:t xml:space="preserve">endangering act.  Thus, to be </w:t>
      </w:r>
      <w:r w:rsidR="0044077B">
        <w:rPr>
          <w:szCs w:val="26"/>
        </w:rPr>
        <w:t>liable for</w:t>
      </w:r>
      <w:r w:rsidR="004518E6">
        <w:rPr>
          <w:szCs w:val="26"/>
        </w:rPr>
        <w:t xml:space="preserve"> an</w:t>
      </w:r>
      <w:r w:rsidRPr="000B1431">
        <w:rPr>
          <w:szCs w:val="26"/>
        </w:rPr>
        <w:t xml:space="preserve"> implied malice murder, the direct aider and abettor must, by words or conduct, aid the commission of the life</w:t>
      </w:r>
      <w:r w:rsidR="00A145E4">
        <w:rPr>
          <w:szCs w:val="26"/>
        </w:rPr>
        <w:t>-</w:t>
      </w:r>
      <w:r w:rsidRPr="000B1431">
        <w:rPr>
          <w:szCs w:val="26"/>
        </w:rPr>
        <w:t xml:space="preserve">endangering </w:t>
      </w:r>
      <w:r w:rsidRPr="000B1431">
        <w:rPr>
          <w:i/>
          <w:iCs/>
          <w:szCs w:val="26"/>
        </w:rPr>
        <w:t>act</w:t>
      </w:r>
      <w:r w:rsidRPr="000B1431">
        <w:rPr>
          <w:szCs w:val="26"/>
        </w:rPr>
        <w:t>, not the result of that act.  The mens rea, which must be personally harbored by the direct aider an</w:t>
      </w:r>
      <w:r w:rsidRPr="000B1431" w:rsidR="00075D59">
        <w:rPr>
          <w:szCs w:val="26"/>
        </w:rPr>
        <w:t>d</w:t>
      </w:r>
      <w:r w:rsidRPr="000B1431">
        <w:rPr>
          <w:szCs w:val="26"/>
        </w:rPr>
        <w:t xml:space="preserve"> abettor, is knowledge that the perpetrator intended to commit </w:t>
      </w:r>
      <w:r w:rsidRPr="000B1431">
        <w:rPr>
          <w:i/>
          <w:iCs/>
          <w:szCs w:val="26"/>
        </w:rPr>
        <w:t>the act</w:t>
      </w:r>
      <w:r w:rsidRPr="000B1431">
        <w:rPr>
          <w:szCs w:val="26"/>
        </w:rPr>
        <w:t xml:space="preserve">, intent to aid the perpetrator in the commission of </w:t>
      </w:r>
      <w:r w:rsidRPr="000B1431">
        <w:rPr>
          <w:i/>
          <w:iCs/>
          <w:szCs w:val="26"/>
        </w:rPr>
        <w:t>the act</w:t>
      </w:r>
      <w:r w:rsidRPr="000B1431">
        <w:rPr>
          <w:szCs w:val="26"/>
        </w:rPr>
        <w:t xml:space="preserve">, knowledge that </w:t>
      </w:r>
      <w:r w:rsidRPr="000B1431">
        <w:rPr>
          <w:i/>
          <w:iCs/>
          <w:szCs w:val="26"/>
        </w:rPr>
        <w:t>the act</w:t>
      </w:r>
      <w:r w:rsidRPr="000B1431">
        <w:rPr>
          <w:szCs w:val="26"/>
        </w:rPr>
        <w:t xml:space="preserve"> is dangerous to human life, and acting in conscious disregard for human life.”  (</w:t>
      </w:r>
      <w:r w:rsidRPr="000B1431">
        <w:rPr>
          <w:i/>
          <w:iCs/>
          <w:szCs w:val="26"/>
        </w:rPr>
        <w:t xml:space="preserve">Powell, supra, </w:t>
      </w:r>
      <w:r w:rsidRPr="000B1431">
        <w:rPr>
          <w:szCs w:val="26"/>
        </w:rPr>
        <w:t>63 Cal.App.5th at pp.</w:t>
      </w:r>
      <w:r w:rsidRPr="000B1431" w:rsidR="00075D59">
        <w:rPr>
          <w:szCs w:val="26"/>
        </w:rPr>
        <w:t> </w:t>
      </w:r>
      <w:r w:rsidRPr="000B1431">
        <w:rPr>
          <w:szCs w:val="26"/>
        </w:rPr>
        <w:t xml:space="preserve">712–713, fn. </w:t>
      </w:r>
      <w:r w:rsidRPr="000B1431" w:rsidR="001F5FBB">
        <w:rPr>
          <w:szCs w:val="26"/>
        </w:rPr>
        <w:t>o</w:t>
      </w:r>
      <w:r w:rsidRPr="000B1431">
        <w:rPr>
          <w:szCs w:val="26"/>
        </w:rPr>
        <w:t>mitted</w:t>
      </w:r>
      <w:r w:rsidRPr="000B1431" w:rsidR="001F5FBB">
        <w:rPr>
          <w:szCs w:val="26"/>
        </w:rPr>
        <w:t xml:space="preserve">; see </w:t>
      </w:r>
      <w:r w:rsidRPr="000B1431" w:rsidR="001F5FBB">
        <w:rPr>
          <w:i/>
          <w:iCs/>
          <w:szCs w:val="26"/>
        </w:rPr>
        <w:t>id.</w:t>
      </w:r>
      <w:r w:rsidRPr="000B1431" w:rsidR="001F5FBB">
        <w:rPr>
          <w:szCs w:val="26"/>
        </w:rPr>
        <w:t xml:space="preserve"> at p. 713</w:t>
      </w:r>
      <w:r w:rsidRPr="000B1431" w:rsidR="00075D59">
        <w:rPr>
          <w:szCs w:val="26"/>
        </w:rPr>
        <w:t>, fn. 27</w:t>
      </w:r>
      <w:r w:rsidRPr="000B1431" w:rsidR="001F5FBB">
        <w:rPr>
          <w:szCs w:val="26"/>
        </w:rPr>
        <w:t xml:space="preserve"> [“The relevant act is the act that proximately causes death.”], citing </w:t>
      </w:r>
      <w:r w:rsidRPr="000B1431" w:rsidR="001F5FBB">
        <w:rPr>
          <w:i/>
          <w:iCs/>
          <w:szCs w:val="26"/>
        </w:rPr>
        <w:t>People v. Cravens</w:t>
      </w:r>
      <w:r w:rsidRPr="000B1431" w:rsidR="001F5FBB">
        <w:rPr>
          <w:szCs w:val="26"/>
        </w:rPr>
        <w:t xml:space="preserve">, </w:t>
      </w:r>
      <w:r w:rsidRPr="000B1431" w:rsidR="001F5FBB">
        <w:rPr>
          <w:i/>
          <w:iCs/>
          <w:szCs w:val="26"/>
        </w:rPr>
        <w:t>supra</w:t>
      </w:r>
      <w:r w:rsidRPr="000B1431" w:rsidR="001F5FBB">
        <w:rPr>
          <w:szCs w:val="26"/>
        </w:rPr>
        <w:t xml:space="preserve">, 53 Cal.4th at p. 507, and </w:t>
      </w:r>
      <w:r w:rsidRPr="000B1431" w:rsidR="001F5FBB">
        <w:rPr>
          <w:i/>
          <w:iCs/>
          <w:szCs w:val="26"/>
        </w:rPr>
        <w:t>Knoller</w:t>
      </w:r>
      <w:r w:rsidRPr="000B1431" w:rsidR="001F5FBB">
        <w:rPr>
          <w:szCs w:val="26"/>
        </w:rPr>
        <w:t xml:space="preserve">, </w:t>
      </w:r>
      <w:r w:rsidRPr="000B1431" w:rsidR="001F5FBB">
        <w:rPr>
          <w:i/>
          <w:iCs/>
          <w:szCs w:val="26"/>
        </w:rPr>
        <w:t>supra</w:t>
      </w:r>
      <w:r w:rsidRPr="000B1431" w:rsidR="001F5FBB">
        <w:rPr>
          <w:szCs w:val="26"/>
        </w:rPr>
        <w:t>, 41 Cal.4th at p. 143.</w:t>
      </w:r>
      <w:r w:rsidRPr="000B1431">
        <w:rPr>
          <w:szCs w:val="26"/>
        </w:rPr>
        <w:t>)</w:t>
      </w:r>
    </w:p>
    <w:p w:rsidR="008A28B0" w:rsidRPr="000B1431" w:rsidP="000B1431" w14:paraId="5DCD45B9" w14:textId="33C53B92">
      <w:pPr>
        <w:ind w:firstLine="720"/>
        <w:rPr>
          <w:szCs w:val="26"/>
        </w:rPr>
      </w:pPr>
      <w:r w:rsidRPr="000B1431">
        <w:rPr>
          <w:i/>
          <w:iCs/>
          <w:szCs w:val="26"/>
        </w:rPr>
        <w:t>Powell</w:t>
      </w:r>
      <w:r w:rsidRPr="000B1431">
        <w:rPr>
          <w:szCs w:val="26"/>
        </w:rPr>
        <w:t xml:space="preserve"> </w:t>
      </w:r>
      <w:r w:rsidRPr="000B1431" w:rsidR="00AE652C">
        <w:rPr>
          <w:szCs w:val="26"/>
        </w:rPr>
        <w:t xml:space="preserve">further </w:t>
      </w:r>
      <w:r w:rsidRPr="000B1431">
        <w:rPr>
          <w:szCs w:val="26"/>
        </w:rPr>
        <w:t>explained:  “The reason why there is a dearth of decisional law on aiding and abetting implied malice murder may be the heretofore availability of the natural and probable consequences doctrine for second degree murder, which was easier to prove.</w:t>
      </w:r>
      <w:r w:rsidRPr="000B1431" w:rsidR="00AE652C">
        <w:rPr>
          <w:szCs w:val="26"/>
        </w:rPr>
        <w:t> . . .</w:t>
      </w:r>
      <w:r w:rsidRPr="000B1431">
        <w:rPr>
          <w:szCs w:val="26"/>
        </w:rPr>
        <w:t xml:space="preserve">  </w:t>
      </w:r>
      <w:r w:rsidRPr="000B1431" w:rsidR="00AE652C">
        <w:rPr>
          <w:szCs w:val="26"/>
        </w:rPr>
        <w:t>[T]</w:t>
      </w:r>
      <w:r w:rsidRPr="000B1431">
        <w:rPr>
          <w:szCs w:val="26"/>
        </w:rPr>
        <w:t>he natural and probable consequences doctrine did not require that the aider and abettor intend to aid the perpetrator in committing a life-endangering act</w:t>
      </w:r>
      <w:r w:rsidRPr="000B1431" w:rsidR="00075D59">
        <w:rPr>
          <w:szCs w:val="26"/>
        </w:rPr>
        <w:t> </w:t>
      </w:r>
      <w:r w:rsidRPr="000B1431">
        <w:rPr>
          <w:szCs w:val="26"/>
        </w:rPr>
        <w:t>.</w:t>
      </w:r>
      <w:r w:rsidRPr="000B1431" w:rsidR="00075D59">
        <w:rPr>
          <w:szCs w:val="26"/>
        </w:rPr>
        <w:t> </w:t>
      </w:r>
      <w:r w:rsidRPr="000B1431">
        <w:rPr>
          <w:szCs w:val="26"/>
        </w:rPr>
        <w:t>.</w:t>
      </w:r>
      <w:r w:rsidRPr="000B1431" w:rsidR="00075D59">
        <w:rPr>
          <w:szCs w:val="26"/>
        </w:rPr>
        <w:t> </w:t>
      </w:r>
      <w:r w:rsidRPr="000B1431">
        <w:rPr>
          <w:szCs w:val="26"/>
        </w:rPr>
        <w:t>.</w:t>
      </w:r>
      <w:r w:rsidRPr="000B1431" w:rsidR="00075D59">
        <w:rPr>
          <w:szCs w:val="26"/>
        </w:rPr>
        <w:t> </w:t>
      </w:r>
      <w:r w:rsidRPr="000B1431">
        <w:rPr>
          <w:szCs w:val="26"/>
        </w:rPr>
        <w:t xml:space="preserve">. </w:t>
      </w:r>
      <w:r w:rsidRPr="000B1431" w:rsidR="00AE652C">
        <w:rPr>
          <w:szCs w:val="26"/>
        </w:rPr>
        <w:t xml:space="preserve"> </w:t>
      </w:r>
      <w:r w:rsidRPr="000B1431">
        <w:rPr>
          <w:szCs w:val="26"/>
        </w:rPr>
        <w:t>What was natural and probable was judged by an objective standard and it was enough that murder was a reasonably foreseeable consequence of the crime aided and abetted.”  (</w:t>
      </w:r>
      <w:r w:rsidRPr="000B1431">
        <w:rPr>
          <w:i/>
          <w:iCs/>
          <w:szCs w:val="26"/>
        </w:rPr>
        <w:t>Powell</w:t>
      </w:r>
      <w:r w:rsidRPr="000B1431">
        <w:rPr>
          <w:szCs w:val="26"/>
        </w:rPr>
        <w:t xml:space="preserve">, </w:t>
      </w:r>
      <w:r w:rsidRPr="000B1431">
        <w:rPr>
          <w:i/>
          <w:iCs/>
          <w:szCs w:val="26"/>
        </w:rPr>
        <w:t>supra</w:t>
      </w:r>
      <w:r w:rsidRPr="000B1431">
        <w:rPr>
          <w:szCs w:val="26"/>
        </w:rPr>
        <w:t>, 63 Cal.App.5th at p.</w:t>
      </w:r>
      <w:r w:rsidRPr="000B1431" w:rsidR="001F2184">
        <w:rPr>
          <w:szCs w:val="26"/>
        </w:rPr>
        <w:t> </w:t>
      </w:r>
      <w:r w:rsidRPr="000B1431">
        <w:rPr>
          <w:szCs w:val="26"/>
        </w:rPr>
        <w:t>711, fn.</w:t>
      </w:r>
      <w:r w:rsidRPr="000B1431" w:rsidR="001F2184">
        <w:rPr>
          <w:szCs w:val="26"/>
        </w:rPr>
        <w:t> </w:t>
      </w:r>
      <w:r w:rsidRPr="000B1431">
        <w:rPr>
          <w:szCs w:val="26"/>
        </w:rPr>
        <w:t>2</w:t>
      </w:r>
      <w:r w:rsidRPr="000B1431" w:rsidR="001F5FBB">
        <w:rPr>
          <w:szCs w:val="26"/>
        </w:rPr>
        <w:t>6.</w:t>
      </w:r>
      <w:r w:rsidRPr="000B1431">
        <w:rPr>
          <w:szCs w:val="26"/>
        </w:rPr>
        <w:t>)</w:t>
      </w:r>
    </w:p>
    <w:p w:rsidR="00D1571D" w:rsidP="000B1431" w14:paraId="4FD5C5AE" w14:textId="32446EA9">
      <w:pPr>
        <w:ind w:firstLine="720"/>
        <w:rPr>
          <w:szCs w:val="26"/>
        </w:rPr>
      </w:pPr>
      <w:r w:rsidRPr="000B1431">
        <w:rPr>
          <w:szCs w:val="26"/>
        </w:rPr>
        <w:t>In denying Reyes’s resentencing petition, the trial court said it was “guided by the principles” of implied malice murder in CALCRIM No. 520</w:t>
      </w:r>
      <w:r>
        <w:rPr>
          <w:szCs w:val="26"/>
        </w:rPr>
        <w:t>.  That instruction alone, however, does not enc</w:t>
      </w:r>
      <w:r w:rsidR="004143A8">
        <w:rPr>
          <w:szCs w:val="26"/>
        </w:rPr>
        <w:t>ompass</w:t>
      </w:r>
      <w:r>
        <w:rPr>
          <w:szCs w:val="26"/>
        </w:rPr>
        <w:t xml:space="preserve"> the elements of aiding and abetting implied malice murder as set out in </w:t>
      </w:r>
      <w:r w:rsidRPr="00A11DF2">
        <w:rPr>
          <w:i/>
          <w:iCs/>
          <w:szCs w:val="26"/>
        </w:rPr>
        <w:t>Powell</w:t>
      </w:r>
      <w:r>
        <w:rPr>
          <w:szCs w:val="26"/>
        </w:rPr>
        <w:t>.  By relying exclusively on</w:t>
      </w:r>
      <w:r w:rsidR="00141BA8">
        <w:rPr>
          <w:szCs w:val="26"/>
        </w:rPr>
        <w:t xml:space="preserve"> the legal principles outlined in</w:t>
      </w:r>
      <w:r>
        <w:rPr>
          <w:szCs w:val="26"/>
        </w:rPr>
        <w:t xml:space="preserve"> CALCRIM N</w:t>
      </w:r>
      <w:r w:rsidR="00F41852">
        <w:rPr>
          <w:szCs w:val="26"/>
        </w:rPr>
        <w:t>o</w:t>
      </w:r>
      <w:r>
        <w:rPr>
          <w:szCs w:val="26"/>
        </w:rPr>
        <w:t>. 520</w:t>
      </w:r>
      <w:r w:rsidRPr="000B1431" w:rsidR="006F4193">
        <w:rPr>
          <w:szCs w:val="26"/>
        </w:rPr>
        <w:t xml:space="preserve">, </w:t>
      </w:r>
      <w:r>
        <w:rPr>
          <w:szCs w:val="26"/>
        </w:rPr>
        <w:t>the trial court</w:t>
      </w:r>
      <w:r w:rsidR="00986D05">
        <w:rPr>
          <w:szCs w:val="26"/>
        </w:rPr>
        <w:t xml:space="preserve"> d</w:t>
      </w:r>
      <w:r w:rsidR="001C1A5B">
        <w:rPr>
          <w:szCs w:val="26"/>
        </w:rPr>
        <w:t>id</w:t>
      </w:r>
      <w:r w:rsidR="00986D05">
        <w:rPr>
          <w:szCs w:val="26"/>
        </w:rPr>
        <w:t xml:space="preserve"> not appear</w:t>
      </w:r>
      <w:r w:rsidRPr="000B1431" w:rsidR="002D313D">
        <w:rPr>
          <w:szCs w:val="26"/>
        </w:rPr>
        <w:t xml:space="preserve"> to </w:t>
      </w:r>
      <w:r w:rsidR="00986D05">
        <w:rPr>
          <w:szCs w:val="26"/>
        </w:rPr>
        <w:t>recognize</w:t>
      </w:r>
      <w:r w:rsidRPr="000B1431" w:rsidR="008A28B0">
        <w:rPr>
          <w:szCs w:val="26"/>
        </w:rPr>
        <w:t xml:space="preserve"> </w:t>
      </w:r>
      <w:r w:rsidRPr="000B1431" w:rsidR="00CB0CD5">
        <w:rPr>
          <w:szCs w:val="26"/>
        </w:rPr>
        <w:t xml:space="preserve">that </w:t>
      </w:r>
      <w:r w:rsidRPr="000B1431" w:rsidR="004A78E9">
        <w:rPr>
          <w:szCs w:val="26"/>
        </w:rPr>
        <w:t>implied malice murder requires</w:t>
      </w:r>
      <w:r w:rsidRPr="000B1431" w:rsidR="0022335B">
        <w:rPr>
          <w:szCs w:val="26"/>
        </w:rPr>
        <w:t>, among other elements,</w:t>
      </w:r>
      <w:r w:rsidRPr="000B1431" w:rsidR="004A78E9">
        <w:rPr>
          <w:szCs w:val="26"/>
        </w:rPr>
        <w:t xml:space="preserve"> proof of the aider and abettor’s knowledge and intent with regard to the </w:t>
      </w:r>
      <w:r w:rsidRPr="000B1431" w:rsidR="004A78E9">
        <w:rPr>
          <w:i/>
          <w:iCs/>
          <w:szCs w:val="26"/>
        </w:rPr>
        <w:t>direct perpetrator’s</w:t>
      </w:r>
      <w:r w:rsidRPr="000B1431" w:rsidR="004A78E9">
        <w:rPr>
          <w:szCs w:val="26"/>
        </w:rPr>
        <w:t xml:space="preserve"> life</w:t>
      </w:r>
      <w:r w:rsidRPr="000B1431" w:rsidR="00723B44">
        <w:rPr>
          <w:szCs w:val="26"/>
        </w:rPr>
        <w:t xml:space="preserve"> </w:t>
      </w:r>
      <w:r w:rsidRPr="000B1431" w:rsidR="004A78E9">
        <w:rPr>
          <w:szCs w:val="26"/>
        </w:rPr>
        <w:t>endangering act</w:t>
      </w:r>
      <w:r w:rsidRPr="000B1431" w:rsidR="008A28B0">
        <w:rPr>
          <w:szCs w:val="26"/>
        </w:rPr>
        <w:t>.</w:t>
      </w:r>
      <w:r w:rsidRPr="000B1431" w:rsidR="004A78E9">
        <w:rPr>
          <w:szCs w:val="26"/>
        </w:rPr>
        <w:t xml:space="preserve">  (</w:t>
      </w:r>
      <w:r w:rsidRPr="000B1431" w:rsidR="007C041E">
        <w:rPr>
          <w:szCs w:val="26"/>
        </w:rPr>
        <w:t xml:space="preserve">See </w:t>
      </w:r>
      <w:r w:rsidRPr="000B1431" w:rsidR="004A78E9">
        <w:rPr>
          <w:i/>
          <w:iCs/>
          <w:szCs w:val="26"/>
        </w:rPr>
        <w:t>Powell</w:t>
      </w:r>
      <w:r w:rsidRPr="000B1431" w:rsidR="004A78E9">
        <w:rPr>
          <w:szCs w:val="26"/>
        </w:rPr>
        <w:t xml:space="preserve">, </w:t>
      </w:r>
      <w:r w:rsidRPr="000B1431" w:rsidR="004A78E9">
        <w:rPr>
          <w:i/>
          <w:iCs/>
          <w:szCs w:val="26"/>
        </w:rPr>
        <w:t>supra</w:t>
      </w:r>
      <w:r w:rsidRPr="000B1431" w:rsidR="004A78E9">
        <w:rPr>
          <w:szCs w:val="26"/>
        </w:rPr>
        <w:t>, 63 Cal.App.5th at pp. 712–713.)</w:t>
      </w:r>
      <w:r w:rsidRPr="000B1431" w:rsidR="008A28B0">
        <w:rPr>
          <w:szCs w:val="26"/>
        </w:rPr>
        <w:t xml:space="preserve">  </w:t>
      </w:r>
    </w:p>
    <w:p w:rsidR="004652FA" w:rsidRPr="00CA5D25" w:rsidP="00CA5D25" w14:paraId="48E94536" w14:textId="6E06C68E">
      <w:pPr>
        <w:ind w:firstLine="720"/>
        <w:rPr>
          <w:szCs w:val="26"/>
        </w:rPr>
      </w:pPr>
      <w:r>
        <w:rPr>
          <w:szCs w:val="26"/>
        </w:rPr>
        <w:t xml:space="preserve">The trial court’s factual findings </w:t>
      </w:r>
      <w:r w:rsidR="0034521A">
        <w:rPr>
          <w:szCs w:val="26"/>
        </w:rPr>
        <w:t xml:space="preserve">illustrate the nature of </w:t>
      </w:r>
      <w:r w:rsidR="00912EA4">
        <w:rPr>
          <w:szCs w:val="26"/>
        </w:rPr>
        <w:t>its</w:t>
      </w:r>
      <w:r w:rsidR="0034521A">
        <w:rPr>
          <w:szCs w:val="26"/>
        </w:rPr>
        <w:t xml:space="preserve"> error.  </w:t>
      </w:r>
      <w:r w:rsidRPr="000B1431" w:rsidR="002D313D">
        <w:rPr>
          <w:szCs w:val="26"/>
        </w:rPr>
        <w:t>T</w:t>
      </w:r>
      <w:r w:rsidRPr="000B1431" w:rsidR="008A28B0">
        <w:rPr>
          <w:szCs w:val="26"/>
        </w:rPr>
        <w:t xml:space="preserve">he court found that “the defendant, along with several other gang members, one of which </w:t>
      </w:r>
      <w:r w:rsidRPr="000B1431" w:rsidR="00075D59">
        <w:rPr>
          <w:szCs w:val="26"/>
        </w:rPr>
        <w:t>[</w:t>
      </w:r>
      <w:r w:rsidRPr="000B1431" w:rsidR="008A28B0">
        <w:rPr>
          <w:szCs w:val="26"/>
        </w:rPr>
        <w:t>was</w:t>
      </w:r>
      <w:r w:rsidRPr="000B1431" w:rsidR="00075D59">
        <w:rPr>
          <w:szCs w:val="26"/>
        </w:rPr>
        <w:t>]</w:t>
      </w:r>
      <w:r w:rsidRPr="000B1431" w:rsidR="008A28B0">
        <w:rPr>
          <w:szCs w:val="26"/>
        </w:rPr>
        <w:t xml:space="preserve"> armed, traveled to rival gang territory” </w:t>
      </w:r>
      <w:r w:rsidRPr="000B1431" w:rsidR="006F4193">
        <w:rPr>
          <w:szCs w:val="26"/>
        </w:rPr>
        <w:t xml:space="preserve">and </w:t>
      </w:r>
      <w:r w:rsidRPr="000B1431" w:rsidR="008A28B0">
        <w:rPr>
          <w:szCs w:val="26"/>
        </w:rPr>
        <w:t xml:space="preserve">then considered whether that act was done with the mental state </w:t>
      </w:r>
      <w:r w:rsidRPr="000B1431" w:rsidR="006F4193">
        <w:rPr>
          <w:szCs w:val="26"/>
        </w:rPr>
        <w:t>required for</w:t>
      </w:r>
      <w:r w:rsidRPr="000B1431" w:rsidR="008A28B0">
        <w:rPr>
          <w:szCs w:val="26"/>
        </w:rPr>
        <w:t xml:space="preserve"> implied malice.  </w:t>
      </w:r>
      <w:r w:rsidRPr="000B1431" w:rsidR="00B15072">
        <w:rPr>
          <w:szCs w:val="26"/>
        </w:rPr>
        <w:t xml:space="preserve">In particular, after finding the </w:t>
      </w:r>
      <w:r w:rsidRPr="000B1431" w:rsidR="00935130">
        <w:rPr>
          <w:szCs w:val="26"/>
        </w:rPr>
        <w:t xml:space="preserve">natural and probable consequence of the </w:t>
      </w:r>
      <w:r w:rsidRPr="000B1431" w:rsidR="00B15072">
        <w:rPr>
          <w:szCs w:val="26"/>
        </w:rPr>
        <w:t xml:space="preserve">act to be “dangerous to human life,” </w:t>
      </w:r>
      <w:r w:rsidRPr="000B1431" w:rsidR="008A28B0">
        <w:rPr>
          <w:szCs w:val="26"/>
        </w:rPr>
        <w:t xml:space="preserve">the trial court </w:t>
      </w:r>
      <w:r w:rsidRPr="000B1431" w:rsidR="00B15072">
        <w:rPr>
          <w:szCs w:val="26"/>
        </w:rPr>
        <w:t>asked whether Reyes “at the time he acted,</w:t>
      </w:r>
      <w:r w:rsidRPr="000B1431" w:rsidR="003A2B8D">
        <w:rPr>
          <w:szCs w:val="26"/>
        </w:rPr>
        <w:t> </w:t>
      </w:r>
      <w:r w:rsidRPr="000B1431" w:rsidR="00B15072">
        <w:rPr>
          <w:szCs w:val="26"/>
        </w:rPr>
        <w:t xml:space="preserve">. . . knew that the act was dangerous to human life,” and whether “he deliberately acted with conscious disregard for human life.”  </w:t>
      </w:r>
      <w:r w:rsidRPr="000B1431" w:rsidR="008A28B0">
        <w:rPr>
          <w:szCs w:val="26"/>
        </w:rPr>
        <w:t xml:space="preserve">But implied malice </w:t>
      </w:r>
      <w:r w:rsidRPr="000B1431" w:rsidR="00906FF8">
        <w:rPr>
          <w:szCs w:val="26"/>
        </w:rPr>
        <w:t xml:space="preserve">murder requires attention to </w:t>
      </w:r>
      <w:r w:rsidRPr="000B1431" w:rsidR="008A28B0">
        <w:rPr>
          <w:szCs w:val="26"/>
        </w:rPr>
        <w:t xml:space="preserve">the aider and abettor’s </w:t>
      </w:r>
      <w:r w:rsidRPr="000B1431" w:rsidR="00906FF8">
        <w:rPr>
          <w:szCs w:val="26"/>
        </w:rPr>
        <w:t>mental state concerning</w:t>
      </w:r>
      <w:r w:rsidRPr="000B1431" w:rsidR="008A28B0">
        <w:rPr>
          <w:szCs w:val="26"/>
        </w:rPr>
        <w:t xml:space="preserve"> the </w:t>
      </w:r>
      <w:r w:rsidRPr="000B1431" w:rsidR="00723B44">
        <w:rPr>
          <w:szCs w:val="26"/>
        </w:rPr>
        <w:t xml:space="preserve">life endangering act committed by the </w:t>
      </w:r>
      <w:r w:rsidRPr="000B1431" w:rsidR="008A28B0">
        <w:rPr>
          <w:szCs w:val="26"/>
        </w:rPr>
        <w:t>direct perpetrator</w:t>
      </w:r>
      <w:r w:rsidRPr="000B1431" w:rsidR="00906FF8">
        <w:rPr>
          <w:szCs w:val="26"/>
        </w:rPr>
        <w:t>, such as shooting at the victim.</w:t>
      </w:r>
      <w:r w:rsidRPr="000B1431" w:rsidR="00E01808">
        <w:rPr>
          <w:szCs w:val="26"/>
        </w:rPr>
        <w:t xml:space="preserve"> </w:t>
      </w:r>
      <w:r w:rsidRPr="000B1431" w:rsidR="00AC0652">
        <w:rPr>
          <w:szCs w:val="26"/>
        </w:rPr>
        <w:t xml:space="preserve"> </w:t>
      </w:r>
      <w:r w:rsidRPr="000B1431" w:rsidR="008A28B0">
        <w:rPr>
          <w:szCs w:val="26"/>
        </w:rPr>
        <w:t>(</w:t>
      </w:r>
      <w:r w:rsidRPr="000B1431" w:rsidR="00906FF8">
        <w:rPr>
          <w:szCs w:val="26"/>
        </w:rPr>
        <w:t xml:space="preserve">See </w:t>
      </w:r>
      <w:r w:rsidRPr="000B1431" w:rsidR="00D41FAF">
        <w:rPr>
          <w:i/>
          <w:iCs/>
          <w:szCs w:val="26"/>
        </w:rPr>
        <w:t>Powell</w:t>
      </w:r>
      <w:r w:rsidRPr="000B1431" w:rsidR="00D41FAF">
        <w:rPr>
          <w:szCs w:val="26"/>
        </w:rPr>
        <w:t xml:space="preserve">, </w:t>
      </w:r>
      <w:r w:rsidRPr="000B1431" w:rsidR="00D41FAF">
        <w:rPr>
          <w:i/>
          <w:iCs/>
          <w:szCs w:val="26"/>
        </w:rPr>
        <w:t>supra</w:t>
      </w:r>
      <w:r w:rsidRPr="000B1431" w:rsidR="00D41FAF">
        <w:rPr>
          <w:szCs w:val="26"/>
        </w:rPr>
        <w:t xml:space="preserve">, 63 Cal.App.5th </w:t>
      </w:r>
      <w:r w:rsidRPr="000B1431" w:rsidR="008A28B0">
        <w:rPr>
          <w:szCs w:val="26"/>
        </w:rPr>
        <w:t>at p.</w:t>
      </w:r>
      <w:r w:rsidRPr="000B1431" w:rsidR="005F1702">
        <w:rPr>
          <w:szCs w:val="26"/>
        </w:rPr>
        <w:t> </w:t>
      </w:r>
      <w:r w:rsidRPr="000B1431" w:rsidR="008A28B0">
        <w:rPr>
          <w:szCs w:val="26"/>
        </w:rPr>
        <w:t>713</w:t>
      </w:r>
      <w:r w:rsidRPr="000B1431" w:rsidR="00906FF8">
        <w:rPr>
          <w:szCs w:val="26"/>
        </w:rPr>
        <w:t>, fn. 27 [“The relevant act is the act that proximately causes death.”]</w:t>
      </w:r>
      <w:r w:rsidRPr="000B1431" w:rsidR="00C76DAC">
        <w:rPr>
          <w:szCs w:val="26"/>
        </w:rPr>
        <w:t>.</w:t>
      </w:r>
      <w:r w:rsidRPr="000B1431" w:rsidR="00E01808">
        <w:rPr>
          <w:szCs w:val="26"/>
        </w:rPr>
        <w:t>)</w:t>
      </w:r>
      <w:r w:rsidRPr="000B1431" w:rsidR="00AC0652">
        <w:rPr>
          <w:szCs w:val="26"/>
        </w:rPr>
        <w:t xml:space="preserve"> </w:t>
      </w:r>
      <w:r w:rsidRPr="000B1431" w:rsidR="00E01808">
        <w:rPr>
          <w:szCs w:val="26"/>
        </w:rPr>
        <w:t xml:space="preserve"> </w:t>
      </w:r>
      <w:r w:rsidRPr="000B1431" w:rsidR="00906FF8">
        <w:rPr>
          <w:szCs w:val="26"/>
        </w:rPr>
        <w:t xml:space="preserve">Here, </w:t>
      </w:r>
      <w:r w:rsidR="001D2089">
        <w:rPr>
          <w:szCs w:val="26"/>
        </w:rPr>
        <w:t xml:space="preserve">assuming the life-endangering act was the shooting, </w:t>
      </w:r>
      <w:r w:rsidRPr="000B1431" w:rsidR="00906FF8">
        <w:rPr>
          <w:szCs w:val="26"/>
        </w:rPr>
        <w:t>t</w:t>
      </w:r>
      <w:r w:rsidRPr="000B1431" w:rsidR="008A28B0">
        <w:rPr>
          <w:szCs w:val="26"/>
        </w:rPr>
        <w:t xml:space="preserve">he trial court </w:t>
      </w:r>
      <w:r w:rsidRPr="000B1431" w:rsidR="005F1702">
        <w:rPr>
          <w:szCs w:val="26"/>
        </w:rPr>
        <w:t>should have asked</w:t>
      </w:r>
      <w:r w:rsidRPr="000B1431" w:rsidR="008A28B0">
        <w:rPr>
          <w:szCs w:val="26"/>
        </w:rPr>
        <w:t xml:space="preserve"> whether </w:t>
      </w:r>
      <w:r w:rsidRPr="000B1431" w:rsidR="005F1702">
        <w:rPr>
          <w:szCs w:val="26"/>
        </w:rPr>
        <w:t>Reyes</w:t>
      </w:r>
      <w:r w:rsidRPr="000B1431" w:rsidR="008A28B0">
        <w:rPr>
          <w:szCs w:val="26"/>
        </w:rPr>
        <w:t xml:space="preserve"> knew that </w:t>
      </w:r>
      <w:r w:rsidRPr="000B1431" w:rsidR="00B33951">
        <w:rPr>
          <w:szCs w:val="26"/>
        </w:rPr>
        <w:t>Lopez</w:t>
      </w:r>
      <w:r w:rsidRPr="000B1431" w:rsidR="008A28B0">
        <w:rPr>
          <w:szCs w:val="26"/>
        </w:rPr>
        <w:t xml:space="preserve"> intended to shoot at the victim, intended to aid him in the shooting, knew that the shooting was dangerous to life, and </w:t>
      </w:r>
      <w:r w:rsidRPr="000B1431" w:rsidR="00075D59">
        <w:rPr>
          <w:szCs w:val="26"/>
        </w:rPr>
        <w:t xml:space="preserve">acted in </w:t>
      </w:r>
      <w:r w:rsidRPr="000B1431" w:rsidR="008A28B0">
        <w:rPr>
          <w:szCs w:val="26"/>
        </w:rPr>
        <w:t xml:space="preserve">conscious disregard </w:t>
      </w:r>
      <w:r w:rsidRPr="000B1431" w:rsidR="00075D59">
        <w:rPr>
          <w:szCs w:val="26"/>
        </w:rPr>
        <w:t>for</w:t>
      </w:r>
      <w:r w:rsidRPr="000B1431" w:rsidR="008A28B0">
        <w:rPr>
          <w:szCs w:val="26"/>
        </w:rPr>
        <w:t xml:space="preserve"> life.</w:t>
      </w:r>
      <w:r w:rsidRPr="000B1431" w:rsidR="005F1702">
        <w:rPr>
          <w:szCs w:val="26"/>
        </w:rPr>
        <w:t xml:space="preserve">  (See </w:t>
      </w:r>
      <w:r w:rsidRPr="000B1431" w:rsidR="005F1702">
        <w:rPr>
          <w:i/>
          <w:iCs/>
          <w:szCs w:val="26"/>
        </w:rPr>
        <w:t>id.</w:t>
      </w:r>
      <w:r w:rsidRPr="000B1431" w:rsidR="005F1702">
        <w:rPr>
          <w:szCs w:val="26"/>
        </w:rPr>
        <w:t xml:space="preserve"> at pp. 712–713.)</w:t>
      </w:r>
      <w:r w:rsidRPr="000B1431" w:rsidR="00723B44">
        <w:rPr>
          <w:szCs w:val="26"/>
        </w:rPr>
        <w:t xml:space="preserve">  Because the court did not do so, </w:t>
      </w:r>
      <w:r w:rsidR="004143A8">
        <w:rPr>
          <w:szCs w:val="26"/>
        </w:rPr>
        <w:t>its decision was based on an error of law insofar as the court</w:t>
      </w:r>
      <w:r w:rsidR="0023788A">
        <w:rPr>
          <w:szCs w:val="26"/>
        </w:rPr>
        <w:t xml:space="preserve"> </w:t>
      </w:r>
      <w:r w:rsidRPr="000B1431" w:rsidR="00723B44">
        <w:rPr>
          <w:szCs w:val="26"/>
        </w:rPr>
        <w:t>sustain</w:t>
      </w:r>
      <w:r w:rsidR="0023788A">
        <w:rPr>
          <w:szCs w:val="26"/>
        </w:rPr>
        <w:t>ed</w:t>
      </w:r>
      <w:r w:rsidRPr="000B1431" w:rsidR="00723B44">
        <w:rPr>
          <w:szCs w:val="26"/>
        </w:rPr>
        <w:t xml:space="preserve"> Reyes’s murder conviction on a direct aiding and abetting theory.</w:t>
      </w:r>
    </w:p>
    <w:p w:rsidR="000F0B3A" w:rsidRPr="000B1431" w:rsidP="000B1431" w14:paraId="4AD07336" w14:textId="6F8C1B45">
      <w:pPr>
        <w:pStyle w:val="Heading1"/>
        <w:rPr>
          <w:szCs w:val="26"/>
        </w:rPr>
      </w:pPr>
      <w:r w:rsidRPr="000B1431">
        <w:rPr>
          <w:szCs w:val="26"/>
        </w:rPr>
        <w:t>CONCLUSION</w:t>
      </w:r>
    </w:p>
    <w:p w:rsidR="000F0B3A" w:rsidRPr="000B1431" w:rsidP="008305E2" w14:paraId="39E0C3FF" w14:textId="0A902450">
      <w:pPr>
        <w:ind w:firstLine="720"/>
        <w:rPr>
          <w:szCs w:val="26"/>
        </w:rPr>
      </w:pPr>
      <w:r w:rsidRPr="000B1431">
        <w:rPr>
          <w:szCs w:val="26"/>
        </w:rPr>
        <w:t xml:space="preserve">In sum, the trial </w:t>
      </w:r>
      <w:r w:rsidR="00B47B9B">
        <w:rPr>
          <w:szCs w:val="26"/>
        </w:rPr>
        <w:t>court erred</w:t>
      </w:r>
      <w:r w:rsidR="00994CD5">
        <w:rPr>
          <w:szCs w:val="26"/>
        </w:rPr>
        <w:t xml:space="preserve"> </w:t>
      </w:r>
      <w:r w:rsidR="000C1B63">
        <w:rPr>
          <w:szCs w:val="26"/>
        </w:rPr>
        <w:t xml:space="preserve">in sustaining Reyes’s second degree murder conviction, </w:t>
      </w:r>
      <w:r w:rsidR="00994CD5">
        <w:rPr>
          <w:rFonts w:cs="TimesNewRomanPSMT"/>
          <w:szCs w:val="26"/>
        </w:rPr>
        <w:t xml:space="preserve">whether it relied </w:t>
      </w:r>
      <w:r w:rsidRPr="000B1431">
        <w:rPr>
          <w:rFonts w:cs="TimesNewRomanPSMT"/>
          <w:szCs w:val="26"/>
        </w:rPr>
        <w:t xml:space="preserve">on a direct perpetrator theory or on a direct aiding and abetting theory.  </w:t>
      </w:r>
      <w:r w:rsidR="004143A8">
        <w:rPr>
          <w:rFonts w:cs="TimesNewRomanPSMT"/>
          <w:szCs w:val="26"/>
        </w:rPr>
        <w:t xml:space="preserve">We find no substantial evidence to support a finding </w:t>
      </w:r>
      <w:r w:rsidR="00F8706B">
        <w:rPr>
          <w:rFonts w:cs="TimesNewRomanPSMT"/>
          <w:szCs w:val="26"/>
        </w:rPr>
        <w:t>that Reyes was the direct perpe</w:t>
      </w:r>
      <w:r w:rsidRPr="00431EA6" w:rsidR="00F8706B">
        <w:rPr>
          <w:rFonts w:cs="TimesNewRomanPSMT"/>
          <w:szCs w:val="26"/>
        </w:rPr>
        <w:t>trator of Rosario’s murder.  And</w:t>
      </w:r>
      <w:r w:rsidRPr="00431EA6" w:rsidR="008056EB">
        <w:rPr>
          <w:rFonts w:cs="TimesNewRomanPSMT"/>
          <w:szCs w:val="26"/>
        </w:rPr>
        <w:t xml:space="preserve"> </w:t>
      </w:r>
      <w:r w:rsidRPr="00431EA6" w:rsidR="00E96CAC">
        <w:rPr>
          <w:rFonts w:cs="TimesNewRomanPSMT"/>
          <w:szCs w:val="26"/>
        </w:rPr>
        <w:t xml:space="preserve">to the extent the trial court </w:t>
      </w:r>
      <w:r w:rsidRPr="00431EA6" w:rsidR="00B156B3">
        <w:rPr>
          <w:rFonts w:cs="TimesNewRomanPSMT"/>
          <w:szCs w:val="26"/>
        </w:rPr>
        <w:t>den</w:t>
      </w:r>
      <w:r w:rsidRPr="00431EA6" w:rsidR="004143A8">
        <w:rPr>
          <w:rFonts w:cs="TimesNewRomanPSMT"/>
          <w:szCs w:val="26"/>
        </w:rPr>
        <w:t>ied</w:t>
      </w:r>
      <w:r w:rsidRPr="00431EA6" w:rsidR="00B156B3">
        <w:rPr>
          <w:rFonts w:cs="TimesNewRomanPSMT"/>
          <w:szCs w:val="26"/>
        </w:rPr>
        <w:t xml:space="preserve"> Reyes’s petition under a direct aiding and abetting theory,</w:t>
      </w:r>
      <w:r w:rsidRPr="00431EA6" w:rsidR="005C1402">
        <w:rPr>
          <w:rFonts w:cs="TimesNewRomanPSMT"/>
          <w:szCs w:val="26"/>
        </w:rPr>
        <w:t xml:space="preserve"> </w:t>
      </w:r>
      <w:r w:rsidRPr="00431EA6" w:rsidR="008056EB">
        <w:rPr>
          <w:rFonts w:cs="TimesNewRomanPSMT"/>
          <w:szCs w:val="26"/>
        </w:rPr>
        <w:t>t</w:t>
      </w:r>
      <w:r w:rsidRPr="00431EA6">
        <w:rPr>
          <w:rFonts w:cs="TimesNewRomanPSMT"/>
          <w:szCs w:val="26"/>
        </w:rPr>
        <w:t xml:space="preserve">he court </w:t>
      </w:r>
      <w:r w:rsidRPr="00431EA6" w:rsidR="009E2FBC">
        <w:rPr>
          <w:rFonts w:cs="TimesNewRomanPSMT"/>
          <w:szCs w:val="26"/>
        </w:rPr>
        <w:t xml:space="preserve">committed reversible error </w:t>
      </w:r>
      <w:r w:rsidR="00305050">
        <w:rPr>
          <w:rFonts w:cs="TimesNewRomanPSMT"/>
          <w:szCs w:val="26"/>
        </w:rPr>
        <w:t>by</w:t>
      </w:r>
      <w:r w:rsidRPr="00431EA6" w:rsidR="009E2FBC">
        <w:rPr>
          <w:rFonts w:cs="TimesNewRomanPSMT"/>
          <w:szCs w:val="26"/>
        </w:rPr>
        <w:t xml:space="preserve"> </w:t>
      </w:r>
      <w:r w:rsidRPr="00431EA6">
        <w:rPr>
          <w:rFonts w:cs="TimesNewRomanPSMT"/>
          <w:szCs w:val="26"/>
        </w:rPr>
        <w:t>misunderst</w:t>
      </w:r>
      <w:r w:rsidRPr="00431EA6" w:rsidR="009E2FBC">
        <w:rPr>
          <w:rFonts w:cs="TimesNewRomanPSMT"/>
          <w:szCs w:val="26"/>
        </w:rPr>
        <w:t>anding</w:t>
      </w:r>
      <w:r w:rsidRPr="00431EA6">
        <w:rPr>
          <w:rFonts w:cs="TimesNewRomanPSMT"/>
          <w:szCs w:val="26"/>
        </w:rPr>
        <w:t xml:space="preserve"> the legal requirements of </w:t>
      </w:r>
      <w:r w:rsidRPr="00431EA6" w:rsidR="008056EB">
        <w:rPr>
          <w:rFonts w:cs="TimesNewRomanPSMT"/>
          <w:szCs w:val="26"/>
        </w:rPr>
        <w:t xml:space="preserve">direct aiding and abetting </w:t>
      </w:r>
      <w:r w:rsidRPr="00431EA6">
        <w:rPr>
          <w:rFonts w:cs="TimesNewRomanPSMT"/>
          <w:szCs w:val="26"/>
        </w:rPr>
        <w:t>implied malice murder</w:t>
      </w:r>
      <w:r w:rsidRPr="00431EA6" w:rsidR="00D1546B">
        <w:rPr>
          <w:rFonts w:cs="TimesNewRomanPSMT"/>
          <w:szCs w:val="26"/>
        </w:rPr>
        <w:t xml:space="preserve">.  </w:t>
      </w:r>
      <w:r w:rsidR="00431EA6">
        <w:rPr>
          <w:rFonts w:cs="TimesNewRomanPSMT"/>
          <w:szCs w:val="26"/>
        </w:rPr>
        <w:t xml:space="preserve">We agree with the Attorney General that remand is appropriate under these circumstances; given the nature of </w:t>
      </w:r>
      <w:r w:rsidR="00305050">
        <w:rPr>
          <w:rFonts w:cs="TimesNewRomanPSMT"/>
          <w:szCs w:val="26"/>
        </w:rPr>
        <w:t>this</w:t>
      </w:r>
      <w:r w:rsidR="00431EA6">
        <w:rPr>
          <w:rFonts w:cs="TimesNewRomanPSMT"/>
          <w:szCs w:val="26"/>
        </w:rPr>
        <w:t xml:space="preserve"> error, it is “uncertain whether the trial court would have reached the same result using correct legal standards.”</w:t>
      </w:r>
      <w:r w:rsidR="0094474F">
        <w:rPr>
          <w:rFonts w:cs="TimesNewRomanPSMT"/>
          <w:szCs w:val="26"/>
        </w:rPr>
        <w:t xml:space="preserve"> </w:t>
      </w:r>
      <w:r w:rsidR="00431EA6">
        <w:rPr>
          <w:rFonts w:cs="TimesNewRomanPSMT"/>
          <w:szCs w:val="26"/>
        </w:rPr>
        <w:t xml:space="preserve"> </w:t>
      </w:r>
      <w:r w:rsidRPr="00431EA6" w:rsidR="008305E2">
        <w:rPr>
          <w:szCs w:val="26"/>
        </w:rPr>
        <w:t>(</w:t>
      </w:r>
      <w:r w:rsidRPr="00BD4070" w:rsidR="008305E2">
        <w:rPr>
          <w:i/>
          <w:iCs/>
          <w:szCs w:val="26"/>
        </w:rPr>
        <w:t>Knoller</w:t>
      </w:r>
      <w:r w:rsidRPr="00431EA6" w:rsidR="008305E2">
        <w:rPr>
          <w:szCs w:val="26"/>
        </w:rPr>
        <w:t xml:space="preserve">, </w:t>
      </w:r>
      <w:r w:rsidRPr="00BD4070" w:rsidR="008305E2">
        <w:rPr>
          <w:i/>
          <w:iCs/>
          <w:szCs w:val="26"/>
        </w:rPr>
        <w:t>supra</w:t>
      </w:r>
      <w:r w:rsidRPr="00431EA6" w:rsidR="008305E2">
        <w:rPr>
          <w:szCs w:val="26"/>
        </w:rPr>
        <w:t xml:space="preserve">, 41 Cal.4th at p. 158.)  </w:t>
      </w:r>
      <w:r w:rsidRPr="00431EA6" w:rsidR="009B6E16">
        <w:rPr>
          <w:rFonts w:cs="TimesNewRomanPSMT"/>
          <w:szCs w:val="26"/>
        </w:rPr>
        <w:t>Accordingly</w:t>
      </w:r>
      <w:r w:rsidRPr="000B1431" w:rsidR="009B6E16">
        <w:rPr>
          <w:rFonts w:cs="TimesNewRomanPSMT"/>
          <w:szCs w:val="26"/>
        </w:rPr>
        <w:t xml:space="preserve">, </w:t>
      </w:r>
      <w:r w:rsidRPr="000B1431" w:rsidR="009B6E16">
        <w:rPr>
          <w:szCs w:val="26"/>
        </w:rPr>
        <w:t xml:space="preserve">we reverse the judgment of the Court of Appeal with directions to remand the matter to the trial court for further proceedings consistent with this opinion.  </w:t>
      </w:r>
      <w:r w:rsidRPr="000B1431" w:rsidR="00DC43F2">
        <w:rPr>
          <w:szCs w:val="26"/>
        </w:rPr>
        <w:t xml:space="preserve">We express no view on the merits of Reyes’s resentencing petition under a proper application of the elements of </w:t>
      </w:r>
      <w:r w:rsidRPr="000B1431" w:rsidR="009B6E16">
        <w:rPr>
          <w:szCs w:val="26"/>
        </w:rPr>
        <w:t xml:space="preserve">implied malice murder on a </w:t>
      </w:r>
      <w:r w:rsidRPr="000B1431" w:rsidR="006857EB">
        <w:rPr>
          <w:szCs w:val="26"/>
        </w:rPr>
        <w:t xml:space="preserve">direct </w:t>
      </w:r>
      <w:r w:rsidRPr="000B1431" w:rsidR="00DC43F2">
        <w:rPr>
          <w:szCs w:val="26"/>
        </w:rPr>
        <w:t xml:space="preserve">aiding and abetting </w:t>
      </w:r>
      <w:r w:rsidRPr="000B1431" w:rsidR="009B6E16">
        <w:rPr>
          <w:szCs w:val="26"/>
        </w:rPr>
        <w:t>theory</w:t>
      </w:r>
      <w:r w:rsidRPr="000B1431" w:rsidR="00DC43F2">
        <w:rPr>
          <w:szCs w:val="26"/>
        </w:rPr>
        <w:t>.</w:t>
      </w:r>
    </w:p>
    <w:p w:rsidR="000F0B3A" w:rsidRPr="000B1431" w:rsidP="000B1431" w14:paraId="7ECBDE42" w14:textId="77777777">
      <w:pPr>
        <w:ind w:left="4320" w:firstLine="720"/>
        <w:rPr>
          <w:szCs w:val="26"/>
        </w:rPr>
      </w:pPr>
    </w:p>
    <w:p w:rsidR="001D57F8" w:rsidP="00AA7C51" w14:paraId="347B43E9" w14:textId="165AE1A8">
      <w:pPr>
        <w:ind w:left="5040"/>
        <w:rPr>
          <w:b/>
          <w:bCs/>
          <w:szCs w:val="26"/>
        </w:rPr>
      </w:pPr>
      <w:r w:rsidRPr="000B1431">
        <w:rPr>
          <w:b/>
          <w:bCs/>
          <w:szCs w:val="26"/>
        </w:rPr>
        <w:t>LIU, J.</w:t>
      </w:r>
    </w:p>
    <w:p w:rsidR="005264C8" w:rsidP="00AA7C51" w14:paraId="378FB509" w14:textId="55336AA0">
      <w:pPr>
        <w:rPr>
          <w:b/>
          <w:bCs/>
          <w:szCs w:val="26"/>
        </w:rPr>
      </w:pPr>
      <w:r w:rsidRPr="006A74BD">
        <w:rPr>
          <w:b/>
          <w:bCs/>
          <w:szCs w:val="26"/>
        </w:rPr>
        <w:t>We Concur:</w:t>
      </w:r>
      <w:bookmarkEnd w:id="0"/>
    </w:p>
    <w:p w:rsidR="00F579F3" w:rsidRPr="000413AA" w:rsidP="00F579F3" w14:paraId="1C0050B2" w14:textId="2AD546D2">
      <w:pPr>
        <w:spacing w:after="0" w:line="240" w:lineRule="auto"/>
        <w:rPr>
          <w:rFonts w:ascii="Calibri" w:hAnsi="Calibri"/>
          <w:b/>
          <w:sz w:val="22"/>
          <w:lang w:val="it-IT"/>
        </w:rPr>
      </w:pPr>
      <w:bookmarkStart w:id="5" w:name="_Hlk124153411"/>
      <w:bookmarkStart w:id="6" w:name="_Hlk134778552"/>
      <w:r w:rsidRPr="000413AA">
        <w:rPr>
          <w:b/>
        </w:rPr>
        <w:t>GUERRERO</w:t>
      </w:r>
      <w:r w:rsidRPr="000413AA">
        <w:rPr>
          <w:b/>
          <w:lang w:val="it-IT"/>
        </w:rPr>
        <w:t>, C.</w:t>
      </w:r>
      <w:r w:rsidR="008D7769">
        <w:rPr>
          <w:b/>
          <w:lang w:val="it-IT"/>
        </w:rPr>
        <w:t> </w:t>
      </w:r>
      <w:r w:rsidRPr="000413AA">
        <w:rPr>
          <w:b/>
          <w:lang w:val="it-IT"/>
        </w:rPr>
        <w:t>J.</w:t>
      </w:r>
    </w:p>
    <w:p w:rsidR="00F579F3" w:rsidRPr="000413AA" w:rsidP="00F579F3" w14:paraId="53248784" w14:textId="77777777">
      <w:pPr>
        <w:spacing w:after="0" w:line="240" w:lineRule="auto"/>
        <w:rPr>
          <w:b/>
          <w:lang w:val="it-IT"/>
        </w:rPr>
      </w:pPr>
      <w:r w:rsidRPr="000413AA">
        <w:rPr>
          <w:b/>
          <w:lang w:val="it-IT"/>
        </w:rPr>
        <w:t>CORRIGAN, J.</w:t>
      </w:r>
    </w:p>
    <w:p w:rsidR="00F579F3" w:rsidRPr="000413AA" w:rsidP="00F579F3" w14:paraId="3B6FBE67" w14:textId="77777777">
      <w:pPr>
        <w:spacing w:after="0" w:line="240" w:lineRule="auto"/>
        <w:jc w:val="left"/>
        <w:rPr>
          <w:b/>
          <w:lang w:val="it-IT"/>
        </w:rPr>
      </w:pPr>
      <w:r w:rsidRPr="000413AA">
        <w:rPr>
          <w:b/>
          <w:lang w:val="it-IT"/>
        </w:rPr>
        <w:t>KRUGER, J.</w:t>
      </w:r>
    </w:p>
    <w:p w:rsidR="00F579F3" w:rsidRPr="000413AA" w:rsidP="00F579F3" w14:paraId="48E83B07" w14:textId="77777777">
      <w:pPr>
        <w:spacing w:after="0" w:line="240" w:lineRule="auto"/>
        <w:jc w:val="left"/>
        <w:rPr>
          <w:b/>
        </w:rPr>
      </w:pPr>
      <w:r w:rsidRPr="000413AA">
        <w:rPr>
          <w:b/>
        </w:rPr>
        <w:t>GROBAN, J.</w:t>
      </w:r>
    </w:p>
    <w:p w:rsidR="00F579F3" w:rsidRPr="000413AA" w:rsidP="00F579F3" w14:paraId="102D4B92" w14:textId="77777777">
      <w:pPr>
        <w:spacing w:after="0" w:line="240" w:lineRule="auto"/>
        <w:jc w:val="left"/>
        <w:rPr>
          <w:b/>
        </w:rPr>
      </w:pPr>
      <w:r w:rsidRPr="000413AA">
        <w:rPr>
          <w:b/>
        </w:rPr>
        <w:t>JENKINS, J.</w:t>
      </w:r>
    </w:p>
    <w:p w:rsidR="00F579F3" w:rsidRPr="000413AA" w:rsidP="00F579F3" w14:paraId="34B8D337" w14:textId="77777777">
      <w:pPr>
        <w:spacing w:after="0" w:line="240" w:lineRule="auto"/>
        <w:jc w:val="left"/>
        <w:rPr>
          <w:b/>
        </w:rPr>
      </w:pPr>
      <w:r w:rsidRPr="000413AA">
        <w:rPr>
          <w:b/>
        </w:rPr>
        <w:t>EVANS, J.</w:t>
      </w:r>
    </w:p>
    <w:bookmarkEnd w:id="5"/>
    <w:bookmarkEnd w:id="6"/>
    <w:p w:rsidR="000D2F48" w14:paraId="73F36A2F" w14:textId="77777777">
      <w:pPr>
        <w:spacing w:after="0" w:line="240" w:lineRule="auto"/>
        <w:jc w:val="left"/>
        <w:rPr>
          <w:b/>
          <w:bCs/>
          <w:szCs w:val="26"/>
        </w:rPr>
        <w:sectPr w:rsidSect="00B94E63">
          <w:headerReference w:type="default" r:id="rId11"/>
          <w:footerReference w:type="default" r:id="rId12"/>
          <w:footerReference w:type="first" r:id="rId13"/>
          <w:pgSz w:w="12240" w:h="15840"/>
          <w:pgMar w:top="1800" w:right="2160" w:bottom="1440" w:left="2160" w:header="720" w:footer="720" w:gutter="0"/>
          <w:pgNumType w:start="1"/>
          <w:cols w:space="720"/>
          <w:titlePg/>
          <w:docGrid w:linePitch="367"/>
        </w:sectPr>
      </w:pPr>
    </w:p>
    <w:p w:rsidR="001A06CF" w:rsidRPr="001A06CF" w:rsidP="001A06CF" w14:paraId="7ED9C81B" w14:textId="77777777">
      <w:pPr>
        <w:spacing w:after="0" w:line="240" w:lineRule="auto"/>
        <w:jc w:val="left"/>
        <w:rPr>
          <w:i/>
          <w:sz w:val="24"/>
          <w:szCs w:val="24"/>
        </w:rPr>
      </w:pPr>
      <w:r w:rsidRPr="001A06CF">
        <w:rPr>
          <w:i/>
          <w:sz w:val="24"/>
          <w:szCs w:val="24"/>
        </w:rPr>
        <w:t>See next page for addresses and telephone numbers for counsel who argued in Supreme Court.</w:t>
      </w:r>
    </w:p>
    <w:p w:rsidR="001A06CF" w:rsidRPr="001A06CF" w:rsidP="001A06CF" w14:paraId="03DEA148" w14:textId="77777777">
      <w:pPr>
        <w:spacing w:after="0" w:line="240" w:lineRule="auto"/>
        <w:jc w:val="left"/>
        <w:rPr>
          <w:i/>
          <w:sz w:val="24"/>
          <w:szCs w:val="24"/>
        </w:rPr>
      </w:pPr>
    </w:p>
    <w:p w:rsidR="001A06CF" w:rsidRPr="001A06CF" w:rsidP="001A06CF" w14:paraId="0EDE092C" w14:textId="77777777">
      <w:pPr>
        <w:spacing w:after="0" w:line="240" w:lineRule="auto"/>
        <w:jc w:val="left"/>
        <w:rPr>
          <w:bCs/>
          <w:sz w:val="24"/>
          <w:szCs w:val="24"/>
        </w:rPr>
      </w:pPr>
      <w:r w:rsidRPr="001A06CF">
        <w:rPr>
          <w:b/>
          <w:sz w:val="24"/>
          <w:szCs w:val="24"/>
        </w:rPr>
        <w:t xml:space="preserve">Name of Opinion  </w:t>
      </w:r>
      <w:r w:rsidRPr="001A06CF">
        <w:rPr>
          <w:bCs/>
          <w:sz w:val="24"/>
          <w:szCs w:val="24"/>
        </w:rPr>
        <w:t>People v. Reyes</w:t>
      </w:r>
    </w:p>
    <w:p w:rsidR="001A06CF" w:rsidRPr="001A06CF" w:rsidP="001A06CF" w14:paraId="7712916E" w14:textId="77777777">
      <w:pPr>
        <w:spacing w:after="0" w:line="240" w:lineRule="auto"/>
        <w:jc w:val="left"/>
        <w:rPr>
          <w:b/>
          <w:sz w:val="24"/>
          <w:szCs w:val="24"/>
        </w:rPr>
      </w:pPr>
      <w:r w:rsidRPr="001A06CF">
        <w:rPr>
          <w:b/>
          <w:sz w:val="24"/>
          <w:szCs w:val="24"/>
        </w:rPr>
        <w:t xml:space="preserve">__________________________________________________________ </w:t>
      </w:r>
    </w:p>
    <w:p w:rsidR="001A06CF" w:rsidRPr="001A06CF" w:rsidP="001A06CF" w14:paraId="1E622EDC" w14:textId="77777777">
      <w:pPr>
        <w:spacing w:after="0" w:line="240" w:lineRule="auto"/>
        <w:jc w:val="left"/>
        <w:rPr>
          <w:b/>
          <w:sz w:val="24"/>
          <w:szCs w:val="24"/>
        </w:rPr>
      </w:pPr>
    </w:p>
    <w:p w:rsidR="001A06CF" w:rsidRPr="001A06CF" w:rsidP="001A06CF" w14:paraId="37AC782D" w14:textId="77777777">
      <w:pPr>
        <w:spacing w:after="0" w:line="240" w:lineRule="auto"/>
        <w:jc w:val="left"/>
        <w:rPr>
          <w:sz w:val="24"/>
          <w:szCs w:val="24"/>
        </w:rPr>
      </w:pPr>
      <w:r w:rsidRPr="001A06CF">
        <w:rPr>
          <w:b/>
          <w:bCs/>
          <w:sz w:val="24"/>
          <w:szCs w:val="24"/>
          <w:u w:val="single"/>
        </w:rPr>
        <w:t>Procedural Posture</w:t>
      </w:r>
      <w:r w:rsidRPr="001A06CF">
        <w:rPr>
          <w:b/>
          <w:bCs/>
          <w:sz w:val="24"/>
          <w:szCs w:val="24"/>
        </w:rPr>
        <w:t xml:space="preserve"> </w:t>
      </w:r>
      <w:r w:rsidRPr="001A06CF">
        <w:rPr>
          <w:sz w:val="24"/>
          <w:szCs w:val="24"/>
        </w:rPr>
        <w:t>(see XX below)</w:t>
      </w:r>
    </w:p>
    <w:p w:rsidR="001A06CF" w:rsidRPr="001A06CF" w:rsidP="001A06CF" w14:paraId="6E8B3069" w14:textId="77777777">
      <w:pPr>
        <w:spacing w:after="0" w:line="240" w:lineRule="auto"/>
        <w:jc w:val="left"/>
        <w:rPr>
          <w:sz w:val="24"/>
          <w:szCs w:val="24"/>
        </w:rPr>
      </w:pPr>
      <w:r w:rsidRPr="001A06CF">
        <w:rPr>
          <w:b/>
          <w:bCs/>
          <w:sz w:val="24"/>
          <w:szCs w:val="24"/>
        </w:rPr>
        <w:t>Original Appeal</w:t>
      </w:r>
      <w:r w:rsidRPr="001A06CF">
        <w:rPr>
          <w:sz w:val="24"/>
          <w:szCs w:val="24"/>
        </w:rPr>
        <w:t xml:space="preserve"> </w:t>
      </w:r>
    </w:p>
    <w:p w:rsidR="001A06CF" w:rsidRPr="001A06CF" w:rsidP="001A06CF" w14:paraId="6CCD12B8" w14:textId="77777777">
      <w:pPr>
        <w:spacing w:after="0" w:line="240" w:lineRule="auto"/>
        <w:jc w:val="left"/>
        <w:rPr>
          <w:b/>
          <w:bCs/>
          <w:sz w:val="24"/>
          <w:szCs w:val="24"/>
        </w:rPr>
      </w:pPr>
      <w:r w:rsidRPr="001A06CF">
        <w:rPr>
          <w:b/>
          <w:bCs/>
          <w:sz w:val="24"/>
          <w:szCs w:val="24"/>
        </w:rPr>
        <w:t>Original Proceeding</w:t>
      </w:r>
    </w:p>
    <w:p w:rsidR="001A06CF" w:rsidRPr="001A06CF" w:rsidP="001A06CF" w14:paraId="12541050" w14:textId="77777777">
      <w:pPr>
        <w:spacing w:after="0" w:line="240" w:lineRule="auto"/>
        <w:jc w:val="left"/>
        <w:rPr>
          <w:sz w:val="24"/>
          <w:szCs w:val="24"/>
        </w:rPr>
      </w:pPr>
      <w:r w:rsidRPr="001A06CF">
        <w:rPr>
          <w:b/>
          <w:bCs/>
          <w:sz w:val="24"/>
          <w:szCs w:val="24"/>
        </w:rPr>
        <w:t>Review Granted</w:t>
      </w:r>
      <w:r w:rsidRPr="001A06CF">
        <w:rPr>
          <w:sz w:val="24"/>
          <w:szCs w:val="24"/>
        </w:rPr>
        <w:t xml:space="preserve"> </w:t>
      </w:r>
      <w:r w:rsidRPr="001A06CF">
        <w:rPr>
          <w:b/>
          <w:bCs/>
          <w:sz w:val="24"/>
          <w:szCs w:val="24"/>
        </w:rPr>
        <w:t xml:space="preserve">(published) </w:t>
      </w:r>
    </w:p>
    <w:p w:rsidR="001A06CF" w:rsidRPr="001A06CF" w:rsidP="001A06CF" w14:paraId="3E027D18" w14:textId="77777777">
      <w:pPr>
        <w:spacing w:after="0" w:line="240" w:lineRule="auto"/>
        <w:jc w:val="left"/>
        <w:rPr>
          <w:sz w:val="24"/>
          <w:szCs w:val="24"/>
        </w:rPr>
      </w:pPr>
      <w:r w:rsidRPr="001A06CF">
        <w:rPr>
          <w:b/>
          <w:bCs/>
          <w:sz w:val="24"/>
          <w:szCs w:val="24"/>
        </w:rPr>
        <w:t xml:space="preserve">Review Granted (unpublished) </w:t>
      </w:r>
      <w:r w:rsidRPr="001A06CF">
        <w:rPr>
          <w:sz w:val="24"/>
          <w:szCs w:val="24"/>
        </w:rPr>
        <w:t>XX NP opn. filed 8/4/21 – 4th Dist., Div. 3</w:t>
      </w:r>
    </w:p>
    <w:p w:rsidR="001A06CF" w:rsidRPr="001A06CF" w:rsidP="001A06CF" w14:paraId="0085C5C2" w14:textId="77777777">
      <w:pPr>
        <w:spacing w:after="0" w:line="240" w:lineRule="auto"/>
        <w:jc w:val="left"/>
        <w:rPr>
          <w:b/>
          <w:bCs/>
          <w:sz w:val="24"/>
          <w:szCs w:val="24"/>
        </w:rPr>
      </w:pPr>
      <w:r w:rsidRPr="001A06CF">
        <w:rPr>
          <w:b/>
          <w:bCs/>
          <w:sz w:val="24"/>
          <w:szCs w:val="24"/>
        </w:rPr>
        <w:t>Rehearing Granted</w:t>
      </w:r>
    </w:p>
    <w:p w:rsidR="001A06CF" w:rsidRPr="001A06CF" w:rsidP="001A06CF" w14:paraId="27005442" w14:textId="77777777">
      <w:pPr>
        <w:spacing w:after="0" w:line="240" w:lineRule="auto"/>
        <w:jc w:val="left"/>
        <w:rPr>
          <w:b/>
          <w:sz w:val="24"/>
          <w:szCs w:val="24"/>
        </w:rPr>
      </w:pPr>
      <w:r w:rsidRPr="001A06CF">
        <w:rPr>
          <w:b/>
          <w:sz w:val="24"/>
          <w:szCs w:val="24"/>
        </w:rPr>
        <w:t xml:space="preserve">__________________________________________________________ </w:t>
      </w:r>
    </w:p>
    <w:p w:rsidR="001A06CF" w:rsidRPr="001A06CF" w:rsidP="001A06CF" w14:paraId="52AD24F8" w14:textId="77777777">
      <w:pPr>
        <w:spacing w:after="0" w:line="240" w:lineRule="auto"/>
        <w:jc w:val="left"/>
        <w:rPr>
          <w:b/>
          <w:sz w:val="24"/>
          <w:szCs w:val="24"/>
        </w:rPr>
      </w:pPr>
    </w:p>
    <w:p w:rsidR="001A06CF" w:rsidRPr="001A06CF" w:rsidP="001A06CF" w14:paraId="57701DE3" w14:textId="77777777">
      <w:pPr>
        <w:spacing w:after="0" w:line="240" w:lineRule="auto"/>
        <w:jc w:val="left"/>
        <w:rPr>
          <w:bCs/>
          <w:sz w:val="24"/>
          <w:szCs w:val="24"/>
        </w:rPr>
      </w:pPr>
      <w:r w:rsidRPr="001A06CF">
        <w:rPr>
          <w:b/>
          <w:sz w:val="24"/>
          <w:szCs w:val="24"/>
        </w:rPr>
        <w:t>Opinion No.</w:t>
      </w:r>
      <w:r w:rsidRPr="001A06CF">
        <w:rPr>
          <w:sz w:val="24"/>
          <w:szCs w:val="24"/>
        </w:rPr>
        <w:t xml:space="preserve"> S270723</w:t>
      </w:r>
    </w:p>
    <w:p w:rsidR="001A06CF" w:rsidRPr="001A06CF" w:rsidP="001A06CF" w14:paraId="03378342" w14:textId="77777777">
      <w:pPr>
        <w:spacing w:after="0" w:line="240" w:lineRule="auto"/>
        <w:jc w:val="left"/>
        <w:rPr>
          <w:bCs/>
          <w:sz w:val="24"/>
          <w:szCs w:val="24"/>
        </w:rPr>
      </w:pPr>
      <w:r w:rsidRPr="001A06CF">
        <w:rPr>
          <w:b/>
          <w:sz w:val="24"/>
          <w:szCs w:val="24"/>
        </w:rPr>
        <w:t>Date Filed:</w:t>
      </w:r>
      <w:r w:rsidRPr="001A06CF">
        <w:rPr>
          <w:sz w:val="24"/>
          <w:szCs w:val="24"/>
        </w:rPr>
        <w:t xml:space="preserve">  June 29, 2023</w:t>
      </w:r>
    </w:p>
    <w:p w:rsidR="001A06CF" w:rsidRPr="001A06CF" w:rsidP="001A06CF" w14:paraId="03B31CC6" w14:textId="77777777">
      <w:pPr>
        <w:spacing w:after="0" w:line="240" w:lineRule="auto"/>
        <w:jc w:val="left"/>
        <w:rPr>
          <w:b/>
          <w:sz w:val="24"/>
          <w:szCs w:val="24"/>
        </w:rPr>
      </w:pPr>
      <w:r w:rsidRPr="001A06CF">
        <w:rPr>
          <w:b/>
          <w:sz w:val="24"/>
          <w:szCs w:val="24"/>
        </w:rPr>
        <w:t xml:space="preserve">__________________________________________________________ </w:t>
      </w:r>
    </w:p>
    <w:p w:rsidR="001A06CF" w:rsidRPr="001A06CF" w:rsidP="001A06CF" w14:paraId="09638857" w14:textId="77777777">
      <w:pPr>
        <w:spacing w:after="0" w:line="240" w:lineRule="auto"/>
        <w:jc w:val="left"/>
        <w:rPr>
          <w:b/>
          <w:sz w:val="24"/>
          <w:szCs w:val="24"/>
        </w:rPr>
      </w:pPr>
    </w:p>
    <w:p w:rsidR="001A06CF" w:rsidRPr="001A06CF" w:rsidP="001A06CF" w14:paraId="4A7222C0" w14:textId="77777777">
      <w:pPr>
        <w:spacing w:after="0" w:line="240" w:lineRule="auto"/>
        <w:jc w:val="left"/>
        <w:rPr>
          <w:bCs/>
          <w:sz w:val="24"/>
          <w:szCs w:val="24"/>
        </w:rPr>
      </w:pPr>
      <w:r w:rsidRPr="001A06CF">
        <w:rPr>
          <w:b/>
          <w:sz w:val="24"/>
          <w:szCs w:val="24"/>
        </w:rPr>
        <w:t xml:space="preserve">Court:  </w:t>
      </w:r>
      <w:r w:rsidRPr="001A06CF">
        <w:rPr>
          <w:bCs/>
          <w:sz w:val="24"/>
          <w:szCs w:val="24"/>
        </w:rPr>
        <w:t>Superior</w:t>
      </w:r>
      <w:r w:rsidRPr="001A06CF">
        <w:rPr>
          <w:b/>
          <w:sz w:val="24"/>
          <w:szCs w:val="24"/>
        </w:rPr>
        <w:t xml:space="preserve"> </w:t>
      </w:r>
    </w:p>
    <w:p w:rsidR="001A06CF" w:rsidRPr="001A06CF" w:rsidP="001A06CF" w14:paraId="17ABF054" w14:textId="77777777">
      <w:pPr>
        <w:spacing w:after="0" w:line="240" w:lineRule="auto"/>
        <w:jc w:val="left"/>
        <w:rPr>
          <w:bCs/>
          <w:sz w:val="24"/>
          <w:szCs w:val="24"/>
        </w:rPr>
      </w:pPr>
      <w:r w:rsidRPr="001A06CF">
        <w:rPr>
          <w:b/>
          <w:sz w:val="24"/>
          <w:szCs w:val="24"/>
        </w:rPr>
        <w:t xml:space="preserve">County:  </w:t>
      </w:r>
      <w:r w:rsidRPr="001A06CF">
        <w:rPr>
          <w:bCs/>
          <w:sz w:val="24"/>
          <w:szCs w:val="24"/>
        </w:rPr>
        <w:t>Orange</w:t>
      </w:r>
      <w:r w:rsidRPr="001A06CF">
        <w:rPr>
          <w:b/>
          <w:sz w:val="24"/>
          <w:szCs w:val="24"/>
        </w:rPr>
        <w:t xml:space="preserve"> </w:t>
      </w:r>
    </w:p>
    <w:p w:rsidR="001A06CF" w:rsidRPr="001A06CF" w:rsidP="001A06CF" w14:paraId="3A2F8B86" w14:textId="77777777">
      <w:pPr>
        <w:spacing w:after="0" w:line="240" w:lineRule="auto"/>
        <w:ind w:left="720" w:hanging="720"/>
        <w:jc w:val="left"/>
        <w:rPr>
          <w:bCs/>
          <w:sz w:val="24"/>
          <w:szCs w:val="24"/>
        </w:rPr>
      </w:pPr>
      <w:r w:rsidRPr="001A06CF">
        <w:rPr>
          <w:b/>
          <w:sz w:val="24"/>
          <w:szCs w:val="24"/>
        </w:rPr>
        <w:t xml:space="preserve">Judge: </w:t>
      </w:r>
      <w:r w:rsidRPr="001A06CF">
        <w:rPr>
          <w:bCs/>
          <w:sz w:val="24"/>
          <w:szCs w:val="24"/>
        </w:rPr>
        <w:t xml:space="preserve"> Richard M. King</w:t>
      </w:r>
    </w:p>
    <w:p w:rsidR="001A06CF" w:rsidRPr="001A06CF" w:rsidP="001A06CF" w14:paraId="4D0878AF" w14:textId="77777777">
      <w:pPr>
        <w:spacing w:after="0" w:line="240" w:lineRule="auto"/>
        <w:jc w:val="left"/>
        <w:rPr>
          <w:b/>
          <w:sz w:val="24"/>
          <w:szCs w:val="24"/>
        </w:rPr>
      </w:pPr>
      <w:r w:rsidRPr="001A06CF">
        <w:rPr>
          <w:b/>
          <w:sz w:val="24"/>
          <w:szCs w:val="24"/>
        </w:rPr>
        <w:t xml:space="preserve">__________________________________________________________  </w:t>
      </w:r>
    </w:p>
    <w:p w:rsidR="001A06CF" w:rsidRPr="001A06CF" w:rsidP="001A06CF" w14:paraId="590AA5B8" w14:textId="77777777">
      <w:pPr>
        <w:spacing w:after="0" w:line="240" w:lineRule="auto"/>
        <w:jc w:val="left"/>
        <w:rPr>
          <w:b/>
          <w:sz w:val="24"/>
          <w:szCs w:val="24"/>
        </w:rPr>
      </w:pPr>
    </w:p>
    <w:p w:rsidR="001A06CF" w:rsidRPr="001A06CF" w:rsidP="001A06CF" w14:paraId="08845D03" w14:textId="77777777">
      <w:pPr>
        <w:spacing w:after="0" w:line="240" w:lineRule="auto"/>
        <w:jc w:val="left"/>
        <w:rPr>
          <w:b/>
          <w:sz w:val="24"/>
          <w:szCs w:val="24"/>
        </w:rPr>
      </w:pPr>
      <w:r w:rsidRPr="001A06CF">
        <w:rPr>
          <w:b/>
          <w:sz w:val="24"/>
          <w:szCs w:val="24"/>
        </w:rPr>
        <w:t>Counsel:</w:t>
      </w:r>
    </w:p>
    <w:p w:rsidR="001A06CF" w:rsidRPr="001A06CF" w:rsidP="001A06CF" w14:paraId="58F0F569" w14:textId="77777777">
      <w:pPr>
        <w:spacing w:after="0" w:line="240" w:lineRule="auto"/>
        <w:jc w:val="left"/>
        <w:rPr>
          <w:bCs/>
          <w:sz w:val="24"/>
          <w:szCs w:val="24"/>
        </w:rPr>
      </w:pPr>
    </w:p>
    <w:p w:rsidR="001A06CF" w:rsidRPr="001A06CF" w:rsidP="001A06CF" w14:paraId="2F039543" w14:textId="77777777">
      <w:pPr>
        <w:spacing w:after="0" w:line="240" w:lineRule="auto"/>
        <w:jc w:val="left"/>
        <w:rPr>
          <w:color w:val="212121"/>
          <w:sz w:val="24"/>
          <w:szCs w:val="24"/>
          <w:shd w:val="clear" w:color="auto" w:fill="FFFFFF"/>
        </w:rPr>
      </w:pPr>
      <w:r w:rsidRPr="001A06CF">
        <w:rPr>
          <w:color w:val="212121"/>
          <w:sz w:val="24"/>
          <w:szCs w:val="24"/>
          <w:shd w:val="clear" w:color="auto" w:fill="FFFFFF"/>
        </w:rPr>
        <w:t>Gerald J. Miller, under appointment by the Court of Appeal, and Richard A. Levy, under appointment by the Supreme Court, for Defendant and Appellant.</w:t>
      </w:r>
    </w:p>
    <w:p w:rsidR="001A06CF" w:rsidRPr="001A06CF" w:rsidP="001A06CF" w14:paraId="3781F632" w14:textId="77777777">
      <w:pPr>
        <w:spacing w:after="0" w:line="240" w:lineRule="auto"/>
        <w:jc w:val="left"/>
        <w:rPr>
          <w:color w:val="212121"/>
          <w:sz w:val="24"/>
          <w:szCs w:val="24"/>
          <w:shd w:val="clear" w:color="auto" w:fill="FFFFFF"/>
        </w:rPr>
      </w:pPr>
    </w:p>
    <w:p w:rsidR="001A06CF" w:rsidRPr="001A06CF" w:rsidP="001A06CF" w14:paraId="0FCEA140" w14:textId="77777777">
      <w:pPr>
        <w:spacing w:after="0" w:line="240" w:lineRule="auto"/>
        <w:jc w:val="left"/>
        <w:rPr>
          <w:color w:val="212121"/>
          <w:sz w:val="24"/>
          <w:szCs w:val="24"/>
          <w:shd w:val="clear" w:color="auto" w:fill="FFFFFF"/>
        </w:rPr>
      </w:pPr>
      <w:r w:rsidRPr="001A06CF">
        <w:rPr>
          <w:color w:val="212121"/>
          <w:sz w:val="24"/>
          <w:szCs w:val="24"/>
          <w:shd w:val="clear" w:color="auto" w:fill="FFFFFF"/>
        </w:rPr>
        <w:t>Mary K. McComb, State Public Defender, Samuel Weiscovitz and Jennifer Hansen, Deputy State Public Defenders, for Office of the State Public Defender as Amicus Curiae on behalf of Defendant and Appellant.</w:t>
      </w:r>
    </w:p>
    <w:p w:rsidR="001A06CF" w:rsidRPr="001A06CF" w:rsidP="001A06CF" w14:paraId="050CD9DD" w14:textId="77777777">
      <w:pPr>
        <w:spacing w:after="0" w:line="240" w:lineRule="auto"/>
        <w:jc w:val="left"/>
        <w:rPr>
          <w:color w:val="212121"/>
          <w:sz w:val="24"/>
          <w:szCs w:val="24"/>
          <w:shd w:val="clear" w:color="auto" w:fill="FFFFFF"/>
        </w:rPr>
      </w:pPr>
    </w:p>
    <w:p w:rsidR="001A06CF" w:rsidRPr="001A06CF" w:rsidP="001A06CF" w14:paraId="590E9CF2" w14:textId="77777777">
      <w:pPr>
        <w:spacing w:after="0" w:line="240" w:lineRule="auto"/>
        <w:jc w:val="left"/>
        <w:rPr>
          <w:color w:val="212121"/>
          <w:sz w:val="24"/>
          <w:szCs w:val="24"/>
          <w:shd w:val="clear" w:color="auto" w:fill="FFFFFF"/>
        </w:rPr>
      </w:pPr>
      <w:r w:rsidRPr="001A06CF">
        <w:rPr>
          <w:color w:val="212121"/>
          <w:sz w:val="24"/>
          <w:szCs w:val="24"/>
          <w:shd w:val="clear" w:color="auto" w:fill="FFFFFF"/>
        </w:rPr>
        <w:t>Christopher Hawthorne and Marisa Harris for Juvenile Innocence &amp; Fair Sentencing Clinic as Amicus Curiae on behalf of Defendant and Appellant.</w:t>
      </w:r>
    </w:p>
    <w:p w:rsidR="001A06CF" w:rsidRPr="001A06CF" w:rsidP="001A06CF" w14:paraId="20A7C975" w14:textId="77777777">
      <w:pPr>
        <w:spacing w:after="0" w:line="240" w:lineRule="auto"/>
        <w:jc w:val="left"/>
        <w:rPr>
          <w:color w:val="212121"/>
          <w:sz w:val="24"/>
          <w:szCs w:val="24"/>
          <w:shd w:val="clear" w:color="auto" w:fill="FFFFFF"/>
        </w:rPr>
      </w:pPr>
    </w:p>
    <w:p w:rsidR="001A06CF" w:rsidRPr="001A06CF" w:rsidP="001A06CF" w14:paraId="5FE8434D" w14:textId="77777777">
      <w:pPr>
        <w:spacing w:after="0" w:line="240" w:lineRule="auto"/>
        <w:jc w:val="left"/>
        <w:rPr>
          <w:b/>
          <w:sz w:val="24"/>
          <w:szCs w:val="24"/>
        </w:rPr>
      </w:pPr>
      <w:r w:rsidRPr="001A06CF">
        <w:rPr>
          <w:color w:val="212121"/>
          <w:sz w:val="24"/>
          <w:szCs w:val="24"/>
          <w:shd w:val="clear" w:color="auto" w:fill="FFFFFF"/>
        </w:rPr>
        <w:t xml:space="preserve">Xavier Becerra and Rob Bonta, Attorneys General, Lance E. Winters, Chief Assistant Attorney General, Julie L. Garland and Charles C. Ragland, Assistant Attorneys General, Eric A. Swenson, Meredith White, Jennifer B. Truong and Junichi P. Semitsu, Deputy Attorneys General, for Plaintiff and Respondent. </w:t>
      </w:r>
      <w:r w:rsidRPr="001A06CF">
        <w:rPr>
          <w:color w:val="212121"/>
          <w:sz w:val="24"/>
          <w:szCs w:val="24"/>
          <w:shd w:val="clear" w:color="auto" w:fill="FFFFFF"/>
        </w:rPr>
        <w:br w:type="page"/>
      </w:r>
      <w:r w:rsidRPr="001A06CF">
        <w:rPr>
          <w:b/>
          <w:sz w:val="24"/>
          <w:szCs w:val="24"/>
        </w:rPr>
        <w:t>Counsel who argued in Supreme Court (not intended for publication with opinion):</w:t>
      </w:r>
    </w:p>
    <w:p w:rsidR="001A06CF" w:rsidRPr="001A06CF" w:rsidP="001A06CF" w14:paraId="6C6ACAD8" w14:textId="77777777">
      <w:pPr>
        <w:spacing w:after="0" w:line="240" w:lineRule="auto"/>
        <w:jc w:val="left"/>
        <w:rPr>
          <w:b/>
          <w:sz w:val="24"/>
          <w:szCs w:val="24"/>
        </w:rPr>
      </w:pPr>
    </w:p>
    <w:p w:rsidR="001A06CF" w:rsidRPr="001A06CF" w:rsidP="001A06CF" w14:paraId="57F4B38F" w14:textId="77777777">
      <w:pPr>
        <w:spacing w:after="0" w:line="240" w:lineRule="auto"/>
        <w:jc w:val="left"/>
        <w:rPr>
          <w:sz w:val="24"/>
          <w:szCs w:val="24"/>
        </w:rPr>
      </w:pPr>
      <w:r w:rsidRPr="001A06CF">
        <w:rPr>
          <w:sz w:val="24"/>
          <w:szCs w:val="24"/>
        </w:rPr>
        <w:t>Richard A. Levy</w:t>
      </w:r>
    </w:p>
    <w:p w:rsidR="001A06CF" w:rsidRPr="001A06CF" w:rsidP="001A06CF" w14:paraId="61994EC9" w14:textId="77777777">
      <w:pPr>
        <w:spacing w:after="0" w:line="240" w:lineRule="auto"/>
        <w:jc w:val="left"/>
        <w:rPr>
          <w:sz w:val="24"/>
          <w:szCs w:val="24"/>
        </w:rPr>
      </w:pPr>
      <w:r w:rsidRPr="001A06CF">
        <w:rPr>
          <w:sz w:val="24"/>
          <w:szCs w:val="24"/>
        </w:rPr>
        <w:t>Attorney at Law</w:t>
      </w:r>
    </w:p>
    <w:p w:rsidR="001A06CF" w:rsidRPr="001A06CF" w:rsidP="001A06CF" w14:paraId="51706D0E" w14:textId="77777777">
      <w:pPr>
        <w:spacing w:after="0" w:line="240" w:lineRule="auto"/>
        <w:jc w:val="left"/>
        <w:rPr>
          <w:sz w:val="24"/>
          <w:szCs w:val="24"/>
        </w:rPr>
      </w:pPr>
      <w:r w:rsidRPr="001A06CF">
        <w:rPr>
          <w:sz w:val="24"/>
          <w:szCs w:val="24"/>
        </w:rPr>
        <w:t>3868 West Carson Street, Suite 205</w:t>
      </w:r>
    </w:p>
    <w:p w:rsidR="001A06CF" w:rsidRPr="001A06CF" w:rsidP="001A06CF" w14:paraId="61148B79" w14:textId="77777777">
      <w:pPr>
        <w:spacing w:after="0" w:line="240" w:lineRule="auto"/>
        <w:jc w:val="left"/>
        <w:rPr>
          <w:sz w:val="24"/>
          <w:szCs w:val="24"/>
        </w:rPr>
      </w:pPr>
      <w:r w:rsidRPr="001A06CF">
        <w:rPr>
          <w:sz w:val="24"/>
          <w:szCs w:val="24"/>
        </w:rPr>
        <w:t>Torrance, CA 90503-6706</w:t>
      </w:r>
    </w:p>
    <w:p w:rsidR="001A06CF" w:rsidRPr="001A06CF" w:rsidP="001A06CF" w14:paraId="6C37958B" w14:textId="77777777">
      <w:pPr>
        <w:spacing w:after="0" w:line="240" w:lineRule="auto"/>
        <w:jc w:val="left"/>
        <w:rPr>
          <w:sz w:val="24"/>
          <w:szCs w:val="24"/>
        </w:rPr>
      </w:pPr>
      <w:r w:rsidRPr="001A06CF">
        <w:rPr>
          <w:sz w:val="24"/>
          <w:szCs w:val="24"/>
        </w:rPr>
        <w:t>(310) 944-3311</w:t>
      </w:r>
    </w:p>
    <w:p w:rsidR="001A06CF" w:rsidRPr="001A06CF" w:rsidP="001A06CF" w14:paraId="2B70E79D" w14:textId="77777777">
      <w:pPr>
        <w:spacing w:after="0" w:line="240" w:lineRule="auto"/>
        <w:jc w:val="left"/>
        <w:rPr>
          <w:sz w:val="24"/>
          <w:szCs w:val="24"/>
        </w:rPr>
      </w:pPr>
    </w:p>
    <w:p w:rsidR="001A06CF" w:rsidRPr="001A06CF" w:rsidP="001A06CF" w14:paraId="25723E17" w14:textId="77777777">
      <w:pPr>
        <w:spacing w:after="0" w:line="240" w:lineRule="auto"/>
        <w:jc w:val="left"/>
        <w:rPr>
          <w:color w:val="212121"/>
          <w:sz w:val="24"/>
          <w:szCs w:val="24"/>
          <w:shd w:val="clear" w:color="auto" w:fill="FFFFFF"/>
        </w:rPr>
      </w:pPr>
      <w:r w:rsidRPr="001A06CF">
        <w:rPr>
          <w:color w:val="212121"/>
          <w:sz w:val="24"/>
          <w:szCs w:val="24"/>
          <w:shd w:val="clear" w:color="auto" w:fill="FFFFFF"/>
        </w:rPr>
        <w:t>Junichi P. Semitsu</w:t>
      </w:r>
    </w:p>
    <w:p w:rsidR="001A06CF" w:rsidRPr="001A06CF" w:rsidP="001A06CF" w14:paraId="2AC4B9D8" w14:textId="77777777">
      <w:pPr>
        <w:spacing w:after="0" w:line="240" w:lineRule="auto"/>
        <w:jc w:val="left"/>
        <w:rPr>
          <w:sz w:val="24"/>
          <w:szCs w:val="24"/>
        </w:rPr>
      </w:pPr>
      <w:r w:rsidRPr="001A06CF">
        <w:rPr>
          <w:color w:val="212121"/>
          <w:sz w:val="24"/>
          <w:szCs w:val="24"/>
          <w:shd w:val="clear" w:color="auto" w:fill="FFFFFF"/>
        </w:rPr>
        <w:t>Deputy Attorney General</w:t>
      </w:r>
    </w:p>
    <w:p w:rsidR="001A06CF" w:rsidRPr="001A06CF" w:rsidP="001A06CF" w14:paraId="581A63DE" w14:textId="77777777">
      <w:pPr>
        <w:spacing w:after="0" w:line="240" w:lineRule="auto"/>
        <w:jc w:val="left"/>
        <w:rPr>
          <w:sz w:val="24"/>
          <w:szCs w:val="24"/>
        </w:rPr>
      </w:pPr>
      <w:r w:rsidRPr="001A06CF">
        <w:rPr>
          <w:sz w:val="24"/>
          <w:szCs w:val="24"/>
        </w:rPr>
        <w:t>600 West Broadway, Suite 1800</w:t>
      </w:r>
    </w:p>
    <w:p w:rsidR="001A06CF" w:rsidRPr="001A06CF" w:rsidP="001A06CF" w14:paraId="077611AB" w14:textId="77777777">
      <w:pPr>
        <w:spacing w:after="0" w:line="240" w:lineRule="auto"/>
        <w:jc w:val="left"/>
        <w:rPr>
          <w:sz w:val="24"/>
          <w:szCs w:val="24"/>
        </w:rPr>
      </w:pPr>
      <w:r w:rsidRPr="001A06CF">
        <w:rPr>
          <w:sz w:val="24"/>
          <w:szCs w:val="24"/>
        </w:rPr>
        <w:t>San Diego, CA 92101</w:t>
      </w:r>
    </w:p>
    <w:p w:rsidR="001A06CF" w:rsidRPr="001A06CF" w:rsidP="001A06CF" w14:paraId="579094AD" w14:textId="77777777">
      <w:pPr>
        <w:spacing w:after="0" w:line="240" w:lineRule="auto"/>
        <w:jc w:val="left"/>
        <w:rPr>
          <w:sz w:val="24"/>
          <w:szCs w:val="24"/>
        </w:rPr>
      </w:pPr>
      <w:r w:rsidRPr="001A06CF">
        <w:rPr>
          <w:sz w:val="24"/>
          <w:szCs w:val="24"/>
        </w:rPr>
        <w:t>(619) 738-9103</w:t>
      </w:r>
    </w:p>
    <w:p w:rsidR="005264C8" w14:paraId="308E5597" w14:textId="6007E32A">
      <w:pPr>
        <w:spacing w:after="0" w:line="240" w:lineRule="auto"/>
        <w:jc w:val="left"/>
        <w:rPr>
          <w:b/>
          <w:bCs/>
          <w:szCs w:val="26"/>
        </w:rPr>
      </w:pPr>
    </w:p>
    <w:sectPr w:rsidSect="00EC2BB8">
      <w:headerReference w:type="even" r:id="rId14"/>
      <w:headerReference w:type="default" r:id="rId15"/>
      <w:footerReference w:type="even" r:id="rId16"/>
      <w:footerReference w:type="default" r:id="rId17"/>
      <w:headerReference w:type="first" r:id="rId18"/>
      <w:footerReference w:type="first" r:id="rId19"/>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14" w14:paraId="024B674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0C15" w14:paraId="50AC2369" w14:textId="7777777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14" w14:paraId="4E357EF2"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F7D" w14:paraId="26D12648" w14:textId="77777777">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431" w14:paraId="7996A411" w14:textId="77777777">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0B" w14:paraId="189F699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0B" w14:paraId="0262F85A"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0B" w14:paraId="74A7CDC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14" w14:paraId="43E66C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1431" w14:paraId="00329E45" w14:textId="7E634B00">
    <w:pPr>
      <w:pStyle w:val="Header"/>
    </w:pPr>
    <w:r>
      <w:t>PEOPLE v. REYES</w:t>
    </w:r>
  </w:p>
  <w:p w:rsidR="000B1431" w14:paraId="63F42E8B" w14:textId="0B89E9E1">
    <w:pPr>
      <w:pStyle w:val="Header"/>
    </w:pPr>
    <w:r>
      <w:t>Opinion of the Court by Liu, J.</w:t>
    </w:r>
  </w:p>
  <w:p w:rsidR="000B1431" w14:paraId="44DE182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3814" w14:paraId="1DEAAE98"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21FE" w14:paraId="64F01568" w14:textId="51711D7A">
    <w:pPr>
      <w:pStyle w:val="Header"/>
    </w:pPr>
    <w:r>
      <w:t>PEOPLE v. REYES</w:t>
    </w:r>
  </w:p>
  <w:p w:rsidR="002921FE" w14:paraId="6972168A" w14:textId="77777777">
    <w:pPr>
      <w:pStyle w:val="Header"/>
    </w:pPr>
    <w:r>
      <w:t>Opinion of the Court by Liu, J.</w:t>
    </w:r>
  </w:p>
  <w:p w:rsidR="002921FE" w14:paraId="58D78B37"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0B" w14:paraId="60A49C98"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0B" w:rsidRPr="00EE05BD" w:rsidP="00EE05BD" w14:paraId="0E763CEF"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40B" w14:paraId="507506C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0D3E96"/>
    <w:multiLevelType w:val="hybridMultilevel"/>
    <w:tmpl w:val="87AEA9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4F34557A"/>
    <w:multiLevelType w:val="hybridMultilevel"/>
    <w:tmpl w:val="947E4F7C"/>
    <w:lvl w:ilvl="0">
      <w:start w:val="1"/>
      <w:numFmt w:val="decimal"/>
      <w:suff w:val="space"/>
      <w:lvlText w:val="%1."/>
      <w:lvlJc w:val="left"/>
      <w:pPr>
        <w:ind w:left="1260" w:hanging="360"/>
      </w:pPr>
      <w:rPr>
        <w:rFonts w:hint="default"/>
      </w:r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51E507C8"/>
    <w:multiLevelType w:val="hybridMultilevel"/>
    <w:tmpl w:val="D0828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hint="default"/>
        <w:color w:val="00000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7AFB3B11"/>
    <w:multiLevelType w:val="hybridMultilevel"/>
    <w:tmpl w:val="8D80D8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4D"/>
    <w:rsid w:val="000010D5"/>
    <w:rsid w:val="0000121C"/>
    <w:rsid w:val="0000277F"/>
    <w:rsid w:val="00003F45"/>
    <w:rsid w:val="000045BD"/>
    <w:rsid w:val="00004F6E"/>
    <w:rsid w:val="00004F9D"/>
    <w:rsid w:val="000053E0"/>
    <w:rsid w:val="00005549"/>
    <w:rsid w:val="000055D5"/>
    <w:rsid w:val="0000583A"/>
    <w:rsid w:val="00006B8F"/>
    <w:rsid w:val="000076E1"/>
    <w:rsid w:val="000077C9"/>
    <w:rsid w:val="000100DE"/>
    <w:rsid w:val="00010319"/>
    <w:rsid w:val="0001041B"/>
    <w:rsid w:val="000112F7"/>
    <w:rsid w:val="000113A3"/>
    <w:rsid w:val="000113B6"/>
    <w:rsid w:val="0001259A"/>
    <w:rsid w:val="000134B4"/>
    <w:rsid w:val="00013DF2"/>
    <w:rsid w:val="00013E02"/>
    <w:rsid w:val="000145F0"/>
    <w:rsid w:val="000148C8"/>
    <w:rsid w:val="00017213"/>
    <w:rsid w:val="00017556"/>
    <w:rsid w:val="00017D74"/>
    <w:rsid w:val="000206C5"/>
    <w:rsid w:val="00020844"/>
    <w:rsid w:val="000212A9"/>
    <w:rsid w:val="000222AA"/>
    <w:rsid w:val="000225D2"/>
    <w:rsid w:val="00022654"/>
    <w:rsid w:val="0002383A"/>
    <w:rsid w:val="0002482E"/>
    <w:rsid w:val="00024BB2"/>
    <w:rsid w:val="00026C44"/>
    <w:rsid w:val="000302B5"/>
    <w:rsid w:val="000306EC"/>
    <w:rsid w:val="00030BF8"/>
    <w:rsid w:val="0003131B"/>
    <w:rsid w:val="00031401"/>
    <w:rsid w:val="00031B47"/>
    <w:rsid w:val="0003554A"/>
    <w:rsid w:val="00036D88"/>
    <w:rsid w:val="00037114"/>
    <w:rsid w:val="00037A92"/>
    <w:rsid w:val="00040CD5"/>
    <w:rsid w:val="00040D2E"/>
    <w:rsid w:val="0004103E"/>
    <w:rsid w:val="000413AA"/>
    <w:rsid w:val="00041A32"/>
    <w:rsid w:val="00041CDA"/>
    <w:rsid w:val="000424A9"/>
    <w:rsid w:val="000426F6"/>
    <w:rsid w:val="00042B70"/>
    <w:rsid w:val="00044538"/>
    <w:rsid w:val="0004478D"/>
    <w:rsid w:val="00044EA1"/>
    <w:rsid w:val="00045013"/>
    <w:rsid w:val="000453E1"/>
    <w:rsid w:val="00045B38"/>
    <w:rsid w:val="00045ECD"/>
    <w:rsid w:val="00047E94"/>
    <w:rsid w:val="000502E3"/>
    <w:rsid w:val="00050455"/>
    <w:rsid w:val="00050938"/>
    <w:rsid w:val="0005123B"/>
    <w:rsid w:val="00051771"/>
    <w:rsid w:val="000535B1"/>
    <w:rsid w:val="00053E7D"/>
    <w:rsid w:val="0005442A"/>
    <w:rsid w:val="000561DD"/>
    <w:rsid w:val="000567B0"/>
    <w:rsid w:val="00056803"/>
    <w:rsid w:val="000569B8"/>
    <w:rsid w:val="00056C0B"/>
    <w:rsid w:val="00056D5B"/>
    <w:rsid w:val="000579B5"/>
    <w:rsid w:val="00057A15"/>
    <w:rsid w:val="00061188"/>
    <w:rsid w:val="00061A21"/>
    <w:rsid w:val="00062E29"/>
    <w:rsid w:val="0006326A"/>
    <w:rsid w:val="00063F00"/>
    <w:rsid w:val="0006437A"/>
    <w:rsid w:val="00065501"/>
    <w:rsid w:val="00065A7C"/>
    <w:rsid w:val="00066539"/>
    <w:rsid w:val="0006705C"/>
    <w:rsid w:val="000673DF"/>
    <w:rsid w:val="00070020"/>
    <w:rsid w:val="00070332"/>
    <w:rsid w:val="00071151"/>
    <w:rsid w:val="00071D19"/>
    <w:rsid w:val="00072299"/>
    <w:rsid w:val="000723A1"/>
    <w:rsid w:val="00073AC9"/>
    <w:rsid w:val="0007585F"/>
    <w:rsid w:val="00075D59"/>
    <w:rsid w:val="00075F36"/>
    <w:rsid w:val="000760E6"/>
    <w:rsid w:val="00076354"/>
    <w:rsid w:val="00077C31"/>
    <w:rsid w:val="000807E9"/>
    <w:rsid w:val="000825BE"/>
    <w:rsid w:val="00082B56"/>
    <w:rsid w:val="00083F02"/>
    <w:rsid w:val="000844E0"/>
    <w:rsid w:val="00084B44"/>
    <w:rsid w:val="00084D54"/>
    <w:rsid w:val="000856D5"/>
    <w:rsid w:val="00085DE6"/>
    <w:rsid w:val="00085F0B"/>
    <w:rsid w:val="00090009"/>
    <w:rsid w:val="0009014F"/>
    <w:rsid w:val="000910B0"/>
    <w:rsid w:val="00091CEA"/>
    <w:rsid w:val="0009261C"/>
    <w:rsid w:val="0009331A"/>
    <w:rsid w:val="000934D9"/>
    <w:rsid w:val="00093E3E"/>
    <w:rsid w:val="00094060"/>
    <w:rsid w:val="00094FD8"/>
    <w:rsid w:val="00095579"/>
    <w:rsid w:val="0009565D"/>
    <w:rsid w:val="00096413"/>
    <w:rsid w:val="00097331"/>
    <w:rsid w:val="000A00EE"/>
    <w:rsid w:val="000A04AA"/>
    <w:rsid w:val="000A0753"/>
    <w:rsid w:val="000A07A2"/>
    <w:rsid w:val="000A0936"/>
    <w:rsid w:val="000A0D3E"/>
    <w:rsid w:val="000A2834"/>
    <w:rsid w:val="000A28D0"/>
    <w:rsid w:val="000A306B"/>
    <w:rsid w:val="000A371D"/>
    <w:rsid w:val="000A39C5"/>
    <w:rsid w:val="000A3F2D"/>
    <w:rsid w:val="000A4CE4"/>
    <w:rsid w:val="000A514B"/>
    <w:rsid w:val="000A5B0E"/>
    <w:rsid w:val="000A5B94"/>
    <w:rsid w:val="000A755C"/>
    <w:rsid w:val="000A7789"/>
    <w:rsid w:val="000B0F81"/>
    <w:rsid w:val="000B1431"/>
    <w:rsid w:val="000B196B"/>
    <w:rsid w:val="000B5297"/>
    <w:rsid w:val="000B551B"/>
    <w:rsid w:val="000B656D"/>
    <w:rsid w:val="000B6D14"/>
    <w:rsid w:val="000B7E80"/>
    <w:rsid w:val="000B7FC9"/>
    <w:rsid w:val="000C0000"/>
    <w:rsid w:val="000C18B4"/>
    <w:rsid w:val="000C1A6E"/>
    <w:rsid w:val="000C1A92"/>
    <w:rsid w:val="000C1B63"/>
    <w:rsid w:val="000C35D1"/>
    <w:rsid w:val="000C36AF"/>
    <w:rsid w:val="000C3C39"/>
    <w:rsid w:val="000C3ED5"/>
    <w:rsid w:val="000C48D8"/>
    <w:rsid w:val="000C5C21"/>
    <w:rsid w:val="000C6FAF"/>
    <w:rsid w:val="000C726C"/>
    <w:rsid w:val="000C727F"/>
    <w:rsid w:val="000C7D06"/>
    <w:rsid w:val="000D100C"/>
    <w:rsid w:val="000D13AE"/>
    <w:rsid w:val="000D1CD2"/>
    <w:rsid w:val="000D2001"/>
    <w:rsid w:val="000D2F48"/>
    <w:rsid w:val="000D30A0"/>
    <w:rsid w:val="000D3AB8"/>
    <w:rsid w:val="000D3AD2"/>
    <w:rsid w:val="000D4CAE"/>
    <w:rsid w:val="000D5CE0"/>
    <w:rsid w:val="000D7184"/>
    <w:rsid w:val="000D7D5A"/>
    <w:rsid w:val="000E0328"/>
    <w:rsid w:val="000E09E8"/>
    <w:rsid w:val="000E185E"/>
    <w:rsid w:val="000E1E68"/>
    <w:rsid w:val="000E33C8"/>
    <w:rsid w:val="000E48D1"/>
    <w:rsid w:val="000E4956"/>
    <w:rsid w:val="000E4A37"/>
    <w:rsid w:val="000E5E04"/>
    <w:rsid w:val="000E5E6D"/>
    <w:rsid w:val="000E657C"/>
    <w:rsid w:val="000E6D87"/>
    <w:rsid w:val="000F0030"/>
    <w:rsid w:val="000F04D1"/>
    <w:rsid w:val="000F0B3A"/>
    <w:rsid w:val="000F1966"/>
    <w:rsid w:val="000F2C70"/>
    <w:rsid w:val="000F327A"/>
    <w:rsid w:val="000F3BEB"/>
    <w:rsid w:val="000F3C46"/>
    <w:rsid w:val="000F4B87"/>
    <w:rsid w:val="000F5080"/>
    <w:rsid w:val="000F51E8"/>
    <w:rsid w:val="000F6D36"/>
    <w:rsid w:val="000F7C8A"/>
    <w:rsid w:val="001001BD"/>
    <w:rsid w:val="00101FCF"/>
    <w:rsid w:val="001027CF"/>
    <w:rsid w:val="001036F2"/>
    <w:rsid w:val="001047AB"/>
    <w:rsid w:val="001057DA"/>
    <w:rsid w:val="00105F41"/>
    <w:rsid w:val="00106F1A"/>
    <w:rsid w:val="001078AE"/>
    <w:rsid w:val="00107B2A"/>
    <w:rsid w:val="00110310"/>
    <w:rsid w:val="001106A5"/>
    <w:rsid w:val="0011090D"/>
    <w:rsid w:val="00110A38"/>
    <w:rsid w:val="00111FED"/>
    <w:rsid w:val="00112208"/>
    <w:rsid w:val="001128E9"/>
    <w:rsid w:val="00112CC9"/>
    <w:rsid w:val="001130EF"/>
    <w:rsid w:val="00113218"/>
    <w:rsid w:val="00113C59"/>
    <w:rsid w:val="001147FE"/>
    <w:rsid w:val="00114EB0"/>
    <w:rsid w:val="00114EC9"/>
    <w:rsid w:val="001162F5"/>
    <w:rsid w:val="001169B0"/>
    <w:rsid w:val="00117A11"/>
    <w:rsid w:val="00117FCB"/>
    <w:rsid w:val="00120823"/>
    <w:rsid w:val="001220A6"/>
    <w:rsid w:val="00123B09"/>
    <w:rsid w:val="00124AC1"/>
    <w:rsid w:val="0012515F"/>
    <w:rsid w:val="001273CE"/>
    <w:rsid w:val="00127EFA"/>
    <w:rsid w:val="00127F48"/>
    <w:rsid w:val="00132A9F"/>
    <w:rsid w:val="00132FF4"/>
    <w:rsid w:val="00133702"/>
    <w:rsid w:val="001349B9"/>
    <w:rsid w:val="00134CF7"/>
    <w:rsid w:val="00134D55"/>
    <w:rsid w:val="00135407"/>
    <w:rsid w:val="00140634"/>
    <w:rsid w:val="00140C56"/>
    <w:rsid w:val="00141BA8"/>
    <w:rsid w:val="00141DC1"/>
    <w:rsid w:val="001437B7"/>
    <w:rsid w:val="00144CA8"/>
    <w:rsid w:val="00145A5C"/>
    <w:rsid w:val="00145CB6"/>
    <w:rsid w:val="00146465"/>
    <w:rsid w:val="00146484"/>
    <w:rsid w:val="00146516"/>
    <w:rsid w:val="0014712B"/>
    <w:rsid w:val="001475AC"/>
    <w:rsid w:val="001506FC"/>
    <w:rsid w:val="00150ACA"/>
    <w:rsid w:val="00152E49"/>
    <w:rsid w:val="0015313F"/>
    <w:rsid w:val="0015379F"/>
    <w:rsid w:val="001538DE"/>
    <w:rsid w:val="0015459A"/>
    <w:rsid w:val="00154606"/>
    <w:rsid w:val="001547F5"/>
    <w:rsid w:val="00154F16"/>
    <w:rsid w:val="00155335"/>
    <w:rsid w:val="00155ABD"/>
    <w:rsid w:val="0015620D"/>
    <w:rsid w:val="001564DB"/>
    <w:rsid w:val="00156966"/>
    <w:rsid w:val="00156F5D"/>
    <w:rsid w:val="001577D0"/>
    <w:rsid w:val="00157989"/>
    <w:rsid w:val="00157BA0"/>
    <w:rsid w:val="0016035F"/>
    <w:rsid w:val="0016064E"/>
    <w:rsid w:val="00160D3C"/>
    <w:rsid w:val="0016133E"/>
    <w:rsid w:val="0016151D"/>
    <w:rsid w:val="00161ADB"/>
    <w:rsid w:val="0016290B"/>
    <w:rsid w:val="00163733"/>
    <w:rsid w:val="00164CBC"/>
    <w:rsid w:val="00165E65"/>
    <w:rsid w:val="001669DE"/>
    <w:rsid w:val="0016717F"/>
    <w:rsid w:val="00170D2C"/>
    <w:rsid w:val="00171BC1"/>
    <w:rsid w:val="00172362"/>
    <w:rsid w:val="0017240A"/>
    <w:rsid w:val="00172EC7"/>
    <w:rsid w:val="00173908"/>
    <w:rsid w:val="00174C27"/>
    <w:rsid w:val="00174F22"/>
    <w:rsid w:val="001754E0"/>
    <w:rsid w:val="0017571A"/>
    <w:rsid w:val="00175C59"/>
    <w:rsid w:val="00175FB7"/>
    <w:rsid w:val="0017662A"/>
    <w:rsid w:val="001768E9"/>
    <w:rsid w:val="00177BE3"/>
    <w:rsid w:val="00180624"/>
    <w:rsid w:val="00180A6B"/>
    <w:rsid w:val="00181737"/>
    <w:rsid w:val="00183847"/>
    <w:rsid w:val="0018397B"/>
    <w:rsid w:val="001841EF"/>
    <w:rsid w:val="0018491A"/>
    <w:rsid w:val="00185D70"/>
    <w:rsid w:val="00186030"/>
    <w:rsid w:val="00186538"/>
    <w:rsid w:val="00186A2B"/>
    <w:rsid w:val="00186DCF"/>
    <w:rsid w:val="0018767F"/>
    <w:rsid w:val="00187BFC"/>
    <w:rsid w:val="0019059C"/>
    <w:rsid w:val="00190650"/>
    <w:rsid w:val="00192E57"/>
    <w:rsid w:val="00194073"/>
    <w:rsid w:val="00196F25"/>
    <w:rsid w:val="001A0130"/>
    <w:rsid w:val="001A05E0"/>
    <w:rsid w:val="001A06CF"/>
    <w:rsid w:val="001A0B8A"/>
    <w:rsid w:val="001A187A"/>
    <w:rsid w:val="001A18C1"/>
    <w:rsid w:val="001A1EAB"/>
    <w:rsid w:val="001A1F03"/>
    <w:rsid w:val="001A2EB0"/>
    <w:rsid w:val="001A43D6"/>
    <w:rsid w:val="001A4A50"/>
    <w:rsid w:val="001A5052"/>
    <w:rsid w:val="001A58BF"/>
    <w:rsid w:val="001A5981"/>
    <w:rsid w:val="001A631C"/>
    <w:rsid w:val="001B0145"/>
    <w:rsid w:val="001B055F"/>
    <w:rsid w:val="001B1A72"/>
    <w:rsid w:val="001B1D91"/>
    <w:rsid w:val="001B1F45"/>
    <w:rsid w:val="001B2197"/>
    <w:rsid w:val="001B2E19"/>
    <w:rsid w:val="001B4CCD"/>
    <w:rsid w:val="001B514A"/>
    <w:rsid w:val="001B698F"/>
    <w:rsid w:val="001B7E1D"/>
    <w:rsid w:val="001C0EA7"/>
    <w:rsid w:val="001C1A5B"/>
    <w:rsid w:val="001C2BD9"/>
    <w:rsid w:val="001C3858"/>
    <w:rsid w:val="001C388D"/>
    <w:rsid w:val="001C3FD8"/>
    <w:rsid w:val="001C60CB"/>
    <w:rsid w:val="001D0130"/>
    <w:rsid w:val="001D1626"/>
    <w:rsid w:val="001D2089"/>
    <w:rsid w:val="001D259A"/>
    <w:rsid w:val="001D4200"/>
    <w:rsid w:val="001D46A6"/>
    <w:rsid w:val="001D4C3E"/>
    <w:rsid w:val="001D57F8"/>
    <w:rsid w:val="001D6351"/>
    <w:rsid w:val="001D6E3C"/>
    <w:rsid w:val="001D702D"/>
    <w:rsid w:val="001E0DB4"/>
    <w:rsid w:val="001E1678"/>
    <w:rsid w:val="001E167F"/>
    <w:rsid w:val="001E1BD9"/>
    <w:rsid w:val="001E296F"/>
    <w:rsid w:val="001E49B0"/>
    <w:rsid w:val="001E4A0F"/>
    <w:rsid w:val="001E4F09"/>
    <w:rsid w:val="001E598D"/>
    <w:rsid w:val="001E5B1A"/>
    <w:rsid w:val="001E616D"/>
    <w:rsid w:val="001E6208"/>
    <w:rsid w:val="001E669B"/>
    <w:rsid w:val="001E6A32"/>
    <w:rsid w:val="001E7569"/>
    <w:rsid w:val="001F0F51"/>
    <w:rsid w:val="001F1213"/>
    <w:rsid w:val="001F1F75"/>
    <w:rsid w:val="001F2184"/>
    <w:rsid w:val="001F2EAF"/>
    <w:rsid w:val="001F431D"/>
    <w:rsid w:val="001F50E8"/>
    <w:rsid w:val="001F5EF0"/>
    <w:rsid w:val="001F5FA6"/>
    <w:rsid w:val="001F5FBB"/>
    <w:rsid w:val="001F6C82"/>
    <w:rsid w:val="001F715F"/>
    <w:rsid w:val="00201167"/>
    <w:rsid w:val="0020150B"/>
    <w:rsid w:val="00202124"/>
    <w:rsid w:val="00202895"/>
    <w:rsid w:val="0020299E"/>
    <w:rsid w:val="00202BAB"/>
    <w:rsid w:val="002033CD"/>
    <w:rsid w:val="00203D8E"/>
    <w:rsid w:val="00203FF1"/>
    <w:rsid w:val="002047D0"/>
    <w:rsid w:val="00205485"/>
    <w:rsid w:val="00206EAB"/>
    <w:rsid w:val="002075A3"/>
    <w:rsid w:val="00207CC4"/>
    <w:rsid w:val="00211F33"/>
    <w:rsid w:val="002132A5"/>
    <w:rsid w:val="002132AE"/>
    <w:rsid w:val="002134D8"/>
    <w:rsid w:val="00216E1D"/>
    <w:rsid w:val="00220154"/>
    <w:rsid w:val="00220607"/>
    <w:rsid w:val="00220A1F"/>
    <w:rsid w:val="00220BDE"/>
    <w:rsid w:val="002214D6"/>
    <w:rsid w:val="002219FF"/>
    <w:rsid w:val="00221A26"/>
    <w:rsid w:val="0022219F"/>
    <w:rsid w:val="00222256"/>
    <w:rsid w:val="00222456"/>
    <w:rsid w:val="0022245A"/>
    <w:rsid w:val="002224C2"/>
    <w:rsid w:val="002224D7"/>
    <w:rsid w:val="0022335B"/>
    <w:rsid w:val="00223F23"/>
    <w:rsid w:val="002243C3"/>
    <w:rsid w:val="00225FC1"/>
    <w:rsid w:val="00226018"/>
    <w:rsid w:val="00226ED1"/>
    <w:rsid w:val="0022716B"/>
    <w:rsid w:val="002278AA"/>
    <w:rsid w:val="00230410"/>
    <w:rsid w:val="002311DA"/>
    <w:rsid w:val="00231427"/>
    <w:rsid w:val="00231B28"/>
    <w:rsid w:val="00231D73"/>
    <w:rsid w:val="002320C1"/>
    <w:rsid w:val="00232284"/>
    <w:rsid w:val="00233028"/>
    <w:rsid w:val="00233336"/>
    <w:rsid w:val="002334F0"/>
    <w:rsid w:val="002337E6"/>
    <w:rsid w:val="00235168"/>
    <w:rsid w:val="00235296"/>
    <w:rsid w:val="00235874"/>
    <w:rsid w:val="002362F0"/>
    <w:rsid w:val="0023788A"/>
    <w:rsid w:val="0024008D"/>
    <w:rsid w:val="00240A10"/>
    <w:rsid w:val="00240A8D"/>
    <w:rsid w:val="002415FD"/>
    <w:rsid w:val="0024176D"/>
    <w:rsid w:val="002429BB"/>
    <w:rsid w:val="00245019"/>
    <w:rsid w:val="00245836"/>
    <w:rsid w:val="0024590F"/>
    <w:rsid w:val="00247B8A"/>
    <w:rsid w:val="00247CF2"/>
    <w:rsid w:val="00247EE4"/>
    <w:rsid w:val="00247F3A"/>
    <w:rsid w:val="00250568"/>
    <w:rsid w:val="00251627"/>
    <w:rsid w:val="0025173C"/>
    <w:rsid w:val="00251DCA"/>
    <w:rsid w:val="0025204C"/>
    <w:rsid w:val="00253032"/>
    <w:rsid w:val="002530AB"/>
    <w:rsid w:val="00253D1E"/>
    <w:rsid w:val="0025491A"/>
    <w:rsid w:val="0025583E"/>
    <w:rsid w:val="002561F6"/>
    <w:rsid w:val="00256A0E"/>
    <w:rsid w:val="00256D76"/>
    <w:rsid w:val="002601E1"/>
    <w:rsid w:val="00260A81"/>
    <w:rsid w:val="00261B5A"/>
    <w:rsid w:val="00263205"/>
    <w:rsid w:val="00263F10"/>
    <w:rsid w:val="00264049"/>
    <w:rsid w:val="0026471A"/>
    <w:rsid w:val="00264BFA"/>
    <w:rsid w:val="00266289"/>
    <w:rsid w:val="002668D0"/>
    <w:rsid w:val="00266FEC"/>
    <w:rsid w:val="002676FD"/>
    <w:rsid w:val="002700E8"/>
    <w:rsid w:val="00270B67"/>
    <w:rsid w:val="00273E47"/>
    <w:rsid w:val="0027453D"/>
    <w:rsid w:val="00274609"/>
    <w:rsid w:val="00274708"/>
    <w:rsid w:val="00274BBF"/>
    <w:rsid w:val="00274DBD"/>
    <w:rsid w:val="0027570D"/>
    <w:rsid w:val="00275E84"/>
    <w:rsid w:val="00276225"/>
    <w:rsid w:val="00276C85"/>
    <w:rsid w:val="002775B2"/>
    <w:rsid w:val="0027799C"/>
    <w:rsid w:val="00280D10"/>
    <w:rsid w:val="00281363"/>
    <w:rsid w:val="00282FE4"/>
    <w:rsid w:val="002830B6"/>
    <w:rsid w:val="002839CF"/>
    <w:rsid w:val="0028425C"/>
    <w:rsid w:val="00285242"/>
    <w:rsid w:val="00285B72"/>
    <w:rsid w:val="00285EC6"/>
    <w:rsid w:val="00287270"/>
    <w:rsid w:val="0028799E"/>
    <w:rsid w:val="00287F36"/>
    <w:rsid w:val="0029000A"/>
    <w:rsid w:val="0029004C"/>
    <w:rsid w:val="00290937"/>
    <w:rsid w:val="002913D9"/>
    <w:rsid w:val="002921FE"/>
    <w:rsid w:val="0029255C"/>
    <w:rsid w:val="00293109"/>
    <w:rsid w:val="00293574"/>
    <w:rsid w:val="00294389"/>
    <w:rsid w:val="00294FD0"/>
    <w:rsid w:val="00295FFC"/>
    <w:rsid w:val="002971DA"/>
    <w:rsid w:val="0029724F"/>
    <w:rsid w:val="002974AA"/>
    <w:rsid w:val="002976B1"/>
    <w:rsid w:val="00297B73"/>
    <w:rsid w:val="002A057E"/>
    <w:rsid w:val="002A164D"/>
    <w:rsid w:val="002A17DC"/>
    <w:rsid w:val="002A25F4"/>
    <w:rsid w:val="002A2BF2"/>
    <w:rsid w:val="002A2FBE"/>
    <w:rsid w:val="002A3AA8"/>
    <w:rsid w:val="002A3BAE"/>
    <w:rsid w:val="002A3C4A"/>
    <w:rsid w:val="002A44AF"/>
    <w:rsid w:val="002A4579"/>
    <w:rsid w:val="002A462C"/>
    <w:rsid w:val="002A4830"/>
    <w:rsid w:val="002A5B2D"/>
    <w:rsid w:val="002A62DE"/>
    <w:rsid w:val="002A660E"/>
    <w:rsid w:val="002A6C2D"/>
    <w:rsid w:val="002B089D"/>
    <w:rsid w:val="002B0994"/>
    <w:rsid w:val="002B1099"/>
    <w:rsid w:val="002B121E"/>
    <w:rsid w:val="002B2459"/>
    <w:rsid w:val="002B2A22"/>
    <w:rsid w:val="002B3B63"/>
    <w:rsid w:val="002B3F15"/>
    <w:rsid w:val="002B45AF"/>
    <w:rsid w:val="002B585F"/>
    <w:rsid w:val="002B671D"/>
    <w:rsid w:val="002B7367"/>
    <w:rsid w:val="002C03A4"/>
    <w:rsid w:val="002C05E4"/>
    <w:rsid w:val="002C067F"/>
    <w:rsid w:val="002C0D34"/>
    <w:rsid w:val="002C1354"/>
    <w:rsid w:val="002C1698"/>
    <w:rsid w:val="002C1922"/>
    <w:rsid w:val="002C19D5"/>
    <w:rsid w:val="002C2907"/>
    <w:rsid w:val="002C4B3F"/>
    <w:rsid w:val="002C6A21"/>
    <w:rsid w:val="002D110B"/>
    <w:rsid w:val="002D313D"/>
    <w:rsid w:val="002D43B7"/>
    <w:rsid w:val="002D462A"/>
    <w:rsid w:val="002D488D"/>
    <w:rsid w:val="002D495D"/>
    <w:rsid w:val="002D4DC7"/>
    <w:rsid w:val="002D5789"/>
    <w:rsid w:val="002D5C1C"/>
    <w:rsid w:val="002D6123"/>
    <w:rsid w:val="002D66B6"/>
    <w:rsid w:val="002E130C"/>
    <w:rsid w:val="002E2439"/>
    <w:rsid w:val="002E481C"/>
    <w:rsid w:val="002E4C24"/>
    <w:rsid w:val="002E4F1B"/>
    <w:rsid w:val="002E5C4E"/>
    <w:rsid w:val="002E709E"/>
    <w:rsid w:val="002E73DE"/>
    <w:rsid w:val="002E74FC"/>
    <w:rsid w:val="002E7931"/>
    <w:rsid w:val="002F05D8"/>
    <w:rsid w:val="002F07BD"/>
    <w:rsid w:val="002F0AE5"/>
    <w:rsid w:val="002F1C7A"/>
    <w:rsid w:val="002F1D97"/>
    <w:rsid w:val="002F3B92"/>
    <w:rsid w:val="002F4CF6"/>
    <w:rsid w:val="002F4DF6"/>
    <w:rsid w:val="002F5FD7"/>
    <w:rsid w:val="002F725A"/>
    <w:rsid w:val="00300E5B"/>
    <w:rsid w:val="0030219E"/>
    <w:rsid w:val="00304248"/>
    <w:rsid w:val="003042AC"/>
    <w:rsid w:val="00305050"/>
    <w:rsid w:val="00305EE2"/>
    <w:rsid w:val="00306399"/>
    <w:rsid w:val="003069AF"/>
    <w:rsid w:val="00307039"/>
    <w:rsid w:val="003110E6"/>
    <w:rsid w:val="00311631"/>
    <w:rsid w:val="003116DE"/>
    <w:rsid w:val="003123E1"/>
    <w:rsid w:val="00312807"/>
    <w:rsid w:val="00313458"/>
    <w:rsid w:val="00313F2A"/>
    <w:rsid w:val="003150CC"/>
    <w:rsid w:val="00315AFC"/>
    <w:rsid w:val="00316085"/>
    <w:rsid w:val="00316268"/>
    <w:rsid w:val="00316AD8"/>
    <w:rsid w:val="00316C01"/>
    <w:rsid w:val="00317258"/>
    <w:rsid w:val="00317549"/>
    <w:rsid w:val="003207A5"/>
    <w:rsid w:val="00320D33"/>
    <w:rsid w:val="00321EFE"/>
    <w:rsid w:val="00322835"/>
    <w:rsid w:val="00322A69"/>
    <w:rsid w:val="00322BB0"/>
    <w:rsid w:val="00322D86"/>
    <w:rsid w:val="00323144"/>
    <w:rsid w:val="0032325F"/>
    <w:rsid w:val="00323C1C"/>
    <w:rsid w:val="00323C34"/>
    <w:rsid w:val="0032407B"/>
    <w:rsid w:val="003254C1"/>
    <w:rsid w:val="00325CF0"/>
    <w:rsid w:val="00326657"/>
    <w:rsid w:val="00327A82"/>
    <w:rsid w:val="0033096D"/>
    <w:rsid w:val="00330C8A"/>
    <w:rsid w:val="00331B79"/>
    <w:rsid w:val="00332D69"/>
    <w:rsid w:val="00333D6F"/>
    <w:rsid w:val="00334904"/>
    <w:rsid w:val="00337B9E"/>
    <w:rsid w:val="00337E5C"/>
    <w:rsid w:val="00341CF6"/>
    <w:rsid w:val="003423FB"/>
    <w:rsid w:val="00342D2B"/>
    <w:rsid w:val="0034307B"/>
    <w:rsid w:val="00343AC6"/>
    <w:rsid w:val="00343DF1"/>
    <w:rsid w:val="003447F4"/>
    <w:rsid w:val="0034521A"/>
    <w:rsid w:val="0034639C"/>
    <w:rsid w:val="003469C9"/>
    <w:rsid w:val="00350737"/>
    <w:rsid w:val="00350A5F"/>
    <w:rsid w:val="003518F4"/>
    <w:rsid w:val="00351BBF"/>
    <w:rsid w:val="00352502"/>
    <w:rsid w:val="003527C9"/>
    <w:rsid w:val="003529A9"/>
    <w:rsid w:val="00352EA5"/>
    <w:rsid w:val="003533B0"/>
    <w:rsid w:val="00354438"/>
    <w:rsid w:val="00354ED3"/>
    <w:rsid w:val="00354F2D"/>
    <w:rsid w:val="00355C2C"/>
    <w:rsid w:val="00355D3A"/>
    <w:rsid w:val="003577E1"/>
    <w:rsid w:val="003612BD"/>
    <w:rsid w:val="00361D04"/>
    <w:rsid w:val="00362CF8"/>
    <w:rsid w:val="00362FF3"/>
    <w:rsid w:val="00363575"/>
    <w:rsid w:val="0036403F"/>
    <w:rsid w:val="00365AC0"/>
    <w:rsid w:val="00366A16"/>
    <w:rsid w:val="00366FEF"/>
    <w:rsid w:val="0037098A"/>
    <w:rsid w:val="00370B98"/>
    <w:rsid w:val="00370BB2"/>
    <w:rsid w:val="003718BC"/>
    <w:rsid w:val="00371E33"/>
    <w:rsid w:val="003726C7"/>
    <w:rsid w:val="00372790"/>
    <w:rsid w:val="00372AC8"/>
    <w:rsid w:val="00372C2D"/>
    <w:rsid w:val="00374171"/>
    <w:rsid w:val="00374206"/>
    <w:rsid w:val="0037424E"/>
    <w:rsid w:val="00374BC5"/>
    <w:rsid w:val="00374C7B"/>
    <w:rsid w:val="00375558"/>
    <w:rsid w:val="0037596D"/>
    <w:rsid w:val="0037628F"/>
    <w:rsid w:val="00376490"/>
    <w:rsid w:val="00377BCA"/>
    <w:rsid w:val="00380912"/>
    <w:rsid w:val="00380D1D"/>
    <w:rsid w:val="00380FF5"/>
    <w:rsid w:val="0038108C"/>
    <w:rsid w:val="003822AD"/>
    <w:rsid w:val="00382434"/>
    <w:rsid w:val="003824D0"/>
    <w:rsid w:val="0038319F"/>
    <w:rsid w:val="003831AB"/>
    <w:rsid w:val="0038475E"/>
    <w:rsid w:val="003848C9"/>
    <w:rsid w:val="0038561E"/>
    <w:rsid w:val="00385C84"/>
    <w:rsid w:val="00386A2A"/>
    <w:rsid w:val="00386CD0"/>
    <w:rsid w:val="00386EF2"/>
    <w:rsid w:val="0038710B"/>
    <w:rsid w:val="0038715A"/>
    <w:rsid w:val="00387AE8"/>
    <w:rsid w:val="00391446"/>
    <w:rsid w:val="003925C1"/>
    <w:rsid w:val="00392819"/>
    <w:rsid w:val="00393578"/>
    <w:rsid w:val="003936E7"/>
    <w:rsid w:val="003942DB"/>
    <w:rsid w:val="00394782"/>
    <w:rsid w:val="0039478F"/>
    <w:rsid w:val="00394CA4"/>
    <w:rsid w:val="003950E6"/>
    <w:rsid w:val="003950EF"/>
    <w:rsid w:val="00395719"/>
    <w:rsid w:val="00396393"/>
    <w:rsid w:val="003969F8"/>
    <w:rsid w:val="003A0185"/>
    <w:rsid w:val="003A1640"/>
    <w:rsid w:val="003A1D59"/>
    <w:rsid w:val="003A2B8D"/>
    <w:rsid w:val="003A311D"/>
    <w:rsid w:val="003A31C4"/>
    <w:rsid w:val="003A34E9"/>
    <w:rsid w:val="003A378B"/>
    <w:rsid w:val="003A3A18"/>
    <w:rsid w:val="003A3A96"/>
    <w:rsid w:val="003A5E78"/>
    <w:rsid w:val="003A5FAC"/>
    <w:rsid w:val="003A6589"/>
    <w:rsid w:val="003A6DEC"/>
    <w:rsid w:val="003A79C8"/>
    <w:rsid w:val="003A7D6D"/>
    <w:rsid w:val="003B0944"/>
    <w:rsid w:val="003B1476"/>
    <w:rsid w:val="003B20FF"/>
    <w:rsid w:val="003B272C"/>
    <w:rsid w:val="003B354A"/>
    <w:rsid w:val="003B3CC1"/>
    <w:rsid w:val="003B40C9"/>
    <w:rsid w:val="003B479D"/>
    <w:rsid w:val="003B5035"/>
    <w:rsid w:val="003B50CA"/>
    <w:rsid w:val="003B59C2"/>
    <w:rsid w:val="003B6CE0"/>
    <w:rsid w:val="003B6F29"/>
    <w:rsid w:val="003B701C"/>
    <w:rsid w:val="003B78BA"/>
    <w:rsid w:val="003C07C6"/>
    <w:rsid w:val="003C0C43"/>
    <w:rsid w:val="003C1502"/>
    <w:rsid w:val="003C15AC"/>
    <w:rsid w:val="003C183A"/>
    <w:rsid w:val="003C1EDD"/>
    <w:rsid w:val="003C5321"/>
    <w:rsid w:val="003C5407"/>
    <w:rsid w:val="003C5AAB"/>
    <w:rsid w:val="003C63B4"/>
    <w:rsid w:val="003C63CC"/>
    <w:rsid w:val="003C66DE"/>
    <w:rsid w:val="003C6946"/>
    <w:rsid w:val="003C7323"/>
    <w:rsid w:val="003D1A73"/>
    <w:rsid w:val="003D1D73"/>
    <w:rsid w:val="003D2570"/>
    <w:rsid w:val="003D26C0"/>
    <w:rsid w:val="003D280A"/>
    <w:rsid w:val="003D2B29"/>
    <w:rsid w:val="003D3367"/>
    <w:rsid w:val="003D3E6C"/>
    <w:rsid w:val="003D44D2"/>
    <w:rsid w:val="003D4A12"/>
    <w:rsid w:val="003D5002"/>
    <w:rsid w:val="003D5303"/>
    <w:rsid w:val="003D7AD7"/>
    <w:rsid w:val="003E18FE"/>
    <w:rsid w:val="003E242F"/>
    <w:rsid w:val="003E335D"/>
    <w:rsid w:val="003E44A1"/>
    <w:rsid w:val="003E45E1"/>
    <w:rsid w:val="003E6C81"/>
    <w:rsid w:val="003E6EB4"/>
    <w:rsid w:val="003E7CD5"/>
    <w:rsid w:val="003F2065"/>
    <w:rsid w:val="003F2992"/>
    <w:rsid w:val="003F2B32"/>
    <w:rsid w:val="003F3104"/>
    <w:rsid w:val="003F5810"/>
    <w:rsid w:val="003F6BB1"/>
    <w:rsid w:val="003F6E7A"/>
    <w:rsid w:val="003F6E9C"/>
    <w:rsid w:val="003F7208"/>
    <w:rsid w:val="0040007A"/>
    <w:rsid w:val="004007F8"/>
    <w:rsid w:val="0040173F"/>
    <w:rsid w:val="00401D50"/>
    <w:rsid w:val="004025C0"/>
    <w:rsid w:val="00402803"/>
    <w:rsid w:val="004028D3"/>
    <w:rsid w:val="0040318C"/>
    <w:rsid w:val="00404AFF"/>
    <w:rsid w:val="00404DB5"/>
    <w:rsid w:val="00406E80"/>
    <w:rsid w:val="0040765A"/>
    <w:rsid w:val="00410369"/>
    <w:rsid w:val="00410ED7"/>
    <w:rsid w:val="004116C4"/>
    <w:rsid w:val="004121E8"/>
    <w:rsid w:val="0041278B"/>
    <w:rsid w:val="00412937"/>
    <w:rsid w:val="004129DD"/>
    <w:rsid w:val="00412A82"/>
    <w:rsid w:val="00413E54"/>
    <w:rsid w:val="00413F7E"/>
    <w:rsid w:val="004143A8"/>
    <w:rsid w:val="004144E6"/>
    <w:rsid w:val="0041483B"/>
    <w:rsid w:val="00414931"/>
    <w:rsid w:val="004156A1"/>
    <w:rsid w:val="004160AB"/>
    <w:rsid w:val="0041615D"/>
    <w:rsid w:val="0041619B"/>
    <w:rsid w:val="00417344"/>
    <w:rsid w:val="00417DC3"/>
    <w:rsid w:val="00421C17"/>
    <w:rsid w:val="00423398"/>
    <w:rsid w:val="00423DC6"/>
    <w:rsid w:val="0042469F"/>
    <w:rsid w:val="00424CD3"/>
    <w:rsid w:val="00425A8E"/>
    <w:rsid w:val="00425E52"/>
    <w:rsid w:val="004267B1"/>
    <w:rsid w:val="004271F9"/>
    <w:rsid w:val="00427652"/>
    <w:rsid w:val="0043015C"/>
    <w:rsid w:val="004303B0"/>
    <w:rsid w:val="00430B6F"/>
    <w:rsid w:val="00431EA6"/>
    <w:rsid w:val="00431F86"/>
    <w:rsid w:val="004321D1"/>
    <w:rsid w:val="00433E08"/>
    <w:rsid w:val="004357E2"/>
    <w:rsid w:val="004369B5"/>
    <w:rsid w:val="00437E2C"/>
    <w:rsid w:val="0044069F"/>
    <w:rsid w:val="0044077B"/>
    <w:rsid w:val="00440CD6"/>
    <w:rsid w:val="00440E9A"/>
    <w:rsid w:val="00441C17"/>
    <w:rsid w:val="00441CB8"/>
    <w:rsid w:val="00441D6B"/>
    <w:rsid w:val="0044210A"/>
    <w:rsid w:val="0044271E"/>
    <w:rsid w:val="00443B22"/>
    <w:rsid w:val="0044435B"/>
    <w:rsid w:val="00444660"/>
    <w:rsid w:val="00444F2C"/>
    <w:rsid w:val="00444FD7"/>
    <w:rsid w:val="00445285"/>
    <w:rsid w:val="00445DC7"/>
    <w:rsid w:val="004460AB"/>
    <w:rsid w:val="00446876"/>
    <w:rsid w:val="00447061"/>
    <w:rsid w:val="004471A0"/>
    <w:rsid w:val="00447F34"/>
    <w:rsid w:val="00450BEE"/>
    <w:rsid w:val="004518E6"/>
    <w:rsid w:val="00452465"/>
    <w:rsid w:val="00452ABC"/>
    <w:rsid w:val="00453397"/>
    <w:rsid w:val="0045463C"/>
    <w:rsid w:val="0045492B"/>
    <w:rsid w:val="00454E42"/>
    <w:rsid w:val="00455988"/>
    <w:rsid w:val="004568CE"/>
    <w:rsid w:val="004576D8"/>
    <w:rsid w:val="0045794E"/>
    <w:rsid w:val="004603D1"/>
    <w:rsid w:val="0046090D"/>
    <w:rsid w:val="00460BBC"/>
    <w:rsid w:val="004615D1"/>
    <w:rsid w:val="00462CE3"/>
    <w:rsid w:val="00462EB3"/>
    <w:rsid w:val="00463E34"/>
    <w:rsid w:val="004652FA"/>
    <w:rsid w:val="00465B29"/>
    <w:rsid w:val="00465D1D"/>
    <w:rsid w:val="00465D86"/>
    <w:rsid w:val="00466A4C"/>
    <w:rsid w:val="00466C1F"/>
    <w:rsid w:val="004670AE"/>
    <w:rsid w:val="004704EA"/>
    <w:rsid w:val="00470887"/>
    <w:rsid w:val="00472523"/>
    <w:rsid w:val="00472D99"/>
    <w:rsid w:val="00474115"/>
    <w:rsid w:val="0047500E"/>
    <w:rsid w:val="0047550F"/>
    <w:rsid w:val="0047552A"/>
    <w:rsid w:val="004762E0"/>
    <w:rsid w:val="00477A51"/>
    <w:rsid w:val="00477BB5"/>
    <w:rsid w:val="00477F13"/>
    <w:rsid w:val="004802B7"/>
    <w:rsid w:val="0048150A"/>
    <w:rsid w:val="0048150F"/>
    <w:rsid w:val="004816B3"/>
    <w:rsid w:val="004820E2"/>
    <w:rsid w:val="0048267A"/>
    <w:rsid w:val="00482828"/>
    <w:rsid w:val="00482999"/>
    <w:rsid w:val="00483EFB"/>
    <w:rsid w:val="00485504"/>
    <w:rsid w:val="00485DEB"/>
    <w:rsid w:val="004868DA"/>
    <w:rsid w:val="0048734C"/>
    <w:rsid w:val="00487541"/>
    <w:rsid w:val="004876C9"/>
    <w:rsid w:val="004876F4"/>
    <w:rsid w:val="00487943"/>
    <w:rsid w:val="00487AE7"/>
    <w:rsid w:val="004904EF"/>
    <w:rsid w:val="004910E9"/>
    <w:rsid w:val="00491420"/>
    <w:rsid w:val="00491857"/>
    <w:rsid w:val="004923D9"/>
    <w:rsid w:val="00492E85"/>
    <w:rsid w:val="00492F35"/>
    <w:rsid w:val="00493EDD"/>
    <w:rsid w:val="004941E8"/>
    <w:rsid w:val="0049433E"/>
    <w:rsid w:val="00494C01"/>
    <w:rsid w:val="00494DC5"/>
    <w:rsid w:val="00494FFA"/>
    <w:rsid w:val="00495041"/>
    <w:rsid w:val="004969C5"/>
    <w:rsid w:val="00496D97"/>
    <w:rsid w:val="004972C0"/>
    <w:rsid w:val="004A0725"/>
    <w:rsid w:val="004A28B8"/>
    <w:rsid w:val="004A38EC"/>
    <w:rsid w:val="004A3FC5"/>
    <w:rsid w:val="004A4CF9"/>
    <w:rsid w:val="004A585B"/>
    <w:rsid w:val="004A5C28"/>
    <w:rsid w:val="004A5E4E"/>
    <w:rsid w:val="004A76C5"/>
    <w:rsid w:val="004A78E9"/>
    <w:rsid w:val="004B1093"/>
    <w:rsid w:val="004B14A7"/>
    <w:rsid w:val="004B399C"/>
    <w:rsid w:val="004B3C19"/>
    <w:rsid w:val="004B4DC5"/>
    <w:rsid w:val="004B5924"/>
    <w:rsid w:val="004B5C6E"/>
    <w:rsid w:val="004B6FD2"/>
    <w:rsid w:val="004B7562"/>
    <w:rsid w:val="004B75E5"/>
    <w:rsid w:val="004C12C2"/>
    <w:rsid w:val="004C211F"/>
    <w:rsid w:val="004C2473"/>
    <w:rsid w:val="004C2873"/>
    <w:rsid w:val="004C2E8A"/>
    <w:rsid w:val="004C4448"/>
    <w:rsid w:val="004C459F"/>
    <w:rsid w:val="004C50F7"/>
    <w:rsid w:val="004C5154"/>
    <w:rsid w:val="004C5863"/>
    <w:rsid w:val="004C6E1A"/>
    <w:rsid w:val="004C7117"/>
    <w:rsid w:val="004C7219"/>
    <w:rsid w:val="004C7C8A"/>
    <w:rsid w:val="004C7CC3"/>
    <w:rsid w:val="004C7FD8"/>
    <w:rsid w:val="004D1144"/>
    <w:rsid w:val="004D15E6"/>
    <w:rsid w:val="004D16A6"/>
    <w:rsid w:val="004D1A85"/>
    <w:rsid w:val="004D3E35"/>
    <w:rsid w:val="004D45AF"/>
    <w:rsid w:val="004D533C"/>
    <w:rsid w:val="004D5ED5"/>
    <w:rsid w:val="004D6300"/>
    <w:rsid w:val="004D6E48"/>
    <w:rsid w:val="004E02A4"/>
    <w:rsid w:val="004E13A3"/>
    <w:rsid w:val="004E13EA"/>
    <w:rsid w:val="004E1BA5"/>
    <w:rsid w:val="004E2272"/>
    <w:rsid w:val="004E2447"/>
    <w:rsid w:val="004E25E4"/>
    <w:rsid w:val="004E48E2"/>
    <w:rsid w:val="004E4D36"/>
    <w:rsid w:val="004E4F2E"/>
    <w:rsid w:val="004E5266"/>
    <w:rsid w:val="004E55E8"/>
    <w:rsid w:val="004E5CF0"/>
    <w:rsid w:val="004E5F22"/>
    <w:rsid w:val="004E6835"/>
    <w:rsid w:val="004E693D"/>
    <w:rsid w:val="004E6AFD"/>
    <w:rsid w:val="004E6F2C"/>
    <w:rsid w:val="004E7053"/>
    <w:rsid w:val="004E783D"/>
    <w:rsid w:val="004E789C"/>
    <w:rsid w:val="004E7A7D"/>
    <w:rsid w:val="004F0074"/>
    <w:rsid w:val="004F0417"/>
    <w:rsid w:val="004F0C15"/>
    <w:rsid w:val="004F18CA"/>
    <w:rsid w:val="004F1E0E"/>
    <w:rsid w:val="004F2104"/>
    <w:rsid w:val="004F3558"/>
    <w:rsid w:val="004F3B5F"/>
    <w:rsid w:val="004F403F"/>
    <w:rsid w:val="004F6DC1"/>
    <w:rsid w:val="004F6EF8"/>
    <w:rsid w:val="004F748B"/>
    <w:rsid w:val="004F7B18"/>
    <w:rsid w:val="00501B10"/>
    <w:rsid w:val="00502360"/>
    <w:rsid w:val="00502A07"/>
    <w:rsid w:val="00503DC8"/>
    <w:rsid w:val="0050401F"/>
    <w:rsid w:val="00504597"/>
    <w:rsid w:val="00506061"/>
    <w:rsid w:val="00506D63"/>
    <w:rsid w:val="005100DE"/>
    <w:rsid w:val="0051149A"/>
    <w:rsid w:val="0051222A"/>
    <w:rsid w:val="005129B3"/>
    <w:rsid w:val="00513172"/>
    <w:rsid w:val="0051546D"/>
    <w:rsid w:val="005159FA"/>
    <w:rsid w:val="00516511"/>
    <w:rsid w:val="00520511"/>
    <w:rsid w:val="00520F1B"/>
    <w:rsid w:val="00522CF4"/>
    <w:rsid w:val="00522D11"/>
    <w:rsid w:val="00522DC3"/>
    <w:rsid w:val="0052313C"/>
    <w:rsid w:val="0052478A"/>
    <w:rsid w:val="005247E2"/>
    <w:rsid w:val="0052581F"/>
    <w:rsid w:val="0052584D"/>
    <w:rsid w:val="00525C78"/>
    <w:rsid w:val="005264C8"/>
    <w:rsid w:val="0052674D"/>
    <w:rsid w:val="00530C49"/>
    <w:rsid w:val="005311C9"/>
    <w:rsid w:val="005336CB"/>
    <w:rsid w:val="00534A54"/>
    <w:rsid w:val="00535B9D"/>
    <w:rsid w:val="0053711D"/>
    <w:rsid w:val="005371F6"/>
    <w:rsid w:val="005372ED"/>
    <w:rsid w:val="00537301"/>
    <w:rsid w:val="005377AF"/>
    <w:rsid w:val="00537D3C"/>
    <w:rsid w:val="0054012A"/>
    <w:rsid w:val="00540543"/>
    <w:rsid w:val="00541FE1"/>
    <w:rsid w:val="00542BDD"/>
    <w:rsid w:val="00543FDF"/>
    <w:rsid w:val="00544058"/>
    <w:rsid w:val="00544985"/>
    <w:rsid w:val="005462BB"/>
    <w:rsid w:val="00546602"/>
    <w:rsid w:val="005467E2"/>
    <w:rsid w:val="0054702E"/>
    <w:rsid w:val="00547B92"/>
    <w:rsid w:val="0055015C"/>
    <w:rsid w:val="00551263"/>
    <w:rsid w:val="005514A1"/>
    <w:rsid w:val="0055180B"/>
    <w:rsid w:val="005524E7"/>
    <w:rsid w:val="00552BAA"/>
    <w:rsid w:val="00552ECA"/>
    <w:rsid w:val="00553068"/>
    <w:rsid w:val="005532C2"/>
    <w:rsid w:val="005534D3"/>
    <w:rsid w:val="0055431D"/>
    <w:rsid w:val="00554EA1"/>
    <w:rsid w:val="005553CF"/>
    <w:rsid w:val="00555994"/>
    <w:rsid w:val="005559F1"/>
    <w:rsid w:val="00556C11"/>
    <w:rsid w:val="005573B7"/>
    <w:rsid w:val="005611CA"/>
    <w:rsid w:val="00561FE0"/>
    <w:rsid w:val="00562683"/>
    <w:rsid w:val="00562B98"/>
    <w:rsid w:val="005630B1"/>
    <w:rsid w:val="00563CB1"/>
    <w:rsid w:val="00563ECF"/>
    <w:rsid w:val="00564CBF"/>
    <w:rsid w:val="00565E3A"/>
    <w:rsid w:val="00566D9E"/>
    <w:rsid w:val="00566FFF"/>
    <w:rsid w:val="00567BBB"/>
    <w:rsid w:val="005701E7"/>
    <w:rsid w:val="005707FC"/>
    <w:rsid w:val="005720DC"/>
    <w:rsid w:val="00572F39"/>
    <w:rsid w:val="005741DB"/>
    <w:rsid w:val="00574259"/>
    <w:rsid w:val="005745B3"/>
    <w:rsid w:val="00574CFD"/>
    <w:rsid w:val="00577FE1"/>
    <w:rsid w:val="005805CC"/>
    <w:rsid w:val="00580BFC"/>
    <w:rsid w:val="00581A75"/>
    <w:rsid w:val="00582874"/>
    <w:rsid w:val="00584032"/>
    <w:rsid w:val="00584CCD"/>
    <w:rsid w:val="00585F12"/>
    <w:rsid w:val="00586011"/>
    <w:rsid w:val="00587B23"/>
    <w:rsid w:val="00587C2E"/>
    <w:rsid w:val="0059063E"/>
    <w:rsid w:val="00590BBA"/>
    <w:rsid w:val="00591C74"/>
    <w:rsid w:val="00592975"/>
    <w:rsid w:val="00592EAC"/>
    <w:rsid w:val="00593CBC"/>
    <w:rsid w:val="0059508E"/>
    <w:rsid w:val="005957AD"/>
    <w:rsid w:val="00595E23"/>
    <w:rsid w:val="005963B9"/>
    <w:rsid w:val="00596D07"/>
    <w:rsid w:val="00596FE0"/>
    <w:rsid w:val="00597FE8"/>
    <w:rsid w:val="005A038A"/>
    <w:rsid w:val="005A127E"/>
    <w:rsid w:val="005A12B1"/>
    <w:rsid w:val="005A1418"/>
    <w:rsid w:val="005A14DC"/>
    <w:rsid w:val="005A268B"/>
    <w:rsid w:val="005A2735"/>
    <w:rsid w:val="005A28FD"/>
    <w:rsid w:val="005A32FF"/>
    <w:rsid w:val="005A3572"/>
    <w:rsid w:val="005A3732"/>
    <w:rsid w:val="005A547C"/>
    <w:rsid w:val="005A7E87"/>
    <w:rsid w:val="005B005C"/>
    <w:rsid w:val="005B3091"/>
    <w:rsid w:val="005B31CA"/>
    <w:rsid w:val="005B40B2"/>
    <w:rsid w:val="005B55BC"/>
    <w:rsid w:val="005B55C4"/>
    <w:rsid w:val="005B586E"/>
    <w:rsid w:val="005B6855"/>
    <w:rsid w:val="005B7C71"/>
    <w:rsid w:val="005C0055"/>
    <w:rsid w:val="005C023F"/>
    <w:rsid w:val="005C0E53"/>
    <w:rsid w:val="005C1402"/>
    <w:rsid w:val="005C1C32"/>
    <w:rsid w:val="005C27A9"/>
    <w:rsid w:val="005C2F30"/>
    <w:rsid w:val="005C2F4B"/>
    <w:rsid w:val="005C4593"/>
    <w:rsid w:val="005C4F47"/>
    <w:rsid w:val="005C5CFB"/>
    <w:rsid w:val="005C60A8"/>
    <w:rsid w:val="005C6390"/>
    <w:rsid w:val="005C6E58"/>
    <w:rsid w:val="005C6FE4"/>
    <w:rsid w:val="005D0585"/>
    <w:rsid w:val="005D0AF5"/>
    <w:rsid w:val="005D103F"/>
    <w:rsid w:val="005D126F"/>
    <w:rsid w:val="005D2547"/>
    <w:rsid w:val="005D2552"/>
    <w:rsid w:val="005D35A0"/>
    <w:rsid w:val="005D4049"/>
    <w:rsid w:val="005D40F5"/>
    <w:rsid w:val="005D471A"/>
    <w:rsid w:val="005D4B1B"/>
    <w:rsid w:val="005D53C5"/>
    <w:rsid w:val="005E0596"/>
    <w:rsid w:val="005E147C"/>
    <w:rsid w:val="005E2A56"/>
    <w:rsid w:val="005E3434"/>
    <w:rsid w:val="005E3C20"/>
    <w:rsid w:val="005E4509"/>
    <w:rsid w:val="005E470B"/>
    <w:rsid w:val="005E48AE"/>
    <w:rsid w:val="005E4A07"/>
    <w:rsid w:val="005E4B98"/>
    <w:rsid w:val="005E592B"/>
    <w:rsid w:val="005E59D7"/>
    <w:rsid w:val="005E5EF2"/>
    <w:rsid w:val="005E661B"/>
    <w:rsid w:val="005F02DA"/>
    <w:rsid w:val="005F1702"/>
    <w:rsid w:val="005F1EEF"/>
    <w:rsid w:val="005F39E4"/>
    <w:rsid w:val="005F3BEF"/>
    <w:rsid w:val="005F3D35"/>
    <w:rsid w:val="005F5691"/>
    <w:rsid w:val="005F5C44"/>
    <w:rsid w:val="005F6D0E"/>
    <w:rsid w:val="005F7316"/>
    <w:rsid w:val="00601134"/>
    <w:rsid w:val="00601165"/>
    <w:rsid w:val="00601258"/>
    <w:rsid w:val="00601EE2"/>
    <w:rsid w:val="00602871"/>
    <w:rsid w:val="00602BF6"/>
    <w:rsid w:val="00604E42"/>
    <w:rsid w:val="00605349"/>
    <w:rsid w:val="00605503"/>
    <w:rsid w:val="00605D53"/>
    <w:rsid w:val="00610EDC"/>
    <w:rsid w:val="006116CB"/>
    <w:rsid w:val="00611A3A"/>
    <w:rsid w:val="0061366D"/>
    <w:rsid w:val="0061395F"/>
    <w:rsid w:val="00613FD2"/>
    <w:rsid w:val="0061501B"/>
    <w:rsid w:val="0061550A"/>
    <w:rsid w:val="00615D8D"/>
    <w:rsid w:val="00615FD1"/>
    <w:rsid w:val="00616188"/>
    <w:rsid w:val="0061645A"/>
    <w:rsid w:val="00616E64"/>
    <w:rsid w:val="00617BB3"/>
    <w:rsid w:val="00617EFA"/>
    <w:rsid w:val="00620B2B"/>
    <w:rsid w:val="0062115B"/>
    <w:rsid w:val="0062362C"/>
    <w:rsid w:val="00623CB5"/>
    <w:rsid w:val="00624F1A"/>
    <w:rsid w:val="006255A1"/>
    <w:rsid w:val="00626F0C"/>
    <w:rsid w:val="00630528"/>
    <w:rsid w:val="00631007"/>
    <w:rsid w:val="006310D3"/>
    <w:rsid w:val="00631FD1"/>
    <w:rsid w:val="006329F9"/>
    <w:rsid w:val="00633086"/>
    <w:rsid w:val="006346B6"/>
    <w:rsid w:val="00634ABF"/>
    <w:rsid w:val="006375A0"/>
    <w:rsid w:val="0063760E"/>
    <w:rsid w:val="006406BA"/>
    <w:rsid w:val="00640A60"/>
    <w:rsid w:val="0064235C"/>
    <w:rsid w:val="00642440"/>
    <w:rsid w:val="00643E38"/>
    <w:rsid w:val="006444B0"/>
    <w:rsid w:val="00644855"/>
    <w:rsid w:val="00644A28"/>
    <w:rsid w:val="006454F9"/>
    <w:rsid w:val="006458D0"/>
    <w:rsid w:val="006459C5"/>
    <w:rsid w:val="00645EC9"/>
    <w:rsid w:val="0064620A"/>
    <w:rsid w:val="00650036"/>
    <w:rsid w:val="00651241"/>
    <w:rsid w:val="006521BA"/>
    <w:rsid w:val="006530B2"/>
    <w:rsid w:val="006553E0"/>
    <w:rsid w:val="00655940"/>
    <w:rsid w:val="00656292"/>
    <w:rsid w:val="006567AA"/>
    <w:rsid w:val="006567E8"/>
    <w:rsid w:val="00656DE0"/>
    <w:rsid w:val="00657CAD"/>
    <w:rsid w:val="00660D75"/>
    <w:rsid w:val="00660F84"/>
    <w:rsid w:val="00662428"/>
    <w:rsid w:val="0066289D"/>
    <w:rsid w:val="00664AF3"/>
    <w:rsid w:val="00664D95"/>
    <w:rsid w:val="00664E65"/>
    <w:rsid w:val="00665E8C"/>
    <w:rsid w:val="006666D6"/>
    <w:rsid w:val="00671E44"/>
    <w:rsid w:val="00672E35"/>
    <w:rsid w:val="00673735"/>
    <w:rsid w:val="00673C39"/>
    <w:rsid w:val="00674CEC"/>
    <w:rsid w:val="00675D8E"/>
    <w:rsid w:val="006772B4"/>
    <w:rsid w:val="00677C93"/>
    <w:rsid w:val="00677CD3"/>
    <w:rsid w:val="006802CE"/>
    <w:rsid w:val="00680414"/>
    <w:rsid w:val="006807A2"/>
    <w:rsid w:val="00680AA9"/>
    <w:rsid w:val="00681730"/>
    <w:rsid w:val="00681E87"/>
    <w:rsid w:val="00682DF8"/>
    <w:rsid w:val="006850A4"/>
    <w:rsid w:val="00685663"/>
    <w:rsid w:val="006857EB"/>
    <w:rsid w:val="006864EC"/>
    <w:rsid w:val="00690FA7"/>
    <w:rsid w:val="006916E0"/>
    <w:rsid w:val="006921FA"/>
    <w:rsid w:val="006935EF"/>
    <w:rsid w:val="006937E2"/>
    <w:rsid w:val="00693A3D"/>
    <w:rsid w:val="0069481A"/>
    <w:rsid w:val="006953B2"/>
    <w:rsid w:val="006955CC"/>
    <w:rsid w:val="00695649"/>
    <w:rsid w:val="006957F9"/>
    <w:rsid w:val="00695A0A"/>
    <w:rsid w:val="00696660"/>
    <w:rsid w:val="00696A2C"/>
    <w:rsid w:val="00697052"/>
    <w:rsid w:val="006A01B5"/>
    <w:rsid w:val="006A01BC"/>
    <w:rsid w:val="006A0B5B"/>
    <w:rsid w:val="006A2419"/>
    <w:rsid w:val="006A34E7"/>
    <w:rsid w:val="006A544C"/>
    <w:rsid w:val="006A55EB"/>
    <w:rsid w:val="006A5800"/>
    <w:rsid w:val="006A62AB"/>
    <w:rsid w:val="006A7125"/>
    <w:rsid w:val="006A74BD"/>
    <w:rsid w:val="006A7D12"/>
    <w:rsid w:val="006B1A4B"/>
    <w:rsid w:val="006B34AF"/>
    <w:rsid w:val="006B42F0"/>
    <w:rsid w:val="006B5283"/>
    <w:rsid w:val="006C0135"/>
    <w:rsid w:val="006C068C"/>
    <w:rsid w:val="006C190F"/>
    <w:rsid w:val="006C1AFD"/>
    <w:rsid w:val="006C1D2F"/>
    <w:rsid w:val="006C25D9"/>
    <w:rsid w:val="006C400B"/>
    <w:rsid w:val="006C5EFA"/>
    <w:rsid w:val="006C6D10"/>
    <w:rsid w:val="006C7754"/>
    <w:rsid w:val="006D084D"/>
    <w:rsid w:val="006D1B75"/>
    <w:rsid w:val="006D25AA"/>
    <w:rsid w:val="006D2D46"/>
    <w:rsid w:val="006D327D"/>
    <w:rsid w:val="006D377C"/>
    <w:rsid w:val="006D3DAD"/>
    <w:rsid w:val="006D44A0"/>
    <w:rsid w:val="006D547C"/>
    <w:rsid w:val="006D55AC"/>
    <w:rsid w:val="006D5673"/>
    <w:rsid w:val="006D59AD"/>
    <w:rsid w:val="006D69B4"/>
    <w:rsid w:val="006D6B9A"/>
    <w:rsid w:val="006D7A49"/>
    <w:rsid w:val="006E06DD"/>
    <w:rsid w:val="006E07B2"/>
    <w:rsid w:val="006E0923"/>
    <w:rsid w:val="006E26EE"/>
    <w:rsid w:val="006E2C7F"/>
    <w:rsid w:val="006E3D9E"/>
    <w:rsid w:val="006E4444"/>
    <w:rsid w:val="006E5331"/>
    <w:rsid w:val="006E5AD1"/>
    <w:rsid w:val="006E6D36"/>
    <w:rsid w:val="006E75A9"/>
    <w:rsid w:val="006E77C2"/>
    <w:rsid w:val="006E7EB9"/>
    <w:rsid w:val="006E7EC1"/>
    <w:rsid w:val="006F0349"/>
    <w:rsid w:val="006F0E92"/>
    <w:rsid w:val="006F1E93"/>
    <w:rsid w:val="006F2D2C"/>
    <w:rsid w:val="006F4193"/>
    <w:rsid w:val="006F45C5"/>
    <w:rsid w:val="006F54E2"/>
    <w:rsid w:val="006F59B3"/>
    <w:rsid w:val="007004AC"/>
    <w:rsid w:val="00702A26"/>
    <w:rsid w:val="007039CB"/>
    <w:rsid w:val="007045CA"/>
    <w:rsid w:val="00704752"/>
    <w:rsid w:val="00704CF3"/>
    <w:rsid w:val="007056D9"/>
    <w:rsid w:val="00706086"/>
    <w:rsid w:val="00707201"/>
    <w:rsid w:val="00707C53"/>
    <w:rsid w:val="00707EFC"/>
    <w:rsid w:val="00707F84"/>
    <w:rsid w:val="007110C8"/>
    <w:rsid w:val="007116BF"/>
    <w:rsid w:val="00711DB1"/>
    <w:rsid w:val="007126E7"/>
    <w:rsid w:val="00712FFB"/>
    <w:rsid w:val="00714EB0"/>
    <w:rsid w:val="00715B91"/>
    <w:rsid w:val="00715B96"/>
    <w:rsid w:val="007169B9"/>
    <w:rsid w:val="00717213"/>
    <w:rsid w:val="00720D06"/>
    <w:rsid w:val="0072178D"/>
    <w:rsid w:val="007223F2"/>
    <w:rsid w:val="00722FEC"/>
    <w:rsid w:val="00723B44"/>
    <w:rsid w:val="00724087"/>
    <w:rsid w:val="00724509"/>
    <w:rsid w:val="00724AC3"/>
    <w:rsid w:val="00724B15"/>
    <w:rsid w:val="00724F61"/>
    <w:rsid w:val="00725028"/>
    <w:rsid w:val="00725C56"/>
    <w:rsid w:val="0072696F"/>
    <w:rsid w:val="00726F52"/>
    <w:rsid w:val="00727262"/>
    <w:rsid w:val="0072743E"/>
    <w:rsid w:val="00727919"/>
    <w:rsid w:val="00730504"/>
    <w:rsid w:val="007317B1"/>
    <w:rsid w:val="00731FF0"/>
    <w:rsid w:val="00732826"/>
    <w:rsid w:val="0073300F"/>
    <w:rsid w:val="007330F3"/>
    <w:rsid w:val="007360EE"/>
    <w:rsid w:val="00737003"/>
    <w:rsid w:val="00737B00"/>
    <w:rsid w:val="00737F4F"/>
    <w:rsid w:val="00741846"/>
    <w:rsid w:val="00741881"/>
    <w:rsid w:val="00741A54"/>
    <w:rsid w:val="00741DFA"/>
    <w:rsid w:val="007427F3"/>
    <w:rsid w:val="007429D1"/>
    <w:rsid w:val="00742C09"/>
    <w:rsid w:val="00742E09"/>
    <w:rsid w:val="007432FD"/>
    <w:rsid w:val="00743E16"/>
    <w:rsid w:val="00744090"/>
    <w:rsid w:val="0074490C"/>
    <w:rsid w:val="00745077"/>
    <w:rsid w:val="00745E03"/>
    <w:rsid w:val="00746393"/>
    <w:rsid w:val="00746F11"/>
    <w:rsid w:val="00750BCB"/>
    <w:rsid w:val="00750CAF"/>
    <w:rsid w:val="0075299F"/>
    <w:rsid w:val="00752A2F"/>
    <w:rsid w:val="00753B69"/>
    <w:rsid w:val="007546EE"/>
    <w:rsid w:val="00755E66"/>
    <w:rsid w:val="00756365"/>
    <w:rsid w:val="0075650E"/>
    <w:rsid w:val="00756FFD"/>
    <w:rsid w:val="00757077"/>
    <w:rsid w:val="007570CF"/>
    <w:rsid w:val="007571D0"/>
    <w:rsid w:val="0075727D"/>
    <w:rsid w:val="007608AA"/>
    <w:rsid w:val="00761A79"/>
    <w:rsid w:val="00761BF9"/>
    <w:rsid w:val="00761E74"/>
    <w:rsid w:val="00761E8F"/>
    <w:rsid w:val="007620B8"/>
    <w:rsid w:val="007623C9"/>
    <w:rsid w:val="007626D3"/>
    <w:rsid w:val="007631EB"/>
    <w:rsid w:val="00763692"/>
    <w:rsid w:val="0076421E"/>
    <w:rsid w:val="00765044"/>
    <w:rsid w:val="00765D2D"/>
    <w:rsid w:val="00766351"/>
    <w:rsid w:val="00766656"/>
    <w:rsid w:val="0076673B"/>
    <w:rsid w:val="00766B95"/>
    <w:rsid w:val="007704E7"/>
    <w:rsid w:val="00770695"/>
    <w:rsid w:val="00770BC1"/>
    <w:rsid w:val="00770F13"/>
    <w:rsid w:val="00771ADB"/>
    <w:rsid w:val="00771B3B"/>
    <w:rsid w:val="00771B95"/>
    <w:rsid w:val="007726B9"/>
    <w:rsid w:val="00774A14"/>
    <w:rsid w:val="00775708"/>
    <w:rsid w:val="0077582F"/>
    <w:rsid w:val="00777C86"/>
    <w:rsid w:val="00777FE3"/>
    <w:rsid w:val="00780254"/>
    <w:rsid w:val="00783555"/>
    <w:rsid w:val="0078367F"/>
    <w:rsid w:val="00783D3F"/>
    <w:rsid w:val="00784B76"/>
    <w:rsid w:val="007851FA"/>
    <w:rsid w:val="007856B1"/>
    <w:rsid w:val="007856C8"/>
    <w:rsid w:val="00785DCE"/>
    <w:rsid w:val="00786CFE"/>
    <w:rsid w:val="00786D4B"/>
    <w:rsid w:val="007873E1"/>
    <w:rsid w:val="00787542"/>
    <w:rsid w:val="00790F68"/>
    <w:rsid w:val="0079193D"/>
    <w:rsid w:val="00792053"/>
    <w:rsid w:val="00793681"/>
    <w:rsid w:val="00793837"/>
    <w:rsid w:val="00793992"/>
    <w:rsid w:val="00795899"/>
    <w:rsid w:val="00796358"/>
    <w:rsid w:val="0079639B"/>
    <w:rsid w:val="00796796"/>
    <w:rsid w:val="007967DB"/>
    <w:rsid w:val="007A0C4F"/>
    <w:rsid w:val="007A173E"/>
    <w:rsid w:val="007A18C8"/>
    <w:rsid w:val="007A1D86"/>
    <w:rsid w:val="007A1F29"/>
    <w:rsid w:val="007A2558"/>
    <w:rsid w:val="007A3A69"/>
    <w:rsid w:val="007A4B75"/>
    <w:rsid w:val="007A5106"/>
    <w:rsid w:val="007A51A8"/>
    <w:rsid w:val="007A70C1"/>
    <w:rsid w:val="007A7ED4"/>
    <w:rsid w:val="007B08FF"/>
    <w:rsid w:val="007B0FED"/>
    <w:rsid w:val="007B129A"/>
    <w:rsid w:val="007B21EB"/>
    <w:rsid w:val="007B2AB4"/>
    <w:rsid w:val="007B2E98"/>
    <w:rsid w:val="007B2EEF"/>
    <w:rsid w:val="007B2F4E"/>
    <w:rsid w:val="007B3441"/>
    <w:rsid w:val="007B4330"/>
    <w:rsid w:val="007B5B73"/>
    <w:rsid w:val="007B5D4F"/>
    <w:rsid w:val="007B6D4F"/>
    <w:rsid w:val="007B75C3"/>
    <w:rsid w:val="007C02A1"/>
    <w:rsid w:val="007C041E"/>
    <w:rsid w:val="007C0435"/>
    <w:rsid w:val="007C0A73"/>
    <w:rsid w:val="007C13F1"/>
    <w:rsid w:val="007C185E"/>
    <w:rsid w:val="007C1C65"/>
    <w:rsid w:val="007C2619"/>
    <w:rsid w:val="007C2AD8"/>
    <w:rsid w:val="007C302F"/>
    <w:rsid w:val="007C3B0B"/>
    <w:rsid w:val="007C3D29"/>
    <w:rsid w:val="007C62CF"/>
    <w:rsid w:val="007C6496"/>
    <w:rsid w:val="007C6623"/>
    <w:rsid w:val="007C6A44"/>
    <w:rsid w:val="007C7692"/>
    <w:rsid w:val="007D1A10"/>
    <w:rsid w:val="007D324B"/>
    <w:rsid w:val="007D4A48"/>
    <w:rsid w:val="007D4DBD"/>
    <w:rsid w:val="007D6749"/>
    <w:rsid w:val="007D7D42"/>
    <w:rsid w:val="007E061C"/>
    <w:rsid w:val="007E0FB6"/>
    <w:rsid w:val="007E142E"/>
    <w:rsid w:val="007E19DD"/>
    <w:rsid w:val="007E1F73"/>
    <w:rsid w:val="007E249C"/>
    <w:rsid w:val="007E40BC"/>
    <w:rsid w:val="007E425B"/>
    <w:rsid w:val="007E4CC3"/>
    <w:rsid w:val="007E53D4"/>
    <w:rsid w:val="007E5A64"/>
    <w:rsid w:val="007E74B0"/>
    <w:rsid w:val="007F1593"/>
    <w:rsid w:val="007F211B"/>
    <w:rsid w:val="007F26D2"/>
    <w:rsid w:val="007F273B"/>
    <w:rsid w:val="007F2B1C"/>
    <w:rsid w:val="007F39C6"/>
    <w:rsid w:val="007F46FE"/>
    <w:rsid w:val="007F477B"/>
    <w:rsid w:val="007F4CC9"/>
    <w:rsid w:val="007F55CB"/>
    <w:rsid w:val="007F5837"/>
    <w:rsid w:val="007F5B3C"/>
    <w:rsid w:val="007F5BAF"/>
    <w:rsid w:val="007F6BED"/>
    <w:rsid w:val="007F7DAA"/>
    <w:rsid w:val="00801216"/>
    <w:rsid w:val="0080202E"/>
    <w:rsid w:val="008020A8"/>
    <w:rsid w:val="008023BE"/>
    <w:rsid w:val="0080251B"/>
    <w:rsid w:val="00802D7F"/>
    <w:rsid w:val="008032F8"/>
    <w:rsid w:val="008034AF"/>
    <w:rsid w:val="008056C3"/>
    <w:rsid w:val="008056EB"/>
    <w:rsid w:val="00805B98"/>
    <w:rsid w:val="00805FE2"/>
    <w:rsid w:val="00806DB2"/>
    <w:rsid w:val="00807FE3"/>
    <w:rsid w:val="0081015F"/>
    <w:rsid w:val="00810E01"/>
    <w:rsid w:val="008125C1"/>
    <w:rsid w:val="00812AF3"/>
    <w:rsid w:val="00812B07"/>
    <w:rsid w:val="00812E17"/>
    <w:rsid w:val="00814706"/>
    <w:rsid w:val="00815FE5"/>
    <w:rsid w:val="00820384"/>
    <w:rsid w:val="00820FA1"/>
    <w:rsid w:val="008233D8"/>
    <w:rsid w:val="00823BE6"/>
    <w:rsid w:val="0082692D"/>
    <w:rsid w:val="008305E2"/>
    <w:rsid w:val="00831520"/>
    <w:rsid w:val="00831932"/>
    <w:rsid w:val="008338F7"/>
    <w:rsid w:val="008341C8"/>
    <w:rsid w:val="00834278"/>
    <w:rsid w:val="008349AD"/>
    <w:rsid w:val="00835457"/>
    <w:rsid w:val="0083646D"/>
    <w:rsid w:val="00836AA8"/>
    <w:rsid w:val="008370CA"/>
    <w:rsid w:val="00837179"/>
    <w:rsid w:val="0083769E"/>
    <w:rsid w:val="00837AF8"/>
    <w:rsid w:val="00840118"/>
    <w:rsid w:val="00840764"/>
    <w:rsid w:val="00840D98"/>
    <w:rsid w:val="00840E6E"/>
    <w:rsid w:val="0084109A"/>
    <w:rsid w:val="008412F5"/>
    <w:rsid w:val="008420F5"/>
    <w:rsid w:val="00843AB5"/>
    <w:rsid w:val="00843C9F"/>
    <w:rsid w:val="008450F8"/>
    <w:rsid w:val="00845B41"/>
    <w:rsid w:val="00845D66"/>
    <w:rsid w:val="00845ECD"/>
    <w:rsid w:val="00846205"/>
    <w:rsid w:val="00846EAD"/>
    <w:rsid w:val="00847BF3"/>
    <w:rsid w:val="00847E7D"/>
    <w:rsid w:val="008501C2"/>
    <w:rsid w:val="00851CC8"/>
    <w:rsid w:val="008528D9"/>
    <w:rsid w:val="0085306B"/>
    <w:rsid w:val="0085308E"/>
    <w:rsid w:val="008536FC"/>
    <w:rsid w:val="008538CA"/>
    <w:rsid w:val="00853DFF"/>
    <w:rsid w:val="00854A40"/>
    <w:rsid w:val="00854BB7"/>
    <w:rsid w:val="00854F7D"/>
    <w:rsid w:val="008575FC"/>
    <w:rsid w:val="0085762A"/>
    <w:rsid w:val="00857972"/>
    <w:rsid w:val="00857D52"/>
    <w:rsid w:val="00860F8C"/>
    <w:rsid w:val="00861120"/>
    <w:rsid w:val="00861215"/>
    <w:rsid w:val="00862BEE"/>
    <w:rsid w:val="00862F68"/>
    <w:rsid w:val="00862FA3"/>
    <w:rsid w:val="00863646"/>
    <w:rsid w:val="00864187"/>
    <w:rsid w:val="00865D21"/>
    <w:rsid w:val="008668AB"/>
    <w:rsid w:val="00866F8E"/>
    <w:rsid w:val="008674AA"/>
    <w:rsid w:val="00867D90"/>
    <w:rsid w:val="00867F61"/>
    <w:rsid w:val="0087117F"/>
    <w:rsid w:val="008718E8"/>
    <w:rsid w:val="00871E8A"/>
    <w:rsid w:val="008727B0"/>
    <w:rsid w:val="00872A45"/>
    <w:rsid w:val="00872FB5"/>
    <w:rsid w:val="00873CB5"/>
    <w:rsid w:val="00873DC9"/>
    <w:rsid w:val="0087423B"/>
    <w:rsid w:val="00874377"/>
    <w:rsid w:val="00875610"/>
    <w:rsid w:val="00875908"/>
    <w:rsid w:val="008762DD"/>
    <w:rsid w:val="00876704"/>
    <w:rsid w:val="0087774E"/>
    <w:rsid w:val="00877A0A"/>
    <w:rsid w:val="00880ACC"/>
    <w:rsid w:val="00880C51"/>
    <w:rsid w:val="00880EF5"/>
    <w:rsid w:val="00882C4E"/>
    <w:rsid w:val="00884F2B"/>
    <w:rsid w:val="00886BB9"/>
    <w:rsid w:val="00886D57"/>
    <w:rsid w:val="008877FF"/>
    <w:rsid w:val="00891BAE"/>
    <w:rsid w:val="00891DA5"/>
    <w:rsid w:val="00891E3F"/>
    <w:rsid w:val="00893AB6"/>
    <w:rsid w:val="00893EA1"/>
    <w:rsid w:val="008947DE"/>
    <w:rsid w:val="00894916"/>
    <w:rsid w:val="00894934"/>
    <w:rsid w:val="00894AC1"/>
    <w:rsid w:val="00894E30"/>
    <w:rsid w:val="008952E3"/>
    <w:rsid w:val="00896C1E"/>
    <w:rsid w:val="0089779D"/>
    <w:rsid w:val="008A0D52"/>
    <w:rsid w:val="008A0F4F"/>
    <w:rsid w:val="008A1A1A"/>
    <w:rsid w:val="008A27C4"/>
    <w:rsid w:val="008A28B0"/>
    <w:rsid w:val="008A29A9"/>
    <w:rsid w:val="008A4163"/>
    <w:rsid w:val="008A4C11"/>
    <w:rsid w:val="008A5038"/>
    <w:rsid w:val="008A614E"/>
    <w:rsid w:val="008A75FB"/>
    <w:rsid w:val="008B01ED"/>
    <w:rsid w:val="008B170E"/>
    <w:rsid w:val="008B18EE"/>
    <w:rsid w:val="008B2020"/>
    <w:rsid w:val="008B303F"/>
    <w:rsid w:val="008B38A0"/>
    <w:rsid w:val="008B3EDD"/>
    <w:rsid w:val="008B40F7"/>
    <w:rsid w:val="008B4403"/>
    <w:rsid w:val="008B44C7"/>
    <w:rsid w:val="008B4626"/>
    <w:rsid w:val="008B485A"/>
    <w:rsid w:val="008B4925"/>
    <w:rsid w:val="008B4960"/>
    <w:rsid w:val="008B5554"/>
    <w:rsid w:val="008B57C3"/>
    <w:rsid w:val="008B6276"/>
    <w:rsid w:val="008B6647"/>
    <w:rsid w:val="008B7228"/>
    <w:rsid w:val="008B76A1"/>
    <w:rsid w:val="008B7D80"/>
    <w:rsid w:val="008C0FA5"/>
    <w:rsid w:val="008C13CD"/>
    <w:rsid w:val="008C151C"/>
    <w:rsid w:val="008C491C"/>
    <w:rsid w:val="008C5318"/>
    <w:rsid w:val="008C54C9"/>
    <w:rsid w:val="008C563F"/>
    <w:rsid w:val="008C5740"/>
    <w:rsid w:val="008C652F"/>
    <w:rsid w:val="008C65F2"/>
    <w:rsid w:val="008C6CCA"/>
    <w:rsid w:val="008C73C1"/>
    <w:rsid w:val="008C7440"/>
    <w:rsid w:val="008C7512"/>
    <w:rsid w:val="008D04EA"/>
    <w:rsid w:val="008D06C0"/>
    <w:rsid w:val="008D0E95"/>
    <w:rsid w:val="008D1B06"/>
    <w:rsid w:val="008D1B08"/>
    <w:rsid w:val="008D5E71"/>
    <w:rsid w:val="008D7055"/>
    <w:rsid w:val="008D7769"/>
    <w:rsid w:val="008D7E71"/>
    <w:rsid w:val="008E117E"/>
    <w:rsid w:val="008E1F0E"/>
    <w:rsid w:val="008E29CD"/>
    <w:rsid w:val="008E3F30"/>
    <w:rsid w:val="008E4228"/>
    <w:rsid w:val="008E61B7"/>
    <w:rsid w:val="008E79DC"/>
    <w:rsid w:val="008E7E35"/>
    <w:rsid w:val="008F0410"/>
    <w:rsid w:val="008F0ACE"/>
    <w:rsid w:val="008F11B2"/>
    <w:rsid w:val="008F11E6"/>
    <w:rsid w:val="008F2038"/>
    <w:rsid w:val="008F2CC8"/>
    <w:rsid w:val="008F3598"/>
    <w:rsid w:val="008F382F"/>
    <w:rsid w:val="008F6301"/>
    <w:rsid w:val="008F68BE"/>
    <w:rsid w:val="008F7015"/>
    <w:rsid w:val="00901985"/>
    <w:rsid w:val="00901C54"/>
    <w:rsid w:val="00902336"/>
    <w:rsid w:val="00902CEF"/>
    <w:rsid w:val="00902E3C"/>
    <w:rsid w:val="0090342A"/>
    <w:rsid w:val="009037FA"/>
    <w:rsid w:val="00903D22"/>
    <w:rsid w:val="00905125"/>
    <w:rsid w:val="00905B2B"/>
    <w:rsid w:val="009069D3"/>
    <w:rsid w:val="00906B96"/>
    <w:rsid w:val="00906FF8"/>
    <w:rsid w:val="00907491"/>
    <w:rsid w:val="0090771F"/>
    <w:rsid w:val="00907D53"/>
    <w:rsid w:val="00907E72"/>
    <w:rsid w:val="009108B6"/>
    <w:rsid w:val="00910C36"/>
    <w:rsid w:val="009125B7"/>
    <w:rsid w:val="00912EA4"/>
    <w:rsid w:val="009132C6"/>
    <w:rsid w:val="0091525E"/>
    <w:rsid w:val="00915B28"/>
    <w:rsid w:val="00915B91"/>
    <w:rsid w:val="00917108"/>
    <w:rsid w:val="0092434E"/>
    <w:rsid w:val="00926289"/>
    <w:rsid w:val="009275F0"/>
    <w:rsid w:val="00930FBE"/>
    <w:rsid w:val="0093138B"/>
    <w:rsid w:val="00931F56"/>
    <w:rsid w:val="00933585"/>
    <w:rsid w:val="0093376E"/>
    <w:rsid w:val="00933835"/>
    <w:rsid w:val="009346AD"/>
    <w:rsid w:val="00934939"/>
    <w:rsid w:val="00935130"/>
    <w:rsid w:val="00935506"/>
    <w:rsid w:val="00935F13"/>
    <w:rsid w:val="00936B1B"/>
    <w:rsid w:val="00936BD8"/>
    <w:rsid w:val="00940900"/>
    <w:rsid w:val="00941640"/>
    <w:rsid w:val="00943956"/>
    <w:rsid w:val="0094474F"/>
    <w:rsid w:val="00945E7D"/>
    <w:rsid w:val="0094751B"/>
    <w:rsid w:val="00947877"/>
    <w:rsid w:val="009502BB"/>
    <w:rsid w:val="00950810"/>
    <w:rsid w:val="00950DE1"/>
    <w:rsid w:val="00950FB9"/>
    <w:rsid w:val="0095234E"/>
    <w:rsid w:val="0095288F"/>
    <w:rsid w:val="00952D8A"/>
    <w:rsid w:val="00953993"/>
    <w:rsid w:val="00954496"/>
    <w:rsid w:val="009545D4"/>
    <w:rsid w:val="009558D1"/>
    <w:rsid w:val="00955DA4"/>
    <w:rsid w:val="00957621"/>
    <w:rsid w:val="00957F08"/>
    <w:rsid w:val="00960068"/>
    <w:rsid w:val="00960371"/>
    <w:rsid w:val="00960992"/>
    <w:rsid w:val="00960BBA"/>
    <w:rsid w:val="0096118B"/>
    <w:rsid w:val="00961FAF"/>
    <w:rsid w:val="0096232D"/>
    <w:rsid w:val="009625BA"/>
    <w:rsid w:val="00964B02"/>
    <w:rsid w:val="00965BAD"/>
    <w:rsid w:val="0096624D"/>
    <w:rsid w:val="009670A8"/>
    <w:rsid w:val="009703F4"/>
    <w:rsid w:val="009709BA"/>
    <w:rsid w:val="009721C0"/>
    <w:rsid w:val="0097388A"/>
    <w:rsid w:val="00973DAC"/>
    <w:rsid w:val="00975F96"/>
    <w:rsid w:val="009762D8"/>
    <w:rsid w:val="0097678A"/>
    <w:rsid w:val="00976E6B"/>
    <w:rsid w:val="00977342"/>
    <w:rsid w:val="00977347"/>
    <w:rsid w:val="0097770B"/>
    <w:rsid w:val="00977FDD"/>
    <w:rsid w:val="0098017F"/>
    <w:rsid w:val="009806AD"/>
    <w:rsid w:val="00980FD4"/>
    <w:rsid w:val="009813EB"/>
    <w:rsid w:val="0098163C"/>
    <w:rsid w:val="00983606"/>
    <w:rsid w:val="00983619"/>
    <w:rsid w:val="0098373C"/>
    <w:rsid w:val="0098557E"/>
    <w:rsid w:val="0098587E"/>
    <w:rsid w:val="00986843"/>
    <w:rsid w:val="00986D05"/>
    <w:rsid w:val="00987A5F"/>
    <w:rsid w:val="00987B31"/>
    <w:rsid w:val="00987CB7"/>
    <w:rsid w:val="009928D2"/>
    <w:rsid w:val="00992A9F"/>
    <w:rsid w:val="00993083"/>
    <w:rsid w:val="00993A19"/>
    <w:rsid w:val="00994474"/>
    <w:rsid w:val="00994CD5"/>
    <w:rsid w:val="00996708"/>
    <w:rsid w:val="009977E3"/>
    <w:rsid w:val="009A034B"/>
    <w:rsid w:val="009A0C3D"/>
    <w:rsid w:val="009A1F9B"/>
    <w:rsid w:val="009A21AF"/>
    <w:rsid w:val="009A2D37"/>
    <w:rsid w:val="009A36D0"/>
    <w:rsid w:val="009A4F52"/>
    <w:rsid w:val="009A51ED"/>
    <w:rsid w:val="009A5A83"/>
    <w:rsid w:val="009A62DF"/>
    <w:rsid w:val="009A63CF"/>
    <w:rsid w:val="009A6805"/>
    <w:rsid w:val="009A69A3"/>
    <w:rsid w:val="009A6CCF"/>
    <w:rsid w:val="009B12FA"/>
    <w:rsid w:val="009B17D8"/>
    <w:rsid w:val="009B1871"/>
    <w:rsid w:val="009B2AAF"/>
    <w:rsid w:val="009B2FDF"/>
    <w:rsid w:val="009B36B6"/>
    <w:rsid w:val="009B3CD2"/>
    <w:rsid w:val="009B42A9"/>
    <w:rsid w:val="009B5605"/>
    <w:rsid w:val="009B59A9"/>
    <w:rsid w:val="009B6014"/>
    <w:rsid w:val="009B6D5E"/>
    <w:rsid w:val="009B6E16"/>
    <w:rsid w:val="009B7343"/>
    <w:rsid w:val="009B7D56"/>
    <w:rsid w:val="009C067B"/>
    <w:rsid w:val="009C0730"/>
    <w:rsid w:val="009C125C"/>
    <w:rsid w:val="009C20E2"/>
    <w:rsid w:val="009C275F"/>
    <w:rsid w:val="009C5658"/>
    <w:rsid w:val="009C580D"/>
    <w:rsid w:val="009C5E00"/>
    <w:rsid w:val="009C5E2B"/>
    <w:rsid w:val="009C69B5"/>
    <w:rsid w:val="009C74FE"/>
    <w:rsid w:val="009D3236"/>
    <w:rsid w:val="009D387F"/>
    <w:rsid w:val="009D3D35"/>
    <w:rsid w:val="009D49C5"/>
    <w:rsid w:val="009D58B4"/>
    <w:rsid w:val="009D6E74"/>
    <w:rsid w:val="009E0A1D"/>
    <w:rsid w:val="009E1C1F"/>
    <w:rsid w:val="009E222F"/>
    <w:rsid w:val="009E2FBC"/>
    <w:rsid w:val="009E378E"/>
    <w:rsid w:val="009E3DCB"/>
    <w:rsid w:val="009E400B"/>
    <w:rsid w:val="009E4682"/>
    <w:rsid w:val="009E4C37"/>
    <w:rsid w:val="009E5B1D"/>
    <w:rsid w:val="009E5C1B"/>
    <w:rsid w:val="009E5F99"/>
    <w:rsid w:val="009E60D5"/>
    <w:rsid w:val="009E631E"/>
    <w:rsid w:val="009E64A5"/>
    <w:rsid w:val="009E64F6"/>
    <w:rsid w:val="009E7CA6"/>
    <w:rsid w:val="009F025F"/>
    <w:rsid w:val="009F05EE"/>
    <w:rsid w:val="009F09A7"/>
    <w:rsid w:val="009F1712"/>
    <w:rsid w:val="009F2B2B"/>
    <w:rsid w:val="009F315F"/>
    <w:rsid w:val="009F4E6F"/>
    <w:rsid w:val="009F5BE0"/>
    <w:rsid w:val="009F6E40"/>
    <w:rsid w:val="009F731E"/>
    <w:rsid w:val="009F76AC"/>
    <w:rsid w:val="009F7F4F"/>
    <w:rsid w:val="00A00048"/>
    <w:rsid w:val="00A01365"/>
    <w:rsid w:val="00A01F39"/>
    <w:rsid w:val="00A02DA2"/>
    <w:rsid w:val="00A02FFE"/>
    <w:rsid w:val="00A03386"/>
    <w:rsid w:val="00A03D42"/>
    <w:rsid w:val="00A03E96"/>
    <w:rsid w:val="00A04F6B"/>
    <w:rsid w:val="00A062C9"/>
    <w:rsid w:val="00A06374"/>
    <w:rsid w:val="00A07AE7"/>
    <w:rsid w:val="00A07AF9"/>
    <w:rsid w:val="00A07FD1"/>
    <w:rsid w:val="00A10EDB"/>
    <w:rsid w:val="00A114C8"/>
    <w:rsid w:val="00A11711"/>
    <w:rsid w:val="00A11DF2"/>
    <w:rsid w:val="00A1227C"/>
    <w:rsid w:val="00A12D1E"/>
    <w:rsid w:val="00A13385"/>
    <w:rsid w:val="00A13F7D"/>
    <w:rsid w:val="00A145E4"/>
    <w:rsid w:val="00A14BB4"/>
    <w:rsid w:val="00A14C81"/>
    <w:rsid w:val="00A150BC"/>
    <w:rsid w:val="00A15ADF"/>
    <w:rsid w:val="00A15C3E"/>
    <w:rsid w:val="00A16DDF"/>
    <w:rsid w:val="00A20B80"/>
    <w:rsid w:val="00A21096"/>
    <w:rsid w:val="00A2250E"/>
    <w:rsid w:val="00A233C8"/>
    <w:rsid w:val="00A23BCC"/>
    <w:rsid w:val="00A24110"/>
    <w:rsid w:val="00A24A1C"/>
    <w:rsid w:val="00A24E07"/>
    <w:rsid w:val="00A2502E"/>
    <w:rsid w:val="00A25488"/>
    <w:rsid w:val="00A254D1"/>
    <w:rsid w:val="00A25C53"/>
    <w:rsid w:val="00A265E5"/>
    <w:rsid w:val="00A26A10"/>
    <w:rsid w:val="00A26E4A"/>
    <w:rsid w:val="00A27DBE"/>
    <w:rsid w:val="00A31963"/>
    <w:rsid w:val="00A323C3"/>
    <w:rsid w:val="00A340EF"/>
    <w:rsid w:val="00A34889"/>
    <w:rsid w:val="00A348E8"/>
    <w:rsid w:val="00A35334"/>
    <w:rsid w:val="00A3551D"/>
    <w:rsid w:val="00A355AD"/>
    <w:rsid w:val="00A35AED"/>
    <w:rsid w:val="00A35F17"/>
    <w:rsid w:val="00A36375"/>
    <w:rsid w:val="00A37157"/>
    <w:rsid w:val="00A40E14"/>
    <w:rsid w:val="00A412D3"/>
    <w:rsid w:val="00A4146E"/>
    <w:rsid w:val="00A4296A"/>
    <w:rsid w:val="00A42A19"/>
    <w:rsid w:val="00A42E7E"/>
    <w:rsid w:val="00A45CE3"/>
    <w:rsid w:val="00A467D1"/>
    <w:rsid w:val="00A47BB3"/>
    <w:rsid w:val="00A47EE4"/>
    <w:rsid w:val="00A5031C"/>
    <w:rsid w:val="00A533B8"/>
    <w:rsid w:val="00A53B12"/>
    <w:rsid w:val="00A544DF"/>
    <w:rsid w:val="00A5472B"/>
    <w:rsid w:val="00A54A68"/>
    <w:rsid w:val="00A55068"/>
    <w:rsid w:val="00A55D74"/>
    <w:rsid w:val="00A55DDC"/>
    <w:rsid w:val="00A5607F"/>
    <w:rsid w:val="00A56226"/>
    <w:rsid w:val="00A56377"/>
    <w:rsid w:val="00A605ED"/>
    <w:rsid w:val="00A62B41"/>
    <w:rsid w:val="00A638A7"/>
    <w:rsid w:val="00A63970"/>
    <w:rsid w:val="00A63CE5"/>
    <w:rsid w:val="00A63D4E"/>
    <w:rsid w:val="00A64031"/>
    <w:rsid w:val="00A642ED"/>
    <w:rsid w:val="00A64627"/>
    <w:rsid w:val="00A64773"/>
    <w:rsid w:val="00A64DCC"/>
    <w:rsid w:val="00A654DB"/>
    <w:rsid w:val="00A65579"/>
    <w:rsid w:val="00A65D04"/>
    <w:rsid w:val="00A66302"/>
    <w:rsid w:val="00A66FDD"/>
    <w:rsid w:val="00A7093A"/>
    <w:rsid w:val="00A71F2A"/>
    <w:rsid w:val="00A735ED"/>
    <w:rsid w:val="00A73CFE"/>
    <w:rsid w:val="00A74800"/>
    <w:rsid w:val="00A75A04"/>
    <w:rsid w:val="00A75D1D"/>
    <w:rsid w:val="00A75FE1"/>
    <w:rsid w:val="00A76026"/>
    <w:rsid w:val="00A766A0"/>
    <w:rsid w:val="00A76D28"/>
    <w:rsid w:val="00A77797"/>
    <w:rsid w:val="00A77ACF"/>
    <w:rsid w:val="00A80664"/>
    <w:rsid w:val="00A80BBA"/>
    <w:rsid w:val="00A80D6F"/>
    <w:rsid w:val="00A81767"/>
    <w:rsid w:val="00A82B3D"/>
    <w:rsid w:val="00A83B59"/>
    <w:rsid w:val="00A83EE0"/>
    <w:rsid w:val="00A843EB"/>
    <w:rsid w:val="00A84B9F"/>
    <w:rsid w:val="00A8544A"/>
    <w:rsid w:val="00A866FF"/>
    <w:rsid w:val="00A86D33"/>
    <w:rsid w:val="00A86F8F"/>
    <w:rsid w:val="00A870BE"/>
    <w:rsid w:val="00A903FF"/>
    <w:rsid w:val="00A90718"/>
    <w:rsid w:val="00A91056"/>
    <w:rsid w:val="00A911D2"/>
    <w:rsid w:val="00A9163F"/>
    <w:rsid w:val="00A91679"/>
    <w:rsid w:val="00A94458"/>
    <w:rsid w:val="00A94D75"/>
    <w:rsid w:val="00A96088"/>
    <w:rsid w:val="00A96A62"/>
    <w:rsid w:val="00A96A87"/>
    <w:rsid w:val="00A975EC"/>
    <w:rsid w:val="00A97758"/>
    <w:rsid w:val="00AA07B6"/>
    <w:rsid w:val="00AA13C9"/>
    <w:rsid w:val="00AA1D4E"/>
    <w:rsid w:val="00AA2182"/>
    <w:rsid w:val="00AA246F"/>
    <w:rsid w:val="00AA34D9"/>
    <w:rsid w:val="00AA42B8"/>
    <w:rsid w:val="00AA5232"/>
    <w:rsid w:val="00AA5A02"/>
    <w:rsid w:val="00AA5AF9"/>
    <w:rsid w:val="00AA5C5B"/>
    <w:rsid w:val="00AA68DD"/>
    <w:rsid w:val="00AA736C"/>
    <w:rsid w:val="00AA7C51"/>
    <w:rsid w:val="00AB0495"/>
    <w:rsid w:val="00AB08DC"/>
    <w:rsid w:val="00AB0C5F"/>
    <w:rsid w:val="00AB0C6F"/>
    <w:rsid w:val="00AB0E7F"/>
    <w:rsid w:val="00AB1F96"/>
    <w:rsid w:val="00AB40D0"/>
    <w:rsid w:val="00AB4111"/>
    <w:rsid w:val="00AB4DE1"/>
    <w:rsid w:val="00AB53D5"/>
    <w:rsid w:val="00AB5CE5"/>
    <w:rsid w:val="00AB6133"/>
    <w:rsid w:val="00AB647D"/>
    <w:rsid w:val="00AB6482"/>
    <w:rsid w:val="00AB7468"/>
    <w:rsid w:val="00AB77B8"/>
    <w:rsid w:val="00AC0652"/>
    <w:rsid w:val="00AC0A51"/>
    <w:rsid w:val="00AC0D02"/>
    <w:rsid w:val="00AC0FF3"/>
    <w:rsid w:val="00AC126B"/>
    <w:rsid w:val="00AC1DB1"/>
    <w:rsid w:val="00AC22D6"/>
    <w:rsid w:val="00AC2A64"/>
    <w:rsid w:val="00AC2F48"/>
    <w:rsid w:val="00AC3426"/>
    <w:rsid w:val="00AC42CE"/>
    <w:rsid w:val="00AC447A"/>
    <w:rsid w:val="00AC65A8"/>
    <w:rsid w:val="00AC690A"/>
    <w:rsid w:val="00AC775E"/>
    <w:rsid w:val="00AD02CD"/>
    <w:rsid w:val="00AD192C"/>
    <w:rsid w:val="00AD2601"/>
    <w:rsid w:val="00AD2E60"/>
    <w:rsid w:val="00AD399B"/>
    <w:rsid w:val="00AD4E23"/>
    <w:rsid w:val="00AD5021"/>
    <w:rsid w:val="00AD5222"/>
    <w:rsid w:val="00AD63D1"/>
    <w:rsid w:val="00AD64C4"/>
    <w:rsid w:val="00AD6D27"/>
    <w:rsid w:val="00AD78FF"/>
    <w:rsid w:val="00AD7C7D"/>
    <w:rsid w:val="00AD7D4E"/>
    <w:rsid w:val="00AE0D70"/>
    <w:rsid w:val="00AE2164"/>
    <w:rsid w:val="00AE3655"/>
    <w:rsid w:val="00AE3FAA"/>
    <w:rsid w:val="00AE431B"/>
    <w:rsid w:val="00AE5BFC"/>
    <w:rsid w:val="00AE652C"/>
    <w:rsid w:val="00AE6671"/>
    <w:rsid w:val="00AE6A12"/>
    <w:rsid w:val="00AE6A96"/>
    <w:rsid w:val="00AE7396"/>
    <w:rsid w:val="00AE7911"/>
    <w:rsid w:val="00AF04C0"/>
    <w:rsid w:val="00AF0DC1"/>
    <w:rsid w:val="00AF0F3D"/>
    <w:rsid w:val="00AF133E"/>
    <w:rsid w:val="00AF252F"/>
    <w:rsid w:val="00AF2A09"/>
    <w:rsid w:val="00AF2CBF"/>
    <w:rsid w:val="00AF512F"/>
    <w:rsid w:val="00AF5903"/>
    <w:rsid w:val="00AF65BB"/>
    <w:rsid w:val="00AF7A26"/>
    <w:rsid w:val="00B00371"/>
    <w:rsid w:val="00B01EE5"/>
    <w:rsid w:val="00B0250E"/>
    <w:rsid w:val="00B025BB"/>
    <w:rsid w:val="00B02804"/>
    <w:rsid w:val="00B029A4"/>
    <w:rsid w:val="00B02CE6"/>
    <w:rsid w:val="00B043A4"/>
    <w:rsid w:val="00B0446F"/>
    <w:rsid w:val="00B044C7"/>
    <w:rsid w:val="00B04686"/>
    <w:rsid w:val="00B04AB9"/>
    <w:rsid w:val="00B05869"/>
    <w:rsid w:val="00B0693B"/>
    <w:rsid w:val="00B070DD"/>
    <w:rsid w:val="00B07690"/>
    <w:rsid w:val="00B0787C"/>
    <w:rsid w:val="00B07E96"/>
    <w:rsid w:val="00B113CC"/>
    <w:rsid w:val="00B11D59"/>
    <w:rsid w:val="00B1240B"/>
    <w:rsid w:val="00B13606"/>
    <w:rsid w:val="00B13888"/>
    <w:rsid w:val="00B13912"/>
    <w:rsid w:val="00B14298"/>
    <w:rsid w:val="00B14706"/>
    <w:rsid w:val="00B15072"/>
    <w:rsid w:val="00B156B3"/>
    <w:rsid w:val="00B1642B"/>
    <w:rsid w:val="00B200DA"/>
    <w:rsid w:val="00B206FA"/>
    <w:rsid w:val="00B20855"/>
    <w:rsid w:val="00B20B0B"/>
    <w:rsid w:val="00B219D7"/>
    <w:rsid w:val="00B2237A"/>
    <w:rsid w:val="00B23810"/>
    <w:rsid w:val="00B239A0"/>
    <w:rsid w:val="00B24534"/>
    <w:rsid w:val="00B245DB"/>
    <w:rsid w:val="00B24CEC"/>
    <w:rsid w:val="00B250DE"/>
    <w:rsid w:val="00B259EA"/>
    <w:rsid w:val="00B25F69"/>
    <w:rsid w:val="00B26181"/>
    <w:rsid w:val="00B263C6"/>
    <w:rsid w:val="00B26CA2"/>
    <w:rsid w:val="00B31799"/>
    <w:rsid w:val="00B31E1A"/>
    <w:rsid w:val="00B3209C"/>
    <w:rsid w:val="00B324E5"/>
    <w:rsid w:val="00B32ECD"/>
    <w:rsid w:val="00B3309C"/>
    <w:rsid w:val="00B33951"/>
    <w:rsid w:val="00B33C7C"/>
    <w:rsid w:val="00B34796"/>
    <w:rsid w:val="00B369C9"/>
    <w:rsid w:val="00B370FE"/>
    <w:rsid w:val="00B37155"/>
    <w:rsid w:val="00B37C5E"/>
    <w:rsid w:val="00B4069B"/>
    <w:rsid w:val="00B40BE9"/>
    <w:rsid w:val="00B41637"/>
    <w:rsid w:val="00B419C6"/>
    <w:rsid w:val="00B41C15"/>
    <w:rsid w:val="00B4382F"/>
    <w:rsid w:val="00B44044"/>
    <w:rsid w:val="00B44BCB"/>
    <w:rsid w:val="00B453BB"/>
    <w:rsid w:val="00B45D9B"/>
    <w:rsid w:val="00B45EEB"/>
    <w:rsid w:val="00B47B9B"/>
    <w:rsid w:val="00B500F0"/>
    <w:rsid w:val="00B50AAC"/>
    <w:rsid w:val="00B516F5"/>
    <w:rsid w:val="00B51D80"/>
    <w:rsid w:val="00B53C96"/>
    <w:rsid w:val="00B5442C"/>
    <w:rsid w:val="00B54F0E"/>
    <w:rsid w:val="00B55F8B"/>
    <w:rsid w:val="00B563B9"/>
    <w:rsid w:val="00B57527"/>
    <w:rsid w:val="00B61D54"/>
    <w:rsid w:val="00B627DA"/>
    <w:rsid w:val="00B630A4"/>
    <w:rsid w:val="00B64B11"/>
    <w:rsid w:val="00B65CEA"/>
    <w:rsid w:val="00B65E00"/>
    <w:rsid w:val="00B66B6E"/>
    <w:rsid w:val="00B67716"/>
    <w:rsid w:val="00B67878"/>
    <w:rsid w:val="00B70094"/>
    <w:rsid w:val="00B701C8"/>
    <w:rsid w:val="00B70331"/>
    <w:rsid w:val="00B7196F"/>
    <w:rsid w:val="00B72E55"/>
    <w:rsid w:val="00B73809"/>
    <w:rsid w:val="00B739D2"/>
    <w:rsid w:val="00B75264"/>
    <w:rsid w:val="00B75590"/>
    <w:rsid w:val="00B757A2"/>
    <w:rsid w:val="00B76332"/>
    <w:rsid w:val="00B770C6"/>
    <w:rsid w:val="00B7710C"/>
    <w:rsid w:val="00B77F1C"/>
    <w:rsid w:val="00B8114B"/>
    <w:rsid w:val="00B8176D"/>
    <w:rsid w:val="00B81903"/>
    <w:rsid w:val="00B820F8"/>
    <w:rsid w:val="00B8238B"/>
    <w:rsid w:val="00B82AAA"/>
    <w:rsid w:val="00B83088"/>
    <w:rsid w:val="00B834EA"/>
    <w:rsid w:val="00B83956"/>
    <w:rsid w:val="00B83963"/>
    <w:rsid w:val="00B83F8B"/>
    <w:rsid w:val="00B841B3"/>
    <w:rsid w:val="00B84307"/>
    <w:rsid w:val="00B845F3"/>
    <w:rsid w:val="00B84A7D"/>
    <w:rsid w:val="00B84BA6"/>
    <w:rsid w:val="00B86111"/>
    <w:rsid w:val="00B87DA3"/>
    <w:rsid w:val="00B915D0"/>
    <w:rsid w:val="00B91CEF"/>
    <w:rsid w:val="00B92A2C"/>
    <w:rsid w:val="00B93481"/>
    <w:rsid w:val="00B9356A"/>
    <w:rsid w:val="00B93DC6"/>
    <w:rsid w:val="00B94E63"/>
    <w:rsid w:val="00B951C3"/>
    <w:rsid w:val="00B95660"/>
    <w:rsid w:val="00B95B65"/>
    <w:rsid w:val="00B9659A"/>
    <w:rsid w:val="00B96643"/>
    <w:rsid w:val="00BA0E7B"/>
    <w:rsid w:val="00BA1457"/>
    <w:rsid w:val="00BA263A"/>
    <w:rsid w:val="00BA2DFE"/>
    <w:rsid w:val="00BA3F3C"/>
    <w:rsid w:val="00BA543E"/>
    <w:rsid w:val="00BA6036"/>
    <w:rsid w:val="00BA7371"/>
    <w:rsid w:val="00BA7755"/>
    <w:rsid w:val="00BA7ECA"/>
    <w:rsid w:val="00BB1E86"/>
    <w:rsid w:val="00BB2AE3"/>
    <w:rsid w:val="00BB2D77"/>
    <w:rsid w:val="00BB2DF1"/>
    <w:rsid w:val="00BB3E0C"/>
    <w:rsid w:val="00BB5020"/>
    <w:rsid w:val="00BB5ED6"/>
    <w:rsid w:val="00BB6041"/>
    <w:rsid w:val="00BB6AF4"/>
    <w:rsid w:val="00BC0F2C"/>
    <w:rsid w:val="00BC0FD2"/>
    <w:rsid w:val="00BC1225"/>
    <w:rsid w:val="00BC1DD3"/>
    <w:rsid w:val="00BC371E"/>
    <w:rsid w:val="00BC4D40"/>
    <w:rsid w:val="00BC532F"/>
    <w:rsid w:val="00BC56E1"/>
    <w:rsid w:val="00BC5B60"/>
    <w:rsid w:val="00BC667F"/>
    <w:rsid w:val="00BC7036"/>
    <w:rsid w:val="00BD01E3"/>
    <w:rsid w:val="00BD0B86"/>
    <w:rsid w:val="00BD0E18"/>
    <w:rsid w:val="00BD14A0"/>
    <w:rsid w:val="00BD3528"/>
    <w:rsid w:val="00BD386E"/>
    <w:rsid w:val="00BD39CA"/>
    <w:rsid w:val="00BD3A06"/>
    <w:rsid w:val="00BD3A89"/>
    <w:rsid w:val="00BD4070"/>
    <w:rsid w:val="00BD4D83"/>
    <w:rsid w:val="00BD4E1D"/>
    <w:rsid w:val="00BD4EBE"/>
    <w:rsid w:val="00BD4F68"/>
    <w:rsid w:val="00BD543F"/>
    <w:rsid w:val="00BD5524"/>
    <w:rsid w:val="00BD5EBC"/>
    <w:rsid w:val="00BD6827"/>
    <w:rsid w:val="00BD70E5"/>
    <w:rsid w:val="00BD7C1E"/>
    <w:rsid w:val="00BE02CD"/>
    <w:rsid w:val="00BE15A1"/>
    <w:rsid w:val="00BE1A45"/>
    <w:rsid w:val="00BE1E4F"/>
    <w:rsid w:val="00BE1F5E"/>
    <w:rsid w:val="00BE4236"/>
    <w:rsid w:val="00BE43CB"/>
    <w:rsid w:val="00BE4BED"/>
    <w:rsid w:val="00BE6A55"/>
    <w:rsid w:val="00BE7425"/>
    <w:rsid w:val="00BE7731"/>
    <w:rsid w:val="00BE7FE0"/>
    <w:rsid w:val="00BF04E1"/>
    <w:rsid w:val="00BF0F0C"/>
    <w:rsid w:val="00BF0F3C"/>
    <w:rsid w:val="00BF1259"/>
    <w:rsid w:val="00BF166B"/>
    <w:rsid w:val="00BF2474"/>
    <w:rsid w:val="00BF2F4E"/>
    <w:rsid w:val="00BF3A3D"/>
    <w:rsid w:val="00BF3C16"/>
    <w:rsid w:val="00BF3FB9"/>
    <w:rsid w:val="00BF4235"/>
    <w:rsid w:val="00BF4E4F"/>
    <w:rsid w:val="00BF55B2"/>
    <w:rsid w:val="00BF572C"/>
    <w:rsid w:val="00BF590B"/>
    <w:rsid w:val="00BF60CE"/>
    <w:rsid w:val="00BF640B"/>
    <w:rsid w:val="00C001EB"/>
    <w:rsid w:val="00C007FA"/>
    <w:rsid w:val="00C0217E"/>
    <w:rsid w:val="00C0241F"/>
    <w:rsid w:val="00C027BE"/>
    <w:rsid w:val="00C035F0"/>
    <w:rsid w:val="00C041FB"/>
    <w:rsid w:val="00C044D9"/>
    <w:rsid w:val="00C05657"/>
    <w:rsid w:val="00C062AA"/>
    <w:rsid w:val="00C06A64"/>
    <w:rsid w:val="00C06FD9"/>
    <w:rsid w:val="00C07ECB"/>
    <w:rsid w:val="00C121F3"/>
    <w:rsid w:val="00C1222E"/>
    <w:rsid w:val="00C12442"/>
    <w:rsid w:val="00C12D15"/>
    <w:rsid w:val="00C132D8"/>
    <w:rsid w:val="00C13BF8"/>
    <w:rsid w:val="00C13D67"/>
    <w:rsid w:val="00C1472E"/>
    <w:rsid w:val="00C1498F"/>
    <w:rsid w:val="00C14FE1"/>
    <w:rsid w:val="00C15640"/>
    <w:rsid w:val="00C15E27"/>
    <w:rsid w:val="00C1604B"/>
    <w:rsid w:val="00C179C8"/>
    <w:rsid w:val="00C17C8C"/>
    <w:rsid w:val="00C2152A"/>
    <w:rsid w:val="00C217F6"/>
    <w:rsid w:val="00C24020"/>
    <w:rsid w:val="00C241CF"/>
    <w:rsid w:val="00C24DB7"/>
    <w:rsid w:val="00C26BC4"/>
    <w:rsid w:val="00C27283"/>
    <w:rsid w:val="00C274DC"/>
    <w:rsid w:val="00C3093B"/>
    <w:rsid w:val="00C310E2"/>
    <w:rsid w:val="00C31B1E"/>
    <w:rsid w:val="00C33711"/>
    <w:rsid w:val="00C33A79"/>
    <w:rsid w:val="00C33E8E"/>
    <w:rsid w:val="00C33EC2"/>
    <w:rsid w:val="00C37009"/>
    <w:rsid w:val="00C37249"/>
    <w:rsid w:val="00C37294"/>
    <w:rsid w:val="00C3758F"/>
    <w:rsid w:val="00C40510"/>
    <w:rsid w:val="00C40D62"/>
    <w:rsid w:val="00C43709"/>
    <w:rsid w:val="00C4439B"/>
    <w:rsid w:val="00C44AD9"/>
    <w:rsid w:val="00C44C67"/>
    <w:rsid w:val="00C45397"/>
    <w:rsid w:val="00C45B96"/>
    <w:rsid w:val="00C466F8"/>
    <w:rsid w:val="00C46A3A"/>
    <w:rsid w:val="00C47014"/>
    <w:rsid w:val="00C47452"/>
    <w:rsid w:val="00C47D1A"/>
    <w:rsid w:val="00C47E7C"/>
    <w:rsid w:val="00C47E9D"/>
    <w:rsid w:val="00C5102A"/>
    <w:rsid w:val="00C5197E"/>
    <w:rsid w:val="00C5237F"/>
    <w:rsid w:val="00C53007"/>
    <w:rsid w:val="00C5381B"/>
    <w:rsid w:val="00C5596F"/>
    <w:rsid w:val="00C5620A"/>
    <w:rsid w:val="00C56AA0"/>
    <w:rsid w:val="00C5759A"/>
    <w:rsid w:val="00C57B5C"/>
    <w:rsid w:val="00C60411"/>
    <w:rsid w:val="00C605C0"/>
    <w:rsid w:val="00C6117F"/>
    <w:rsid w:val="00C619F0"/>
    <w:rsid w:val="00C6239C"/>
    <w:rsid w:val="00C62521"/>
    <w:rsid w:val="00C63B46"/>
    <w:rsid w:val="00C65793"/>
    <w:rsid w:val="00C65844"/>
    <w:rsid w:val="00C65B98"/>
    <w:rsid w:val="00C665B2"/>
    <w:rsid w:val="00C674F9"/>
    <w:rsid w:val="00C70C69"/>
    <w:rsid w:val="00C71274"/>
    <w:rsid w:val="00C713C7"/>
    <w:rsid w:val="00C729AB"/>
    <w:rsid w:val="00C72DB2"/>
    <w:rsid w:val="00C7319B"/>
    <w:rsid w:val="00C73297"/>
    <w:rsid w:val="00C7332F"/>
    <w:rsid w:val="00C74625"/>
    <w:rsid w:val="00C75EB9"/>
    <w:rsid w:val="00C76319"/>
    <w:rsid w:val="00C76DAC"/>
    <w:rsid w:val="00C7709A"/>
    <w:rsid w:val="00C770EE"/>
    <w:rsid w:val="00C77717"/>
    <w:rsid w:val="00C800F3"/>
    <w:rsid w:val="00C8015B"/>
    <w:rsid w:val="00C80DC6"/>
    <w:rsid w:val="00C813F9"/>
    <w:rsid w:val="00C817EB"/>
    <w:rsid w:val="00C81AB4"/>
    <w:rsid w:val="00C81FA4"/>
    <w:rsid w:val="00C82333"/>
    <w:rsid w:val="00C837AC"/>
    <w:rsid w:val="00C839F5"/>
    <w:rsid w:val="00C8426E"/>
    <w:rsid w:val="00C853F3"/>
    <w:rsid w:val="00C854C8"/>
    <w:rsid w:val="00C856A4"/>
    <w:rsid w:val="00C86425"/>
    <w:rsid w:val="00C86FC0"/>
    <w:rsid w:val="00C871EE"/>
    <w:rsid w:val="00C9079E"/>
    <w:rsid w:val="00C908EF"/>
    <w:rsid w:val="00C91E42"/>
    <w:rsid w:val="00C91F67"/>
    <w:rsid w:val="00C921CF"/>
    <w:rsid w:val="00C927BD"/>
    <w:rsid w:val="00C9295E"/>
    <w:rsid w:val="00C92B79"/>
    <w:rsid w:val="00C934C3"/>
    <w:rsid w:val="00C93F0C"/>
    <w:rsid w:val="00C94C23"/>
    <w:rsid w:val="00C94F00"/>
    <w:rsid w:val="00C96C50"/>
    <w:rsid w:val="00C96D49"/>
    <w:rsid w:val="00C97A56"/>
    <w:rsid w:val="00CA0802"/>
    <w:rsid w:val="00CA09DD"/>
    <w:rsid w:val="00CA1A87"/>
    <w:rsid w:val="00CA1B91"/>
    <w:rsid w:val="00CA2986"/>
    <w:rsid w:val="00CA2BD3"/>
    <w:rsid w:val="00CA5D25"/>
    <w:rsid w:val="00CA624E"/>
    <w:rsid w:val="00CA795F"/>
    <w:rsid w:val="00CB0CD5"/>
    <w:rsid w:val="00CB14A0"/>
    <w:rsid w:val="00CB1D52"/>
    <w:rsid w:val="00CB1DC6"/>
    <w:rsid w:val="00CB29E5"/>
    <w:rsid w:val="00CB3221"/>
    <w:rsid w:val="00CB336C"/>
    <w:rsid w:val="00CB3AA9"/>
    <w:rsid w:val="00CB3BD0"/>
    <w:rsid w:val="00CB3CCA"/>
    <w:rsid w:val="00CB4CD9"/>
    <w:rsid w:val="00CB4F50"/>
    <w:rsid w:val="00CB5441"/>
    <w:rsid w:val="00CB67AC"/>
    <w:rsid w:val="00CC0006"/>
    <w:rsid w:val="00CC0B85"/>
    <w:rsid w:val="00CC17C1"/>
    <w:rsid w:val="00CC18EC"/>
    <w:rsid w:val="00CC1B19"/>
    <w:rsid w:val="00CC1F58"/>
    <w:rsid w:val="00CC33B3"/>
    <w:rsid w:val="00CC4375"/>
    <w:rsid w:val="00CC53C1"/>
    <w:rsid w:val="00CC692C"/>
    <w:rsid w:val="00CC7C67"/>
    <w:rsid w:val="00CD0946"/>
    <w:rsid w:val="00CD12FB"/>
    <w:rsid w:val="00CD1679"/>
    <w:rsid w:val="00CD17CD"/>
    <w:rsid w:val="00CD1813"/>
    <w:rsid w:val="00CD1986"/>
    <w:rsid w:val="00CD27A1"/>
    <w:rsid w:val="00CD2802"/>
    <w:rsid w:val="00CD28EA"/>
    <w:rsid w:val="00CD2D56"/>
    <w:rsid w:val="00CD4B88"/>
    <w:rsid w:val="00CD50E8"/>
    <w:rsid w:val="00CD6C90"/>
    <w:rsid w:val="00CD6F6A"/>
    <w:rsid w:val="00CD7F2F"/>
    <w:rsid w:val="00CD7FF8"/>
    <w:rsid w:val="00CE0A28"/>
    <w:rsid w:val="00CE10DB"/>
    <w:rsid w:val="00CE134F"/>
    <w:rsid w:val="00CE1472"/>
    <w:rsid w:val="00CE2B57"/>
    <w:rsid w:val="00CE3139"/>
    <w:rsid w:val="00CE3442"/>
    <w:rsid w:val="00CE539C"/>
    <w:rsid w:val="00CE53E3"/>
    <w:rsid w:val="00CE59EA"/>
    <w:rsid w:val="00CE5CB9"/>
    <w:rsid w:val="00CE6A03"/>
    <w:rsid w:val="00CE6A3B"/>
    <w:rsid w:val="00CE7027"/>
    <w:rsid w:val="00CE7541"/>
    <w:rsid w:val="00CE78D7"/>
    <w:rsid w:val="00CE7DD2"/>
    <w:rsid w:val="00CE7F31"/>
    <w:rsid w:val="00CF0231"/>
    <w:rsid w:val="00CF136D"/>
    <w:rsid w:val="00CF169B"/>
    <w:rsid w:val="00CF184F"/>
    <w:rsid w:val="00CF1EC4"/>
    <w:rsid w:val="00CF2129"/>
    <w:rsid w:val="00CF2229"/>
    <w:rsid w:val="00CF2F1C"/>
    <w:rsid w:val="00CF6EE5"/>
    <w:rsid w:val="00CF748C"/>
    <w:rsid w:val="00D01A92"/>
    <w:rsid w:val="00D03BAD"/>
    <w:rsid w:val="00D03D09"/>
    <w:rsid w:val="00D06AC2"/>
    <w:rsid w:val="00D0713E"/>
    <w:rsid w:val="00D114BB"/>
    <w:rsid w:val="00D12287"/>
    <w:rsid w:val="00D12365"/>
    <w:rsid w:val="00D12901"/>
    <w:rsid w:val="00D12EC8"/>
    <w:rsid w:val="00D1379F"/>
    <w:rsid w:val="00D13937"/>
    <w:rsid w:val="00D14268"/>
    <w:rsid w:val="00D146DC"/>
    <w:rsid w:val="00D14B31"/>
    <w:rsid w:val="00D1546B"/>
    <w:rsid w:val="00D1571D"/>
    <w:rsid w:val="00D173C3"/>
    <w:rsid w:val="00D17850"/>
    <w:rsid w:val="00D20DAB"/>
    <w:rsid w:val="00D2101A"/>
    <w:rsid w:val="00D210C7"/>
    <w:rsid w:val="00D222BF"/>
    <w:rsid w:val="00D238E6"/>
    <w:rsid w:val="00D251D9"/>
    <w:rsid w:val="00D26528"/>
    <w:rsid w:val="00D26ABD"/>
    <w:rsid w:val="00D27AA3"/>
    <w:rsid w:val="00D27EBF"/>
    <w:rsid w:val="00D301BC"/>
    <w:rsid w:val="00D30370"/>
    <w:rsid w:val="00D30442"/>
    <w:rsid w:val="00D30B8A"/>
    <w:rsid w:val="00D310B3"/>
    <w:rsid w:val="00D314CC"/>
    <w:rsid w:val="00D3193B"/>
    <w:rsid w:val="00D32324"/>
    <w:rsid w:val="00D32F51"/>
    <w:rsid w:val="00D33042"/>
    <w:rsid w:val="00D33932"/>
    <w:rsid w:val="00D33D1D"/>
    <w:rsid w:val="00D344F1"/>
    <w:rsid w:val="00D352B2"/>
    <w:rsid w:val="00D35337"/>
    <w:rsid w:val="00D37617"/>
    <w:rsid w:val="00D379BB"/>
    <w:rsid w:val="00D400D5"/>
    <w:rsid w:val="00D40472"/>
    <w:rsid w:val="00D40BED"/>
    <w:rsid w:val="00D418D3"/>
    <w:rsid w:val="00D41E76"/>
    <w:rsid w:val="00D41FAF"/>
    <w:rsid w:val="00D427E5"/>
    <w:rsid w:val="00D42942"/>
    <w:rsid w:val="00D44A2A"/>
    <w:rsid w:val="00D453FA"/>
    <w:rsid w:val="00D45726"/>
    <w:rsid w:val="00D45A63"/>
    <w:rsid w:val="00D46358"/>
    <w:rsid w:val="00D463D4"/>
    <w:rsid w:val="00D4674E"/>
    <w:rsid w:val="00D476C3"/>
    <w:rsid w:val="00D50E2E"/>
    <w:rsid w:val="00D515DE"/>
    <w:rsid w:val="00D51B05"/>
    <w:rsid w:val="00D523D1"/>
    <w:rsid w:val="00D52FF5"/>
    <w:rsid w:val="00D537CE"/>
    <w:rsid w:val="00D54263"/>
    <w:rsid w:val="00D5438C"/>
    <w:rsid w:val="00D547ED"/>
    <w:rsid w:val="00D54924"/>
    <w:rsid w:val="00D54C4F"/>
    <w:rsid w:val="00D553A9"/>
    <w:rsid w:val="00D557BC"/>
    <w:rsid w:val="00D559C3"/>
    <w:rsid w:val="00D60145"/>
    <w:rsid w:val="00D604D3"/>
    <w:rsid w:val="00D609A8"/>
    <w:rsid w:val="00D616C1"/>
    <w:rsid w:val="00D61CA3"/>
    <w:rsid w:val="00D62279"/>
    <w:rsid w:val="00D63F76"/>
    <w:rsid w:val="00D644CC"/>
    <w:rsid w:val="00D656DA"/>
    <w:rsid w:val="00D658DE"/>
    <w:rsid w:val="00D65E23"/>
    <w:rsid w:val="00D65E95"/>
    <w:rsid w:val="00D65F77"/>
    <w:rsid w:val="00D66199"/>
    <w:rsid w:val="00D66C54"/>
    <w:rsid w:val="00D66EE8"/>
    <w:rsid w:val="00D72F47"/>
    <w:rsid w:val="00D7316B"/>
    <w:rsid w:val="00D74F36"/>
    <w:rsid w:val="00D74F4C"/>
    <w:rsid w:val="00D759EC"/>
    <w:rsid w:val="00D76A86"/>
    <w:rsid w:val="00D77214"/>
    <w:rsid w:val="00D77401"/>
    <w:rsid w:val="00D8001D"/>
    <w:rsid w:val="00D8002B"/>
    <w:rsid w:val="00D80145"/>
    <w:rsid w:val="00D81640"/>
    <w:rsid w:val="00D81AA8"/>
    <w:rsid w:val="00D82E2F"/>
    <w:rsid w:val="00D8362A"/>
    <w:rsid w:val="00D83B42"/>
    <w:rsid w:val="00D84D30"/>
    <w:rsid w:val="00D86564"/>
    <w:rsid w:val="00D86C93"/>
    <w:rsid w:val="00D87A87"/>
    <w:rsid w:val="00D87CCC"/>
    <w:rsid w:val="00D9146E"/>
    <w:rsid w:val="00D918FE"/>
    <w:rsid w:val="00D91EDF"/>
    <w:rsid w:val="00D928A7"/>
    <w:rsid w:val="00D92A60"/>
    <w:rsid w:val="00D9388C"/>
    <w:rsid w:val="00D94509"/>
    <w:rsid w:val="00D94CDF"/>
    <w:rsid w:val="00D94F33"/>
    <w:rsid w:val="00D95565"/>
    <w:rsid w:val="00D95CD7"/>
    <w:rsid w:val="00D960C1"/>
    <w:rsid w:val="00D97531"/>
    <w:rsid w:val="00D97A1F"/>
    <w:rsid w:val="00DA0D8C"/>
    <w:rsid w:val="00DA1198"/>
    <w:rsid w:val="00DA125D"/>
    <w:rsid w:val="00DA2429"/>
    <w:rsid w:val="00DA3031"/>
    <w:rsid w:val="00DA407D"/>
    <w:rsid w:val="00DA53CD"/>
    <w:rsid w:val="00DA5543"/>
    <w:rsid w:val="00DA5582"/>
    <w:rsid w:val="00DA6163"/>
    <w:rsid w:val="00DA75D8"/>
    <w:rsid w:val="00DB0027"/>
    <w:rsid w:val="00DB01D1"/>
    <w:rsid w:val="00DB06F1"/>
    <w:rsid w:val="00DB1430"/>
    <w:rsid w:val="00DB2797"/>
    <w:rsid w:val="00DB2F10"/>
    <w:rsid w:val="00DB30D4"/>
    <w:rsid w:val="00DB452B"/>
    <w:rsid w:val="00DB46D9"/>
    <w:rsid w:val="00DB4B29"/>
    <w:rsid w:val="00DB4C35"/>
    <w:rsid w:val="00DB69DB"/>
    <w:rsid w:val="00DB7BD4"/>
    <w:rsid w:val="00DC06E7"/>
    <w:rsid w:val="00DC082F"/>
    <w:rsid w:val="00DC0C17"/>
    <w:rsid w:val="00DC0D3F"/>
    <w:rsid w:val="00DC17B9"/>
    <w:rsid w:val="00DC1897"/>
    <w:rsid w:val="00DC18E1"/>
    <w:rsid w:val="00DC192E"/>
    <w:rsid w:val="00DC202B"/>
    <w:rsid w:val="00DC2568"/>
    <w:rsid w:val="00DC291B"/>
    <w:rsid w:val="00DC2BEF"/>
    <w:rsid w:val="00DC3474"/>
    <w:rsid w:val="00DC43F2"/>
    <w:rsid w:val="00DC4A1F"/>
    <w:rsid w:val="00DC4D2C"/>
    <w:rsid w:val="00DC5197"/>
    <w:rsid w:val="00DC55C3"/>
    <w:rsid w:val="00DC600B"/>
    <w:rsid w:val="00DC66C6"/>
    <w:rsid w:val="00DC6E01"/>
    <w:rsid w:val="00DC7FE3"/>
    <w:rsid w:val="00DD07D8"/>
    <w:rsid w:val="00DD15F1"/>
    <w:rsid w:val="00DD17CE"/>
    <w:rsid w:val="00DD186A"/>
    <w:rsid w:val="00DD1DB3"/>
    <w:rsid w:val="00DD29DE"/>
    <w:rsid w:val="00DD2C92"/>
    <w:rsid w:val="00DD3E73"/>
    <w:rsid w:val="00DD4A48"/>
    <w:rsid w:val="00DD4E6F"/>
    <w:rsid w:val="00DD50E5"/>
    <w:rsid w:val="00DD541E"/>
    <w:rsid w:val="00DD54B9"/>
    <w:rsid w:val="00DD79E4"/>
    <w:rsid w:val="00DD7E85"/>
    <w:rsid w:val="00DD7EA1"/>
    <w:rsid w:val="00DE0069"/>
    <w:rsid w:val="00DE2DFF"/>
    <w:rsid w:val="00DE3465"/>
    <w:rsid w:val="00DE60DF"/>
    <w:rsid w:val="00DE6439"/>
    <w:rsid w:val="00DE6D11"/>
    <w:rsid w:val="00DE6FEA"/>
    <w:rsid w:val="00DE7CAA"/>
    <w:rsid w:val="00DF02D2"/>
    <w:rsid w:val="00DF0534"/>
    <w:rsid w:val="00DF2A5C"/>
    <w:rsid w:val="00DF333F"/>
    <w:rsid w:val="00DF52F7"/>
    <w:rsid w:val="00DF5321"/>
    <w:rsid w:val="00DF597E"/>
    <w:rsid w:val="00DF5DBC"/>
    <w:rsid w:val="00DF7250"/>
    <w:rsid w:val="00E001F3"/>
    <w:rsid w:val="00E01808"/>
    <w:rsid w:val="00E01E86"/>
    <w:rsid w:val="00E01F45"/>
    <w:rsid w:val="00E029C4"/>
    <w:rsid w:val="00E02B98"/>
    <w:rsid w:val="00E05872"/>
    <w:rsid w:val="00E05A22"/>
    <w:rsid w:val="00E07498"/>
    <w:rsid w:val="00E11842"/>
    <w:rsid w:val="00E12428"/>
    <w:rsid w:val="00E12B15"/>
    <w:rsid w:val="00E137DC"/>
    <w:rsid w:val="00E13DAE"/>
    <w:rsid w:val="00E1436F"/>
    <w:rsid w:val="00E14712"/>
    <w:rsid w:val="00E15A79"/>
    <w:rsid w:val="00E15B99"/>
    <w:rsid w:val="00E16A77"/>
    <w:rsid w:val="00E16BA3"/>
    <w:rsid w:val="00E176EF"/>
    <w:rsid w:val="00E178A8"/>
    <w:rsid w:val="00E17C1C"/>
    <w:rsid w:val="00E20209"/>
    <w:rsid w:val="00E23894"/>
    <w:rsid w:val="00E23C23"/>
    <w:rsid w:val="00E23C8F"/>
    <w:rsid w:val="00E23F77"/>
    <w:rsid w:val="00E24032"/>
    <w:rsid w:val="00E2419E"/>
    <w:rsid w:val="00E24491"/>
    <w:rsid w:val="00E24566"/>
    <w:rsid w:val="00E25037"/>
    <w:rsid w:val="00E26471"/>
    <w:rsid w:val="00E26B45"/>
    <w:rsid w:val="00E26F3A"/>
    <w:rsid w:val="00E273DE"/>
    <w:rsid w:val="00E3012F"/>
    <w:rsid w:val="00E3164D"/>
    <w:rsid w:val="00E32394"/>
    <w:rsid w:val="00E334DA"/>
    <w:rsid w:val="00E336A4"/>
    <w:rsid w:val="00E3455A"/>
    <w:rsid w:val="00E34911"/>
    <w:rsid w:val="00E34BD5"/>
    <w:rsid w:val="00E34DB6"/>
    <w:rsid w:val="00E35398"/>
    <w:rsid w:val="00E37333"/>
    <w:rsid w:val="00E40465"/>
    <w:rsid w:val="00E404A3"/>
    <w:rsid w:val="00E41DE4"/>
    <w:rsid w:val="00E41F29"/>
    <w:rsid w:val="00E42853"/>
    <w:rsid w:val="00E43CAE"/>
    <w:rsid w:val="00E44EE7"/>
    <w:rsid w:val="00E44FD4"/>
    <w:rsid w:val="00E4510F"/>
    <w:rsid w:val="00E455DE"/>
    <w:rsid w:val="00E479C2"/>
    <w:rsid w:val="00E47C5A"/>
    <w:rsid w:val="00E51AAE"/>
    <w:rsid w:val="00E51C35"/>
    <w:rsid w:val="00E5314E"/>
    <w:rsid w:val="00E536AF"/>
    <w:rsid w:val="00E53ADE"/>
    <w:rsid w:val="00E54539"/>
    <w:rsid w:val="00E5499D"/>
    <w:rsid w:val="00E5588E"/>
    <w:rsid w:val="00E56B38"/>
    <w:rsid w:val="00E56CF7"/>
    <w:rsid w:val="00E56D0A"/>
    <w:rsid w:val="00E57857"/>
    <w:rsid w:val="00E60B95"/>
    <w:rsid w:val="00E60BCA"/>
    <w:rsid w:val="00E61A0B"/>
    <w:rsid w:val="00E61C4D"/>
    <w:rsid w:val="00E623FA"/>
    <w:rsid w:val="00E639C3"/>
    <w:rsid w:val="00E65196"/>
    <w:rsid w:val="00E66538"/>
    <w:rsid w:val="00E6709C"/>
    <w:rsid w:val="00E67534"/>
    <w:rsid w:val="00E7027B"/>
    <w:rsid w:val="00E72B5A"/>
    <w:rsid w:val="00E72DB7"/>
    <w:rsid w:val="00E73113"/>
    <w:rsid w:val="00E734E6"/>
    <w:rsid w:val="00E73E6A"/>
    <w:rsid w:val="00E740ED"/>
    <w:rsid w:val="00E74FA1"/>
    <w:rsid w:val="00E762C4"/>
    <w:rsid w:val="00E77C9D"/>
    <w:rsid w:val="00E80A9E"/>
    <w:rsid w:val="00E80EF4"/>
    <w:rsid w:val="00E82686"/>
    <w:rsid w:val="00E826C1"/>
    <w:rsid w:val="00E837D2"/>
    <w:rsid w:val="00E837D9"/>
    <w:rsid w:val="00E8396C"/>
    <w:rsid w:val="00E84FFD"/>
    <w:rsid w:val="00E8767C"/>
    <w:rsid w:val="00E87A3D"/>
    <w:rsid w:val="00E87A64"/>
    <w:rsid w:val="00E87F39"/>
    <w:rsid w:val="00E90935"/>
    <w:rsid w:val="00E90D4D"/>
    <w:rsid w:val="00E90D71"/>
    <w:rsid w:val="00E90E45"/>
    <w:rsid w:val="00E90EE7"/>
    <w:rsid w:val="00E9127C"/>
    <w:rsid w:val="00E915CB"/>
    <w:rsid w:val="00E917DD"/>
    <w:rsid w:val="00E91CB9"/>
    <w:rsid w:val="00E92E22"/>
    <w:rsid w:val="00E956A4"/>
    <w:rsid w:val="00E95C00"/>
    <w:rsid w:val="00E95C46"/>
    <w:rsid w:val="00E95C54"/>
    <w:rsid w:val="00E96156"/>
    <w:rsid w:val="00E96409"/>
    <w:rsid w:val="00E96ADD"/>
    <w:rsid w:val="00E96CAC"/>
    <w:rsid w:val="00EA13B0"/>
    <w:rsid w:val="00EA179B"/>
    <w:rsid w:val="00EA1ADC"/>
    <w:rsid w:val="00EA3B86"/>
    <w:rsid w:val="00EA3DB8"/>
    <w:rsid w:val="00EA4A0C"/>
    <w:rsid w:val="00EA56A2"/>
    <w:rsid w:val="00EA5CED"/>
    <w:rsid w:val="00EA5F90"/>
    <w:rsid w:val="00EA6749"/>
    <w:rsid w:val="00EA7506"/>
    <w:rsid w:val="00EA7F4F"/>
    <w:rsid w:val="00EB00BB"/>
    <w:rsid w:val="00EB02FF"/>
    <w:rsid w:val="00EB1912"/>
    <w:rsid w:val="00EB3A6C"/>
    <w:rsid w:val="00EB3C67"/>
    <w:rsid w:val="00EB40C9"/>
    <w:rsid w:val="00EB4C8E"/>
    <w:rsid w:val="00EB5A31"/>
    <w:rsid w:val="00EB6388"/>
    <w:rsid w:val="00EB7319"/>
    <w:rsid w:val="00EB785B"/>
    <w:rsid w:val="00EC0817"/>
    <w:rsid w:val="00EC0A00"/>
    <w:rsid w:val="00EC0C22"/>
    <w:rsid w:val="00EC1E19"/>
    <w:rsid w:val="00EC1FB4"/>
    <w:rsid w:val="00EC2107"/>
    <w:rsid w:val="00EC696D"/>
    <w:rsid w:val="00EC6F7B"/>
    <w:rsid w:val="00EC73C5"/>
    <w:rsid w:val="00ED03DA"/>
    <w:rsid w:val="00ED1038"/>
    <w:rsid w:val="00ED12C0"/>
    <w:rsid w:val="00ED19D8"/>
    <w:rsid w:val="00ED1B01"/>
    <w:rsid w:val="00ED282E"/>
    <w:rsid w:val="00ED35FD"/>
    <w:rsid w:val="00ED3704"/>
    <w:rsid w:val="00ED3814"/>
    <w:rsid w:val="00ED4DC5"/>
    <w:rsid w:val="00ED5963"/>
    <w:rsid w:val="00ED63EC"/>
    <w:rsid w:val="00ED6C4C"/>
    <w:rsid w:val="00ED74C4"/>
    <w:rsid w:val="00EE04D4"/>
    <w:rsid w:val="00EE05BD"/>
    <w:rsid w:val="00EE090D"/>
    <w:rsid w:val="00EE0A09"/>
    <w:rsid w:val="00EE13DD"/>
    <w:rsid w:val="00EE1EE5"/>
    <w:rsid w:val="00EE26B6"/>
    <w:rsid w:val="00EE2B5D"/>
    <w:rsid w:val="00EE327C"/>
    <w:rsid w:val="00EE434A"/>
    <w:rsid w:val="00EE4A53"/>
    <w:rsid w:val="00EE6D43"/>
    <w:rsid w:val="00EF014C"/>
    <w:rsid w:val="00EF1CC9"/>
    <w:rsid w:val="00EF28AC"/>
    <w:rsid w:val="00EF2CE9"/>
    <w:rsid w:val="00EF2E11"/>
    <w:rsid w:val="00EF4A29"/>
    <w:rsid w:val="00EF4EC4"/>
    <w:rsid w:val="00EF54BC"/>
    <w:rsid w:val="00EF5DBC"/>
    <w:rsid w:val="00EF62EB"/>
    <w:rsid w:val="00EF6C61"/>
    <w:rsid w:val="00EF6F64"/>
    <w:rsid w:val="00EF7749"/>
    <w:rsid w:val="00EF797E"/>
    <w:rsid w:val="00EF7BF0"/>
    <w:rsid w:val="00F00125"/>
    <w:rsid w:val="00F0092F"/>
    <w:rsid w:val="00F00F89"/>
    <w:rsid w:val="00F0308D"/>
    <w:rsid w:val="00F0353B"/>
    <w:rsid w:val="00F03C0B"/>
    <w:rsid w:val="00F03DCD"/>
    <w:rsid w:val="00F047A8"/>
    <w:rsid w:val="00F0492B"/>
    <w:rsid w:val="00F05167"/>
    <w:rsid w:val="00F052FE"/>
    <w:rsid w:val="00F057D2"/>
    <w:rsid w:val="00F05B68"/>
    <w:rsid w:val="00F0664C"/>
    <w:rsid w:val="00F06BAE"/>
    <w:rsid w:val="00F074CF"/>
    <w:rsid w:val="00F10D8D"/>
    <w:rsid w:val="00F10DA9"/>
    <w:rsid w:val="00F1182D"/>
    <w:rsid w:val="00F11AEC"/>
    <w:rsid w:val="00F1224E"/>
    <w:rsid w:val="00F1275F"/>
    <w:rsid w:val="00F12E47"/>
    <w:rsid w:val="00F12F4A"/>
    <w:rsid w:val="00F13030"/>
    <w:rsid w:val="00F130CA"/>
    <w:rsid w:val="00F14B22"/>
    <w:rsid w:val="00F15414"/>
    <w:rsid w:val="00F15695"/>
    <w:rsid w:val="00F171BD"/>
    <w:rsid w:val="00F177E3"/>
    <w:rsid w:val="00F2026C"/>
    <w:rsid w:val="00F2031E"/>
    <w:rsid w:val="00F20D9D"/>
    <w:rsid w:val="00F20EA8"/>
    <w:rsid w:val="00F21903"/>
    <w:rsid w:val="00F220C1"/>
    <w:rsid w:val="00F22170"/>
    <w:rsid w:val="00F224E3"/>
    <w:rsid w:val="00F22A78"/>
    <w:rsid w:val="00F22F09"/>
    <w:rsid w:val="00F23E93"/>
    <w:rsid w:val="00F24409"/>
    <w:rsid w:val="00F244AD"/>
    <w:rsid w:val="00F2470E"/>
    <w:rsid w:val="00F25011"/>
    <w:rsid w:val="00F259AC"/>
    <w:rsid w:val="00F25A66"/>
    <w:rsid w:val="00F261AF"/>
    <w:rsid w:val="00F26887"/>
    <w:rsid w:val="00F27313"/>
    <w:rsid w:val="00F27698"/>
    <w:rsid w:val="00F31924"/>
    <w:rsid w:val="00F31C09"/>
    <w:rsid w:val="00F31DFD"/>
    <w:rsid w:val="00F32172"/>
    <w:rsid w:val="00F326B6"/>
    <w:rsid w:val="00F32867"/>
    <w:rsid w:val="00F32D8C"/>
    <w:rsid w:val="00F339DB"/>
    <w:rsid w:val="00F340E9"/>
    <w:rsid w:val="00F344CB"/>
    <w:rsid w:val="00F35F18"/>
    <w:rsid w:val="00F369E4"/>
    <w:rsid w:val="00F370C4"/>
    <w:rsid w:val="00F375EC"/>
    <w:rsid w:val="00F37750"/>
    <w:rsid w:val="00F3786C"/>
    <w:rsid w:val="00F37978"/>
    <w:rsid w:val="00F379F8"/>
    <w:rsid w:val="00F40753"/>
    <w:rsid w:val="00F40BE3"/>
    <w:rsid w:val="00F40DC8"/>
    <w:rsid w:val="00F417FD"/>
    <w:rsid w:val="00F41852"/>
    <w:rsid w:val="00F41871"/>
    <w:rsid w:val="00F41885"/>
    <w:rsid w:val="00F41F3B"/>
    <w:rsid w:val="00F420F3"/>
    <w:rsid w:val="00F425F6"/>
    <w:rsid w:val="00F43D19"/>
    <w:rsid w:val="00F447E6"/>
    <w:rsid w:val="00F45213"/>
    <w:rsid w:val="00F45955"/>
    <w:rsid w:val="00F45DEC"/>
    <w:rsid w:val="00F465DE"/>
    <w:rsid w:val="00F4673F"/>
    <w:rsid w:val="00F47769"/>
    <w:rsid w:val="00F50D20"/>
    <w:rsid w:val="00F51279"/>
    <w:rsid w:val="00F51511"/>
    <w:rsid w:val="00F516F7"/>
    <w:rsid w:val="00F51863"/>
    <w:rsid w:val="00F51F41"/>
    <w:rsid w:val="00F520DF"/>
    <w:rsid w:val="00F5234D"/>
    <w:rsid w:val="00F52C94"/>
    <w:rsid w:val="00F54772"/>
    <w:rsid w:val="00F55898"/>
    <w:rsid w:val="00F56171"/>
    <w:rsid w:val="00F579F3"/>
    <w:rsid w:val="00F57A74"/>
    <w:rsid w:val="00F57F91"/>
    <w:rsid w:val="00F6005D"/>
    <w:rsid w:val="00F60192"/>
    <w:rsid w:val="00F603FA"/>
    <w:rsid w:val="00F60717"/>
    <w:rsid w:val="00F61800"/>
    <w:rsid w:val="00F61843"/>
    <w:rsid w:val="00F618A3"/>
    <w:rsid w:val="00F61CE6"/>
    <w:rsid w:val="00F631CE"/>
    <w:rsid w:val="00F639F9"/>
    <w:rsid w:val="00F655B1"/>
    <w:rsid w:val="00F66F01"/>
    <w:rsid w:val="00F6730D"/>
    <w:rsid w:val="00F67F0A"/>
    <w:rsid w:val="00F71351"/>
    <w:rsid w:val="00F7172A"/>
    <w:rsid w:val="00F71F83"/>
    <w:rsid w:val="00F729F5"/>
    <w:rsid w:val="00F73269"/>
    <w:rsid w:val="00F735FC"/>
    <w:rsid w:val="00F73876"/>
    <w:rsid w:val="00F740A2"/>
    <w:rsid w:val="00F7430F"/>
    <w:rsid w:val="00F74838"/>
    <w:rsid w:val="00F752F8"/>
    <w:rsid w:val="00F755E8"/>
    <w:rsid w:val="00F76A10"/>
    <w:rsid w:val="00F76C9B"/>
    <w:rsid w:val="00F77328"/>
    <w:rsid w:val="00F77685"/>
    <w:rsid w:val="00F77E7A"/>
    <w:rsid w:val="00F803A7"/>
    <w:rsid w:val="00F80930"/>
    <w:rsid w:val="00F81F4F"/>
    <w:rsid w:val="00F8252C"/>
    <w:rsid w:val="00F82EC2"/>
    <w:rsid w:val="00F830C4"/>
    <w:rsid w:val="00F831CE"/>
    <w:rsid w:val="00F83BA4"/>
    <w:rsid w:val="00F84AE4"/>
    <w:rsid w:val="00F8506A"/>
    <w:rsid w:val="00F8544F"/>
    <w:rsid w:val="00F85867"/>
    <w:rsid w:val="00F85C66"/>
    <w:rsid w:val="00F861FA"/>
    <w:rsid w:val="00F86D4D"/>
    <w:rsid w:val="00F8706B"/>
    <w:rsid w:val="00F90339"/>
    <w:rsid w:val="00F93B38"/>
    <w:rsid w:val="00F93ED3"/>
    <w:rsid w:val="00F94454"/>
    <w:rsid w:val="00F961D3"/>
    <w:rsid w:val="00F973A3"/>
    <w:rsid w:val="00FA03B8"/>
    <w:rsid w:val="00FA09CD"/>
    <w:rsid w:val="00FA19AD"/>
    <w:rsid w:val="00FA34F7"/>
    <w:rsid w:val="00FA3B6F"/>
    <w:rsid w:val="00FA5342"/>
    <w:rsid w:val="00FA6EA0"/>
    <w:rsid w:val="00FA7484"/>
    <w:rsid w:val="00FA7513"/>
    <w:rsid w:val="00FA7CAE"/>
    <w:rsid w:val="00FA7FC4"/>
    <w:rsid w:val="00FB0E37"/>
    <w:rsid w:val="00FB1DA4"/>
    <w:rsid w:val="00FB382A"/>
    <w:rsid w:val="00FB3E7B"/>
    <w:rsid w:val="00FB418C"/>
    <w:rsid w:val="00FB4F9D"/>
    <w:rsid w:val="00FB4FB4"/>
    <w:rsid w:val="00FB5E53"/>
    <w:rsid w:val="00FB63A8"/>
    <w:rsid w:val="00FB6BE7"/>
    <w:rsid w:val="00FB6E88"/>
    <w:rsid w:val="00FB7476"/>
    <w:rsid w:val="00FB7C8E"/>
    <w:rsid w:val="00FB7EA7"/>
    <w:rsid w:val="00FC1180"/>
    <w:rsid w:val="00FC1ABD"/>
    <w:rsid w:val="00FC1C0C"/>
    <w:rsid w:val="00FC2D0E"/>
    <w:rsid w:val="00FC2D18"/>
    <w:rsid w:val="00FC37EB"/>
    <w:rsid w:val="00FC38E0"/>
    <w:rsid w:val="00FC4681"/>
    <w:rsid w:val="00FC5D2A"/>
    <w:rsid w:val="00FC5EC6"/>
    <w:rsid w:val="00FC62E5"/>
    <w:rsid w:val="00FC6564"/>
    <w:rsid w:val="00FC670B"/>
    <w:rsid w:val="00FC71D8"/>
    <w:rsid w:val="00FC75B4"/>
    <w:rsid w:val="00FD0E18"/>
    <w:rsid w:val="00FD1B2D"/>
    <w:rsid w:val="00FD1EF3"/>
    <w:rsid w:val="00FD20FB"/>
    <w:rsid w:val="00FD2912"/>
    <w:rsid w:val="00FD3138"/>
    <w:rsid w:val="00FD4594"/>
    <w:rsid w:val="00FD4C3E"/>
    <w:rsid w:val="00FD5280"/>
    <w:rsid w:val="00FD583F"/>
    <w:rsid w:val="00FD5988"/>
    <w:rsid w:val="00FD5C26"/>
    <w:rsid w:val="00FD5CB6"/>
    <w:rsid w:val="00FD679E"/>
    <w:rsid w:val="00FD729D"/>
    <w:rsid w:val="00FE1349"/>
    <w:rsid w:val="00FE2387"/>
    <w:rsid w:val="00FE2725"/>
    <w:rsid w:val="00FE2A89"/>
    <w:rsid w:val="00FE33BA"/>
    <w:rsid w:val="00FE3D11"/>
    <w:rsid w:val="00FE3EF5"/>
    <w:rsid w:val="00FE50AA"/>
    <w:rsid w:val="00FE583A"/>
    <w:rsid w:val="00FE5C30"/>
    <w:rsid w:val="00FE5DFE"/>
    <w:rsid w:val="00FE6BC2"/>
    <w:rsid w:val="00FE6F8C"/>
    <w:rsid w:val="00FE7430"/>
    <w:rsid w:val="00FE7A93"/>
    <w:rsid w:val="00FE7FBB"/>
    <w:rsid w:val="00FF01F6"/>
    <w:rsid w:val="00FF02AB"/>
    <w:rsid w:val="00FF1321"/>
    <w:rsid w:val="00FF1CD6"/>
    <w:rsid w:val="00FF25AD"/>
    <w:rsid w:val="00FF2AFA"/>
    <w:rsid w:val="00FF3017"/>
    <w:rsid w:val="00FF3262"/>
    <w:rsid w:val="00FF3495"/>
    <w:rsid w:val="00FF4601"/>
    <w:rsid w:val="00FF4A61"/>
    <w:rsid w:val="00FF545D"/>
    <w:rsid w:val="00FF5C1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431"/>
    <w:pPr>
      <w:spacing w:after="100" w:line="400" w:lineRule="exact"/>
      <w:jc w:val="both"/>
    </w:pPr>
    <w:rPr>
      <w:rFonts w:ascii="Century Schoolbook" w:hAnsi="Century Schoolbook"/>
      <w:sz w:val="27"/>
    </w:rPr>
  </w:style>
  <w:style w:type="paragraph" w:styleId="Heading1">
    <w:name w:val="heading 1"/>
    <w:basedOn w:val="Normal"/>
    <w:next w:val="Normal"/>
    <w:qFormat/>
    <w:rsid w:val="000B1431"/>
    <w:pPr>
      <w:keepNext/>
      <w:spacing w:before="140" w:line="240" w:lineRule="atLeast"/>
      <w:jc w:val="center"/>
      <w:outlineLvl w:val="0"/>
    </w:pPr>
    <w:rPr>
      <w:b/>
      <w:smallCaps/>
    </w:rPr>
  </w:style>
  <w:style w:type="paragraph" w:styleId="Heading2">
    <w:name w:val="heading 2"/>
    <w:basedOn w:val="Normal"/>
    <w:next w:val="Normal"/>
    <w:qFormat/>
    <w:rsid w:val="000B143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B1431"/>
    <w:pPr>
      <w:keepNext/>
      <w:tabs>
        <w:tab w:val="left" w:pos="1584"/>
      </w:tabs>
      <w:spacing w:before="140" w:line="240" w:lineRule="atLeast"/>
      <w:ind w:left="1584" w:hanging="432"/>
      <w:jc w:val="left"/>
      <w:outlineLvl w:val="2"/>
    </w:pPr>
    <w:rPr>
      <w:i/>
    </w:rPr>
  </w:style>
  <w:style w:type="paragraph" w:styleId="Heading4">
    <w:name w:val="heading 4"/>
    <w:basedOn w:val="Normal"/>
    <w:rsid w:val="000B1431"/>
    <w:pPr>
      <w:keepNext/>
      <w:tabs>
        <w:tab w:val="left" w:pos="2016"/>
      </w:tabs>
      <w:spacing w:before="140" w:line="240" w:lineRule="atLeast"/>
      <w:ind w:left="2016" w:hanging="432"/>
      <w:jc w:val="left"/>
      <w:outlineLvl w:val="3"/>
    </w:pPr>
    <w:rPr>
      <w:i/>
    </w:rPr>
  </w:style>
  <w:style w:type="paragraph" w:styleId="Heading5">
    <w:name w:val="heading 5"/>
    <w:basedOn w:val="Normal"/>
    <w:rsid w:val="000B1431"/>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0B143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0B1431"/>
    <w:rPr>
      <w:rFonts w:ascii="Century Schoolbook" w:hAnsi="Century Schoolbook"/>
      <w:b/>
      <w:i w:val="0"/>
      <w:position w:val="4"/>
      <w:sz w:val="27"/>
      <w:vertAlign w:val="superscript"/>
    </w:rPr>
  </w:style>
  <w:style w:type="paragraph" w:styleId="FootnoteText">
    <w:name w:val="footnote text"/>
    <w:basedOn w:val="Normal"/>
    <w:rsid w:val="000B1431"/>
    <w:pPr>
      <w:spacing w:line="300" w:lineRule="exact"/>
    </w:pPr>
  </w:style>
  <w:style w:type="paragraph" w:styleId="Date">
    <w:name w:val="Date"/>
    <w:basedOn w:val="Normal"/>
    <w:semiHidden/>
    <w:rsid w:val="000B1431"/>
    <w:pPr>
      <w:jc w:val="right"/>
    </w:pPr>
  </w:style>
  <w:style w:type="paragraph" w:styleId="Header">
    <w:name w:val="header"/>
    <w:basedOn w:val="Normal"/>
    <w:qFormat/>
    <w:rsid w:val="000B1431"/>
    <w:pPr>
      <w:tabs>
        <w:tab w:val="center" w:pos="3960"/>
        <w:tab w:val="right" w:pos="10080"/>
      </w:tabs>
      <w:spacing w:after="80" w:line="240" w:lineRule="auto"/>
      <w:jc w:val="center"/>
    </w:pPr>
    <w:rPr>
      <w:sz w:val="22"/>
    </w:rPr>
  </w:style>
  <w:style w:type="paragraph" w:styleId="NormalIndent">
    <w:name w:val="Normal Indent"/>
    <w:basedOn w:val="Normal"/>
    <w:semiHidden/>
    <w:rsid w:val="000B1431"/>
    <w:pPr>
      <w:ind w:left="720"/>
    </w:pPr>
  </w:style>
  <w:style w:type="character" w:styleId="PageNumber">
    <w:name w:val="page number"/>
    <w:basedOn w:val="DefaultParagraphFont"/>
    <w:rsid w:val="000B1431"/>
  </w:style>
  <w:style w:type="paragraph" w:customStyle="1" w:styleId="Recommend">
    <w:name w:val="Recommend"/>
    <w:basedOn w:val="Normal"/>
    <w:rsid w:val="000B1431"/>
  </w:style>
  <w:style w:type="paragraph" w:customStyle="1" w:styleId="subject">
    <w:name w:val="subject"/>
    <w:basedOn w:val="Normal"/>
    <w:rsid w:val="000B1431"/>
    <w:pPr>
      <w:tabs>
        <w:tab w:val="left" w:pos="1008"/>
      </w:tabs>
      <w:ind w:left="990" w:hanging="990"/>
    </w:pPr>
    <w:rPr>
      <w:b/>
    </w:rPr>
  </w:style>
  <w:style w:type="paragraph" w:customStyle="1" w:styleId="Summary">
    <w:name w:val="Summary"/>
    <w:basedOn w:val="Normal"/>
    <w:rsid w:val="000B1431"/>
    <w:pPr>
      <w:ind w:left="2160" w:hanging="2160"/>
    </w:pPr>
  </w:style>
  <w:style w:type="paragraph" w:customStyle="1" w:styleId="Text">
    <w:name w:val="Text"/>
    <w:basedOn w:val="Normal"/>
    <w:rsid w:val="000B1431"/>
    <w:pPr>
      <w:tabs>
        <w:tab w:val="left" w:pos="720"/>
        <w:tab w:val="left" w:pos="1440"/>
        <w:tab w:val="left" w:pos="2160"/>
        <w:tab w:val="center" w:pos="4320"/>
      </w:tabs>
      <w:spacing w:line="480" w:lineRule="atLeast"/>
      <w:ind w:firstLine="540"/>
    </w:pPr>
  </w:style>
  <w:style w:type="paragraph" w:customStyle="1" w:styleId="Title1">
    <w:name w:val="Title1"/>
    <w:basedOn w:val="Normal"/>
    <w:rsid w:val="000B1431"/>
    <w:pPr>
      <w:tabs>
        <w:tab w:val="left" w:pos="5760"/>
        <w:tab w:val="left" w:pos="6480"/>
      </w:tabs>
      <w:spacing w:line="240" w:lineRule="atLeast"/>
    </w:pPr>
  </w:style>
  <w:style w:type="paragraph" w:customStyle="1" w:styleId="Titles">
    <w:name w:val="Titles"/>
    <w:basedOn w:val="Normal"/>
    <w:rsid w:val="000B1431"/>
    <w:pPr>
      <w:tabs>
        <w:tab w:val="left" w:pos="2160"/>
      </w:tabs>
      <w:ind w:left="2160" w:hanging="2160"/>
    </w:pPr>
    <w:rPr>
      <w:b/>
    </w:rPr>
  </w:style>
  <w:style w:type="paragraph" w:styleId="TOAHeading">
    <w:name w:val="toa heading"/>
    <w:basedOn w:val="Normal"/>
    <w:next w:val="Normal"/>
    <w:semiHidden/>
    <w:rsid w:val="000B1431"/>
    <w:pPr>
      <w:spacing w:before="120"/>
    </w:pPr>
    <w:rPr>
      <w:b/>
    </w:rPr>
  </w:style>
  <w:style w:type="paragraph" w:styleId="TOC1">
    <w:name w:val="toc 1"/>
    <w:basedOn w:val="Normal"/>
    <w:next w:val="Normal"/>
    <w:autoRedefine/>
    <w:semiHidden/>
    <w:rsid w:val="000B1431"/>
  </w:style>
  <w:style w:type="paragraph" w:styleId="TOC2">
    <w:name w:val="toc 2"/>
    <w:basedOn w:val="Normal"/>
    <w:next w:val="Normal"/>
    <w:autoRedefine/>
    <w:semiHidden/>
    <w:rsid w:val="000B1431"/>
    <w:pPr>
      <w:ind w:left="259"/>
    </w:pPr>
  </w:style>
  <w:style w:type="paragraph" w:styleId="TOC3">
    <w:name w:val="toc 3"/>
    <w:basedOn w:val="Normal"/>
    <w:next w:val="Normal"/>
    <w:autoRedefine/>
    <w:semiHidden/>
    <w:rsid w:val="000B1431"/>
    <w:pPr>
      <w:ind w:left="520"/>
    </w:pPr>
  </w:style>
  <w:style w:type="paragraph" w:styleId="TOC4">
    <w:name w:val="toc 4"/>
    <w:basedOn w:val="Normal"/>
    <w:next w:val="Normal"/>
    <w:autoRedefine/>
    <w:semiHidden/>
    <w:rsid w:val="000B1431"/>
    <w:pPr>
      <w:ind w:left="780"/>
    </w:pPr>
  </w:style>
  <w:style w:type="paragraph" w:styleId="TOC5">
    <w:name w:val="toc 5"/>
    <w:basedOn w:val="Normal"/>
    <w:next w:val="Normal"/>
    <w:autoRedefine/>
    <w:semiHidden/>
    <w:rsid w:val="000B1431"/>
    <w:pPr>
      <w:ind w:left="1040"/>
    </w:pPr>
  </w:style>
  <w:style w:type="paragraph" w:styleId="TOC6">
    <w:name w:val="toc 6"/>
    <w:basedOn w:val="Normal"/>
    <w:next w:val="Normal"/>
    <w:autoRedefine/>
    <w:semiHidden/>
    <w:rsid w:val="000B1431"/>
    <w:pPr>
      <w:ind w:left="1300"/>
    </w:pPr>
  </w:style>
  <w:style w:type="paragraph" w:styleId="TOC7">
    <w:name w:val="toc 7"/>
    <w:basedOn w:val="Normal"/>
    <w:next w:val="Normal"/>
    <w:autoRedefine/>
    <w:semiHidden/>
    <w:rsid w:val="000B1431"/>
    <w:pPr>
      <w:ind w:left="1560"/>
    </w:pPr>
  </w:style>
  <w:style w:type="paragraph" w:styleId="TOC8">
    <w:name w:val="toc 8"/>
    <w:basedOn w:val="Normal"/>
    <w:next w:val="Normal"/>
    <w:autoRedefine/>
    <w:semiHidden/>
    <w:rsid w:val="000B1431"/>
    <w:pPr>
      <w:ind w:left="1820"/>
    </w:pPr>
  </w:style>
  <w:style w:type="paragraph" w:styleId="TOC9">
    <w:name w:val="toc 9"/>
    <w:basedOn w:val="Normal"/>
    <w:next w:val="Normal"/>
    <w:autoRedefine/>
    <w:semiHidden/>
    <w:rsid w:val="000B1431"/>
    <w:pPr>
      <w:ind w:left="2080"/>
    </w:pPr>
  </w:style>
  <w:style w:type="paragraph" w:customStyle="1" w:styleId="Contents">
    <w:name w:val="Contents"/>
    <w:basedOn w:val="Normal"/>
    <w:rsid w:val="000B1431"/>
    <w:pPr>
      <w:jc w:val="center"/>
    </w:pPr>
    <w:rPr>
      <w:b/>
      <w:spacing w:val="100"/>
    </w:rPr>
  </w:style>
  <w:style w:type="paragraph" w:styleId="ListParagraph">
    <w:name w:val="List Paragraph"/>
    <w:basedOn w:val="Normal"/>
    <w:uiPriority w:val="34"/>
    <w:qFormat/>
    <w:rsid w:val="006E0923"/>
    <w:pPr>
      <w:ind w:left="720"/>
      <w:contextualSpacing/>
    </w:pPr>
  </w:style>
  <w:style w:type="character" w:styleId="CommentReference">
    <w:name w:val="annotation reference"/>
    <w:basedOn w:val="DefaultParagraphFont"/>
    <w:uiPriority w:val="99"/>
    <w:semiHidden/>
    <w:unhideWhenUsed/>
    <w:rsid w:val="008F2CC8"/>
    <w:rPr>
      <w:sz w:val="16"/>
      <w:szCs w:val="16"/>
    </w:rPr>
  </w:style>
  <w:style w:type="paragraph" w:styleId="CommentText">
    <w:name w:val="annotation text"/>
    <w:basedOn w:val="Normal"/>
    <w:link w:val="CommentTextChar"/>
    <w:uiPriority w:val="99"/>
    <w:unhideWhenUsed/>
    <w:rsid w:val="008F2CC8"/>
    <w:rPr>
      <w:sz w:val="20"/>
    </w:rPr>
  </w:style>
  <w:style w:type="character" w:customStyle="1" w:styleId="CommentTextChar">
    <w:name w:val="Comment Text Char"/>
    <w:basedOn w:val="DefaultParagraphFont"/>
    <w:link w:val="CommentText"/>
    <w:uiPriority w:val="99"/>
    <w:rsid w:val="008F2CC8"/>
  </w:style>
  <w:style w:type="paragraph" w:styleId="CommentSubject">
    <w:name w:val="annotation subject"/>
    <w:basedOn w:val="CommentText"/>
    <w:next w:val="CommentText"/>
    <w:link w:val="CommentSubjectChar"/>
    <w:uiPriority w:val="99"/>
    <w:semiHidden/>
    <w:unhideWhenUsed/>
    <w:rsid w:val="008F2CC8"/>
    <w:rPr>
      <w:b/>
      <w:bCs/>
    </w:rPr>
  </w:style>
  <w:style w:type="character" w:customStyle="1" w:styleId="CommentSubjectChar">
    <w:name w:val="Comment Subject Char"/>
    <w:basedOn w:val="CommentTextChar"/>
    <w:link w:val="CommentSubject"/>
    <w:uiPriority w:val="99"/>
    <w:semiHidden/>
    <w:rsid w:val="008F2CC8"/>
    <w:rPr>
      <w:b/>
      <w:bCs/>
    </w:rPr>
  </w:style>
  <w:style w:type="paragraph" w:styleId="BalloonText">
    <w:name w:val="Balloon Text"/>
    <w:basedOn w:val="Normal"/>
    <w:link w:val="BalloonTextChar"/>
    <w:uiPriority w:val="99"/>
    <w:semiHidden/>
    <w:unhideWhenUsed/>
    <w:rsid w:val="006150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01B"/>
    <w:rPr>
      <w:rFonts w:ascii="Segoe UI" w:hAnsi="Segoe UI" w:cs="Segoe UI"/>
      <w:sz w:val="18"/>
      <w:szCs w:val="18"/>
    </w:rPr>
  </w:style>
  <w:style w:type="character" w:styleId="Hyperlink">
    <w:name w:val="Hyperlink"/>
    <w:basedOn w:val="DefaultParagraphFont"/>
    <w:uiPriority w:val="99"/>
    <w:unhideWhenUsed/>
    <w:rsid w:val="00E3455A"/>
    <w:rPr>
      <w:color w:val="0000FF" w:themeColor="hyperlink"/>
      <w:u w:val="single"/>
    </w:rPr>
  </w:style>
  <w:style w:type="character" w:customStyle="1" w:styleId="UnresolvedMention">
    <w:name w:val="Unresolved Mention"/>
    <w:basedOn w:val="DefaultParagraphFont"/>
    <w:uiPriority w:val="99"/>
    <w:semiHidden/>
    <w:unhideWhenUsed/>
    <w:rsid w:val="00E3455A"/>
    <w:rPr>
      <w:color w:val="605E5C"/>
      <w:shd w:val="clear" w:color="auto" w:fill="E1DFDD"/>
    </w:rPr>
  </w:style>
  <w:style w:type="character" w:styleId="FollowedHyperlink">
    <w:name w:val="FollowedHyperlink"/>
    <w:basedOn w:val="DefaultParagraphFont"/>
    <w:uiPriority w:val="99"/>
    <w:semiHidden/>
    <w:unhideWhenUsed/>
    <w:rsid w:val="00E3455A"/>
    <w:rPr>
      <w:color w:val="800080" w:themeColor="followedHyperlink"/>
      <w:u w:val="single"/>
    </w:rPr>
  </w:style>
  <w:style w:type="paragraph" w:styleId="Revision">
    <w:name w:val="Revision"/>
    <w:hidden/>
    <w:uiPriority w:val="99"/>
    <w:semiHidden/>
    <w:rsid w:val="00D26528"/>
    <w:rPr>
      <w:sz w:val="26"/>
    </w:rPr>
  </w:style>
  <w:style w:type="paragraph" w:styleId="BodyText">
    <w:name w:val="Body Text"/>
    <w:basedOn w:val="Normal"/>
    <w:link w:val="BodyTextChar"/>
    <w:qFormat/>
    <w:rsid w:val="000B1431"/>
  </w:style>
  <w:style w:type="character" w:customStyle="1" w:styleId="BodyTextChar">
    <w:name w:val="Body Text Char"/>
    <w:basedOn w:val="DefaultParagraphFont"/>
    <w:link w:val="BodyText"/>
    <w:rsid w:val="000B1431"/>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3098F-B79A-4B9B-BFCE-0AD2FFA8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2023-06-29T15:31:39Z</dcterms:created>
  <dcterms:modified xsi:type="dcterms:W3CDTF">2023-06-29T15:31:39Z</dcterms:modified>
</cp:coreProperties>
</file>