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83E61" w:rsidRPr="00DB38C0" w:rsidP="00DB38C0" w14:paraId="56674C40" w14:textId="77777777">
      <w:pPr>
        <w:tabs>
          <w:tab w:val="left" w:pos="1440"/>
        </w:tabs>
        <w:spacing w:line="400" w:lineRule="exact"/>
        <w:jc w:val="center"/>
        <w:rPr>
          <w:rFonts w:ascii="Century Schoolbook" w:hAnsi="Century Schoolbook"/>
          <w:caps/>
          <w:sz w:val="36"/>
          <w:szCs w:val="36"/>
        </w:rPr>
      </w:pPr>
      <w:bookmarkStart w:id="0" w:name="MarkDocLoc"/>
      <w:bookmarkStart w:id="1" w:name="_Hlk134688580"/>
      <w:bookmarkEnd w:id="0"/>
      <w:r w:rsidRPr="00DB38C0">
        <w:rPr>
          <w:rFonts w:ascii="Century Schoolbook" w:hAnsi="Century Schoolbook"/>
          <w:b/>
          <w:caps/>
          <w:sz w:val="36"/>
          <w:szCs w:val="36"/>
        </w:rPr>
        <w:t>IN THE SUPREME COURT OF CALIFORNIA</w:t>
      </w:r>
    </w:p>
    <w:p w:rsidR="00C83E61" w:rsidRPr="00DB38C0" w:rsidP="00DB38C0" w14:paraId="53E520A5" w14:textId="77777777">
      <w:pPr>
        <w:tabs>
          <w:tab w:val="left" w:pos="1440"/>
        </w:tabs>
        <w:spacing w:line="400" w:lineRule="exact"/>
        <w:jc w:val="center"/>
        <w:rPr>
          <w:rFonts w:ascii="Century Schoolbook" w:hAnsi="Century Schoolbook"/>
          <w:caps/>
          <w:sz w:val="27"/>
          <w:szCs w:val="27"/>
        </w:rPr>
      </w:pPr>
    </w:p>
    <w:p w:rsidR="00C83E61" w:rsidRPr="00DB38C0" w:rsidP="00DB38C0" w14:paraId="18223B47" w14:textId="77777777">
      <w:pPr>
        <w:tabs>
          <w:tab w:val="left" w:pos="1440"/>
        </w:tabs>
        <w:spacing w:line="400" w:lineRule="exact"/>
        <w:jc w:val="center"/>
        <w:rPr>
          <w:rFonts w:ascii="Century Schoolbook" w:hAnsi="Century Schoolbook"/>
          <w:caps/>
          <w:sz w:val="27"/>
          <w:szCs w:val="27"/>
        </w:rPr>
      </w:pPr>
      <w:r w:rsidRPr="00DB38C0">
        <w:rPr>
          <w:rFonts w:ascii="Century Schoolbook" w:hAnsi="Century Schoolbook"/>
          <w:caps/>
          <w:sz w:val="27"/>
          <w:szCs w:val="27"/>
        </w:rPr>
        <w:t>LAW FINANCE GROUP, LLC,</w:t>
      </w:r>
    </w:p>
    <w:p w:rsidR="00C83E61" w:rsidP="00DB38C0" w14:paraId="7448C465" w14:textId="77777777">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Plaintiff and Appellant,</w:t>
      </w:r>
    </w:p>
    <w:p w:rsidR="00C83E61" w:rsidP="00DB38C0" w14:paraId="26A339F9" w14:textId="77777777">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v.</w:t>
      </w:r>
    </w:p>
    <w:p w:rsidR="00C83E61" w:rsidRPr="00DB38C0" w:rsidP="00DB38C0" w14:paraId="5EF3D2DB" w14:textId="77777777">
      <w:pPr>
        <w:tabs>
          <w:tab w:val="left" w:pos="1440"/>
        </w:tabs>
        <w:spacing w:line="400" w:lineRule="exact"/>
        <w:jc w:val="center"/>
        <w:rPr>
          <w:rFonts w:ascii="Century Schoolbook" w:hAnsi="Century Schoolbook"/>
          <w:caps/>
          <w:sz w:val="27"/>
          <w:szCs w:val="27"/>
        </w:rPr>
      </w:pPr>
      <w:r w:rsidRPr="00DB38C0">
        <w:rPr>
          <w:rFonts w:ascii="Century Schoolbook" w:hAnsi="Century Schoolbook"/>
          <w:caps/>
          <w:sz w:val="27"/>
          <w:szCs w:val="27"/>
        </w:rPr>
        <w:t>SARAH PLOTT KEY,</w:t>
      </w:r>
    </w:p>
    <w:p w:rsidR="00C83E61" w:rsidRPr="00DB38C0" w:rsidP="00DB38C0" w14:paraId="4AED0DC0" w14:textId="77777777">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Defendant and Respondent.</w:t>
      </w:r>
    </w:p>
    <w:p w:rsidR="00C83E61" w:rsidRPr="00DB38C0" w:rsidP="00DB38C0" w14:paraId="033551B3" w14:textId="77777777">
      <w:pPr>
        <w:tabs>
          <w:tab w:val="left" w:pos="1440"/>
        </w:tabs>
        <w:spacing w:line="400" w:lineRule="exact"/>
        <w:jc w:val="center"/>
        <w:rPr>
          <w:rFonts w:ascii="Century Schoolbook" w:hAnsi="Century Schoolbook"/>
          <w:caps/>
          <w:sz w:val="27"/>
          <w:szCs w:val="27"/>
        </w:rPr>
      </w:pPr>
    </w:p>
    <w:p w:rsidR="00C83E61" w:rsidRPr="00DB38C0" w:rsidP="00DB38C0" w14:paraId="2F8BF66D" w14:textId="77777777">
      <w:pPr>
        <w:tabs>
          <w:tab w:val="left" w:pos="1440"/>
        </w:tabs>
        <w:spacing w:line="400" w:lineRule="exact"/>
        <w:jc w:val="center"/>
        <w:rPr>
          <w:rFonts w:ascii="Century Schoolbook" w:hAnsi="Century Schoolbook"/>
          <w:caps/>
          <w:sz w:val="27"/>
          <w:szCs w:val="27"/>
        </w:rPr>
      </w:pPr>
      <w:r w:rsidRPr="00DB38C0">
        <w:rPr>
          <w:rFonts w:ascii="Century Schoolbook" w:hAnsi="Century Schoolbook"/>
          <w:caps/>
          <w:sz w:val="27"/>
          <w:szCs w:val="27"/>
        </w:rPr>
        <w:t>S270798</w:t>
      </w:r>
    </w:p>
    <w:p w:rsidR="00C83E61" w:rsidRPr="00DB38C0" w:rsidP="00DB38C0" w14:paraId="2779887F" w14:textId="77777777">
      <w:pPr>
        <w:tabs>
          <w:tab w:val="left" w:pos="1440"/>
        </w:tabs>
        <w:spacing w:line="400" w:lineRule="exact"/>
        <w:jc w:val="center"/>
        <w:rPr>
          <w:rFonts w:ascii="Century Schoolbook" w:hAnsi="Century Schoolbook"/>
          <w:caps/>
          <w:sz w:val="27"/>
          <w:szCs w:val="27"/>
        </w:rPr>
      </w:pPr>
    </w:p>
    <w:p w:rsidR="00C83E61" w:rsidRPr="00DB38C0" w:rsidP="00DB38C0" w14:paraId="7C7632E5" w14:textId="77777777">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Second Appellate District, Division Two</w:t>
      </w:r>
    </w:p>
    <w:p w:rsidR="00C83E61" w:rsidRPr="00DB38C0" w:rsidP="00DB38C0" w14:paraId="5D8B7553" w14:textId="77777777">
      <w:pPr>
        <w:tabs>
          <w:tab w:val="left" w:pos="1440"/>
        </w:tabs>
        <w:spacing w:line="400" w:lineRule="exact"/>
        <w:jc w:val="center"/>
        <w:rPr>
          <w:rFonts w:ascii="Century Schoolbook" w:hAnsi="Century Schoolbook"/>
          <w:caps/>
          <w:sz w:val="27"/>
          <w:szCs w:val="27"/>
        </w:rPr>
      </w:pPr>
      <w:r w:rsidRPr="00DB38C0">
        <w:rPr>
          <w:rFonts w:ascii="Century Schoolbook" w:hAnsi="Century Schoolbook"/>
          <w:caps/>
          <w:sz w:val="27"/>
          <w:szCs w:val="27"/>
        </w:rPr>
        <w:t>B305790</w:t>
      </w:r>
    </w:p>
    <w:p w:rsidR="00C83E61" w:rsidRPr="00DB38C0" w:rsidP="00DB38C0" w14:paraId="4A20CDFD" w14:textId="77777777">
      <w:pPr>
        <w:tabs>
          <w:tab w:val="left" w:pos="1440"/>
        </w:tabs>
        <w:spacing w:line="400" w:lineRule="exact"/>
        <w:jc w:val="center"/>
        <w:rPr>
          <w:rFonts w:ascii="Century Schoolbook" w:hAnsi="Century Schoolbook"/>
          <w:caps/>
          <w:sz w:val="27"/>
          <w:szCs w:val="27"/>
        </w:rPr>
      </w:pPr>
    </w:p>
    <w:p w:rsidR="00C83E61" w:rsidRPr="00DB38C0" w:rsidP="00DB38C0" w14:paraId="678B3EC5" w14:textId="77777777">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Los Angeles County Superior Court</w:t>
      </w:r>
    </w:p>
    <w:p w:rsidR="00C83E61" w:rsidRPr="00DB38C0" w:rsidP="00DB38C0" w14:paraId="63F3FFEE" w14:textId="77777777">
      <w:pPr>
        <w:pBdr>
          <w:bottom w:val="single" w:sz="4" w:space="1" w:color="auto"/>
        </w:pBd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19STCP04251</w:t>
      </w:r>
    </w:p>
    <w:p w:rsidR="00C83E61" w:rsidRPr="00DB38C0" w:rsidP="00DB38C0" w14:paraId="22AE2AAD" w14:textId="77777777">
      <w:pPr>
        <w:pBdr>
          <w:bottom w:val="single" w:sz="4" w:space="1" w:color="auto"/>
        </w:pBdr>
        <w:tabs>
          <w:tab w:val="left" w:pos="1440"/>
        </w:tabs>
        <w:spacing w:line="400" w:lineRule="exact"/>
        <w:jc w:val="center"/>
        <w:rPr>
          <w:rFonts w:ascii="Century Schoolbook" w:hAnsi="Century Schoolbook"/>
          <w:caps/>
          <w:sz w:val="27"/>
          <w:szCs w:val="27"/>
        </w:rPr>
      </w:pPr>
    </w:p>
    <w:p w:rsidR="00C83E61" w:rsidRPr="00DB38C0" w:rsidP="00DB38C0" w14:paraId="0EA7E0D4" w14:textId="77777777">
      <w:pPr>
        <w:tabs>
          <w:tab w:val="left" w:pos="1440"/>
        </w:tabs>
        <w:spacing w:line="400" w:lineRule="exact"/>
        <w:jc w:val="center"/>
        <w:rPr>
          <w:rFonts w:ascii="Century Schoolbook" w:hAnsi="Century Schoolbook"/>
          <w:caps/>
          <w:sz w:val="27"/>
          <w:szCs w:val="27"/>
        </w:rPr>
      </w:pPr>
    </w:p>
    <w:p w:rsidR="00C83E61" w:rsidRPr="00DB38C0" w:rsidP="00F3688D" w14:paraId="5968DE69" w14:textId="77777777">
      <w:pPr>
        <w:tabs>
          <w:tab w:val="left" w:pos="1440"/>
        </w:tabs>
        <w:spacing w:line="400" w:lineRule="exact"/>
        <w:jc w:val="center"/>
        <w:rPr>
          <w:rFonts w:ascii="Century Schoolbook" w:hAnsi="Century Schoolbook"/>
          <w:sz w:val="27"/>
          <w:szCs w:val="27"/>
        </w:rPr>
      </w:pPr>
      <w:r>
        <w:rPr>
          <w:rFonts w:ascii="Century Schoolbook" w:hAnsi="Century Schoolbook"/>
          <w:color w:val="000000" w:themeColor="text1"/>
          <w:sz w:val="27"/>
          <w:szCs w:val="27"/>
        </w:rPr>
        <w:t>June 26</w:t>
      </w:r>
      <w:r w:rsidRPr="00F3688D">
        <w:rPr>
          <w:rFonts w:ascii="Century Schoolbook" w:hAnsi="Century Schoolbook"/>
          <w:color w:val="000000" w:themeColor="text1"/>
          <w:sz w:val="27"/>
          <w:szCs w:val="27"/>
        </w:rPr>
        <w:t xml:space="preserve">, </w:t>
      </w:r>
      <w:r w:rsidRPr="00DB38C0">
        <w:rPr>
          <w:rFonts w:ascii="Century Schoolbook" w:hAnsi="Century Schoolbook"/>
          <w:sz w:val="27"/>
          <w:szCs w:val="27"/>
        </w:rPr>
        <w:t>2023</w:t>
      </w:r>
    </w:p>
    <w:p w:rsidR="00C83E61" w:rsidRPr="00DB38C0" w:rsidP="00DB38C0" w14:paraId="2729413B" w14:textId="77777777">
      <w:pPr>
        <w:tabs>
          <w:tab w:val="left" w:pos="1440"/>
        </w:tabs>
        <w:spacing w:line="400" w:lineRule="exact"/>
        <w:jc w:val="center"/>
        <w:rPr>
          <w:rFonts w:ascii="Century Schoolbook" w:hAnsi="Century Schoolbook"/>
          <w:sz w:val="27"/>
          <w:szCs w:val="27"/>
        </w:rPr>
      </w:pPr>
    </w:p>
    <w:p w:rsidR="00C83E61" w:rsidRPr="00DB38C0" w:rsidP="009E6298" w14:paraId="74B83B2A" w14:textId="77777777">
      <w:pPr>
        <w:tabs>
          <w:tab w:val="left" w:pos="1440"/>
        </w:tabs>
        <w:spacing w:line="400" w:lineRule="exact"/>
        <w:rPr>
          <w:rFonts w:ascii="Century Schoolbook" w:hAnsi="Century Schoolbook"/>
          <w:sz w:val="27"/>
          <w:szCs w:val="27"/>
        </w:rPr>
      </w:pPr>
      <w:r w:rsidRPr="00DB38C0">
        <w:rPr>
          <w:rFonts w:ascii="Century Schoolbook" w:hAnsi="Century Schoolbook"/>
          <w:sz w:val="27"/>
          <w:szCs w:val="27"/>
        </w:rPr>
        <w:t xml:space="preserve">Justice Kruger authored the opinion of the Court, in which </w:t>
      </w:r>
      <w:r>
        <w:rPr>
          <w:rFonts w:ascii="Century Schoolbook" w:hAnsi="Century Schoolbook"/>
          <w:sz w:val="27"/>
          <w:szCs w:val="27"/>
        </w:rPr>
        <w:t>Chief Justice Guerrero and Justices Corrigan, Liu, Groban, Jenkins, and Evans</w:t>
      </w:r>
      <w:r w:rsidRPr="00DB38C0">
        <w:rPr>
          <w:rFonts w:ascii="Century Schoolbook" w:hAnsi="Century Schoolbook"/>
          <w:sz w:val="27"/>
          <w:szCs w:val="27"/>
        </w:rPr>
        <w:t xml:space="preserve"> concurred.</w:t>
      </w:r>
    </w:p>
    <w:p w:rsidR="00C83E61" w:rsidRPr="00DB38C0" w:rsidP="00DB38C0" w14:paraId="5AC2A614" w14:textId="77777777">
      <w:pPr>
        <w:pBdr>
          <w:bottom w:val="single" w:sz="4" w:space="1" w:color="auto"/>
        </w:pBdr>
        <w:tabs>
          <w:tab w:val="left" w:pos="1440"/>
        </w:tabs>
        <w:spacing w:line="400" w:lineRule="exact"/>
        <w:jc w:val="center"/>
        <w:rPr>
          <w:rFonts w:ascii="Century Schoolbook" w:hAnsi="Century Schoolbook"/>
          <w:sz w:val="27"/>
          <w:szCs w:val="27"/>
        </w:rPr>
      </w:pPr>
    </w:p>
    <w:p w:rsidR="00C83E61" w:rsidRPr="00DB38C0" w:rsidP="00D21CAD" w14:paraId="786A35CA" w14:textId="77777777">
      <w:pPr>
        <w:spacing w:after="240" w:afterLines="100" w:line="400" w:lineRule="exact"/>
        <w:jc w:val="both"/>
        <w:rPr>
          <w:rFonts w:ascii="Century Schoolbook" w:hAnsi="Century Schoolbook"/>
          <w:sz w:val="27"/>
          <w:szCs w:val="27"/>
        </w:rPr>
      </w:pPr>
      <w:bookmarkStart w:id="2" w:name="Return"/>
      <w:bookmarkStart w:id="3" w:name="plaintiff"/>
      <w:bookmarkStart w:id="4" w:name="defendent"/>
      <w:bookmarkStart w:id="5" w:name="supernum"/>
      <w:bookmarkStart w:id="6" w:name="mainstory"/>
      <w:bookmarkEnd w:id="2"/>
      <w:bookmarkEnd w:id="3"/>
      <w:bookmarkEnd w:id="4"/>
      <w:bookmarkEnd w:id="5"/>
      <w:bookmarkEnd w:id="6"/>
    </w:p>
    <w:p w:rsidR="00F3688D" w14:paraId="1D9E6F23" w14:textId="77777777">
      <w:pPr>
        <w:spacing w:after="100" w:line="400" w:lineRule="exact"/>
        <w:ind w:firstLine="720"/>
        <w:jc w:val="center"/>
        <w:rPr>
          <w:rFonts w:ascii="Century Schoolbook" w:hAnsi="Century Schoolbook"/>
          <w:sz w:val="27"/>
          <w:szCs w:val="27"/>
        </w:rPr>
        <w:sectPr w:rsidSect="00F3688D">
          <w:headerReference w:type="default" r:id="rId5"/>
          <w:footerReference w:type="default" r:id="rId6"/>
          <w:footerReference w:type="first" r:id="rId7"/>
          <w:pgSz w:w="12240" w:h="15840"/>
          <w:pgMar w:top="1800" w:right="2160" w:bottom="1440" w:left="2160" w:header="720" w:footer="720" w:gutter="0"/>
          <w:pgNumType w:start="0"/>
          <w:cols w:space="720"/>
          <w:titlePg/>
          <w:docGrid w:linePitch="360"/>
        </w:sectPr>
      </w:pPr>
    </w:p>
    <w:p w:rsidR="00C83E61" w:rsidRPr="00DB38C0" w:rsidP="00DB38C0" w14:paraId="621A42CB" w14:textId="77777777">
      <w:pPr>
        <w:spacing w:after="100" w:line="400" w:lineRule="exact"/>
        <w:ind w:firstLine="720"/>
        <w:jc w:val="center"/>
        <w:rPr>
          <w:rFonts w:ascii="Century Schoolbook" w:hAnsi="Century Schoolbook"/>
          <w:sz w:val="27"/>
          <w:szCs w:val="27"/>
        </w:rPr>
      </w:pPr>
      <w:r w:rsidRPr="00DB38C0">
        <w:rPr>
          <w:rFonts w:ascii="Century Schoolbook" w:hAnsi="Century Schoolbook"/>
          <w:sz w:val="27"/>
          <w:szCs w:val="27"/>
        </w:rPr>
        <w:t>LAW FINANCE GROUP, LLC v. KEY</w:t>
      </w:r>
    </w:p>
    <w:p w:rsidR="00C83E61" w:rsidRPr="00DB38C0" w:rsidP="00DB38C0" w14:paraId="24813E9D" w14:textId="77777777">
      <w:pPr>
        <w:spacing w:after="100" w:line="400" w:lineRule="exact"/>
        <w:ind w:firstLine="720"/>
        <w:jc w:val="center"/>
        <w:rPr>
          <w:rFonts w:ascii="Century Schoolbook" w:hAnsi="Century Schoolbook"/>
          <w:sz w:val="27"/>
          <w:szCs w:val="27"/>
        </w:rPr>
      </w:pPr>
      <w:r w:rsidRPr="00DB38C0">
        <w:rPr>
          <w:rFonts w:ascii="Century Schoolbook" w:hAnsi="Century Schoolbook"/>
          <w:sz w:val="27"/>
          <w:szCs w:val="27"/>
        </w:rPr>
        <w:t>S270798</w:t>
      </w:r>
    </w:p>
    <w:p w:rsidR="00C83E61" w:rsidRPr="00DB38C0" w:rsidP="00DB38C0" w14:paraId="0D4BD0D9" w14:textId="77777777">
      <w:pPr>
        <w:spacing w:after="100" w:line="400" w:lineRule="exact"/>
        <w:ind w:firstLine="720"/>
        <w:jc w:val="both"/>
        <w:rPr>
          <w:rFonts w:ascii="Century Schoolbook" w:hAnsi="Century Schoolbook"/>
          <w:sz w:val="27"/>
          <w:szCs w:val="27"/>
        </w:rPr>
      </w:pPr>
    </w:p>
    <w:p w:rsidR="00C83E61" w:rsidRPr="00DB38C0" w:rsidP="00DB38C0" w14:paraId="3097D712" w14:textId="77777777">
      <w:pPr>
        <w:spacing w:after="100" w:line="400" w:lineRule="exact"/>
        <w:ind w:firstLine="720"/>
        <w:jc w:val="center"/>
        <w:rPr>
          <w:rFonts w:ascii="Century Schoolbook" w:hAnsi="Century Schoolbook"/>
          <w:sz w:val="27"/>
          <w:szCs w:val="27"/>
        </w:rPr>
      </w:pPr>
      <w:r w:rsidRPr="00DB38C0">
        <w:rPr>
          <w:rFonts w:ascii="Century Schoolbook" w:hAnsi="Century Schoolbook"/>
          <w:sz w:val="27"/>
          <w:szCs w:val="27"/>
        </w:rPr>
        <w:t>Opinion of the Court by Kruger, J.</w:t>
      </w:r>
    </w:p>
    <w:p w:rsidR="00C83E61" w:rsidRPr="00DB38C0" w:rsidP="00DB38C0" w14:paraId="4C2296E5" w14:textId="77777777">
      <w:pPr>
        <w:spacing w:after="100" w:line="400" w:lineRule="exact"/>
        <w:ind w:firstLine="720"/>
        <w:jc w:val="both"/>
        <w:rPr>
          <w:rFonts w:ascii="Century Schoolbook" w:hAnsi="Century Schoolbook"/>
          <w:sz w:val="27"/>
          <w:szCs w:val="27"/>
        </w:rPr>
      </w:pPr>
    </w:p>
    <w:p w:rsidR="005B1E1C" w:rsidRPr="00DB38C0" w:rsidP="00DB38C0" w14:paraId="6603A25C"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Law Finance Group, LLC</w:t>
      </w:r>
      <w:r>
        <w:rPr>
          <w:rFonts w:ascii="Century Schoolbook" w:hAnsi="Century Schoolbook"/>
          <w:sz w:val="27"/>
          <w:szCs w:val="27"/>
        </w:rPr>
        <w:t>,</w:t>
      </w:r>
      <w:r w:rsidRPr="00DB38C0">
        <w:rPr>
          <w:rFonts w:ascii="Century Schoolbook" w:hAnsi="Century Schoolbook"/>
          <w:sz w:val="27"/>
          <w:szCs w:val="27"/>
        </w:rPr>
        <w:t xml:space="preserve"> prevailed in an arbitration against Sarah Plott Key and filed a petition to confirm the award.  Key filed a response seeking vacatur of the award, but she did so outside the 100-day deadline prescribed by Code of Civil Procedure section 1288.2.  The primary questions now before us are whether, as the Court of Appeal held, th</w:t>
      </w:r>
      <w:r>
        <w:rPr>
          <w:rFonts w:ascii="Century Schoolbook" w:hAnsi="Century Schoolbook"/>
          <w:sz w:val="27"/>
          <w:szCs w:val="27"/>
        </w:rPr>
        <w:t>is</w:t>
      </w:r>
      <w:r w:rsidRPr="00DB38C0">
        <w:rPr>
          <w:rFonts w:ascii="Century Schoolbook" w:hAnsi="Century Schoolbook"/>
          <w:sz w:val="27"/>
          <w:szCs w:val="27"/>
        </w:rPr>
        <w:t xml:space="preserve"> 100-day deadline is jurisdictional and, if not, whether the deadline is subject to </w:t>
      </w:r>
      <w:r>
        <w:rPr>
          <w:rFonts w:ascii="Century Schoolbook" w:hAnsi="Century Schoolbook"/>
          <w:sz w:val="27"/>
          <w:szCs w:val="27"/>
        </w:rPr>
        <w:t xml:space="preserve">the </w:t>
      </w:r>
      <w:r w:rsidRPr="00DB38C0">
        <w:rPr>
          <w:rFonts w:ascii="Century Schoolbook" w:hAnsi="Century Schoolbook"/>
          <w:sz w:val="27"/>
          <w:szCs w:val="27"/>
        </w:rPr>
        <w:t xml:space="preserve">equitable </w:t>
      </w:r>
      <w:r>
        <w:rPr>
          <w:rFonts w:ascii="Century Schoolbook" w:hAnsi="Century Schoolbook"/>
          <w:sz w:val="27"/>
          <w:szCs w:val="27"/>
        </w:rPr>
        <w:t xml:space="preserve">doctrines of </w:t>
      </w:r>
      <w:r w:rsidRPr="00DB38C0">
        <w:rPr>
          <w:rFonts w:ascii="Century Schoolbook" w:hAnsi="Century Schoolbook"/>
          <w:sz w:val="27"/>
          <w:szCs w:val="27"/>
        </w:rPr>
        <w:t xml:space="preserve">tolling and estoppel.  We hold that the </w:t>
      </w:r>
      <w:r>
        <w:rPr>
          <w:rFonts w:ascii="Century Schoolbook" w:hAnsi="Century Schoolbook"/>
          <w:sz w:val="27"/>
          <w:szCs w:val="27"/>
        </w:rPr>
        <w:t xml:space="preserve">section 1288.2 </w:t>
      </w:r>
      <w:r w:rsidRPr="00DB38C0">
        <w:rPr>
          <w:rFonts w:ascii="Century Schoolbook" w:hAnsi="Century Schoolbook"/>
          <w:sz w:val="27"/>
          <w:szCs w:val="27"/>
        </w:rPr>
        <w:t xml:space="preserve">deadline neither is jurisdictional nor otherwise precludes </w:t>
      </w:r>
      <w:r>
        <w:rPr>
          <w:rFonts w:ascii="Century Schoolbook" w:hAnsi="Century Schoolbook"/>
          <w:sz w:val="27"/>
          <w:szCs w:val="27"/>
        </w:rPr>
        <w:t xml:space="preserve">equitable </w:t>
      </w:r>
      <w:r w:rsidRPr="00DB38C0">
        <w:rPr>
          <w:rFonts w:ascii="Century Schoolbook" w:hAnsi="Century Schoolbook"/>
          <w:sz w:val="27"/>
          <w:szCs w:val="27"/>
        </w:rPr>
        <w:t>tolling or estoppel</w:t>
      </w:r>
      <w:r>
        <w:rPr>
          <w:rFonts w:ascii="Century Schoolbook" w:hAnsi="Century Schoolbook"/>
          <w:sz w:val="27"/>
          <w:szCs w:val="27"/>
        </w:rPr>
        <w:t>.</w:t>
      </w:r>
      <w:r w:rsidRPr="00DB38C0">
        <w:rPr>
          <w:rFonts w:ascii="Century Schoolbook" w:hAnsi="Century Schoolbook"/>
          <w:sz w:val="27"/>
          <w:szCs w:val="27"/>
        </w:rPr>
        <w:t xml:space="preserve"> </w:t>
      </w:r>
      <w:r>
        <w:rPr>
          <w:rFonts w:ascii="Century Schoolbook" w:hAnsi="Century Schoolbook"/>
          <w:sz w:val="27"/>
          <w:szCs w:val="27"/>
        </w:rPr>
        <w:t xml:space="preserve"> We </w:t>
      </w:r>
      <w:r w:rsidRPr="00DB38C0">
        <w:rPr>
          <w:rFonts w:ascii="Century Schoolbook" w:hAnsi="Century Schoolbook"/>
          <w:sz w:val="27"/>
          <w:szCs w:val="27"/>
        </w:rPr>
        <w:t>remand for the Court of Appeal to determine in the first instance whether Key is entitled to equitable relief</w:t>
      </w:r>
      <w:r>
        <w:rPr>
          <w:rFonts w:ascii="Century Schoolbook" w:hAnsi="Century Schoolbook"/>
          <w:sz w:val="27"/>
          <w:szCs w:val="27"/>
        </w:rPr>
        <w:t xml:space="preserve"> from the deadline</w:t>
      </w:r>
      <w:r w:rsidRPr="00DB38C0">
        <w:rPr>
          <w:rFonts w:ascii="Century Schoolbook" w:hAnsi="Century Schoolbook"/>
          <w:sz w:val="27"/>
          <w:szCs w:val="27"/>
        </w:rPr>
        <w:t>.</w:t>
      </w:r>
    </w:p>
    <w:p w:rsidR="000E2E95" w:rsidRPr="00DB38C0" w:rsidP="00DB38C0" w14:paraId="34789517" w14:textId="77777777">
      <w:pPr>
        <w:spacing w:after="100" w:line="400" w:lineRule="exact"/>
        <w:jc w:val="center"/>
        <w:rPr>
          <w:rFonts w:ascii="Century Schoolbook" w:hAnsi="Century Schoolbook"/>
          <w:b/>
          <w:bCs/>
          <w:sz w:val="27"/>
          <w:szCs w:val="27"/>
        </w:rPr>
      </w:pPr>
      <w:r w:rsidRPr="00DB38C0">
        <w:rPr>
          <w:rFonts w:ascii="Century Schoolbook" w:hAnsi="Century Schoolbook"/>
          <w:b/>
          <w:bCs/>
          <w:sz w:val="27"/>
          <w:szCs w:val="27"/>
        </w:rPr>
        <w:t>I.</w:t>
      </w:r>
    </w:p>
    <w:p w:rsidR="00FB1854" w:rsidRPr="00DB38C0" w:rsidP="00DB38C0" w14:paraId="10FC5BE4"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 xml:space="preserve">The question in this case arises from a dispute within a dispute.  After her parents’ death, Sarah Plott Key became embroiled in a disagreement with her sister, Elizabeth Plott Tyler, over the disposition of the Plott Family Trust (the Trust).  Under the terms of the Trust, Key’s parents had provided equally for their three daughters, so that each would inherit a one-third interest in </w:t>
      </w:r>
      <w:r>
        <w:rPr>
          <w:rFonts w:ascii="Century Schoolbook" w:hAnsi="Century Schoolbook"/>
          <w:sz w:val="27"/>
          <w:szCs w:val="27"/>
        </w:rPr>
        <w:t>the</w:t>
      </w:r>
      <w:r w:rsidRPr="00DB38C0">
        <w:rPr>
          <w:rFonts w:ascii="Century Schoolbook" w:hAnsi="Century Schoolbook"/>
          <w:sz w:val="27"/>
          <w:szCs w:val="27"/>
        </w:rPr>
        <w:t xml:space="preserve"> parents’ estate.  </w:t>
      </w:r>
      <w:r>
        <w:rPr>
          <w:rFonts w:ascii="Century Schoolbook" w:hAnsi="Century Schoolbook"/>
          <w:sz w:val="27"/>
          <w:szCs w:val="27"/>
        </w:rPr>
        <w:t>W</w:t>
      </w:r>
      <w:r w:rsidRPr="00DB38C0">
        <w:rPr>
          <w:rFonts w:ascii="Century Schoolbook" w:hAnsi="Century Schoolbook"/>
          <w:sz w:val="27"/>
          <w:szCs w:val="27"/>
        </w:rPr>
        <w:t xml:space="preserve">hen </w:t>
      </w:r>
      <w:r>
        <w:rPr>
          <w:rFonts w:ascii="Century Schoolbook" w:hAnsi="Century Schoolbook"/>
          <w:sz w:val="27"/>
          <w:szCs w:val="27"/>
        </w:rPr>
        <w:t>her</w:t>
      </w:r>
      <w:r w:rsidRPr="00DB38C0">
        <w:rPr>
          <w:rFonts w:ascii="Century Schoolbook" w:hAnsi="Century Schoolbook"/>
          <w:sz w:val="27"/>
          <w:szCs w:val="27"/>
        </w:rPr>
        <w:t xml:space="preserve"> mother died, Key expected to receive her one-third share.  She soon learned, however, that several years before, </w:t>
      </w:r>
      <w:r>
        <w:rPr>
          <w:rFonts w:ascii="Century Schoolbook" w:hAnsi="Century Schoolbook"/>
          <w:sz w:val="27"/>
          <w:szCs w:val="27"/>
        </w:rPr>
        <w:t>her</w:t>
      </w:r>
      <w:r w:rsidRPr="00DB38C0">
        <w:rPr>
          <w:rFonts w:ascii="Century Schoolbook" w:hAnsi="Century Schoolbook"/>
          <w:sz w:val="27"/>
          <w:szCs w:val="27"/>
        </w:rPr>
        <w:t xml:space="preserve"> mother had executed an amendment to the Trust that effectively disinherited Key of millions of dollars.  Believing the disinheritance was her sister’s handiwork, Key filed a probate action against Tyle</w:t>
      </w:r>
      <w:r>
        <w:rPr>
          <w:rFonts w:ascii="Century Schoolbook" w:hAnsi="Century Schoolbook"/>
          <w:sz w:val="27"/>
          <w:szCs w:val="27"/>
        </w:rPr>
        <w:t xml:space="preserve">r, alleging that Tyler </w:t>
      </w:r>
      <w:r w:rsidRPr="00DB38C0">
        <w:rPr>
          <w:rFonts w:ascii="Century Schoolbook" w:hAnsi="Century Schoolbook"/>
          <w:sz w:val="27"/>
          <w:szCs w:val="27"/>
        </w:rPr>
        <w:t xml:space="preserve">had procured the </w:t>
      </w:r>
      <w:r>
        <w:rPr>
          <w:rFonts w:ascii="Century Schoolbook" w:hAnsi="Century Schoolbook"/>
          <w:sz w:val="27"/>
          <w:szCs w:val="27"/>
        </w:rPr>
        <w:t>T</w:t>
      </w:r>
      <w:r w:rsidRPr="00DB38C0">
        <w:rPr>
          <w:rFonts w:ascii="Century Schoolbook" w:hAnsi="Century Schoolbook"/>
          <w:sz w:val="27"/>
          <w:szCs w:val="27"/>
        </w:rPr>
        <w:t xml:space="preserve">rust amendment through undue influence over their mother.  </w:t>
      </w:r>
    </w:p>
    <w:p w:rsidR="00930E85" w:rsidRPr="00DB38C0" w:rsidP="00DB38C0" w14:paraId="3C5DE6B6"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Key soon encountered difficulties in litigating the probate action.  On the eve of trial, Key had run out of money to pay her litigation expenses</w:t>
      </w:r>
      <w:r>
        <w:rPr>
          <w:rFonts w:ascii="Century Schoolbook" w:hAnsi="Century Schoolbook"/>
          <w:sz w:val="27"/>
          <w:szCs w:val="27"/>
        </w:rPr>
        <w:t>,</w:t>
      </w:r>
      <w:r w:rsidRPr="00DB38C0">
        <w:rPr>
          <w:rFonts w:ascii="Century Schoolbook" w:hAnsi="Century Schoolbook"/>
          <w:sz w:val="27"/>
          <w:szCs w:val="27"/>
        </w:rPr>
        <w:t xml:space="preserve"> and her attorneys threatened to withdraw from the case.  To continue financing </w:t>
      </w:r>
      <w:r>
        <w:rPr>
          <w:rFonts w:ascii="Century Schoolbook" w:hAnsi="Century Schoolbook"/>
          <w:sz w:val="27"/>
          <w:szCs w:val="27"/>
        </w:rPr>
        <w:t>the litigation</w:t>
      </w:r>
      <w:r w:rsidRPr="00DB38C0">
        <w:rPr>
          <w:rFonts w:ascii="Century Schoolbook" w:hAnsi="Century Schoolbook"/>
          <w:sz w:val="27"/>
          <w:szCs w:val="27"/>
        </w:rPr>
        <w:t xml:space="preserve">, Key turned to Law Finance Group, LLC (which, for simplicity’s sake, we will refer to as Lender), a California-licensed finance lender.  The business relationship between Key and Lender would soon </w:t>
      </w:r>
      <w:r>
        <w:rPr>
          <w:rFonts w:ascii="Century Schoolbook" w:hAnsi="Century Schoolbook"/>
          <w:sz w:val="27"/>
          <w:szCs w:val="27"/>
        </w:rPr>
        <w:t>result in</w:t>
      </w:r>
      <w:r w:rsidRPr="00DB38C0">
        <w:rPr>
          <w:rFonts w:ascii="Century Schoolbook" w:hAnsi="Century Schoolbook"/>
          <w:sz w:val="27"/>
          <w:szCs w:val="27"/>
        </w:rPr>
        <w:t xml:space="preserve"> a second dispute, which </w:t>
      </w:r>
      <w:r>
        <w:rPr>
          <w:rFonts w:ascii="Century Schoolbook" w:hAnsi="Century Schoolbook"/>
          <w:sz w:val="27"/>
          <w:szCs w:val="27"/>
        </w:rPr>
        <w:t>gives rise</w:t>
      </w:r>
      <w:r w:rsidRPr="00DB38C0">
        <w:rPr>
          <w:rFonts w:ascii="Century Schoolbook" w:hAnsi="Century Schoolbook"/>
          <w:sz w:val="27"/>
          <w:szCs w:val="27"/>
        </w:rPr>
        <w:t xml:space="preserve"> </w:t>
      </w:r>
      <w:r>
        <w:rPr>
          <w:rFonts w:ascii="Century Schoolbook" w:hAnsi="Century Schoolbook"/>
          <w:sz w:val="27"/>
          <w:szCs w:val="27"/>
        </w:rPr>
        <w:t xml:space="preserve">to </w:t>
      </w:r>
      <w:r w:rsidRPr="00DB38C0">
        <w:rPr>
          <w:rFonts w:ascii="Century Schoolbook" w:hAnsi="Century Schoolbook"/>
          <w:sz w:val="27"/>
          <w:szCs w:val="27"/>
        </w:rPr>
        <w:t>the issues now before us.</w:t>
      </w:r>
    </w:p>
    <w:p w:rsidR="00A47CCF" w:rsidRPr="00DB38C0" w:rsidP="00DB38C0" w14:paraId="7968A663"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Key and Lender entered a contract (</w:t>
      </w:r>
      <w:r>
        <w:rPr>
          <w:rFonts w:ascii="Century Schoolbook" w:hAnsi="Century Schoolbook"/>
          <w:sz w:val="27"/>
          <w:szCs w:val="27"/>
        </w:rPr>
        <w:t xml:space="preserve">the </w:t>
      </w:r>
      <w:r w:rsidRPr="00DB38C0">
        <w:rPr>
          <w:rFonts w:ascii="Century Schoolbook" w:hAnsi="Century Schoolbook"/>
          <w:sz w:val="27"/>
          <w:szCs w:val="27"/>
        </w:rPr>
        <w:t>Agreement) under which Lender agreed to loan Key up to $3 million to pay her attorneys’ fees, and Key ultimately borrowed $2.4 million for that purpose.  Lender charged interest at a rate of 1.53</w:t>
      </w:r>
      <w:r>
        <w:rPr>
          <w:rFonts w:ascii="Century Schoolbook" w:hAnsi="Century Schoolbook"/>
          <w:sz w:val="27"/>
          <w:szCs w:val="27"/>
        </w:rPr>
        <w:t xml:space="preserve"> percent</w:t>
      </w:r>
      <w:r w:rsidRPr="00DB38C0">
        <w:rPr>
          <w:rFonts w:ascii="Century Schoolbook" w:hAnsi="Century Schoolbook"/>
          <w:sz w:val="27"/>
          <w:szCs w:val="27"/>
        </w:rPr>
        <w:t xml:space="preserve"> per month, compounded monthly, with additional compound interest of 0.5</w:t>
      </w:r>
      <w:r>
        <w:rPr>
          <w:rFonts w:ascii="Century Schoolbook" w:hAnsi="Century Schoolbook"/>
          <w:sz w:val="27"/>
          <w:szCs w:val="27"/>
        </w:rPr>
        <w:t> percent</w:t>
      </w:r>
      <w:r w:rsidRPr="00DB38C0">
        <w:rPr>
          <w:rFonts w:ascii="Century Schoolbook" w:hAnsi="Century Schoolbook"/>
          <w:sz w:val="27"/>
          <w:szCs w:val="27"/>
        </w:rPr>
        <w:t xml:space="preserve"> accruing monthly in the event of default.  The Agreement also charged a due</w:t>
      </w:r>
      <w:r>
        <w:rPr>
          <w:rFonts w:ascii="Century Schoolbook" w:hAnsi="Century Schoolbook"/>
          <w:sz w:val="27"/>
          <w:szCs w:val="27"/>
        </w:rPr>
        <w:t xml:space="preserve"> </w:t>
      </w:r>
      <w:r w:rsidRPr="00DB38C0">
        <w:rPr>
          <w:rFonts w:ascii="Century Schoolbook" w:hAnsi="Century Schoolbook"/>
          <w:sz w:val="27"/>
          <w:szCs w:val="27"/>
        </w:rPr>
        <w:t>diligence fee of up to $10,000, an origination fee of $60,000, and a monthly loan-servicing fee of 0.25</w:t>
      </w:r>
      <w:r>
        <w:rPr>
          <w:rFonts w:ascii="Century Schoolbook" w:hAnsi="Century Schoolbook"/>
          <w:sz w:val="27"/>
          <w:szCs w:val="27"/>
        </w:rPr>
        <w:t xml:space="preserve"> percent</w:t>
      </w:r>
      <w:r w:rsidRPr="00DB38C0">
        <w:rPr>
          <w:rFonts w:ascii="Century Schoolbook" w:hAnsi="Century Schoolbook"/>
          <w:sz w:val="27"/>
          <w:szCs w:val="27"/>
        </w:rPr>
        <w:t xml:space="preserve"> of the outstanding loan principal.  The loan was nonrecourse, meaning that Key’s potential liability under the loan was limited to her interest in the Trust and that Lender would not have recourse to her other assets for repayment.  The Agreement also included an arbitration provision.</w:t>
      </w:r>
    </w:p>
    <w:p w:rsidR="000E1CF3" w:rsidRPr="00DB38C0" w:rsidP="00DB38C0" w14:paraId="3EC40EBD"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Key ultimately prevailed in the probate action against Tyler, winning entitlement to one-third of her parents’ estate, equivalent to about $20 million.  Upon the successful completion of the litigation, Key repaid Lender the $2.4 million loan principal.  But she refused to pay any of the interest or fees, claiming they were unlawful under the California Financing Law (Fin.</w:t>
      </w:r>
      <w:r>
        <w:rPr>
          <w:rFonts w:ascii="Century Schoolbook" w:hAnsi="Century Schoolbook"/>
          <w:sz w:val="27"/>
          <w:szCs w:val="27"/>
        </w:rPr>
        <w:t xml:space="preserve"> </w:t>
      </w:r>
      <w:r w:rsidRPr="00DB38C0">
        <w:rPr>
          <w:rFonts w:ascii="Century Schoolbook" w:hAnsi="Century Schoolbook"/>
          <w:sz w:val="27"/>
          <w:szCs w:val="27"/>
        </w:rPr>
        <w:t>Code, § 22000 et seq.), which</w:t>
      </w:r>
      <w:r>
        <w:rPr>
          <w:rFonts w:ascii="Century Schoolbook" w:hAnsi="Century Schoolbook"/>
          <w:sz w:val="27"/>
          <w:szCs w:val="27"/>
        </w:rPr>
        <w:t xml:space="preserve"> restricts the interest and fees that can be charged on consumer loans </w:t>
      </w:r>
      <w:r w:rsidRPr="002E4BAA">
        <w:rPr>
          <w:rFonts w:ascii="Century Schoolbook" w:hAnsi="Century Schoolbook"/>
          <w:sz w:val="27"/>
          <w:szCs w:val="27"/>
        </w:rPr>
        <w:t xml:space="preserve">(see </w:t>
      </w:r>
      <w:r w:rsidRPr="002E4BAA">
        <w:rPr>
          <w:rFonts w:ascii="Century Schoolbook" w:hAnsi="Century Schoolbook"/>
          <w:i/>
          <w:iCs/>
          <w:sz w:val="27"/>
          <w:szCs w:val="27"/>
        </w:rPr>
        <w:t>id.</w:t>
      </w:r>
      <w:r w:rsidRPr="002E4BAA">
        <w:rPr>
          <w:rFonts w:ascii="Century Schoolbook" w:hAnsi="Century Schoolbook"/>
          <w:sz w:val="27"/>
          <w:szCs w:val="27"/>
        </w:rPr>
        <w:t>, §</w:t>
      </w:r>
      <w:r>
        <w:rPr>
          <w:rFonts w:ascii="Century Schoolbook" w:hAnsi="Century Schoolbook"/>
          <w:sz w:val="27"/>
          <w:szCs w:val="27"/>
        </w:rPr>
        <w:t xml:space="preserve">§ 22306 [forbidding charges not allowed by statute], </w:t>
      </w:r>
      <w:r w:rsidRPr="002E4BAA">
        <w:rPr>
          <w:rFonts w:ascii="Century Schoolbook" w:hAnsi="Century Schoolbook"/>
          <w:sz w:val="27"/>
          <w:szCs w:val="27"/>
        </w:rPr>
        <w:t>22309</w:t>
      </w:r>
      <w:r>
        <w:rPr>
          <w:rFonts w:ascii="Century Schoolbook" w:hAnsi="Century Schoolbook"/>
          <w:sz w:val="27"/>
          <w:szCs w:val="27"/>
        </w:rPr>
        <w:t xml:space="preserve"> [forbidding compound interest]; see also </w:t>
      </w:r>
      <w:r>
        <w:rPr>
          <w:rFonts w:ascii="Century Schoolbook" w:hAnsi="Century Schoolbook"/>
          <w:i/>
          <w:iCs/>
          <w:sz w:val="27"/>
          <w:szCs w:val="27"/>
        </w:rPr>
        <w:t>id.</w:t>
      </w:r>
      <w:r>
        <w:rPr>
          <w:rFonts w:ascii="Century Schoolbook" w:hAnsi="Century Schoolbook"/>
          <w:sz w:val="27"/>
          <w:szCs w:val="27"/>
        </w:rPr>
        <w:t>, § 22001, subd. (b) [making these provisions applicable to consumer loans]</w:t>
      </w:r>
      <w:r w:rsidRPr="00DB38C0">
        <w:rPr>
          <w:rFonts w:ascii="Century Schoolbook" w:hAnsi="Century Schoolbook"/>
          <w:sz w:val="27"/>
          <w:szCs w:val="27"/>
        </w:rPr>
        <w:t>).</w:t>
      </w:r>
    </w:p>
    <w:p w:rsidR="00862268" w:rsidRPr="001530CB" w:rsidP="00DB38C0" w14:paraId="02763C5C" w14:textId="77777777">
      <w:pPr>
        <w:spacing w:after="100" w:line="400" w:lineRule="exact"/>
        <w:ind w:firstLine="720"/>
        <w:jc w:val="both"/>
        <w:rPr>
          <w:rFonts w:ascii="Century Schoolbook" w:hAnsi="Century Schoolbook"/>
          <w:sz w:val="27"/>
          <w:szCs w:val="27"/>
        </w:rPr>
      </w:pPr>
      <w:r w:rsidRPr="00DB38C0">
        <w:rPr>
          <w:rFonts w:ascii="Century Schoolbook" w:hAnsi="Century Schoolbook"/>
          <w:sz w:val="27"/>
          <w:szCs w:val="27"/>
        </w:rPr>
        <w:t xml:space="preserve">Lender submitted the dispute to arbitration, seeking about $3.5 million in unpaid compound interest and </w:t>
      </w:r>
      <w:r>
        <w:rPr>
          <w:rFonts w:ascii="Century Schoolbook" w:hAnsi="Century Schoolbook"/>
          <w:sz w:val="27"/>
          <w:szCs w:val="27"/>
        </w:rPr>
        <w:t>fees</w:t>
      </w:r>
      <w:r w:rsidRPr="00DB38C0">
        <w:rPr>
          <w:rFonts w:ascii="Century Schoolbook" w:hAnsi="Century Schoolbook"/>
          <w:sz w:val="27"/>
          <w:szCs w:val="27"/>
        </w:rPr>
        <w:t xml:space="preserve">.  The arbitration panel concluded that the Agreement was generally enforceable but that the interest and fee provisions violated the </w:t>
      </w:r>
      <w:r>
        <w:rPr>
          <w:rFonts w:ascii="Century Schoolbook" w:hAnsi="Century Schoolbook"/>
          <w:sz w:val="27"/>
          <w:szCs w:val="27"/>
        </w:rPr>
        <w:t xml:space="preserve">California </w:t>
      </w:r>
      <w:r w:rsidRPr="00DB38C0">
        <w:rPr>
          <w:rFonts w:ascii="Century Schoolbook" w:hAnsi="Century Schoolbook"/>
          <w:sz w:val="27"/>
          <w:szCs w:val="27"/>
        </w:rPr>
        <w:t xml:space="preserve">Financing Law.  </w:t>
      </w:r>
      <w:r>
        <w:rPr>
          <w:rFonts w:ascii="Century Schoolbook" w:hAnsi="Century Schoolbook"/>
          <w:sz w:val="27"/>
          <w:szCs w:val="27"/>
        </w:rPr>
        <w:t>T</w:t>
      </w:r>
      <w:r w:rsidRPr="002E4BAA">
        <w:rPr>
          <w:rFonts w:ascii="Century Schoolbook" w:hAnsi="Century Schoolbook"/>
          <w:sz w:val="27"/>
          <w:szCs w:val="27"/>
        </w:rPr>
        <w:t xml:space="preserve">he panel agreed with Key that because the loan was meant to finance a dispute about her parental inheritance, the loan should be classified </w:t>
      </w:r>
      <w:r>
        <w:rPr>
          <w:rFonts w:ascii="Century Schoolbook" w:hAnsi="Century Schoolbook"/>
          <w:sz w:val="27"/>
          <w:szCs w:val="27"/>
        </w:rPr>
        <w:t xml:space="preserve">not as a “commercial loan” but </w:t>
      </w:r>
      <w:r w:rsidRPr="002E4BAA">
        <w:rPr>
          <w:rFonts w:ascii="Century Schoolbook" w:hAnsi="Century Schoolbook"/>
          <w:sz w:val="27"/>
          <w:szCs w:val="27"/>
        </w:rPr>
        <w:t xml:space="preserve">as a “consumer loan” — </w:t>
      </w:r>
      <w:r>
        <w:rPr>
          <w:rFonts w:ascii="Century Schoolbook" w:hAnsi="Century Schoolbook"/>
          <w:sz w:val="27"/>
          <w:szCs w:val="27"/>
        </w:rPr>
        <w:t xml:space="preserve">that is, </w:t>
      </w:r>
      <w:r w:rsidRPr="002E4BAA">
        <w:rPr>
          <w:rFonts w:ascii="Century Schoolbook" w:hAnsi="Century Schoolbook"/>
          <w:sz w:val="27"/>
          <w:szCs w:val="27"/>
        </w:rPr>
        <w:t xml:space="preserve">a loan </w:t>
      </w:r>
      <w:r>
        <w:rPr>
          <w:rFonts w:ascii="Century Schoolbook" w:hAnsi="Century Schoolbook"/>
          <w:sz w:val="27"/>
          <w:szCs w:val="27"/>
        </w:rPr>
        <w:t>“</w:t>
      </w:r>
      <w:r w:rsidRPr="002E4BAA">
        <w:rPr>
          <w:rFonts w:ascii="Century Schoolbook" w:hAnsi="Century Schoolbook"/>
          <w:sz w:val="27"/>
          <w:szCs w:val="27"/>
        </w:rPr>
        <w:t>the proceeds of which are intended by the borrower for use primarily for personal, family, or household purposes</w:t>
      </w:r>
      <w:r w:rsidRPr="001530CB">
        <w:rPr>
          <w:rFonts w:ascii="Century Schoolbook" w:hAnsi="Century Schoolbook"/>
          <w:sz w:val="27"/>
          <w:szCs w:val="27"/>
        </w:rPr>
        <w:t>” (Fin. Code, § 22203) </w:t>
      </w:r>
      <w:r>
        <w:rPr>
          <w:rFonts w:ascii="Century Schoolbook" w:hAnsi="Century Schoolbook"/>
          <w:sz w:val="27"/>
          <w:szCs w:val="27"/>
        </w:rPr>
        <w:t>— and that as such, the loan was subject to the statute’s restrictions on compound interest and certain other fees</w:t>
      </w:r>
      <w:r w:rsidRPr="001530CB">
        <w:rPr>
          <w:rFonts w:ascii="Century Schoolbook" w:hAnsi="Century Schoolbook"/>
          <w:sz w:val="27"/>
          <w:szCs w:val="27"/>
        </w:rPr>
        <w:t xml:space="preserve">.  </w:t>
      </w:r>
      <w:r>
        <w:rPr>
          <w:rFonts w:ascii="Century Schoolbook" w:hAnsi="Century Schoolbook"/>
          <w:sz w:val="27"/>
          <w:szCs w:val="27"/>
        </w:rPr>
        <w:t>In so concluding, t</w:t>
      </w:r>
      <w:r w:rsidRPr="001530CB">
        <w:rPr>
          <w:rFonts w:ascii="Century Schoolbook" w:hAnsi="Century Schoolbook"/>
          <w:sz w:val="27"/>
          <w:szCs w:val="27"/>
        </w:rPr>
        <w:t>he panel reject</w:t>
      </w:r>
      <w:r>
        <w:rPr>
          <w:rFonts w:ascii="Century Schoolbook" w:hAnsi="Century Schoolbook"/>
          <w:sz w:val="27"/>
          <w:szCs w:val="27"/>
        </w:rPr>
        <w:t>ed</w:t>
      </w:r>
      <w:r w:rsidRPr="001530CB">
        <w:rPr>
          <w:rFonts w:ascii="Century Schoolbook" w:hAnsi="Century Schoolbook"/>
          <w:sz w:val="27"/>
          <w:szCs w:val="27"/>
        </w:rPr>
        <w:t xml:space="preserve"> Lender’s argument that the </w:t>
      </w:r>
      <w:r>
        <w:rPr>
          <w:rFonts w:ascii="Century Schoolbook" w:hAnsi="Century Schoolbook"/>
          <w:sz w:val="27"/>
          <w:szCs w:val="27"/>
        </w:rPr>
        <w:t xml:space="preserve">loan was exempt from those prohibitions as a loan with a </w:t>
      </w:r>
      <w:r w:rsidRPr="001530CB">
        <w:rPr>
          <w:rFonts w:ascii="Century Schoolbook" w:hAnsi="Century Schoolbook"/>
          <w:sz w:val="27"/>
          <w:szCs w:val="27"/>
        </w:rPr>
        <w:t xml:space="preserve">bona fide principal amount of $5,000 or more.  (See </w:t>
      </w:r>
      <w:r w:rsidRPr="00A1455C">
        <w:rPr>
          <w:rFonts w:ascii="Century Schoolbook" w:hAnsi="Century Schoolbook"/>
          <w:i/>
          <w:iCs/>
          <w:sz w:val="27"/>
          <w:szCs w:val="27"/>
        </w:rPr>
        <w:t>id.</w:t>
      </w:r>
      <w:r w:rsidRPr="001530CB">
        <w:rPr>
          <w:rFonts w:ascii="Century Schoolbook" w:hAnsi="Century Schoolbook"/>
          <w:sz w:val="27"/>
          <w:szCs w:val="27"/>
        </w:rPr>
        <w:t>, § 22250, subd. (b).)</w:t>
      </w:r>
    </w:p>
    <w:p w:rsidR="00923A5A" w:rsidRPr="001530CB" w:rsidP="00DB38C0" w14:paraId="0CF644C8" w14:textId="77777777">
      <w:pPr>
        <w:spacing w:after="100" w:line="400" w:lineRule="exact"/>
        <w:ind w:firstLine="720"/>
        <w:jc w:val="both"/>
        <w:rPr>
          <w:rFonts w:ascii="Century Schoolbook" w:hAnsi="Century Schoolbook"/>
          <w:sz w:val="27"/>
          <w:szCs w:val="27"/>
        </w:rPr>
      </w:pPr>
      <w:r w:rsidRPr="001530CB">
        <w:rPr>
          <w:rFonts w:ascii="Century Schoolbook" w:hAnsi="Century Schoolbook"/>
          <w:sz w:val="27"/>
          <w:szCs w:val="27"/>
        </w:rPr>
        <w:t xml:space="preserve">The panel disagreed, however, with Key’s further argument that, as a consequence of its efforts to charge the disputed compound interest and fees, Lender should be barred from recovering any amount under the Agreement beyond the principal she had already repaid.  Key’s argument relied on Financial Code section 22750, subdivision (a), which says that if a loan contract “willfully” charges “any amount other than, or in excess of, the charges permitted by” the </w:t>
      </w:r>
      <w:r>
        <w:rPr>
          <w:rFonts w:ascii="Century Schoolbook" w:hAnsi="Century Schoolbook"/>
          <w:sz w:val="27"/>
          <w:szCs w:val="27"/>
        </w:rPr>
        <w:t xml:space="preserve">California </w:t>
      </w:r>
      <w:r w:rsidRPr="001530CB">
        <w:rPr>
          <w:rFonts w:ascii="Century Schoolbook" w:hAnsi="Century Schoolbook"/>
          <w:sz w:val="27"/>
          <w:szCs w:val="27"/>
        </w:rPr>
        <w:t>Financing Law, “the contract of loan is void</w:t>
      </w:r>
      <w:r>
        <w:rPr>
          <w:rFonts w:ascii="Century Schoolbook" w:hAnsi="Century Schoolbook"/>
          <w:sz w:val="27"/>
          <w:szCs w:val="27"/>
        </w:rPr>
        <w:t>,</w:t>
      </w:r>
      <w:r w:rsidRPr="001530CB">
        <w:rPr>
          <w:rFonts w:ascii="Century Schoolbook" w:hAnsi="Century Schoolbook"/>
          <w:sz w:val="27"/>
          <w:szCs w:val="27"/>
        </w:rPr>
        <w:t xml:space="preserve"> and no person has any right to collect or receive any principal, charges, or recompense in connection with the transaction.”  R</w:t>
      </w:r>
      <w:r>
        <w:rPr>
          <w:rFonts w:ascii="Century Schoolbook" w:hAnsi="Century Schoolbook"/>
          <w:sz w:val="27"/>
          <w:szCs w:val="27"/>
        </w:rPr>
        <w:t xml:space="preserve">ejecting the argument, </w:t>
      </w:r>
      <w:r w:rsidRPr="001530CB">
        <w:rPr>
          <w:rFonts w:ascii="Century Schoolbook" w:hAnsi="Century Schoolbook"/>
          <w:sz w:val="27"/>
          <w:szCs w:val="27"/>
        </w:rPr>
        <w:t>the panel calculated “a fair computation of damages” based on what Key would have owed if the Agreement had charged simple, rather than compound, interest at the designated monthly rate, plus an additional assessment for default interest.  In total, the panel awarded Lender about $800,000 in damages, plus substantial attorneys’ fees and costs, and it also required Key to cover the arbitration forum’s administrative expenses.</w:t>
      </w:r>
    </w:p>
    <w:p w:rsidR="00315D6E" w14:paraId="5EB95857" w14:textId="77777777">
      <w:pPr>
        <w:spacing w:after="100" w:line="400" w:lineRule="exact"/>
        <w:ind w:firstLine="720"/>
        <w:jc w:val="both"/>
        <w:rPr>
          <w:rFonts w:ascii="Century Schoolbook" w:hAnsi="Century Schoolbook"/>
          <w:sz w:val="27"/>
          <w:szCs w:val="27"/>
        </w:rPr>
      </w:pPr>
      <w:r w:rsidRPr="001530CB">
        <w:rPr>
          <w:rFonts w:ascii="Century Schoolbook" w:hAnsi="Century Schoolbook"/>
          <w:sz w:val="27"/>
          <w:szCs w:val="27"/>
        </w:rPr>
        <w:t>The arbitration panel served the parties with the final award on September 19, 2019.  On October 1, Lender filed a petition in superior court to confirm the award.</w:t>
      </w:r>
    </w:p>
    <w:p w:rsidR="00604D38" w:rsidRPr="001530CB" w:rsidP="001530CB" w14:paraId="077EEE78" w14:textId="77777777">
      <w:pPr>
        <w:spacing w:after="100" w:line="400" w:lineRule="exact"/>
        <w:ind w:firstLine="720"/>
        <w:jc w:val="both"/>
        <w:rPr>
          <w:rFonts w:ascii="Century Schoolbook" w:hAnsi="Century Schoolbook"/>
          <w:sz w:val="27"/>
          <w:szCs w:val="27"/>
        </w:rPr>
      </w:pPr>
      <w:r w:rsidRPr="001530CB">
        <w:rPr>
          <w:rFonts w:ascii="Century Schoolbook" w:hAnsi="Century Schoolbook"/>
          <w:sz w:val="27"/>
          <w:szCs w:val="27"/>
        </w:rPr>
        <w:t>On October 10, Key’s attorney called Lender’s attorney to discuss various procedural matters related to Lender’s petition.  On that phone call, Key’s attorney informed Lender that Key planned to file a petition to vacate the award in addition to her response in opposition to Lender’s petition to confirm.  They also discussed their mutual understanding that under Code of Civil Procedure section 1290.6 (section 1290.6), Key had 10 days from the filing of the petition to confirm — that is, until October 11, the next day — to file her response to the petition.  The attorneys agreed to extend the time for response.  The attorneys further agreed to coordinate a hearing date so that the trial court could consider both Lender’s petition to confirm and Key’s petition to vacate at the same time, and to set a briefing schedule for both petitions corresponding to that date.  In exchange for Lender’s agreement to extend the October 11 deadline and adhere to the joint briefing schedule, Key agreed to waive personal service of Lender’s petition to confirm and to use a peremptory challenge to disqualify the assigned trial judge.  Key’s attorney memorialized their agreement in a follow-up e</w:t>
      </w:r>
      <w:r>
        <w:rPr>
          <w:rFonts w:ascii="Century Schoolbook" w:hAnsi="Century Schoolbook"/>
          <w:sz w:val="27"/>
          <w:szCs w:val="27"/>
        </w:rPr>
        <w:t>-</w:t>
      </w:r>
      <w:r w:rsidRPr="001530CB">
        <w:rPr>
          <w:rFonts w:ascii="Century Schoolbook" w:hAnsi="Century Schoolbook"/>
          <w:sz w:val="27"/>
          <w:szCs w:val="27"/>
        </w:rPr>
        <w:t>mail, noting that the parties had “agreed that the 10 day time period for filing a Petition to Vacate will not apply” and that the parties would “work backwards” from the hearing date “to come up with a briefing schedule [that] will include oppositions and replies.”</w:t>
      </w:r>
    </w:p>
    <w:p w:rsidR="004F6CA2" w:rsidRPr="001530CB" w:rsidP="001530CB" w14:paraId="2B8F393A" w14:textId="77777777">
      <w:pPr>
        <w:spacing w:after="100" w:line="400" w:lineRule="exact"/>
        <w:ind w:firstLine="720"/>
        <w:jc w:val="both"/>
        <w:rPr>
          <w:rFonts w:ascii="Century Schoolbook" w:hAnsi="Century Schoolbook"/>
          <w:sz w:val="27"/>
          <w:szCs w:val="27"/>
        </w:rPr>
      </w:pPr>
      <w:r w:rsidRPr="001530CB">
        <w:rPr>
          <w:rFonts w:ascii="Century Schoolbook" w:hAnsi="Century Schoolbook"/>
          <w:sz w:val="27"/>
          <w:szCs w:val="27"/>
        </w:rPr>
        <w:t>On December 12 — 84 days after service of the arbitral award — Lender’s attorney e</w:t>
      </w:r>
      <w:r>
        <w:rPr>
          <w:rFonts w:ascii="Century Schoolbook" w:hAnsi="Century Schoolbook"/>
          <w:sz w:val="27"/>
          <w:szCs w:val="27"/>
        </w:rPr>
        <w:t>-</w:t>
      </w:r>
      <w:r w:rsidRPr="001530CB">
        <w:rPr>
          <w:rFonts w:ascii="Century Schoolbook" w:hAnsi="Century Schoolbook"/>
          <w:sz w:val="27"/>
          <w:szCs w:val="27"/>
        </w:rPr>
        <w:t>mailed Key’s attorney asking, “Do you know when your substantive petition is due?  I know we talked conceptually about timelines way back.  I just don’t know with the hearing date set . . . whether we need to revisit that or, just go according to standard timing.”  Key’s attorney did not respond.  On January 21, Key’s attorney e</w:t>
      </w:r>
      <w:r>
        <w:rPr>
          <w:rFonts w:ascii="Century Schoolbook" w:hAnsi="Century Schoolbook"/>
          <w:sz w:val="27"/>
          <w:szCs w:val="27"/>
        </w:rPr>
        <w:t>-</w:t>
      </w:r>
      <w:r w:rsidRPr="001530CB">
        <w:rPr>
          <w:rFonts w:ascii="Century Schoolbook" w:hAnsi="Century Schoolbook"/>
          <w:sz w:val="27"/>
          <w:szCs w:val="27"/>
        </w:rPr>
        <w:t>mailed Lender’s attorney, informing him that he was “getting [the] moving papers prepared” and stating:  “Looks like the last day to file and serve is January 27.”  The attorneys corresponded by phone shortly after to finalize the details of filing and serving the documents.</w:t>
      </w:r>
    </w:p>
    <w:p w:rsidR="003A3DD6" w:rsidRPr="00DB75B3" w:rsidP="001530CB" w14:paraId="3093326C" w14:textId="77777777">
      <w:pPr>
        <w:spacing w:after="100" w:line="400" w:lineRule="exact"/>
        <w:ind w:firstLine="720"/>
        <w:jc w:val="both"/>
        <w:rPr>
          <w:rFonts w:ascii="Century Schoolbook" w:hAnsi="Century Schoolbook"/>
          <w:sz w:val="27"/>
          <w:szCs w:val="27"/>
        </w:rPr>
      </w:pPr>
      <w:r w:rsidRPr="001530CB">
        <w:rPr>
          <w:rFonts w:ascii="Century Schoolbook" w:hAnsi="Century Schoolbook"/>
          <w:sz w:val="27"/>
          <w:szCs w:val="27"/>
        </w:rPr>
        <w:t>On January 27 — 130 days after service of the arbitral award — Key filed her petition to vacate the award.  Then, on February 5 — 139 days after service — Key filed her response in opposition to Lender’s petition to confirm, in which she also argued that the trial court should vacate the award.  Key’s primary contention in both filings was that the arbitration panel exceeded its authority by enforcing a modified version of the Agreement despite concluding that Lender had attempted to charge unlawful compound interest and fees</w:t>
      </w:r>
      <w:r w:rsidRPr="00DB75B3">
        <w:rPr>
          <w:rFonts w:ascii="Century Schoolbook" w:hAnsi="Century Schoolbook"/>
          <w:sz w:val="27"/>
          <w:szCs w:val="27"/>
        </w:rPr>
        <w:t xml:space="preserve">.  She argued that, rather than reform the contract by requiring Key to pay simple interest, the arbitration panel should have declared the loan void under Financial Code section 22750, subdivision (a), </w:t>
      </w:r>
      <w:r>
        <w:rPr>
          <w:rFonts w:ascii="Century Schoolbook" w:hAnsi="Century Schoolbook"/>
          <w:sz w:val="27"/>
          <w:szCs w:val="27"/>
        </w:rPr>
        <w:t xml:space="preserve">and forbidden Lender from </w:t>
      </w:r>
      <w:r w:rsidRPr="00DB75B3">
        <w:rPr>
          <w:rFonts w:ascii="Century Schoolbook" w:hAnsi="Century Schoolbook"/>
          <w:sz w:val="27"/>
          <w:szCs w:val="27"/>
        </w:rPr>
        <w:t xml:space="preserve">collecting any recompense in connection with the transaction.  </w:t>
      </w:r>
    </w:p>
    <w:p w:rsidR="009558FD" w:rsidRPr="00DB75B3" w:rsidP="001530CB" w14:paraId="1A023699" w14:textId="77777777">
      <w:pPr>
        <w:spacing w:after="100" w:line="400" w:lineRule="exact"/>
        <w:ind w:firstLine="720"/>
        <w:jc w:val="both"/>
        <w:rPr>
          <w:rFonts w:ascii="Century Schoolbook" w:hAnsi="Century Schoolbook"/>
          <w:sz w:val="27"/>
          <w:szCs w:val="27"/>
        </w:rPr>
      </w:pPr>
      <w:r w:rsidRPr="00DB75B3">
        <w:rPr>
          <w:rFonts w:ascii="Century Schoolbook" w:hAnsi="Century Schoolbook"/>
          <w:sz w:val="27"/>
          <w:szCs w:val="27"/>
        </w:rPr>
        <w:t xml:space="preserve">In response, Lender argued that Key’s request to vacate was untimely because neither her petition to vacate nor her response to Lender’s confirmation petition was filed within 100 days after service of the final award, as Code of Civil Procedure section 1288 requires for a petition to vacate, and as </w:t>
      </w:r>
      <w:r>
        <w:rPr>
          <w:rFonts w:ascii="Century Schoolbook" w:hAnsi="Century Schoolbook"/>
          <w:sz w:val="27"/>
          <w:szCs w:val="27"/>
        </w:rPr>
        <w:t xml:space="preserve">Code of Civil Procedure </w:t>
      </w:r>
      <w:r w:rsidRPr="00DB75B3">
        <w:rPr>
          <w:rFonts w:ascii="Century Schoolbook" w:hAnsi="Century Schoolbook"/>
          <w:sz w:val="27"/>
          <w:szCs w:val="27"/>
        </w:rPr>
        <w:t>section 1288.2 also requires for a response requesting vacatur.</w:t>
      </w:r>
    </w:p>
    <w:p w:rsidR="009273B3" w:rsidRPr="00DB75B3" w:rsidP="001530CB" w14:paraId="61F54B7E" w14:textId="77777777">
      <w:pPr>
        <w:spacing w:after="100" w:line="400" w:lineRule="exact"/>
        <w:ind w:firstLine="720"/>
        <w:jc w:val="both"/>
        <w:rPr>
          <w:rFonts w:ascii="Century Schoolbook" w:hAnsi="Century Schoolbook"/>
          <w:sz w:val="27"/>
          <w:szCs w:val="27"/>
        </w:rPr>
      </w:pPr>
      <w:r w:rsidRPr="00DB75B3">
        <w:rPr>
          <w:rFonts w:ascii="Century Schoolbook" w:hAnsi="Century Schoolbook"/>
          <w:sz w:val="27"/>
          <w:szCs w:val="27"/>
        </w:rPr>
        <w:t>The trial court denied Key’s petition to vacate as untimely under Code of Civil Procedure section 1288 but deemed her response to Lender’s petition to confirm “timely under [section] 1290.6,” in view of the attorneys’ agreement to a joint briefing schedule.  On the merits, the trial court agreed with Key that the arbitrators “violate[d] [Key’s] unwaivable statutory rights” and “contravene[d] an explicit legislative expression of public policy” by refusing to void the contract under Financial Code section 22750 and instead limiting Lender’s recovery.  The trial court accordingly vacated the award.</w:t>
      </w:r>
    </w:p>
    <w:p w:rsidR="002032F3" w:rsidRPr="00DB75B3" w:rsidP="00DB75B3" w14:paraId="1A5E1EA8" w14:textId="77777777">
      <w:pPr>
        <w:spacing w:after="100" w:line="400" w:lineRule="exact"/>
        <w:ind w:firstLine="720"/>
        <w:jc w:val="both"/>
        <w:rPr>
          <w:rFonts w:ascii="Century Schoolbook" w:hAnsi="Century Schoolbook"/>
          <w:sz w:val="27"/>
          <w:szCs w:val="27"/>
        </w:rPr>
      </w:pPr>
      <w:r w:rsidRPr="00DB75B3">
        <w:rPr>
          <w:rFonts w:ascii="Century Schoolbook" w:hAnsi="Century Schoolbook"/>
          <w:sz w:val="27"/>
          <w:szCs w:val="27"/>
        </w:rPr>
        <w:t>The Court of Appeal reversed.  (</w:t>
      </w:r>
      <w:r w:rsidRPr="00DB75B3">
        <w:rPr>
          <w:rFonts w:ascii="Century Schoolbook" w:hAnsi="Century Schoolbook"/>
          <w:i/>
          <w:iCs/>
          <w:sz w:val="27"/>
          <w:szCs w:val="27"/>
        </w:rPr>
        <w:t>Law Finance Group, LLC v. Key</w:t>
      </w:r>
      <w:r w:rsidRPr="00DB75B3">
        <w:rPr>
          <w:rFonts w:ascii="Century Schoolbook" w:hAnsi="Century Schoolbook"/>
          <w:sz w:val="27"/>
          <w:szCs w:val="27"/>
        </w:rPr>
        <w:t xml:space="preserve"> (2021) 67 Cal.App.5th 307, 313, 325.)  </w:t>
      </w:r>
      <w:r>
        <w:rPr>
          <w:rFonts w:ascii="Century Schoolbook" w:hAnsi="Century Schoolbook"/>
          <w:sz w:val="27"/>
          <w:szCs w:val="27"/>
        </w:rPr>
        <w:t xml:space="preserve">Unlike the trial court, the appellate court concluded that the response requesting vacatur was untimely under Code of Civil Procedure section 1288.2, which imposes a 100-day </w:t>
      </w:r>
      <w:r w:rsidRPr="00DB75B3">
        <w:rPr>
          <w:rFonts w:ascii="Century Schoolbook" w:hAnsi="Century Schoolbook"/>
          <w:sz w:val="27"/>
          <w:szCs w:val="27"/>
        </w:rPr>
        <w:t>deadline for a response to a petition to confirm when the response requests that the award be vacated.  (</w:t>
      </w:r>
      <w:r w:rsidRPr="00DB75B3">
        <w:rPr>
          <w:rFonts w:ascii="Century Schoolbook" w:hAnsi="Century Schoolbook"/>
          <w:i/>
          <w:iCs/>
          <w:sz w:val="27"/>
          <w:szCs w:val="27"/>
        </w:rPr>
        <w:t>Law Finance Group</w:t>
      </w:r>
      <w:r w:rsidRPr="00DB75B3">
        <w:rPr>
          <w:rFonts w:ascii="Century Schoolbook" w:hAnsi="Century Schoolbook"/>
          <w:sz w:val="27"/>
          <w:szCs w:val="27"/>
        </w:rPr>
        <w:t xml:space="preserve">, at pp. 313, 316–321.)  </w:t>
      </w:r>
      <w:r>
        <w:rPr>
          <w:rFonts w:ascii="Century Schoolbook" w:hAnsi="Century Schoolbook"/>
          <w:sz w:val="27"/>
          <w:szCs w:val="27"/>
        </w:rPr>
        <w:t>T</w:t>
      </w:r>
      <w:r w:rsidRPr="00DB75B3">
        <w:rPr>
          <w:rFonts w:ascii="Century Schoolbook" w:hAnsi="Century Schoolbook"/>
          <w:sz w:val="27"/>
          <w:szCs w:val="27"/>
        </w:rPr>
        <w:t xml:space="preserve">he court held that </w:t>
      </w:r>
      <w:r>
        <w:rPr>
          <w:rFonts w:ascii="Century Schoolbook" w:hAnsi="Century Schoolbook"/>
          <w:sz w:val="27"/>
          <w:szCs w:val="27"/>
        </w:rPr>
        <w:t xml:space="preserve">the 100-day deadline was jurisdictional and that </w:t>
      </w:r>
      <w:r w:rsidRPr="00DB75B3">
        <w:rPr>
          <w:rFonts w:ascii="Century Schoolbook" w:hAnsi="Century Schoolbook"/>
          <w:sz w:val="27"/>
          <w:szCs w:val="27"/>
        </w:rPr>
        <w:t xml:space="preserve">the parties </w:t>
      </w:r>
      <w:r>
        <w:rPr>
          <w:rFonts w:ascii="Century Schoolbook" w:hAnsi="Century Schoolbook"/>
          <w:sz w:val="27"/>
          <w:szCs w:val="27"/>
        </w:rPr>
        <w:t xml:space="preserve">therefore </w:t>
      </w:r>
      <w:r w:rsidRPr="00DB75B3">
        <w:rPr>
          <w:rFonts w:ascii="Century Schoolbook" w:hAnsi="Century Schoolbook"/>
          <w:sz w:val="27"/>
          <w:szCs w:val="27"/>
        </w:rPr>
        <w:t xml:space="preserve">lacked the power to extend </w:t>
      </w:r>
      <w:r>
        <w:rPr>
          <w:rFonts w:ascii="Century Schoolbook" w:hAnsi="Century Schoolbook"/>
          <w:sz w:val="27"/>
          <w:szCs w:val="27"/>
        </w:rPr>
        <w:t xml:space="preserve">it </w:t>
      </w:r>
      <w:r w:rsidRPr="00DB75B3">
        <w:rPr>
          <w:rFonts w:ascii="Century Schoolbook" w:hAnsi="Century Schoolbook"/>
          <w:sz w:val="27"/>
          <w:szCs w:val="27"/>
        </w:rPr>
        <w:t>by stipulation.  (</w:t>
      </w:r>
      <w:r w:rsidRPr="00DB75B3">
        <w:rPr>
          <w:rFonts w:ascii="Century Schoolbook" w:hAnsi="Century Schoolbook"/>
          <w:i/>
          <w:iCs/>
          <w:sz w:val="27"/>
          <w:szCs w:val="27"/>
        </w:rPr>
        <w:t>Id.</w:t>
      </w:r>
      <w:r w:rsidRPr="00DB75B3">
        <w:rPr>
          <w:rFonts w:ascii="Century Schoolbook" w:hAnsi="Century Schoolbook"/>
          <w:sz w:val="27"/>
          <w:szCs w:val="27"/>
        </w:rPr>
        <w:t xml:space="preserve"> at p. 322; see </w:t>
      </w:r>
      <w:r w:rsidRPr="00DB75B3">
        <w:rPr>
          <w:rFonts w:ascii="Century Schoolbook" w:hAnsi="Century Schoolbook"/>
          <w:i/>
          <w:iCs/>
          <w:sz w:val="27"/>
          <w:szCs w:val="27"/>
        </w:rPr>
        <w:t>id.</w:t>
      </w:r>
      <w:r w:rsidRPr="00DB75B3">
        <w:rPr>
          <w:rFonts w:ascii="Century Schoolbook" w:hAnsi="Century Schoolbook"/>
          <w:sz w:val="27"/>
          <w:szCs w:val="27"/>
        </w:rPr>
        <w:t xml:space="preserve"> at pp. 321–324.)  The court also rejected Key’s argument that she could raise her challenges to the arbitration award regardless of whether she filed a timely request to vacate because the Agreement was an illegal contract that courts may not enforce.  (</w:t>
      </w:r>
      <w:r w:rsidRPr="00DB75B3">
        <w:rPr>
          <w:rFonts w:ascii="Century Schoolbook" w:hAnsi="Century Schoolbook"/>
          <w:i/>
          <w:iCs/>
          <w:sz w:val="27"/>
          <w:szCs w:val="27"/>
        </w:rPr>
        <w:t>Id.</w:t>
      </w:r>
      <w:r w:rsidRPr="00DB75B3">
        <w:rPr>
          <w:rFonts w:ascii="Century Schoolbook" w:hAnsi="Century Schoolbook"/>
          <w:sz w:val="27"/>
          <w:szCs w:val="27"/>
        </w:rPr>
        <w:t xml:space="preserve"> at p. 322, fn. 8.)  </w:t>
      </w:r>
    </w:p>
    <w:p w:rsidR="003108D7" w:rsidRPr="00DB75B3" w:rsidP="00DB75B3" w14:paraId="27CACC81" w14:textId="77777777">
      <w:pPr>
        <w:spacing w:after="100" w:line="400" w:lineRule="exact"/>
        <w:ind w:firstLine="720"/>
        <w:jc w:val="both"/>
        <w:rPr>
          <w:rFonts w:ascii="Century Schoolbook" w:hAnsi="Century Schoolbook"/>
          <w:sz w:val="27"/>
          <w:szCs w:val="27"/>
        </w:rPr>
      </w:pPr>
      <w:r w:rsidRPr="00DB75B3">
        <w:rPr>
          <w:rFonts w:ascii="Century Schoolbook" w:hAnsi="Century Schoolbook"/>
          <w:sz w:val="27"/>
          <w:szCs w:val="27"/>
        </w:rPr>
        <w:t>We granted review.</w:t>
      </w:r>
    </w:p>
    <w:p w:rsidR="00604D38" w:rsidRPr="00DB75B3" w:rsidP="00DB75B3" w14:paraId="2A14308E" w14:textId="77777777">
      <w:pPr>
        <w:spacing w:after="100" w:line="400" w:lineRule="exact"/>
        <w:jc w:val="center"/>
        <w:rPr>
          <w:rFonts w:ascii="Century Schoolbook" w:hAnsi="Century Schoolbook"/>
          <w:b/>
          <w:bCs/>
          <w:sz w:val="27"/>
          <w:szCs w:val="27"/>
        </w:rPr>
      </w:pPr>
      <w:r w:rsidRPr="00DB75B3">
        <w:rPr>
          <w:rFonts w:ascii="Century Schoolbook" w:hAnsi="Century Schoolbook"/>
          <w:b/>
          <w:bCs/>
          <w:sz w:val="27"/>
          <w:szCs w:val="27"/>
        </w:rPr>
        <w:t>II.</w:t>
      </w:r>
    </w:p>
    <w:p w:rsidR="007814BF" w:rsidRPr="00DB75B3" w:rsidP="00DB75B3" w14:paraId="63977A32" w14:textId="77777777">
      <w:pPr>
        <w:spacing w:after="100" w:line="400" w:lineRule="exact"/>
        <w:ind w:firstLine="720"/>
        <w:jc w:val="both"/>
        <w:rPr>
          <w:rFonts w:ascii="Century Schoolbook" w:hAnsi="Century Schoolbook"/>
          <w:b/>
          <w:bCs/>
          <w:sz w:val="27"/>
          <w:szCs w:val="27"/>
        </w:rPr>
      </w:pPr>
      <w:r w:rsidRPr="00DB75B3">
        <w:rPr>
          <w:rFonts w:ascii="Century Schoolbook" w:hAnsi="Century Schoolbook"/>
          <w:sz w:val="27"/>
          <w:szCs w:val="27"/>
        </w:rPr>
        <w:t xml:space="preserve">The California Arbitration Act </w:t>
      </w:r>
      <w:r>
        <w:rPr>
          <w:rFonts w:ascii="Century Schoolbook" w:hAnsi="Century Schoolbook"/>
          <w:sz w:val="27"/>
          <w:szCs w:val="27"/>
        </w:rPr>
        <w:t>(Act) (</w:t>
      </w:r>
      <w:r w:rsidRPr="00DB75B3">
        <w:rPr>
          <w:rFonts w:ascii="Century Schoolbook" w:hAnsi="Century Schoolbook"/>
          <w:sz w:val="27"/>
          <w:szCs w:val="27"/>
        </w:rPr>
        <w:t>Code Civ. Proc., § 12</w:t>
      </w:r>
      <w:r>
        <w:rPr>
          <w:rFonts w:ascii="Century Schoolbook" w:hAnsi="Century Schoolbook"/>
          <w:sz w:val="27"/>
          <w:szCs w:val="27"/>
        </w:rPr>
        <w:t>80 et seq.) is “ ‘a comprehensive statutory scheme regulating private arbitration in this state.’ ”  (</w:t>
      </w:r>
      <w:r>
        <w:rPr>
          <w:rFonts w:ascii="Century Schoolbook" w:hAnsi="Century Schoolbook"/>
          <w:i/>
          <w:iCs/>
          <w:sz w:val="27"/>
          <w:szCs w:val="27"/>
        </w:rPr>
        <w:t>Haworth v. Superior Court</w:t>
      </w:r>
      <w:r>
        <w:rPr>
          <w:rFonts w:ascii="Century Schoolbook" w:hAnsi="Century Schoolbook"/>
          <w:sz w:val="27"/>
          <w:szCs w:val="27"/>
        </w:rPr>
        <w:t xml:space="preserve"> (2010) 50 Cal.4th 372, 380.)  The Act </w:t>
      </w:r>
      <w:r w:rsidRPr="00DB75B3">
        <w:rPr>
          <w:rFonts w:ascii="Century Schoolbook" w:hAnsi="Century Schoolbook"/>
          <w:sz w:val="27"/>
          <w:szCs w:val="27"/>
        </w:rPr>
        <w:t>sets out procedures governing judicial proceedings related to arbitration</w:t>
      </w:r>
      <w:r>
        <w:rPr>
          <w:rFonts w:ascii="Century Schoolbook" w:hAnsi="Century Schoolbook"/>
          <w:sz w:val="27"/>
          <w:szCs w:val="27"/>
        </w:rPr>
        <w:t xml:space="preserve">, including both </w:t>
      </w:r>
      <w:r w:rsidRPr="001575E2">
        <w:rPr>
          <w:rFonts w:ascii="Century Schoolbook" w:hAnsi="Century Schoolbook"/>
          <w:sz w:val="27"/>
          <w:szCs w:val="27"/>
        </w:rPr>
        <w:t>prearbitration disputes related to the enforceability of agreements to arbitrate and postarbitration disputes to settle the status of an arbitral award</w:t>
      </w:r>
      <w:r w:rsidRPr="00DB75B3">
        <w:rPr>
          <w:rFonts w:ascii="Century Schoolbook" w:hAnsi="Century Schoolbook"/>
          <w:sz w:val="27"/>
          <w:szCs w:val="27"/>
        </w:rPr>
        <w:t>.</w:t>
      </w:r>
      <w:r>
        <w:rPr>
          <w:rFonts w:ascii="Century Schoolbook" w:hAnsi="Century Schoolbook"/>
          <w:sz w:val="27"/>
          <w:szCs w:val="27"/>
        </w:rPr>
        <w:t xml:space="preserve"> </w:t>
      </w:r>
      <w:r w:rsidRPr="00DB75B3">
        <w:rPr>
          <w:rFonts w:ascii="Century Schoolbook" w:hAnsi="Century Schoolbook"/>
          <w:sz w:val="27"/>
          <w:szCs w:val="27"/>
        </w:rPr>
        <w:t xml:space="preserve"> (See Code Civ. Proc., pt. 3, tit. 9, ch. 5 [“General Provisions Relating to Judicial Proceedings”].)  Whether the context is pre</w:t>
      </w:r>
      <w:r>
        <w:rPr>
          <w:rFonts w:ascii="Century Schoolbook" w:hAnsi="Century Schoolbook"/>
          <w:sz w:val="27"/>
          <w:szCs w:val="27"/>
        </w:rPr>
        <w:t>-</w:t>
      </w:r>
      <w:r w:rsidRPr="00DB75B3">
        <w:rPr>
          <w:rFonts w:ascii="Century Schoolbook" w:hAnsi="Century Schoolbook"/>
          <w:sz w:val="27"/>
          <w:szCs w:val="27"/>
        </w:rPr>
        <w:t xml:space="preserve"> or postarbitration, the general pleading rules governing the commencement of the proceeding are the same.  The proceeding begins with the filing of a petition, and any person named as a respondent in that petition may file a response.  (Code Civ. Proc., § 1290.)  </w:t>
      </w:r>
      <w:r>
        <w:rPr>
          <w:rFonts w:ascii="Century Schoolbook" w:hAnsi="Century Schoolbook"/>
          <w:sz w:val="27"/>
          <w:szCs w:val="27"/>
        </w:rPr>
        <w:t xml:space="preserve">In general, </w:t>
      </w:r>
      <w:r w:rsidRPr="00DB75B3">
        <w:rPr>
          <w:rFonts w:ascii="Century Schoolbook" w:hAnsi="Century Schoolbook"/>
          <w:sz w:val="27"/>
          <w:szCs w:val="27"/>
        </w:rPr>
        <w:t>“[a] response shall be served and filed within 10 days after service of the petition,” unless that time is “extended by an agreement in writing between the parties to the court proceeding or, for good cause, by order of the court.”  (§ 1290.6.)</w:t>
      </w:r>
    </w:p>
    <w:p w:rsidR="00420E2D" w:rsidRPr="00234877" w:rsidP="00DB75B3" w14:paraId="4537BC5C" w14:textId="77777777">
      <w:pPr>
        <w:spacing w:after="100" w:line="400" w:lineRule="exact"/>
        <w:ind w:firstLine="720"/>
        <w:jc w:val="both"/>
        <w:rPr>
          <w:rFonts w:ascii="Century Schoolbook" w:hAnsi="Century Schoolbook"/>
          <w:sz w:val="27"/>
          <w:szCs w:val="27"/>
        </w:rPr>
      </w:pPr>
      <w:r w:rsidRPr="00DB75B3">
        <w:rPr>
          <w:rFonts w:ascii="Century Schoolbook" w:hAnsi="Century Schoolbook"/>
          <w:sz w:val="27"/>
          <w:szCs w:val="27"/>
        </w:rPr>
        <w:t>The Act also sets out a more specific set of procedures governing postarbitration proceedings, including deadlines by which parties seeking to confirm or vacate an arbitral award must file those requests with the court.  (See Code Civ. Proc., pt. 3, tit. 9, ch. 4 [“Enforcement of the Award”].)  A party seeking to confirm the arbitral award may file a petition within four years of the service of the final award.</w:t>
      </w:r>
      <w:r>
        <w:rPr>
          <w:rStyle w:val="FootnoteReference"/>
          <w:rFonts w:ascii="Century Schoolbook" w:hAnsi="Century Schoolbook"/>
          <w:b/>
          <w:bCs/>
          <w:position w:val="6"/>
          <w:sz w:val="20"/>
          <w:szCs w:val="20"/>
          <w:vertAlign w:val="baseline"/>
        </w:rPr>
        <w:footnoteReference w:id="2"/>
      </w:r>
      <w:r w:rsidRPr="00234877">
        <w:rPr>
          <w:rFonts w:ascii="Century Schoolbook" w:hAnsi="Century Schoolbook"/>
          <w:sz w:val="27"/>
          <w:szCs w:val="27"/>
        </w:rPr>
        <w:t xml:space="preserve">  (Code Civ. Proc., § 1288.)  A party seeking to vacate the arbitral award, however, has much less time.  A request to vacate may be made either in a petition to vacate (</w:t>
      </w:r>
      <w:r w:rsidRPr="00234877">
        <w:rPr>
          <w:rFonts w:ascii="Century Schoolbook" w:hAnsi="Century Schoolbook"/>
          <w:i/>
          <w:iCs/>
          <w:sz w:val="27"/>
          <w:szCs w:val="27"/>
        </w:rPr>
        <w:t>id.</w:t>
      </w:r>
      <w:r w:rsidRPr="00234877">
        <w:rPr>
          <w:rFonts w:ascii="Century Schoolbook" w:hAnsi="Century Schoolbook"/>
          <w:sz w:val="27"/>
          <w:szCs w:val="27"/>
        </w:rPr>
        <w:t>, § 1285) or in a response to the petition to confirm (</w:t>
      </w:r>
      <w:r w:rsidRPr="00234877">
        <w:rPr>
          <w:rFonts w:ascii="Century Schoolbook" w:hAnsi="Century Schoolbook"/>
          <w:i/>
          <w:iCs/>
          <w:sz w:val="27"/>
          <w:szCs w:val="27"/>
        </w:rPr>
        <w:t>id</w:t>
      </w:r>
      <w:r w:rsidRPr="00234877">
        <w:rPr>
          <w:rFonts w:ascii="Century Schoolbook" w:hAnsi="Century Schoolbook"/>
          <w:sz w:val="27"/>
          <w:szCs w:val="27"/>
        </w:rPr>
        <w:t>., § 1285.2).  Regardless of the method, the Act imposes the same deadline:  “A petition to vacate an award . . . shall be served and filed not later than 100 days after the date of the service of a signed copy of the award on the petitioner” (</w:t>
      </w:r>
      <w:r w:rsidRPr="00234877">
        <w:rPr>
          <w:rFonts w:ascii="Century Schoolbook" w:hAnsi="Century Schoolbook"/>
          <w:i/>
          <w:iCs/>
          <w:sz w:val="27"/>
          <w:szCs w:val="27"/>
        </w:rPr>
        <w:t>id</w:t>
      </w:r>
      <w:r w:rsidRPr="00234877">
        <w:rPr>
          <w:rFonts w:ascii="Century Schoolbook" w:hAnsi="Century Schoolbook"/>
          <w:sz w:val="27"/>
          <w:szCs w:val="27"/>
        </w:rPr>
        <w:t>., § 1288), and identically, “[a] response requesting that an award be vacated . . . shall be served and filed not later than 100 days after the date of service of a signed copy of the award” on the respondent (</w:t>
      </w:r>
      <w:r w:rsidRPr="00234877">
        <w:rPr>
          <w:rFonts w:ascii="Century Schoolbook" w:hAnsi="Century Schoolbook"/>
          <w:i/>
          <w:iCs/>
          <w:sz w:val="27"/>
          <w:szCs w:val="27"/>
        </w:rPr>
        <w:t>id</w:t>
      </w:r>
      <w:r w:rsidRPr="00234877">
        <w:rPr>
          <w:rFonts w:ascii="Century Schoolbook" w:hAnsi="Century Schoolbook"/>
          <w:sz w:val="27"/>
          <w:szCs w:val="27"/>
        </w:rPr>
        <w:t>., § 1288.2).</w:t>
      </w:r>
    </w:p>
    <w:p w:rsidR="006A4B5B" w:rsidRPr="00234877" w:rsidP="00234877" w14:paraId="0641FA5B"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In this case, Key filed a petition to vacate the arbitral award some 130 days after service of the final award.  Nine days later, she filed a response to Lender’s petition to confirm in which she likewise requested that the award be vacated.  It is undisputed that Key’s first request to vacate was untimely, because her petition to vacate was filed outside the 100-day limit set by </w:t>
      </w:r>
      <w:bookmarkStart w:id="7" w:name="_Hlk134691335"/>
      <w:r>
        <w:rPr>
          <w:rFonts w:ascii="Century Schoolbook" w:hAnsi="Century Schoolbook"/>
          <w:sz w:val="27"/>
          <w:szCs w:val="27"/>
        </w:rPr>
        <w:t>Code of Civil Procedure section 1288 (section 1288)</w:t>
      </w:r>
      <w:bookmarkEnd w:id="7"/>
      <w:r>
        <w:rPr>
          <w:rFonts w:ascii="Century Schoolbook" w:hAnsi="Century Schoolbook"/>
          <w:sz w:val="27"/>
          <w:szCs w:val="27"/>
        </w:rPr>
        <w:t xml:space="preserve">.  </w:t>
      </w:r>
      <w:r w:rsidRPr="00234877">
        <w:rPr>
          <w:rFonts w:ascii="Century Schoolbook" w:hAnsi="Century Schoolbook"/>
          <w:sz w:val="27"/>
          <w:szCs w:val="27"/>
        </w:rPr>
        <w:t>The threshold question we must address is whether</w:t>
      </w:r>
      <w:r>
        <w:rPr>
          <w:rFonts w:ascii="Century Schoolbook" w:hAnsi="Century Schoolbook"/>
          <w:sz w:val="27"/>
          <w:szCs w:val="27"/>
        </w:rPr>
        <w:t xml:space="preserve"> </w:t>
      </w:r>
      <w:r w:rsidRPr="00234877">
        <w:rPr>
          <w:rFonts w:ascii="Century Schoolbook" w:hAnsi="Century Schoolbook"/>
          <w:sz w:val="27"/>
          <w:szCs w:val="27"/>
        </w:rPr>
        <w:t xml:space="preserve">Key’s failure to meet the 100-day deadline set by </w:t>
      </w:r>
      <w:bookmarkStart w:id="8" w:name="_Hlk134701352"/>
      <w:r w:rsidRPr="00234877">
        <w:rPr>
          <w:rFonts w:ascii="Century Schoolbook" w:hAnsi="Century Schoolbook"/>
          <w:sz w:val="27"/>
          <w:szCs w:val="27"/>
        </w:rPr>
        <w:t xml:space="preserve">Code of Civil Procedure section 1288.2 (section 1288.2) </w:t>
      </w:r>
      <w:bookmarkEnd w:id="8"/>
      <w:r w:rsidRPr="00234877">
        <w:rPr>
          <w:rFonts w:ascii="Century Schoolbook" w:hAnsi="Century Schoolbook"/>
          <w:sz w:val="27"/>
          <w:szCs w:val="27"/>
        </w:rPr>
        <w:t xml:space="preserve">rendered </w:t>
      </w:r>
      <w:r>
        <w:rPr>
          <w:rFonts w:ascii="Century Schoolbook" w:hAnsi="Century Schoolbook"/>
          <w:sz w:val="27"/>
          <w:szCs w:val="27"/>
        </w:rPr>
        <w:t xml:space="preserve">her second </w:t>
      </w:r>
      <w:r w:rsidRPr="00234877">
        <w:rPr>
          <w:rFonts w:ascii="Century Schoolbook" w:hAnsi="Century Schoolbook"/>
          <w:sz w:val="27"/>
          <w:szCs w:val="27"/>
        </w:rPr>
        <w:t>request to vacate untimely</w:t>
      </w:r>
      <w:r>
        <w:rPr>
          <w:rFonts w:ascii="Century Schoolbook" w:hAnsi="Century Schoolbook"/>
          <w:sz w:val="27"/>
          <w:szCs w:val="27"/>
        </w:rPr>
        <w:t xml:space="preserve"> as well</w:t>
      </w:r>
      <w:r w:rsidRPr="00234877">
        <w:rPr>
          <w:rFonts w:ascii="Century Schoolbook" w:hAnsi="Century Schoolbook"/>
          <w:sz w:val="27"/>
          <w:szCs w:val="27"/>
        </w:rPr>
        <w:t xml:space="preserve">.  Key argues the answer is no, because she filed </w:t>
      </w:r>
      <w:r>
        <w:rPr>
          <w:rFonts w:ascii="Century Schoolbook" w:hAnsi="Century Schoolbook"/>
          <w:sz w:val="27"/>
          <w:szCs w:val="27"/>
        </w:rPr>
        <w:t xml:space="preserve">that </w:t>
      </w:r>
      <w:r w:rsidRPr="00234877">
        <w:rPr>
          <w:rFonts w:ascii="Century Schoolbook" w:hAnsi="Century Schoolbook"/>
          <w:sz w:val="27"/>
          <w:szCs w:val="27"/>
        </w:rPr>
        <w:t xml:space="preserve">request within the time period allowed under section 1290.6 for responding to Lender’s confirmation petition.  Lender does not dispute that Key’s response </w:t>
      </w:r>
      <w:r>
        <w:rPr>
          <w:rFonts w:ascii="Century Schoolbook" w:hAnsi="Century Schoolbook"/>
          <w:sz w:val="27"/>
          <w:szCs w:val="27"/>
        </w:rPr>
        <w:t xml:space="preserve">was filed within the time limits described in </w:t>
      </w:r>
      <w:r w:rsidRPr="00234877">
        <w:rPr>
          <w:rFonts w:ascii="Century Schoolbook" w:hAnsi="Century Schoolbook"/>
          <w:sz w:val="27"/>
          <w:szCs w:val="27"/>
        </w:rPr>
        <w:t>section 1290.6 but argues that the request to vacate the award was nonetheless untimely under section 1288.2.  Lender is correct.</w:t>
      </w:r>
    </w:p>
    <w:p w:rsidR="00606B28" w:rsidRPr="00234877" w:rsidP="00234877" w14:paraId="2C2E1BDF" w14:textId="77777777">
      <w:pPr>
        <w:spacing w:after="100" w:line="400" w:lineRule="exact"/>
        <w:ind w:firstLine="720"/>
        <w:jc w:val="both"/>
        <w:rPr>
          <w:rFonts w:ascii="Century Schoolbook" w:hAnsi="Century Schoolbook"/>
          <w:sz w:val="27"/>
          <w:szCs w:val="27"/>
        </w:rPr>
      </w:pPr>
      <w:r w:rsidRPr="00234877">
        <w:rPr>
          <w:rFonts w:ascii="Century Schoolbook" w:hAnsi="Century Schoolbook"/>
          <w:sz w:val="27"/>
          <w:szCs w:val="27"/>
        </w:rPr>
        <w:t xml:space="preserve">Under the plain terms of sections 1288 and 1288.2, Key had 100 days from the service of the final award to request that the arbitration award be vacated — whether she chose to do so via a standalone petition to vacate or via a response to Lender’s petition to confirm the award.  Key’s argument that her 139-day filing was nonetheless timely depends on the proposition that section 1290.6 — a general statutory provision permitting parties to extend the default 10-day period for any responsive filing in an arbitration matter — supersedes the specific 100-day deadline for requesting that an arbitration award be vacated, at least when a petition to confirm has been filed within 100 days of the award’s service.  But under the governing statutes, neither deadline supersedes the other.  On the contrary, </w:t>
      </w:r>
      <w:bookmarkStart w:id="9" w:name="_Hlk130224857"/>
      <w:r w:rsidRPr="00234877">
        <w:rPr>
          <w:rFonts w:ascii="Century Schoolbook" w:hAnsi="Century Schoolbook"/>
          <w:sz w:val="27"/>
          <w:szCs w:val="27"/>
        </w:rPr>
        <w:t>when a filing both (1) responds to a petition to confirm, and (2) requests that the arbitration award be vacated, both deadlines apply:  (1) Absent a written agreement or court order, the response must be filed within 10 days after service of the petition to confirm and (2) in any event, no later than 100 days after service of the award.</w:t>
      </w:r>
      <w:bookmarkEnd w:id="9"/>
      <w:r>
        <w:rPr>
          <w:rStyle w:val="FootnoteReference"/>
          <w:rFonts w:ascii="Century Schoolbook" w:hAnsi="Century Schoolbook"/>
          <w:b/>
          <w:bCs/>
          <w:position w:val="6"/>
          <w:sz w:val="20"/>
          <w:szCs w:val="20"/>
          <w:vertAlign w:val="baseline"/>
        </w:rPr>
        <w:footnoteReference w:id="3"/>
      </w:r>
      <w:r w:rsidRPr="00234877">
        <w:rPr>
          <w:rFonts w:ascii="Century Schoolbook" w:hAnsi="Century Schoolbook"/>
          <w:sz w:val="27"/>
          <w:szCs w:val="27"/>
        </w:rPr>
        <w:t xml:space="preserve">  This rule respects the plain language of both provisions</w:t>
      </w:r>
      <w:r>
        <w:rPr>
          <w:rFonts w:ascii="Century Schoolbook" w:hAnsi="Century Schoolbook"/>
          <w:sz w:val="27"/>
          <w:szCs w:val="27"/>
        </w:rPr>
        <w:t xml:space="preserve"> without</w:t>
      </w:r>
      <w:r w:rsidRPr="00234877">
        <w:rPr>
          <w:rFonts w:ascii="Century Schoolbook" w:hAnsi="Century Schoolbook"/>
          <w:sz w:val="27"/>
          <w:szCs w:val="27"/>
        </w:rPr>
        <w:t xml:space="preserve"> reading an unnecessary conflict into the statutory scheme.  (</w:t>
      </w:r>
      <w:r w:rsidRPr="00234877">
        <w:rPr>
          <w:rFonts w:ascii="Century Schoolbook" w:hAnsi="Century Schoolbook"/>
          <w:i/>
          <w:iCs/>
          <w:sz w:val="27"/>
          <w:szCs w:val="27"/>
        </w:rPr>
        <w:t>Dyna-Med, Inc. v. Fair Employment &amp; Housing Com.</w:t>
      </w:r>
      <w:r w:rsidRPr="00234877">
        <w:rPr>
          <w:rFonts w:ascii="Century Schoolbook" w:hAnsi="Century Schoolbook"/>
          <w:sz w:val="27"/>
          <w:szCs w:val="27"/>
        </w:rPr>
        <w:t xml:space="preserve"> (1987) 43 Cal.3d 1379, 1387 [“[S]tatutes or statutory sections relating to the same subject must be harmonized, both internally and with each other, to the extent possible.”].)</w:t>
      </w:r>
    </w:p>
    <w:p w:rsidR="000534DB" w:rsidP="00234877" w14:paraId="7FF0174B" w14:textId="77777777">
      <w:pPr>
        <w:spacing w:after="100" w:line="400" w:lineRule="exact"/>
        <w:ind w:firstLine="720"/>
        <w:jc w:val="both"/>
        <w:rPr>
          <w:rFonts w:ascii="Century Schoolbook" w:hAnsi="Century Schoolbook"/>
          <w:sz w:val="27"/>
          <w:szCs w:val="27"/>
        </w:rPr>
      </w:pPr>
      <w:r w:rsidRPr="00234877">
        <w:rPr>
          <w:rFonts w:ascii="Century Schoolbook" w:hAnsi="Century Schoolbook"/>
          <w:sz w:val="27"/>
          <w:szCs w:val="27"/>
        </w:rPr>
        <w:t xml:space="preserve">This understanding of the operation of the 100-day deadline is consistent with the Legislature’s evident purpose in enacting it.  (See </w:t>
      </w:r>
      <w:r w:rsidRPr="00234877">
        <w:rPr>
          <w:rFonts w:ascii="Century Schoolbook" w:hAnsi="Century Schoolbook"/>
          <w:i/>
          <w:iCs/>
          <w:sz w:val="27"/>
          <w:szCs w:val="27"/>
        </w:rPr>
        <w:t xml:space="preserve">Day v. City of Fontana </w:t>
      </w:r>
      <w:r w:rsidRPr="00234877">
        <w:rPr>
          <w:rFonts w:ascii="Century Schoolbook" w:hAnsi="Century Schoolbook"/>
          <w:sz w:val="27"/>
          <w:szCs w:val="27"/>
        </w:rPr>
        <w:t xml:space="preserve">(2001) 25 Cal.4th 268, 272 [“Our fundamental task in construing a statute is to ascertain the intent of the lawmakers so as to effectuate the purpose of the statute.”].)  To promote arbitral finality and judicial economy, the Legislature deliberately put proceedings to vacate on a different timeline than the more leisurely timeline for proceedings to confirm an arbitration award.  </w:t>
      </w:r>
    </w:p>
    <w:p w:rsidR="007F5426" w:rsidRPr="00234877" w:rsidP="00234877" w14:paraId="38BA9DEB"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In its </w:t>
      </w:r>
      <w:r w:rsidRPr="00234877">
        <w:rPr>
          <w:rFonts w:ascii="Century Schoolbook" w:hAnsi="Century Schoolbook"/>
          <w:sz w:val="27"/>
          <w:szCs w:val="27"/>
        </w:rPr>
        <w:t xml:space="preserve">study recommending </w:t>
      </w:r>
      <w:r>
        <w:rPr>
          <w:rFonts w:ascii="Century Schoolbook" w:hAnsi="Century Schoolbook"/>
          <w:sz w:val="27"/>
          <w:szCs w:val="27"/>
        </w:rPr>
        <w:t xml:space="preserve">the </w:t>
      </w:r>
      <w:r w:rsidRPr="00234877">
        <w:rPr>
          <w:rFonts w:ascii="Century Schoolbook" w:hAnsi="Century Schoolbook"/>
          <w:sz w:val="27"/>
          <w:szCs w:val="27"/>
        </w:rPr>
        <w:t>relevant revisions to the arbitration statutes</w:t>
      </w:r>
      <w:r>
        <w:rPr>
          <w:rFonts w:ascii="Century Schoolbook" w:hAnsi="Century Schoolbook"/>
          <w:sz w:val="27"/>
          <w:szCs w:val="27"/>
        </w:rPr>
        <w:t>, the California Law Revision Commission explained</w:t>
      </w:r>
      <w:r w:rsidRPr="00234877">
        <w:rPr>
          <w:rFonts w:ascii="Century Schoolbook" w:hAnsi="Century Schoolbook"/>
          <w:sz w:val="27"/>
          <w:szCs w:val="27"/>
        </w:rPr>
        <w:t xml:space="preserve"> that the prevailing party in arbitration should normally be able to obtain satisfaction of the award without resorting to the courts for confirmation</w:t>
      </w:r>
      <w:r>
        <w:rPr>
          <w:rFonts w:ascii="Century Schoolbook" w:hAnsi="Century Schoolbook"/>
          <w:sz w:val="27"/>
          <w:szCs w:val="27"/>
        </w:rPr>
        <w:t>.  I</w:t>
      </w:r>
      <w:r w:rsidRPr="00234877">
        <w:rPr>
          <w:rFonts w:ascii="Century Schoolbook" w:hAnsi="Century Schoolbook"/>
          <w:sz w:val="27"/>
          <w:szCs w:val="27"/>
        </w:rPr>
        <w:t>f the losing party refuses to comply, however, the confirmation procedure provides “a method of expeditiously enforcing an arbitration award.”  (</w:t>
      </w:r>
      <w:r>
        <w:rPr>
          <w:rFonts w:ascii="Century Schoolbook" w:hAnsi="Century Schoolbook"/>
          <w:sz w:val="27"/>
          <w:szCs w:val="27"/>
        </w:rPr>
        <w:t xml:space="preserve">Recommendation </w:t>
      </w:r>
      <w:r w:rsidRPr="00562BD9">
        <w:rPr>
          <w:rFonts w:ascii="Century Schoolbook" w:hAnsi="Century Schoolbook"/>
          <w:szCs w:val="26"/>
        </w:rPr>
        <w:t>(Dec. 1960)</w:t>
      </w:r>
      <w:r>
        <w:rPr>
          <w:rFonts w:ascii="Century Schoolbook" w:hAnsi="Century Schoolbook"/>
          <w:i/>
          <w:iCs/>
          <w:sz w:val="27"/>
          <w:szCs w:val="27"/>
        </w:rPr>
        <w:t xml:space="preserve"> </w:t>
      </w:r>
      <w:r w:rsidRPr="000D54E6">
        <w:rPr>
          <w:rFonts w:ascii="Century Schoolbook" w:hAnsi="Century Schoolbook"/>
          <w:sz w:val="27"/>
          <w:szCs w:val="27"/>
        </w:rPr>
        <w:t>3 Cal. Law Revision Com. Rep.,</w:t>
      </w:r>
      <w:r w:rsidRPr="00234877">
        <w:rPr>
          <w:rFonts w:ascii="Century Schoolbook" w:hAnsi="Century Schoolbook"/>
          <w:sz w:val="27"/>
          <w:szCs w:val="27"/>
        </w:rPr>
        <w:t xml:space="preserve"> </w:t>
      </w:r>
      <w:r w:rsidRPr="00234877">
        <w:rPr>
          <w:rFonts w:ascii="Century Schoolbook" w:hAnsi="Century Schoolbook"/>
          <w:i/>
          <w:iCs/>
          <w:sz w:val="27"/>
          <w:szCs w:val="27"/>
        </w:rPr>
        <w:t>supra</w:t>
      </w:r>
      <w:r w:rsidRPr="00234877">
        <w:rPr>
          <w:rFonts w:ascii="Century Schoolbook" w:hAnsi="Century Schoolbook"/>
          <w:sz w:val="27"/>
          <w:szCs w:val="27"/>
        </w:rPr>
        <w:t>, at p. G-9; see</w:t>
      </w:r>
      <w:r>
        <w:rPr>
          <w:rFonts w:ascii="Century Schoolbook" w:hAnsi="Century Schoolbook"/>
          <w:sz w:val="27"/>
          <w:szCs w:val="27"/>
        </w:rPr>
        <w:t xml:space="preserve"> Feldman, </w:t>
      </w:r>
      <w:r w:rsidRPr="00A5177D">
        <w:rPr>
          <w:rFonts w:ascii="Century Schoolbook" w:hAnsi="Century Schoolbook"/>
          <w:i/>
          <w:iCs/>
          <w:sz w:val="27"/>
          <w:szCs w:val="27"/>
        </w:rPr>
        <w:t>Arbitration Modernized</w:t>
      </w:r>
      <w:r>
        <w:rPr>
          <w:rFonts w:ascii="Century Schoolbook" w:hAnsi="Century Schoolbook"/>
          <w:i/>
          <w:iCs/>
          <w:sz w:val="27"/>
          <w:szCs w:val="27"/>
        </w:rPr>
        <w:t> </w:t>
      </w:r>
      <w:r w:rsidRPr="00A5177D">
        <w:rPr>
          <w:rFonts w:ascii="Century Schoolbook" w:hAnsi="Century Schoolbook"/>
          <w:i/>
          <w:iCs/>
          <w:sz w:val="27"/>
          <w:szCs w:val="27"/>
        </w:rPr>
        <w:t>— The New California Arbitration Act</w:t>
      </w:r>
      <w:r>
        <w:rPr>
          <w:rFonts w:ascii="Century Schoolbook" w:hAnsi="Century Schoolbook"/>
          <w:sz w:val="27"/>
          <w:szCs w:val="27"/>
        </w:rPr>
        <w:t xml:space="preserve"> (1961) 34 So.Cal. L.Rev. 413, fn. 1 [noting that the Legislature unanimously enacted the California Law Revision Commission’s draft bill without changes].)</w:t>
      </w:r>
      <w:r w:rsidRPr="00234877">
        <w:rPr>
          <w:rFonts w:ascii="Century Schoolbook" w:hAnsi="Century Schoolbook"/>
          <w:sz w:val="27"/>
          <w:szCs w:val="27"/>
        </w:rPr>
        <w:t xml:space="preserve">  That mechanism remains available for four years, preserving a remedy for the prevailing party even if the refusal to comply with the terms of the award occurs long after its service.  (3 Cal. Law Revision Com. Rep., at p. G-9.)  </w:t>
      </w:r>
    </w:p>
    <w:p w:rsidR="00F50802" w:rsidRPr="00234877" w:rsidP="00234877" w14:paraId="6A491C02" w14:textId="77777777">
      <w:pPr>
        <w:spacing w:after="100" w:line="400" w:lineRule="exact"/>
        <w:ind w:firstLine="720"/>
        <w:jc w:val="both"/>
        <w:rPr>
          <w:rFonts w:ascii="Century Schoolbook" w:hAnsi="Century Schoolbook"/>
          <w:sz w:val="27"/>
          <w:szCs w:val="27"/>
        </w:rPr>
      </w:pPr>
      <w:r w:rsidRPr="00234877">
        <w:rPr>
          <w:rFonts w:ascii="Century Schoolbook" w:hAnsi="Century Schoolbook"/>
          <w:sz w:val="27"/>
          <w:szCs w:val="27"/>
        </w:rPr>
        <w:t xml:space="preserve">By contrast, if the losing party wishes to attack the award, the statutes make clear that such a challenge must be made promptly to </w:t>
      </w:r>
      <w:r>
        <w:rPr>
          <w:rFonts w:ascii="Century Schoolbook" w:hAnsi="Century Schoolbook"/>
          <w:sz w:val="27"/>
          <w:szCs w:val="27"/>
        </w:rPr>
        <w:t>promote the timely final resolution of the matters submitted to arbitration</w:t>
      </w:r>
      <w:r w:rsidRPr="00234877">
        <w:rPr>
          <w:rFonts w:ascii="Century Schoolbook" w:hAnsi="Century Schoolbook"/>
          <w:sz w:val="27"/>
          <w:szCs w:val="27"/>
        </w:rPr>
        <w:t xml:space="preserve">.  (See </w:t>
      </w:r>
      <w:r>
        <w:rPr>
          <w:rFonts w:ascii="Century Schoolbook" w:hAnsi="Century Schoolbook"/>
          <w:sz w:val="27"/>
          <w:szCs w:val="27"/>
        </w:rPr>
        <w:t xml:space="preserve">Recommendation </w:t>
      </w:r>
      <w:r w:rsidRPr="00562BD9">
        <w:rPr>
          <w:rFonts w:ascii="Century Schoolbook" w:hAnsi="Century Schoolbook"/>
          <w:szCs w:val="26"/>
        </w:rPr>
        <w:t xml:space="preserve">(Dec. 1960) </w:t>
      </w:r>
      <w:r w:rsidRPr="00234877">
        <w:rPr>
          <w:rFonts w:ascii="Century Schoolbook" w:hAnsi="Century Schoolbook"/>
          <w:sz w:val="27"/>
          <w:szCs w:val="27"/>
        </w:rPr>
        <w:t xml:space="preserve">3 Cal. Law Revision Com. Rep., </w:t>
      </w:r>
      <w:r w:rsidRPr="00234877">
        <w:rPr>
          <w:rFonts w:ascii="Century Schoolbook" w:hAnsi="Century Schoolbook"/>
          <w:i/>
          <w:iCs/>
          <w:sz w:val="27"/>
          <w:szCs w:val="27"/>
        </w:rPr>
        <w:t>supra</w:t>
      </w:r>
      <w:r w:rsidRPr="00234877">
        <w:rPr>
          <w:rFonts w:ascii="Century Schoolbook" w:hAnsi="Century Schoolbook"/>
          <w:sz w:val="27"/>
          <w:szCs w:val="27"/>
        </w:rPr>
        <w:t>, at p. G-58.)  If such a challenge is made, the Act requires the court to settle all issues relating to the status of the arbitral award in a single proceeding, by either confirming the award (as rendered or as corrected by the court) or by vacating it.  (Code Civ. Proc., § 1286 [“If a petition or response under this chapter is duly served and filed, the court shall confirm the award as made . . . unless in accordance with this chapter it corrects the award and confirms it as corrected, vacates the award or dismisses the proceeding.”]; 3 Cal. Law Revision Com. Rep., at p. G-9 [“When a court entertains any proceeding relating to an award, it should finally settle the status of the award so that it will be unnecessary for the parties to return to the court at a later time for another determination of the status of the award.”].)  Reading the 100-day limitations period as a</w:t>
      </w:r>
      <w:r>
        <w:rPr>
          <w:rFonts w:ascii="Century Schoolbook" w:hAnsi="Century Schoolbook"/>
          <w:sz w:val="27"/>
          <w:szCs w:val="27"/>
        </w:rPr>
        <w:t xml:space="preserve"> statutory</w:t>
      </w:r>
      <w:r w:rsidRPr="00234877">
        <w:rPr>
          <w:rFonts w:ascii="Century Schoolbook" w:hAnsi="Century Schoolbook"/>
          <w:sz w:val="27"/>
          <w:szCs w:val="27"/>
        </w:rPr>
        <w:t xml:space="preserve"> outer boundary on the timeliness of a vacatur request</w:t>
      </w:r>
      <w:r>
        <w:rPr>
          <w:rFonts w:ascii="Century Schoolbook" w:hAnsi="Century Schoolbook"/>
          <w:sz w:val="27"/>
          <w:szCs w:val="27"/>
        </w:rPr>
        <w:t xml:space="preserve">, </w:t>
      </w:r>
      <w:r w:rsidRPr="00234877">
        <w:rPr>
          <w:rFonts w:ascii="Century Schoolbook" w:hAnsi="Century Schoolbook"/>
          <w:sz w:val="27"/>
          <w:szCs w:val="27"/>
        </w:rPr>
        <w:t xml:space="preserve"> even when the request is made in response to a petition to confirm</w:t>
      </w:r>
      <w:r>
        <w:rPr>
          <w:rFonts w:ascii="Century Schoolbook" w:hAnsi="Century Schoolbook"/>
          <w:sz w:val="27"/>
          <w:szCs w:val="27"/>
        </w:rPr>
        <w:t xml:space="preserve">, </w:t>
      </w:r>
      <w:r w:rsidRPr="00234877">
        <w:rPr>
          <w:rFonts w:ascii="Century Schoolbook" w:hAnsi="Century Schoolbook"/>
          <w:sz w:val="27"/>
          <w:szCs w:val="27"/>
        </w:rPr>
        <w:t xml:space="preserve">respects the </w:t>
      </w:r>
      <w:r>
        <w:rPr>
          <w:rFonts w:ascii="Century Schoolbook" w:hAnsi="Century Schoolbook"/>
          <w:sz w:val="27"/>
          <w:szCs w:val="27"/>
        </w:rPr>
        <w:t xml:space="preserve">Legislature’s evident </w:t>
      </w:r>
      <w:r w:rsidRPr="00234877">
        <w:rPr>
          <w:rFonts w:ascii="Century Schoolbook" w:hAnsi="Century Schoolbook"/>
          <w:sz w:val="27"/>
          <w:szCs w:val="27"/>
        </w:rPr>
        <w:t>purpose to promote the efficient final resolution of disputes decided in arbitration.</w:t>
      </w:r>
    </w:p>
    <w:p w:rsidR="00F50802" w:rsidRPr="00234877" w:rsidP="00234877" w14:paraId="11C45830" w14:textId="77777777">
      <w:pPr>
        <w:spacing w:after="100" w:line="400" w:lineRule="exact"/>
        <w:ind w:firstLine="720"/>
        <w:jc w:val="both"/>
        <w:rPr>
          <w:rFonts w:ascii="Century Schoolbook" w:hAnsi="Century Schoolbook"/>
          <w:b/>
          <w:bCs/>
          <w:sz w:val="27"/>
          <w:szCs w:val="27"/>
        </w:rPr>
      </w:pPr>
      <w:r w:rsidRPr="00234877">
        <w:rPr>
          <w:rFonts w:ascii="Century Schoolbook" w:hAnsi="Century Schoolbook"/>
          <w:sz w:val="27"/>
          <w:szCs w:val="27"/>
        </w:rPr>
        <w:t xml:space="preserve">Key argues that it would do no harm to the </w:t>
      </w:r>
      <w:r>
        <w:rPr>
          <w:rFonts w:ascii="Century Schoolbook" w:hAnsi="Century Schoolbook"/>
          <w:sz w:val="27"/>
          <w:szCs w:val="27"/>
        </w:rPr>
        <w:t xml:space="preserve">Legislature’s aims </w:t>
      </w:r>
      <w:r w:rsidRPr="00234877">
        <w:rPr>
          <w:rFonts w:ascii="Century Schoolbook" w:hAnsi="Century Schoolbook"/>
          <w:sz w:val="27"/>
          <w:szCs w:val="27"/>
        </w:rPr>
        <w:t>if we were to recognize a modest exception for circumstances when the prevailing party file</w:t>
      </w:r>
      <w:r>
        <w:rPr>
          <w:rFonts w:ascii="Century Schoolbook" w:hAnsi="Century Schoolbook"/>
          <w:sz w:val="27"/>
          <w:szCs w:val="27"/>
        </w:rPr>
        <w:t>s</w:t>
      </w:r>
      <w:r w:rsidRPr="00234877">
        <w:rPr>
          <w:rFonts w:ascii="Century Schoolbook" w:hAnsi="Century Schoolbook"/>
          <w:sz w:val="27"/>
          <w:szCs w:val="27"/>
        </w:rPr>
        <w:t xml:space="preserve"> a petition to confirm within the first 100 days after the service of the award, </w:t>
      </w:r>
      <w:r>
        <w:rPr>
          <w:rFonts w:ascii="Century Schoolbook" w:hAnsi="Century Schoolbook"/>
          <w:sz w:val="27"/>
          <w:szCs w:val="27"/>
        </w:rPr>
        <w:t xml:space="preserve">as Lender did here, </w:t>
      </w:r>
      <w:r w:rsidRPr="00234877">
        <w:rPr>
          <w:rFonts w:ascii="Century Schoolbook" w:hAnsi="Century Schoolbook"/>
          <w:sz w:val="27"/>
          <w:szCs w:val="27"/>
        </w:rPr>
        <w:t xml:space="preserve">rather than later in the four-year limitations period.  But </w:t>
      </w:r>
      <w:r>
        <w:rPr>
          <w:rFonts w:ascii="Century Schoolbook" w:hAnsi="Century Schoolbook"/>
          <w:sz w:val="27"/>
          <w:szCs w:val="27"/>
        </w:rPr>
        <w:t xml:space="preserve">the statute contains no exception based on when the petition to confirm is filed.  And there </w:t>
      </w:r>
      <w:r w:rsidRPr="00234877">
        <w:rPr>
          <w:rFonts w:ascii="Century Schoolbook" w:hAnsi="Century Schoolbook"/>
          <w:sz w:val="27"/>
          <w:szCs w:val="27"/>
        </w:rPr>
        <w:t xml:space="preserve">is nothing modest about </w:t>
      </w:r>
      <w:r>
        <w:rPr>
          <w:rFonts w:ascii="Century Schoolbook" w:hAnsi="Century Schoolbook"/>
          <w:sz w:val="27"/>
          <w:szCs w:val="27"/>
        </w:rPr>
        <w:t xml:space="preserve">recognizing </w:t>
      </w:r>
      <w:r w:rsidRPr="00234877">
        <w:rPr>
          <w:rFonts w:ascii="Century Schoolbook" w:hAnsi="Century Schoolbook"/>
          <w:sz w:val="27"/>
          <w:szCs w:val="27"/>
        </w:rPr>
        <w:t xml:space="preserve">a statutory exception the Legislature did not write. </w:t>
      </w:r>
    </w:p>
    <w:p w:rsidR="009B592B" w:rsidRPr="00FC4B3F" w:rsidP="00234877" w14:paraId="3477ECA6" w14:textId="77777777">
      <w:pPr>
        <w:spacing w:after="100" w:line="400" w:lineRule="exact"/>
        <w:ind w:firstLine="720"/>
        <w:jc w:val="both"/>
        <w:rPr>
          <w:rFonts w:ascii="Century Schoolbook" w:hAnsi="Century Schoolbook"/>
          <w:sz w:val="27"/>
          <w:szCs w:val="27"/>
        </w:rPr>
      </w:pPr>
      <w:r w:rsidRPr="00234877">
        <w:rPr>
          <w:rFonts w:ascii="Century Schoolbook" w:hAnsi="Century Schoolbook"/>
          <w:sz w:val="27"/>
          <w:szCs w:val="27"/>
        </w:rPr>
        <w:t>Key cites several Court of Appeal cases as support for her position</w:t>
      </w:r>
      <w:r>
        <w:rPr>
          <w:rFonts w:ascii="Century Schoolbook" w:hAnsi="Century Schoolbook"/>
          <w:sz w:val="27"/>
          <w:szCs w:val="27"/>
        </w:rPr>
        <w:t xml:space="preserve">.  But </w:t>
      </w:r>
      <w:r w:rsidRPr="00234877">
        <w:rPr>
          <w:rFonts w:ascii="Century Schoolbook" w:hAnsi="Century Schoolbook"/>
          <w:sz w:val="27"/>
          <w:szCs w:val="27"/>
        </w:rPr>
        <w:t>as she acknowledges</w:t>
      </w:r>
      <w:r>
        <w:rPr>
          <w:rFonts w:ascii="Century Schoolbook" w:hAnsi="Century Schoolbook"/>
          <w:sz w:val="27"/>
          <w:szCs w:val="27"/>
        </w:rPr>
        <w:t xml:space="preserve">, </w:t>
      </w:r>
      <w:r w:rsidRPr="00234877">
        <w:rPr>
          <w:rFonts w:ascii="Century Schoolbook" w:hAnsi="Century Schoolbook"/>
          <w:sz w:val="27"/>
          <w:szCs w:val="27"/>
        </w:rPr>
        <w:t xml:space="preserve">none of those cases </w:t>
      </w:r>
      <w:r>
        <w:rPr>
          <w:rFonts w:ascii="Century Schoolbook" w:hAnsi="Century Schoolbook"/>
          <w:sz w:val="27"/>
          <w:szCs w:val="27"/>
        </w:rPr>
        <w:t>actually confronted</w:t>
      </w:r>
      <w:r w:rsidRPr="00234877">
        <w:rPr>
          <w:rFonts w:ascii="Century Schoolbook" w:hAnsi="Century Schoolbook"/>
          <w:sz w:val="27"/>
          <w:szCs w:val="27"/>
        </w:rPr>
        <w:t xml:space="preserve"> the situation here, where the party seeking to vacate the award complied with the general  </w:t>
      </w:r>
      <w:r>
        <w:rPr>
          <w:rFonts w:ascii="Century Schoolbook" w:hAnsi="Century Schoolbook"/>
          <w:sz w:val="27"/>
          <w:szCs w:val="27"/>
        </w:rPr>
        <w:t xml:space="preserve">section 1290.6 </w:t>
      </w:r>
      <w:r w:rsidRPr="00234877">
        <w:rPr>
          <w:rFonts w:ascii="Century Schoolbook" w:hAnsi="Century Schoolbook"/>
          <w:sz w:val="27"/>
          <w:szCs w:val="27"/>
        </w:rPr>
        <w:t xml:space="preserve">deadline for responses in arbitration matters, but not </w:t>
      </w:r>
      <w:r>
        <w:rPr>
          <w:rFonts w:ascii="Century Schoolbook" w:hAnsi="Century Schoolbook"/>
          <w:sz w:val="27"/>
          <w:szCs w:val="27"/>
        </w:rPr>
        <w:t xml:space="preserve">section 1288.2’s </w:t>
      </w:r>
      <w:r w:rsidRPr="00234877">
        <w:rPr>
          <w:rFonts w:ascii="Century Schoolbook" w:hAnsi="Century Schoolbook"/>
          <w:sz w:val="27"/>
          <w:szCs w:val="27"/>
        </w:rPr>
        <w:t xml:space="preserve">100-day deadline for </w:t>
      </w:r>
      <w:r>
        <w:rPr>
          <w:rFonts w:ascii="Century Schoolbook" w:hAnsi="Century Schoolbook"/>
          <w:sz w:val="27"/>
          <w:szCs w:val="27"/>
        </w:rPr>
        <w:t xml:space="preserve">responses requesting </w:t>
      </w:r>
      <w:r w:rsidRPr="00234877">
        <w:rPr>
          <w:rFonts w:ascii="Century Schoolbook" w:hAnsi="Century Schoolbook"/>
          <w:sz w:val="27"/>
          <w:szCs w:val="27"/>
        </w:rPr>
        <w:t xml:space="preserve">vacatur.  </w:t>
      </w:r>
      <w:r w:rsidRPr="0064261B">
        <w:rPr>
          <w:rFonts w:ascii="Century Schoolbook" w:hAnsi="Century Schoolbook"/>
          <w:sz w:val="27"/>
          <w:szCs w:val="27"/>
        </w:rPr>
        <w:t>In several of them, the losing party to the arbitration complied with the 100-day deadline, so the court had no occasion to consider the consequences of a failure to adhere to that deadline.  (</w:t>
      </w:r>
      <w:r w:rsidRPr="0064261B">
        <w:rPr>
          <w:rFonts w:ascii="Century Schoolbook" w:hAnsi="Century Schoolbook"/>
          <w:i/>
          <w:iCs/>
          <w:sz w:val="27"/>
          <w:szCs w:val="27"/>
        </w:rPr>
        <w:t>Rivera</w:t>
      </w:r>
      <w:r w:rsidRPr="00234877">
        <w:rPr>
          <w:rFonts w:ascii="Century Schoolbook" w:hAnsi="Century Schoolbook"/>
          <w:i/>
          <w:iCs/>
          <w:sz w:val="27"/>
          <w:szCs w:val="27"/>
        </w:rPr>
        <w:t xml:space="preserve"> v. Shivers</w:t>
      </w:r>
      <w:r w:rsidRPr="00234877">
        <w:rPr>
          <w:rFonts w:ascii="Century Schoolbook" w:hAnsi="Century Schoolbook"/>
          <w:sz w:val="27"/>
          <w:szCs w:val="27"/>
        </w:rPr>
        <w:t xml:space="preserve"> (2020) 54 Cal.App.5th 82</w:t>
      </w:r>
      <w:r w:rsidRPr="00FC4B3F">
        <w:rPr>
          <w:rFonts w:ascii="Century Schoolbook" w:hAnsi="Century Schoolbook"/>
          <w:sz w:val="27"/>
          <w:szCs w:val="27"/>
        </w:rPr>
        <w:t>,</w:t>
      </w:r>
      <w:r w:rsidRPr="00FC4B3F">
        <w:rPr>
          <w:rFonts w:ascii="Century Schoolbook" w:hAnsi="Century Schoolbook"/>
          <w:i/>
          <w:iCs/>
          <w:sz w:val="27"/>
          <w:szCs w:val="27"/>
        </w:rPr>
        <w:t xml:space="preserve"> </w:t>
      </w:r>
      <w:r w:rsidRPr="00FC4B3F">
        <w:rPr>
          <w:rFonts w:ascii="Century Schoolbook" w:hAnsi="Century Schoolbook"/>
          <w:sz w:val="27"/>
          <w:szCs w:val="27"/>
        </w:rPr>
        <w:t xml:space="preserve">93–94; </w:t>
      </w:r>
      <w:bookmarkStart w:id="10" w:name="_Hlk134691686"/>
      <w:r w:rsidRPr="00FC4B3F">
        <w:rPr>
          <w:rFonts w:ascii="Century Schoolbook" w:hAnsi="Century Schoolbook"/>
          <w:i/>
          <w:iCs/>
          <w:sz w:val="27"/>
          <w:szCs w:val="27"/>
        </w:rPr>
        <w:t>Oaktree Capital Management</w:t>
      </w:r>
      <w:r>
        <w:rPr>
          <w:rFonts w:ascii="Century Schoolbook" w:hAnsi="Century Schoolbook"/>
          <w:i/>
          <w:iCs/>
          <w:sz w:val="27"/>
          <w:szCs w:val="27"/>
        </w:rPr>
        <w:t xml:space="preserve">, L.P. v. Bernard </w:t>
      </w:r>
      <w:r>
        <w:rPr>
          <w:rFonts w:ascii="Century Schoolbook" w:hAnsi="Century Schoolbook"/>
          <w:sz w:val="27"/>
          <w:szCs w:val="27"/>
        </w:rPr>
        <w:t>(2010) 182 Cal.App.4th 60</w:t>
      </w:r>
      <w:r w:rsidRPr="00FC4B3F">
        <w:rPr>
          <w:rFonts w:ascii="Century Schoolbook" w:hAnsi="Century Schoolbook"/>
          <w:sz w:val="27"/>
          <w:szCs w:val="27"/>
        </w:rPr>
        <w:t>, 64–66</w:t>
      </w:r>
      <w:r>
        <w:rPr>
          <w:rFonts w:ascii="Century Schoolbook" w:hAnsi="Century Schoolbook"/>
          <w:sz w:val="27"/>
          <w:szCs w:val="27"/>
        </w:rPr>
        <w:t xml:space="preserve"> (</w:t>
      </w:r>
      <w:r>
        <w:rPr>
          <w:rFonts w:ascii="Century Schoolbook" w:hAnsi="Century Schoolbook"/>
          <w:i/>
          <w:iCs/>
          <w:sz w:val="27"/>
          <w:szCs w:val="27"/>
        </w:rPr>
        <w:t>Oaktree Capital Management</w:t>
      </w:r>
      <w:r>
        <w:rPr>
          <w:rFonts w:ascii="Century Schoolbook" w:hAnsi="Century Schoolbook"/>
          <w:sz w:val="27"/>
          <w:szCs w:val="27"/>
        </w:rPr>
        <w:t>)</w:t>
      </w:r>
      <w:bookmarkEnd w:id="10"/>
      <w:r w:rsidRPr="00FC4B3F">
        <w:rPr>
          <w:rFonts w:ascii="Century Schoolbook" w:hAnsi="Century Schoolbook"/>
          <w:sz w:val="27"/>
          <w:szCs w:val="27"/>
        </w:rPr>
        <w:t xml:space="preserve">; </w:t>
      </w:r>
      <w:r w:rsidRPr="00FC4B3F">
        <w:rPr>
          <w:rFonts w:ascii="Century Schoolbook" w:hAnsi="Century Schoolbook"/>
          <w:i/>
          <w:iCs/>
          <w:sz w:val="27"/>
          <w:szCs w:val="27"/>
        </w:rPr>
        <w:t>Coordinated Construction</w:t>
      </w:r>
      <w:r>
        <w:rPr>
          <w:rFonts w:ascii="Century Schoolbook" w:hAnsi="Century Schoolbook"/>
          <w:i/>
          <w:iCs/>
          <w:sz w:val="27"/>
          <w:szCs w:val="27"/>
        </w:rPr>
        <w:t xml:space="preserve">, Inc. v. Canoga Big “A,” Inc. </w:t>
      </w:r>
      <w:r>
        <w:rPr>
          <w:rFonts w:ascii="Century Schoolbook" w:hAnsi="Century Schoolbook"/>
          <w:sz w:val="27"/>
          <w:szCs w:val="27"/>
        </w:rPr>
        <w:t>(1965) 238 Cal.App.2d 313,</w:t>
      </w:r>
      <w:r w:rsidRPr="0064261B">
        <w:rPr>
          <w:rFonts w:ascii="Century Schoolbook" w:hAnsi="Century Schoolbook"/>
          <w:sz w:val="27"/>
          <w:szCs w:val="27"/>
        </w:rPr>
        <w:t> 316–317</w:t>
      </w:r>
      <w:r w:rsidRPr="00FC4B3F">
        <w:rPr>
          <w:rFonts w:ascii="Century Schoolbook" w:hAnsi="Century Schoolbook"/>
          <w:sz w:val="27"/>
          <w:szCs w:val="27"/>
        </w:rPr>
        <w:t>.)  In every other case, the losing party to the arbitration failed to comply with both section 1290.6 and section 1288.2 — meaning that those cases also had no reason to determine whether one deadline superseded the other.  (</w:t>
      </w:r>
      <w:r w:rsidRPr="00FC4B3F">
        <w:rPr>
          <w:rFonts w:ascii="Century Schoolbook" w:hAnsi="Century Schoolbook"/>
          <w:i/>
          <w:iCs/>
          <w:sz w:val="27"/>
          <w:szCs w:val="27"/>
        </w:rPr>
        <w:t>Soni</w:t>
      </w:r>
      <w:r>
        <w:rPr>
          <w:rFonts w:ascii="Century Schoolbook" w:hAnsi="Century Schoolbook"/>
          <w:i/>
          <w:iCs/>
          <w:sz w:val="27"/>
          <w:szCs w:val="27"/>
        </w:rPr>
        <w:t xml:space="preserve"> v. SimpleLayers, Inc. </w:t>
      </w:r>
      <w:r>
        <w:rPr>
          <w:rFonts w:ascii="Century Schoolbook" w:hAnsi="Century Schoolbook"/>
          <w:sz w:val="27"/>
          <w:szCs w:val="27"/>
        </w:rPr>
        <w:t>(2019) 42 Cal.App.5th 1071</w:t>
      </w:r>
      <w:r w:rsidRPr="00FC4B3F">
        <w:rPr>
          <w:rFonts w:ascii="Century Schoolbook" w:hAnsi="Century Schoolbook"/>
          <w:sz w:val="27"/>
          <w:szCs w:val="27"/>
        </w:rPr>
        <w:t xml:space="preserve">, 1081–1082; </w:t>
      </w:r>
      <w:r w:rsidRPr="00FC4B3F">
        <w:rPr>
          <w:rFonts w:ascii="Century Schoolbook" w:hAnsi="Century Schoolbook"/>
          <w:i/>
          <w:iCs/>
          <w:sz w:val="27"/>
          <w:szCs w:val="27"/>
        </w:rPr>
        <w:t>Douglass</w:t>
      </w:r>
      <w:r>
        <w:rPr>
          <w:rFonts w:ascii="Century Schoolbook" w:hAnsi="Century Schoolbook"/>
          <w:i/>
          <w:iCs/>
          <w:sz w:val="27"/>
          <w:szCs w:val="27"/>
        </w:rPr>
        <w:t xml:space="preserve"> v. Serenivision, Inc. </w:t>
      </w:r>
      <w:r>
        <w:rPr>
          <w:rFonts w:ascii="Century Schoolbook" w:hAnsi="Century Schoolbook"/>
          <w:sz w:val="27"/>
          <w:szCs w:val="27"/>
        </w:rPr>
        <w:t>(2018) 20 Cal.App.5th 376</w:t>
      </w:r>
      <w:r w:rsidRPr="00FC4B3F">
        <w:rPr>
          <w:rFonts w:ascii="Century Schoolbook" w:hAnsi="Century Schoolbook"/>
          <w:sz w:val="27"/>
          <w:szCs w:val="27"/>
        </w:rPr>
        <w:t xml:space="preserve">, 384–385; </w:t>
      </w:r>
      <w:r w:rsidRPr="00FC4B3F">
        <w:rPr>
          <w:rFonts w:ascii="Century Schoolbook" w:hAnsi="Century Schoolbook"/>
          <w:i/>
          <w:iCs/>
          <w:sz w:val="27"/>
          <w:szCs w:val="27"/>
        </w:rPr>
        <w:t>Santa Monica College</w:t>
      </w:r>
      <w:r>
        <w:rPr>
          <w:rFonts w:ascii="Century Schoolbook" w:hAnsi="Century Schoolbook"/>
          <w:i/>
          <w:iCs/>
          <w:sz w:val="27"/>
          <w:szCs w:val="27"/>
        </w:rPr>
        <w:t xml:space="preserve"> Faculty Assn. v. Santa Monica Community College Dist. </w:t>
      </w:r>
      <w:r>
        <w:rPr>
          <w:rFonts w:ascii="Century Schoolbook" w:hAnsi="Century Schoolbook"/>
          <w:sz w:val="27"/>
          <w:szCs w:val="27"/>
        </w:rPr>
        <w:t>(2015) 243 Cal.Ap.4th 538</w:t>
      </w:r>
      <w:r w:rsidRPr="00FC4B3F">
        <w:rPr>
          <w:rFonts w:ascii="Century Schoolbook" w:hAnsi="Century Schoolbook"/>
          <w:sz w:val="27"/>
          <w:szCs w:val="27"/>
        </w:rPr>
        <w:t xml:space="preserve">, 543–545; </w:t>
      </w:r>
      <w:r w:rsidRPr="00FC4B3F">
        <w:rPr>
          <w:rFonts w:ascii="Century Schoolbook" w:hAnsi="Century Schoolbook"/>
          <w:i/>
          <w:iCs/>
          <w:sz w:val="27"/>
          <w:szCs w:val="27"/>
        </w:rPr>
        <w:t>Eternity Investments</w:t>
      </w:r>
      <w:r>
        <w:rPr>
          <w:rFonts w:ascii="Century Schoolbook" w:hAnsi="Century Schoolbook"/>
          <w:i/>
          <w:iCs/>
          <w:sz w:val="27"/>
          <w:szCs w:val="27"/>
        </w:rPr>
        <w:t xml:space="preserve">, Inc. v. Brown </w:t>
      </w:r>
      <w:r>
        <w:rPr>
          <w:rFonts w:ascii="Century Schoolbook" w:hAnsi="Century Schoolbook"/>
          <w:sz w:val="27"/>
          <w:szCs w:val="27"/>
        </w:rPr>
        <w:t>(2007) 151 Cal.App.4th</w:t>
      </w:r>
      <w:r w:rsidRPr="00FC4B3F">
        <w:rPr>
          <w:rFonts w:ascii="Century Schoolbook" w:hAnsi="Century Schoolbook"/>
          <w:sz w:val="27"/>
          <w:szCs w:val="27"/>
        </w:rPr>
        <w:t xml:space="preserve"> </w:t>
      </w:r>
      <w:r>
        <w:rPr>
          <w:rFonts w:ascii="Century Schoolbook" w:hAnsi="Century Schoolbook"/>
          <w:sz w:val="27"/>
          <w:szCs w:val="27"/>
        </w:rPr>
        <w:t>739,</w:t>
      </w:r>
      <w:r w:rsidRPr="00FC4B3F">
        <w:rPr>
          <w:rFonts w:ascii="Century Schoolbook" w:hAnsi="Century Schoolbook"/>
          <w:sz w:val="27"/>
          <w:szCs w:val="27"/>
        </w:rPr>
        <w:t xml:space="preserve"> 742, 745; </w:t>
      </w:r>
      <w:bookmarkStart w:id="11" w:name="_Hlk134692439"/>
      <w:r w:rsidRPr="00FC4B3F">
        <w:rPr>
          <w:rFonts w:ascii="Century Schoolbook" w:hAnsi="Century Schoolbook"/>
          <w:i/>
          <w:iCs/>
          <w:sz w:val="27"/>
          <w:szCs w:val="27"/>
        </w:rPr>
        <w:t>Lovret</w:t>
      </w:r>
      <w:r>
        <w:rPr>
          <w:rFonts w:ascii="Century Schoolbook" w:hAnsi="Century Schoolbook"/>
          <w:i/>
          <w:iCs/>
          <w:sz w:val="27"/>
          <w:szCs w:val="27"/>
        </w:rPr>
        <w:t xml:space="preserve"> v. Seyfarth </w:t>
      </w:r>
      <w:r>
        <w:rPr>
          <w:rFonts w:ascii="Century Schoolbook" w:hAnsi="Century Schoolbook"/>
          <w:sz w:val="27"/>
          <w:szCs w:val="27"/>
        </w:rPr>
        <w:t>(1972) 22 Cal.App.3d 841</w:t>
      </w:r>
      <w:r w:rsidRPr="00FC4B3F">
        <w:rPr>
          <w:rFonts w:ascii="Century Schoolbook" w:hAnsi="Century Schoolbook"/>
          <w:sz w:val="27"/>
          <w:szCs w:val="27"/>
        </w:rPr>
        <w:t>, 847–849, 856</w:t>
      </w:r>
      <w:r>
        <w:rPr>
          <w:rFonts w:ascii="Century Schoolbook" w:hAnsi="Century Schoolbook"/>
          <w:sz w:val="27"/>
          <w:szCs w:val="27"/>
        </w:rPr>
        <w:t xml:space="preserve"> (</w:t>
      </w:r>
      <w:r>
        <w:rPr>
          <w:rFonts w:ascii="Century Schoolbook" w:hAnsi="Century Schoolbook"/>
          <w:i/>
          <w:iCs/>
          <w:sz w:val="27"/>
          <w:szCs w:val="27"/>
        </w:rPr>
        <w:t>Lovret</w:t>
      </w:r>
      <w:r>
        <w:rPr>
          <w:rFonts w:ascii="Century Schoolbook" w:hAnsi="Century Schoolbook"/>
          <w:sz w:val="27"/>
          <w:szCs w:val="27"/>
        </w:rPr>
        <w:t>)</w:t>
      </w:r>
      <w:r w:rsidRPr="00FC4B3F">
        <w:rPr>
          <w:rFonts w:ascii="Century Schoolbook" w:hAnsi="Century Schoolbook"/>
          <w:sz w:val="27"/>
          <w:szCs w:val="27"/>
        </w:rPr>
        <w:t xml:space="preserve">; </w:t>
      </w:r>
      <w:r w:rsidRPr="00FC4B3F">
        <w:rPr>
          <w:rFonts w:ascii="Century Schoolbook" w:hAnsi="Century Schoolbook"/>
          <w:i/>
          <w:iCs/>
          <w:sz w:val="27"/>
          <w:szCs w:val="27"/>
        </w:rPr>
        <w:t>DeMello</w:t>
      </w:r>
      <w:r>
        <w:rPr>
          <w:rFonts w:ascii="Century Schoolbook" w:hAnsi="Century Schoolbook"/>
          <w:i/>
          <w:iCs/>
          <w:sz w:val="27"/>
          <w:szCs w:val="27"/>
        </w:rPr>
        <w:t xml:space="preserve"> v. Souza </w:t>
      </w:r>
      <w:r>
        <w:rPr>
          <w:rFonts w:ascii="Century Schoolbook" w:hAnsi="Century Schoolbook"/>
          <w:sz w:val="27"/>
          <w:szCs w:val="27"/>
        </w:rPr>
        <w:t>(1973) 36 Cal.App.3d 79</w:t>
      </w:r>
      <w:r w:rsidRPr="00FC4B3F">
        <w:rPr>
          <w:rFonts w:ascii="Century Schoolbook" w:hAnsi="Century Schoolbook"/>
          <w:sz w:val="27"/>
          <w:szCs w:val="27"/>
        </w:rPr>
        <w:t>, 83–84</w:t>
      </w:r>
      <w:r>
        <w:rPr>
          <w:rFonts w:ascii="Century Schoolbook" w:hAnsi="Century Schoolbook"/>
          <w:sz w:val="27"/>
          <w:szCs w:val="27"/>
        </w:rPr>
        <w:t xml:space="preserve"> (</w:t>
      </w:r>
      <w:r>
        <w:rPr>
          <w:rFonts w:ascii="Century Schoolbook" w:hAnsi="Century Schoolbook"/>
          <w:i/>
          <w:iCs/>
          <w:sz w:val="27"/>
          <w:szCs w:val="27"/>
        </w:rPr>
        <w:t>DeMello</w:t>
      </w:r>
      <w:r>
        <w:rPr>
          <w:rFonts w:ascii="Century Schoolbook" w:hAnsi="Century Schoolbook"/>
          <w:sz w:val="27"/>
          <w:szCs w:val="27"/>
        </w:rPr>
        <w:t>)</w:t>
      </w:r>
      <w:r w:rsidRPr="00FC4B3F">
        <w:rPr>
          <w:rFonts w:ascii="Century Schoolbook" w:hAnsi="Century Schoolbook"/>
          <w:sz w:val="27"/>
          <w:szCs w:val="27"/>
        </w:rPr>
        <w:t xml:space="preserve">.)  </w:t>
      </w:r>
      <w:bookmarkEnd w:id="11"/>
      <w:r>
        <w:rPr>
          <w:rFonts w:ascii="Century Schoolbook" w:hAnsi="Century Schoolbook"/>
          <w:sz w:val="27"/>
          <w:szCs w:val="27"/>
        </w:rPr>
        <w:t>N</w:t>
      </w:r>
      <w:r w:rsidRPr="00FC4B3F">
        <w:rPr>
          <w:rFonts w:ascii="Century Schoolbook" w:hAnsi="Century Schoolbook"/>
          <w:sz w:val="27"/>
          <w:szCs w:val="27"/>
        </w:rPr>
        <w:t xml:space="preserve">one of the cited cases stand for the rule that Key presses here — and, to the contrary, several of the cases plainly state that a party seeking to vacate an award must raise that challenge within 100 days of the award’s service.  (See, e.g., </w:t>
      </w:r>
      <w:r w:rsidRPr="00FC4B3F">
        <w:rPr>
          <w:rFonts w:ascii="Century Schoolbook" w:hAnsi="Century Schoolbook"/>
          <w:i/>
          <w:iCs/>
          <w:sz w:val="27"/>
          <w:szCs w:val="27"/>
        </w:rPr>
        <w:t>Eternity Investments</w:t>
      </w:r>
      <w:r w:rsidRPr="00FC4B3F">
        <w:rPr>
          <w:rFonts w:ascii="Century Schoolbook" w:hAnsi="Century Schoolbook"/>
          <w:sz w:val="27"/>
          <w:szCs w:val="27"/>
        </w:rPr>
        <w:t>,</w:t>
      </w:r>
      <w:r w:rsidRPr="00FC4B3F">
        <w:rPr>
          <w:rFonts w:ascii="Century Schoolbook" w:hAnsi="Century Schoolbook"/>
          <w:i/>
          <w:iCs/>
          <w:sz w:val="27"/>
          <w:szCs w:val="27"/>
        </w:rPr>
        <w:t xml:space="preserve"> </w:t>
      </w:r>
      <w:r w:rsidRPr="00FC4B3F">
        <w:rPr>
          <w:rFonts w:ascii="Century Schoolbook" w:hAnsi="Century Schoolbook"/>
          <w:sz w:val="27"/>
          <w:szCs w:val="27"/>
        </w:rPr>
        <w:t xml:space="preserve">at p. 746 [“[T]he Browns did not serve or file a </w:t>
      </w:r>
      <w:r w:rsidRPr="00FC4B3F">
        <w:rPr>
          <w:rFonts w:ascii="Century Schoolbook" w:hAnsi="Century Schoolbook"/>
          <w:i/>
          <w:iCs/>
          <w:sz w:val="27"/>
          <w:szCs w:val="27"/>
        </w:rPr>
        <w:t>petition</w:t>
      </w:r>
      <w:r w:rsidRPr="00FC4B3F">
        <w:rPr>
          <w:rFonts w:ascii="Century Schoolbook" w:hAnsi="Century Schoolbook"/>
          <w:sz w:val="27"/>
          <w:szCs w:val="27"/>
        </w:rPr>
        <w:t xml:space="preserve"> or </w:t>
      </w:r>
      <w:r w:rsidRPr="00FC4B3F">
        <w:rPr>
          <w:rFonts w:ascii="Century Schoolbook" w:hAnsi="Century Schoolbook"/>
          <w:i/>
          <w:iCs/>
          <w:sz w:val="27"/>
          <w:szCs w:val="27"/>
        </w:rPr>
        <w:t>response</w:t>
      </w:r>
      <w:r w:rsidRPr="00FC4B3F">
        <w:rPr>
          <w:rFonts w:ascii="Century Schoolbook" w:hAnsi="Century Schoolbook"/>
          <w:sz w:val="27"/>
          <w:szCs w:val="27"/>
        </w:rPr>
        <w:t xml:space="preserve"> to correct or vacate the award before the 100-day period expired. . . .  At that point, it was too late for the Browns to seek correction or vacatur.”].)  </w:t>
      </w:r>
    </w:p>
    <w:p w:rsidR="00365224" w:rsidRPr="00FC4B3F" w:rsidP="00234877" w14:paraId="77BE7385" w14:textId="77777777">
      <w:pPr>
        <w:spacing w:after="100" w:line="400" w:lineRule="exact"/>
        <w:ind w:firstLine="720"/>
        <w:jc w:val="both"/>
        <w:rPr>
          <w:rFonts w:ascii="Century Schoolbook" w:hAnsi="Century Schoolbook"/>
          <w:sz w:val="27"/>
          <w:szCs w:val="27"/>
        </w:rPr>
      </w:pPr>
      <w:r w:rsidRPr="00FC4B3F">
        <w:rPr>
          <w:rFonts w:ascii="Century Schoolbook" w:hAnsi="Century Schoolbook"/>
          <w:sz w:val="27"/>
          <w:szCs w:val="27"/>
        </w:rPr>
        <w:t xml:space="preserve">To conjure support for her position, Key plucks sentences in those decisions from their factual context.  For example, she notes that some cases have characterized section 1290.6 as an “exception” to section 1288.2 that applies when the prevailing party in arbitration has filed a petition to confirm.  (E.g., </w:t>
      </w:r>
      <w:r w:rsidRPr="00FC4B3F">
        <w:rPr>
          <w:rFonts w:ascii="Century Schoolbook" w:hAnsi="Century Schoolbook"/>
          <w:i/>
          <w:iCs/>
          <w:sz w:val="27"/>
          <w:szCs w:val="27"/>
        </w:rPr>
        <w:t>Oaktree Capital Management</w:t>
      </w:r>
      <w:r w:rsidRPr="00FC4B3F">
        <w:rPr>
          <w:rFonts w:ascii="Century Schoolbook" w:hAnsi="Century Schoolbook"/>
          <w:sz w:val="27"/>
          <w:szCs w:val="27"/>
        </w:rPr>
        <w:t>,</w:t>
      </w:r>
      <w:r w:rsidRPr="00FC4B3F">
        <w:rPr>
          <w:rFonts w:ascii="Century Schoolbook" w:hAnsi="Century Schoolbook"/>
          <w:i/>
          <w:iCs/>
          <w:sz w:val="27"/>
          <w:szCs w:val="27"/>
        </w:rPr>
        <w:t xml:space="preserve"> supra</w:t>
      </w:r>
      <w:r w:rsidRPr="00FC4B3F">
        <w:rPr>
          <w:rFonts w:ascii="Century Schoolbook" w:hAnsi="Century Schoolbook"/>
          <w:sz w:val="27"/>
          <w:szCs w:val="27"/>
        </w:rPr>
        <w:t>,</w:t>
      </w:r>
      <w:r w:rsidRPr="00FC4B3F">
        <w:rPr>
          <w:rFonts w:ascii="Century Schoolbook" w:hAnsi="Century Schoolbook"/>
          <w:i/>
          <w:iCs/>
          <w:sz w:val="27"/>
          <w:szCs w:val="27"/>
        </w:rPr>
        <w:t xml:space="preserve"> </w:t>
      </w:r>
      <w:r w:rsidRPr="00FC4B3F">
        <w:rPr>
          <w:rFonts w:ascii="Century Schoolbook" w:hAnsi="Century Schoolbook"/>
          <w:sz w:val="27"/>
          <w:szCs w:val="27"/>
        </w:rPr>
        <w:t xml:space="preserve">182 Cal.App.4th at pp. 66–67; </w:t>
      </w:r>
      <w:r w:rsidRPr="00FC4B3F">
        <w:rPr>
          <w:rFonts w:ascii="Century Schoolbook" w:hAnsi="Century Schoolbook"/>
          <w:i/>
          <w:iCs/>
          <w:sz w:val="27"/>
          <w:szCs w:val="27"/>
        </w:rPr>
        <w:t>DeMello</w:t>
      </w:r>
      <w:r w:rsidRPr="00FC4B3F">
        <w:rPr>
          <w:rFonts w:ascii="Century Schoolbook" w:hAnsi="Century Schoolbook"/>
          <w:sz w:val="27"/>
          <w:szCs w:val="27"/>
        </w:rPr>
        <w:t>,</w:t>
      </w:r>
      <w:r w:rsidRPr="00FC4B3F">
        <w:rPr>
          <w:rFonts w:ascii="Century Schoolbook" w:hAnsi="Century Schoolbook"/>
          <w:i/>
          <w:iCs/>
          <w:sz w:val="27"/>
          <w:szCs w:val="27"/>
        </w:rPr>
        <w:t xml:space="preserve"> supra</w:t>
      </w:r>
      <w:r w:rsidRPr="00FC4B3F">
        <w:rPr>
          <w:rFonts w:ascii="Century Schoolbook" w:hAnsi="Century Schoolbook"/>
          <w:sz w:val="27"/>
          <w:szCs w:val="27"/>
        </w:rPr>
        <w:t>,</w:t>
      </w:r>
      <w:r w:rsidRPr="00FC4B3F">
        <w:rPr>
          <w:rFonts w:ascii="Century Schoolbook" w:hAnsi="Century Schoolbook"/>
          <w:i/>
          <w:iCs/>
          <w:sz w:val="27"/>
          <w:szCs w:val="27"/>
        </w:rPr>
        <w:t xml:space="preserve"> </w:t>
      </w:r>
      <w:r w:rsidRPr="00FC4B3F">
        <w:rPr>
          <w:rFonts w:ascii="Century Schoolbook" w:hAnsi="Century Schoolbook"/>
          <w:sz w:val="27"/>
          <w:szCs w:val="27"/>
        </w:rPr>
        <w:t xml:space="preserve">36 Cal.App.3d at p. 83; see also, e.g., </w:t>
      </w:r>
      <w:r w:rsidRPr="00FC4B3F">
        <w:rPr>
          <w:rFonts w:ascii="Century Schoolbook" w:hAnsi="Century Schoolbook"/>
          <w:i/>
          <w:iCs/>
          <w:sz w:val="27"/>
          <w:szCs w:val="27"/>
        </w:rPr>
        <w:t>Lovret</w:t>
      </w:r>
      <w:r w:rsidRPr="00FC4B3F">
        <w:rPr>
          <w:rFonts w:ascii="Century Schoolbook" w:hAnsi="Century Schoolbook"/>
          <w:sz w:val="27"/>
          <w:szCs w:val="27"/>
        </w:rPr>
        <w:t>,</w:t>
      </w:r>
      <w:r w:rsidRPr="00FC4B3F">
        <w:rPr>
          <w:rFonts w:ascii="Century Schoolbook" w:hAnsi="Century Schoolbook"/>
          <w:i/>
          <w:iCs/>
          <w:sz w:val="27"/>
          <w:szCs w:val="27"/>
        </w:rPr>
        <w:t xml:space="preserve"> supra</w:t>
      </w:r>
      <w:r w:rsidRPr="00FC4B3F">
        <w:rPr>
          <w:rFonts w:ascii="Century Schoolbook" w:hAnsi="Century Schoolbook"/>
          <w:sz w:val="27"/>
          <w:szCs w:val="27"/>
        </w:rPr>
        <w:t>,</w:t>
      </w:r>
      <w:r w:rsidRPr="00FC4B3F">
        <w:rPr>
          <w:rFonts w:ascii="Century Schoolbook" w:hAnsi="Century Schoolbook"/>
          <w:i/>
          <w:iCs/>
          <w:sz w:val="27"/>
          <w:szCs w:val="27"/>
        </w:rPr>
        <w:t xml:space="preserve"> </w:t>
      </w:r>
      <w:r w:rsidRPr="00FC4B3F">
        <w:rPr>
          <w:rFonts w:ascii="Century Schoolbook" w:hAnsi="Century Schoolbook"/>
          <w:sz w:val="27"/>
          <w:szCs w:val="27"/>
        </w:rPr>
        <w:t xml:space="preserve">22 Cal.App.3d at p. 856 [stating that when a petition to confirm is filed, “the time for filing a response is governed by section 1290.6 and not section 1288.2” (fn. omitted)].)  Considered in their factual context, though, those statements mean only that section 1290.6 may </w:t>
      </w:r>
      <w:r w:rsidRPr="00FC4B3F">
        <w:rPr>
          <w:rFonts w:ascii="Century Schoolbook" w:hAnsi="Century Schoolbook"/>
          <w:i/>
          <w:iCs/>
          <w:sz w:val="27"/>
          <w:szCs w:val="27"/>
        </w:rPr>
        <w:t>shorten</w:t>
      </w:r>
      <w:r w:rsidRPr="00FC4B3F">
        <w:rPr>
          <w:rFonts w:ascii="Century Schoolbook" w:hAnsi="Century Schoolbook"/>
          <w:sz w:val="27"/>
          <w:szCs w:val="27"/>
        </w:rPr>
        <w:t xml:space="preserve"> the time for filing a response requesting vacatur when a confirmation petition has been filed</w:t>
      </w:r>
      <w:r>
        <w:rPr>
          <w:rFonts w:ascii="Century Schoolbook" w:hAnsi="Century Schoolbook"/>
          <w:sz w:val="27"/>
          <w:szCs w:val="27"/>
        </w:rPr>
        <w:t xml:space="preserve">.  In other words, a party may not get the full benefit of the 100-day deadline for filing a response seeking vacatur if section 1290.6 dictates a shorter timeline.  The cases do </w:t>
      </w:r>
      <w:r w:rsidRPr="00FC4B3F">
        <w:rPr>
          <w:rFonts w:ascii="Century Schoolbook" w:hAnsi="Century Schoolbook"/>
          <w:sz w:val="27"/>
          <w:szCs w:val="27"/>
        </w:rPr>
        <w:t xml:space="preserve">not </w:t>
      </w:r>
      <w:r>
        <w:rPr>
          <w:rFonts w:ascii="Century Schoolbook" w:hAnsi="Century Schoolbook"/>
          <w:sz w:val="27"/>
          <w:szCs w:val="27"/>
        </w:rPr>
        <w:t xml:space="preserve">hold, as Key now urges, </w:t>
      </w:r>
      <w:r w:rsidRPr="00FC4B3F">
        <w:rPr>
          <w:rFonts w:ascii="Century Schoolbook" w:hAnsi="Century Schoolbook"/>
          <w:sz w:val="27"/>
          <w:szCs w:val="27"/>
        </w:rPr>
        <w:t xml:space="preserve">that section 1290.6 could </w:t>
      </w:r>
      <w:r w:rsidRPr="00FC4B3F">
        <w:rPr>
          <w:rFonts w:ascii="Century Schoolbook" w:hAnsi="Century Schoolbook"/>
          <w:i/>
          <w:iCs/>
          <w:sz w:val="27"/>
          <w:szCs w:val="27"/>
        </w:rPr>
        <w:t>extend</w:t>
      </w:r>
      <w:r w:rsidRPr="00FC4B3F">
        <w:rPr>
          <w:rFonts w:ascii="Century Schoolbook" w:hAnsi="Century Schoolbook"/>
          <w:sz w:val="27"/>
          <w:szCs w:val="27"/>
        </w:rPr>
        <w:t xml:space="preserve"> that time beyond section 1288.2’s 100-day limitations period.  </w:t>
      </w:r>
    </w:p>
    <w:p w:rsidR="001302DA" w:rsidRPr="00FC4B3F" w:rsidP="00FC4B3F" w14:paraId="60629FA3" w14:textId="77777777">
      <w:pPr>
        <w:spacing w:after="100" w:line="400" w:lineRule="exact"/>
        <w:jc w:val="center"/>
        <w:rPr>
          <w:rFonts w:ascii="Century Schoolbook" w:hAnsi="Century Schoolbook"/>
          <w:b/>
          <w:bCs/>
          <w:sz w:val="27"/>
          <w:szCs w:val="27"/>
        </w:rPr>
      </w:pPr>
      <w:r w:rsidRPr="00FC4B3F">
        <w:rPr>
          <w:rFonts w:ascii="Century Schoolbook" w:hAnsi="Century Schoolbook"/>
          <w:b/>
          <w:bCs/>
          <w:sz w:val="27"/>
          <w:szCs w:val="27"/>
        </w:rPr>
        <w:t>III.</w:t>
      </w:r>
    </w:p>
    <w:p w:rsidR="001302DA" w:rsidRPr="00FC4B3F" w:rsidP="00FC4B3F" w14:paraId="429326D4" w14:textId="77777777">
      <w:pPr>
        <w:spacing w:after="100" w:line="400" w:lineRule="exact"/>
        <w:jc w:val="center"/>
        <w:rPr>
          <w:rFonts w:ascii="Century Schoolbook" w:hAnsi="Century Schoolbook"/>
          <w:b/>
          <w:bCs/>
          <w:sz w:val="27"/>
          <w:szCs w:val="27"/>
        </w:rPr>
      </w:pPr>
      <w:r w:rsidRPr="00FC4B3F">
        <w:rPr>
          <w:rFonts w:ascii="Century Schoolbook" w:hAnsi="Century Schoolbook"/>
          <w:b/>
          <w:bCs/>
          <w:sz w:val="27"/>
          <w:szCs w:val="27"/>
        </w:rPr>
        <w:t>A.</w:t>
      </w:r>
    </w:p>
    <w:p w:rsidR="001302DA" w:rsidRPr="00FC4B3F" w:rsidP="00FC4B3F" w14:paraId="22455B19" w14:textId="77777777">
      <w:pPr>
        <w:spacing w:after="100" w:line="400" w:lineRule="exact"/>
        <w:ind w:firstLine="720"/>
        <w:jc w:val="both"/>
        <w:rPr>
          <w:rFonts w:ascii="Century Schoolbook" w:hAnsi="Century Schoolbook"/>
          <w:sz w:val="27"/>
          <w:szCs w:val="27"/>
        </w:rPr>
      </w:pPr>
      <w:r w:rsidRPr="00FC4B3F">
        <w:rPr>
          <w:rFonts w:ascii="Century Schoolbook" w:hAnsi="Century Schoolbook"/>
          <w:sz w:val="27"/>
          <w:szCs w:val="27"/>
        </w:rPr>
        <w:t>Having established that Key’s vacatur requests were filed outside the applicable statutory period, we move to the central issue before us.  Key argues that her untimely filing should be accepted under the doctrines of equitable tolling and equitable estoppel.  Lender, for its part, argues that those doctrines do not apply because section 1288.2’s deadline is jurisdictional, which means the courts have no power to adjust it for equitable reasons.  The Court of Appeal agreed with Lender that section 1288.2 sets out a jurisdictional limitation</w:t>
      </w:r>
      <w:r>
        <w:rPr>
          <w:rFonts w:ascii="Century Schoolbook" w:hAnsi="Century Schoolbook"/>
          <w:sz w:val="27"/>
          <w:szCs w:val="27"/>
        </w:rPr>
        <w:t>.</w:t>
      </w:r>
      <w:r w:rsidRPr="00FC4B3F">
        <w:rPr>
          <w:rFonts w:ascii="Century Schoolbook" w:hAnsi="Century Schoolbook"/>
          <w:sz w:val="27"/>
          <w:szCs w:val="27"/>
        </w:rPr>
        <w:t xml:space="preserve">  We disagree and hold that section 1288.2 is not jurisdictional in the relevant sense. </w:t>
      </w:r>
    </w:p>
    <w:p w:rsidR="001302DA" w:rsidRPr="00FC4B3F" w:rsidP="00FC4B3F" w14:paraId="59C49DE1" w14:textId="77777777">
      <w:pPr>
        <w:spacing w:after="100" w:line="400" w:lineRule="exact"/>
        <w:ind w:firstLine="720"/>
        <w:jc w:val="both"/>
        <w:rPr>
          <w:rFonts w:ascii="Century Schoolbook" w:hAnsi="Century Schoolbook"/>
          <w:sz w:val="27"/>
          <w:szCs w:val="27"/>
        </w:rPr>
      </w:pPr>
      <w:r w:rsidRPr="00FC4B3F">
        <w:rPr>
          <w:rFonts w:ascii="Century Schoolbook" w:hAnsi="Century Schoolbook"/>
          <w:sz w:val="27"/>
          <w:szCs w:val="27"/>
        </w:rPr>
        <w:t>As we have often observed, “the term ‘jurisdiction’ has ‘many different meanings.’ ”  (</w:t>
      </w:r>
      <w:bookmarkStart w:id="12" w:name="_Hlk134701764"/>
      <w:r w:rsidRPr="00FC4B3F">
        <w:rPr>
          <w:rFonts w:ascii="Century Schoolbook" w:hAnsi="Century Schoolbook"/>
          <w:i/>
          <w:iCs/>
          <w:sz w:val="27"/>
          <w:szCs w:val="27"/>
        </w:rPr>
        <w:t>Quigley v. Garden Valley Fire Protection Dist.</w:t>
      </w:r>
      <w:r w:rsidRPr="00FC4B3F">
        <w:rPr>
          <w:rFonts w:ascii="Century Schoolbook" w:hAnsi="Century Schoolbook"/>
          <w:sz w:val="27"/>
          <w:szCs w:val="27"/>
        </w:rPr>
        <w:t xml:space="preserve"> (2019) 7 Cal.5th 798, 807 (</w:t>
      </w:r>
      <w:r w:rsidRPr="00FC4B3F">
        <w:rPr>
          <w:rFonts w:ascii="Century Schoolbook" w:hAnsi="Century Schoolbook"/>
          <w:i/>
          <w:iCs/>
          <w:sz w:val="27"/>
          <w:szCs w:val="27"/>
        </w:rPr>
        <w:t>Quigley</w:t>
      </w:r>
      <w:r w:rsidRPr="00FC4B3F">
        <w:rPr>
          <w:rFonts w:ascii="Century Schoolbook" w:hAnsi="Century Schoolbook"/>
          <w:sz w:val="27"/>
          <w:szCs w:val="27"/>
        </w:rPr>
        <w:t xml:space="preserve">), </w:t>
      </w:r>
      <w:bookmarkEnd w:id="12"/>
      <w:r w:rsidRPr="00FC4B3F">
        <w:rPr>
          <w:rFonts w:ascii="Century Schoolbook" w:hAnsi="Century Schoolbook"/>
          <w:sz w:val="27"/>
          <w:szCs w:val="27"/>
        </w:rPr>
        <w:t xml:space="preserve">quoting </w:t>
      </w:r>
      <w:r w:rsidRPr="00FC4B3F">
        <w:rPr>
          <w:rFonts w:ascii="Century Schoolbook" w:hAnsi="Century Schoolbook"/>
          <w:i/>
          <w:iCs/>
          <w:sz w:val="27"/>
          <w:szCs w:val="27"/>
        </w:rPr>
        <w:t xml:space="preserve">Abelleira v. District Court of Appeal </w:t>
      </w:r>
      <w:r w:rsidRPr="00FC4B3F">
        <w:rPr>
          <w:rFonts w:ascii="Century Schoolbook" w:hAnsi="Century Schoolbook"/>
          <w:sz w:val="27"/>
          <w:szCs w:val="27"/>
        </w:rPr>
        <w:t xml:space="preserve">(1941) 17 Cal.2d 280, 287.)  Lender’s jurisdictional argument in this case concerns what we have called the courts’ “fundamental” jurisdiction.  “A lack of fundamental jurisdiction is ‘ “ ‘an entire absence of power to hear or determine the case, an absence of authority over the subject matter or the parties.’ ” ’ ”  </w:t>
      </w:r>
      <w:bookmarkStart w:id="13" w:name="_Hlk134701815"/>
      <w:r w:rsidRPr="00FC4B3F">
        <w:rPr>
          <w:rFonts w:ascii="Century Schoolbook" w:hAnsi="Century Schoolbook"/>
          <w:sz w:val="27"/>
          <w:szCs w:val="27"/>
        </w:rPr>
        <w:t>(</w:t>
      </w:r>
      <w:r w:rsidRPr="00FC4B3F">
        <w:rPr>
          <w:rFonts w:ascii="Century Schoolbook" w:hAnsi="Century Schoolbook"/>
          <w:i/>
          <w:iCs/>
          <w:sz w:val="27"/>
          <w:szCs w:val="27"/>
        </w:rPr>
        <w:t>Kabran v. Sharp Memorial Hospital</w:t>
      </w:r>
      <w:r w:rsidRPr="00FC4B3F">
        <w:rPr>
          <w:rFonts w:ascii="Century Schoolbook" w:hAnsi="Century Schoolbook"/>
          <w:sz w:val="27"/>
          <w:szCs w:val="27"/>
        </w:rPr>
        <w:t xml:space="preserve"> (2017) 2 Cal.5th 330, 339 (</w:t>
      </w:r>
      <w:r w:rsidRPr="00FC4B3F">
        <w:rPr>
          <w:rFonts w:ascii="Century Schoolbook" w:hAnsi="Century Schoolbook"/>
          <w:i/>
          <w:iCs/>
          <w:sz w:val="27"/>
          <w:szCs w:val="27"/>
        </w:rPr>
        <w:t>Kabran</w:t>
      </w:r>
      <w:r w:rsidRPr="00FC4B3F">
        <w:rPr>
          <w:rFonts w:ascii="Century Schoolbook" w:hAnsi="Century Schoolbook"/>
          <w:sz w:val="27"/>
          <w:szCs w:val="27"/>
        </w:rPr>
        <w:t xml:space="preserve">), </w:t>
      </w:r>
      <w:bookmarkEnd w:id="13"/>
      <w:r w:rsidRPr="00FC4B3F">
        <w:rPr>
          <w:rFonts w:ascii="Century Schoolbook" w:hAnsi="Century Schoolbook"/>
          <w:sz w:val="27"/>
          <w:szCs w:val="27"/>
        </w:rPr>
        <w:t xml:space="preserve">quoting </w:t>
      </w:r>
      <w:r w:rsidRPr="00FC4B3F">
        <w:rPr>
          <w:rFonts w:ascii="Century Schoolbook" w:hAnsi="Century Schoolbook"/>
          <w:i/>
          <w:iCs/>
          <w:sz w:val="27"/>
          <w:szCs w:val="27"/>
        </w:rPr>
        <w:t>People v. Lara</w:t>
      </w:r>
      <w:r w:rsidRPr="00FC4B3F">
        <w:rPr>
          <w:rFonts w:ascii="Century Schoolbook" w:hAnsi="Century Schoolbook"/>
          <w:sz w:val="27"/>
          <w:szCs w:val="27"/>
        </w:rPr>
        <w:t xml:space="preserve"> (2010) 48 Cal.4th 216, 224.)  Because a lack of fundamental jurisdiction implicates “the basic power of a court to act,” courts must enforce jurisdictional limitations even if considerations of waiver, estoppel, consent, or forfeiture might otherwise excuse a party’s failure to comply with them.  (</w:t>
      </w:r>
      <w:r w:rsidRPr="00FC4B3F">
        <w:rPr>
          <w:rFonts w:ascii="Century Schoolbook" w:hAnsi="Century Schoolbook"/>
          <w:i/>
          <w:iCs/>
          <w:sz w:val="27"/>
          <w:szCs w:val="27"/>
        </w:rPr>
        <w:t>Quigley</w:t>
      </w:r>
      <w:r w:rsidRPr="00FC4B3F">
        <w:rPr>
          <w:rFonts w:ascii="Century Schoolbook" w:hAnsi="Century Schoolbook"/>
          <w:sz w:val="27"/>
          <w:szCs w:val="27"/>
        </w:rPr>
        <w:t xml:space="preserve">, at p. 807; see also </w:t>
      </w:r>
      <w:bookmarkStart w:id="14" w:name="_Hlk134701864"/>
      <w:r w:rsidRPr="00FC4B3F">
        <w:rPr>
          <w:rFonts w:ascii="Century Schoolbook" w:hAnsi="Century Schoolbook"/>
          <w:i/>
          <w:iCs/>
          <w:sz w:val="27"/>
          <w:szCs w:val="27"/>
        </w:rPr>
        <w:t xml:space="preserve">Wilkins v. United States </w:t>
      </w:r>
      <w:r w:rsidRPr="00FC4B3F">
        <w:rPr>
          <w:rFonts w:ascii="Century Schoolbook" w:hAnsi="Century Schoolbook"/>
          <w:sz w:val="27"/>
          <w:szCs w:val="27"/>
        </w:rPr>
        <w:t>(2023) 598 U.S. ___</w:t>
      </w:r>
      <w:r>
        <w:rPr>
          <w:rFonts w:ascii="Century Schoolbook" w:hAnsi="Century Schoolbook"/>
          <w:sz w:val="27"/>
          <w:szCs w:val="27"/>
        </w:rPr>
        <w:t>, ___</w:t>
      </w:r>
      <w:r w:rsidRPr="00FC4B3F">
        <w:rPr>
          <w:rFonts w:ascii="Century Schoolbook" w:hAnsi="Century Schoolbook"/>
          <w:sz w:val="27"/>
          <w:szCs w:val="27"/>
        </w:rPr>
        <w:t xml:space="preserve"> [143 S.Ct. 870, 876] (</w:t>
      </w:r>
      <w:r w:rsidRPr="00FC4B3F">
        <w:rPr>
          <w:rFonts w:ascii="Century Schoolbook" w:hAnsi="Century Schoolbook"/>
          <w:i/>
          <w:iCs/>
          <w:sz w:val="27"/>
          <w:szCs w:val="27"/>
        </w:rPr>
        <w:t>Wilkins</w:t>
      </w:r>
      <w:r w:rsidRPr="00FC4B3F">
        <w:rPr>
          <w:rFonts w:ascii="Century Schoolbook" w:hAnsi="Century Schoolbook"/>
          <w:sz w:val="27"/>
          <w:szCs w:val="27"/>
        </w:rPr>
        <w:t xml:space="preserve">); </w:t>
      </w:r>
      <w:bookmarkStart w:id="15" w:name="_Hlk134701892"/>
      <w:bookmarkEnd w:id="14"/>
      <w:r w:rsidRPr="00FC4B3F">
        <w:rPr>
          <w:rFonts w:ascii="Century Schoolbook" w:hAnsi="Century Schoolbook"/>
          <w:i/>
          <w:iCs/>
          <w:sz w:val="27"/>
          <w:szCs w:val="27"/>
        </w:rPr>
        <w:t xml:space="preserve">Boechler, P.C. v. Commissioner of Internal Revenue </w:t>
      </w:r>
      <w:r w:rsidRPr="00FC4B3F">
        <w:rPr>
          <w:rFonts w:ascii="Century Schoolbook" w:hAnsi="Century Schoolbook"/>
          <w:sz w:val="27"/>
          <w:szCs w:val="27"/>
        </w:rPr>
        <w:t xml:space="preserve">(2022) </w:t>
      </w:r>
      <w:r>
        <w:rPr>
          <w:rFonts w:ascii="Century Schoolbook" w:hAnsi="Century Schoolbook"/>
          <w:sz w:val="27"/>
          <w:szCs w:val="27"/>
        </w:rPr>
        <w:t>596</w:t>
      </w:r>
      <w:r w:rsidRPr="00FC4B3F">
        <w:rPr>
          <w:rFonts w:ascii="Century Schoolbook" w:hAnsi="Century Schoolbook"/>
          <w:sz w:val="27"/>
          <w:szCs w:val="27"/>
        </w:rPr>
        <w:t xml:space="preserve"> U.S. __</w:t>
      </w:r>
      <w:r>
        <w:rPr>
          <w:rFonts w:ascii="Century Schoolbook" w:hAnsi="Century Schoolbook"/>
          <w:sz w:val="27"/>
          <w:szCs w:val="27"/>
        </w:rPr>
        <w:t>_, ___</w:t>
      </w:r>
      <w:r w:rsidRPr="00FC4B3F">
        <w:rPr>
          <w:rFonts w:ascii="Century Schoolbook" w:hAnsi="Century Schoolbook"/>
          <w:sz w:val="27"/>
          <w:szCs w:val="27"/>
        </w:rPr>
        <w:t xml:space="preserve"> [142 S.Ct. 1493, 1497]</w:t>
      </w:r>
      <w:r>
        <w:rPr>
          <w:rFonts w:ascii="Century Schoolbook" w:hAnsi="Century Schoolbook"/>
          <w:sz w:val="27"/>
          <w:szCs w:val="27"/>
        </w:rPr>
        <w:t xml:space="preserve"> (</w:t>
      </w:r>
      <w:r w:rsidRPr="00A1455C">
        <w:rPr>
          <w:rFonts w:ascii="Century Schoolbook" w:hAnsi="Century Schoolbook"/>
          <w:i/>
          <w:iCs/>
          <w:sz w:val="27"/>
          <w:szCs w:val="27"/>
        </w:rPr>
        <w:t>Boechler</w:t>
      </w:r>
      <w:r>
        <w:rPr>
          <w:rFonts w:ascii="Century Schoolbook" w:hAnsi="Century Schoolbook"/>
          <w:sz w:val="27"/>
          <w:szCs w:val="27"/>
        </w:rPr>
        <w:t>)</w:t>
      </w:r>
      <w:r w:rsidRPr="00FC4B3F">
        <w:rPr>
          <w:rFonts w:ascii="Century Schoolbook" w:hAnsi="Century Schoolbook"/>
          <w:sz w:val="27"/>
          <w:szCs w:val="27"/>
        </w:rPr>
        <w:t>.)</w:t>
      </w:r>
      <w:bookmarkEnd w:id="15"/>
      <w:r w:rsidRPr="00FC4B3F">
        <w:rPr>
          <w:rFonts w:ascii="Century Schoolbook" w:hAnsi="Century Schoolbook"/>
          <w:sz w:val="27"/>
          <w:szCs w:val="27"/>
        </w:rPr>
        <w:t xml:space="preserve">  In other words, when a party fails to comply with a jurisdictional time bar, the court has no choice but to dismiss the case for lack of jurisdiction, even if equitable concerns would support reaching the merits.</w:t>
      </w:r>
    </w:p>
    <w:p w:rsidR="001302DA" w:rsidRPr="00FC4B3F" w:rsidP="00FC4B3F" w14:paraId="66E9ABBC" w14:textId="77777777">
      <w:pPr>
        <w:spacing w:after="100" w:line="400" w:lineRule="exact"/>
        <w:ind w:firstLine="720"/>
        <w:jc w:val="both"/>
        <w:rPr>
          <w:rFonts w:ascii="Century Schoolbook" w:hAnsi="Century Schoolbook"/>
          <w:sz w:val="27"/>
          <w:szCs w:val="27"/>
        </w:rPr>
      </w:pPr>
      <w:r w:rsidRPr="00FC4B3F">
        <w:rPr>
          <w:rFonts w:ascii="Century Schoolbook" w:hAnsi="Century Schoolbook"/>
          <w:sz w:val="27"/>
          <w:szCs w:val="27"/>
        </w:rPr>
        <w:t>Because of those harsh consequences, we apply a “presumption that statutes do not limit the courts’ fundamental jurisdiction absent a clear indication of legislative intent to do so.”  (</w:t>
      </w:r>
      <w:r w:rsidRPr="00FC4B3F">
        <w:rPr>
          <w:rFonts w:ascii="Century Schoolbook" w:hAnsi="Century Schoolbook"/>
          <w:i/>
          <w:iCs/>
          <w:sz w:val="27"/>
          <w:szCs w:val="27"/>
        </w:rPr>
        <w:t>Quigley</w:t>
      </w:r>
      <w:r w:rsidRPr="00FC4B3F">
        <w:rPr>
          <w:rFonts w:ascii="Century Schoolbook" w:hAnsi="Century Schoolbook"/>
          <w:sz w:val="27"/>
          <w:szCs w:val="27"/>
        </w:rPr>
        <w:t>,</w:t>
      </w:r>
      <w:r w:rsidRPr="00FC4B3F">
        <w:rPr>
          <w:rFonts w:ascii="Century Schoolbook" w:hAnsi="Century Schoolbook"/>
          <w:i/>
          <w:iCs/>
          <w:sz w:val="27"/>
          <w:szCs w:val="27"/>
        </w:rPr>
        <w:t xml:space="preserve"> supra</w:t>
      </w:r>
      <w:r w:rsidRPr="00FC4B3F">
        <w:rPr>
          <w:rFonts w:ascii="Century Schoolbook" w:hAnsi="Century Schoolbook"/>
          <w:sz w:val="27"/>
          <w:szCs w:val="27"/>
        </w:rPr>
        <w:t xml:space="preserve">, 7 Cal.5th at p. 808, citing, e.g., </w:t>
      </w:r>
      <w:r w:rsidRPr="00FC4B3F">
        <w:rPr>
          <w:rFonts w:ascii="Century Schoolbook" w:hAnsi="Century Schoolbook"/>
          <w:i/>
          <w:iCs/>
          <w:sz w:val="27"/>
          <w:szCs w:val="27"/>
        </w:rPr>
        <w:t>Kabran</w:t>
      </w:r>
      <w:r w:rsidRPr="00FC4B3F">
        <w:rPr>
          <w:rFonts w:ascii="Century Schoolbook" w:hAnsi="Century Schoolbook"/>
          <w:sz w:val="27"/>
          <w:szCs w:val="27"/>
        </w:rPr>
        <w:t>,</w:t>
      </w:r>
      <w:r w:rsidRPr="00FC4B3F">
        <w:rPr>
          <w:rFonts w:ascii="Century Schoolbook" w:hAnsi="Century Schoolbook"/>
          <w:i/>
          <w:iCs/>
          <w:sz w:val="27"/>
          <w:szCs w:val="27"/>
        </w:rPr>
        <w:t xml:space="preserve"> supra</w:t>
      </w:r>
      <w:r w:rsidRPr="00FC4B3F">
        <w:rPr>
          <w:rFonts w:ascii="Century Schoolbook" w:hAnsi="Century Schoolbook"/>
          <w:sz w:val="27"/>
          <w:szCs w:val="27"/>
        </w:rPr>
        <w:t xml:space="preserve">, 2 Cal.5th at pp. 342–343; see </w:t>
      </w:r>
      <w:r w:rsidRPr="00FC4B3F">
        <w:rPr>
          <w:rFonts w:ascii="Century Schoolbook" w:hAnsi="Century Schoolbook"/>
          <w:i/>
          <w:iCs/>
          <w:sz w:val="27"/>
          <w:szCs w:val="27"/>
        </w:rPr>
        <w:t>Wilkins</w:t>
      </w:r>
      <w:r w:rsidRPr="00FC4B3F">
        <w:rPr>
          <w:rFonts w:ascii="Century Schoolbook" w:hAnsi="Century Schoolbook"/>
          <w:sz w:val="27"/>
          <w:szCs w:val="27"/>
        </w:rPr>
        <w:t xml:space="preserve">, </w:t>
      </w:r>
      <w:r w:rsidRPr="00FC4B3F">
        <w:rPr>
          <w:rFonts w:ascii="Century Schoolbook" w:hAnsi="Century Schoolbook"/>
          <w:i/>
          <w:iCs/>
          <w:sz w:val="27"/>
          <w:szCs w:val="27"/>
        </w:rPr>
        <w:t>supra</w:t>
      </w:r>
      <w:r w:rsidRPr="00FC4B3F">
        <w:rPr>
          <w:rFonts w:ascii="Century Schoolbook" w:hAnsi="Century Schoolbook"/>
          <w:sz w:val="27"/>
          <w:szCs w:val="27"/>
        </w:rPr>
        <w:t xml:space="preserve">, </w:t>
      </w:r>
      <w:r>
        <w:rPr>
          <w:rFonts w:ascii="Century Schoolbook" w:hAnsi="Century Schoolbook"/>
          <w:sz w:val="27"/>
          <w:szCs w:val="27"/>
        </w:rPr>
        <w:t>598 U.S. at p. ___ [</w:t>
      </w:r>
      <w:r w:rsidRPr="00FC4B3F">
        <w:rPr>
          <w:rFonts w:ascii="Century Schoolbook" w:hAnsi="Century Schoolbook"/>
          <w:sz w:val="27"/>
          <w:szCs w:val="27"/>
        </w:rPr>
        <w:t>143 S.Ct. at p. 876</w:t>
      </w:r>
      <w:r>
        <w:rPr>
          <w:rFonts w:ascii="Century Schoolbook" w:hAnsi="Century Schoolbook"/>
          <w:sz w:val="27"/>
          <w:szCs w:val="27"/>
        </w:rPr>
        <w:t>]</w:t>
      </w:r>
      <w:r w:rsidRPr="00FC4B3F">
        <w:rPr>
          <w:rFonts w:ascii="Century Schoolbook" w:hAnsi="Century Schoolbook"/>
          <w:sz w:val="27"/>
          <w:szCs w:val="27"/>
        </w:rPr>
        <w:t>.)  This approach reflects “</w:t>
      </w:r>
      <w:r>
        <w:rPr>
          <w:rFonts w:ascii="Century Schoolbook" w:hAnsi="Century Schoolbook"/>
          <w:sz w:val="27"/>
          <w:szCs w:val="27"/>
        </w:rPr>
        <w:t> </w:t>
      </w:r>
      <w:r w:rsidRPr="00FC4B3F">
        <w:rPr>
          <w:rFonts w:ascii="Century Schoolbook" w:hAnsi="Century Schoolbook"/>
          <w:sz w:val="27"/>
          <w:szCs w:val="27"/>
        </w:rPr>
        <w:t>‘a preference for the resolution of litigation and the underlying conflicts on their merits by the judiciary.’ ”  (</w:t>
      </w:r>
      <w:r w:rsidRPr="00FC4B3F">
        <w:rPr>
          <w:rFonts w:ascii="Century Schoolbook" w:hAnsi="Century Schoolbook"/>
          <w:i/>
          <w:iCs/>
          <w:sz w:val="27"/>
          <w:szCs w:val="27"/>
        </w:rPr>
        <w:t>Quigley</w:t>
      </w:r>
      <w:r w:rsidRPr="00FC4B3F">
        <w:rPr>
          <w:rFonts w:ascii="Century Schoolbook" w:hAnsi="Century Schoolbook"/>
          <w:sz w:val="27"/>
          <w:szCs w:val="27"/>
        </w:rPr>
        <w:t xml:space="preserve">, at p. 808, quoting </w:t>
      </w:r>
      <w:r w:rsidRPr="00FC4B3F">
        <w:rPr>
          <w:rFonts w:ascii="Century Schoolbook" w:hAnsi="Century Schoolbook"/>
          <w:i/>
          <w:iCs/>
          <w:sz w:val="27"/>
          <w:szCs w:val="27"/>
        </w:rPr>
        <w:t>Kabran</w:t>
      </w:r>
      <w:r w:rsidRPr="00FC4B3F">
        <w:rPr>
          <w:rFonts w:ascii="Century Schoolbook" w:hAnsi="Century Schoolbook"/>
          <w:sz w:val="27"/>
          <w:szCs w:val="27"/>
        </w:rPr>
        <w:t xml:space="preserve">, at pp. 342–343.)  To be sure, mandatory procedural rules — like many statutes of limitations or other filing deadlines — serve important policy goals, and courts must enforce them when properly raised.  (See </w:t>
      </w:r>
      <w:r w:rsidRPr="00FC4B3F">
        <w:rPr>
          <w:rFonts w:ascii="Century Schoolbook" w:hAnsi="Century Schoolbook"/>
          <w:i/>
          <w:iCs/>
          <w:sz w:val="27"/>
          <w:szCs w:val="27"/>
        </w:rPr>
        <w:t>Kabran</w:t>
      </w:r>
      <w:r w:rsidRPr="00FC4B3F">
        <w:rPr>
          <w:rFonts w:ascii="Century Schoolbook" w:hAnsi="Century Schoolbook"/>
          <w:sz w:val="27"/>
          <w:szCs w:val="27"/>
        </w:rPr>
        <w:t>, at pp. 341–342.)  But we will not assume that the Legislature intended to imbue a time bar with jurisdictional consequences merely because the statute speaks in mandatory terms; as we have said, “jurisdictional rules are mandatory, but mandatory rules are not necessarily jurisdictional.”  (</w:t>
      </w:r>
      <w:r w:rsidRPr="00FC4B3F">
        <w:rPr>
          <w:rFonts w:ascii="Century Schoolbook" w:hAnsi="Century Schoolbook"/>
          <w:i/>
          <w:iCs/>
          <w:sz w:val="27"/>
          <w:szCs w:val="27"/>
        </w:rPr>
        <w:t>Id.</w:t>
      </w:r>
      <w:r w:rsidRPr="00FC4B3F">
        <w:rPr>
          <w:rFonts w:ascii="Century Schoolbook" w:hAnsi="Century Schoolbook"/>
          <w:sz w:val="27"/>
          <w:szCs w:val="27"/>
        </w:rPr>
        <w:t xml:space="preserve"> at p. 342; see </w:t>
      </w:r>
      <w:r w:rsidRPr="00FC4B3F">
        <w:rPr>
          <w:rFonts w:ascii="Century Schoolbook" w:hAnsi="Century Schoolbook"/>
          <w:i/>
          <w:iCs/>
          <w:sz w:val="27"/>
          <w:szCs w:val="27"/>
        </w:rPr>
        <w:t>id.</w:t>
      </w:r>
      <w:r w:rsidRPr="00FC4B3F">
        <w:rPr>
          <w:rFonts w:ascii="Century Schoolbook" w:hAnsi="Century Schoolbook"/>
          <w:sz w:val="27"/>
          <w:szCs w:val="27"/>
        </w:rPr>
        <w:t xml:space="preserve"> at pp. 340–342.)  </w:t>
      </w:r>
      <w:r>
        <w:rPr>
          <w:rFonts w:ascii="Century Schoolbook" w:hAnsi="Century Schoolbook"/>
          <w:sz w:val="27"/>
          <w:szCs w:val="27"/>
        </w:rPr>
        <w:t xml:space="preserve">To establish that a particular filing deadline is jurisdictional, more is required.  Much as the high </w:t>
      </w:r>
      <w:r w:rsidRPr="00FC4B3F">
        <w:rPr>
          <w:rFonts w:ascii="Century Schoolbook" w:hAnsi="Century Schoolbook"/>
          <w:sz w:val="27"/>
          <w:szCs w:val="27"/>
        </w:rPr>
        <w:t xml:space="preserve">court has </w:t>
      </w:r>
      <w:r>
        <w:rPr>
          <w:rFonts w:ascii="Century Schoolbook" w:hAnsi="Century Schoolbook"/>
          <w:sz w:val="27"/>
          <w:szCs w:val="27"/>
        </w:rPr>
        <w:t>said of Congress</w:t>
      </w:r>
      <w:r w:rsidRPr="00FC4B3F">
        <w:rPr>
          <w:rFonts w:ascii="Century Schoolbook" w:hAnsi="Century Schoolbook"/>
          <w:sz w:val="27"/>
          <w:szCs w:val="27"/>
        </w:rPr>
        <w:t xml:space="preserve">, </w:t>
      </w:r>
      <w:r>
        <w:rPr>
          <w:rFonts w:ascii="Century Schoolbook" w:hAnsi="Century Schoolbook"/>
          <w:sz w:val="27"/>
          <w:szCs w:val="27"/>
        </w:rPr>
        <w:t>our L</w:t>
      </w:r>
      <w:r w:rsidRPr="00FC4B3F">
        <w:rPr>
          <w:rFonts w:ascii="Century Schoolbook" w:hAnsi="Century Schoolbook"/>
          <w:sz w:val="27"/>
          <w:szCs w:val="27"/>
        </w:rPr>
        <w:t>egislature “must do something special, beyond setting an exception-free deadline, to tag a statute of limitations as jurisdictional” in the fundamental sense.  (</w:t>
      </w:r>
      <w:r w:rsidRPr="00FC4B3F">
        <w:rPr>
          <w:rFonts w:ascii="Century Schoolbook" w:hAnsi="Century Schoolbook"/>
          <w:i/>
          <w:iCs/>
          <w:sz w:val="27"/>
          <w:szCs w:val="27"/>
        </w:rPr>
        <w:t xml:space="preserve">United States v. Kwai Fun Wong </w:t>
      </w:r>
      <w:r w:rsidRPr="00FC4B3F">
        <w:rPr>
          <w:rFonts w:ascii="Century Schoolbook" w:hAnsi="Century Schoolbook"/>
          <w:sz w:val="27"/>
          <w:szCs w:val="27"/>
        </w:rPr>
        <w:t>(2015) 575 U.S. 402, 410.)</w:t>
      </w:r>
    </w:p>
    <w:p w:rsidR="006F7F13" w:rsidRPr="00FC4B3F" w:rsidP="00FC4B3F" w14:paraId="2D6E33D3"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Here, n</w:t>
      </w:r>
      <w:r w:rsidRPr="00FC4B3F">
        <w:rPr>
          <w:rFonts w:ascii="Century Schoolbook" w:hAnsi="Century Schoolbook"/>
          <w:sz w:val="27"/>
          <w:szCs w:val="27"/>
        </w:rPr>
        <w:t>othing in section 1288.2</w:t>
      </w:r>
      <w:r>
        <w:rPr>
          <w:rFonts w:ascii="Century Schoolbook" w:hAnsi="Century Schoolbook"/>
          <w:sz w:val="27"/>
          <w:szCs w:val="27"/>
        </w:rPr>
        <w:t>’s instructions for the timing of responses requesting vacatur</w:t>
      </w:r>
      <w:r w:rsidRPr="00FC4B3F">
        <w:rPr>
          <w:rFonts w:ascii="Century Schoolbook" w:hAnsi="Century Schoolbook"/>
          <w:sz w:val="27"/>
          <w:szCs w:val="27"/>
        </w:rPr>
        <w:t xml:space="preserve"> clearly indicates the Legislature’s intent to remove a class of cases from the court’s fundamental jurisdiction.  </w:t>
      </w:r>
      <w:r>
        <w:rPr>
          <w:rFonts w:ascii="Century Schoolbook" w:hAnsi="Century Schoolbook"/>
          <w:sz w:val="27"/>
          <w:szCs w:val="27"/>
        </w:rPr>
        <w:t xml:space="preserve">Section 1288.2 </w:t>
      </w:r>
      <w:r w:rsidRPr="00FC4B3F">
        <w:rPr>
          <w:rFonts w:ascii="Century Schoolbook" w:hAnsi="Century Schoolbook"/>
          <w:sz w:val="27"/>
          <w:szCs w:val="27"/>
        </w:rPr>
        <w:t xml:space="preserve">speaks only to obligations of the litigants and makes no reference at all to the power of the courts — in other words, the section reads as an ordinary statute of limitations.  Lender argues, however, that the jurisdictional limitation resides in a neighboring section of the Act, </w:t>
      </w:r>
      <w:bookmarkStart w:id="16" w:name="_Hlk135048294"/>
      <w:r w:rsidRPr="00FC4B3F">
        <w:rPr>
          <w:rFonts w:ascii="Century Schoolbook" w:hAnsi="Century Schoolbook"/>
          <w:sz w:val="27"/>
          <w:szCs w:val="27"/>
        </w:rPr>
        <w:t>Code of Civil Procedure section 1286.4</w:t>
      </w:r>
      <w:r>
        <w:rPr>
          <w:rFonts w:ascii="Century Schoolbook" w:hAnsi="Century Schoolbook"/>
          <w:sz w:val="27"/>
          <w:szCs w:val="27"/>
        </w:rPr>
        <w:t xml:space="preserve"> (section 1286.4)</w:t>
      </w:r>
      <w:bookmarkEnd w:id="16"/>
      <w:r w:rsidRPr="00FC4B3F">
        <w:rPr>
          <w:rFonts w:ascii="Century Schoolbook" w:hAnsi="Century Schoolbook"/>
          <w:sz w:val="27"/>
          <w:szCs w:val="27"/>
        </w:rPr>
        <w:t xml:space="preserve">, which admonishes that “[t]he court may not vacate” an award if the </w:t>
      </w:r>
      <w:r>
        <w:rPr>
          <w:rFonts w:ascii="Century Schoolbook" w:hAnsi="Century Schoolbook"/>
          <w:sz w:val="27"/>
          <w:szCs w:val="27"/>
        </w:rPr>
        <w:t xml:space="preserve">petition or </w:t>
      </w:r>
      <w:r w:rsidRPr="00FC4B3F">
        <w:rPr>
          <w:rFonts w:ascii="Century Schoolbook" w:hAnsi="Century Schoolbook"/>
          <w:sz w:val="27"/>
          <w:szCs w:val="27"/>
        </w:rPr>
        <w:t xml:space="preserve">response </w:t>
      </w:r>
      <w:r>
        <w:rPr>
          <w:rFonts w:ascii="Century Schoolbook" w:hAnsi="Century Schoolbook"/>
          <w:sz w:val="27"/>
          <w:szCs w:val="27"/>
        </w:rPr>
        <w:t xml:space="preserve">requesting vacatur </w:t>
      </w:r>
      <w:r w:rsidRPr="00FC4B3F">
        <w:rPr>
          <w:rFonts w:ascii="Century Schoolbook" w:hAnsi="Century Schoolbook"/>
          <w:sz w:val="27"/>
          <w:szCs w:val="27"/>
        </w:rPr>
        <w:t xml:space="preserve">is not “duly served and filed.”  </w:t>
      </w:r>
      <w:r>
        <w:rPr>
          <w:rFonts w:ascii="Century Schoolbook" w:hAnsi="Century Schoolbook"/>
          <w:sz w:val="27"/>
          <w:szCs w:val="27"/>
        </w:rPr>
        <w:t>(</w:t>
      </w:r>
      <w:r>
        <w:rPr>
          <w:rFonts w:ascii="Century Schoolbook" w:hAnsi="Century Schoolbook"/>
          <w:i/>
          <w:iCs/>
          <w:sz w:val="27"/>
          <w:szCs w:val="27"/>
        </w:rPr>
        <w:t>Id.</w:t>
      </w:r>
      <w:r>
        <w:rPr>
          <w:rFonts w:ascii="Century Schoolbook" w:hAnsi="Century Schoolbook"/>
          <w:sz w:val="27"/>
          <w:szCs w:val="27"/>
        </w:rPr>
        <w:t xml:space="preserve">, subd. (a).)  </w:t>
      </w:r>
      <w:r w:rsidRPr="00FC4B3F">
        <w:rPr>
          <w:rFonts w:ascii="Century Schoolbook" w:hAnsi="Century Schoolbook"/>
          <w:sz w:val="27"/>
          <w:szCs w:val="27"/>
        </w:rPr>
        <w:t xml:space="preserve">A response has not been “duly served and filed” </w:t>
      </w:r>
      <w:r>
        <w:rPr>
          <w:rFonts w:ascii="Century Schoolbook" w:hAnsi="Century Schoolbook"/>
          <w:sz w:val="27"/>
          <w:szCs w:val="27"/>
        </w:rPr>
        <w:t>(</w:t>
      </w:r>
      <w:r>
        <w:rPr>
          <w:rFonts w:ascii="Century Schoolbook" w:hAnsi="Century Schoolbook"/>
          <w:i/>
          <w:iCs/>
          <w:sz w:val="27"/>
          <w:szCs w:val="27"/>
        </w:rPr>
        <w:t>ibid.</w:t>
      </w:r>
      <w:r>
        <w:rPr>
          <w:rFonts w:ascii="Century Schoolbook" w:hAnsi="Century Schoolbook"/>
          <w:sz w:val="27"/>
          <w:szCs w:val="27"/>
        </w:rPr>
        <w:t xml:space="preserve">), </w:t>
      </w:r>
      <w:r w:rsidRPr="00FC4B3F">
        <w:rPr>
          <w:rFonts w:ascii="Century Schoolbook" w:hAnsi="Century Schoolbook"/>
          <w:sz w:val="27"/>
          <w:szCs w:val="27"/>
        </w:rPr>
        <w:t>in Lender’s view, if it has not been filed in accordance with the procedural requirements of the statute, including the 100-day time limit set forth in section 1288.2.</w:t>
      </w:r>
    </w:p>
    <w:p w:rsidR="00820636" w:rsidP="00820636" w14:paraId="77C6E809"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The language of section 1286.4 differs in important respects from language we have previously regarded as </w:t>
      </w:r>
      <w:r w:rsidRPr="0064261B">
        <w:rPr>
          <w:rFonts w:ascii="Century Schoolbook" w:hAnsi="Century Schoolbook"/>
          <w:sz w:val="27"/>
          <w:szCs w:val="27"/>
        </w:rPr>
        <w:t xml:space="preserve">evidence that the Legislature intended to </w:t>
      </w:r>
      <w:r>
        <w:rPr>
          <w:rFonts w:ascii="Century Schoolbook" w:hAnsi="Century Schoolbook"/>
          <w:sz w:val="27"/>
          <w:szCs w:val="27"/>
        </w:rPr>
        <w:t>mark</w:t>
      </w:r>
      <w:r w:rsidRPr="0064261B">
        <w:rPr>
          <w:rFonts w:ascii="Century Schoolbook" w:hAnsi="Century Schoolbook"/>
          <w:sz w:val="27"/>
          <w:szCs w:val="27"/>
        </w:rPr>
        <w:t xml:space="preserve"> a filing deadline as jurisdictional.  </w:t>
      </w:r>
      <w:r w:rsidRPr="00FC4B3F">
        <w:rPr>
          <w:rFonts w:ascii="Century Schoolbook" w:hAnsi="Century Schoolbook"/>
          <w:sz w:val="27"/>
          <w:szCs w:val="27"/>
        </w:rPr>
        <w:t>For example, the Code of Civil Procedure prescribes deadlines for a party seeking a new trial to file a notice of intent (</w:t>
      </w:r>
      <w:r>
        <w:rPr>
          <w:rFonts w:ascii="Century Schoolbook" w:hAnsi="Century Schoolbook"/>
          <w:i/>
          <w:iCs/>
          <w:sz w:val="27"/>
          <w:szCs w:val="27"/>
        </w:rPr>
        <w:t>id.</w:t>
      </w:r>
      <w:r>
        <w:rPr>
          <w:rFonts w:ascii="Century Schoolbook" w:hAnsi="Century Schoolbook"/>
          <w:sz w:val="27"/>
          <w:szCs w:val="27"/>
        </w:rPr>
        <w:t xml:space="preserve">, </w:t>
      </w:r>
      <w:r w:rsidRPr="00FC4B3F">
        <w:rPr>
          <w:rFonts w:ascii="Century Schoolbook" w:hAnsi="Century Schoolbook"/>
          <w:sz w:val="27"/>
          <w:szCs w:val="27"/>
        </w:rPr>
        <w:t>§ 659) and for the court to rule on the motion for a new trial (</w:t>
      </w:r>
      <w:r>
        <w:rPr>
          <w:rFonts w:ascii="Century Schoolbook" w:hAnsi="Century Schoolbook"/>
          <w:i/>
          <w:iCs/>
          <w:sz w:val="27"/>
          <w:szCs w:val="27"/>
        </w:rPr>
        <w:t>id.</w:t>
      </w:r>
      <w:r>
        <w:rPr>
          <w:rFonts w:ascii="Century Schoolbook" w:hAnsi="Century Schoolbook"/>
          <w:sz w:val="27"/>
          <w:szCs w:val="27"/>
        </w:rPr>
        <w:t xml:space="preserve">, </w:t>
      </w:r>
      <w:r w:rsidRPr="00FC4B3F">
        <w:rPr>
          <w:rFonts w:ascii="Century Schoolbook" w:hAnsi="Century Schoolbook"/>
          <w:sz w:val="27"/>
          <w:szCs w:val="27"/>
        </w:rPr>
        <w:t>§ 660).  Under those provisions, the party’s time to file the notice “shall not be extended by order or stipulation” (</w:t>
      </w:r>
      <w:r>
        <w:rPr>
          <w:rFonts w:ascii="Century Schoolbook" w:hAnsi="Century Schoolbook"/>
          <w:i/>
          <w:iCs/>
          <w:sz w:val="27"/>
          <w:szCs w:val="27"/>
        </w:rPr>
        <w:t>id.</w:t>
      </w:r>
      <w:r>
        <w:rPr>
          <w:rFonts w:ascii="Century Schoolbook" w:hAnsi="Century Schoolbook"/>
          <w:sz w:val="27"/>
          <w:szCs w:val="27"/>
        </w:rPr>
        <w:t xml:space="preserve">, </w:t>
      </w:r>
      <w:r w:rsidRPr="00FC4B3F">
        <w:rPr>
          <w:rFonts w:ascii="Century Schoolbook" w:hAnsi="Century Schoolbook"/>
          <w:sz w:val="27"/>
          <w:szCs w:val="27"/>
        </w:rPr>
        <w:t>§ 659, subd. (b)), and assuming the moving party files timely notice, “the power of the court to rule on a motion for a new trial shall expire” after a specified period (</w:t>
      </w:r>
      <w:r>
        <w:rPr>
          <w:rFonts w:ascii="Century Schoolbook" w:hAnsi="Century Schoolbook"/>
          <w:i/>
          <w:iCs/>
          <w:sz w:val="27"/>
          <w:szCs w:val="27"/>
        </w:rPr>
        <w:t>id.</w:t>
      </w:r>
      <w:r>
        <w:rPr>
          <w:rFonts w:ascii="Century Schoolbook" w:hAnsi="Century Schoolbook"/>
          <w:sz w:val="27"/>
          <w:szCs w:val="27"/>
        </w:rPr>
        <w:t xml:space="preserve">, </w:t>
      </w:r>
      <w:r w:rsidRPr="00FC4B3F">
        <w:rPr>
          <w:rFonts w:ascii="Century Schoolbook" w:hAnsi="Century Schoolbook"/>
          <w:sz w:val="27"/>
          <w:szCs w:val="27"/>
        </w:rPr>
        <w:t xml:space="preserve">§ 660, subd. (c)).  </w:t>
      </w:r>
      <w:r>
        <w:rPr>
          <w:rFonts w:ascii="Century Schoolbook" w:hAnsi="Century Schoolbook"/>
          <w:sz w:val="27"/>
          <w:szCs w:val="27"/>
        </w:rPr>
        <w:t>W</w:t>
      </w:r>
      <w:r w:rsidRPr="00B60C65">
        <w:rPr>
          <w:rFonts w:ascii="Century Schoolbook" w:hAnsi="Century Schoolbook"/>
          <w:sz w:val="27"/>
          <w:szCs w:val="27"/>
        </w:rPr>
        <w:t>e have held that those limitations are “clear markers of legislative intent that the[] respective deadlines are jurisdictional.”  (</w:t>
      </w:r>
      <w:r w:rsidRPr="00B60C65">
        <w:rPr>
          <w:rFonts w:ascii="Century Schoolbook" w:hAnsi="Century Schoolbook"/>
          <w:i/>
          <w:iCs/>
          <w:sz w:val="27"/>
          <w:szCs w:val="27"/>
        </w:rPr>
        <w:t>Kabran</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2 Cal.5th at p. 344.)</w:t>
      </w:r>
      <w:r>
        <w:rPr>
          <w:rFonts w:ascii="Century Schoolbook" w:hAnsi="Century Schoolbook"/>
          <w:sz w:val="27"/>
          <w:szCs w:val="27"/>
        </w:rPr>
        <w:t xml:space="preserve">  While the language of the statutes governing new trial requests speaks directly </w:t>
      </w:r>
      <w:r w:rsidRPr="001575E2">
        <w:rPr>
          <w:rFonts w:ascii="Century Schoolbook" w:hAnsi="Century Schoolbook"/>
          <w:sz w:val="27"/>
          <w:szCs w:val="27"/>
        </w:rPr>
        <w:t>to the trial court’s power to act on an untimely motion,</w:t>
      </w:r>
      <w:r>
        <w:rPr>
          <w:rFonts w:ascii="Century Schoolbook" w:hAnsi="Century Schoolbook"/>
          <w:sz w:val="27"/>
          <w:szCs w:val="27"/>
        </w:rPr>
        <w:t xml:space="preserve"> s</w:t>
      </w:r>
      <w:r w:rsidRPr="00F962CE">
        <w:rPr>
          <w:rFonts w:ascii="Century Schoolbook" w:hAnsi="Century Schoolbook"/>
          <w:sz w:val="27"/>
          <w:szCs w:val="27"/>
        </w:rPr>
        <w:t>ection 1286.4 does</w:t>
      </w:r>
      <w:r>
        <w:rPr>
          <w:rFonts w:ascii="Century Schoolbook" w:hAnsi="Century Schoolbook"/>
          <w:sz w:val="27"/>
          <w:szCs w:val="27"/>
        </w:rPr>
        <w:t xml:space="preserve"> not</w:t>
      </w:r>
      <w:r w:rsidRPr="00F962CE">
        <w:rPr>
          <w:rFonts w:ascii="Century Schoolbook" w:hAnsi="Century Schoolbook"/>
          <w:sz w:val="27"/>
          <w:szCs w:val="27"/>
        </w:rPr>
        <w:t xml:space="preserve"> </w:t>
      </w:r>
      <w:r>
        <w:rPr>
          <w:rFonts w:ascii="Century Schoolbook" w:hAnsi="Century Schoolbook"/>
          <w:sz w:val="27"/>
          <w:szCs w:val="27"/>
        </w:rPr>
        <w:t>speak directly to the power of the court to act on an untimely response.  Instead, it speaks, more obliquely, of the power to act on a “duly served and filed” vacatur request.</w:t>
      </w:r>
      <w:r w:rsidRPr="00B60C65">
        <w:rPr>
          <w:rFonts w:ascii="Century Schoolbook" w:hAnsi="Century Schoolbook"/>
          <w:sz w:val="27"/>
          <w:szCs w:val="27"/>
        </w:rPr>
        <w:t xml:space="preserve">  </w:t>
      </w:r>
      <w:r>
        <w:rPr>
          <w:rFonts w:ascii="Century Schoolbook" w:hAnsi="Century Schoolbook"/>
          <w:sz w:val="27"/>
          <w:szCs w:val="27"/>
        </w:rPr>
        <w:t>(</w:t>
      </w:r>
      <w:r>
        <w:rPr>
          <w:rFonts w:ascii="Century Schoolbook" w:hAnsi="Century Schoolbook"/>
          <w:i/>
          <w:iCs/>
          <w:sz w:val="27"/>
          <w:szCs w:val="27"/>
        </w:rPr>
        <w:t>Id.</w:t>
      </w:r>
      <w:r>
        <w:rPr>
          <w:rFonts w:ascii="Century Schoolbook" w:hAnsi="Century Schoolbook"/>
          <w:sz w:val="27"/>
          <w:szCs w:val="27"/>
        </w:rPr>
        <w:t>, subd. (a).)  It is not clear from the statutory text whether this “duly served and filed” language incorporates procedural requirements found in other sections of the Code of Civil Procedure and, if so, which ones.  Section 1286.4 does not, in short, speak with the clarity necessary</w:t>
      </w:r>
      <w:r w:rsidRPr="00B60C65">
        <w:rPr>
          <w:rFonts w:ascii="Century Schoolbook" w:hAnsi="Century Schoolbook"/>
          <w:sz w:val="27"/>
          <w:szCs w:val="27"/>
        </w:rPr>
        <w:t xml:space="preserve"> to overcome the presumption that statutory deadlines do not limit the courts’ fundamental jurisdiction.</w:t>
      </w:r>
    </w:p>
    <w:p w:rsidR="001302DA" w:rsidRPr="00B60C65" w:rsidP="00820636" w14:paraId="24C09EED"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In any event, even if we were to accept the premise that section 1286.4, subdivision (a)’s reference to a “duly served and filed” vacatur request incorporates considerations of timing, Lender’s argument would still fail.  The word “duly” means “[i]n a proper manner; in accordance with legal requirements.”  (Black’s Law Dict. (11th ed. 2019) p. 633, col. 1.)  Far from expressing a limitation on the courts’ power to entertain a late-filed vacatur request, the phrase “duly served and filed” simply begs the question whether a vacatur request has been served and filed in a proper manner if a court grants equitable relief from the missed deadline.  (Cf., e.g., </w:t>
      </w:r>
      <w:bookmarkStart w:id="17" w:name="_Hlk134702182"/>
      <w:r w:rsidRPr="00F96D48">
        <w:rPr>
          <w:rFonts w:ascii="Century Schoolbook" w:hAnsi="Century Schoolbook"/>
          <w:i/>
          <w:iCs/>
          <w:sz w:val="27"/>
          <w:szCs w:val="27"/>
        </w:rPr>
        <w:t>McDonald v. Antelope Valley Community College Dist.</w:t>
      </w:r>
      <w:r w:rsidRPr="00F96D48">
        <w:rPr>
          <w:rFonts w:ascii="Century Schoolbook" w:hAnsi="Century Schoolbook"/>
          <w:sz w:val="27"/>
          <w:szCs w:val="27"/>
        </w:rPr>
        <w:t xml:space="preserve"> (2008) 45 Cal.4th 88, 99</w:t>
      </w:r>
      <w:r>
        <w:rPr>
          <w:rFonts w:ascii="Century Schoolbook" w:hAnsi="Century Schoolbook"/>
          <w:sz w:val="27"/>
          <w:szCs w:val="27"/>
        </w:rPr>
        <w:t xml:space="preserve"> (</w:t>
      </w:r>
      <w:r w:rsidRPr="008C12DB">
        <w:rPr>
          <w:rFonts w:ascii="Century Schoolbook" w:hAnsi="Century Schoolbook"/>
          <w:i/>
          <w:iCs/>
          <w:sz w:val="27"/>
          <w:szCs w:val="27"/>
        </w:rPr>
        <w:t>McDonald</w:t>
      </w:r>
      <w:r>
        <w:rPr>
          <w:rFonts w:ascii="Century Schoolbook" w:hAnsi="Century Schoolbook"/>
          <w:sz w:val="27"/>
          <w:szCs w:val="27"/>
        </w:rPr>
        <w:t xml:space="preserve">) </w:t>
      </w:r>
      <w:bookmarkEnd w:id="17"/>
      <w:r>
        <w:rPr>
          <w:rFonts w:ascii="Century Schoolbook" w:hAnsi="Century Schoolbook"/>
          <w:sz w:val="27"/>
          <w:szCs w:val="27"/>
        </w:rPr>
        <w:t xml:space="preserve">[equitable tolling will “ ‘suspend or extend a statute of limitations as necessary’ ”].)  </w:t>
      </w:r>
    </w:p>
    <w:p w:rsidR="00866AF0" w:rsidRPr="00B60C65" w:rsidP="00B60C65" w14:paraId="0C9DB51B"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 xml:space="preserve">To be sure, a court may act in excess of jurisdiction by entertaining an untimely response over a proper objection.  “We have described courts that violate procedural requirements, order relief that is unauthorized by statute or common law, or otherwise ‘ “fail[] to conduct [themselves] in the manner prescribed” ’ by law as acting ‘ “in </w:t>
      </w:r>
      <w:r w:rsidRPr="00B60C65">
        <w:rPr>
          <w:rFonts w:ascii="Century Schoolbook" w:hAnsi="Century Schoolbook"/>
          <w:i/>
          <w:iCs/>
          <w:sz w:val="27"/>
          <w:szCs w:val="27"/>
        </w:rPr>
        <w:t>excess</w:t>
      </w:r>
      <w:r w:rsidRPr="00B60C65">
        <w:rPr>
          <w:rFonts w:ascii="Century Schoolbook" w:hAnsi="Century Schoolbook"/>
          <w:sz w:val="27"/>
          <w:szCs w:val="27"/>
        </w:rPr>
        <w:t xml:space="preserve"> of jurisdiction.” ’ ”  (See </w:t>
      </w:r>
      <w:r w:rsidRPr="00B60C65">
        <w:rPr>
          <w:rFonts w:ascii="Century Schoolbook" w:hAnsi="Century Schoolbook"/>
          <w:i/>
          <w:iCs/>
          <w:sz w:val="27"/>
          <w:szCs w:val="27"/>
        </w:rPr>
        <w:t>Kabran</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xml:space="preserve">, 2 Cal.5th at pp. 339–340.)  Section 1288.2 speaks to the parties in mandatory terms, stating that a vacatur request “shall be served and filed not later than 100 days” after service of the award.  If the trial court were to entertain an untimely response over a proper objection invoking this mandatory statute of limitations, any judgment for the responding party vacating the award might be reversible on appeal (assuming equitable considerations like waiver or estoppel do not provide grounds to excuse the untimely filing, see pt. III.B., </w:t>
      </w:r>
      <w:r w:rsidRPr="00B60C65">
        <w:rPr>
          <w:rFonts w:ascii="Century Schoolbook" w:hAnsi="Century Schoolbook"/>
          <w:i/>
          <w:iCs/>
          <w:sz w:val="27"/>
          <w:szCs w:val="27"/>
        </w:rPr>
        <w:t>post</w:t>
      </w:r>
      <w:r w:rsidRPr="00B60C65">
        <w:rPr>
          <w:rFonts w:ascii="Century Schoolbook" w:hAnsi="Century Schoolbook"/>
          <w:sz w:val="27"/>
          <w:szCs w:val="27"/>
        </w:rPr>
        <w:t>).  (</w:t>
      </w:r>
      <w:r w:rsidRPr="00B60C65">
        <w:rPr>
          <w:rFonts w:ascii="Century Schoolbook" w:hAnsi="Century Schoolbook"/>
          <w:i/>
          <w:iCs/>
          <w:sz w:val="27"/>
          <w:szCs w:val="27"/>
        </w:rPr>
        <w:t>Kabran</w:t>
      </w:r>
      <w:r w:rsidRPr="00B60C65">
        <w:rPr>
          <w:rFonts w:ascii="Century Schoolbook" w:hAnsi="Century Schoolbook"/>
          <w:sz w:val="27"/>
          <w:szCs w:val="27"/>
        </w:rPr>
        <w:t xml:space="preserve">, at p. 341.)  “But a party’s failure to comply with a mandatory requirement ‘does not necessarily mean a court loses </w:t>
      </w:r>
      <w:r w:rsidRPr="00B60C65">
        <w:rPr>
          <w:rFonts w:ascii="Century Schoolbook" w:hAnsi="Century Schoolbook"/>
          <w:i/>
          <w:iCs/>
          <w:sz w:val="27"/>
          <w:szCs w:val="27"/>
        </w:rPr>
        <w:t xml:space="preserve">fundamental </w:t>
      </w:r>
      <w:r w:rsidRPr="00B60C65">
        <w:rPr>
          <w:rFonts w:ascii="Century Schoolbook" w:hAnsi="Century Schoolbook"/>
          <w:sz w:val="27"/>
          <w:szCs w:val="27"/>
        </w:rPr>
        <w:t>jurisdiction resulting in “an entire absence of power to hear or determine the case, an absence of authority over the subject matter or the parties.” ’ ”  (</w:t>
      </w:r>
      <w:r w:rsidRPr="005D7AB7">
        <w:rPr>
          <w:rFonts w:ascii="Century Schoolbook" w:hAnsi="Century Schoolbook"/>
          <w:i/>
          <w:iCs/>
          <w:sz w:val="27"/>
          <w:szCs w:val="27"/>
        </w:rPr>
        <w:t>Ibid.</w:t>
      </w:r>
      <w:r w:rsidRPr="00B60C65">
        <w:rPr>
          <w:rFonts w:ascii="Century Schoolbook" w:hAnsi="Century Schoolbook"/>
          <w:sz w:val="27"/>
          <w:szCs w:val="27"/>
        </w:rPr>
        <w:t xml:space="preserve">, quoting </w:t>
      </w:r>
      <w:r w:rsidRPr="00B60C65">
        <w:rPr>
          <w:rFonts w:ascii="Century Schoolbook" w:hAnsi="Century Schoolbook"/>
          <w:i/>
          <w:iCs/>
          <w:sz w:val="27"/>
          <w:szCs w:val="27"/>
        </w:rPr>
        <w:t xml:space="preserve">People v. Allen </w:t>
      </w:r>
      <w:r w:rsidRPr="00B60C65">
        <w:rPr>
          <w:rFonts w:ascii="Century Schoolbook" w:hAnsi="Century Schoolbook"/>
          <w:sz w:val="27"/>
          <w:szCs w:val="27"/>
        </w:rPr>
        <w:t xml:space="preserve">(2007) 42 Cal.4th 91, 101, fn. 5; </w:t>
      </w:r>
      <w:r>
        <w:rPr>
          <w:rFonts w:ascii="Century Schoolbook" w:hAnsi="Century Schoolbook"/>
          <w:sz w:val="27"/>
          <w:szCs w:val="27"/>
        </w:rPr>
        <w:t xml:space="preserve">see </w:t>
      </w:r>
      <w:r w:rsidRPr="00B60C65">
        <w:rPr>
          <w:rFonts w:ascii="Century Schoolbook" w:hAnsi="Century Schoolbook"/>
          <w:i/>
          <w:iCs/>
          <w:sz w:val="27"/>
          <w:szCs w:val="27"/>
        </w:rPr>
        <w:t>Quigley</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7 Cal.5th at p. 813.)</w:t>
      </w:r>
    </w:p>
    <w:p w:rsidR="004306C6" w:rsidRPr="00B60C65" w:rsidP="00B60C65" w14:paraId="19397978"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In short, absent clearer evidence of legislative intent, we presume that the Legislature did not intend to limit the fundamental jurisdiction of the courts by enacting the 100-day deadline to challenge an arbitral award under section 1288.2.</w:t>
      </w:r>
      <w:r>
        <w:rPr>
          <w:rStyle w:val="FootnoteReference"/>
          <w:rFonts w:ascii="Century Schoolbook" w:hAnsi="Century Schoolbook"/>
          <w:b/>
          <w:bCs/>
          <w:position w:val="6"/>
          <w:sz w:val="20"/>
          <w:szCs w:val="20"/>
          <w:vertAlign w:val="baseline"/>
        </w:rPr>
        <w:footnoteReference w:id="4"/>
      </w:r>
    </w:p>
    <w:p w:rsidR="005465D0" w:rsidRPr="00B60C65" w:rsidP="00B60C65" w14:paraId="4CF5ADF6" w14:textId="77777777">
      <w:pPr>
        <w:spacing w:after="100" w:line="400" w:lineRule="exact"/>
        <w:jc w:val="center"/>
        <w:rPr>
          <w:rFonts w:ascii="Century Schoolbook" w:hAnsi="Century Schoolbook"/>
          <w:b/>
          <w:bCs/>
          <w:sz w:val="27"/>
          <w:szCs w:val="27"/>
        </w:rPr>
      </w:pPr>
      <w:r w:rsidRPr="00B60C65">
        <w:rPr>
          <w:rFonts w:ascii="Century Schoolbook" w:hAnsi="Century Schoolbook"/>
          <w:b/>
          <w:bCs/>
          <w:sz w:val="27"/>
          <w:szCs w:val="27"/>
        </w:rPr>
        <w:t>B.</w:t>
      </w:r>
    </w:p>
    <w:p w:rsidR="005465D0" w:rsidRPr="00B60C65" w:rsidP="00B60C65" w14:paraId="081F8725"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 xml:space="preserve">That is not the end of the analysis, however.  Even if a statute of limitations is nonjurisdictional, the Legislature </w:t>
      </w:r>
      <w:r>
        <w:rPr>
          <w:rFonts w:ascii="Century Schoolbook" w:hAnsi="Century Schoolbook"/>
          <w:sz w:val="27"/>
          <w:szCs w:val="27"/>
        </w:rPr>
        <w:t>still may</w:t>
      </w:r>
      <w:r w:rsidRPr="00B60C65">
        <w:rPr>
          <w:rFonts w:ascii="Century Schoolbook" w:hAnsi="Century Schoolbook"/>
          <w:sz w:val="27"/>
          <w:szCs w:val="27"/>
        </w:rPr>
        <w:t xml:space="preserve"> preclude the court from applying equitable doctrines like tolling and estoppel.  </w:t>
      </w:r>
      <w:bookmarkStart w:id="18" w:name="_Hlk134702479"/>
      <w:r w:rsidRPr="00B60C65">
        <w:rPr>
          <w:rFonts w:ascii="Century Schoolbook" w:hAnsi="Century Schoolbook"/>
          <w:sz w:val="27"/>
          <w:szCs w:val="27"/>
        </w:rPr>
        <w:t xml:space="preserve">(See </w:t>
      </w:r>
      <w:r w:rsidRPr="00B60C65">
        <w:rPr>
          <w:rFonts w:ascii="Century Schoolbook" w:hAnsi="Century Schoolbook"/>
          <w:i/>
          <w:iCs/>
          <w:sz w:val="27"/>
          <w:szCs w:val="27"/>
        </w:rPr>
        <w:t xml:space="preserve">Saint Francis Memorial Hospital v. State Dept. of Public Health </w:t>
      </w:r>
      <w:r w:rsidRPr="00B60C65">
        <w:rPr>
          <w:rFonts w:ascii="Century Schoolbook" w:hAnsi="Century Schoolbook"/>
          <w:sz w:val="27"/>
          <w:szCs w:val="27"/>
        </w:rPr>
        <w:t>(2020) 9 Cal.5th 710, 720 (</w:t>
      </w:r>
      <w:r w:rsidRPr="00B60C65">
        <w:rPr>
          <w:rFonts w:ascii="Century Schoolbook" w:hAnsi="Century Schoolbook"/>
          <w:i/>
          <w:iCs/>
          <w:sz w:val="27"/>
          <w:szCs w:val="27"/>
        </w:rPr>
        <w:t>Saint Francis</w:t>
      </w:r>
      <w:r w:rsidRPr="00B60C65">
        <w:rPr>
          <w:rFonts w:ascii="Century Schoolbook" w:hAnsi="Century Schoolbook"/>
          <w:sz w:val="27"/>
          <w:szCs w:val="27"/>
        </w:rPr>
        <w:t xml:space="preserve">); </w:t>
      </w:r>
      <w:bookmarkEnd w:id="18"/>
      <w:r w:rsidRPr="00B60C65">
        <w:rPr>
          <w:rFonts w:ascii="Century Schoolbook" w:hAnsi="Century Schoolbook"/>
          <w:sz w:val="27"/>
          <w:szCs w:val="27"/>
        </w:rPr>
        <w:t xml:space="preserve">see also, e.g., </w:t>
      </w:r>
      <w:r w:rsidRPr="00B60C65">
        <w:rPr>
          <w:rFonts w:ascii="Century Schoolbook" w:hAnsi="Century Schoolbook"/>
          <w:i/>
          <w:iCs/>
          <w:sz w:val="27"/>
          <w:szCs w:val="27"/>
        </w:rPr>
        <w:t>Boechler</w:t>
      </w:r>
      <w:r w:rsidRPr="00B60C65">
        <w:rPr>
          <w:rFonts w:ascii="Century Schoolbook" w:hAnsi="Century Schoolbook"/>
          <w:sz w:val="27"/>
          <w:szCs w:val="27"/>
        </w:rPr>
        <w:t xml:space="preserve">, </w:t>
      </w:r>
      <w:r w:rsidRPr="00B60C65">
        <w:rPr>
          <w:rFonts w:ascii="Century Schoolbook" w:hAnsi="Century Schoolbook"/>
          <w:i/>
          <w:iCs/>
          <w:sz w:val="27"/>
          <w:szCs w:val="27"/>
        </w:rPr>
        <w:t>supra</w:t>
      </w:r>
      <w:r w:rsidRPr="00B60C65">
        <w:rPr>
          <w:rFonts w:ascii="Century Schoolbook" w:hAnsi="Century Schoolbook"/>
          <w:sz w:val="27"/>
          <w:szCs w:val="27"/>
        </w:rPr>
        <w:t xml:space="preserve">, </w:t>
      </w:r>
      <w:r>
        <w:rPr>
          <w:rFonts w:ascii="Century Schoolbook" w:hAnsi="Century Schoolbook"/>
          <w:sz w:val="27"/>
          <w:szCs w:val="27"/>
        </w:rPr>
        <w:t>596</w:t>
      </w:r>
      <w:r w:rsidRPr="00B60C65">
        <w:rPr>
          <w:rFonts w:ascii="Century Schoolbook" w:hAnsi="Century Schoolbook"/>
          <w:sz w:val="27"/>
          <w:szCs w:val="27"/>
        </w:rPr>
        <w:t xml:space="preserve"> U.S. at </w:t>
      </w:r>
      <w:r>
        <w:rPr>
          <w:rFonts w:ascii="Century Schoolbook" w:hAnsi="Century Schoolbook"/>
          <w:sz w:val="27"/>
          <w:szCs w:val="27"/>
        </w:rPr>
        <w:t>p</w:t>
      </w:r>
      <w:r w:rsidRPr="00B60C65">
        <w:rPr>
          <w:rFonts w:ascii="Century Schoolbook" w:hAnsi="Century Schoolbook"/>
          <w:sz w:val="27"/>
          <w:szCs w:val="27"/>
        </w:rPr>
        <w:t>p. </w:t>
      </w:r>
      <w:r>
        <w:rPr>
          <w:rFonts w:ascii="Century Schoolbook" w:hAnsi="Century Schoolbook"/>
          <w:sz w:val="27"/>
          <w:szCs w:val="27"/>
        </w:rPr>
        <w:t>_</w:t>
      </w:r>
      <w:r w:rsidRPr="00B60C65">
        <w:rPr>
          <w:rFonts w:ascii="Century Schoolbook" w:hAnsi="Century Schoolbook"/>
          <w:sz w:val="27"/>
          <w:szCs w:val="27"/>
        </w:rPr>
        <w:t>__–</w:t>
      </w:r>
      <w:r>
        <w:rPr>
          <w:rFonts w:ascii="Century Schoolbook" w:hAnsi="Century Schoolbook"/>
          <w:sz w:val="27"/>
          <w:szCs w:val="27"/>
        </w:rPr>
        <w:t>___</w:t>
      </w:r>
      <w:r w:rsidRPr="00B60C65">
        <w:rPr>
          <w:rFonts w:ascii="Century Schoolbook" w:hAnsi="Century Schoolbook"/>
          <w:sz w:val="27"/>
          <w:szCs w:val="27"/>
        </w:rPr>
        <w:t xml:space="preserve"> [142 S.Ct. at pp. 1500–1501].)</w:t>
      </w:r>
    </w:p>
    <w:p w:rsidR="005465D0" w:rsidRPr="00B60C65" w:rsidP="00B60C65" w14:paraId="3C904293"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 xml:space="preserve">In </w:t>
      </w:r>
      <w:r w:rsidRPr="00B60C65">
        <w:rPr>
          <w:rFonts w:ascii="Century Schoolbook" w:hAnsi="Century Schoolbook"/>
          <w:i/>
          <w:iCs/>
          <w:sz w:val="27"/>
          <w:szCs w:val="27"/>
        </w:rPr>
        <w:t>Saint Francis</w:t>
      </w:r>
      <w:r w:rsidRPr="00B60C65">
        <w:rPr>
          <w:rFonts w:ascii="Century Schoolbook" w:hAnsi="Century Schoolbook"/>
          <w:sz w:val="27"/>
          <w:szCs w:val="27"/>
        </w:rPr>
        <w:t>,</w:t>
      </w:r>
      <w:r w:rsidRPr="00B60C65">
        <w:rPr>
          <w:rFonts w:ascii="Century Schoolbook" w:hAnsi="Century Schoolbook"/>
          <w:i/>
          <w:iCs/>
          <w:sz w:val="27"/>
          <w:szCs w:val="27"/>
        </w:rPr>
        <w:t xml:space="preserve"> </w:t>
      </w:r>
      <w:r w:rsidRPr="00B60C65">
        <w:rPr>
          <w:rFonts w:ascii="Century Schoolbook" w:hAnsi="Century Schoolbook"/>
          <w:sz w:val="27"/>
          <w:szCs w:val="27"/>
        </w:rPr>
        <w:t>we described the framework for determining whether a nonjurisdictional statute of limitations is subject to equitable tolling.  We explained that the tolling doctrine derives from the courts’ inherent equitable powers, not from a delegation of authority by the Legislature in a particular statute.  (</w:t>
      </w:r>
      <w:r w:rsidRPr="00B60C65">
        <w:rPr>
          <w:rFonts w:ascii="Century Schoolbook" w:hAnsi="Century Schoolbook"/>
          <w:i/>
          <w:iCs/>
          <w:sz w:val="27"/>
          <w:szCs w:val="27"/>
        </w:rPr>
        <w:t>Saint Francis</w:t>
      </w:r>
      <w:r w:rsidRPr="00B60C65">
        <w:rPr>
          <w:rFonts w:ascii="Century Schoolbook" w:hAnsi="Century Schoolbook"/>
          <w:sz w:val="27"/>
          <w:szCs w:val="27"/>
        </w:rPr>
        <w:t xml:space="preserve">, </w:t>
      </w:r>
      <w:r w:rsidRPr="00B60C65">
        <w:rPr>
          <w:rFonts w:ascii="Century Schoolbook" w:hAnsi="Century Schoolbook"/>
          <w:i/>
          <w:iCs/>
          <w:sz w:val="27"/>
          <w:szCs w:val="27"/>
        </w:rPr>
        <w:t>supra</w:t>
      </w:r>
      <w:r w:rsidRPr="00B60C65">
        <w:rPr>
          <w:rFonts w:ascii="Century Schoolbook" w:hAnsi="Century Schoolbook"/>
          <w:sz w:val="27"/>
          <w:szCs w:val="27"/>
        </w:rPr>
        <w:t>, 9 Cal.5th</w:t>
      </w:r>
      <w:r w:rsidRPr="00B60C65">
        <w:rPr>
          <w:rFonts w:ascii="Century Schoolbook" w:hAnsi="Century Schoolbook"/>
          <w:i/>
          <w:iCs/>
          <w:sz w:val="27"/>
          <w:szCs w:val="27"/>
        </w:rPr>
        <w:t xml:space="preserve"> </w:t>
      </w:r>
      <w:r w:rsidRPr="00B60C65">
        <w:rPr>
          <w:rFonts w:ascii="Century Schoolbook" w:hAnsi="Century Schoolbook"/>
          <w:sz w:val="27"/>
          <w:szCs w:val="27"/>
        </w:rPr>
        <w:t>at p. 720.)  This equitable power forms “ ‘part of the established backdrop of American law,’ ” and we assume that the Legislature understands this background principle when drafting statutory deadlines.  (</w:t>
      </w:r>
      <w:r w:rsidRPr="00B60C65">
        <w:rPr>
          <w:rFonts w:ascii="Century Schoolbook" w:hAnsi="Century Schoolbook"/>
          <w:i/>
          <w:iCs/>
          <w:sz w:val="27"/>
          <w:szCs w:val="27"/>
        </w:rPr>
        <w:t>Id.</w:t>
      </w:r>
      <w:r w:rsidRPr="00B60C65">
        <w:rPr>
          <w:rFonts w:ascii="Century Schoolbook" w:hAnsi="Century Schoolbook"/>
          <w:sz w:val="27"/>
          <w:szCs w:val="27"/>
        </w:rPr>
        <w:t xml:space="preserve"> at p. 721, quoting </w:t>
      </w:r>
      <w:r w:rsidRPr="00B60C65">
        <w:rPr>
          <w:rFonts w:ascii="Century Schoolbook" w:hAnsi="Century Schoolbook"/>
          <w:i/>
          <w:iCs/>
          <w:sz w:val="27"/>
          <w:szCs w:val="27"/>
        </w:rPr>
        <w:t>Lozano v. Montoya Alvarez</w:t>
      </w:r>
      <w:r w:rsidRPr="00B60C65">
        <w:rPr>
          <w:rFonts w:ascii="Century Schoolbook" w:hAnsi="Century Schoolbook"/>
          <w:sz w:val="27"/>
          <w:szCs w:val="27"/>
        </w:rPr>
        <w:t xml:space="preserve"> (2014) 572 U.S. 1, 11.)  Accordingly, we presume that a statutory limitations period is subject to equitable tolling.  (</w:t>
      </w:r>
      <w:r w:rsidRPr="00B60C65">
        <w:rPr>
          <w:rFonts w:ascii="Century Schoolbook" w:hAnsi="Century Schoolbook"/>
          <w:i/>
          <w:iCs/>
          <w:sz w:val="27"/>
          <w:szCs w:val="27"/>
        </w:rPr>
        <w:t>Saint Francis</w:t>
      </w:r>
      <w:r w:rsidRPr="00B60C65">
        <w:rPr>
          <w:rFonts w:ascii="Century Schoolbook" w:hAnsi="Century Schoolbook"/>
          <w:sz w:val="27"/>
          <w:szCs w:val="27"/>
        </w:rPr>
        <w:t xml:space="preserve">, at p. 720, citing </w:t>
      </w:r>
      <w:r w:rsidRPr="00B60C65">
        <w:rPr>
          <w:rFonts w:ascii="Century Schoolbook" w:hAnsi="Century Schoolbook"/>
          <w:i/>
          <w:iCs/>
          <w:sz w:val="27"/>
          <w:szCs w:val="27"/>
        </w:rPr>
        <w:t>Irwin v. Department of Veterans Affairs</w:t>
      </w:r>
      <w:r w:rsidRPr="00B60C65">
        <w:rPr>
          <w:rFonts w:ascii="Century Schoolbook" w:hAnsi="Century Schoolbook"/>
          <w:sz w:val="27"/>
          <w:szCs w:val="27"/>
        </w:rPr>
        <w:t xml:space="preserve"> (1990) 498 U.S. 89, 95–96.)  </w:t>
      </w:r>
      <w:r>
        <w:rPr>
          <w:rFonts w:ascii="Century Schoolbook" w:hAnsi="Century Schoolbook"/>
          <w:sz w:val="27"/>
          <w:szCs w:val="27"/>
        </w:rPr>
        <w:t xml:space="preserve">Much like the presumption that a filing deadline is nonjurisdictional, the presumption that a deadline permits tolling and other forms of equitable relief is rebuttable:  </w:t>
      </w:r>
      <w:r w:rsidRPr="00B60C65">
        <w:rPr>
          <w:rFonts w:ascii="Century Schoolbook" w:hAnsi="Century Schoolbook"/>
          <w:sz w:val="27"/>
          <w:szCs w:val="27"/>
        </w:rPr>
        <w:t>An examination of the “explicit statutory language” or the “manifest policy underlying a statute” may demonstrate that the Legislature intended to reverse the usual rule.  (</w:t>
      </w:r>
      <w:r w:rsidRPr="00B60C65">
        <w:rPr>
          <w:rFonts w:ascii="Century Schoolbook" w:hAnsi="Century Schoolbook"/>
          <w:i/>
          <w:iCs/>
          <w:sz w:val="27"/>
          <w:szCs w:val="27"/>
        </w:rPr>
        <w:t>Saint Francis</w:t>
      </w:r>
      <w:r w:rsidRPr="00B60C65">
        <w:rPr>
          <w:rFonts w:ascii="Century Schoolbook" w:hAnsi="Century Schoolbook"/>
          <w:sz w:val="27"/>
          <w:szCs w:val="27"/>
        </w:rPr>
        <w:t>,</w:t>
      </w:r>
      <w:r w:rsidRPr="00B60C65">
        <w:rPr>
          <w:rFonts w:ascii="Century Schoolbook" w:hAnsi="Century Schoolbook"/>
          <w:i/>
          <w:iCs/>
          <w:sz w:val="27"/>
          <w:szCs w:val="27"/>
        </w:rPr>
        <w:t xml:space="preserve"> </w:t>
      </w:r>
      <w:r w:rsidRPr="00B60C65">
        <w:rPr>
          <w:rFonts w:ascii="Century Schoolbook" w:hAnsi="Century Schoolbook"/>
          <w:sz w:val="27"/>
          <w:szCs w:val="27"/>
        </w:rPr>
        <w:t>at p. 720.)  We have applied a similar presumption in assessing whether the Legislature intended to preclude courts from applying equitable estoppel.  In that context, we held that “ ‘courts should not presume the Legislature intended “to overthrow long-established principles of law unless such intention is made clearly to appear either by express declaration or by necessary implication.” ’ ”  (</w:t>
      </w:r>
      <w:r w:rsidRPr="00B60C65">
        <w:rPr>
          <w:rFonts w:ascii="Century Schoolbook" w:hAnsi="Century Schoolbook"/>
          <w:i/>
          <w:iCs/>
          <w:sz w:val="27"/>
          <w:szCs w:val="27"/>
        </w:rPr>
        <w:t xml:space="preserve">Atwater Elementary School Dist. v. California Dept. of General Services </w:t>
      </w:r>
      <w:r w:rsidRPr="00B60C65">
        <w:rPr>
          <w:rFonts w:ascii="Century Schoolbook" w:hAnsi="Century Schoolbook"/>
          <w:sz w:val="27"/>
          <w:szCs w:val="27"/>
        </w:rPr>
        <w:t xml:space="preserve">(2007) 41 Cal.4th 227, 233, quoting </w:t>
      </w:r>
      <w:r w:rsidRPr="00B60C65">
        <w:rPr>
          <w:rFonts w:ascii="Century Schoolbook" w:hAnsi="Century Schoolbook"/>
          <w:i/>
          <w:iCs/>
          <w:sz w:val="27"/>
          <w:szCs w:val="27"/>
        </w:rPr>
        <w:t xml:space="preserve">Juran v. Epstein </w:t>
      </w:r>
      <w:r w:rsidRPr="00B60C65">
        <w:rPr>
          <w:rFonts w:ascii="Century Schoolbook" w:hAnsi="Century Schoolbook"/>
          <w:sz w:val="27"/>
          <w:szCs w:val="27"/>
        </w:rPr>
        <w:t>(1994) 23 Cal.App.4th 882, 896.)</w:t>
      </w:r>
    </w:p>
    <w:p w:rsidR="005465D0" w:rsidRPr="00B60C65" w:rsidP="00B60C65" w14:paraId="0556DAB9"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 xml:space="preserve">Here, just as we have discerned no clear legislative intent to limit the courts’ fundamental jurisdiction to consider a late-filed vacatur request, neither do we discern any clear legislative intent to preclude courts from providing equitable relief from the statutory deadlines under appropriate circumstances. </w:t>
      </w:r>
      <w:r>
        <w:rPr>
          <w:rFonts w:ascii="Century Schoolbook" w:hAnsi="Century Schoolbook"/>
          <w:sz w:val="27"/>
          <w:szCs w:val="27"/>
        </w:rPr>
        <w:t xml:space="preserve"> </w:t>
      </w:r>
      <w:r w:rsidRPr="00B60C65">
        <w:rPr>
          <w:rFonts w:ascii="Century Schoolbook" w:hAnsi="Century Schoolbook"/>
          <w:sz w:val="27"/>
          <w:szCs w:val="27"/>
        </w:rPr>
        <w:t>To begin, section 1288.2 does not expressly prohibit courts from applying traditional equitable principles to the statutory deadline.  If the Legislature had intended to preclude equitable tolling or equitable estoppel, it could have done so expressly.  (See, e.g., Code Civ. Proc., § 366.2</w:t>
      </w:r>
      <w:r>
        <w:rPr>
          <w:rFonts w:ascii="Century Schoolbook" w:hAnsi="Century Schoolbook"/>
          <w:sz w:val="27"/>
          <w:szCs w:val="27"/>
        </w:rPr>
        <w:t>, subd. (b)</w:t>
      </w:r>
      <w:r w:rsidRPr="00B60C65">
        <w:rPr>
          <w:rFonts w:ascii="Century Schoolbook" w:hAnsi="Century Schoolbook"/>
          <w:sz w:val="27"/>
          <w:szCs w:val="27"/>
        </w:rPr>
        <w:t xml:space="preserve"> [providing a one-year statute of limitations for a surviving action against a deceased person and stating that the period “shall not be tolled or extended for any reason” except as specified in the statute]; </w:t>
      </w:r>
      <w:r w:rsidRPr="00B60C65">
        <w:rPr>
          <w:rFonts w:ascii="Century Schoolbook" w:hAnsi="Century Schoolbook"/>
          <w:i/>
          <w:iCs/>
          <w:sz w:val="27"/>
          <w:szCs w:val="27"/>
        </w:rPr>
        <w:t>Atwater Elementary School Dist. v. California Dept. of General Services</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xml:space="preserve">, 41 Cal.4th at p. 233 [“ ‘The Legislature could have easily stated it intended to abrogate long-established equitable principles [such as equitable estoppel].  It did not do so.’ ”].)  Instead, section 1288.2 reads like other run-of-the-mill statutes of limitations that we have held are subject to equitable tolling.  (Compare Code Civ. Proc., § 1288.2 [providing that a response “shall be served and filed not later than 100 days after the date of service of a signed copy of the award”] with, e.g., </w:t>
      </w:r>
      <w:r w:rsidRPr="00B60C65">
        <w:rPr>
          <w:rFonts w:ascii="Century Schoolbook" w:hAnsi="Century Schoolbook"/>
          <w:i/>
          <w:iCs/>
          <w:sz w:val="27"/>
          <w:szCs w:val="27"/>
        </w:rPr>
        <w:t>Saint Francis</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9 Cal.5th at p. 720 [holding that equitable tolling applies to Gov</w:t>
      </w:r>
      <w:r>
        <w:rPr>
          <w:rFonts w:ascii="Century Schoolbook" w:hAnsi="Century Schoolbook"/>
          <w:sz w:val="27"/>
          <w:szCs w:val="27"/>
        </w:rPr>
        <w:t>.</w:t>
      </w:r>
      <w:r w:rsidRPr="00B60C65">
        <w:rPr>
          <w:rFonts w:ascii="Century Schoolbook" w:hAnsi="Century Schoolbook"/>
          <w:sz w:val="27"/>
          <w:szCs w:val="27"/>
        </w:rPr>
        <w:t xml:space="preserve"> Code</w:t>
      </w:r>
      <w:r>
        <w:rPr>
          <w:rFonts w:ascii="Century Schoolbook" w:hAnsi="Century Schoolbook"/>
          <w:sz w:val="27"/>
          <w:szCs w:val="27"/>
        </w:rPr>
        <w:t>, § </w:t>
      </w:r>
      <w:r w:rsidRPr="00B60C65">
        <w:rPr>
          <w:rFonts w:ascii="Century Schoolbook" w:hAnsi="Century Schoolbook"/>
          <w:sz w:val="27"/>
          <w:szCs w:val="27"/>
        </w:rPr>
        <w:t>11523, which provides that a petition for writ of mandate “shall be filed within 30 days after the last day on which reconsideration can be ordered”].)</w:t>
      </w:r>
    </w:p>
    <w:p w:rsidR="00DA643B" w:rsidRPr="00B60C65" w:rsidP="00B60C65" w14:paraId="70118C19"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Even absent an express prohibition, however, we have held that equitable exceptions may be inconsistent with the statutory text or the legislative policy reflected in the statutory scheme.  (</w:t>
      </w:r>
      <w:r w:rsidRPr="00B60C65">
        <w:rPr>
          <w:rFonts w:ascii="Century Schoolbook" w:hAnsi="Century Schoolbook"/>
          <w:i/>
          <w:iCs/>
          <w:sz w:val="27"/>
          <w:szCs w:val="27"/>
        </w:rPr>
        <w:t>Lantzy v. Centex Homes</w:t>
      </w:r>
      <w:r>
        <w:rPr>
          <w:rFonts w:ascii="Century Schoolbook" w:hAnsi="Century Schoolbook"/>
          <w:i/>
          <w:iCs/>
          <w:sz w:val="27"/>
          <w:szCs w:val="27"/>
        </w:rPr>
        <w:t xml:space="preserve"> </w:t>
      </w:r>
      <w:r>
        <w:rPr>
          <w:rFonts w:ascii="Century Schoolbook" w:hAnsi="Century Schoolbook"/>
          <w:sz w:val="27"/>
          <w:szCs w:val="27"/>
        </w:rPr>
        <w:t xml:space="preserve">(2003) </w:t>
      </w:r>
      <w:r w:rsidRPr="00B60C65">
        <w:rPr>
          <w:rFonts w:ascii="Century Schoolbook" w:hAnsi="Century Schoolbook"/>
          <w:sz w:val="27"/>
          <w:szCs w:val="27"/>
        </w:rPr>
        <w:t xml:space="preserve">31 Cal.4th </w:t>
      </w:r>
      <w:r>
        <w:rPr>
          <w:rFonts w:ascii="Century Schoolbook" w:hAnsi="Century Schoolbook"/>
          <w:sz w:val="27"/>
          <w:szCs w:val="27"/>
        </w:rPr>
        <w:t xml:space="preserve">363, </w:t>
      </w:r>
      <w:r w:rsidRPr="00B60C65">
        <w:rPr>
          <w:rFonts w:ascii="Century Schoolbook" w:hAnsi="Century Schoolbook"/>
          <w:sz w:val="27"/>
          <w:szCs w:val="27"/>
        </w:rPr>
        <w:t>371 (</w:t>
      </w:r>
      <w:r w:rsidRPr="00B60C65">
        <w:rPr>
          <w:rFonts w:ascii="Century Schoolbook" w:hAnsi="Century Schoolbook"/>
          <w:i/>
          <w:iCs/>
          <w:sz w:val="27"/>
          <w:szCs w:val="27"/>
        </w:rPr>
        <w:t>Lantzy</w:t>
      </w:r>
      <w:r w:rsidRPr="00B60C65">
        <w:rPr>
          <w:rFonts w:ascii="Century Schoolbook" w:hAnsi="Century Schoolbook"/>
          <w:sz w:val="27"/>
          <w:szCs w:val="27"/>
        </w:rPr>
        <w:t xml:space="preserve">); </w:t>
      </w:r>
      <w:r w:rsidRPr="00B60C65">
        <w:rPr>
          <w:rFonts w:ascii="Century Schoolbook" w:hAnsi="Century Schoolbook"/>
          <w:i/>
          <w:iCs/>
          <w:sz w:val="27"/>
          <w:szCs w:val="27"/>
        </w:rPr>
        <w:t>McDonald</w:t>
      </w:r>
      <w:r>
        <w:rPr>
          <w:rFonts w:ascii="Century Schoolbook" w:hAnsi="Century Schoolbook"/>
          <w:sz w:val="27"/>
          <w:szCs w:val="27"/>
        </w:rPr>
        <w:t xml:space="preserve">, </w:t>
      </w:r>
      <w:r w:rsidRPr="009A144C">
        <w:rPr>
          <w:rFonts w:ascii="Century Schoolbook" w:hAnsi="Century Schoolbook"/>
          <w:i/>
          <w:iCs/>
          <w:sz w:val="27"/>
          <w:szCs w:val="27"/>
        </w:rPr>
        <w:t>supra</w:t>
      </w:r>
      <w:r>
        <w:rPr>
          <w:rFonts w:ascii="Century Schoolbook" w:hAnsi="Century Schoolbook"/>
          <w:sz w:val="27"/>
          <w:szCs w:val="27"/>
        </w:rPr>
        <w:t xml:space="preserve">, </w:t>
      </w:r>
      <w:r w:rsidRPr="00B60C65">
        <w:rPr>
          <w:rFonts w:ascii="Century Schoolbook" w:hAnsi="Century Schoolbook"/>
          <w:sz w:val="27"/>
          <w:szCs w:val="27"/>
        </w:rPr>
        <w:t xml:space="preserve">45 Cal.4th </w:t>
      </w:r>
      <w:r>
        <w:rPr>
          <w:rFonts w:ascii="Century Schoolbook" w:hAnsi="Century Schoolbook"/>
          <w:sz w:val="27"/>
          <w:szCs w:val="27"/>
        </w:rPr>
        <w:t>at p. </w:t>
      </w:r>
      <w:r w:rsidRPr="00B60C65">
        <w:rPr>
          <w:rFonts w:ascii="Century Schoolbook" w:hAnsi="Century Schoolbook"/>
          <w:sz w:val="27"/>
          <w:szCs w:val="27"/>
        </w:rPr>
        <w:t xml:space="preserve">105.)  In </w:t>
      </w:r>
      <w:r w:rsidRPr="00B60C65">
        <w:rPr>
          <w:rFonts w:ascii="Century Schoolbook" w:hAnsi="Century Schoolbook"/>
          <w:i/>
          <w:iCs/>
          <w:sz w:val="27"/>
          <w:szCs w:val="27"/>
        </w:rPr>
        <w:t>Lantzy</w:t>
      </w:r>
      <w:r w:rsidRPr="00B60C65">
        <w:rPr>
          <w:rFonts w:ascii="Century Schoolbook" w:hAnsi="Century Schoolbook"/>
          <w:sz w:val="27"/>
          <w:szCs w:val="27"/>
        </w:rPr>
        <w:t>, for example, we held that Code of Civil Procedure section 337.15’s 10-year limitations period for actions based on latent construction defects could not be equitably tolled while the potential defendant attempted to repair the defects.  (</w:t>
      </w:r>
      <w:r w:rsidRPr="00B60C65">
        <w:rPr>
          <w:rFonts w:ascii="Century Schoolbook" w:hAnsi="Century Schoolbook"/>
          <w:i/>
          <w:iCs/>
          <w:sz w:val="27"/>
          <w:szCs w:val="27"/>
        </w:rPr>
        <w:t>Lantzy</w:t>
      </w:r>
      <w:r w:rsidRPr="00B60C65">
        <w:rPr>
          <w:rFonts w:ascii="Century Schoolbook" w:hAnsi="Century Schoolbook"/>
          <w:sz w:val="27"/>
          <w:szCs w:val="27"/>
        </w:rPr>
        <w:t>, at p. 383.)  Although the statute of limitations did not expressly forbid equitable tolling, we determined that the “stentorian terms” of the statutory language and the legislative purpose behind the broader statutory scheme reflected a clear intent to preclude a general tolling-for-repairs rule.  (</w:t>
      </w:r>
      <w:r w:rsidRPr="00B60C65">
        <w:rPr>
          <w:rFonts w:ascii="Century Schoolbook" w:hAnsi="Century Schoolbook"/>
          <w:i/>
          <w:iCs/>
          <w:sz w:val="27"/>
          <w:szCs w:val="27"/>
        </w:rPr>
        <w:t>Id.</w:t>
      </w:r>
      <w:r w:rsidRPr="00B60C65">
        <w:rPr>
          <w:rFonts w:ascii="Century Schoolbook" w:hAnsi="Century Schoolbook"/>
          <w:sz w:val="27"/>
          <w:szCs w:val="27"/>
        </w:rPr>
        <w:t xml:space="preserve"> at p. 373; see </w:t>
      </w:r>
      <w:r w:rsidRPr="00B60C65">
        <w:rPr>
          <w:rFonts w:ascii="Century Schoolbook" w:hAnsi="Century Schoolbook"/>
          <w:i/>
          <w:iCs/>
          <w:sz w:val="27"/>
          <w:szCs w:val="27"/>
        </w:rPr>
        <w:t>id.</w:t>
      </w:r>
      <w:r w:rsidRPr="00B60C65">
        <w:rPr>
          <w:rFonts w:ascii="Century Schoolbook" w:hAnsi="Century Schoolbook"/>
          <w:sz w:val="27"/>
          <w:szCs w:val="27"/>
        </w:rPr>
        <w:t xml:space="preserve"> at pp. 374–380.)  Specifically, we noted that “a suit to recover for a construction defect generally is subject to limitations periods of three or four years” depending on the theory of recovery, and that “these periods begin to run only when the defect would be discoverable by reasonable inspection.”  (</w:t>
      </w:r>
      <w:r w:rsidRPr="00B60C65">
        <w:rPr>
          <w:rFonts w:ascii="Century Schoolbook" w:hAnsi="Century Schoolbook"/>
          <w:i/>
          <w:iCs/>
          <w:sz w:val="27"/>
          <w:szCs w:val="27"/>
        </w:rPr>
        <w:t>Id.</w:t>
      </w:r>
      <w:r w:rsidRPr="00B60C65">
        <w:rPr>
          <w:rFonts w:ascii="Century Schoolbook" w:hAnsi="Century Schoolbook"/>
          <w:sz w:val="27"/>
          <w:szCs w:val="27"/>
        </w:rPr>
        <w:t xml:space="preserve"> at p. 369.)  The 10-year limitations period supplemented these shorter periods by prescribing an absolute outer limit before which an action to recover for a latent construction defect must be brought, “ ‘regardless of the date of discovery of the defect.’ ”  (</w:t>
      </w:r>
      <w:r w:rsidRPr="00B60C65">
        <w:rPr>
          <w:rFonts w:ascii="Century Schoolbook" w:hAnsi="Century Schoolbook"/>
          <w:i/>
          <w:iCs/>
          <w:sz w:val="27"/>
          <w:szCs w:val="27"/>
        </w:rPr>
        <w:t>Ibid.</w:t>
      </w:r>
      <w:r w:rsidRPr="00B60C65">
        <w:rPr>
          <w:rFonts w:ascii="Century Schoolbook" w:hAnsi="Century Schoolbook"/>
          <w:sz w:val="27"/>
          <w:szCs w:val="27"/>
        </w:rPr>
        <w:t>)  We reasoned that the “extraordinary length” of the 10-year limitations period at issue “weigh[ed] strongly against the need for such a tolling rule as a matter of fair procedure.”  (</w:t>
      </w:r>
      <w:r w:rsidRPr="00B60C65">
        <w:rPr>
          <w:rFonts w:ascii="Century Schoolbook" w:hAnsi="Century Schoolbook"/>
          <w:i/>
          <w:iCs/>
          <w:sz w:val="27"/>
          <w:szCs w:val="27"/>
        </w:rPr>
        <w:t>Id.</w:t>
      </w:r>
      <w:r w:rsidRPr="00B60C65">
        <w:rPr>
          <w:rFonts w:ascii="Century Schoolbook" w:hAnsi="Century Schoolbook"/>
          <w:sz w:val="27"/>
          <w:szCs w:val="27"/>
        </w:rPr>
        <w:t xml:space="preserve"> at p. 367.)  </w:t>
      </w:r>
    </w:p>
    <w:p w:rsidR="00DA643B" w:rsidRPr="00B60C65" w:rsidP="00B60C65" w14:paraId="6C389151"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Turning to the legislative purpose underlying the two-tiered limitations architecture, we observed that “the statute is the result of general legislative concern about the economic effects of indefinite ‘long tail’ defect liability on the construction industry.”  (</w:t>
      </w:r>
      <w:r w:rsidRPr="00B60C65">
        <w:rPr>
          <w:rFonts w:ascii="Century Schoolbook" w:hAnsi="Century Schoolbook"/>
          <w:i/>
          <w:iCs/>
          <w:sz w:val="27"/>
          <w:szCs w:val="27"/>
        </w:rPr>
        <w:t>Lantzy</w:t>
      </w:r>
      <w:r w:rsidRPr="00B60C65">
        <w:rPr>
          <w:rFonts w:ascii="Century Schoolbook" w:hAnsi="Century Schoolbook"/>
          <w:sz w:val="27"/>
          <w:szCs w:val="27"/>
        </w:rPr>
        <w:t xml:space="preserve">, </w:t>
      </w:r>
      <w:r w:rsidRPr="00B60C65">
        <w:rPr>
          <w:rFonts w:ascii="Century Schoolbook" w:hAnsi="Century Schoolbook"/>
          <w:i/>
          <w:iCs/>
          <w:sz w:val="27"/>
          <w:szCs w:val="27"/>
        </w:rPr>
        <w:t>supra</w:t>
      </w:r>
      <w:r w:rsidRPr="00B60C65">
        <w:rPr>
          <w:rFonts w:ascii="Century Schoolbook" w:hAnsi="Century Schoolbook"/>
          <w:sz w:val="27"/>
          <w:szCs w:val="27"/>
        </w:rPr>
        <w:t>, 31 Cal.4th at p. 374.)  The 10-year limitations period arose from the Legislature’s concern that participants in the construction industry faced potential exposure to liability for defects in their past projects many years after those projects were completed.  (</w:t>
      </w:r>
      <w:r w:rsidRPr="00B60C65">
        <w:rPr>
          <w:rFonts w:ascii="Century Schoolbook" w:hAnsi="Century Schoolbook"/>
          <w:i/>
          <w:iCs/>
          <w:sz w:val="27"/>
          <w:szCs w:val="27"/>
        </w:rPr>
        <w:t>Id.</w:t>
      </w:r>
      <w:r w:rsidRPr="00B60C65">
        <w:rPr>
          <w:rFonts w:ascii="Century Schoolbook" w:hAnsi="Century Schoolbook"/>
          <w:sz w:val="27"/>
          <w:szCs w:val="27"/>
        </w:rPr>
        <w:t xml:space="preserve"> at pp. 374–375.)  That exposure “was producing a risk for which insurance was available only at prohibitive cost, if at all, thus threatening the industry’s economic health.”  (</w:t>
      </w:r>
      <w:r w:rsidRPr="00B60C65">
        <w:rPr>
          <w:rFonts w:ascii="Century Schoolbook" w:hAnsi="Century Schoolbook"/>
          <w:i/>
          <w:iCs/>
          <w:sz w:val="27"/>
          <w:szCs w:val="27"/>
        </w:rPr>
        <w:t>Id.</w:t>
      </w:r>
      <w:r w:rsidRPr="00B60C65">
        <w:rPr>
          <w:rFonts w:ascii="Century Schoolbook" w:hAnsi="Century Schoolbook"/>
          <w:sz w:val="27"/>
          <w:szCs w:val="27"/>
        </w:rPr>
        <w:t xml:space="preserve"> at p. 376.)  Application of a general tolling-for-repairs rule would, we concluded, “fundamentally compromise” the legislative purpose to curtail the effects of that long-tail exposure, “a consideration that outweighed any corresponding harm to the plaintiffs arising from foreclosure of their claims.”  (</w:t>
      </w:r>
      <w:r w:rsidRPr="00B60C65">
        <w:rPr>
          <w:rFonts w:ascii="Century Schoolbook" w:hAnsi="Century Schoolbook"/>
          <w:i/>
          <w:iCs/>
          <w:sz w:val="27"/>
          <w:szCs w:val="27"/>
        </w:rPr>
        <w:t>McDonald</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xml:space="preserve">, 45 Cal.4th at p. 106, citing </w:t>
      </w:r>
      <w:r w:rsidRPr="00B60C65">
        <w:rPr>
          <w:rFonts w:ascii="Century Schoolbook" w:hAnsi="Century Schoolbook"/>
          <w:i/>
          <w:iCs/>
          <w:sz w:val="27"/>
          <w:szCs w:val="27"/>
        </w:rPr>
        <w:t>Lantzy</w:t>
      </w:r>
      <w:r w:rsidRPr="00B60C65">
        <w:rPr>
          <w:rFonts w:ascii="Century Schoolbook" w:hAnsi="Century Schoolbook"/>
          <w:sz w:val="27"/>
          <w:szCs w:val="27"/>
        </w:rPr>
        <w:t>, at pp. 378–379.)</w:t>
      </w:r>
    </w:p>
    <w:p w:rsidR="005C4F46" w:rsidP="00B60C65" w14:paraId="512BC28A" w14:textId="77777777">
      <w:pPr>
        <w:spacing w:after="100" w:line="400" w:lineRule="exact"/>
        <w:ind w:firstLine="720"/>
        <w:jc w:val="both"/>
        <w:rPr>
          <w:rFonts w:ascii="Century Schoolbook" w:hAnsi="Century Schoolbook"/>
          <w:sz w:val="27"/>
          <w:szCs w:val="27"/>
        </w:rPr>
      </w:pPr>
      <w:r w:rsidRPr="006F5810">
        <w:rPr>
          <w:rFonts w:ascii="Century Schoolbook" w:hAnsi="Century Schoolbook"/>
          <w:sz w:val="27"/>
          <w:szCs w:val="27"/>
        </w:rPr>
        <w:t xml:space="preserve">This case differs markedly from </w:t>
      </w:r>
      <w:r w:rsidRPr="006F5810">
        <w:rPr>
          <w:rFonts w:ascii="Century Schoolbook" w:hAnsi="Century Schoolbook"/>
          <w:i/>
          <w:iCs/>
          <w:sz w:val="27"/>
          <w:szCs w:val="27"/>
        </w:rPr>
        <w:t>Lantzy</w:t>
      </w:r>
      <w:r w:rsidRPr="006F5810">
        <w:rPr>
          <w:rFonts w:ascii="Century Schoolbook" w:hAnsi="Century Schoolbook"/>
          <w:sz w:val="27"/>
          <w:szCs w:val="27"/>
        </w:rPr>
        <w:t xml:space="preserve">, where the complementary limitations periods were part of a deliberately constructed statutory design.  </w:t>
      </w:r>
      <w:r>
        <w:rPr>
          <w:rFonts w:ascii="Century Schoolbook" w:hAnsi="Century Schoolbook"/>
          <w:sz w:val="27"/>
          <w:szCs w:val="27"/>
        </w:rPr>
        <w:t>Here, by</w:t>
      </w:r>
      <w:r w:rsidRPr="006F5810">
        <w:rPr>
          <w:rFonts w:ascii="Century Schoolbook" w:hAnsi="Century Schoolbook"/>
          <w:sz w:val="27"/>
          <w:szCs w:val="27"/>
        </w:rPr>
        <w:t xml:space="preserve"> contrast, </w:t>
      </w:r>
      <w:r>
        <w:rPr>
          <w:rFonts w:ascii="Century Schoolbook" w:hAnsi="Century Schoolbook"/>
          <w:sz w:val="27"/>
          <w:szCs w:val="27"/>
        </w:rPr>
        <w:t>we discern no</w:t>
      </w:r>
      <w:r w:rsidRPr="006F5810">
        <w:rPr>
          <w:rFonts w:ascii="Century Schoolbook" w:hAnsi="Century Schoolbook"/>
          <w:sz w:val="27"/>
          <w:szCs w:val="27"/>
        </w:rPr>
        <w:t xml:space="preserve"> analogous fundamental statutory policy inconsistent with application of traditional equitable doctrines.  Although, as noted, the Legislature did enact a strict 100-day limit for challenging an arbitration award to ensure prompt finality, we have previously held that the Legislature’s choice to enact a “relatively brief” limitations period does not, by itself, mean the Legislature intended to foreclose equitable </w:t>
      </w:r>
      <w:r>
        <w:rPr>
          <w:rFonts w:ascii="Century Schoolbook" w:hAnsi="Century Schoolbook"/>
          <w:sz w:val="27"/>
          <w:szCs w:val="27"/>
        </w:rPr>
        <w:t xml:space="preserve">tolling or other forms of equitable </w:t>
      </w:r>
      <w:r w:rsidRPr="006F5810">
        <w:rPr>
          <w:rFonts w:ascii="Century Schoolbook" w:hAnsi="Century Schoolbook"/>
          <w:sz w:val="27"/>
          <w:szCs w:val="27"/>
        </w:rPr>
        <w:t>relief in “unusual situations.”  (</w:t>
      </w:r>
      <w:r w:rsidRPr="006F5810">
        <w:rPr>
          <w:rFonts w:ascii="Century Schoolbook" w:hAnsi="Century Schoolbook"/>
          <w:i/>
          <w:iCs/>
          <w:sz w:val="27"/>
          <w:szCs w:val="27"/>
        </w:rPr>
        <w:t>Saint Francis</w:t>
      </w:r>
      <w:r w:rsidRPr="006F5810">
        <w:rPr>
          <w:rFonts w:ascii="Century Schoolbook" w:hAnsi="Century Schoolbook"/>
          <w:sz w:val="27"/>
          <w:szCs w:val="27"/>
        </w:rPr>
        <w:t xml:space="preserve">, </w:t>
      </w:r>
      <w:r w:rsidRPr="006F5810">
        <w:rPr>
          <w:rFonts w:ascii="Century Schoolbook" w:hAnsi="Century Schoolbook"/>
          <w:i/>
          <w:iCs/>
          <w:sz w:val="27"/>
          <w:szCs w:val="27"/>
        </w:rPr>
        <w:t>supra</w:t>
      </w:r>
      <w:r w:rsidRPr="006F5810">
        <w:rPr>
          <w:rFonts w:ascii="Century Schoolbook" w:hAnsi="Century Schoolbook"/>
          <w:sz w:val="27"/>
          <w:szCs w:val="27"/>
        </w:rPr>
        <w:t>, 9 Cal.5th at pp.</w:t>
      </w:r>
      <w:r>
        <w:rPr>
          <w:rFonts w:ascii="Century Schoolbook" w:hAnsi="Century Schoolbook"/>
          <w:sz w:val="27"/>
          <w:szCs w:val="27"/>
        </w:rPr>
        <w:t> </w:t>
      </w:r>
      <w:r w:rsidRPr="006F5810">
        <w:rPr>
          <w:rFonts w:ascii="Century Schoolbook" w:hAnsi="Century Schoolbook"/>
          <w:sz w:val="27"/>
          <w:szCs w:val="27"/>
        </w:rPr>
        <w:t>720</w:t>
      </w:r>
      <w:r>
        <w:rPr>
          <w:rFonts w:ascii="Century Schoolbook" w:hAnsi="Century Schoolbook"/>
          <w:sz w:val="27"/>
          <w:szCs w:val="27"/>
        </w:rPr>
        <w:t xml:space="preserve">, </w:t>
      </w:r>
      <w:r w:rsidRPr="006F5810">
        <w:rPr>
          <w:rFonts w:ascii="Century Schoolbook" w:hAnsi="Century Schoolbook"/>
          <w:sz w:val="27"/>
          <w:szCs w:val="27"/>
        </w:rPr>
        <w:t>721.)  Because equitable tolling is not “ ‘a cure-all for an entirely common state of affairs’ ” (</w:t>
      </w:r>
      <w:r w:rsidRPr="006F5810">
        <w:rPr>
          <w:rFonts w:ascii="Century Schoolbook" w:hAnsi="Century Schoolbook"/>
          <w:i/>
          <w:iCs/>
          <w:sz w:val="27"/>
          <w:szCs w:val="27"/>
        </w:rPr>
        <w:t>id.</w:t>
      </w:r>
      <w:r w:rsidRPr="000B2363">
        <w:rPr>
          <w:rFonts w:ascii="Century Schoolbook" w:hAnsi="Century Schoolbook"/>
          <w:sz w:val="27"/>
          <w:szCs w:val="27"/>
        </w:rPr>
        <w:t xml:space="preserve"> at p. 724</w:t>
      </w:r>
      <w:r w:rsidRPr="006F5810">
        <w:rPr>
          <w:rFonts w:ascii="Century Schoolbook" w:hAnsi="Century Schoolbook"/>
          <w:sz w:val="27"/>
          <w:szCs w:val="27"/>
        </w:rPr>
        <w:t>,</w:t>
      </w:r>
      <w:r w:rsidRPr="006F5810">
        <w:rPr>
          <w:rFonts w:ascii="Century Schoolbook" w:hAnsi="Century Schoolbook"/>
          <w:i/>
          <w:iCs/>
          <w:sz w:val="27"/>
          <w:szCs w:val="27"/>
        </w:rPr>
        <w:t xml:space="preserve"> </w:t>
      </w:r>
      <w:r w:rsidRPr="006F5810">
        <w:rPr>
          <w:rFonts w:ascii="Century Schoolbook" w:hAnsi="Century Schoolbook"/>
          <w:sz w:val="27"/>
          <w:szCs w:val="27"/>
        </w:rPr>
        <w:t xml:space="preserve">quoting </w:t>
      </w:r>
      <w:r w:rsidRPr="006F5810">
        <w:rPr>
          <w:rFonts w:ascii="Century Schoolbook" w:hAnsi="Century Schoolbook"/>
          <w:i/>
          <w:iCs/>
          <w:sz w:val="27"/>
          <w:szCs w:val="27"/>
        </w:rPr>
        <w:t>Wallace v. Kato</w:t>
      </w:r>
      <w:r w:rsidRPr="006F5810">
        <w:rPr>
          <w:rFonts w:ascii="Century Schoolbook" w:hAnsi="Century Schoolbook"/>
          <w:sz w:val="27"/>
          <w:szCs w:val="27"/>
        </w:rPr>
        <w:t xml:space="preserve"> (2007) 549 U.S. 384, 396) but instead applies only “in carefully considered situations to prevent the unjust technical forfeiture of causes of action” (</w:t>
      </w:r>
      <w:r w:rsidRPr="006F5810">
        <w:rPr>
          <w:rFonts w:ascii="Century Schoolbook" w:hAnsi="Century Schoolbook"/>
          <w:i/>
          <w:iCs/>
          <w:sz w:val="27"/>
          <w:szCs w:val="27"/>
        </w:rPr>
        <w:t>Lantzy</w:t>
      </w:r>
      <w:r w:rsidRPr="006F5810">
        <w:rPr>
          <w:rFonts w:ascii="Century Schoolbook" w:hAnsi="Century Schoolbook"/>
          <w:sz w:val="27"/>
          <w:szCs w:val="27"/>
        </w:rPr>
        <w:t>,</w:t>
      </w:r>
      <w:r w:rsidRPr="006F5810">
        <w:rPr>
          <w:rFonts w:ascii="Century Schoolbook" w:hAnsi="Century Schoolbook"/>
          <w:i/>
          <w:iCs/>
          <w:sz w:val="27"/>
          <w:szCs w:val="27"/>
        </w:rPr>
        <w:t xml:space="preserve"> supra</w:t>
      </w:r>
      <w:r w:rsidRPr="006F5810">
        <w:rPr>
          <w:rFonts w:ascii="Century Schoolbook" w:hAnsi="Century Schoolbook"/>
          <w:sz w:val="27"/>
          <w:szCs w:val="27"/>
        </w:rPr>
        <w:t xml:space="preserve">, 31 Cal.4th at p. 370), tolling of the 100-day period for seeking vacatur will be the exception, not the norm.  Lender has not shown that applying the doctrine to extend the 100-day deadline in those limited, exceptional circumstances would “fundamentally compromise” </w:t>
      </w:r>
      <w:r w:rsidRPr="00B60C65">
        <w:rPr>
          <w:rFonts w:ascii="Century Schoolbook" w:hAnsi="Century Schoolbook"/>
          <w:sz w:val="27"/>
          <w:szCs w:val="27"/>
        </w:rPr>
        <w:t>(</w:t>
      </w:r>
      <w:r w:rsidRPr="00B60C65">
        <w:rPr>
          <w:rFonts w:ascii="Century Schoolbook" w:hAnsi="Century Schoolbook"/>
          <w:i/>
          <w:iCs/>
          <w:sz w:val="27"/>
          <w:szCs w:val="27"/>
        </w:rPr>
        <w:t>McDonald</w:t>
      </w:r>
      <w:r w:rsidRPr="00B60C65">
        <w:rPr>
          <w:rFonts w:ascii="Century Schoolbook" w:hAnsi="Century Schoolbook"/>
          <w:sz w:val="27"/>
          <w:szCs w:val="27"/>
        </w:rPr>
        <w:t>,</w:t>
      </w:r>
      <w:r w:rsidRPr="00B60C65">
        <w:rPr>
          <w:rFonts w:ascii="Century Schoolbook" w:hAnsi="Century Schoolbook"/>
          <w:i/>
          <w:iCs/>
          <w:sz w:val="27"/>
          <w:szCs w:val="27"/>
        </w:rPr>
        <w:t xml:space="preserve"> supra</w:t>
      </w:r>
      <w:r w:rsidRPr="00B60C65">
        <w:rPr>
          <w:rFonts w:ascii="Century Schoolbook" w:hAnsi="Century Schoolbook"/>
          <w:sz w:val="27"/>
          <w:szCs w:val="27"/>
        </w:rPr>
        <w:t>, 45 Cal.4th at p. 106</w:t>
      </w:r>
      <w:r>
        <w:rPr>
          <w:rFonts w:ascii="Century Schoolbook" w:hAnsi="Century Schoolbook"/>
          <w:sz w:val="27"/>
          <w:szCs w:val="27"/>
        </w:rPr>
        <w:t>)</w:t>
      </w:r>
      <w:r w:rsidRPr="00B60C65">
        <w:rPr>
          <w:rFonts w:ascii="Century Schoolbook" w:hAnsi="Century Schoolbook"/>
          <w:sz w:val="27"/>
          <w:szCs w:val="27"/>
        </w:rPr>
        <w:t xml:space="preserve"> </w:t>
      </w:r>
      <w:r w:rsidRPr="006F5810">
        <w:rPr>
          <w:rFonts w:ascii="Century Schoolbook" w:hAnsi="Century Schoolbook"/>
          <w:sz w:val="27"/>
          <w:szCs w:val="27"/>
        </w:rPr>
        <w:t>the legislative purpose to promote the efficient final resolution of arbitral disputes.</w:t>
      </w:r>
    </w:p>
    <w:p w:rsidR="00DA643B" w:rsidRPr="006F5810" w:rsidP="00B60C65" w14:paraId="16D31A8D" w14:textId="77777777">
      <w:pPr>
        <w:spacing w:after="100" w:line="400" w:lineRule="exact"/>
        <w:ind w:firstLine="720"/>
        <w:jc w:val="both"/>
        <w:rPr>
          <w:rFonts w:ascii="Century Schoolbook" w:hAnsi="Century Schoolbook"/>
          <w:sz w:val="27"/>
          <w:szCs w:val="27"/>
        </w:rPr>
      </w:pPr>
      <w:r w:rsidRPr="00B60C65">
        <w:rPr>
          <w:rFonts w:ascii="Century Schoolbook" w:hAnsi="Century Schoolbook"/>
          <w:sz w:val="27"/>
          <w:szCs w:val="27"/>
        </w:rPr>
        <w:t xml:space="preserve">Lender </w:t>
      </w:r>
      <w:r>
        <w:rPr>
          <w:rFonts w:ascii="Century Schoolbook" w:hAnsi="Century Schoolbook"/>
          <w:sz w:val="27"/>
          <w:szCs w:val="27"/>
        </w:rPr>
        <w:t xml:space="preserve">argues that </w:t>
      </w:r>
      <w:r w:rsidRPr="00B60C65">
        <w:rPr>
          <w:rFonts w:ascii="Century Schoolbook" w:hAnsi="Century Schoolbook"/>
          <w:sz w:val="27"/>
          <w:szCs w:val="27"/>
        </w:rPr>
        <w:t>two features of the statutory scheme reflect a clear legislative purpose to prohibit a court from applying any equitable exceptions.  First, Lender</w:t>
      </w:r>
      <w:r>
        <w:rPr>
          <w:rFonts w:ascii="Century Schoolbook" w:hAnsi="Century Schoolbook"/>
          <w:sz w:val="27"/>
          <w:szCs w:val="27"/>
        </w:rPr>
        <w:t xml:space="preserve"> contrasts </w:t>
      </w:r>
      <w:r w:rsidRPr="006F5810">
        <w:rPr>
          <w:rFonts w:ascii="Century Schoolbook" w:hAnsi="Century Schoolbook"/>
          <w:sz w:val="27"/>
          <w:szCs w:val="27"/>
        </w:rPr>
        <w:t>section 1290</w:t>
      </w:r>
      <w:r>
        <w:rPr>
          <w:rFonts w:ascii="Century Schoolbook" w:hAnsi="Century Schoolbook"/>
          <w:sz w:val="27"/>
          <w:szCs w:val="27"/>
        </w:rPr>
        <w:t>.</w:t>
      </w:r>
      <w:r w:rsidRPr="006F5810">
        <w:rPr>
          <w:rFonts w:ascii="Century Schoolbook" w:hAnsi="Century Schoolbook"/>
          <w:sz w:val="27"/>
          <w:szCs w:val="27"/>
        </w:rPr>
        <w:t>6</w:t>
      </w:r>
      <w:r>
        <w:rPr>
          <w:rFonts w:ascii="Century Schoolbook" w:hAnsi="Century Schoolbook"/>
          <w:sz w:val="27"/>
          <w:szCs w:val="27"/>
        </w:rPr>
        <w:t xml:space="preserve">, which </w:t>
      </w:r>
      <w:r w:rsidRPr="006F5810">
        <w:rPr>
          <w:rFonts w:ascii="Century Schoolbook" w:hAnsi="Century Schoolbook"/>
          <w:sz w:val="27"/>
          <w:szCs w:val="27"/>
        </w:rPr>
        <w:t>includes a mechanism for the parties or the court to extend the deadline for filing a response</w:t>
      </w:r>
      <w:r>
        <w:rPr>
          <w:rFonts w:ascii="Century Schoolbook" w:hAnsi="Century Schoolbook"/>
          <w:sz w:val="27"/>
          <w:szCs w:val="27"/>
        </w:rPr>
        <w:t xml:space="preserve">, with section 1288.2, which does not.  Lender argues that the omission of a </w:t>
      </w:r>
      <w:r w:rsidRPr="006F5810">
        <w:rPr>
          <w:rFonts w:ascii="Century Schoolbook" w:hAnsi="Century Schoolbook"/>
          <w:sz w:val="27"/>
          <w:szCs w:val="27"/>
        </w:rPr>
        <w:t xml:space="preserve">comparable </w:t>
      </w:r>
      <w:r>
        <w:rPr>
          <w:rFonts w:ascii="Century Schoolbook" w:hAnsi="Century Schoolbook"/>
          <w:sz w:val="27"/>
          <w:szCs w:val="27"/>
        </w:rPr>
        <w:t xml:space="preserve">extension </w:t>
      </w:r>
      <w:r w:rsidRPr="00B60C65">
        <w:rPr>
          <w:rFonts w:ascii="Century Schoolbook" w:hAnsi="Century Schoolbook"/>
          <w:sz w:val="27"/>
          <w:szCs w:val="27"/>
        </w:rPr>
        <w:t xml:space="preserve">mechanism in section 1288.2 signals the Legislature’s intent to foreclose equitable tolling. </w:t>
      </w:r>
    </w:p>
    <w:p w:rsidR="003A68AE" w:rsidRPr="006F5810" w:rsidP="006F5810" w14:paraId="3BAE54B6" w14:textId="77777777">
      <w:pPr>
        <w:spacing w:after="100" w:line="400" w:lineRule="exact"/>
        <w:ind w:firstLine="720"/>
        <w:jc w:val="both"/>
        <w:rPr>
          <w:rFonts w:ascii="Century Schoolbook" w:hAnsi="Century Schoolbook"/>
          <w:sz w:val="27"/>
          <w:szCs w:val="27"/>
        </w:rPr>
      </w:pPr>
      <w:r w:rsidRPr="006F5810">
        <w:rPr>
          <w:rFonts w:ascii="Century Schoolbook" w:hAnsi="Century Schoolbook"/>
          <w:sz w:val="27"/>
          <w:szCs w:val="27"/>
        </w:rPr>
        <w:t xml:space="preserve">We </w:t>
      </w:r>
      <w:r>
        <w:rPr>
          <w:rFonts w:ascii="Century Schoolbook" w:hAnsi="Century Schoolbook"/>
          <w:sz w:val="27"/>
          <w:szCs w:val="27"/>
        </w:rPr>
        <w:t>are not persuaded</w:t>
      </w:r>
      <w:r w:rsidRPr="006F5810">
        <w:rPr>
          <w:rFonts w:ascii="Century Schoolbook" w:hAnsi="Century Schoolbook"/>
          <w:sz w:val="27"/>
          <w:szCs w:val="27"/>
        </w:rPr>
        <w:t>.  Section 1290.6</w:t>
      </w:r>
      <w:r>
        <w:rPr>
          <w:rFonts w:ascii="Century Schoolbook" w:hAnsi="Century Schoolbook"/>
          <w:sz w:val="27"/>
          <w:szCs w:val="27"/>
        </w:rPr>
        <w:t xml:space="preserve"> is a general provision that </w:t>
      </w:r>
      <w:r w:rsidRPr="006F5810">
        <w:rPr>
          <w:rFonts w:ascii="Century Schoolbook" w:hAnsi="Century Schoolbook"/>
          <w:sz w:val="27"/>
          <w:szCs w:val="27"/>
        </w:rPr>
        <w:t>applies to any response filed in an</w:t>
      </w:r>
      <w:r>
        <w:rPr>
          <w:rFonts w:ascii="Century Schoolbook" w:hAnsi="Century Schoolbook"/>
          <w:sz w:val="27"/>
          <w:szCs w:val="27"/>
        </w:rPr>
        <w:t>y</w:t>
      </w:r>
      <w:r w:rsidRPr="006F5810">
        <w:rPr>
          <w:rFonts w:ascii="Century Schoolbook" w:hAnsi="Century Schoolbook"/>
          <w:sz w:val="27"/>
          <w:szCs w:val="27"/>
        </w:rPr>
        <w:t xml:space="preserve"> arbitration-related judicial proceeding</w:t>
      </w:r>
      <w:r>
        <w:rPr>
          <w:rFonts w:ascii="Century Schoolbook" w:hAnsi="Century Schoolbook"/>
          <w:sz w:val="27"/>
          <w:szCs w:val="27"/>
        </w:rPr>
        <w:t xml:space="preserve">, </w:t>
      </w:r>
      <w:r w:rsidRPr="006F5810">
        <w:rPr>
          <w:rFonts w:ascii="Century Schoolbook" w:hAnsi="Century Schoolbook"/>
          <w:sz w:val="27"/>
          <w:szCs w:val="27"/>
        </w:rPr>
        <w:t xml:space="preserve">including a response filed in a proceeding unrelated to the enforcement of an arbitration award.  The extension mechanism in that provision permits the parties to agree to extend the response deadline for any reason at all and permits the court to extend the deadline for good cause.  That exception gives the parties and the court wide latitude to set a briefing schedule in any arbitration-related proceeding — an exception that would permit modifying the response deadline without necessarily meeting the </w:t>
      </w:r>
      <w:r>
        <w:rPr>
          <w:rFonts w:ascii="Century Schoolbook" w:hAnsi="Century Schoolbook"/>
          <w:sz w:val="27"/>
          <w:szCs w:val="27"/>
        </w:rPr>
        <w:t xml:space="preserve">requirements for </w:t>
      </w:r>
      <w:r w:rsidRPr="006F5810">
        <w:rPr>
          <w:rFonts w:ascii="Century Schoolbook" w:hAnsi="Century Schoolbook"/>
          <w:sz w:val="27"/>
          <w:szCs w:val="27"/>
        </w:rPr>
        <w:t>equitable tolling or estoppel.  Section 1288.2</w:t>
      </w:r>
      <w:r>
        <w:rPr>
          <w:rFonts w:ascii="Century Schoolbook" w:hAnsi="Century Schoolbook"/>
          <w:sz w:val="27"/>
          <w:szCs w:val="27"/>
        </w:rPr>
        <w:t xml:space="preserve">, by contrast, is </w:t>
      </w:r>
      <w:r w:rsidRPr="006F5810">
        <w:rPr>
          <w:rFonts w:ascii="Century Schoolbook" w:hAnsi="Century Schoolbook"/>
          <w:sz w:val="27"/>
          <w:szCs w:val="27"/>
        </w:rPr>
        <w:t xml:space="preserve">specific to </w:t>
      </w:r>
      <w:r>
        <w:rPr>
          <w:rFonts w:ascii="Century Schoolbook" w:hAnsi="Century Schoolbook"/>
          <w:sz w:val="27"/>
          <w:szCs w:val="27"/>
        </w:rPr>
        <w:t xml:space="preserve">responses to petitions to confirm an arbitration award and applies only when the response seeks vacatur.  </w:t>
      </w:r>
      <w:r w:rsidRPr="006F5810">
        <w:rPr>
          <w:rFonts w:ascii="Century Schoolbook" w:hAnsi="Century Schoolbook"/>
          <w:sz w:val="27"/>
          <w:szCs w:val="27"/>
        </w:rPr>
        <w:t xml:space="preserve">The legislative choice to enact a broad exception to section 1290.6’s general </w:t>
      </w:r>
      <w:r>
        <w:rPr>
          <w:rFonts w:ascii="Century Schoolbook" w:hAnsi="Century Schoolbook"/>
          <w:sz w:val="27"/>
          <w:szCs w:val="27"/>
        </w:rPr>
        <w:t xml:space="preserve">response </w:t>
      </w:r>
      <w:r w:rsidRPr="006F5810">
        <w:rPr>
          <w:rFonts w:ascii="Century Schoolbook" w:hAnsi="Century Schoolbook"/>
          <w:sz w:val="27"/>
          <w:szCs w:val="27"/>
        </w:rPr>
        <w:t xml:space="preserve">deadline </w:t>
      </w:r>
      <w:r>
        <w:rPr>
          <w:rFonts w:ascii="Century Schoolbook" w:hAnsi="Century Schoolbook"/>
          <w:sz w:val="27"/>
          <w:szCs w:val="27"/>
        </w:rPr>
        <w:t>conveys no clear intention to insulate section 1288.2’s more specific deadline from the application of traditional equitable principles</w:t>
      </w:r>
      <w:r w:rsidRPr="006F5810">
        <w:rPr>
          <w:rFonts w:ascii="Century Schoolbook" w:hAnsi="Century Schoolbook"/>
          <w:sz w:val="27"/>
          <w:szCs w:val="27"/>
        </w:rPr>
        <w:t>.  (</w:t>
      </w:r>
      <w:r>
        <w:rPr>
          <w:rFonts w:ascii="Century Schoolbook" w:hAnsi="Century Schoolbook"/>
          <w:sz w:val="27"/>
          <w:szCs w:val="27"/>
        </w:rPr>
        <w:t>Cf.</w:t>
      </w:r>
      <w:r w:rsidRPr="006F5810">
        <w:rPr>
          <w:rFonts w:ascii="Century Schoolbook" w:hAnsi="Century Schoolbook"/>
          <w:sz w:val="27"/>
          <w:szCs w:val="27"/>
        </w:rPr>
        <w:t xml:space="preserve"> </w:t>
      </w:r>
      <w:r w:rsidRPr="006F5810">
        <w:rPr>
          <w:rFonts w:ascii="Century Schoolbook" w:hAnsi="Century Schoolbook"/>
          <w:i/>
          <w:iCs/>
          <w:sz w:val="27"/>
          <w:szCs w:val="27"/>
        </w:rPr>
        <w:t>Atwater Elementary School Dist. v. California Dept. of General Services</w:t>
      </w:r>
      <w:r w:rsidRPr="006F5810">
        <w:rPr>
          <w:rFonts w:ascii="Century Schoolbook" w:hAnsi="Century Schoolbook"/>
          <w:sz w:val="27"/>
          <w:szCs w:val="27"/>
        </w:rPr>
        <w:t>,</w:t>
      </w:r>
      <w:r w:rsidRPr="006F5810">
        <w:rPr>
          <w:rFonts w:ascii="Century Schoolbook" w:hAnsi="Century Schoolbook"/>
          <w:i/>
          <w:iCs/>
          <w:sz w:val="27"/>
          <w:szCs w:val="27"/>
        </w:rPr>
        <w:t xml:space="preserve"> supra</w:t>
      </w:r>
      <w:r w:rsidRPr="006F5810">
        <w:rPr>
          <w:rFonts w:ascii="Century Schoolbook" w:hAnsi="Century Schoolbook"/>
          <w:sz w:val="27"/>
          <w:szCs w:val="27"/>
        </w:rPr>
        <w:t>, 41 Cal.4th at p. 234 [“Thus, the Legislature’s decision to include or omit such an express legal exception does not signal an intent to bar the application of equitable estoppel.  It simply reflects a legislative disinclination to write a sweeping exception into the statutory scheme as a matter of law.”].)</w:t>
      </w:r>
      <w:r>
        <w:rPr>
          <w:rStyle w:val="FootnoteReference"/>
          <w:rFonts w:ascii="Century Schoolbook" w:hAnsi="Century Schoolbook"/>
          <w:b/>
          <w:bCs/>
          <w:position w:val="6"/>
          <w:sz w:val="20"/>
          <w:szCs w:val="20"/>
          <w:vertAlign w:val="baseline"/>
        </w:rPr>
        <w:footnoteReference w:id="5"/>
      </w:r>
      <w:r w:rsidRPr="006F5810">
        <w:rPr>
          <w:rFonts w:ascii="Century Schoolbook" w:hAnsi="Century Schoolbook"/>
          <w:sz w:val="27"/>
          <w:szCs w:val="27"/>
        </w:rPr>
        <w:t xml:space="preserve">  </w:t>
      </w:r>
    </w:p>
    <w:p w:rsidR="00DA643B" w:rsidRPr="006F5810" w:rsidP="005C4F46" w14:paraId="29F49A84" w14:textId="77777777">
      <w:pPr>
        <w:spacing w:after="100" w:line="400" w:lineRule="exact"/>
        <w:ind w:firstLine="720"/>
        <w:jc w:val="both"/>
        <w:rPr>
          <w:rFonts w:ascii="Century Schoolbook" w:hAnsi="Century Schoolbook"/>
          <w:sz w:val="27"/>
          <w:szCs w:val="27"/>
        </w:rPr>
      </w:pPr>
      <w:r w:rsidRPr="005C4F46">
        <w:rPr>
          <w:rFonts w:ascii="Century Schoolbook" w:hAnsi="Century Schoolbook"/>
          <w:sz w:val="27"/>
          <w:szCs w:val="27"/>
        </w:rPr>
        <w:t xml:space="preserve">Second, Lender again points to the neighboring provision of section 1286.4, which says that “[t]he court may not vacate” an arbitral award unless a vacatur request is “duly served and filed.”  </w:t>
      </w:r>
      <w:r>
        <w:rPr>
          <w:rFonts w:ascii="Century Schoolbook" w:hAnsi="Century Schoolbook"/>
          <w:sz w:val="27"/>
          <w:szCs w:val="27"/>
        </w:rPr>
        <w:t>(</w:t>
      </w:r>
      <w:r>
        <w:rPr>
          <w:rFonts w:ascii="Century Schoolbook" w:hAnsi="Century Schoolbook"/>
          <w:i/>
          <w:iCs/>
          <w:sz w:val="27"/>
          <w:szCs w:val="27"/>
        </w:rPr>
        <w:t>Id.</w:t>
      </w:r>
      <w:r>
        <w:rPr>
          <w:rFonts w:ascii="Century Schoolbook" w:hAnsi="Century Schoolbook"/>
          <w:sz w:val="27"/>
          <w:szCs w:val="27"/>
        </w:rPr>
        <w:t xml:space="preserve">, subd. (a).)  </w:t>
      </w:r>
      <w:r w:rsidRPr="005C4F46">
        <w:rPr>
          <w:rFonts w:ascii="Century Schoolbook" w:hAnsi="Century Schoolbook"/>
          <w:sz w:val="27"/>
          <w:szCs w:val="27"/>
        </w:rPr>
        <w:t xml:space="preserve">Lender argues that “[i]f the Legislature intended courts to have the power to equitably toll the vacatur deadlines, it would make no sense for the Legislature to have expressly directed that courts ‘may not vacate’ an award absent compliance with specific service and filing </w:t>
      </w:r>
      <w:r w:rsidRPr="006F5810">
        <w:rPr>
          <w:rFonts w:ascii="Century Schoolbook" w:hAnsi="Century Schoolbook"/>
          <w:sz w:val="27"/>
          <w:szCs w:val="27"/>
        </w:rPr>
        <w:t xml:space="preserve">requirements.”  </w:t>
      </w:r>
    </w:p>
    <w:p w:rsidR="00DA643B" w:rsidRPr="005C4F46" w:rsidP="005C4F46" w14:paraId="27D88FF9"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Once again</w:t>
      </w:r>
      <w:r w:rsidRPr="006F5810">
        <w:rPr>
          <w:rFonts w:ascii="Century Schoolbook" w:hAnsi="Century Schoolbook"/>
          <w:sz w:val="27"/>
          <w:szCs w:val="27"/>
        </w:rPr>
        <w:t xml:space="preserve">, we </w:t>
      </w:r>
      <w:r>
        <w:rPr>
          <w:rFonts w:ascii="Century Schoolbook" w:hAnsi="Century Schoolbook"/>
          <w:sz w:val="27"/>
          <w:szCs w:val="27"/>
        </w:rPr>
        <w:t>are unpersuaded</w:t>
      </w:r>
      <w:r w:rsidRPr="006F5810">
        <w:rPr>
          <w:rFonts w:ascii="Century Schoolbook" w:hAnsi="Century Schoolbook"/>
          <w:sz w:val="27"/>
          <w:szCs w:val="27"/>
        </w:rPr>
        <w:t xml:space="preserve">.  In full, section 1286.4 states:  “The court may not vacate </w:t>
      </w:r>
      <w:r w:rsidRPr="005C4F46">
        <w:rPr>
          <w:rFonts w:ascii="Century Schoolbook" w:hAnsi="Century Schoolbook"/>
          <w:sz w:val="27"/>
          <w:szCs w:val="27"/>
        </w:rPr>
        <w:t xml:space="preserve">an award unless:  [¶]  (a) A petition or response requesting that the award be vacated has been duly served and filed; or [¶]  (b) A petition or response requesting that the award be corrected has been duly served and filed and:  [¶]  (1) All petitioners and respondents are before the court; or [¶]  (2) All petitioners and respondents have been given reasonable notice that the court will be requested at the hearing to vacate the award or that the court on its own motion has determined to vacate the award and all petitioners and respondents have been given an opportunity to show why the award should not be vacated.”  Read as a whole, the </w:t>
      </w:r>
      <w:r>
        <w:rPr>
          <w:rFonts w:ascii="Century Schoolbook" w:hAnsi="Century Schoolbook"/>
          <w:sz w:val="27"/>
          <w:szCs w:val="27"/>
        </w:rPr>
        <w:t xml:space="preserve">evident </w:t>
      </w:r>
      <w:r w:rsidRPr="001575E2">
        <w:rPr>
          <w:rFonts w:ascii="Century Schoolbook" w:hAnsi="Century Schoolbook"/>
          <w:sz w:val="27"/>
          <w:szCs w:val="27"/>
        </w:rPr>
        <w:t xml:space="preserve">purpose </w:t>
      </w:r>
      <w:r>
        <w:rPr>
          <w:rFonts w:ascii="Century Schoolbook" w:hAnsi="Century Schoolbook"/>
          <w:sz w:val="27"/>
          <w:szCs w:val="27"/>
        </w:rPr>
        <w:t xml:space="preserve">of this provision </w:t>
      </w:r>
      <w:r w:rsidRPr="001575E2">
        <w:rPr>
          <w:rFonts w:ascii="Century Schoolbook" w:hAnsi="Century Schoolbook"/>
          <w:sz w:val="27"/>
          <w:szCs w:val="27"/>
        </w:rPr>
        <w:t>is to ensure that all parties to the arbitration have adequate notice that the court may vacate an award and are provided an opportunity to respond</w:t>
      </w:r>
      <w:r>
        <w:rPr>
          <w:rFonts w:ascii="Century Schoolbook" w:hAnsi="Century Schoolbook"/>
          <w:sz w:val="27"/>
          <w:szCs w:val="27"/>
        </w:rPr>
        <w:t xml:space="preserve">.  The provision does not, as Lender argues, also reveal a clear legislative purpose to </w:t>
      </w:r>
      <w:r w:rsidRPr="005C4F46">
        <w:rPr>
          <w:rFonts w:ascii="Century Schoolbook" w:hAnsi="Century Schoolbook"/>
          <w:sz w:val="27"/>
          <w:szCs w:val="27"/>
        </w:rPr>
        <w:t xml:space="preserve">preclude courts from applying equitable exceptions to section 1288.2.  </w:t>
      </w:r>
      <w:r>
        <w:rPr>
          <w:rFonts w:ascii="Century Schoolbook" w:hAnsi="Century Schoolbook"/>
          <w:sz w:val="27"/>
          <w:szCs w:val="27"/>
        </w:rPr>
        <w:t>On the contrary, as we have already explained, the language in section 1286.4 can be read in a manner that accounts for the availability of equitable relief in appropriate circumstances.</w:t>
      </w:r>
    </w:p>
    <w:p w:rsidR="00B4665F" w14:paraId="3A180B04" w14:textId="77777777">
      <w:pPr>
        <w:spacing w:after="100" w:line="400" w:lineRule="exact"/>
        <w:ind w:firstLine="720"/>
        <w:jc w:val="both"/>
        <w:rPr>
          <w:rFonts w:ascii="Century Schoolbook" w:hAnsi="Century Schoolbook"/>
          <w:sz w:val="27"/>
          <w:szCs w:val="27"/>
        </w:rPr>
      </w:pPr>
      <w:r w:rsidRPr="005C4F46">
        <w:rPr>
          <w:rFonts w:ascii="Century Schoolbook" w:hAnsi="Century Schoolbook"/>
          <w:sz w:val="27"/>
          <w:szCs w:val="27"/>
        </w:rPr>
        <w:t xml:space="preserve">In </w:t>
      </w:r>
      <w:r w:rsidRPr="006F5810">
        <w:rPr>
          <w:rFonts w:ascii="Century Schoolbook" w:hAnsi="Century Schoolbook"/>
          <w:sz w:val="27"/>
          <w:szCs w:val="27"/>
        </w:rPr>
        <w:t>sum, we see nothing in the “explicit statutory language” nor in the “manifest policy underlying [the] statute” demonstrating that the Legislature intended to reverse the usual rule and preclude the courts from applying traditional principles of equity to section 1288.2’s statutory deadline.  (</w:t>
      </w:r>
      <w:r w:rsidRPr="006F5810">
        <w:rPr>
          <w:rFonts w:ascii="Century Schoolbook" w:hAnsi="Century Schoolbook"/>
          <w:i/>
          <w:iCs/>
          <w:sz w:val="27"/>
          <w:szCs w:val="27"/>
        </w:rPr>
        <w:t>Saint Francis</w:t>
      </w:r>
      <w:r w:rsidRPr="006F5810">
        <w:rPr>
          <w:rFonts w:ascii="Century Schoolbook" w:hAnsi="Century Schoolbook"/>
          <w:sz w:val="27"/>
          <w:szCs w:val="27"/>
        </w:rPr>
        <w:t>,</w:t>
      </w:r>
      <w:r w:rsidRPr="006F5810">
        <w:rPr>
          <w:rFonts w:ascii="Century Schoolbook" w:hAnsi="Century Schoolbook"/>
          <w:i/>
          <w:iCs/>
          <w:sz w:val="27"/>
          <w:szCs w:val="27"/>
        </w:rPr>
        <w:t xml:space="preserve"> supra</w:t>
      </w:r>
      <w:r w:rsidRPr="006F5810">
        <w:rPr>
          <w:rFonts w:ascii="Century Schoolbook" w:hAnsi="Century Schoolbook"/>
          <w:sz w:val="27"/>
          <w:szCs w:val="27"/>
        </w:rPr>
        <w:t>, 9 Cal.5th at p. 720.)  We therefore hold that section 1288.2 is subject to both equitable tolling and claims of equitable estoppel.</w:t>
      </w:r>
    </w:p>
    <w:p w:rsidR="00C70ED3" w:rsidRPr="006F5810" w:rsidP="006F5810" w14:paraId="476B5DD6"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It is a separate question whether Key has established entitlement to equitable relief in this particular case.  The Court of Appeal answered that question in the negative, but its answer appears to have been predicated on the court’s belief that </w:t>
      </w:r>
      <w:r w:rsidRPr="001575E2">
        <w:rPr>
          <w:rFonts w:ascii="Century Schoolbook" w:hAnsi="Century Schoolbook"/>
          <w:sz w:val="27"/>
          <w:szCs w:val="27"/>
        </w:rPr>
        <w:t xml:space="preserve">section 1288.2’s </w:t>
      </w:r>
      <w:r>
        <w:rPr>
          <w:rFonts w:ascii="Century Schoolbook" w:hAnsi="Century Schoolbook"/>
          <w:sz w:val="27"/>
          <w:szCs w:val="27"/>
        </w:rPr>
        <w:t xml:space="preserve">100-day </w:t>
      </w:r>
      <w:r w:rsidRPr="001575E2">
        <w:rPr>
          <w:rFonts w:ascii="Century Schoolbook" w:hAnsi="Century Schoolbook"/>
          <w:sz w:val="27"/>
          <w:szCs w:val="27"/>
        </w:rPr>
        <w:t xml:space="preserve">deadline is jurisdictional in the fundamental sense.  </w:t>
      </w:r>
      <w:r>
        <w:rPr>
          <w:rFonts w:ascii="Century Schoolbook" w:hAnsi="Century Schoolbook"/>
          <w:sz w:val="27"/>
          <w:szCs w:val="27"/>
        </w:rPr>
        <w:t xml:space="preserve">Specifically, the Court of Appeal observed that Key’s arguments for equitable relief “depend upon the assumption that the parties could alter the 100-day deadline by agreement” and that this assumption was unreasonable, in part because the 100-day deadline is “jurisdictional.”  </w:t>
      </w:r>
      <w:r w:rsidRPr="001575E2">
        <w:rPr>
          <w:rFonts w:ascii="Century Schoolbook" w:hAnsi="Century Schoolbook"/>
          <w:sz w:val="27"/>
          <w:szCs w:val="27"/>
        </w:rPr>
        <w:t>(</w:t>
      </w:r>
      <w:r w:rsidRPr="001575E2">
        <w:rPr>
          <w:rFonts w:ascii="Century Schoolbook" w:hAnsi="Century Schoolbook"/>
          <w:i/>
          <w:iCs/>
          <w:sz w:val="27"/>
          <w:szCs w:val="27"/>
        </w:rPr>
        <w:t>Law Finance Group, LLC v. Key</w:t>
      </w:r>
      <w:r w:rsidRPr="001575E2">
        <w:rPr>
          <w:rFonts w:ascii="Century Schoolbook" w:hAnsi="Century Schoolbook"/>
          <w:sz w:val="27"/>
          <w:szCs w:val="27"/>
        </w:rPr>
        <w:t xml:space="preserve">, </w:t>
      </w:r>
      <w:r w:rsidRPr="001575E2">
        <w:rPr>
          <w:rFonts w:ascii="Century Schoolbook" w:hAnsi="Century Schoolbook"/>
          <w:i/>
          <w:iCs/>
          <w:sz w:val="27"/>
          <w:szCs w:val="27"/>
        </w:rPr>
        <w:t>supra</w:t>
      </w:r>
      <w:r w:rsidRPr="001575E2">
        <w:rPr>
          <w:rFonts w:ascii="Century Schoolbook" w:hAnsi="Century Schoolbook"/>
          <w:sz w:val="27"/>
          <w:szCs w:val="27"/>
        </w:rPr>
        <w:t xml:space="preserve">, 67 Cal.App.5th </w:t>
      </w:r>
      <w:r>
        <w:rPr>
          <w:rFonts w:ascii="Century Schoolbook" w:hAnsi="Century Schoolbook"/>
          <w:sz w:val="27"/>
          <w:szCs w:val="27"/>
        </w:rPr>
        <w:t>at pp. </w:t>
      </w:r>
      <w:r w:rsidRPr="001575E2">
        <w:rPr>
          <w:rFonts w:ascii="Century Schoolbook" w:hAnsi="Century Schoolbook"/>
          <w:sz w:val="27"/>
          <w:szCs w:val="27"/>
        </w:rPr>
        <w:t>321</w:t>
      </w:r>
      <w:r>
        <w:rPr>
          <w:rFonts w:ascii="Century Schoolbook" w:hAnsi="Century Schoolbook"/>
          <w:sz w:val="27"/>
          <w:szCs w:val="27"/>
        </w:rPr>
        <w:t xml:space="preserve">, </w:t>
      </w:r>
      <w:r w:rsidRPr="001575E2">
        <w:rPr>
          <w:rFonts w:ascii="Century Schoolbook" w:hAnsi="Century Schoolbook"/>
          <w:sz w:val="27"/>
          <w:szCs w:val="27"/>
        </w:rPr>
        <w:t>32</w:t>
      </w:r>
      <w:r>
        <w:rPr>
          <w:rFonts w:ascii="Century Schoolbook" w:hAnsi="Century Schoolbook"/>
          <w:sz w:val="27"/>
          <w:szCs w:val="27"/>
        </w:rPr>
        <w:t>2</w:t>
      </w:r>
      <w:r w:rsidRPr="001575E2">
        <w:rPr>
          <w:rFonts w:ascii="Century Schoolbook" w:hAnsi="Century Schoolbook"/>
          <w:sz w:val="27"/>
          <w:szCs w:val="27"/>
        </w:rPr>
        <w:t xml:space="preserve">.)  </w:t>
      </w:r>
      <w:r>
        <w:rPr>
          <w:rFonts w:ascii="Century Schoolbook" w:hAnsi="Century Schoolbook"/>
          <w:sz w:val="27"/>
          <w:szCs w:val="27"/>
        </w:rPr>
        <w:t xml:space="preserve">The court’s conclusion that Key is not entitled to equitable relief warrants reexamination in light of our </w:t>
      </w:r>
      <w:r w:rsidRPr="001575E2">
        <w:rPr>
          <w:rFonts w:ascii="Century Schoolbook" w:hAnsi="Century Schoolbook"/>
          <w:sz w:val="27"/>
          <w:szCs w:val="27"/>
        </w:rPr>
        <w:t>conclusion that section 1288.2’s deadline may be tolled in exceptional circumstances and that a party may be estopped from raising the deadline as a defense</w:t>
      </w:r>
      <w:r>
        <w:rPr>
          <w:rFonts w:ascii="Century Schoolbook" w:hAnsi="Century Schoolbook"/>
          <w:sz w:val="27"/>
          <w:szCs w:val="27"/>
        </w:rPr>
        <w:t>.  We express no view on whether Key is entitled to equitable relief, which is an issue for the Court of Appeal to address in the first instance.</w:t>
      </w:r>
    </w:p>
    <w:p w:rsidR="00584B10" w:rsidRPr="006F5810" w:rsidP="006F5810" w14:paraId="7CFBBC38" w14:textId="77777777">
      <w:pPr>
        <w:spacing w:after="100" w:line="400" w:lineRule="exact"/>
        <w:jc w:val="center"/>
        <w:rPr>
          <w:rFonts w:ascii="Century Schoolbook" w:hAnsi="Century Schoolbook"/>
          <w:b/>
          <w:bCs/>
          <w:sz w:val="27"/>
          <w:szCs w:val="27"/>
        </w:rPr>
      </w:pPr>
      <w:r w:rsidRPr="006F5810">
        <w:rPr>
          <w:rFonts w:ascii="Century Schoolbook" w:hAnsi="Century Schoolbook"/>
          <w:b/>
          <w:bCs/>
          <w:sz w:val="27"/>
          <w:szCs w:val="27"/>
        </w:rPr>
        <w:t>IV.</w:t>
      </w:r>
    </w:p>
    <w:p w:rsidR="00694AF8" w:rsidRPr="00FA5FF3" w:rsidP="006F5810" w14:paraId="6070BC9C"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Key raises a final argument.  </w:t>
      </w:r>
      <w:r w:rsidRPr="00FA5FF3">
        <w:rPr>
          <w:rFonts w:ascii="Century Schoolbook" w:hAnsi="Century Schoolbook"/>
          <w:sz w:val="27"/>
          <w:szCs w:val="27"/>
        </w:rPr>
        <w:t xml:space="preserve">She contends that regardless of the timeliness of her filing, the trial court was obligated to </w:t>
      </w:r>
      <w:r w:rsidRPr="006F5810">
        <w:rPr>
          <w:rFonts w:ascii="Century Schoolbook" w:hAnsi="Century Schoolbook"/>
          <w:sz w:val="27"/>
          <w:szCs w:val="27"/>
        </w:rPr>
        <w:t xml:space="preserve">reach the merits and vacate the arbitration award because her substantive claim goes to the legality of her </w:t>
      </w:r>
      <w:r>
        <w:rPr>
          <w:rFonts w:ascii="Century Schoolbook" w:hAnsi="Century Schoolbook"/>
          <w:sz w:val="27"/>
          <w:szCs w:val="27"/>
        </w:rPr>
        <w:t xml:space="preserve">Agreement </w:t>
      </w:r>
      <w:r w:rsidRPr="006F5810">
        <w:rPr>
          <w:rFonts w:ascii="Century Schoolbook" w:hAnsi="Century Schoolbook"/>
          <w:sz w:val="27"/>
          <w:szCs w:val="27"/>
        </w:rPr>
        <w:t>with Lender and arbitration awards enforcing entirely illegal contracts cannot be confirmed.</w:t>
      </w:r>
      <w:r>
        <w:rPr>
          <w:rFonts w:ascii="Century Schoolbook" w:hAnsi="Century Schoolbook"/>
          <w:sz w:val="27"/>
          <w:szCs w:val="27"/>
        </w:rPr>
        <w:t xml:space="preserve">  She argues, in other words, that a claim of contract illegality can never be forfeited by failure to raise it in a timely response seeking to have an arbitral award vacated.  If Key were correct on this point, it would be unnecessary to conduct further proceedings to address her entitlement to equitable relief from the statutory deadline.  But we are unconvinced.</w:t>
      </w:r>
    </w:p>
    <w:p w:rsidR="00CB3E07" w14:paraId="600087B5"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Key’s argument that a claim of contract illegality can never be forfeited rests on our treatment of a claim of illegality as a ground for challenging an arbitral award.  </w:t>
      </w:r>
      <w:r w:rsidRPr="00FA5FF3">
        <w:rPr>
          <w:rFonts w:ascii="Century Schoolbook" w:hAnsi="Century Schoolbook"/>
          <w:sz w:val="27"/>
          <w:szCs w:val="27"/>
        </w:rPr>
        <w:t>“Generally, courts cannot review arbitration awards for errors of fact or law, even when those errors appear on the face of the award or cause substantial injustice to the parties.”  (</w:t>
      </w:r>
      <w:r w:rsidRPr="00FA5FF3">
        <w:rPr>
          <w:rFonts w:ascii="Century Schoolbook" w:hAnsi="Century Schoolbook"/>
          <w:i/>
          <w:iCs/>
          <w:sz w:val="27"/>
          <w:szCs w:val="27"/>
        </w:rPr>
        <w:t xml:space="preserve">Richey v. AutoNation, Inc. </w:t>
      </w:r>
      <w:r w:rsidRPr="00FA5FF3">
        <w:rPr>
          <w:rFonts w:ascii="Century Schoolbook" w:hAnsi="Century Schoolbook"/>
          <w:sz w:val="27"/>
          <w:szCs w:val="27"/>
        </w:rPr>
        <w:t>(2015) 60 Cal.4th 909, 916 (</w:t>
      </w:r>
      <w:r w:rsidRPr="00FA5FF3">
        <w:rPr>
          <w:rFonts w:ascii="Century Schoolbook" w:hAnsi="Century Schoolbook"/>
          <w:i/>
          <w:iCs/>
          <w:sz w:val="27"/>
          <w:szCs w:val="27"/>
        </w:rPr>
        <w:t>Richey</w:t>
      </w:r>
      <w:r w:rsidRPr="00FA5FF3">
        <w:rPr>
          <w:rFonts w:ascii="Century Schoolbook" w:hAnsi="Century Schoolbook"/>
          <w:sz w:val="27"/>
          <w:szCs w:val="27"/>
        </w:rPr>
        <w:t xml:space="preserve">).)  But </w:t>
      </w:r>
      <w:r>
        <w:rPr>
          <w:rFonts w:ascii="Century Schoolbook" w:hAnsi="Century Schoolbook"/>
          <w:sz w:val="27"/>
          <w:szCs w:val="27"/>
        </w:rPr>
        <w:t>i</w:t>
      </w:r>
      <w:r w:rsidRPr="00FA5FF3">
        <w:rPr>
          <w:rFonts w:ascii="Century Schoolbook" w:hAnsi="Century Schoolbook"/>
          <w:sz w:val="27"/>
          <w:szCs w:val="27"/>
        </w:rPr>
        <w:t xml:space="preserve">n </w:t>
      </w:r>
      <w:r w:rsidRPr="00FA5FF3">
        <w:rPr>
          <w:rFonts w:ascii="Century Schoolbook" w:hAnsi="Century Schoolbook"/>
          <w:i/>
          <w:iCs/>
          <w:sz w:val="27"/>
          <w:szCs w:val="27"/>
        </w:rPr>
        <w:t>Loving &amp; Evans v. Blick</w:t>
      </w:r>
      <w:r w:rsidRPr="00FA5FF3">
        <w:rPr>
          <w:rFonts w:ascii="Century Schoolbook" w:hAnsi="Century Schoolbook"/>
          <w:sz w:val="27"/>
          <w:szCs w:val="27"/>
        </w:rPr>
        <w:t xml:space="preserve"> (1949) 33 Cal.2d 603 (</w:t>
      </w:r>
      <w:r w:rsidRPr="00FA5FF3">
        <w:rPr>
          <w:rFonts w:ascii="Century Schoolbook" w:hAnsi="Century Schoolbook"/>
          <w:i/>
          <w:iCs/>
          <w:sz w:val="27"/>
          <w:szCs w:val="27"/>
        </w:rPr>
        <w:t>Loving &amp; Evans</w:t>
      </w:r>
      <w:r w:rsidRPr="00FA5FF3">
        <w:rPr>
          <w:rFonts w:ascii="Century Schoolbook" w:hAnsi="Century Schoolbook"/>
          <w:sz w:val="27"/>
          <w:szCs w:val="27"/>
        </w:rPr>
        <w:t>), we held that “the rules which give finality to the arbitrator’s determination of ordinary questions of fact or of law are inapplicable where the issue of illegality of the entire transaction is raised in a proceeding for the enforcement of the arbitrator’s award.”  (</w:t>
      </w:r>
      <w:r w:rsidRPr="00FA5FF3">
        <w:rPr>
          <w:rFonts w:ascii="Century Schoolbook" w:hAnsi="Century Schoolbook"/>
          <w:i/>
          <w:iCs/>
          <w:sz w:val="27"/>
          <w:szCs w:val="27"/>
        </w:rPr>
        <w:t>Id.</w:t>
      </w:r>
      <w:r w:rsidRPr="00FA5FF3">
        <w:rPr>
          <w:rFonts w:ascii="Century Schoolbook" w:hAnsi="Century Schoolbook"/>
          <w:sz w:val="27"/>
          <w:szCs w:val="27"/>
        </w:rPr>
        <w:t xml:space="preserve"> at p. 609.)  That is so because the arbitration statute permits a court to vacate an arbitral award if “ ‘the arbitrators exceeded their powers,’ ” and “the power of the arbitrator to determine the rights of the parties is dependent upon the existence of a valid contract under which such rights might arise.”  (</w:t>
      </w:r>
      <w:r w:rsidRPr="00FA5FF3">
        <w:rPr>
          <w:rFonts w:ascii="Century Schoolbook" w:hAnsi="Century Schoolbook"/>
          <w:i/>
          <w:iCs/>
          <w:sz w:val="27"/>
          <w:szCs w:val="27"/>
        </w:rPr>
        <w:t xml:space="preserve">Id. </w:t>
      </w:r>
      <w:r w:rsidRPr="00FA5FF3">
        <w:rPr>
          <w:rFonts w:ascii="Century Schoolbook" w:hAnsi="Century Schoolbook"/>
          <w:sz w:val="27"/>
          <w:szCs w:val="27"/>
        </w:rPr>
        <w:t>at pp. 609–610; see also Code Civ. Proc., § 1286.2, subd. (a).)</w:t>
      </w:r>
    </w:p>
    <w:p w:rsidR="006F2A9E" w:rsidRPr="00FA5FF3" w:rsidP="00FA5FF3" w14:paraId="0F631F32" w14:textId="77777777">
      <w:pPr>
        <w:spacing w:after="100" w:line="400" w:lineRule="exact"/>
        <w:ind w:firstLine="720"/>
        <w:jc w:val="both"/>
        <w:rPr>
          <w:rFonts w:ascii="Century Schoolbook" w:hAnsi="Century Schoolbook"/>
          <w:sz w:val="27"/>
          <w:szCs w:val="27"/>
        </w:rPr>
      </w:pPr>
      <w:r w:rsidRPr="00FA5FF3">
        <w:rPr>
          <w:rFonts w:ascii="Century Schoolbook" w:hAnsi="Century Schoolbook"/>
          <w:sz w:val="27"/>
          <w:szCs w:val="27"/>
        </w:rPr>
        <w:t xml:space="preserve">Although </w:t>
      </w:r>
      <w:r w:rsidRPr="00FA5FF3">
        <w:rPr>
          <w:rFonts w:ascii="Century Schoolbook" w:hAnsi="Century Schoolbook"/>
          <w:i/>
          <w:iCs/>
          <w:sz w:val="27"/>
          <w:szCs w:val="27"/>
        </w:rPr>
        <w:t>Loving &amp; Evans</w:t>
      </w:r>
      <w:r w:rsidRPr="00FA5FF3">
        <w:rPr>
          <w:rFonts w:ascii="Century Schoolbook" w:hAnsi="Century Schoolbook"/>
          <w:sz w:val="27"/>
          <w:szCs w:val="27"/>
        </w:rPr>
        <w:t xml:space="preserve"> predates the 1961 Act, we have since reaffirmed that “judicial review may be warranted when a party claims that an arbitrator has enforced an entire contract or transaction that is illegal.”  (</w:t>
      </w:r>
      <w:r w:rsidRPr="00FA5FF3">
        <w:rPr>
          <w:rFonts w:ascii="Century Schoolbook" w:hAnsi="Century Schoolbook"/>
          <w:i/>
          <w:iCs/>
          <w:sz w:val="27"/>
          <w:szCs w:val="27"/>
        </w:rPr>
        <w:t>Richey</w:t>
      </w:r>
      <w:r w:rsidRPr="00FA5FF3">
        <w:rPr>
          <w:rFonts w:ascii="Century Schoolbook" w:hAnsi="Century Schoolbook"/>
          <w:sz w:val="27"/>
          <w:szCs w:val="27"/>
        </w:rPr>
        <w:t xml:space="preserve">, </w:t>
      </w:r>
      <w:r w:rsidRPr="000B2363">
        <w:rPr>
          <w:rFonts w:ascii="Century Schoolbook" w:hAnsi="Century Schoolbook"/>
          <w:i/>
          <w:iCs/>
          <w:sz w:val="27"/>
          <w:szCs w:val="27"/>
        </w:rPr>
        <w:t>supra</w:t>
      </w:r>
      <w:r>
        <w:rPr>
          <w:rFonts w:ascii="Century Schoolbook" w:hAnsi="Century Schoolbook"/>
          <w:sz w:val="27"/>
          <w:szCs w:val="27"/>
        </w:rPr>
        <w:t xml:space="preserve">, 60 Cal.4th </w:t>
      </w:r>
      <w:r w:rsidRPr="00FA5FF3">
        <w:rPr>
          <w:rFonts w:ascii="Century Schoolbook" w:hAnsi="Century Schoolbook"/>
          <w:sz w:val="27"/>
          <w:szCs w:val="27"/>
        </w:rPr>
        <w:t xml:space="preserve">at p. 917, citing </w:t>
      </w:r>
      <w:r w:rsidRPr="00FA5FF3">
        <w:rPr>
          <w:rFonts w:ascii="Century Schoolbook" w:hAnsi="Century Schoolbook"/>
          <w:i/>
          <w:iCs/>
          <w:sz w:val="27"/>
          <w:szCs w:val="27"/>
        </w:rPr>
        <w:t>Moncharsh v. Heily &amp; Blase</w:t>
      </w:r>
      <w:r w:rsidRPr="00FA5FF3">
        <w:rPr>
          <w:rFonts w:ascii="Century Schoolbook" w:hAnsi="Century Schoolbook"/>
          <w:sz w:val="27"/>
          <w:szCs w:val="27"/>
        </w:rPr>
        <w:t xml:space="preserve"> (1992) 3 Cal.4th 1, 32 (</w:t>
      </w:r>
      <w:r w:rsidRPr="00FA5FF3">
        <w:rPr>
          <w:rFonts w:ascii="Century Schoolbook" w:hAnsi="Century Schoolbook"/>
          <w:i/>
          <w:iCs/>
          <w:sz w:val="27"/>
          <w:szCs w:val="27"/>
        </w:rPr>
        <w:t>Moncharsh</w:t>
      </w:r>
      <w:r w:rsidRPr="00FA5FF3">
        <w:rPr>
          <w:rFonts w:ascii="Century Schoolbook" w:hAnsi="Century Schoolbook"/>
          <w:sz w:val="27"/>
          <w:szCs w:val="27"/>
        </w:rPr>
        <w:t>).)  We have also acknowledged that “there may be some limited and exceptional circumstances justifying judicial review of an arbitrator’s decision when a party claims illegality affects only a portion of the underlying contract” — for example, where confirming the award “would be inconsistent with the protection of a party’s statutory rights.”  (</w:t>
      </w:r>
      <w:r w:rsidRPr="00FA5FF3">
        <w:rPr>
          <w:rFonts w:ascii="Century Schoolbook" w:hAnsi="Century Schoolbook"/>
          <w:i/>
          <w:iCs/>
          <w:sz w:val="27"/>
          <w:szCs w:val="27"/>
        </w:rPr>
        <w:t>Moncharsh</w:t>
      </w:r>
      <w:r w:rsidRPr="00FA5FF3">
        <w:rPr>
          <w:rFonts w:ascii="Century Schoolbook" w:hAnsi="Century Schoolbook"/>
          <w:sz w:val="27"/>
          <w:szCs w:val="27"/>
        </w:rPr>
        <w:t>,</w:t>
      </w:r>
      <w:r w:rsidRPr="00FA5FF3">
        <w:rPr>
          <w:rFonts w:ascii="Century Schoolbook" w:hAnsi="Century Schoolbook"/>
          <w:i/>
          <w:iCs/>
          <w:sz w:val="27"/>
          <w:szCs w:val="27"/>
        </w:rPr>
        <w:t xml:space="preserve"> </w:t>
      </w:r>
      <w:r w:rsidRPr="00FA5FF3">
        <w:rPr>
          <w:rFonts w:ascii="Century Schoolbook" w:hAnsi="Century Schoolbook"/>
          <w:sz w:val="27"/>
          <w:szCs w:val="27"/>
        </w:rPr>
        <w:t xml:space="preserve">at p. 32 [citing </w:t>
      </w:r>
      <w:r w:rsidRPr="00FA5FF3">
        <w:rPr>
          <w:rFonts w:ascii="Century Schoolbook" w:hAnsi="Century Schoolbook"/>
          <w:i/>
          <w:iCs/>
          <w:sz w:val="27"/>
          <w:szCs w:val="27"/>
        </w:rPr>
        <w:t xml:space="preserve">Shearson/American Express, Inc. v. McMahon </w:t>
      </w:r>
      <w:r w:rsidRPr="00FA5FF3">
        <w:rPr>
          <w:rFonts w:ascii="Century Schoolbook" w:hAnsi="Century Schoolbook"/>
          <w:sz w:val="27"/>
          <w:szCs w:val="27"/>
        </w:rPr>
        <w:t xml:space="preserve">(1987) 482 U.S. 220, 225–227, for the proposition that claims based on statutes are generally arbitrable unless the </w:t>
      </w:r>
      <w:r>
        <w:rPr>
          <w:rFonts w:ascii="Century Schoolbook" w:hAnsi="Century Schoolbook"/>
          <w:sz w:val="27"/>
          <w:szCs w:val="27"/>
        </w:rPr>
        <w:t>l</w:t>
      </w:r>
      <w:r w:rsidRPr="00FA5FF3">
        <w:rPr>
          <w:rFonts w:ascii="Century Schoolbook" w:hAnsi="Century Schoolbook"/>
          <w:sz w:val="27"/>
          <w:szCs w:val="27"/>
        </w:rPr>
        <w:t>egislature specifically “ ‘intended to preclude a waiver of judicial remedies for the statutory rights at issue’ ”].)</w:t>
      </w:r>
    </w:p>
    <w:p w:rsidR="006F2A9E" w:rsidRPr="00FA5FF3" w:rsidP="00FA5FF3" w14:paraId="68B07EFA" w14:textId="77777777">
      <w:pPr>
        <w:spacing w:after="100" w:line="400" w:lineRule="exact"/>
        <w:ind w:firstLine="720"/>
        <w:jc w:val="both"/>
        <w:rPr>
          <w:rFonts w:ascii="Century Schoolbook" w:hAnsi="Century Schoolbook"/>
          <w:sz w:val="27"/>
          <w:szCs w:val="27"/>
        </w:rPr>
      </w:pPr>
      <w:r w:rsidRPr="00FA5FF3">
        <w:rPr>
          <w:rFonts w:ascii="Century Schoolbook" w:hAnsi="Century Schoolbook"/>
          <w:sz w:val="27"/>
          <w:szCs w:val="27"/>
        </w:rPr>
        <w:t xml:space="preserve">Here, Key pitches her illegality challenge as one that implicates the entire </w:t>
      </w:r>
      <w:r>
        <w:rPr>
          <w:rFonts w:ascii="Century Schoolbook" w:hAnsi="Century Schoolbook"/>
          <w:sz w:val="27"/>
          <w:szCs w:val="27"/>
        </w:rPr>
        <w:t>Agreement </w:t>
      </w:r>
      <w:r w:rsidRPr="00FA5FF3">
        <w:rPr>
          <w:rFonts w:ascii="Century Schoolbook" w:hAnsi="Century Schoolbook"/>
          <w:sz w:val="27"/>
          <w:szCs w:val="27"/>
        </w:rPr>
        <w:t xml:space="preserve">— including, presumably, the arbitration clause itself.  Curiously, though, Key has never argued that the arbitration clause in the Agreement with Lender was not enforceable or that the illegality issue is nonarbitrable.  Even now, Key does not ask us to disregard the arbitral award entirely and review the illegality claim de novo, with the benefit of briefing and argument on the merits of that issue, even though both parties have raised questions about the merits of the arbitrators’ decision.  While Key challenges the arbitrators’ choice of remedy for Lender’s </w:t>
      </w:r>
      <w:r>
        <w:rPr>
          <w:rFonts w:ascii="Century Schoolbook" w:hAnsi="Century Schoolbook"/>
          <w:sz w:val="27"/>
          <w:szCs w:val="27"/>
        </w:rPr>
        <w:t>alleg</w:t>
      </w:r>
      <w:r w:rsidRPr="00FA5FF3">
        <w:rPr>
          <w:rFonts w:ascii="Century Schoolbook" w:hAnsi="Century Schoolbook"/>
          <w:sz w:val="27"/>
          <w:szCs w:val="27"/>
        </w:rPr>
        <w:t xml:space="preserve">ed violation of the </w:t>
      </w:r>
      <w:r>
        <w:rPr>
          <w:rFonts w:ascii="Century Schoolbook" w:hAnsi="Century Schoolbook"/>
          <w:sz w:val="27"/>
          <w:szCs w:val="27"/>
        </w:rPr>
        <w:t xml:space="preserve">California </w:t>
      </w:r>
      <w:r w:rsidRPr="00FA5FF3">
        <w:rPr>
          <w:rFonts w:ascii="Century Schoolbook" w:hAnsi="Century Schoolbook"/>
          <w:sz w:val="27"/>
          <w:szCs w:val="27"/>
        </w:rPr>
        <w:t xml:space="preserve">Financing Law, Lender argues the arbitrators were wrong to find a violation in the first place; Lender contends that the arbitrators erred in classifying the loan as a “consumer loan” and that, in any event, the </w:t>
      </w:r>
      <w:r>
        <w:rPr>
          <w:rFonts w:ascii="Century Schoolbook" w:hAnsi="Century Schoolbook"/>
          <w:sz w:val="27"/>
          <w:szCs w:val="27"/>
        </w:rPr>
        <w:t xml:space="preserve">California </w:t>
      </w:r>
      <w:r w:rsidRPr="00FA5FF3">
        <w:rPr>
          <w:rFonts w:ascii="Century Schoolbook" w:hAnsi="Century Schoolbook"/>
          <w:sz w:val="27"/>
          <w:szCs w:val="27"/>
        </w:rPr>
        <w:t>Financing Law’s prohibitions on compound interest and certain fees do not apply to “any loan of a bona fide principal amount of five thousand dollars . . . or more.”  (Fin. Code, § 22250, subd. (b).)  The arbitrators’ conclusions on those issues inure to Key’s benefit, and she asks us to accept them as conclusive.  She takes issue only with the arbitration panel’s choice of remedy — its decision to reform rather than void the contract, a decision that, in Key’s view, contravenes her statutory rights.</w:t>
      </w:r>
    </w:p>
    <w:p w:rsidR="008227ED" w14:paraId="56043767"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In any event,  the important point for our purposes is that Key does not seek merely to establish a substantive basis for judicial review; rather, she invokes a right to such review notwithstanding the applicable statutory deadlines.  But our cases establish no such right.  To the contrary, w</w:t>
      </w:r>
      <w:r w:rsidRPr="00FA5FF3">
        <w:rPr>
          <w:rFonts w:ascii="Century Schoolbook" w:hAnsi="Century Schoolbook"/>
          <w:sz w:val="27"/>
          <w:szCs w:val="27"/>
        </w:rPr>
        <w:t xml:space="preserve">hether we construe Key’s argument as challenging the legality of the entire Agreement or only a portion of it, </w:t>
      </w:r>
      <w:r>
        <w:rPr>
          <w:rFonts w:ascii="Century Schoolbook" w:hAnsi="Century Schoolbook"/>
          <w:sz w:val="27"/>
          <w:szCs w:val="27"/>
        </w:rPr>
        <w:t xml:space="preserve">our decision in </w:t>
      </w:r>
      <w:r>
        <w:rPr>
          <w:rFonts w:ascii="Century Schoolbook" w:hAnsi="Century Schoolbook"/>
          <w:i/>
          <w:iCs/>
          <w:sz w:val="27"/>
          <w:szCs w:val="27"/>
        </w:rPr>
        <w:t>Moncharsh</w:t>
      </w:r>
      <w:r>
        <w:rPr>
          <w:rFonts w:ascii="Century Schoolbook" w:hAnsi="Century Schoolbook"/>
          <w:sz w:val="27"/>
          <w:szCs w:val="27"/>
        </w:rPr>
        <w:t xml:space="preserve"> forecloses her contention that a</w:t>
      </w:r>
      <w:r w:rsidRPr="00FA5FF3">
        <w:rPr>
          <w:rFonts w:ascii="Century Schoolbook" w:hAnsi="Century Schoolbook"/>
          <w:sz w:val="27"/>
          <w:szCs w:val="27"/>
        </w:rPr>
        <w:t xml:space="preserve"> claim of illegality can never be forfeited by a failure to raise the claim in a timely manner.  In</w:t>
      </w:r>
      <w:r>
        <w:rPr>
          <w:rFonts w:ascii="Century Schoolbook" w:hAnsi="Century Schoolbook"/>
          <w:sz w:val="27"/>
          <w:szCs w:val="27"/>
        </w:rPr>
        <w:t xml:space="preserve"> </w:t>
      </w:r>
      <w:r>
        <w:rPr>
          <w:rFonts w:ascii="Century Schoolbook" w:hAnsi="Century Schoolbook"/>
          <w:i/>
          <w:iCs/>
          <w:sz w:val="27"/>
          <w:szCs w:val="27"/>
        </w:rPr>
        <w:t>Moncharsh</w:t>
      </w:r>
      <w:r>
        <w:rPr>
          <w:rFonts w:ascii="Century Schoolbook" w:hAnsi="Century Schoolbook"/>
          <w:sz w:val="27"/>
          <w:szCs w:val="27"/>
        </w:rPr>
        <w:t xml:space="preserve">, </w:t>
      </w:r>
      <w:r w:rsidRPr="00FA5FF3">
        <w:rPr>
          <w:rFonts w:ascii="Century Schoolbook" w:hAnsi="Century Schoolbook"/>
          <w:sz w:val="27"/>
          <w:szCs w:val="27"/>
        </w:rPr>
        <w:t>the p</w:t>
      </w:r>
      <w:r>
        <w:rPr>
          <w:rFonts w:ascii="Century Schoolbook" w:hAnsi="Century Schoolbook"/>
          <w:sz w:val="27"/>
          <w:szCs w:val="27"/>
        </w:rPr>
        <w:t>laintiff</w:t>
      </w:r>
      <w:r w:rsidRPr="00FA5FF3">
        <w:rPr>
          <w:rFonts w:ascii="Century Schoolbook" w:hAnsi="Century Schoolbook"/>
          <w:sz w:val="27"/>
          <w:szCs w:val="27"/>
        </w:rPr>
        <w:t xml:space="preserve"> sought to vacate an arbitral award, claiming that the arbitrators had enforced an illegal noncompete provision of his employment contract.  (</w:t>
      </w:r>
      <w:r w:rsidRPr="00FA5FF3">
        <w:rPr>
          <w:rFonts w:ascii="Century Schoolbook" w:hAnsi="Century Schoolbook"/>
          <w:i/>
          <w:iCs/>
          <w:sz w:val="27"/>
          <w:szCs w:val="27"/>
        </w:rPr>
        <w:t>Moncharsh</w:t>
      </w:r>
      <w:r w:rsidRPr="00FA5FF3">
        <w:rPr>
          <w:rFonts w:ascii="Century Schoolbook" w:hAnsi="Century Schoolbook"/>
          <w:sz w:val="27"/>
          <w:szCs w:val="27"/>
        </w:rPr>
        <w:t>,</w:t>
      </w:r>
      <w:r w:rsidRPr="00FA5FF3">
        <w:rPr>
          <w:rFonts w:ascii="Century Schoolbook" w:hAnsi="Century Schoolbook"/>
          <w:i/>
          <w:iCs/>
          <w:sz w:val="27"/>
          <w:szCs w:val="27"/>
        </w:rPr>
        <w:t xml:space="preserve"> supra</w:t>
      </w:r>
      <w:r w:rsidRPr="00FA5FF3">
        <w:rPr>
          <w:rFonts w:ascii="Century Schoolbook" w:hAnsi="Century Schoolbook"/>
          <w:sz w:val="27"/>
          <w:szCs w:val="27"/>
        </w:rPr>
        <w:t>, 3 Cal.4th at pp. 6–8.)  We held that the claim of illegality was not the kind that would require a court to intervene on public policy grounds.  (</w:t>
      </w:r>
      <w:r w:rsidRPr="00FA5FF3">
        <w:rPr>
          <w:rFonts w:ascii="Century Schoolbook" w:hAnsi="Century Schoolbook"/>
          <w:i/>
          <w:iCs/>
          <w:sz w:val="27"/>
          <w:szCs w:val="27"/>
        </w:rPr>
        <w:t xml:space="preserve">Id. </w:t>
      </w:r>
      <w:r w:rsidRPr="00FA5FF3">
        <w:rPr>
          <w:rFonts w:ascii="Century Schoolbook" w:hAnsi="Century Schoolbook"/>
          <w:sz w:val="27"/>
          <w:szCs w:val="27"/>
        </w:rPr>
        <w:t xml:space="preserve">at p. 33.)  Critically, however, we did so only after considering whether the claim had been forfeited through failure to raise it in accordance with prescribed procedure.  (See </w:t>
      </w:r>
      <w:r w:rsidRPr="00FA5FF3">
        <w:rPr>
          <w:rFonts w:ascii="Century Schoolbook" w:hAnsi="Century Schoolbook"/>
          <w:i/>
          <w:iCs/>
          <w:sz w:val="27"/>
          <w:szCs w:val="27"/>
        </w:rPr>
        <w:t>id.</w:t>
      </w:r>
      <w:r w:rsidRPr="00FA5FF3">
        <w:rPr>
          <w:rFonts w:ascii="Century Schoolbook" w:hAnsi="Century Schoolbook"/>
          <w:sz w:val="27"/>
          <w:szCs w:val="27"/>
        </w:rPr>
        <w:t xml:space="preserve"> at</w:t>
      </w:r>
      <w:r>
        <w:rPr>
          <w:rFonts w:ascii="Century Schoolbook" w:hAnsi="Century Schoolbook"/>
          <w:sz w:val="27"/>
          <w:szCs w:val="27"/>
        </w:rPr>
        <w:t xml:space="preserve"> </w:t>
      </w:r>
      <w:r w:rsidRPr="00FA5FF3">
        <w:rPr>
          <w:rFonts w:ascii="Century Schoolbook" w:hAnsi="Century Schoolbook"/>
          <w:sz w:val="27"/>
          <w:szCs w:val="27"/>
        </w:rPr>
        <w:t>pp. 29–31.)  We explained that both challenges asserting that “grounds exist to revoke the entire contract” and challenges going “to only a portion of the contract” can be forfeited if they are not timely raised.  (</w:t>
      </w:r>
      <w:r w:rsidRPr="00FA5FF3">
        <w:rPr>
          <w:rFonts w:ascii="Century Schoolbook" w:hAnsi="Century Schoolbook"/>
          <w:i/>
          <w:iCs/>
          <w:sz w:val="27"/>
          <w:szCs w:val="27"/>
        </w:rPr>
        <w:t>Id.</w:t>
      </w:r>
      <w:r w:rsidRPr="00FA5FF3">
        <w:rPr>
          <w:rFonts w:ascii="Century Schoolbook" w:hAnsi="Century Schoolbook"/>
          <w:sz w:val="27"/>
          <w:szCs w:val="27"/>
        </w:rPr>
        <w:t xml:space="preserve"> at pp.</w:t>
      </w:r>
      <w:r>
        <w:rPr>
          <w:rFonts w:ascii="Century Schoolbook" w:hAnsi="Century Schoolbook"/>
          <w:sz w:val="27"/>
          <w:szCs w:val="27"/>
        </w:rPr>
        <w:t> </w:t>
      </w:r>
      <w:r w:rsidRPr="00FA5FF3">
        <w:rPr>
          <w:rFonts w:ascii="Century Schoolbook" w:hAnsi="Century Schoolbook"/>
          <w:sz w:val="27"/>
          <w:szCs w:val="27"/>
        </w:rPr>
        <w:t>29</w:t>
      </w:r>
      <w:r>
        <w:rPr>
          <w:rFonts w:ascii="Century Schoolbook" w:hAnsi="Century Schoolbook"/>
          <w:sz w:val="27"/>
          <w:szCs w:val="27"/>
        </w:rPr>
        <w:t xml:space="preserve">, </w:t>
      </w:r>
      <w:r w:rsidRPr="00FA5FF3">
        <w:rPr>
          <w:rFonts w:ascii="Century Schoolbook" w:hAnsi="Century Schoolbook"/>
          <w:sz w:val="27"/>
          <w:szCs w:val="27"/>
        </w:rPr>
        <w:t>3</w:t>
      </w:r>
      <w:r>
        <w:rPr>
          <w:rFonts w:ascii="Century Schoolbook" w:hAnsi="Century Schoolbook"/>
          <w:sz w:val="27"/>
          <w:szCs w:val="27"/>
        </w:rPr>
        <w:t xml:space="preserve">0; cf. </w:t>
      </w:r>
      <w:r>
        <w:rPr>
          <w:rFonts w:ascii="Century Schoolbook" w:hAnsi="Century Schoolbook"/>
          <w:i/>
          <w:iCs/>
          <w:sz w:val="27"/>
          <w:szCs w:val="27"/>
        </w:rPr>
        <w:t>Richey</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60 Cal.4th at p. 920, fn. 3 [by not raising the issue in the superior court, the plaintiff forfeited on appeal a claim that an arbitral award must be vacated because the underlying contract violated his statutory rights]</w:t>
      </w:r>
      <w:r w:rsidRPr="00FA5FF3">
        <w:rPr>
          <w:rFonts w:ascii="Century Schoolbook" w:hAnsi="Century Schoolbook"/>
          <w:sz w:val="27"/>
          <w:szCs w:val="27"/>
        </w:rPr>
        <w:t xml:space="preserve">.)  </w:t>
      </w:r>
    </w:p>
    <w:p w:rsidR="00AA08B6" w:rsidRPr="00FA5FF3" w:rsidP="00FA5FF3" w14:paraId="7ACE4A8C" w14:textId="77777777">
      <w:pPr>
        <w:spacing w:after="100" w:line="400" w:lineRule="exact"/>
        <w:ind w:firstLine="720"/>
        <w:jc w:val="both"/>
        <w:rPr>
          <w:rFonts w:ascii="Century Schoolbook" w:hAnsi="Century Schoolbook"/>
          <w:sz w:val="27"/>
          <w:szCs w:val="27"/>
        </w:rPr>
      </w:pPr>
      <w:r w:rsidRPr="00FA5FF3">
        <w:rPr>
          <w:rFonts w:ascii="Century Schoolbook" w:hAnsi="Century Schoolbook"/>
          <w:sz w:val="27"/>
          <w:szCs w:val="27"/>
        </w:rPr>
        <w:t xml:space="preserve">Although </w:t>
      </w:r>
      <w:r>
        <w:rPr>
          <w:rFonts w:ascii="Century Schoolbook" w:hAnsi="Century Schoolbook"/>
          <w:i/>
          <w:iCs/>
          <w:sz w:val="27"/>
          <w:szCs w:val="27"/>
        </w:rPr>
        <w:t>Moncharsh</w:t>
      </w:r>
      <w:r>
        <w:rPr>
          <w:rFonts w:ascii="Century Schoolbook" w:hAnsi="Century Schoolbook"/>
          <w:sz w:val="27"/>
          <w:szCs w:val="27"/>
        </w:rPr>
        <w:t xml:space="preserve"> </w:t>
      </w:r>
      <w:r w:rsidRPr="00FA5FF3">
        <w:rPr>
          <w:rFonts w:ascii="Century Schoolbook" w:hAnsi="Century Schoolbook"/>
          <w:sz w:val="27"/>
          <w:szCs w:val="27"/>
        </w:rPr>
        <w:t xml:space="preserve">did not involve section 1288.2’s 100-day deadline for </w:t>
      </w:r>
      <w:r>
        <w:rPr>
          <w:rFonts w:ascii="Century Schoolbook" w:hAnsi="Century Schoolbook"/>
          <w:sz w:val="27"/>
          <w:szCs w:val="27"/>
        </w:rPr>
        <w:t xml:space="preserve">a response </w:t>
      </w:r>
      <w:r w:rsidRPr="00FA5FF3">
        <w:rPr>
          <w:rFonts w:ascii="Century Schoolbook" w:hAnsi="Century Schoolbook"/>
          <w:sz w:val="27"/>
          <w:szCs w:val="27"/>
        </w:rPr>
        <w:t xml:space="preserve">seeking vacatur of an arbitral award, </w:t>
      </w:r>
      <w:r>
        <w:rPr>
          <w:rFonts w:ascii="Century Schoolbook" w:hAnsi="Century Schoolbook"/>
          <w:sz w:val="27"/>
          <w:szCs w:val="27"/>
        </w:rPr>
        <w:t xml:space="preserve">the case makes clear </w:t>
      </w:r>
      <w:r w:rsidRPr="00FA5FF3">
        <w:rPr>
          <w:rFonts w:ascii="Century Schoolbook" w:hAnsi="Century Schoolbook"/>
          <w:sz w:val="27"/>
          <w:szCs w:val="27"/>
        </w:rPr>
        <w:t>that claims of contract illegality are not categorically immune from the traditional rules of forfeiture.</w:t>
      </w:r>
      <w:r>
        <w:rPr>
          <w:rFonts w:ascii="Century Schoolbook" w:hAnsi="Century Schoolbook"/>
          <w:sz w:val="27"/>
          <w:szCs w:val="27"/>
        </w:rPr>
        <w:t xml:space="preserve">  </w:t>
      </w:r>
      <w:r w:rsidRPr="00FA5FF3">
        <w:rPr>
          <w:rFonts w:ascii="Century Schoolbook" w:hAnsi="Century Schoolbook"/>
          <w:sz w:val="27"/>
          <w:szCs w:val="27"/>
        </w:rPr>
        <w:t xml:space="preserve">It follows that </w:t>
      </w:r>
      <w:r>
        <w:rPr>
          <w:rFonts w:ascii="Century Schoolbook" w:hAnsi="Century Schoolbook"/>
          <w:sz w:val="27"/>
          <w:szCs w:val="27"/>
        </w:rPr>
        <w:t xml:space="preserve">the court in this case was not obligated to entertain an </w:t>
      </w:r>
      <w:r w:rsidRPr="00FA5FF3">
        <w:rPr>
          <w:rFonts w:ascii="Century Schoolbook" w:hAnsi="Century Schoolbook"/>
          <w:sz w:val="27"/>
          <w:szCs w:val="27"/>
        </w:rPr>
        <w:t xml:space="preserve">untimely request to vacate </w:t>
      </w:r>
      <w:r>
        <w:rPr>
          <w:rFonts w:ascii="Century Schoolbook" w:hAnsi="Century Schoolbook"/>
          <w:sz w:val="27"/>
          <w:szCs w:val="27"/>
        </w:rPr>
        <w:t xml:space="preserve">the </w:t>
      </w:r>
      <w:r w:rsidRPr="00FA5FF3">
        <w:rPr>
          <w:rFonts w:ascii="Century Schoolbook" w:hAnsi="Century Schoolbook"/>
          <w:sz w:val="27"/>
          <w:szCs w:val="27"/>
        </w:rPr>
        <w:t xml:space="preserve">arbitral award merely because </w:t>
      </w:r>
      <w:r>
        <w:rPr>
          <w:rFonts w:ascii="Century Schoolbook" w:hAnsi="Century Schoolbook"/>
          <w:sz w:val="27"/>
          <w:szCs w:val="27"/>
        </w:rPr>
        <w:t xml:space="preserve">Key </w:t>
      </w:r>
      <w:r w:rsidRPr="00FA5FF3">
        <w:rPr>
          <w:rFonts w:ascii="Century Schoolbook" w:hAnsi="Century Schoolbook"/>
          <w:sz w:val="27"/>
          <w:szCs w:val="27"/>
        </w:rPr>
        <w:t>assert</w:t>
      </w:r>
      <w:r>
        <w:rPr>
          <w:rFonts w:ascii="Century Schoolbook" w:hAnsi="Century Schoolbook"/>
          <w:sz w:val="27"/>
          <w:szCs w:val="27"/>
        </w:rPr>
        <w:t>ed</w:t>
      </w:r>
      <w:r w:rsidRPr="00FA5FF3">
        <w:rPr>
          <w:rFonts w:ascii="Century Schoolbook" w:hAnsi="Century Schoolbook"/>
          <w:sz w:val="27"/>
          <w:szCs w:val="27"/>
        </w:rPr>
        <w:t xml:space="preserve"> that the award enforces a contract</w:t>
      </w:r>
      <w:r>
        <w:rPr>
          <w:rFonts w:ascii="Century Schoolbook" w:hAnsi="Century Schoolbook"/>
          <w:sz w:val="27"/>
          <w:szCs w:val="27"/>
        </w:rPr>
        <w:t xml:space="preserve"> made unlawful by statute</w:t>
      </w:r>
      <w:r w:rsidRPr="00FA5FF3">
        <w:rPr>
          <w:rFonts w:ascii="Century Schoolbook" w:hAnsi="Century Schoolbook"/>
          <w:sz w:val="27"/>
          <w:szCs w:val="27"/>
        </w:rPr>
        <w:t>.</w:t>
      </w:r>
      <w:r>
        <w:rPr>
          <w:rStyle w:val="FootnoteReference"/>
          <w:rFonts w:ascii="Century Schoolbook" w:hAnsi="Century Schoolbook"/>
          <w:b/>
          <w:bCs/>
          <w:position w:val="6"/>
          <w:sz w:val="20"/>
          <w:szCs w:val="20"/>
          <w:vertAlign w:val="baseline"/>
        </w:rPr>
        <w:footnoteReference w:id="6"/>
      </w:r>
    </w:p>
    <w:p w:rsidR="00A5583C" w:rsidP="00FA5FF3" w14:paraId="570EDEC9" w14:textId="77777777">
      <w:pPr>
        <w:spacing w:after="100" w:line="400" w:lineRule="exact"/>
        <w:ind w:firstLine="720"/>
        <w:jc w:val="both"/>
        <w:rPr>
          <w:rFonts w:ascii="Century Schoolbook" w:hAnsi="Century Schoolbook"/>
          <w:sz w:val="27"/>
          <w:szCs w:val="27"/>
        </w:rPr>
      </w:pPr>
      <w:r w:rsidRPr="00FA5FF3">
        <w:rPr>
          <w:rFonts w:ascii="Century Schoolbook" w:hAnsi="Century Schoolbook"/>
          <w:sz w:val="27"/>
          <w:szCs w:val="27"/>
        </w:rPr>
        <w:t>A contrary conclusion would undermine the statutory scheme governing challenges to arbitration awards</w:t>
      </w:r>
      <w:r>
        <w:rPr>
          <w:rFonts w:ascii="Century Schoolbook" w:hAnsi="Century Schoolbook"/>
          <w:sz w:val="27"/>
          <w:szCs w:val="27"/>
        </w:rPr>
        <w:t xml:space="preserve">.  The Act </w:t>
      </w:r>
      <w:r w:rsidRPr="003211F5">
        <w:rPr>
          <w:rFonts w:ascii="Century Schoolbook" w:hAnsi="Century Schoolbook"/>
          <w:sz w:val="27"/>
          <w:szCs w:val="27"/>
        </w:rPr>
        <w:t xml:space="preserve">sets out </w:t>
      </w:r>
      <w:r>
        <w:rPr>
          <w:rFonts w:ascii="Century Schoolbook" w:hAnsi="Century Schoolbook"/>
          <w:sz w:val="27"/>
          <w:szCs w:val="27"/>
        </w:rPr>
        <w:t xml:space="preserve">both </w:t>
      </w:r>
      <w:r w:rsidRPr="00FA5FF3">
        <w:rPr>
          <w:rFonts w:ascii="Century Schoolbook" w:hAnsi="Century Schoolbook"/>
          <w:sz w:val="27"/>
          <w:szCs w:val="27"/>
        </w:rPr>
        <w:t xml:space="preserve">the grounds and </w:t>
      </w:r>
      <w:r>
        <w:rPr>
          <w:rFonts w:ascii="Century Schoolbook" w:hAnsi="Century Schoolbook"/>
          <w:sz w:val="27"/>
          <w:szCs w:val="27"/>
        </w:rPr>
        <w:t xml:space="preserve">relevant </w:t>
      </w:r>
      <w:r w:rsidRPr="00FA5FF3">
        <w:rPr>
          <w:rFonts w:ascii="Century Schoolbook" w:hAnsi="Century Schoolbook"/>
          <w:sz w:val="27"/>
          <w:szCs w:val="27"/>
        </w:rPr>
        <w:t>procedures for seeking vacatur.</w:t>
      </w:r>
      <w:r>
        <w:rPr>
          <w:rFonts w:ascii="Century Schoolbook" w:hAnsi="Century Schoolbook"/>
          <w:sz w:val="27"/>
          <w:szCs w:val="27"/>
        </w:rPr>
        <w:t xml:space="preserve">  As we explained in </w:t>
      </w:r>
      <w:r>
        <w:rPr>
          <w:rFonts w:ascii="Century Schoolbook" w:hAnsi="Century Schoolbook"/>
          <w:i/>
          <w:iCs/>
          <w:sz w:val="27"/>
          <w:szCs w:val="27"/>
        </w:rPr>
        <w:t>Loving &amp; Evans</w:t>
      </w:r>
      <w:r>
        <w:rPr>
          <w:rFonts w:ascii="Century Schoolbook" w:hAnsi="Century Schoolbook"/>
          <w:sz w:val="27"/>
          <w:szCs w:val="27"/>
        </w:rPr>
        <w:t xml:space="preserve">, judicial review of an arbitral award based on a claim of contract illegality is authorized by the statutory provision permitting a court </w:t>
      </w:r>
      <w:r w:rsidRPr="003211F5">
        <w:rPr>
          <w:rFonts w:ascii="Century Schoolbook" w:hAnsi="Century Schoolbook"/>
          <w:sz w:val="27"/>
          <w:szCs w:val="27"/>
        </w:rPr>
        <w:t>to vacate an arbitral award if “ ‘the arbitrators exceeded their powers</w:t>
      </w:r>
      <w:r>
        <w:rPr>
          <w:rFonts w:ascii="Century Schoolbook" w:hAnsi="Century Schoolbook"/>
          <w:sz w:val="27"/>
          <w:szCs w:val="27"/>
        </w:rPr>
        <w:t>,</w:t>
      </w:r>
      <w:r w:rsidRPr="003211F5">
        <w:rPr>
          <w:rFonts w:ascii="Century Schoolbook" w:hAnsi="Century Schoolbook"/>
          <w:sz w:val="27"/>
          <w:szCs w:val="27"/>
        </w:rPr>
        <w:t>’ ”</w:t>
      </w:r>
      <w:r>
        <w:rPr>
          <w:rFonts w:ascii="Century Schoolbook" w:hAnsi="Century Schoolbook"/>
          <w:sz w:val="27"/>
          <w:szCs w:val="27"/>
        </w:rPr>
        <w:t xml:space="preserve"> for </w:t>
      </w:r>
      <w:r w:rsidRPr="003211F5">
        <w:rPr>
          <w:rFonts w:ascii="Century Schoolbook" w:hAnsi="Century Schoolbook"/>
          <w:sz w:val="27"/>
          <w:szCs w:val="27"/>
        </w:rPr>
        <w:t>arbitrators have no power to determine the rights of the parties if the underlying contract is unlawful.  (</w:t>
      </w:r>
      <w:r w:rsidRPr="003211F5">
        <w:rPr>
          <w:rFonts w:ascii="Century Schoolbook" w:hAnsi="Century Schoolbook"/>
          <w:i/>
          <w:iCs/>
          <w:sz w:val="27"/>
          <w:szCs w:val="27"/>
        </w:rPr>
        <w:t>Loving &amp; Evans</w:t>
      </w:r>
      <w:r w:rsidRPr="003211F5">
        <w:rPr>
          <w:rFonts w:ascii="Century Schoolbook" w:hAnsi="Century Schoolbook"/>
          <w:sz w:val="27"/>
          <w:szCs w:val="27"/>
        </w:rPr>
        <w:t xml:space="preserve">, </w:t>
      </w:r>
      <w:r w:rsidRPr="003211F5">
        <w:rPr>
          <w:rFonts w:ascii="Century Schoolbook" w:hAnsi="Century Schoolbook"/>
          <w:i/>
          <w:iCs/>
          <w:sz w:val="27"/>
          <w:szCs w:val="27"/>
        </w:rPr>
        <w:t>supra</w:t>
      </w:r>
      <w:r w:rsidRPr="003211F5">
        <w:rPr>
          <w:rFonts w:ascii="Century Schoolbook" w:hAnsi="Century Schoolbook"/>
          <w:sz w:val="27"/>
          <w:szCs w:val="27"/>
        </w:rPr>
        <w:t>, 33 Cal.2d at pp.</w:t>
      </w:r>
      <w:r>
        <w:rPr>
          <w:rFonts w:ascii="Century Schoolbook" w:hAnsi="Century Schoolbook"/>
          <w:sz w:val="27"/>
          <w:szCs w:val="27"/>
        </w:rPr>
        <w:t> </w:t>
      </w:r>
      <w:r w:rsidRPr="003211F5">
        <w:rPr>
          <w:rFonts w:ascii="Century Schoolbook" w:hAnsi="Century Schoolbook"/>
          <w:sz w:val="27"/>
          <w:szCs w:val="27"/>
        </w:rPr>
        <w:t xml:space="preserve">609–610; see also </w:t>
      </w:r>
      <w:r w:rsidRPr="003211F5">
        <w:rPr>
          <w:rFonts w:ascii="Century Schoolbook" w:hAnsi="Century Schoolbook"/>
          <w:i/>
          <w:iCs/>
          <w:sz w:val="27"/>
          <w:szCs w:val="27"/>
        </w:rPr>
        <w:t>Sheppard, Mullin, Richter &amp; Hampton, LLP v. J-M Manufacturing Co., Inc.</w:t>
      </w:r>
      <w:r w:rsidRPr="003211F5">
        <w:rPr>
          <w:rFonts w:ascii="Century Schoolbook" w:hAnsi="Century Schoolbook"/>
          <w:sz w:val="27"/>
          <w:szCs w:val="27"/>
        </w:rPr>
        <w:t xml:space="preserve"> (2018) 6 Cal.5th 59, 72</w:t>
      </w:r>
      <w:r>
        <w:rPr>
          <w:rFonts w:ascii="Century Schoolbook" w:hAnsi="Century Schoolbook"/>
          <w:sz w:val="27"/>
          <w:szCs w:val="27"/>
        </w:rPr>
        <w:t xml:space="preserve">, </w:t>
      </w:r>
      <w:r w:rsidRPr="003211F5">
        <w:rPr>
          <w:rFonts w:ascii="Century Schoolbook" w:hAnsi="Century Schoolbook"/>
          <w:sz w:val="27"/>
          <w:szCs w:val="27"/>
        </w:rPr>
        <w:t>73 [</w:t>
      </w:r>
      <w:r>
        <w:rPr>
          <w:rFonts w:ascii="Century Schoolbook" w:hAnsi="Century Schoolbook"/>
          <w:sz w:val="27"/>
          <w:szCs w:val="27"/>
        </w:rPr>
        <w:t xml:space="preserve">noting </w:t>
      </w:r>
      <w:r w:rsidRPr="003211F5">
        <w:rPr>
          <w:rFonts w:ascii="Century Schoolbook" w:hAnsi="Century Schoolbook"/>
          <w:sz w:val="27"/>
          <w:szCs w:val="27"/>
        </w:rPr>
        <w:t xml:space="preserve">that the </w:t>
      </w:r>
      <w:r>
        <w:rPr>
          <w:rFonts w:ascii="Century Schoolbook" w:hAnsi="Century Schoolbook"/>
          <w:sz w:val="27"/>
          <w:szCs w:val="27"/>
        </w:rPr>
        <w:t>excess-of-authority</w:t>
      </w:r>
      <w:r w:rsidRPr="003211F5">
        <w:rPr>
          <w:rFonts w:ascii="Century Schoolbook" w:hAnsi="Century Schoolbook"/>
          <w:sz w:val="27"/>
          <w:szCs w:val="27"/>
        </w:rPr>
        <w:t xml:space="preserve"> exception to the rule of arbitral finality is “specified by statute” and that </w:t>
      </w:r>
      <w:r w:rsidRPr="003211F5">
        <w:rPr>
          <w:rFonts w:ascii="Century Schoolbook" w:hAnsi="Century Schoolbook"/>
          <w:i/>
          <w:iCs/>
          <w:sz w:val="27"/>
          <w:szCs w:val="27"/>
        </w:rPr>
        <w:t>Loving &amp; Evans</w:t>
      </w:r>
      <w:r w:rsidRPr="003211F5">
        <w:rPr>
          <w:rFonts w:ascii="Century Schoolbook" w:hAnsi="Century Schoolbook"/>
          <w:sz w:val="27"/>
          <w:szCs w:val="27"/>
        </w:rPr>
        <w:t xml:space="preserve"> “held that the excess-of-authority exception applies, and an arbitral award must be vacated, when a court determines that the arbitration has been undertaken to enforce a contract that is ‘illegal and against the public policy of the state’ ”].)  </w:t>
      </w:r>
      <w:r>
        <w:rPr>
          <w:rFonts w:ascii="Century Schoolbook" w:hAnsi="Century Schoolbook"/>
          <w:sz w:val="27"/>
          <w:szCs w:val="27"/>
        </w:rPr>
        <w:t xml:space="preserve">But while the Act establishes a basis for seeking vacatur on the ground of contract illegality, it also sets a deadline for doing so.  In making her argument for vacatur of the arbitral award under the Act, Key may not disregard </w:t>
      </w:r>
      <w:r w:rsidRPr="003211F5">
        <w:rPr>
          <w:rFonts w:ascii="Century Schoolbook" w:hAnsi="Century Schoolbook"/>
          <w:sz w:val="27"/>
          <w:szCs w:val="27"/>
        </w:rPr>
        <w:t xml:space="preserve">the </w:t>
      </w:r>
      <w:r>
        <w:rPr>
          <w:rFonts w:ascii="Century Schoolbook" w:hAnsi="Century Schoolbook"/>
          <w:sz w:val="27"/>
          <w:szCs w:val="27"/>
        </w:rPr>
        <w:t xml:space="preserve">Act’s instructions for </w:t>
      </w:r>
      <w:r w:rsidRPr="00FA5FF3">
        <w:rPr>
          <w:rFonts w:ascii="Century Schoolbook" w:hAnsi="Century Schoolbook"/>
          <w:sz w:val="27"/>
          <w:szCs w:val="27"/>
        </w:rPr>
        <w:t xml:space="preserve">when those </w:t>
      </w:r>
      <w:r>
        <w:rPr>
          <w:rFonts w:ascii="Century Schoolbook" w:hAnsi="Century Schoolbook"/>
          <w:sz w:val="27"/>
          <w:szCs w:val="27"/>
        </w:rPr>
        <w:t>arguments</w:t>
      </w:r>
      <w:r w:rsidRPr="00FA5FF3">
        <w:rPr>
          <w:rFonts w:ascii="Century Schoolbook" w:hAnsi="Century Schoolbook"/>
          <w:sz w:val="27"/>
          <w:szCs w:val="27"/>
        </w:rPr>
        <w:t xml:space="preserve"> must be asserted.</w:t>
      </w:r>
      <w:r>
        <w:rPr>
          <w:rStyle w:val="FootnoteReference"/>
          <w:rFonts w:ascii="Century Schoolbook" w:hAnsi="Century Schoolbook"/>
          <w:b/>
          <w:bCs/>
          <w:position w:val="6"/>
          <w:sz w:val="20"/>
          <w:szCs w:val="20"/>
          <w:vertAlign w:val="baseline"/>
        </w:rPr>
        <w:footnoteReference w:id="7"/>
      </w:r>
      <w:r>
        <w:rPr>
          <w:rFonts w:ascii="Century Schoolbook" w:hAnsi="Century Schoolbook"/>
          <w:sz w:val="27"/>
          <w:szCs w:val="27"/>
        </w:rPr>
        <w:t xml:space="preserve">  </w:t>
      </w:r>
    </w:p>
    <w:p w:rsidR="00623997" w:rsidRPr="00FA5FF3" w:rsidP="00FA5FF3" w14:paraId="70859DA8" w14:textId="77777777">
      <w:pPr>
        <w:spacing w:after="100" w:line="400" w:lineRule="exact"/>
        <w:ind w:firstLine="720"/>
        <w:jc w:val="both"/>
        <w:rPr>
          <w:rFonts w:ascii="Century Schoolbook" w:hAnsi="Century Schoolbook"/>
          <w:sz w:val="27"/>
          <w:szCs w:val="27"/>
        </w:rPr>
      </w:pPr>
      <w:r w:rsidRPr="00FA5FF3">
        <w:rPr>
          <w:rFonts w:ascii="Century Schoolbook" w:hAnsi="Century Schoolbook"/>
          <w:sz w:val="27"/>
          <w:szCs w:val="27"/>
        </w:rPr>
        <w:t xml:space="preserve">This conclusion </w:t>
      </w:r>
      <w:r w:rsidRPr="005C4F46">
        <w:rPr>
          <w:rFonts w:ascii="Century Schoolbook" w:hAnsi="Century Schoolbook"/>
          <w:sz w:val="27"/>
          <w:szCs w:val="27"/>
        </w:rPr>
        <w:t xml:space="preserve">does not undermine the overarching lesson of </w:t>
      </w:r>
      <w:r w:rsidRPr="005C4F46">
        <w:rPr>
          <w:rFonts w:ascii="Century Schoolbook" w:hAnsi="Century Schoolbook"/>
          <w:i/>
          <w:iCs/>
          <w:sz w:val="27"/>
          <w:szCs w:val="27"/>
        </w:rPr>
        <w:t>Loving &amp; Evans</w:t>
      </w:r>
      <w:r w:rsidRPr="005C4F46">
        <w:rPr>
          <w:rFonts w:ascii="Century Schoolbook" w:hAnsi="Century Schoolbook"/>
          <w:sz w:val="27"/>
          <w:szCs w:val="27"/>
        </w:rPr>
        <w:t xml:space="preserve"> that “an unlawful transaction cannot be given legal vitality by the arbitration process</w:t>
      </w:r>
      <w:r>
        <w:rPr>
          <w:rFonts w:ascii="Century Schoolbook" w:hAnsi="Century Schoolbook"/>
          <w:sz w:val="27"/>
          <w:szCs w:val="27"/>
        </w:rPr>
        <w:t> . . . </w:t>
      </w:r>
      <w:r w:rsidRPr="005C4F46">
        <w:rPr>
          <w:rFonts w:ascii="Century Schoolbook" w:hAnsi="Century Schoolbook"/>
          <w:sz w:val="27"/>
          <w:szCs w:val="27"/>
        </w:rPr>
        <w:t>.”  (</w:t>
      </w:r>
      <w:r w:rsidRPr="005C4F46">
        <w:rPr>
          <w:rFonts w:ascii="Century Schoolbook" w:hAnsi="Century Schoolbook"/>
          <w:i/>
          <w:iCs/>
          <w:sz w:val="27"/>
          <w:szCs w:val="27"/>
        </w:rPr>
        <w:t>Loving &amp; Evans</w:t>
      </w:r>
      <w:r w:rsidRPr="005C4F46">
        <w:rPr>
          <w:rFonts w:ascii="Century Schoolbook" w:hAnsi="Century Schoolbook"/>
          <w:sz w:val="27"/>
          <w:szCs w:val="27"/>
        </w:rPr>
        <w:t>,</w:t>
      </w:r>
      <w:r w:rsidRPr="005C4F46">
        <w:rPr>
          <w:rFonts w:ascii="Century Schoolbook" w:hAnsi="Century Schoolbook"/>
          <w:i/>
          <w:iCs/>
          <w:sz w:val="27"/>
          <w:szCs w:val="27"/>
        </w:rPr>
        <w:t xml:space="preserve"> supra</w:t>
      </w:r>
      <w:r w:rsidRPr="005C4F46">
        <w:rPr>
          <w:rFonts w:ascii="Century Schoolbook" w:hAnsi="Century Schoolbook"/>
          <w:sz w:val="27"/>
          <w:szCs w:val="27"/>
        </w:rPr>
        <w:t xml:space="preserve">, 33 Cal.2d at p. 611.)  </w:t>
      </w:r>
      <w:r>
        <w:rPr>
          <w:rFonts w:ascii="Century Schoolbook" w:hAnsi="Century Schoolbook"/>
          <w:sz w:val="27"/>
          <w:szCs w:val="27"/>
        </w:rPr>
        <w:t>J</w:t>
      </w:r>
      <w:r w:rsidRPr="005C4F46">
        <w:rPr>
          <w:rFonts w:ascii="Century Schoolbook" w:hAnsi="Century Schoolbook"/>
          <w:sz w:val="27"/>
          <w:szCs w:val="27"/>
        </w:rPr>
        <w:t xml:space="preserve">ust as an appellant may forfeit the opportunity to vindicate her statutory rights by failing to preserve an issue in the trial court </w:t>
      </w:r>
      <w:r w:rsidRPr="00FA5FF3">
        <w:rPr>
          <w:rFonts w:ascii="Century Schoolbook" w:hAnsi="Century Schoolbook"/>
          <w:sz w:val="27"/>
          <w:szCs w:val="27"/>
        </w:rPr>
        <w:t>or by failing to file a timely notice of appeal, so too, in a postarbitration judicial proceeding to enforce an arbitral award, a challenger may forfeit the opportunity to raise a claim of contract illegality by failing to timely request that the arbitration award be corrected or vacated.</w:t>
      </w:r>
    </w:p>
    <w:p w:rsidR="00487110" w:rsidRPr="00FA5FF3" w:rsidP="00FA5FF3" w14:paraId="50FE31AA" w14:textId="77777777">
      <w:pPr>
        <w:spacing w:after="100" w:line="400" w:lineRule="exact"/>
        <w:jc w:val="center"/>
        <w:rPr>
          <w:rFonts w:ascii="Century Schoolbook" w:hAnsi="Century Schoolbook"/>
          <w:b/>
          <w:bCs/>
          <w:sz w:val="27"/>
          <w:szCs w:val="27"/>
        </w:rPr>
      </w:pPr>
      <w:r w:rsidRPr="00FA5FF3">
        <w:rPr>
          <w:rFonts w:ascii="Century Schoolbook" w:hAnsi="Century Schoolbook"/>
          <w:b/>
          <w:bCs/>
          <w:sz w:val="27"/>
          <w:szCs w:val="27"/>
        </w:rPr>
        <w:t>V.</w:t>
      </w:r>
    </w:p>
    <w:p w:rsidR="00AF6281" w:rsidRPr="00FA5FF3" w:rsidP="00E15E9D" w14:paraId="42C41582"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We hold that section 1288.2’s deadline for seeking vacatur of an arbitral award is a nonjurisdictional statute of limitations that is subject to equitable tolling and equitable estoppel.  The Court of Appeal must determine in the first instance whether equitable considerations should excuse Key’s failure to comply with the statutory deadline.  </w:t>
      </w:r>
      <w:r w:rsidRPr="00FA5FF3">
        <w:rPr>
          <w:rFonts w:ascii="Century Schoolbook" w:hAnsi="Century Schoolbook"/>
          <w:sz w:val="27"/>
          <w:szCs w:val="27"/>
        </w:rPr>
        <w:t>We reverse the judgment of the Court of Appeal and remand for further proceedings consistent with this opinion.</w:t>
      </w:r>
    </w:p>
    <w:p w:rsidR="00625CE2" w:rsidRPr="00FA5FF3" w:rsidP="00FA5FF3" w14:paraId="7779F264" w14:textId="77777777">
      <w:pPr>
        <w:spacing w:after="100" w:line="400" w:lineRule="exact"/>
        <w:ind w:firstLine="720"/>
        <w:jc w:val="both"/>
        <w:rPr>
          <w:rFonts w:ascii="Century Schoolbook" w:hAnsi="Century Schoolbook"/>
          <w:b/>
          <w:bCs/>
          <w:sz w:val="27"/>
          <w:szCs w:val="27"/>
          <w:u w:val="single"/>
        </w:rPr>
      </w:pPr>
    </w:p>
    <w:p w:rsidR="00625CE2" w:rsidRPr="00FA5FF3" w:rsidP="00FA5FF3" w14:paraId="1C54E230" w14:textId="77777777">
      <w:pPr>
        <w:tabs>
          <w:tab w:val="left" w:pos="1440"/>
        </w:tabs>
        <w:spacing w:after="100" w:line="400" w:lineRule="exact"/>
        <w:ind w:firstLine="720"/>
        <w:jc w:val="both"/>
        <w:rPr>
          <w:rFonts w:ascii="Century Schoolbook" w:hAnsi="Century Schoolbook"/>
          <w:b/>
          <w:bCs/>
          <w:sz w:val="27"/>
          <w:szCs w:val="27"/>
        </w:rPr>
      </w:pP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Pr>
          <w:rFonts w:ascii="Century Schoolbook" w:hAnsi="Century Schoolbook"/>
          <w:sz w:val="27"/>
          <w:szCs w:val="27"/>
        </w:rPr>
        <w:t xml:space="preserve">    </w:t>
      </w:r>
      <w:r w:rsidRPr="00FA5FF3">
        <w:rPr>
          <w:rFonts w:ascii="Century Schoolbook" w:hAnsi="Century Schoolbook"/>
          <w:b/>
          <w:bCs/>
          <w:sz w:val="27"/>
          <w:szCs w:val="27"/>
        </w:rPr>
        <w:t>KRUGER, J.</w:t>
      </w:r>
    </w:p>
    <w:p w:rsidR="002E4955" w:rsidRPr="00FA5FF3" w:rsidP="00FA5FF3" w14:paraId="7F7608A6" w14:textId="77777777">
      <w:pPr>
        <w:tabs>
          <w:tab w:val="left" w:pos="1440"/>
        </w:tabs>
        <w:spacing w:after="100" w:line="400" w:lineRule="exact"/>
        <w:jc w:val="both"/>
        <w:rPr>
          <w:rFonts w:ascii="Century Schoolbook" w:hAnsi="Century Schoolbook"/>
          <w:sz w:val="27"/>
          <w:szCs w:val="27"/>
        </w:rPr>
      </w:pPr>
    </w:p>
    <w:p w:rsidR="00625CE2" w:rsidP="00FA5FF3" w14:paraId="6E36D7DD" w14:textId="77777777">
      <w:pPr>
        <w:tabs>
          <w:tab w:val="left" w:pos="1440"/>
        </w:tabs>
        <w:spacing w:after="100" w:line="400" w:lineRule="exact"/>
        <w:jc w:val="both"/>
        <w:rPr>
          <w:rFonts w:ascii="Century Schoolbook" w:hAnsi="Century Schoolbook"/>
          <w:b/>
          <w:bCs/>
          <w:sz w:val="27"/>
          <w:szCs w:val="27"/>
        </w:rPr>
      </w:pPr>
      <w:r w:rsidRPr="00FA5FF3">
        <w:rPr>
          <w:rFonts w:ascii="Century Schoolbook" w:hAnsi="Century Schoolbook"/>
          <w:b/>
          <w:bCs/>
          <w:sz w:val="27"/>
          <w:szCs w:val="27"/>
        </w:rPr>
        <w:t xml:space="preserve">We </w:t>
      </w:r>
      <w:r>
        <w:rPr>
          <w:rFonts w:ascii="Century Schoolbook" w:hAnsi="Century Schoolbook"/>
          <w:b/>
          <w:bCs/>
          <w:sz w:val="27"/>
          <w:szCs w:val="27"/>
        </w:rPr>
        <w:t>C</w:t>
      </w:r>
      <w:r w:rsidRPr="00FA5FF3">
        <w:rPr>
          <w:rFonts w:ascii="Century Schoolbook" w:hAnsi="Century Schoolbook"/>
          <w:b/>
          <w:bCs/>
          <w:sz w:val="27"/>
          <w:szCs w:val="27"/>
        </w:rPr>
        <w:t>oncur:</w:t>
      </w:r>
      <w:bookmarkEnd w:id="1"/>
    </w:p>
    <w:p w:rsidR="00F61D6B" w:rsidP="00F61D6B" w14:paraId="49043A63" w14:textId="77777777">
      <w:pPr>
        <w:tabs>
          <w:tab w:val="left" w:pos="1440"/>
        </w:tabs>
        <w:jc w:val="both"/>
        <w:rPr>
          <w:rFonts w:ascii="Century Schoolbook" w:hAnsi="Century Schoolbook"/>
          <w:b/>
          <w:bCs/>
          <w:sz w:val="27"/>
          <w:szCs w:val="27"/>
        </w:rPr>
      </w:pPr>
      <w:r>
        <w:rPr>
          <w:rFonts w:ascii="Century Schoolbook" w:hAnsi="Century Schoolbook"/>
          <w:b/>
          <w:bCs/>
          <w:sz w:val="27"/>
          <w:szCs w:val="27"/>
        </w:rPr>
        <w:t>GUERRERO, C. J.</w:t>
      </w:r>
    </w:p>
    <w:p w:rsidR="00F61D6B" w:rsidP="00F61D6B" w14:paraId="4240C09B" w14:textId="77777777">
      <w:pPr>
        <w:tabs>
          <w:tab w:val="left" w:pos="1440"/>
        </w:tabs>
        <w:jc w:val="both"/>
        <w:rPr>
          <w:rFonts w:ascii="Century Schoolbook" w:hAnsi="Century Schoolbook"/>
          <w:b/>
          <w:bCs/>
          <w:sz w:val="27"/>
          <w:szCs w:val="27"/>
        </w:rPr>
      </w:pPr>
      <w:r>
        <w:rPr>
          <w:rFonts w:ascii="Century Schoolbook" w:hAnsi="Century Schoolbook"/>
          <w:b/>
          <w:bCs/>
          <w:sz w:val="27"/>
          <w:szCs w:val="27"/>
        </w:rPr>
        <w:t>CORRIGAN, J.</w:t>
      </w:r>
    </w:p>
    <w:p w:rsidR="00F61D6B" w:rsidP="00F61D6B" w14:paraId="4929CF94" w14:textId="77777777">
      <w:pPr>
        <w:tabs>
          <w:tab w:val="left" w:pos="1440"/>
        </w:tabs>
        <w:jc w:val="both"/>
        <w:rPr>
          <w:rFonts w:ascii="Century Schoolbook" w:hAnsi="Century Schoolbook"/>
          <w:b/>
          <w:bCs/>
          <w:sz w:val="27"/>
          <w:szCs w:val="27"/>
        </w:rPr>
      </w:pPr>
      <w:r>
        <w:rPr>
          <w:rFonts w:ascii="Century Schoolbook" w:hAnsi="Century Schoolbook"/>
          <w:b/>
          <w:bCs/>
          <w:sz w:val="27"/>
          <w:szCs w:val="27"/>
        </w:rPr>
        <w:t>LIU, J.</w:t>
      </w:r>
    </w:p>
    <w:p w:rsidR="00F61D6B" w:rsidP="00F61D6B" w14:paraId="640D2F5D" w14:textId="77777777">
      <w:pPr>
        <w:tabs>
          <w:tab w:val="left" w:pos="1440"/>
        </w:tabs>
        <w:jc w:val="both"/>
        <w:rPr>
          <w:rFonts w:ascii="Century Schoolbook" w:hAnsi="Century Schoolbook"/>
          <w:b/>
          <w:bCs/>
          <w:sz w:val="27"/>
          <w:szCs w:val="27"/>
        </w:rPr>
      </w:pPr>
      <w:r>
        <w:rPr>
          <w:rFonts w:ascii="Century Schoolbook" w:hAnsi="Century Schoolbook"/>
          <w:b/>
          <w:bCs/>
          <w:sz w:val="27"/>
          <w:szCs w:val="27"/>
        </w:rPr>
        <w:t>GROBAN, J.</w:t>
      </w:r>
    </w:p>
    <w:p w:rsidR="00F61D6B" w:rsidP="00F61D6B" w14:paraId="68DEF161" w14:textId="77777777">
      <w:pPr>
        <w:tabs>
          <w:tab w:val="left" w:pos="1440"/>
        </w:tabs>
        <w:jc w:val="both"/>
        <w:rPr>
          <w:rFonts w:ascii="Century Schoolbook" w:hAnsi="Century Schoolbook"/>
          <w:b/>
          <w:bCs/>
          <w:sz w:val="27"/>
          <w:szCs w:val="27"/>
        </w:rPr>
      </w:pPr>
      <w:r>
        <w:rPr>
          <w:rFonts w:ascii="Century Schoolbook" w:hAnsi="Century Schoolbook"/>
          <w:b/>
          <w:bCs/>
          <w:sz w:val="27"/>
          <w:szCs w:val="27"/>
        </w:rPr>
        <w:t>JENKINS, J.</w:t>
      </w:r>
    </w:p>
    <w:p w:rsidR="00A75ACE" w:rsidP="00F61D6B" w14:paraId="4BDEF3F9" w14:textId="77777777">
      <w:pPr>
        <w:tabs>
          <w:tab w:val="left" w:pos="1440"/>
        </w:tabs>
        <w:jc w:val="both"/>
        <w:rPr>
          <w:rFonts w:ascii="Century Schoolbook" w:hAnsi="Century Schoolbook"/>
          <w:b/>
          <w:bCs/>
          <w:sz w:val="27"/>
          <w:szCs w:val="27"/>
        </w:rPr>
        <w:sectPr w:rsidSect="00C52FE4">
          <w:footerReference w:type="default" r:id="rId8"/>
          <w:footerReference w:type="first" r:id="rId9"/>
          <w:pgSz w:w="12240" w:h="15840"/>
          <w:pgMar w:top="1800" w:right="2160" w:bottom="1440" w:left="2160" w:header="720" w:footer="720" w:gutter="0"/>
          <w:pgNumType w:start="1"/>
          <w:cols w:space="720"/>
          <w:titlePg/>
          <w:docGrid w:linePitch="360"/>
        </w:sectPr>
      </w:pPr>
      <w:r>
        <w:rPr>
          <w:rFonts w:ascii="Century Schoolbook" w:hAnsi="Century Schoolbook"/>
          <w:b/>
          <w:bCs/>
          <w:sz w:val="27"/>
          <w:szCs w:val="27"/>
        </w:rPr>
        <w:t>EVANS, J.</w:t>
      </w:r>
    </w:p>
    <w:p w:rsidR="00A75ACE" w:rsidRPr="00A75ACE" w:rsidP="00A75ACE" w14:paraId="43427A36" w14:textId="77777777">
      <w:pPr>
        <w:rPr>
          <w:rFonts w:ascii="Century Schoolbook" w:eastAsia="Times New Roman" w:hAnsi="Century Schoolbook"/>
          <w:i/>
          <w:sz w:val="24"/>
        </w:rPr>
      </w:pPr>
      <w:r w:rsidRPr="00A75ACE">
        <w:rPr>
          <w:rFonts w:ascii="Century Schoolbook" w:eastAsia="Times New Roman" w:hAnsi="Century Schoolbook"/>
          <w:i/>
          <w:sz w:val="24"/>
        </w:rPr>
        <w:t>See next page for addresses and telephone numbers for counsel who argued in Supreme Court.</w:t>
      </w:r>
    </w:p>
    <w:p w:rsidR="00A75ACE" w:rsidRPr="00A75ACE" w:rsidP="00A75ACE" w14:paraId="685752E4" w14:textId="77777777">
      <w:pPr>
        <w:rPr>
          <w:rFonts w:ascii="Century Schoolbook" w:eastAsia="Times New Roman" w:hAnsi="Century Schoolbook"/>
          <w:i/>
          <w:sz w:val="24"/>
        </w:rPr>
      </w:pPr>
    </w:p>
    <w:p w:rsidR="00A75ACE" w:rsidRPr="00A75ACE" w:rsidP="00A75ACE" w14:paraId="7913D688" w14:textId="77777777">
      <w:pPr>
        <w:rPr>
          <w:rFonts w:ascii="Century Schoolbook" w:eastAsia="Times New Roman" w:hAnsi="Century Schoolbook"/>
          <w:bCs/>
          <w:sz w:val="24"/>
        </w:rPr>
      </w:pPr>
      <w:r w:rsidRPr="00A75ACE">
        <w:rPr>
          <w:rFonts w:ascii="Century Schoolbook" w:eastAsia="Times New Roman" w:hAnsi="Century Schoolbook"/>
          <w:b/>
          <w:sz w:val="24"/>
        </w:rPr>
        <w:t xml:space="preserve">Name of Opinion  </w:t>
      </w:r>
      <w:r w:rsidRPr="00A75ACE">
        <w:rPr>
          <w:rFonts w:ascii="Century Schoolbook" w:eastAsia="Times New Roman" w:hAnsi="Century Schoolbook"/>
          <w:bCs/>
          <w:sz w:val="24"/>
        </w:rPr>
        <w:t>Law Finance Group, LLC v. Key</w:t>
      </w:r>
    </w:p>
    <w:p w:rsidR="00A75ACE" w:rsidRPr="00A75ACE" w:rsidP="00A75ACE" w14:paraId="091A1A38" w14:textId="77777777">
      <w:pPr>
        <w:rPr>
          <w:rFonts w:ascii="Century Schoolbook" w:eastAsia="Times New Roman" w:hAnsi="Century Schoolbook"/>
          <w:b/>
          <w:sz w:val="24"/>
        </w:rPr>
      </w:pPr>
      <w:r w:rsidRPr="00A75ACE">
        <w:rPr>
          <w:rFonts w:ascii="Century Schoolbook" w:eastAsia="Times New Roman" w:hAnsi="Century Schoolbook"/>
          <w:b/>
          <w:sz w:val="24"/>
        </w:rPr>
        <w:t xml:space="preserve">__________________________________________________________ </w:t>
      </w:r>
    </w:p>
    <w:p w:rsidR="00A75ACE" w:rsidRPr="00A75ACE" w:rsidP="00A75ACE" w14:paraId="496C7EBB" w14:textId="77777777">
      <w:pPr>
        <w:rPr>
          <w:rFonts w:ascii="Century Schoolbook" w:eastAsia="Times New Roman" w:hAnsi="Century Schoolbook"/>
          <w:b/>
          <w:sz w:val="24"/>
        </w:rPr>
      </w:pPr>
    </w:p>
    <w:p w:rsidR="00A75ACE" w:rsidRPr="00A75ACE" w:rsidP="00A75ACE" w14:paraId="6246A219" w14:textId="77777777">
      <w:pPr>
        <w:rPr>
          <w:rFonts w:ascii="Century Schoolbook" w:eastAsia="Times New Roman" w:hAnsi="Century Schoolbook"/>
          <w:sz w:val="24"/>
        </w:rPr>
      </w:pPr>
      <w:r w:rsidRPr="00A75ACE">
        <w:rPr>
          <w:rFonts w:ascii="Century Schoolbook" w:eastAsia="Times New Roman" w:hAnsi="Century Schoolbook"/>
          <w:b/>
          <w:bCs/>
          <w:sz w:val="24"/>
          <w:u w:val="single"/>
        </w:rPr>
        <w:t>Procedural Posture</w:t>
      </w:r>
      <w:r w:rsidRPr="00A75ACE">
        <w:rPr>
          <w:rFonts w:ascii="Century Schoolbook" w:eastAsia="Times New Roman" w:hAnsi="Century Schoolbook"/>
          <w:b/>
          <w:bCs/>
          <w:sz w:val="24"/>
        </w:rPr>
        <w:t xml:space="preserve"> </w:t>
      </w:r>
      <w:r w:rsidRPr="00A75ACE">
        <w:rPr>
          <w:rFonts w:ascii="Century Schoolbook" w:eastAsia="Times New Roman" w:hAnsi="Century Schoolbook"/>
          <w:sz w:val="24"/>
        </w:rPr>
        <w:t>(see XX below)</w:t>
      </w:r>
    </w:p>
    <w:p w:rsidR="00A75ACE" w:rsidRPr="00A75ACE" w:rsidP="00A75ACE" w14:paraId="4AC594F0" w14:textId="77777777">
      <w:pPr>
        <w:rPr>
          <w:rFonts w:ascii="Century Schoolbook" w:eastAsia="Times New Roman" w:hAnsi="Century Schoolbook"/>
          <w:sz w:val="24"/>
        </w:rPr>
      </w:pPr>
      <w:r w:rsidRPr="00A75ACE">
        <w:rPr>
          <w:rFonts w:ascii="Century Schoolbook" w:eastAsia="Times New Roman" w:hAnsi="Century Schoolbook"/>
          <w:b/>
          <w:bCs/>
          <w:sz w:val="24"/>
        </w:rPr>
        <w:t>Original Appeal</w:t>
      </w:r>
      <w:r w:rsidRPr="00A75ACE">
        <w:rPr>
          <w:rFonts w:ascii="Century Schoolbook" w:eastAsia="Times New Roman" w:hAnsi="Century Schoolbook"/>
          <w:sz w:val="24"/>
        </w:rPr>
        <w:t xml:space="preserve"> </w:t>
      </w:r>
    </w:p>
    <w:p w:rsidR="00A75ACE" w:rsidRPr="00A75ACE" w:rsidP="00A75ACE" w14:paraId="18EF9EB2" w14:textId="77777777">
      <w:pPr>
        <w:rPr>
          <w:rFonts w:ascii="Century Schoolbook" w:eastAsia="Times New Roman" w:hAnsi="Century Schoolbook"/>
          <w:b/>
          <w:bCs/>
          <w:sz w:val="24"/>
        </w:rPr>
      </w:pPr>
      <w:r w:rsidRPr="00A75ACE">
        <w:rPr>
          <w:rFonts w:ascii="Century Schoolbook" w:eastAsia="Times New Roman" w:hAnsi="Century Schoolbook"/>
          <w:b/>
          <w:bCs/>
          <w:sz w:val="24"/>
        </w:rPr>
        <w:t>Original Proceeding</w:t>
      </w:r>
    </w:p>
    <w:p w:rsidR="00A75ACE" w:rsidRPr="00A75ACE" w:rsidP="00A75ACE" w14:paraId="3BA7CE88" w14:textId="77777777">
      <w:pPr>
        <w:rPr>
          <w:rFonts w:ascii="Century Schoolbook" w:eastAsia="Times New Roman" w:hAnsi="Century Schoolbook"/>
          <w:sz w:val="24"/>
        </w:rPr>
      </w:pPr>
      <w:r w:rsidRPr="00A75ACE">
        <w:rPr>
          <w:rFonts w:ascii="Century Schoolbook" w:eastAsia="Times New Roman" w:hAnsi="Century Schoolbook"/>
          <w:b/>
          <w:bCs/>
          <w:sz w:val="24"/>
        </w:rPr>
        <w:t>Review Granted</w:t>
      </w:r>
      <w:r w:rsidRPr="00A75ACE">
        <w:rPr>
          <w:rFonts w:ascii="Century Schoolbook" w:eastAsia="Times New Roman" w:hAnsi="Century Schoolbook"/>
          <w:sz w:val="24"/>
        </w:rPr>
        <w:t xml:space="preserve"> </w:t>
      </w:r>
      <w:r w:rsidRPr="00A75ACE">
        <w:rPr>
          <w:rFonts w:ascii="Century Schoolbook" w:eastAsia="Times New Roman" w:hAnsi="Century Schoolbook"/>
          <w:b/>
          <w:bCs/>
          <w:sz w:val="24"/>
        </w:rPr>
        <w:t xml:space="preserve">(published) </w:t>
      </w:r>
      <w:r w:rsidRPr="00A75ACE">
        <w:rPr>
          <w:rFonts w:ascii="Century Schoolbook" w:eastAsia="Times New Roman" w:hAnsi="Century Schoolbook"/>
          <w:sz w:val="24"/>
        </w:rPr>
        <w:t>XX 67 Cal.App.5th 307</w:t>
      </w:r>
    </w:p>
    <w:p w:rsidR="00A75ACE" w:rsidRPr="00A75ACE" w:rsidP="00A75ACE" w14:paraId="2FAB1644" w14:textId="77777777">
      <w:pPr>
        <w:rPr>
          <w:rFonts w:ascii="Century Schoolbook" w:eastAsia="Times New Roman" w:hAnsi="Century Schoolbook"/>
          <w:sz w:val="24"/>
        </w:rPr>
      </w:pPr>
      <w:r w:rsidRPr="00A75ACE">
        <w:rPr>
          <w:rFonts w:ascii="Century Schoolbook" w:eastAsia="Times New Roman" w:hAnsi="Century Schoolbook"/>
          <w:b/>
          <w:bCs/>
          <w:sz w:val="24"/>
        </w:rPr>
        <w:t xml:space="preserve">Review Granted (unpublished) </w:t>
      </w:r>
    </w:p>
    <w:p w:rsidR="00A75ACE" w:rsidRPr="00A75ACE" w:rsidP="00A75ACE" w14:paraId="518206E5" w14:textId="77777777">
      <w:pPr>
        <w:rPr>
          <w:rFonts w:ascii="Century Schoolbook" w:eastAsia="Times New Roman" w:hAnsi="Century Schoolbook"/>
          <w:b/>
          <w:bCs/>
          <w:sz w:val="24"/>
        </w:rPr>
      </w:pPr>
      <w:r w:rsidRPr="00A75ACE">
        <w:rPr>
          <w:rFonts w:ascii="Century Schoolbook" w:eastAsia="Times New Roman" w:hAnsi="Century Schoolbook"/>
          <w:b/>
          <w:bCs/>
          <w:sz w:val="24"/>
        </w:rPr>
        <w:t>Rehearing Granted</w:t>
      </w:r>
    </w:p>
    <w:p w:rsidR="00A75ACE" w:rsidRPr="00A75ACE" w:rsidP="00A75ACE" w14:paraId="044F5104" w14:textId="77777777">
      <w:pPr>
        <w:rPr>
          <w:rFonts w:ascii="Century Schoolbook" w:eastAsia="Times New Roman" w:hAnsi="Century Schoolbook"/>
          <w:b/>
          <w:sz w:val="24"/>
        </w:rPr>
      </w:pPr>
      <w:r w:rsidRPr="00A75ACE">
        <w:rPr>
          <w:rFonts w:ascii="Century Schoolbook" w:eastAsia="Times New Roman" w:hAnsi="Century Schoolbook"/>
          <w:b/>
          <w:sz w:val="24"/>
        </w:rPr>
        <w:t xml:space="preserve">__________________________________________________________ </w:t>
      </w:r>
    </w:p>
    <w:p w:rsidR="00A75ACE" w:rsidRPr="00A75ACE" w:rsidP="00A75ACE" w14:paraId="71E3C76A" w14:textId="77777777">
      <w:pPr>
        <w:rPr>
          <w:rFonts w:ascii="Century Schoolbook" w:eastAsia="Times New Roman" w:hAnsi="Century Schoolbook"/>
          <w:b/>
          <w:sz w:val="24"/>
        </w:rPr>
      </w:pPr>
    </w:p>
    <w:p w:rsidR="00A75ACE" w:rsidRPr="00A75ACE" w:rsidP="00A75ACE" w14:paraId="4A6619DB" w14:textId="77777777">
      <w:pPr>
        <w:rPr>
          <w:rFonts w:ascii="Century Schoolbook" w:eastAsia="Times New Roman" w:hAnsi="Century Schoolbook"/>
          <w:bCs/>
          <w:sz w:val="24"/>
        </w:rPr>
      </w:pPr>
      <w:r w:rsidRPr="00A75ACE">
        <w:rPr>
          <w:rFonts w:ascii="Century Schoolbook" w:eastAsia="Times New Roman" w:hAnsi="Century Schoolbook"/>
          <w:b/>
          <w:sz w:val="24"/>
        </w:rPr>
        <w:t>Opinion No.</w:t>
      </w:r>
      <w:r w:rsidRPr="00A75ACE">
        <w:rPr>
          <w:rFonts w:ascii="Century Schoolbook" w:eastAsia="Times New Roman" w:hAnsi="Century Schoolbook"/>
          <w:sz w:val="24"/>
        </w:rPr>
        <w:t xml:space="preserve"> S270798</w:t>
      </w:r>
    </w:p>
    <w:p w:rsidR="00A75ACE" w:rsidRPr="00A75ACE" w:rsidP="00A75ACE" w14:paraId="49FAB336" w14:textId="77777777">
      <w:pPr>
        <w:rPr>
          <w:rFonts w:ascii="Century Schoolbook" w:eastAsia="Times New Roman" w:hAnsi="Century Schoolbook"/>
          <w:bCs/>
          <w:sz w:val="24"/>
        </w:rPr>
      </w:pPr>
      <w:r w:rsidRPr="00A75ACE">
        <w:rPr>
          <w:rFonts w:ascii="Century Schoolbook" w:eastAsia="Times New Roman" w:hAnsi="Century Schoolbook"/>
          <w:b/>
          <w:sz w:val="24"/>
        </w:rPr>
        <w:t>Date Filed:</w:t>
      </w:r>
      <w:r w:rsidRPr="00A75ACE">
        <w:rPr>
          <w:rFonts w:ascii="Century Schoolbook" w:eastAsia="Times New Roman" w:hAnsi="Century Schoolbook"/>
          <w:sz w:val="24"/>
        </w:rPr>
        <w:t xml:space="preserve">  June 26, 2023</w:t>
      </w:r>
    </w:p>
    <w:p w:rsidR="00A75ACE" w:rsidRPr="00A75ACE" w:rsidP="00A75ACE" w14:paraId="31B9F17D" w14:textId="77777777">
      <w:pPr>
        <w:rPr>
          <w:rFonts w:ascii="Century Schoolbook" w:eastAsia="Times New Roman" w:hAnsi="Century Schoolbook"/>
          <w:b/>
          <w:sz w:val="24"/>
        </w:rPr>
      </w:pPr>
      <w:r w:rsidRPr="00A75ACE">
        <w:rPr>
          <w:rFonts w:ascii="Century Schoolbook" w:eastAsia="Times New Roman" w:hAnsi="Century Schoolbook"/>
          <w:b/>
          <w:sz w:val="24"/>
        </w:rPr>
        <w:t xml:space="preserve">__________________________________________________________ </w:t>
      </w:r>
    </w:p>
    <w:p w:rsidR="00A75ACE" w:rsidRPr="00A75ACE" w:rsidP="00A75ACE" w14:paraId="45721E34" w14:textId="77777777">
      <w:pPr>
        <w:rPr>
          <w:rFonts w:ascii="Century Schoolbook" w:eastAsia="Times New Roman" w:hAnsi="Century Schoolbook"/>
          <w:b/>
          <w:sz w:val="24"/>
        </w:rPr>
      </w:pPr>
    </w:p>
    <w:p w:rsidR="00A75ACE" w:rsidRPr="00A75ACE" w:rsidP="00A75ACE" w14:paraId="45FD89E8" w14:textId="77777777">
      <w:pPr>
        <w:rPr>
          <w:rFonts w:ascii="Century Schoolbook" w:eastAsia="Times New Roman" w:hAnsi="Century Schoolbook"/>
          <w:bCs/>
          <w:sz w:val="24"/>
        </w:rPr>
      </w:pPr>
      <w:r w:rsidRPr="00A75ACE">
        <w:rPr>
          <w:rFonts w:ascii="Century Schoolbook" w:eastAsia="Times New Roman" w:hAnsi="Century Schoolbook"/>
          <w:b/>
          <w:sz w:val="24"/>
        </w:rPr>
        <w:t xml:space="preserve">Court:  </w:t>
      </w:r>
      <w:r w:rsidRPr="00A75ACE">
        <w:rPr>
          <w:rFonts w:ascii="Century Schoolbook" w:eastAsia="Times New Roman" w:hAnsi="Century Schoolbook"/>
          <w:bCs/>
          <w:sz w:val="24"/>
        </w:rPr>
        <w:t>Superior</w:t>
      </w:r>
      <w:r w:rsidRPr="00A75ACE">
        <w:rPr>
          <w:rFonts w:ascii="Century Schoolbook" w:eastAsia="Times New Roman" w:hAnsi="Century Schoolbook"/>
          <w:b/>
          <w:sz w:val="24"/>
        </w:rPr>
        <w:t xml:space="preserve"> </w:t>
      </w:r>
    </w:p>
    <w:p w:rsidR="00A75ACE" w:rsidRPr="00A75ACE" w:rsidP="00A75ACE" w14:paraId="2AA05B08" w14:textId="77777777">
      <w:pPr>
        <w:rPr>
          <w:rFonts w:ascii="Century Schoolbook" w:eastAsia="Times New Roman" w:hAnsi="Century Schoolbook"/>
          <w:bCs/>
          <w:sz w:val="24"/>
        </w:rPr>
      </w:pPr>
      <w:r w:rsidRPr="00A75ACE">
        <w:rPr>
          <w:rFonts w:ascii="Century Schoolbook" w:eastAsia="Times New Roman" w:hAnsi="Century Schoolbook"/>
          <w:b/>
          <w:sz w:val="24"/>
        </w:rPr>
        <w:t xml:space="preserve">County:  </w:t>
      </w:r>
      <w:r w:rsidRPr="00A75ACE">
        <w:rPr>
          <w:rFonts w:ascii="Century Schoolbook" w:eastAsia="Times New Roman" w:hAnsi="Century Schoolbook"/>
          <w:bCs/>
          <w:sz w:val="24"/>
        </w:rPr>
        <w:t>Los Angeles</w:t>
      </w:r>
    </w:p>
    <w:p w:rsidR="00A75ACE" w:rsidRPr="00A75ACE" w:rsidP="00A75ACE" w14:paraId="64D0FBE6" w14:textId="77777777">
      <w:pPr>
        <w:ind w:left="720" w:hanging="720"/>
        <w:rPr>
          <w:rFonts w:ascii="Century Schoolbook" w:eastAsia="Times New Roman" w:hAnsi="Century Schoolbook"/>
          <w:bCs/>
          <w:sz w:val="24"/>
        </w:rPr>
      </w:pPr>
      <w:r w:rsidRPr="00A75ACE">
        <w:rPr>
          <w:rFonts w:ascii="Century Schoolbook" w:eastAsia="Times New Roman" w:hAnsi="Century Schoolbook"/>
          <w:b/>
          <w:sz w:val="24"/>
        </w:rPr>
        <w:t xml:space="preserve">Judge: </w:t>
      </w:r>
      <w:r w:rsidRPr="00A75ACE">
        <w:rPr>
          <w:rFonts w:ascii="Century Schoolbook" w:eastAsia="Times New Roman" w:hAnsi="Century Schoolbook"/>
          <w:bCs/>
          <w:sz w:val="24"/>
        </w:rPr>
        <w:t xml:space="preserve"> Rafael A. Ongkeko</w:t>
      </w:r>
    </w:p>
    <w:p w:rsidR="00A75ACE" w:rsidRPr="00A75ACE" w:rsidP="00A75ACE" w14:paraId="405C9706" w14:textId="77777777">
      <w:pPr>
        <w:rPr>
          <w:rFonts w:ascii="Century Schoolbook" w:eastAsia="Times New Roman" w:hAnsi="Century Schoolbook"/>
          <w:b/>
          <w:sz w:val="24"/>
        </w:rPr>
      </w:pPr>
      <w:r w:rsidRPr="00A75ACE">
        <w:rPr>
          <w:rFonts w:ascii="Century Schoolbook" w:eastAsia="Times New Roman" w:hAnsi="Century Schoolbook"/>
          <w:b/>
          <w:sz w:val="24"/>
        </w:rPr>
        <w:t xml:space="preserve">__________________________________________________________  </w:t>
      </w:r>
    </w:p>
    <w:p w:rsidR="00A75ACE" w:rsidRPr="00A75ACE" w:rsidP="00A75ACE" w14:paraId="3B1A8D4F" w14:textId="77777777">
      <w:pPr>
        <w:rPr>
          <w:rFonts w:ascii="Century Schoolbook" w:eastAsia="Times New Roman" w:hAnsi="Century Schoolbook"/>
          <w:b/>
          <w:sz w:val="24"/>
        </w:rPr>
      </w:pPr>
    </w:p>
    <w:p w:rsidR="00A75ACE" w:rsidRPr="00A75ACE" w:rsidP="00A75ACE" w14:paraId="04ABD829" w14:textId="77777777">
      <w:pPr>
        <w:rPr>
          <w:rFonts w:ascii="Century Schoolbook" w:eastAsia="Times New Roman" w:hAnsi="Century Schoolbook"/>
          <w:b/>
          <w:sz w:val="24"/>
        </w:rPr>
      </w:pPr>
      <w:r w:rsidRPr="00A75ACE">
        <w:rPr>
          <w:rFonts w:ascii="Century Schoolbook" w:eastAsia="Times New Roman" w:hAnsi="Century Schoolbook"/>
          <w:b/>
          <w:sz w:val="24"/>
        </w:rPr>
        <w:t>Counsel:</w:t>
      </w:r>
    </w:p>
    <w:p w:rsidR="00A75ACE" w:rsidRPr="00A75ACE" w:rsidP="00A75ACE" w14:paraId="4F9042CF" w14:textId="77777777">
      <w:pPr>
        <w:rPr>
          <w:rFonts w:ascii="Century Schoolbook" w:eastAsia="Times New Roman" w:hAnsi="Century Schoolbook"/>
          <w:b/>
          <w:sz w:val="24"/>
        </w:rPr>
      </w:pPr>
    </w:p>
    <w:p w:rsidR="00A75ACE" w:rsidRPr="00A75ACE" w:rsidP="00A75ACE" w14:paraId="6C5FD597"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Eisner, Weinberg Gonser Frost, Christopher L. Frost, Taylor S. Simeone; Greines, Martin, Stein &amp; Richland, Cynthia E. Tobisman, Alana H. Rotter and Jeffrey E. Raskin for Plaintiff and Appellant.</w:t>
      </w:r>
    </w:p>
    <w:p w:rsidR="00A75ACE" w:rsidRPr="00A75ACE" w:rsidP="00A75ACE" w14:paraId="3391EC41" w14:textId="77777777">
      <w:pPr>
        <w:rPr>
          <w:rFonts w:ascii="Century Schoolbook" w:eastAsia="Times New Roman" w:hAnsi="Century Schoolbook"/>
          <w:color w:val="212121"/>
          <w:sz w:val="24"/>
          <w:shd w:val="clear" w:color="auto" w:fill="FFFFFF"/>
        </w:rPr>
      </w:pPr>
    </w:p>
    <w:p w:rsidR="00A75ACE" w:rsidRPr="00A75ACE" w:rsidP="00A75ACE" w14:paraId="002150C2"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Grignon Law Firm, Margaret M. Grignon and Anne M. Grignon for Defendant and Respondent.</w:t>
      </w:r>
    </w:p>
    <w:p w:rsidR="00A75ACE" w:rsidRPr="00A75ACE" w:rsidP="00A75ACE" w14:paraId="1923DF79" w14:textId="77777777">
      <w:pPr>
        <w:rPr>
          <w:rFonts w:ascii="Century Schoolbook" w:eastAsia="Times New Roman" w:hAnsi="Century Schoolbook"/>
          <w:color w:val="212121"/>
          <w:sz w:val="24"/>
          <w:shd w:val="clear" w:color="auto" w:fill="FFFFFF"/>
        </w:rPr>
      </w:pPr>
    </w:p>
    <w:p w:rsidR="00A75ACE" w:rsidRPr="00A75ACE" w:rsidP="00A75ACE" w14:paraId="1040D2E5"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Zareh A. Jaltorossian; Mathew H. Fisher; R. Rex Parris; Michael J. Jaurigue, Barbara DuVan-Clarke; Joseph A. Kaufman; and Kevin Chiang for KP Law, Da Vega Fisher Mechtenberg, LLP, Parris Law Firm, JLG Lawyers, Joseph A. Kaufman &amp; Associates, Inc., and Equity</w:t>
      </w:r>
    </w:p>
    <w:p w:rsidR="00A75ACE" w:rsidRPr="00A75ACE" w:rsidP="00A75ACE" w14:paraId="21E743F0"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Legal Group as Amici Curiae on behalf of Defendant and Respondent.</w:t>
      </w:r>
    </w:p>
    <w:p w:rsidR="00A75ACE" w:rsidRPr="00A75ACE" w:rsidP="00A75ACE" w14:paraId="40260252" w14:textId="77777777">
      <w:pPr>
        <w:rPr>
          <w:rFonts w:ascii="Century Schoolbook" w:eastAsia="Times New Roman" w:hAnsi="Century Schoolbook"/>
          <w:color w:val="212121"/>
          <w:sz w:val="24"/>
          <w:shd w:val="clear" w:color="auto" w:fill="FFFFFF"/>
        </w:rPr>
      </w:pPr>
    </w:p>
    <w:p w:rsidR="00A75ACE" w:rsidRPr="00A75ACE" w:rsidP="00A75ACE" w14:paraId="0D33CF52"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The Office of Michael Tenenbaum and Michael Tenenbaum for Michael Tenenbaum and Micha Star Liberty as Amici Curiae.</w:t>
      </w:r>
      <w:r w:rsidRPr="00A75ACE">
        <w:rPr>
          <w:rFonts w:ascii="Century Schoolbook" w:eastAsia="Times New Roman" w:hAnsi="Century Schoolbook"/>
          <w:color w:val="212121"/>
          <w:sz w:val="24"/>
          <w:shd w:val="clear" w:color="auto" w:fill="FFFFFF"/>
        </w:rPr>
        <w:br w:type="page"/>
      </w:r>
      <w:r w:rsidRPr="00A75ACE">
        <w:rPr>
          <w:rFonts w:ascii="Century Schoolbook" w:eastAsia="Times New Roman" w:hAnsi="Century Schoolbook"/>
          <w:b/>
          <w:sz w:val="24"/>
        </w:rPr>
        <w:t>Counsel who argued in Supreme Court (not intended for publication with opinion):</w:t>
      </w:r>
    </w:p>
    <w:p w:rsidR="00A75ACE" w:rsidRPr="00A75ACE" w:rsidP="00A75ACE" w14:paraId="17A533DD" w14:textId="77777777">
      <w:pPr>
        <w:rPr>
          <w:rFonts w:ascii="Century Schoolbook" w:eastAsia="Times New Roman" w:hAnsi="Century Schoolbook"/>
          <w:sz w:val="24"/>
        </w:rPr>
      </w:pPr>
    </w:p>
    <w:p w:rsidR="00A75ACE" w:rsidRPr="00A75ACE" w:rsidP="00A75ACE" w14:paraId="37C36C2B"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Alana H. Rotter</w:t>
      </w:r>
    </w:p>
    <w:p w:rsidR="00A75ACE" w:rsidRPr="00A75ACE" w:rsidP="00A75ACE" w14:paraId="5F198104"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Greines, Martin, Stein &amp; Richland LLP</w:t>
      </w:r>
    </w:p>
    <w:p w:rsidR="00A75ACE" w:rsidRPr="00A75ACE" w:rsidP="00A75ACE" w14:paraId="707756A9" w14:textId="77777777">
      <w:pPr>
        <w:rPr>
          <w:rFonts w:ascii="Century Schoolbook" w:eastAsia="Times New Roman" w:hAnsi="Century Schoolbook"/>
          <w:sz w:val="24"/>
        </w:rPr>
      </w:pPr>
      <w:r w:rsidRPr="00A75ACE">
        <w:rPr>
          <w:rFonts w:ascii="Century Schoolbook" w:eastAsia="Times New Roman" w:hAnsi="Century Schoolbook"/>
          <w:sz w:val="24"/>
        </w:rPr>
        <w:t>6420 Wilshire Boulevard, 11th Floor</w:t>
      </w:r>
    </w:p>
    <w:p w:rsidR="00A75ACE" w:rsidRPr="00A75ACE" w:rsidP="00A75ACE" w14:paraId="2D4473ED" w14:textId="77777777">
      <w:pPr>
        <w:rPr>
          <w:rFonts w:ascii="Century Schoolbook" w:eastAsia="Times New Roman" w:hAnsi="Century Schoolbook"/>
          <w:sz w:val="24"/>
        </w:rPr>
      </w:pPr>
      <w:r w:rsidRPr="00A75ACE">
        <w:rPr>
          <w:rFonts w:ascii="Century Schoolbook" w:eastAsia="Times New Roman" w:hAnsi="Century Schoolbook"/>
          <w:sz w:val="24"/>
        </w:rPr>
        <w:t>Los Angeles, CA 90048</w:t>
      </w:r>
    </w:p>
    <w:p w:rsidR="00A75ACE" w:rsidRPr="00A75ACE" w:rsidP="00A75ACE" w14:paraId="36201F8B" w14:textId="77777777">
      <w:pPr>
        <w:rPr>
          <w:rFonts w:ascii="Century Schoolbook" w:eastAsia="Times New Roman" w:hAnsi="Century Schoolbook"/>
          <w:sz w:val="24"/>
        </w:rPr>
      </w:pPr>
      <w:r w:rsidRPr="00A75ACE">
        <w:rPr>
          <w:rFonts w:ascii="Century Schoolbook" w:eastAsia="Times New Roman" w:hAnsi="Century Schoolbook"/>
          <w:sz w:val="24"/>
        </w:rPr>
        <w:t>(310) 859-7811</w:t>
      </w:r>
    </w:p>
    <w:p w:rsidR="00A75ACE" w:rsidRPr="00A75ACE" w:rsidP="00A75ACE" w14:paraId="0966E62D" w14:textId="77777777">
      <w:pPr>
        <w:rPr>
          <w:rFonts w:ascii="Century Schoolbook" w:eastAsia="Times New Roman" w:hAnsi="Century Schoolbook"/>
          <w:sz w:val="24"/>
        </w:rPr>
      </w:pPr>
    </w:p>
    <w:p w:rsidR="00A75ACE" w:rsidRPr="00A75ACE" w:rsidP="00A75ACE" w14:paraId="4B98F52F"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Margaret M. Grignon</w:t>
      </w:r>
    </w:p>
    <w:p w:rsidR="00A75ACE" w:rsidRPr="00A75ACE" w:rsidP="00A75ACE" w14:paraId="4602E5B0" w14:textId="77777777">
      <w:pPr>
        <w:rPr>
          <w:rFonts w:ascii="Century Schoolbook" w:eastAsia="Times New Roman" w:hAnsi="Century Schoolbook"/>
          <w:color w:val="212121"/>
          <w:sz w:val="24"/>
          <w:shd w:val="clear" w:color="auto" w:fill="FFFFFF"/>
        </w:rPr>
      </w:pPr>
      <w:r w:rsidRPr="00A75ACE">
        <w:rPr>
          <w:rFonts w:ascii="Century Schoolbook" w:eastAsia="Times New Roman" w:hAnsi="Century Schoolbook"/>
          <w:color w:val="212121"/>
          <w:sz w:val="24"/>
          <w:shd w:val="clear" w:color="auto" w:fill="FFFFFF"/>
        </w:rPr>
        <w:t>Grignon Law Firm LLP</w:t>
      </w:r>
    </w:p>
    <w:p w:rsidR="00A75ACE" w:rsidRPr="00A75ACE" w:rsidP="00A75ACE" w14:paraId="78327411" w14:textId="77777777">
      <w:pPr>
        <w:rPr>
          <w:rFonts w:ascii="Century Schoolbook" w:eastAsia="Times New Roman" w:hAnsi="Century Schoolbook"/>
          <w:sz w:val="24"/>
        </w:rPr>
      </w:pPr>
      <w:r w:rsidRPr="00A75ACE">
        <w:rPr>
          <w:rFonts w:ascii="Century Schoolbook" w:eastAsia="Times New Roman" w:hAnsi="Century Schoolbook"/>
          <w:sz w:val="24"/>
        </w:rPr>
        <w:t>3780 Kilroy Airport Way, Suite 200</w:t>
      </w:r>
    </w:p>
    <w:p w:rsidR="00A75ACE" w:rsidRPr="00A75ACE" w:rsidP="00A75ACE" w14:paraId="429B95EE" w14:textId="77777777">
      <w:pPr>
        <w:rPr>
          <w:rFonts w:ascii="Century Schoolbook" w:eastAsia="Times New Roman" w:hAnsi="Century Schoolbook"/>
          <w:sz w:val="24"/>
        </w:rPr>
      </w:pPr>
      <w:r w:rsidRPr="00A75ACE">
        <w:rPr>
          <w:rFonts w:ascii="Century Schoolbook" w:eastAsia="Times New Roman" w:hAnsi="Century Schoolbook"/>
          <w:sz w:val="24"/>
        </w:rPr>
        <w:t>Long Beach, CA 90806</w:t>
      </w:r>
    </w:p>
    <w:p w:rsidR="00A75ACE" w:rsidRPr="00A75ACE" w:rsidP="00A75ACE" w14:paraId="65D398B6" w14:textId="77777777">
      <w:pPr>
        <w:rPr>
          <w:rFonts w:ascii="Century Schoolbook" w:eastAsia="Times New Roman" w:hAnsi="Century Schoolbook"/>
          <w:sz w:val="24"/>
        </w:rPr>
      </w:pPr>
      <w:r w:rsidRPr="00A75ACE">
        <w:rPr>
          <w:rFonts w:ascii="Century Schoolbook" w:eastAsia="Times New Roman" w:hAnsi="Century Schoolbook"/>
          <w:sz w:val="24"/>
        </w:rPr>
        <w:t>(562) 285-3171</w:t>
      </w:r>
    </w:p>
    <w:p w:rsidR="00F61D6B" w:rsidRPr="00FA5FF3" w:rsidP="00F61D6B" w14:paraId="01966260" w14:textId="77777777">
      <w:pPr>
        <w:tabs>
          <w:tab w:val="left" w:pos="1440"/>
        </w:tabs>
        <w:jc w:val="both"/>
        <w:rPr>
          <w:rFonts w:ascii="Century Schoolbook" w:hAnsi="Century Schoolbook"/>
          <w:sz w:val="27"/>
          <w:szCs w:val="27"/>
        </w:rPr>
      </w:pPr>
    </w:p>
    <w:sectPr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Schoolbook" w:hAnsi="Century Schoolbook"/>
        <w:sz w:val="27"/>
        <w:szCs w:val="27"/>
      </w:rPr>
      <w:id w:val="1905710621"/>
      <w:docPartObj>
        <w:docPartGallery w:val="Page Numbers (Bottom of Page)"/>
        <w:docPartUnique/>
      </w:docPartObj>
    </w:sdtPr>
    <w:sdtEndPr>
      <w:rPr>
        <w:noProof/>
        <w:sz w:val="22"/>
        <w:szCs w:val="22"/>
      </w:rPr>
    </w:sdtEndPr>
    <w:sdtContent>
      <w:p w:rsidR="00413814" w:rsidP="004B118E" w14:paraId="23B2BF0F" w14:textId="77777777">
        <w:pPr>
          <w:pStyle w:val="Footer"/>
          <w:jc w:val="center"/>
        </w:pPr>
        <w:r w:rsidRPr="004B118E">
          <w:rPr>
            <w:rFonts w:ascii="Century Schoolbook" w:hAnsi="Century Schoolbook"/>
            <w:sz w:val="22"/>
            <w:szCs w:val="22"/>
          </w:rPr>
          <w:fldChar w:fldCharType="begin"/>
        </w:r>
        <w:r w:rsidRPr="00D21CAD">
          <w:rPr>
            <w:rFonts w:ascii="Century Schoolbook" w:hAnsi="Century Schoolbook"/>
            <w:sz w:val="22"/>
            <w:szCs w:val="22"/>
          </w:rPr>
          <w:instrText xml:space="preserve"> PAGE   \* MERGEFORMAT </w:instrText>
        </w:r>
        <w:r w:rsidRPr="004B118E">
          <w:rPr>
            <w:rFonts w:ascii="Century Schoolbook" w:hAnsi="Century Schoolbook"/>
            <w:sz w:val="22"/>
            <w:szCs w:val="22"/>
          </w:rPr>
          <w:fldChar w:fldCharType="separate"/>
        </w:r>
        <w:r w:rsidRPr="00D21CAD">
          <w:rPr>
            <w:rFonts w:ascii="Century Schoolbook" w:hAnsi="Century Schoolbook"/>
            <w:noProof/>
            <w:sz w:val="22"/>
            <w:szCs w:val="22"/>
          </w:rPr>
          <w:t>2</w:t>
        </w:r>
        <w:r w:rsidRPr="004B118E">
          <w:rPr>
            <w:rFonts w:ascii="Century Schoolbook" w:hAnsi="Century Schoolbook"/>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88D" w:rsidP="00DB38C0" w14:paraId="2AA82B7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Schoolbook" w:hAnsi="Century Schoolbook"/>
        <w:sz w:val="27"/>
        <w:szCs w:val="27"/>
      </w:rPr>
      <w:id w:val="1920212099"/>
      <w:docPartObj>
        <w:docPartGallery w:val="Page Numbers (Bottom of Page)"/>
        <w:docPartUnique/>
      </w:docPartObj>
    </w:sdtPr>
    <w:sdtEndPr>
      <w:rPr>
        <w:noProof/>
        <w:sz w:val="22"/>
        <w:szCs w:val="22"/>
      </w:rPr>
    </w:sdtEndPr>
    <w:sdtContent>
      <w:p w:rsidR="00C52FE4" w:rsidP="004B118E" w14:paraId="213C0528" w14:textId="77777777">
        <w:pPr>
          <w:pStyle w:val="Footer"/>
          <w:jc w:val="center"/>
        </w:pPr>
        <w:r w:rsidRPr="004B118E">
          <w:rPr>
            <w:rFonts w:ascii="Century Schoolbook" w:hAnsi="Century Schoolbook"/>
            <w:sz w:val="22"/>
            <w:szCs w:val="22"/>
          </w:rPr>
          <w:fldChar w:fldCharType="begin"/>
        </w:r>
        <w:r w:rsidRPr="00D21CAD">
          <w:rPr>
            <w:rFonts w:ascii="Century Schoolbook" w:hAnsi="Century Schoolbook"/>
            <w:sz w:val="22"/>
            <w:szCs w:val="22"/>
          </w:rPr>
          <w:instrText xml:space="preserve"> PAGE   \* MERGEFORMAT </w:instrText>
        </w:r>
        <w:r w:rsidRPr="004B118E">
          <w:rPr>
            <w:rFonts w:ascii="Century Schoolbook" w:hAnsi="Century Schoolbook"/>
            <w:sz w:val="22"/>
            <w:szCs w:val="22"/>
          </w:rPr>
          <w:fldChar w:fldCharType="separate"/>
        </w:r>
        <w:r w:rsidRPr="00D21CAD">
          <w:rPr>
            <w:rFonts w:ascii="Century Schoolbook" w:hAnsi="Century Schoolbook"/>
            <w:noProof/>
            <w:sz w:val="22"/>
            <w:szCs w:val="22"/>
          </w:rPr>
          <w:t>2</w:t>
        </w:r>
        <w:r w:rsidRPr="004B118E">
          <w:rPr>
            <w:rFonts w:ascii="Century Schoolbook" w:hAnsi="Century Schoolbook"/>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88D" w:rsidRPr="00C52FE4" w:rsidP="00DB38C0" w14:paraId="5F251B12" w14:textId="77777777">
    <w:pPr>
      <w:pStyle w:val="Footer"/>
      <w:jc w:val="center"/>
      <w:rPr>
        <w:rFonts w:ascii="Century Schoolbook" w:hAnsi="Century Schoolbook"/>
        <w:sz w:val="22"/>
        <w:szCs w:val="22"/>
      </w:rPr>
    </w:pPr>
    <w:r w:rsidRPr="00C52FE4">
      <w:rPr>
        <w:rFonts w:ascii="Century Schoolbook" w:hAnsi="Century Schoolbook"/>
        <w:sz w:val="22"/>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0B8902A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655E65C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15C313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7D5" w:rsidP="00413814" w14:paraId="0148B1B4" w14:textId="77777777">
      <w:r>
        <w:separator/>
      </w:r>
    </w:p>
  </w:footnote>
  <w:footnote w:type="continuationSeparator" w:id="1">
    <w:p w:rsidR="00E477D5" w:rsidP="00413814" w14:paraId="1832F312" w14:textId="77777777">
      <w:r>
        <w:continuationSeparator/>
      </w:r>
    </w:p>
  </w:footnote>
  <w:footnote w:id="2">
    <w:p w:rsidR="00F50802" w:rsidRPr="00562BD9" w:rsidP="00234877" w14:paraId="3FBCAC3F"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562BD9">
        <w:rPr>
          <w:rFonts w:ascii="Century Schoolbook" w:hAnsi="Century Schoolbook"/>
          <w:position w:val="6"/>
          <w:sz w:val="26"/>
          <w:szCs w:val="26"/>
        </w:rPr>
        <w:t xml:space="preserve"> </w:t>
      </w:r>
      <w:r w:rsidRPr="00562BD9">
        <w:rPr>
          <w:rFonts w:ascii="Century Schoolbook" w:hAnsi="Century Schoolbook"/>
          <w:sz w:val="26"/>
          <w:szCs w:val="26"/>
        </w:rPr>
        <w:tab/>
        <w:t>Under California law, an arbitration award has the status of a contract between the parties.  (Code Civ. Proc., § 1287.6.)  The four-year limitations period to file a petition to confirm matches the limitations period for an action for breach of contract.  (Recommendation and Study Relating to Arbitration (Dec. 1960) 3</w:t>
      </w:r>
      <w:r>
        <w:rPr>
          <w:rFonts w:ascii="Century Schoolbook" w:hAnsi="Century Schoolbook"/>
          <w:sz w:val="26"/>
          <w:szCs w:val="26"/>
        </w:rPr>
        <w:t> </w:t>
      </w:r>
      <w:r w:rsidRPr="00562BD9">
        <w:rPr>
          <w:rFonts w:ascii="Century Schoolbook" w:hAnsi="Century Schoolbook"/>
          <w:sz w:val="26"/>
          <w:szCs w:val="26"/>
        </w:rPr>
        <w:t>Cal. Law Revision Com. Rep. (1961) p. G-9</w:t>
      </w:r>
      <w:r>
        <w:rPr>
          <w:rFonts w:ascii="Century Schoolbook" w:hAnsi="Century Schoolbook"/>
          <w:sz w:val="26"/>
          <w:szCs w:val="26"/>
        </w:rPr>
        <w:t xml:space="preserve"> (hereafter Recommendation)</w:t>
      </w:r>
      <w:r w:rsidRPr="00562BD9">
        <w:rPr>
          <w:rFonts w:ascii="Century Schoolbook" w:hAnsi="Century Schoolbook"/>
          <w:sz w:val="26"/>
          <w:szCs w:val="26"/>
        </w:rPr>
        <w:t>; Code Civ. Proc., § 337, subd. (a).)</w:t>
      </w:r>
    </w:p>
  </w:footnote>
  <w:footnote w:id="3">
    <w:p w:rsidR="00CC65DE" w:rsidRPr="00562BD9" w:rsidP="00234877" w14:paraId="4428B3C5"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8164A4">
        <w:rPr>
          <w:rFonts w:ascii="Century Schoolbook" w:hAnsi="Century Schoolbook"/>
          <w:position w:val="6"/>
        </w:rPr>
        <w:t xml:space="preserve"> </w:t>
      </w:r>
      <w:r w:rsidRPr="00562BD9">
        <w:rPr>
          <w:rFonts w:ascii="Century Schoolbook" w:hAnsi="Century Schoolbook"/>
          <w:sz w:val="26"/>
          <w:szCs w:val="26"/>
        </w:rPr>
        <w:tab/>
        <w:t xml:space="preserve">We need not and do not decide whether a party that fails to file a timely response under section 1290.6 may nevertheless request vacatur in a petition to vacate filed within the limitations period of section 1288.  (See </w:t>
      </w:r>
      <w:r w:rsidRPr="00562BD9">
        <w:rPr>
          <w:rFonts w:ascii="Century Schoolbook" w:hAnsi="Century Schoolbook"/>
          <w:i/>
          <w:iCs/>
          <w:sz w:val="26"/>
          <w:szCs w:val="26"/>
        </w:rPr>
        <w:t xml:space="preserve">Darby v. Sisyphian, LLC </w:t>
      </w:r>
      <w:r w:rsidRPr="00562BD9">
        <w:rPr>
          <w:rFonts w:ascii="Century Schoolbook" w:hAnsi="Century Schoolbook"/>
          <w:sz w:val="26"/>
          <w:szCs w:val="26"/>
        </w:rPr>
        <w:t>(2023) 87 Cal.App.5th 1100, 1110, fn. 7.)</w:t>
      </w:r>
    </w:p>
  </w:footnote>
  <w:footnote w:id="4">
    <w:p w:rsidR="00B77B77" w:rsidRPr="00C3330E" w:rsidP="00234877" w14:paraId="68855FF6"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C3330E">
        <w:rPr>
          <w:rFonts w:ascii="Century Schoolbook" w:hAnsi="Century Schoolbook"/>
          <w:sz w:val="26"/>
          <w:szCs w:val="26"/>
        </w:rPr>
        <w:tab/>
        <w:t xml:space="preserve">We disapprove </w:t>
      </w:r>
      <w:r w:rsidRPr="00C3330E">
        <w:rPr>
          <w:rFonts w:ascii="Century Schoolbook" w:hAnsi="Century Schoolbook"/>
          <w:i/>
          <w:iCs/>
          <w:sz w:val="26"/>
          <w:szCs w:val="26"/>
        </w:rPr>
        <w:t>Darby v. Sisyphian, LLC</w:t>
      </w:r>
      <w:r w:rsidRPr="009A144C">
        <w:rPr>
          <w:rFonts w:ascii="Century Schoolbook" w:hAnsi="Century Schoolbook"/>
          <w:sz w:val="26"/>
          <w:szCs w:val="26"/>
        </w:rPr>
        <w:t>,</w:t>
      </w:r>
      <w:r>
        <w:rPr>
          <w:rFonts w:ascii="Century Schoolbook" w:hAnsi="Century Schoolbook"/>
          <w:i/>
          <w:iCs/>
          <w:sz w:val="26"/>
          <w:szCs w:val="26"/>
        </w:rPr>
        <w:t xml:space="preserve"> supra</w:t>
      </w:r>
      <w:r w:rsidRPr="009A144C">
        <w:rPr>
          <w:rFonts w:ascii="Century Schoolbook" w:hAnsi="Century Schoolbook"/>
          <w:sz w:val="26"/>
          <w:szCs w:val="26"/>
        </w:rPr>
        <w:t>,</w:t>
      </w:r>
      <w:r>
        <w:rPr>
          <w:rFonts w:ascii="Century Schoolbook" w:hAnsi="Century Schoolbook"/>
          <w:i/>
          <w:iCs/>
          <w:sz w:val="26"/>
          <w:szCs w:val="26"/>
        </w:rPr>
        <w:t xml:space="preserve"> </w:t>
      </w:r>
      <w:r w:rsidRPr="00C3330E">
        <w:rPr>
          <w:rFonts w:ascii="Century Schoolbook" w:hAnsi="Century Schoolbook"/>
          <w:sz w:val="26"/>
          <w:szCs w:val="26"/>
        </w:rPr>
        <w:t>87 Cal.App.5th 1100 to the extent that it characterized section 1288.2’s 100-day limitations period as “jurisdictional” in the fundamental sense.</w:t>
      </w:r>
    </w:p>
  </w:footnote>
  <w:footnote w:id="5">
    <w:p w:rsidR="00633591" w:rsidRPr="00916A85" w:rsidP="00633591" w14:paraId="5FBF4093"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DF5E8A">
        <w:rPr>
          <w:rFonts w:ascii="Century Schoolbook" w:hAnsi="Century Schoolbook"/>
          <w:sz w:val="26"/>
          <w:szCs w:val="26"/>
        </w:rPr>
        <w:tab/>
        <w:t>Even when considering statutes that do, themselves, include enumerated grounds for tolling, we have held “that the legislative codification of particular tolling bases” does not “establish[] a legislative intent to preclude tolling on any other basis.”  (</w:t>
      </w:r>
      <w:r w:rsidRPr="00DF5E8A">
        <w:rPr>
          <w:rFonts w:ascii="Century Schoolbook" w:hAnsi="Century Schoolbook"/>
          <w:i/>
          <w:iCs/>
          <w:sz w:val="26"/>
          <w:szCs w:val="26"/>
        </w:rPr>
        <w:t>McDonald</w:t>
      </w:r>
      <w:r w:rsidRPr="00DF5E8A">
        <w:rPr>
          <w:rFonts w:ascii="Century Schoolbook" w:hAnsi="Century Schoolbook"/>
          <w:sz w:val="26"/>
          <w:szCs w:val="26"/>
        </w:rPr>
        <w:t>,</w:t>
      </w:r>
      <w:r w:rsidRPr="00DF5E8A">
        <w:rPr>
          <w:rFonts w:ascii="Century Schoolbook" w:hAnsi="Century Schoolbook"/>
          <w:i/>
          <w:iCs/>
          <w:sz w:val="26"/>
          <w:szCs w:val="26"/>
        </w:rPr>
        <w:t xml:space="preserve"> supra</w:t>
      </w:r>
      <w:r w:rsidRPr="00DF5E8A">
        <w:rPr>
          <w:rFonts w:ascii="Century Schoolbook" w:hAnsi="Century Schoolbook"/>
          <w:sz w:val="26"/>
          <w:szCs w:val="26"/>
        </w:rPr>
        <w:t>, 45 Cal.4th at p. 107.)  “To the contrary, we have implicitly assumed that the Legislature’s authority to declare tolling bases . . . and the courts’ ability to do likewise may coexist in the absence of an explicit legislative directive that they may not.”  (</w:t>
      </w:r>
      <w:r w:rsidRPr="00DF5E8A">
        <w:rPr>
          <w:rFonts w:ascii="Century Schoolbook" w:hAnsi="Century Schoolbook"/>
          <w:i/>
          <w:iCs/>
          <w:sz w:val="26"/>
          <w:szCs w:val="26"/>
        </w:rPr>
        <w:t>Ibid.</w:t>
      </w:r>
      <w:r w:rsidRPr="00DF5E8A">
        <w:rPr>
          <w:rFonts w:ascii="Century Schoolbook" w:hAnsi="Century Schoolbook"/>
          <w:sz w:val="26"/>
          <w:szCs w:val="26"/>
        </w:rPr>
        <w:t xml:space="preserve">, citation omitted.)  </w:t>
      </w:r>
    </w:p>
  </w:footnote>
  <w:footnote w:id="6">
    <w:p w:rsidR="00633591" w:rsidRPr="00180B87" w:rsidP="00633591" w14:paraId="471D29EF"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916A85">
        <w:rPr>
          <w:rFonts w:ascii="Century Schoolbook" w:hAnsi="Century Schoolbook"/>
          <w:sz w:val="26"/>
          <w:szCs w:val="26"/>
        </w:rPr>
        <w:tab/>
        <w:t xml:space="preserve">We disapprove </w:t>
      </w:r>
      <w:r w:rsidRPr="00916A85">
        <w:rPr>
          <w:rFonts w:ascii="Century Schoolbook" w:hAnsi="Century Schoolbook"/>
          <w:i/>
          <w:iCs/>
          <w:sz w:val="26"/>
          <w:szCs w:val="26"/>
        </w:rPr>
        <w:t>South Bay Radiology Medical Associates v. Asher</w:t>
      </w:r>
      <w:r w:rsidRPr="00916A85">
        <w:rPr>
          <w:rFonts w:ascii="Century Schoolbook" w:hAnsi="Century Schoolbook"/>
          <w:sz w:val="26"/>
          <w:szCs w:val="26"/>
        </w:rPr>
        <w:t xml:space="preserve"> (1990) 220 Cal.App.3d 1074, 1079</w:t>
      </w:r>
      <w:r>
        <w:rPr>
          <w:rFonts w:ascii="Century Schoolbook" w:hAnsi="Century Schoolbook"/>
          <w:sz w:val="26"/>
          <w:szCs w:val="26"/>
        </w:rPr>
        <w:t xml:space="preserve">, </w:t>
      </w:r>
      <w:r w:rsidRPr="00916A85">
        <w:rPr>
          <w:rFonts w:ascii="Century Schoolbook" w:hAnsi="Century Schoolbook"/>
          <w:sz w:val="26"/>
          <w:szCs w:val="26"/>
        </w:rPr>
        <w:t xml:space="preserve">1080 insofar as it suggests </w:t>
      </w:r>
      <w:r w:rsidRPr="00180B87">
        <w:rPr>
          <w:rFonts w:ascii="Century Schoolbook" w:hAnsi="Century Schoolbook"/>
          <w:sz w:val="26"/>
          <w:szCs w:val="26"/>
        </w:rPr>
        <w:t>that an “attack on the arbitrator’s decision [that] is based on alleged illegality” is a defense that “may be raised at any time.”</w:t>
      </w:r>
    </w:p>
  </w:footnote>
  <w:footnote w:id="7">
    <w:p w:rsidR="007D7ED4" w:rsidRPr="00284C5A" w:rsidP="00FD0CFE" w14:paraId="44DE8A32" w14:textId="77777777">
      <w:pPr>
        <w:pStyle w:val="FootnoteText"/>
        <w:spacing w:after="100" w:line="300" w:lineRule="exact"/>
        <w:jc w:val="both"/>
        <w:rPr>
          <w:rFonts w:ascii="Century Schoolbook" w:hAnsi="Century Schoolbook"/>
          <w:sz w:val="26"/>
          <w:szCs w:val="26"/>
        </w:rPr>
      </w:pPr>
      <w:r w:rsidRPr="008164A4">
        <w:rPr>
          <w:rStyle w:val="FootnoteReference"/>
          <w:rFonts w:ascii="Century Schoolbook" w:hAnsi="Century Schoolbook"/>
          <w:b/>
          <w:bCs/>
          <w:position w:val="6"/>
          <w:vertAlign w:val="baseline"/>
        </w:rPr>
        <w:footnoteRef/>
      </w:r>
      <w:r w:rsidRPr="00C3330E">
        <w:rPr>
          <w:rFonts w:ascii="Century Schoolbook" w:hAnsi="Century Schoolbook"/>
          <w:sz w:val="26"/>
          <w:szCs w:val="26"/>
        </w:rPr>
        <w:tab/>
      </w:r>
      <w:r>
        <w:rPr>
          <w:rFonts w:ascii="Century Schoolbook" w:hAnsi="Century Schoolbook"/>
          <w:sz w:val="26"/>
          <w:szCs w:val="26"/>
        </w:rPr>
        <w:t xml:space="preserve">In addressing the timeliness of </w:t>
      </w:r>
      <w:r w:rsidRPr="00C3330E">
        <w:rPr>
          <w:rFonts w:ascii="Century Schoolbook" w:hAnsi="Century Schoolbook"/>
          <w:sz w:val="26"/>
          <w:szCs w:val="26"/>
        </w:rPr>
        <w:t xml:space="preserve">Key’s claim </w:t>
      </w:r>
      <w:r>
        <w:rPr>
          <w:rFonts w:ascii="Century Schoolbook" w:hAnsi="Century Schoolbook"/>
          <w:sz w:val="26"/>
          <w:szCs w:val="26"/>
        </w:rPr>
        <w:t xml:space="preserve">that certain provisions of her Agreement with Lender are </w:t>
      </w:r>
      <w:r w:rsidRPr="00284C5A">
        <w:rPr>
          <w:rFonts w:ascii="Century Schoolbook" w:hAnsi="Century Schoolbook"/>
          <w:sz w:val="26"/>
          <w:szCs w:val="26"/>
        </w:rPr>
        <w:t>inconsistent with statutory requirements</w:t>
      </w:r>
      <w:r>
        <w:rPr>
          <w:rFonts w:ascii="Century Schoolbook" w:hAnsi="Century Schoolbook"/>
          <w:sz w:val="26"/>
          <w:szCs w:val="26"/>
        </w:rPr>
        <w:t xml:space="preserve">, we express no views on a court’s discretion to reach the merits of a forfeited claim </w:t>
      </w:r>
      <w:r w:rsidRPr="00284C5A">
        <w:rPr>
          <w:rFonts w:ascii="Century Schoolbook" w:hAnsi="Century Schoolbook"/>
          <w:sz w:val="26"/>
          <w:szCs w:val="26"/>
        </w:rPr>
        <w:t>of contract illegality</w:t>
      </w:r>
      <w:r>
        <w:rPr>
          <w:rFonts w:ascii="Century Schoolbook" w:hAnsi="Century Schoolbook"/>
          <w:sz w:val="26"/>
          <w:szCs w:val="26"/>
        </w:rPr>
        <w:t xml:space="preserve"> where enforcement of the contract raises matters of significant public interest and threatens substantial injustice.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935" w:rsidP="00F3688D" w14:paraId="2280426C" w14:textId="77777777">
    <w:pPr>
      <w:pStyle w:val="Header"/>
      <w:spacing w:after="80"/>
      <w:jc w:val="center"/>
      <w:rPr>
        <w:rFonts w:ascii="Century Schoolbook" w:hAnsi="Century Schoolbook"/>
        <w:sz w:val="22"/>
        <w:szCs w:val="22"/>
      </w:rPr>
    </w:pPr>
    <w:r>
      <w:rPr>
        <w:rFonts w:ascii="Century Schoolbook" w:hAnsi="Century Schoolbook"/>
        <w:sz w:val="22"/>
        <w:szCs w:val="22"/>
      </w:rPr>
      <w:t>LAW FINANCE GROUP, LLC v. KEY</w:t>
    </w:r>
  </w:p>
  <w:p w:rsidR="00F3688D" w:rsidRPr="00F3688D" w:rsidP="00F3688D" w14:paraId="2D80E40E" w14:textId="77777777">
    <w:pPr>
      <w:pStyle w:val="Header"/>
      <w:spacing w:after="80"/>
      <w:jc w:val="center"/>
      <w:rPr>
        <w:rFonts w:ascii="Century Schoolbook" w:hAnsi="Century Schoolbook"/>
        <w:sz w:val="22"/>
        <w:szCs w:val="22"/>
      </w:rPr>
    </w:pPr>
    <w:r>
      <w:rPr>
        <w:rFonts w:ascii="Century Schoolbook" w:hAnsi="Century Schoolbook"/>
        <w:sz w:val="22"/>
        <w:szCs w:val="22"/>
      </w:rPr>
      <w:t>Opinion of the Court by Kruger,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7FB6A6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4FD494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69" w14:paraId="13D14B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22B49"/>
    <w:multiLevelType w:val="hybridMultilevel"/>
    <w:tmpl w:val="AED25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7D6BA8"/>
    <w:multiLevelType w:val="hybridMultilevel"/>
    <w:tmpl w:val="9384A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6D6899"/>
    <w:multiLevelType w:val="hybridMultilevel"/>
    <w:tmpl w:val="7C6A4B2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71462"/>
    <w:multiLevelType w:val="hybridMultilevel"/>
    <w:tmpl w:val="628E546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BD002BE"/>
    <w:multiLevelType w:val="hybridMultilevel"/>
    <w:tmpl w:val="CF020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E15D6B"/>
    <w:multiLevelType w:val="hybridMultilevel"/>
    <w:tmpl w:val="35E6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9807B8"/>
    <w:multiLevelType w:val="hybridMultilevel"/>
    <w:tmpl w:val="BDAC2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AD3C2E"/>
    <w:multiLevelType w:val="hybridMultilevel"/>
    <w:tmpl w:val="FD6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A64BC3"/>
    <w:multiLevelType w:val="hybridMultilevel"/>
    <w:tmpl w:val="9D66E6D2"/>
    <w:lvl w:ilvl="0">
      <w:start w:val="1"/>
      <w:numFmt w:val="bullet"/>
      <w:lvlText w:val=""/>
      <w:lvlJc w:val="left"/>
      <w:pPr>
        <w:ind w:left="829" w:hanging="360"/>
      </w:pPr>
      <w:rPr>
        <w:rFonts w:ascii="Symbol" w:hAnsi="Symbol" w:hint="default"/>
      </w:rPr>
    </w:lvl>
    <w:lvl w:ilvl="1" w:tentative="1">
      <w:start w:val="1"/>
      <w:numFmt w:val="bullet"/>
      <w:lvlText w:val="o"/>
      <w:lvlJc w:val="left"/>
      <w:pPr>
        <w:ind w:left="1549" w:hanging="360"/>
      </w:pPr>
      <w:rPr>
        <w:rFonts w:ascii="Courier New" w:hAnsi="Courier New" w:cs="Courier New" w:hint="default"/>
      </w:rPr>
    </w:lvl>
    <w:lvl w:ilvl="2" w:tentative="1">
      <w:start w:val="1"/>
      <w:numFmt w:val="bullet"/>
      <w:lvlText w:val=""/>
      <w:lvlJc w:val="left"/>
      <w:pPr>
        <w:ind w:left="2269" w:hanging="360"/>
      </w:pPr>
      <w:rPr>
        <w:rFonts w:ascii="Wingdings" w:hAnsi="Wingdings" w:hint="default"/>
      </w:rPr>
    </w:lvl>
    <w:lvl w:ilvl="3" w:tentative="1">
      <w:start w:val="1"/>
      <w:numFmt w:val="bullet"/>
      <w:lvlText w:val=""/>
      <w:lvlJc w:val="left"/>
      <w:pPr>
        <w:ind w:left="2989" w:hanging="360"/>
      </w:pPr>
      <w:rPr>
        <w:rFonts w:ascii="Symbol" w:hAnsi="Symbol" w:hint="default"/>
      </w:rPr>
    </w:lvl>
    <w:lvl w:ilvl="4" w:tentative="1">
      <w:start w:val="1"/>
      <w:numFmt w:val="bullet"/>
      <w:lvlText w:val="o"/>
      <w:lvlJc w:val="left"/>
      <w:pPr>
        <w:ind w:left="3709" w:hanging="360"/>
      </w:pPr>
      <w:rPr>
        <w:rFonts w:ascii="Courier New" w:hAnsi="Courier New" w:cs="Courier New" w:hint="default"/>
      </w:rPr>
    </w:lvl>
    <w:lvl w:ilvl="5" w:tentative="1">
      <w:start w:val="1"/>
      <w:numFmt w:val="bullet"/>
      <w:lvlText w:val=""/>
      <w:lvlJc w:val="left"/>
      <w:pPr>
        <w:ind w:left="4429" w:hanging="360"/>
      </w:pPr>
      <w:rPr>
        <w:rFonts w:ascii="Wingdings" w:hAnsi="Wingdings" w:hint="default"/>
      </w:rPr>
    </w:lvl>
    <w:lvl w:ilvl="6" w:tentative="1">
      <w:start w:val="1"/>
      <w:numFmt w:val="bullet"/>
      <w:lvlText w:val=""/>
      <w:lvlJc w:val="left"/>
      <w:pPr>
        <w:ind w:left="5149" w:hanging="360"/>
      </w:pPr>
      <w:rPr>
        <w:rFonts w:ascii="Symbol" w:hAnsi="Symbol" w:hint="default"/>
      </w:rPr>
    </w:lvl>
    <w:lvl w:ilvl="7" w:tentative="1">
      <w:start w:val="1"/>
      <w:numFmt w:val="bullet"/>
      <w:lvlText w:val="o"/>
      <w:lvlJc w:val="left"/>
      <w:pPr>
        <w:ind w:left="5869" w:hanging="360"/>
      </w:pPr>
      <w:rPr>
        <w:rFonts w:ascii="Courier New" w:hAnsi="Courier New" w:cs="Courier New" w:hint="default"/>
      </w:rPr>
    </w:lvl>
    <w:lvl w:ilvl="8" w:tentative="1">
      <w:start w:val="1"/>
      <w:numFmt w:val="bullet"/>
      <w:lvlText w:val=""/>
      <w:lvlJc w:val="left"/>
      <w:pPr>
        <w:ind w:left="6589" w:hanging="360"/>
      </w:pPr>
      <w:rPr>
        <w:rFonts w:ascii="Wingdings" w:hAnsi="Wingdings" w:hint="default"/>
      </w:rPr>
    </w:lvl>
  </w:abstractNum>
  <w:abstractNum w:abstractNumId="9">
    <w:nsid w:val="5EEF501A"/>
    <w:multiLevelType w:val="hybridMultilevel"/>
    <w:tmpl w:val="93B2ADA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2AE7D3A"/>
    <w:multiLevelType w:val="hybridMultilevel"/>
    <w:tmpl w:val="F6A6C0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C513730"/>
    <w:multiLevelType w:val="hybridMultilevel"/>
    <w:tmpl w:val="EF32F2F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E9D5E17"/>
    <w:multiLevelType w:val="hybridMultilevel"/>
    <w:tmpl w:val="F7DA07A2"/>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AA097A"/>
    <w:multiLevelType w:val="hybridMultilevel"/>
    <w:tmpl w:val="553E872C"/>
    <w:lvl w:ilvl="0">
      <w:start w:val="1"/>
      <w:numFmt w:val="upperLetter"/>
      <w:lvlText w:val="%1."/>
      <w:lvlJc w:val="left"/>
      <w:pPr>
        <w:ind w:left="1080" w:hanging="72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bCs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73650A"/>
    <w:multiLevelType w:val="hybridMultilevel"/>
    <w:tmpl w:val="DFBA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11"/>
  </w:num>
  <w:num w:numId="6">
    <w:abstractNumId w:val="12"/>
  </w:num>
  <w:num w:numId="7">
    <w:abstractNumId w:val="9"/>
  </w:num>
  <w:num w:numId="8">
    <w:abstractNumId w:val="10"/>
  </w:num>
  <w:num w:numId="9">
    <w:abstractNumId w:val="5"/>
  </w:num>
  <w:num w:numId="10">
    <w:abstractNumId w:val="6"/>
  </w:num>
  <w:num w:numId="11">
    <w:abstractNumId w:val="4"/>
  </w:num>
  <w:num w:numId="12">
    <w:abstractNumId w:val="3"/>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A7"/>
    <w:rsid w:val="00041935"/>
    <w:rsid w:val="000534DB"/>
    <w:rsid w:val="00070169"/>
    <w:rsid w:val="000B2363"/>
    <w:rsid w:val="000D54E6"/>
    <w:rsid w:val="000E1CF3"/>
    <w:rsid w:val="000E2E95"/>
    <w:rsid w:val="001302DA"/>
    <w:rsid w:val="001530CB"/>
    <w:rsid w:val="001575E2"/>
    <w:rsid w:val="00180B87"/>
    <w:rsid w:val="002032F3"/>
    <w:rsid w:val="00234877"/>
    <w:rsid w:val="00284C5A"/>
    <w:rsid w:val="002E4955"/>
    <w:rsid w:val="002E4BAA"/>
    <w:rsid w:val="003108D7"/>
    <w:rsid w:val="00315D6E"/>
    <w:rsid w:val="003211F5"/>
    <w:rsid w:val="00365224"/>
    <w:rsid w:val="003A3DD6"/>
    <w:rsid w:val="003A68AE"/>
    <w:rsid w:val="00413814"/>
    <w:rsid w:val="00420E2D"/>
    <w:rsid w:val="004306C6"/>
    <w:rsid w:val="00487110"/>
    <w:rsid w:val="004B118E"/>
    <w:rsid w:val="004E4E3A"/>
    <w:rsid w:val="004F6CA2"/>
    <w:rsid w:val="005465D0"/>
    <w:rsid w:val="00562BD9"/>
    <w:rsid w:val="00584B10"/>
    <w:rsid w:val="005B1E1C"/>
    <w:rsid w:val="005C4F46"/>
    <w:rsid w:val="005D7AB7"/>
    <w:rsid w:val="00604D38"/>
    <w:rsid w:val="00606B28"/>
    <w:rsid w:val="00623997"/>
    <w:rsid w:val="00625CE2"/>
    <w:rsid w:val="00633591"/>
    <w:rsid w:val="0064261B"/>
    <w:rsid w:val="0064640B"/>
    <w:rsid w:val="00694AF8"/>
    <w:rsid w:val="006A4B5B"/>
    <w:rsid w:val="006F2A9E"/>
    <w:rsid w:val="006F5810"/>
    <w:rsid w:val="006F7F13"/>
    <w:rsid w:val="007814BF"/>
    <w:rsid w:val="007D7ED4"/>
    <w:rsid w:val="007F5426"/>
    <w:rsid w:val="008164A4"/>
    <w:rsid w:val="00820636"/>
    <w:rsid w:val="008227ED"/>
    <w:rsid w:val="00862268"/>
    <w:rsid w:val="00866AF0"/>
    <w:rsid w:val="008C12DB"/>
    <w:rsid w:val="00916A85"/>
    <w:rsid w:val="00923A5A"/>
    <w:rsid w:val="009273B3"/>
    <w:rsid w:val="00930E85"/>
    <w:rsid w:val="00934AA7"/>
    <w:rsid w:val="009558FD"/>
    <w:rsid w:val="009A144C"/>
    <w:rsid w:val="009B592B"/>
    <w:rsid w:val="009E6298"/>
    <w:rsid w:val="00A1455C"/>
    <w:rsid w:val="00A47CCF"/>
    <w:rsid w:val="00A5177D"/>
    <w:rsid w:val="00A5583C"/>
    <w:rsid w:val="00A75ACE"/>
    <w:rsid w:val="00AA08B6"/>
    <w:rsid w:val="00AF6281"/>
    <w:rsid w:val="00B4665F"/>
    <w:rsid w:val="00B60C65"/>
    <w:rsid w:val="00B77B77"/>
    <w:rsid w:val="00C3330E"/>
    <w:rsid w:val="00C52FE4"/>
    <w:rsid w:val="00C70ED3"/>
    <w:rsid w:val="00C83E61"/>
    <w:rsid w:val="00CB3E07"/>
    <w:rsid w:val="00CC65DE"/>
    <w:rsid w:val="00D21CAD"/>
    <w:rsid w:val="00DA643B"/>
    <w:rsid w:val="00DB38C0"/>
    <w:rsid w:val="00DB75B3"/>
    <w:rsid w:val="00DF5E8A"/>
    <w:rsid w:val="00E15E9D"/>
    <w:rsid w:val="00F3688D"/>
    <w:rsid w:val="00F50802"/>
    <w:rsid w:val="00F61D6B"/>
    <w:rsid w:val="00F962CE"/>
    <w:rsid w:val="00F96D48"/>
    <w:rsid w:val="00FA5FF3"/>
    <w:rsid w:val="00FB1854"/>
    <w:rsid w:val="00FC4B3F"/>
    <w:rsid w:val="00FD0CF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52084"/>
    <w:rPr>
      <w:szCs w:val="24"/>
    </w:rPr>
  </w:style>
  <w:style w:type="paragraph" w:styleId="Heading1">
    <w:name w:val="heading 1"/>
    <w:basedOn w:val="Normal"/>
    <w:next w:val="Normal"/>
    <w:link w:val="Heading1Char"/>
    <w:uiPriority w:val="9"/>
    <w:qFormat/>
    <w:rsid w:val="008520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520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52084"/>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85208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52084"/>
    <w:pPr>
      <w:spacing w:before="240" w:after="60"/>
      <w:outlineLvl w:val="6"/>
    </w:pPr>
    <w:rPr>
      <w:sz w:val="24"/>
    </w:rPr>
  </w:style>
  <w:style w:type="paragraph" w:styleId="Heading8">
    <w:name w:val="heading 8"/>
    <w:basedOn w:val="Normal"/>
    <w:next w:val="Normal"/>
    <w:link w:val="Heading8Char"/>
    <w:uiPriority w:val="9"/>
    <w:semiHidden/>
    <w:unhideWhenUsed/>
    <w:qFormat/>
    <w:rsid w:val="0085208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5208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520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52084"/>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852084"/>
    <w:rPr>
      <w:b/>
      <w:bCs/>
    </w:rPr>
  </w:style>
  <w:style w:type="character" w:customStyle="1" w:styleId="Heading7Char">
    <w:name w:val="Heading 7 Char"/>
    <w:basedOn w:val="DefaultParagraphFont"/>
    <w:link w:val="Heading7"/>
    <w:uiPriority w:val="9"/>
    <w:semiHidden/>
    <w:rsid w:val="00852084"/>
    <w:rPr>
      <w:sz w:val="24"/>
      <w:szCs w:val="24"/>
    </w:rPr>
  </w:style>
  <w:style w:type="character" w:customStyle="1" w:styleId="Heading8Char">
    <w:name w:val="Heading 8 Char"/>
    <w:basedOn w:val="DefaultParagraphFont"/>
    <w:link w:val="Heading8"/>
    <w:uiPriority w:val="9"/>
    <w:semiHidden/>
    <w:rsid w:val="00852084"/>
    <w:rPr>
      <w:i/>
      <w:iCs/>
      <w:sz w:val="24"/>
      <w:szCs w:val="24"/>
    </w:rPr>
  </w:style>
  <w:style w:type="character" w:customStyle="1" w:styleId="Heading9Char">
    <w:name w:val="Heading 9 Char"/>
    <w:basedOn w:val="DefaultParagraphFont"/>
    <w:link w:val="Heading9"/>
    <w:uiPriority w:val="9"/>
    <w:semiHidden/>
    <w:rsid w:val="00852084"/>
    <w:rPr>
      <w:rFonts w:asciiTheme="majorHAnsi" w:eastAsiaTheme="majorEastAsia" w:hAnsiTheme="majorHAnsi"/>
    </w:rPr>
  </w:style>
  <w:style w:type="paragraph" w:styleId="Title">
    <w:name w:val="Title"/>
    <w:basedOn w:val="Normal"/>
    <w:next w:val="Normal"/>
    <w:link w:val="TitleChar"/>
    <w:uiPriority w:val="10"/>
    <w:qFormat/>
    <w:rsid w:val="008520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20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208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5208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52084"/>
    <w:pPr>
      <w:outlineLvl w:val="9"/>
    </w:pPr>
  </w:style>
  <w:style w:type="paragraph" w:styleId="ListParagraph">
    <w:name w:val="List Paragraph"/>
    <w:basedOn w:val="Normal"/>
    <w:uiPriority w:val="34"/>
    <w:rsid w:val="00170D0D"/>
    <w:pPr>
      <w:ind w:left="720"/>
      <w:contextualSpacing/>
    </w:pPr>
  </w:style>
  <w:style w:type="paragraph" w:styleId="Header">
    <w:name w:val="header"/>
    <w:basedOn w:val="Normal"/>
    <w:link w:val="HeaderChar"/>
    <w:uiPriority w:val="99"/>
    <w:unhideWhenUsed/>
    <w:rsid w:val="00413814"/>
    <w:pPr>
      <w:tabs>
        <w:tab w:val="center" w:pos="4680"/>
        <w:tab w:val="right" w:pos="9360"/>
      </w:tabs>
    </w:pPr>
  </w:style>
  <w:style w:type="character" w:customStyle="1" w:styleId="HeaderChar">
    <w:name w:val="Header Char"/>
    <w:basedOn w:val="DefaultParagraphFont"/>
    <w:link w:val="Header"/>
    <w:uiPriority w:val="99"/>
    <w:rsid w:val="00413814"/>
    <w:rPr>
      <w:szCs w:val="24"/>
    </w:rPr>
  </w:style>
  <w:style w:type="paragraph" w:styleId="Footer">
    <w:name w:val="footer"/>
    <w:basedOn w:val="Normal"/>
    <w:link w:val="FooterChar"/>
    <w:uiPriority w:val="99"/>
    <w:unhideWhenUsed/>
    <w:rsid w:val="00413814"/>
    <w:pPr>
      <w:tabs>
        <w:tab w:val="center" w:pos="4680"/>
        <w:tab w:val="right" w:pos="9360"/>
      </w:tabs>
    </w:pPr>
  </w:style>
  <w:style w:type="character" w:customStyle="1" w:styleId="FooterChar">
    <w:name w:val="Footer Char"/>
    <w:basedOn w:val="DefaultParagraphFont"/>
    <w:link w:val="Footer"/>
    <w:uiPriority w:val="99"/>
    <w:rsid w:val="00413814"/>
    <w:rPr>
      <w:szCs w:val="24"/>
    </w:rPr>
  </w:style>
  <w:style w:type="paragraph" w:styleId="FootnoteText">
    <w:name w:val="footnote text"/>
    <w:basedOn w:val="Normal"/>
    <w:link w:val="FootnoteTextChar"/>
    <w:uiPriority w:val="99"/>
    <w:unhideWhenUsed/>
    <w:rsid w:val="00B273CE"/>
    <w:rPr>
      <w:sz w:val="20"/>
      <w:szCs w:val="20"/>
    </w:rPr>
  </w:style>
  <w:style w:type="character" w:customStyle="1" w:styleId="FootnoteTextChar">
    <w:name w:val="Footnote Text Char"/>
    <w:basedOn w:val="DefaultParagraphFont"/>
    <w:link w:val="FootnoteText"/>
    <w:uiPriority w:val="99"/>
    <w:rsid w:val="00B273CE"/>
    <w:rPr>
      <w:sz w:val="20"/>
      <w:szCs w:val="20"/>
    </w:rPr>
  </w:style>
  <w:style w:type="character" w:styleId="FootnoteReference">
    <w:name w:val="footnote reference"/>
    <w:basedOn w:val="DefaultParagraphFont"/>
    <w:uiPriority w:val="99"/>
    <w:semiHidden/>
    <w:unhideWhenUsed/>
    <w:rsid w:val="00B273CE"/>
    <w:rPr>
      <w:vertAlign w:val="superscript"/>
    </w:rPr>
  </w:style>
  <w:style w:type="character" w:styleId="Emphasis">
    <w:name w:val="Emphasis"/>
    <w:basedOn w:val="DefaultParagraphFont"/>
    <w:uiPriority w:val="20"/>
    <w:qFormat/>
    <w:rsid w:val="008022D7"/>
    <w:rPr>
      <w:i/>
      <w:iCs/>
    </w:rPr>
  </w:style>
  <w:style w:type="character" w:customStyle="1" w:styleId="cohl">
    <w:name w:val="co_hl"/>
    <w:basedOn w:val="DefaultParagraphFont"/>
    <w:rsid w:val="00C21AE8"/>
  </w:style>
  <w:style w:type="character" w:customStyle="1" w:styleId="costarpage">
    <w:name w:val="co_starpage"/>
    <w:basedOn w:val="DefaultParagraphFont"/>
    <w:rsid w:val="00824AC0"/>
  </w:style>
  <w:style w:type="character" w:styleId="CommentReference">
    <w:name w:val="annotation reference"/>
    <w:basedOn w:val="DefaultParagraphFont"/>
    <w:uiPriority w:val="99"/>
    <w:semiHidden/>
    <w:unhideWhenUsed/>
    <w:rsid w:val="00625CE2"/>
    <w:rPr>
      <w:sz w:val="16"/>
      <w:szCs w:val="16"/>
    </w:rPr>
  </w:style>
  <w:style w:type="paragraph" w:styleId="CommentText">
    <w:name w:val="annotation text"/>
    <w:basedOn w:val="Normal"/>
    <w:link w:val="CommentTextChar"/>
    <w:uiPriority w:val="99"/>
    <w:unhideWhenUsed/>
    <w:qFormat/>
    <w:rsid w:val="00625CE2"/>
    <w:rPr>
      <w:sz w:val="20"/>
      <w:szCs w:val="20"/>
    </w:rPr>
  </w:style>
  <w:style w:type="character" w:customStyle="1" w:styleId="CommentTextChar">
    <w:name w:val="Comment Text Char"/>
    <w:basedOn w:val="DefaultParagraphFont"/>
    <w:link w:val="CommentText"/>
    <w:uiPriority w:val="99"/>
    <w:rsid w:val="00625CE2"/>
    <w:rPr>
      <w:sz w:val="20"/>
      <w:szCs w:val="20"/>
    </w:rPr>
  </w:style>
  <w:style w:type="paragraph" w:styleId="CommentSubject">
    <w:name w:val="annotation subject"/>
    <w:basedOn w:val="CommentText"/>
    <w:next w:val="CommentText"/>
    <w:link w:val="CommentSubjectChar"/>
    <w:uiPriority w:val="99"/>
    <w:semiHidden/>
    <w:unhideWhenUsed/>
    <w:rsid w:val="00625CE2"/>
    <w:rPr>
      <w:b/>
      <w:bCs/>
    </w:rPr>
  </w:style>
  <w:style w:type="character" w:customStyle="1" w:styleId="CommentSubjectChar">
    <w:name w:val="Comment Subject Char"/>
    <w:basedOn w:val="CommentTextChar"/>
    <w:link w:val="CommentSubject"/>
    <w:uiPriority w:val="99"/>
    <w:semiHidden/>
    <w:rsid w:val="00625CE2"/>
    <w:rPr>
      <w:b/>
      <w:bCs/>
      <w:sz w:val="20"/>
      <w:szCs w:val="20"/>
    </w:rPr>
  </w:style>
  <w:style w:type="paragraph" w:styleId="Revision">
    <w:name w:val="Revision"/>
    <w:hidden/>
    <w:uiPriority w:val="99"/>
    <w:semiHidden/>
    <w:rsid w:val="00DB08DF"/>
    <w:rPr>
      <w:szCs w:val="24"/>
    </w:rPr>
  </w:style>
  <w:style w:type="character" w:customStyle="1" w:styleId="ssrfcpassagedeactivated">
    <w:name w:val="ss_rfcpassage_deactivated"/>
    <w:basedOn w:val="DefaultParagraphFont"/>
    <w:rsid w:val="00E156E0"/>
  </w:style>
  <w:style w:type="character" w:customStyle="1" w:styleId="acb">
    <w:name w:val="acb"/>
    <w:basedOn w:val="DefaultParagraphFont"/>
    <w:rsid w:val="00E156E0"/>
  </w:style>
  <w:style w:type="character" w:customStyle="1" w:styleId="coconcept136">
    <w:name w:val="co_concept_1_36"/>
    <w:basedOn w:val="DefaultParagraphFont"/>
    <w:rsid w:val="00AA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2023-06-26T15:35:52Z</dcterms:created>
  <dcterms:modified xsi:type="dcterms:W3CDTF">2023-06-26T15:35:52Z</dcterms:modified>
</cp:coreProperties>
</file>