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A6C0" w14:textId="299F5101" w:rsidR="00B54944" w:rsidRPr="009A7CE0" w:rsidRDefault="00B54944" w:rsidP="00B54944">
      <w:pPr>
        <w:spacing w:after="0"/>
        <w:jc w:val="center"/>
        <w:rPr>
          <w:sz w:val="36"/>
        </w:rPr>
      </w:pPr>
      <w:r w:rsidRPr="009A7CE0">
        <w:rPr>
          <w:b/>
          <w:sz w:val="36"/>
        </w:rPr>
        <w:t>IN THE SUPREME COURT OF CALIFORNIA</w:t>
      </w:r>
    </w:p>
    <w:p w14:paraId="0759DD91" w14:textId="77777777" w:rsidR="00B54944" w:rsidRPr="009A7CE0" w:rsidRDefault="00B54944" w:rsidP="00B54944">
      <w:pPr>
        <w:spacing w:after="0"/>
        <w:jc w:val="center"/>
      </w:pPr>
    </w:p>
    <w:p w14:paraId="1184D78B" w14:textId="65633D6D" w:rsidR="00B54944" w:rsidRPr="009A7CE0" w:rsidRDefault="00B54944" w:rsidP="00B54944">
      <w:pPr>
        <w:spacing w:after="0"/>
        <w:jc w:val="center"/>
      </w:pPr>
      <w:r w:rsidRPr="009A7CE0">
        <w:t>THE PEOPLE</w:t>
      </w:r>
      <w:r w:rsidR="001E6CBA">
        <w:t>,</w:t>
      </w:r>
    </w:p>
    <w:p w14:paraId="20317C93" w14:textId="090123DB" w:rsidR="00B54944" w:rsidRPr="009A7CE0" w:rsidRDefault="00B54944" w:rsidP="00B54944">
      <w:pPr>
        <w:spacing w:after="0"/>
        <w:jc w:val="center"/>
      </w:pPr>
      <w:r w:rsidRPr="009A7CE0">
        <w:t>Plaintiff and Respondent</w:t>
      </w:r>
      <w:r w:rsidR="00EC5595">
        <w:t>,</w:t>
      </w:r>
    </w:p>
    <w:p w14:paraId="3BDDA56F" w14:textId="77777777" w:rsidR="00B54944" w:rsidRPr="009A7CE0" w:rsidRDefault="00B54944" w:rsidP="00B54944">
      <w:pPr>
        <w:spacing w:after="0"/>
        <w:jc w:val="center"/>
      </w:pPr>
      <w:r w:rsidRPr="009A7CE0">
        <w:t>v.</w:t>
      </w:r>
    </w:p>
    <w:p w14:paraId="5AE89407" w14:textId="0BC94840" w:rsidR="00B54944" w:rsidRPr="009A7CE0" w:rsidRDefault="00B54944" w:rsidP="00B54944">
      <w:pPr>
        <w:spacing w:after="0"/>
        <w:jc w:val="center"/>
      </w:pPr>
      <w:r w:rsidRPr="009A7CE0">
        <w:t>EDGAR SANDOVAL CATARINO</w:t>
      </w:r>
      <w:r w:rsidR="00EC5595">
        <w:t>,</w:t>
      </w:r>
    </w:p>
    <w:p w14:paraId="606874B8" w14:textId="43E581DD" w:rsidR="00B54944" w:rsidRPr="009A7CE0" w:rsidRDefault="00B54944" w:rsidP="00B54944">
      <w:pPr>
        <w:spacing w:after="0"/>
        <w:jc w:val="center"/>
      </w:pPr>
      <w:r w:rsidRPr="009A7CE0">
        <w:t>Defendant and Appellant</w:t>
      </w:r>
      <w:r w:rsidR="00EC5595">
        <w:t>.</w:t>
      </w:r>
    </w:p>
    <w:p w14:paraId="594DE427" w14:textId="77777777" w:rsidR="00B54944" w:rsidRPr="009A7CE0" w:rsidRDefault="00B54944" w:rsidP="00B54944">
      <w:pPr>
        <w:spacing w:after="0"/>
        <w:jc w:val="center"/>
      </w:pPr>
    </w:p>
    <w:p w14:paraId="3AF939C3" w14:textId="77777777" w:rsidR="00B54944" w:rsidRPr="009A7CE0" w:rsidRDefault="00B54944" w:rsidP="00B54944">
      <w:pPr>
        <w:spacing w:after="0"/>
        <w:jc w:val="center"/>
      </w:pPr>
      <w:r w:rsidRPr="009A7CE0">
        <w:t>S271828</w:t>
      </w:r>
    </w:p>
    <w:p w14:paraId="0AE6FB02" w14:textId="77777777" w:rsidR="00B54944" w:rsidRPr="009A7CE0" w:rsidRDefault="00B54944" w:rsidP="00B54944">
      <w:pPr>
        <w:spacing w:after="0"/>
        <w:jc w:val="center"/>
      </w:pPr>
    </w:p>
    <w:p w14:paraId="5A7EFC05" w14:textId="092FA3DC" w:rsidR="00B54944" w:rsidRPr="009A7CE0" w:rsidRDefault="001E6CBA" w:rsidP="00B54944">
      <w:pPr>
        <w:spacing w:after="0"/>
        <w:jc w:val="center"/>
      </w:pPr>
      <w:r>
        <w:t>Fourth</w:t>
      </w:r>
      <w:r w:rsidRPr="009A7CE0">
        <w:t xml:space="preserve"> </w:t>
      </w:r>
      <w:r w:rsidR="00B54944" w:rsidRPr="009A7CE0">
        <w:t xml:space="preserve">Appellate District, Division </w:t>
      </w:r>
      <w:r>
        <w:t>One</w:t>
      </w:r>
    </w:p>
    <w:p w14:paraId="3DB8294B" w14:textId="77777777" w:rsidR="00B54944" w:rsidRPr="009A7CE0" w:rsidRDefault="00B54944" w:rsidP="00B54944">
      <w:pPr>
        <w:spacing w:after="0"/>
        <w:jc w:val="center"/>
      </w:pPr>
      <w:r w:rsidRPr="009A7CE0">
        <w:t>D078832</w:t>
      </w:r>
    </w:p>
    <w:p w14:paraId="083773C1" w14:textId="77777777" w:rsidR="00B54944" w:rsidRPr="009A7CE0" w:rsidRDefault="00B54944" w:rsidP="00B54944">
      <w:pPr>
        <w:spacing w:after="0"/>
        <w:jc w:val="center"/>
      </w:pPr>
    </w:p>
    <w:p w14:paraId="28A157E1" w14:textId="069DFABA" w:rsidR="00B54944" w:rsidRPr="009A7CE0" w:rsidRDefault="00B54944" w:rsidP="00B54944">
      <w:pPr>
        <w:spacing w:after="0"/>
        <w:jc w:val="center"/>
      </w:pPr>
      <w:r w:rsidRPr="009A7CE0">
        <w:t>Santa Clara County</w:t>
      </w:r>
      <w:r w:rsidR="00EC5595">
        <w:t xml:space="preserve"> Superior Court</w:t>
      </w:r>
    </w:p>
    <w:p w14:paraId="28ACF536" w14:textId="77777777" w:rsidR="00B54944" w:rsidRDefault="00B54944" w:rsidP="00B54944">
      <w:pPr>
        <w:pBdr>
          <w:bottom w:val="single" w:sz="4" w:space="1" w:color="auto"/>
        </w:pBdr>
        <w:spacing w:after="0"/>
        <w:jc w:val="center"/>
      </w:pPr>
      <w:r w:rsidRPr="009A7CE0">
        <w:t>C1635441</w:t>
      </w:r>
    </w:p>
    <w:p w14:paraId="69BA5CD5" w14:textId="77777777" w:rsidR="0017756E" w:rsidRPr="009A7CE0" w:rsidRDefault="0017756E" w:rsidP="00B54944">
      <w:pPr>
        <w:pBdr>
          <w:bottom w:val="single" w:sz="4" w:space="1" w:color="auto"/>
        </w:pBdr>
        <w:spacing w:after="0"/>
        <w:jc w:val="center"/>
      </w:pPr>
    </w:p>
    <w:p w14:paraId="72413DDB" w14:textId="77777777" w:rsidR="00B54944" w:rsidRPr="009A7CE0" w:rsidRDefault="00B54944" w:rsidP="00B54944">
      <w:pPr>
        <w:spacing w:after="0"/>
        <w:jc w:val="center"/>
      </w:pPr>
    </w:p>
    <w:p w14:paraId="6DCAAD48" w14:textId="4E74334B" w:rsidR="00B54944" w:rsidRPr="009A7CE0" w:rsidRDefault="00FD1D8D" w:rsidP="00B54944">
      <w:pPr>
        <w:spacing w:after="0"/>
        <w:jc w:val="center"/>
      </w:pPr>
      <w:r>
        <w:t xml:space="preserve">May </w:t>
      </w:r>
      <w:r w:rsidR="00A34624">
        <w:t>25</w:t>
      </w:r>
      <w:r w:rsidR="00B54944" w:rsidRPr="009A7CE0">
        <w:t>, 2023</w:t>
      </w:r>
    </w:p>
    <w:p w14:paraId="5F90C077" w14:textId="77777777" w:rsidR="00B54944" w:rsidRPr="009A7CE0" w:rsidRDefault="00B54944" w:rsidP="00B54944">
      <w:pPr>
        <w:spacing w:after="0"/>
        <w:jc w:val="center"/>
      </w:pPr>
    </w:p>
    <w:p w14:paraId="2D308DB3" w14:textId="3DC3ACAB" w:rsidR="00B54944" w:rsidRPr="009A7CE0" w:rsidRDefault="0017756E" w:rsidP="00B54944">
      <w:pPr>
        <w:spacing w:after="0"/>
        <w:jc w:val="left"/>
      </w:pPr>
      <w:r>
        <w:t xml:space="preserve">Justice Liu authored the opinion of the Court, in which </w:t>
      </w:r>
      <w:r w:rsidR="00A34624" w:rsidRPr="00A34624">
        <w:t>Chief Justice Guerrero and Justices Corrigan, Kruger, Groban, Jenkins, and Evans</w:t>
      </w:r>
      <w:r>
        <w:t xml:space="preserve"> concurred.</w:t>
      </w:r>
    </w:p>
    <w:p w14:paraId="5F80080A" w14:textId="77777777" w:rsidR="00B54944" w:rsidRPr="009A7CE0" w:rsidRDefault="00B54944" w:rsidP="00B54944">
      <w:pPr>
        <w:pBdr>
          <w:bottom w:val="single" w:sz="4" w:space="1" w:color="auto"/>
        </w:pBdr>
        <w:spacing w:after="0"/>
        <w:jc w:val="left"/>
      </w:pPr>
    </w:p>
    <w:p w14:paraId="4219211D" w14:textId="3AB8D2E9" w:rsidR="00B54944" w:rsidRPr="00B54944" w:rsidRDefault="00B54944" w:rsidP="00B54944">
      <w:pPr>
        <w:pBdr>
          <w:bottom w:val="single" w:sz="4" w:space="1" w:color="auto"/>
        </w:pBdr>
        <w:jc w:val="left"/>
        <w:rPr>
          <w:spacing w:val="100"/>
        </w:rPr>
        <w:sectPr w:rsidR="00B54944" w:rsidRPr="00B54944" w:rsidSect="00B54944">
          <w:headerReference w:type="default" r:id="rId8"/>
          <w:footerReference w:type="default" r:id="rId9"/>
          <w:pgSz w:w="12240" w:h="15840"/>
          <w:pgMar w:top="1800" w:right="2160" w:bottom="1440" w:left="2160" w:header="720" w:footer="720" w:gutter="0"/>
          <w:cols w:space="720"/>
          <w:titlePg/>
          <w:docGrid w:linePitch="367"/>
        </w:sectPr>
      </w:pPr>
      <w:bookmarkStart w:id="0" w:name="Return"/>
      <w:bookmarkEnd w:id="0"/>
    </w:p>
    <w:p w14:paraId="5379F3D9" w14:textId="1D5951B8" w:rsidR="00B54944" w:rsidRDefault="00B54944" w:rsidP="008A553F">
      <w:pPr>
        <w:tabs>
          <w:tab w:val="left" w:pos="1440"/>
        </w:tabs>
        <w:jc w:val="center"/>
      </w:pPr>
      <w:bookmarkStart w:id="1" w:name="mainstory"/>
      <w:bookmarkEnd w:id="1"/>
      <w:r>
        <w:lastRenderedPageBreak/>
        <w:t>PEOPLE v. CATARINO</w:t>
      </w:r>
    </w:p>
    <w:p w14:paraId="67B34DCB" w14:textId="77777777" w:rsidR="00B54944" w:rsidRDefault="00B54944" w:rsidP="008A553F">
      <w:pPr>
        <w:tabs>
          <w:tab w:val="left" w:pos="1440"/>
        </w:tabs>
        <w:jc w:val="center"/>
      </w:pPr>
      <w:r>
        <w:t>S271828</w:t>
      </w:r>
    </w:p>
    <w:p w14:paraId="2849092B" w14:textId="77777777" w:rsidR="00B54944" w:rsidRDefault="00B54944" w:rsidP="00B54944">
      <w:pPr>
        <w:tabs>
          <w:tab w:val="left" w:pos="1440"/>
        </w:tabs>
        <w:ind w:firstLine="720"/>
        <w:jc w:val="center"/>
      </w:pPr>
    </w:p>
    <w:p w14:paraId="7E1C7120" w14:textId="77777777" w:rsidR="00B54944" w:rsidRDefault="00B54944" w:rsidP="008A553F">
      <w:pPr>
        <w:tabs>
          <w:tab w:val="left" w:pos="1440"/>
        </w:tabs>
        <w:jc w:val="center"/>
      </w:pPr>
      <w:r>
        <w:t>Opinion of the Court by Liu, J.</w:t>
      </w:r>
    </w:p>
    <w:p w14:paraId="2D65F817" w14:textId="77777777" w:rsidR="00A91DE0" w:rsidRDefault="00A91DE0" w:rsidP="00A91DE0">
      <w:pPr>
        <w:tabs>
          <w:tab w:val="left" w:pos="1440"/>
        </w:tabs>
        <w:ind w:firstLine="720"/>
        <w:jc w:val="left"/>
      </w:pPr>
    </w:p>
    <w:p w14:paraId="1A108C12" w14:textId="70332E7A" w:rsidR="00271495" w:rsidRPr="00B54944" w:rsidRDefault="00807D0F" w:rsidP="00807D0F">
      <w:pPr>
        <w:tabs>
          <w:tab w:val="left" w:pos="1440"/>
        </w:tabs>
        <w:ind w:firstLine="720"/>
      </w:pPr>
      <w:r w:rsidRPr="00B54944">
        <w:t xml:space="preserve">Penal Code section 667.6, subdivision (d) requires a sentencing court to impose “full, separate, and consecutive term[s]” for certain sex crimes if it finds that the offenses were committed “on separate occasions.”  (Pen. Code, § 667.6, subd. (d) (section 667.6(d)); all undesignated statutory references are to </w:t>
      </w:r>
      <w:r w:rsidR="0092170E">
        <w:t>this code</w:t>
      </w:r>
      <w:r w:rsidRPr="00B54944">
        <w:t>.)  Defendant Edgar Sandoval Ca</w:t>
      </w:r>
      <w:r w:rsidR="0086595C" w:rsidRPr="00B54944">
        <w:t xml:space="preserve">tarino was </w:t>
      </w:r>
      <w:r w:rsidR="00E839AA" w:rsidRPr="00B54944">
        <w:t xml:space="preserve">convicted of </w:t>
      </w:r>
      <w:r w:rsidR="008B6330" w:rsidRPr="00B54944">
        <w:t>six counts of forcible lewd acts on a child under the age of fourteen and one lesser included offense of attempt</w:t>
      </w:r>
      <w:r w:rsidR="0053733F" w:rsidRPr="00B54944">
        <w:t xml:space="preserve">.  </w:t>
      </w:r>
      <w:r w:rsidR="001874F7" w:rsidRPr="00B54944">
        <w:t xml:space="preserve">At sentencing, the court found that Catarino’s seven counts of conviction occurred on seven separate occasions </w:t>
      </w:r>
      <w:r w:rsidR="00E014D9" w:rsidRPr="00B54944">
        <w:t xml:space="preserve">and sentenced him to full, consecutive terms </w:t>
      </w:r>
      <w:r w:rsidR="006A04DB" w:rsidRPr="00B54944">
        <w:t xml:space="preserve">for each </w:t>
      </w:r>
      <w:r w:rsidR="00E014D9" w:rsidRPr="00B54944">
        <w:t xml:space="preserve">under section 667.6(d).  </w:t>
      </w:r>
    </w:p>
    <w:p w14:paraId="5B992FCF" w14:textId="4CCA0336" w:rsidR="00731D9B" w:rsidRPr="00B54944" w:rsidRDefault="000522F6" w:rsidP="00B54944">
      <w:pPr>
        <w:tabs>
          <w:tab w:val="left" w:pos="1440"/>
        </w:tabs>
        <w:ind w:firstLine="720"/>
      </w:pPr>
      <w:r w:rsidRPr="00B54944">
        <w:t>In</w:t>
      </w:r>
      <w:r w:rsidR="008275CB" w:rsidRPr="00B54944">
        <w:t xml:space="preserve"> </w:t>
      </w:r>
      <w:r w:rsidR="008275CB" w:rsidRPr="00B54944">
        <w:rPr>
          <w:i/>
          <w:iCs/>
        </w:rPr>
        <w:t>Apprendi v. New Jersey</w:t>
      </w:r>
      <w:r w:rsidR="008275CB" w:rsidRPr="00B54944">
        <w:t xml:space="preserve"> (2000) 530 U.S. 466</w:t>
      </w:r>
      <w:r w:rsidR="00284C3B" w:rsidRPr="00B54944">
        <w:t xml:space="preserve"> (</w:t>
      </w:r>
      <w:r w:rsidR="00284C3B" w:rsidRPr="00B54944">
        <w:rPr>
          <w:i/>
          <w:iCs/>
        </w:rPr>
        <w:t>Apprendi</w:t>
      </w:r>
      <w:r w:rsidR="00284C3B" w:rsidRPr="00B54944">
        <w:t>)</w:t>
      </w:r>
      <w:r w:rsidRPr="00B54944">
        <w:t xml:space="preserve">, the </w:t>
      </w:r>
      <w:r w:rsidR="00E4327F" w:rsidRPr="00B54944">
        <w:t>United States Supreme Court</w:t>
      </w:r>
      <w:r w:rsidRPr="00B54944">
        <w:t xml:space="preserve"> held</w:t>
      </w:r>
      <w:r w:rsidR="00874454" w:rsidRPr="00B54944">
        <w:t xml:space="preserve"> </w:t>
      </w:r>
      <w:r w:rsidR="00E4327F" w:rsidRPr="00B54944">
        <w:t xml:space="preserve">under </w:t>
      </w:r>
      <w:r w:rsidR="00874454" w:rsidRPr="00B54944">
        <w:t>the</w:t>
      </w:r>
      <w:r w:rsidR="008275CB" w:rsidRPr="00B54944">
        <w:t xml:space="preserve"> Sixth Amendment</w:t>
      </w:r>
      <w:r w:rsidR="00E4327F" w:rsidRPr="00B54944">
        <w:t xml:space="preserve"> to the federal Constitution </w:t>
      </w:r>
      <w:r w:rsidR="008275CB" w:rsidRPr="00B54944">
        <w:t>that “[o]ther than the fact of a prior conviction, any fact that increases the penalty for a crime beyond the prescribed statutory maximum must be submitted to a jury, and proved beyond a reasonable doubt.”  (</w:t>
      </w:r>
      <w:r w:rsidR="004B5F5F">
        <w:rPr>
          <w:i/>
          <w:iCs/>
        </w:rPr>
        <w:t>Apprendi,</w:t>
      </w:r>
      <w:r w:rsidR="008275CB" w:rsidRPr="00B54944">
        <w:t xml:space="preserve"> at p. 490.)  </w:t>
      </w:r>
      <w:r w:rsidR="002D0EC3" w:rsidRPr="00B54944">
        <w:t>Under</w:t>
      </w:r>
      <w:r w:rsidR="008275CB" w:rsidRPr="00B54944">
        <w:t xml:space="preserve"> </w:t>
      </w:r>
      <w:r w:rsidR="008275CB" w:rsidRPr="00B54944">
        <w:rPr>
          <w:i/>
          <w:iCs/>
        </w:rPr>
        <w:t>Alleyne v. United States</w:t>
      </w:r>
      <w:r w:rsidR="008275CB" w:rsidRPr="00B54944">
        <w:t xml:space="preserve"> (2013)</w:t>
      </w:r>
      <w:r w:rsidR="00A60118" w:rsidRPr="00B54944">
        <w:t xml:space="preserve"> 570 U.S. 99</w:t>
      </w:r>
      <w:r w:rsidR="00284C3B" w:rsidRPr="00B54944">
        <w:t xml:space="preserve"> (</w:t>
      </w:r>
      <w:r w:rsidR="00284C3B" w:rsidRPr="00B54944">
        <w:rPr>
          <w:i/>
          <w:iCs/>
        </w:rPr>
        <w:t>Alleyne</w:t>
      </w:r>
      <w:r w:rsidR="00284C3B" w:rsidRPr="00B54944">
        <w:t>)</w:t>
      </w:r>
      <w:r w:rsidR="002D0EC3" w:rsidRPr="00B54944">
        <w:t>,</w:t>
      </w:r>
      <w:r w:rsidR="008275CB" w:rsidRPr="00B54944">
        <w:t xml:space="preserve"> this rule applies </w:t>
      </w:r>
      <w:r w:rsidR="00A60118" w:rsidRPr="00B54944">
        <w:t xml:space="preserve">“with equal force to facts increasing the mandatory minimum” because </w:t>
      </w:r>
      <w:r w:rsidR="00A35F49" w:rsidRPr="00B54944">
        <w:t xml:space="preserve">an increase in the minimum term heightens </w:t>
      </w:r>
      <w:r w:rsidR="00A60118" w:rsidRPr="00B54944">
        <w:t>“the prescribed range of sentences to which a criminal defendant is exposed.”  (</w:t>
      </w:r>
      <w:r w:rsidR="00A60118" w:rsidRPr="00B54944">
        <w:rPr>
          <w:i/>
          <w:iCs/>
        </w:rPr>
        <w:t>Id.</w:t>
      </w:r>
      <w:r w:rsidR="00A60118" w:rsidRPr="00B54944">
        <w:t xml:space="preserve"> at p.</w:t>
      </w:r>
      <w:r w:rsidR="00D03D42" w:rsidRPr="00B54944">
        <w:t> </w:t>
      </w:r>
      <w:r w:rsidR="00A60118" w:rsidRPr="00B54944">
        <w:t>112.)</w:t>
      </w:r>
      <w:r w:rsidR="002D244F" w:rsidRPr="00B54944">
        <w:t xml:space="preserve">  </w:t>
      </w:r>
      <w:r w:rsidR="00AD3CFD" w:rsidRPr="00B54944">
        <w:t xml:space="preserve">But </w:t>
      </w:r>
      <w:r w:rsidR="00921626">
        <w:t xml:space="preserve">in </w:t>
      </w:r>
      <w:r w:rsidR="00921626">
        <w:rPr>
          <w:i/>
          <w:iCs/>
        </w:rPr>
        <w:t xml:space="preserve">Oregon v. Ice </w:t>
      </w:r>
      <w:r w:rsidR="00921626">
        <w:t>(200</w:t>
      </w:r>
      <w:r w:rsidR="00AB19B7">
        <w:t>8</w:t>
      </w:r>
      <w:r w:rsidR="00921626">
        <w:t>) 555 U.S. 160 (</w:t>
      </w:r>
      <w:r w:rsidR="00921626">
        <w:rPr>
          <w:i/>
          <w:iCs/>
        </w:rPr>
        <w:t>Ice</w:t>
      </w:r>
      <w:r w:rsidR="00921626">
        <w:t xml:space="preserve">), the high court </w:t>
      </w:r>
      <w:r w:rsidR="00381B93">
        <w:t>said</w:t>
      </w:r>
      <w:r w:rsidR="00921626">
        <w:rPr>
          <w:i/>
          <w:iCs/>
        </w:rPr>
        <w:t xml:space="preserve"> </w:t>
      </w:r>
      <w:r w:rsidR="00CA7067">
        <w:t xml:space="preserve">the </w:t>
      </w:r>
      <w:r w:rsidR="00CA7067">
        <w:rPr>
          <w:i/>
          <w:iCs/>
        </w:rPr>
        <w:t>Apprendi</w:t>
      </w:r>
      <w:r w:rsidR="00F37A5C">
        <w:t xml:space="preserve"> rule</w:t>
      </w:r>
      <w:r w:rsidR="00CA7067">
        <w:rPr>
          <w:i/>
          <w:iCs/>
        </w:rPr>
        <w:t xml:space="preserve"> </w:t>
      </w:r>
      <w:r w:rsidR="00B968A7" w:rsidRPr="00B54944">
        <w:t xml:space="preserve">does not apply to facts deemed necessary to the </w:t>
      </w:r>
      <w:r w:rsidR="00B968A7" w:rsidRPr="00B54944">
        <w:lastRenderedPageBreak/>
        <w:t>imposition of consecutive as opposed to concurrent sentences</w:t>
      </w:r>
      <w:r w:rsidR="003A37C8" w:rsidRPr="00B54944">
        <w:t>, “a sentencing function in which the jury traditionally played no part.”</w:t>
      </w:r>
      <w:r w:rsidR="00963C87" w:rsidRPr="00B54944">
        <w:t xml:space="preserve">  (</w:t>
      </w:r>
      <w:r w:rsidR="00921626">
        <w:rPr>
          <w:i/>
          <w:iCs/>
        </w:rPr>
        <w:t>Id.</w:t>
      </w:r>
      <w:r w:rsidR="00963C87" w:rsidRPr="00B54944">
        <w:t xml:space="preserve"> </w:t>
      </w:r>
      <w:r w:rsidR="00921626">
        <w:t>at p. </w:t>
      </w:r>
      <w:r w:rsidR="00963C87" w:rsidRPr="00B54944">
        <w:t>163.)</w:t>
      </w:r>
    </w:p>
    <w:p w14:paraId="28D46E2C" w14:textId="5E52AA02" w:rsidR="00A60118" w:rsidRPr="00B54944" w:rsidRDefault="00E4327F" w:rsidP="00B54944">
      <w:pPr>
        <w:tabs>
          <w:tab w:val="left" w:pos="1440"/>
        </w:tabs>
        <w:ind w:firstLine="720"/>
      </w:pPr>
      <w:r w:rsidRPr="00B54944">
        <w:t>The question here is</w:t>
      </w:r>
      <w:r w:rsidR="00284C3B" w:rsidRPr="00B54944">
        <w:t xml:space="preserve"> whether </w:t>
      </w:r>
      <w:r w:rsidR="0003587D" w:rsidRPr="00B54944">
        <w:t>section 667.6(d</w:t>
      </w:r>
      <w:r w:rsidR="00775CE4">
        <w:t>)</w:t>
      </w:r>
      <w:r w:rsidR="003F0A1E" w:rsidRPr="00B54944">
        <w:t xml:space="preserve">, in </w:t>
      </w:r>
      <w:r w:rsidR="00057587" w:rsidRPr="00B54944">
        <w:t>requir</w:t>
      </w:r>
      <w:r w:rsidR="003F0A1E" w:rsidRPr="00B54944">
        <w:t>ing</w:t>
      </w:r>
      <w:r w:rsidR="00057587" w:rsidRPr="00B54944">
        <w:t xml:space="preserve"> that a sentencing court</w:t>
      </w:r>
      <w:r w:rsidR="00284C3B" w:rsidRPr="00B54944">
        <w:t xml:space="preserve"> impose “full, separate, and consecutive term[s]” for certain sex crimes if it find</w:t>
      </w:r>
      <w:r w:rsidR="00057587" w:rsidRPr="00B54944">
        <w:t>s certain facts</w:t>
      </w:r>
      <w:r w:rsidR="003F0A1E" w:rsidRPr="00B54944">
        <w:t>,</w:t>
      </w:r>
      <w:r w:rsidR="00057587" w:rsidRPr="00B54944">
        <w:t xml:space="preserve"> </w:t>
      </w:r>
      <w:r w:rsidR="00931C4A" w:rsidRPr="00B54944">
        <w:t xml:space="preserve">complies with </w:t>
      </w:r>
      <w:r w:rsidR="00A02774" w:rsidRPr="00B54944">
        <w:t>the Sixth Amendment</w:t>
      </w:r>
      <w:r w:rsidR="00284C3B" w:rsidRPr="00B54944">
        <w:t xml:space="preserve">.  </w:t>
      </w:r>
      <w:r w:rsidR="0092170E">
        <w:t>We</w:t>
      </w:r>
      <w:r w:rsidR="00AE4501" w:rsidRPr="00B54944">
        <w:t xml:space="preserve"> hold that </w:t>
      </w:r>
      <w:r w:rsidR="006B1761">
        <w:t>it does</w:t>
      </w:r>
      <w:r w:rsidR="000B6022">
        <w:t xml:space="preserve">:  </w:t>
      </w:r>
      <w:r w:rsidR="008063B6">
        <w:t xml:space="preserve">the rule of </w:t>
      </w:r>
      <w:r w:rsidR="000B6022">
        <w:rPr>
          <w:i/>
          <w:iCs/>
        </w:rPr>
        <w:t xml:space="preserve">Apprendi </w:t>
      </w:r>
      <w:r w:rsidR="000B6022">
        <w:t xml:space="preserve">and </w:t>
      </w:r>
      <w:r w:rsidR="000B6022">
        <w:rPr>
          <w:i/>
          <w:iCs/>
        </w:rPr>
        <w:t xml:space="preserve">Alleyne </w:t>
      </w:r>
      <w:r w:rsidR="000B6022">
        <w:t>do</w:t>
      </w:r>
      <w:r w:rsidR="008063B6">
        <w:t>es</w:t>
      </w:r>
      <w:r w:rsidR="000B6022">
        <w:t xml:space="preserve"> not </w:t>
      </w:r>
      <w:r w:rsidR="008063B6">
        <w:t>apply</w:t>
      </w:r>
      <w:r w:rsidR="000B6022">
        <w:t xml:space="preserve"> to </w:t>
      </w:r>
      <w:r w:rsidR="00AE4501" w:rsidRPr="00B54944">
        <w:t xml:space="preserve">section 667.6(d) </w:t>
      </w:r>
      <w:r w:rsidR="00D553CE" w:rsidRPr="00B54944">
        <w:t xml:space="preserve">under the rationale of </w:t>
      </w:r>
      <w:r w:rsidR="00D553CE" w:rsidRPr="00B54944">
        <w:rPr>
          <w:i/>
          <w:iCs/>
        </w:rPr>
        <w:t>Ice</w:t>
      </w:r>
      <w:r w:rsidR="00057587" w:rsidRPr="00B54944">
        <w:t>.</w:t>
      </w:r>
    </w:p>
    <w:p w14:paraId="2967F787" w14:textId="63689717" w:rsidR="00FC2DC5" w:rsidRPr="00B54944" w:rsidRDefault="00681C53" w:rsidP="00B54944">
      <w:pPr>
        <w:pStyle w:val="Heading1"/>
      </w:pPr>
      <w:r w:rsidRPr="00B54944">
        <w:t>I.</w:t>
      </w:r>
    </w:p>
    <w:p w14:paraId="419BDCC0" w14:textId="1B8C8012" w:rsidR="00F0095F" w:rsidRPr="00B54944" w:rsidRDefault="002021EC" w:rsidP="00B54944">
      <w:pPr>
        <w:tabs>
          <w:tab w:val="left" w:pos="1440"/>
        </w:tabs>
        <w:ind w:firstLine="720"/>
      </w:pPr>
      <w:r w:rsidRPr="00B54944">
        <w:t>Catarino was c</w:t>
      </w:r>
      <w:r w:rsidR="00B33024" w:rsidRPr="00B54944">
        <w:t xml:space="preserve">harged in November 2017 with eight counts of forcible lewd acts on a child under the age of fourteen.  </w:t>
      </w:r>
      <w:r w:rsidR="007217E3" w:rsidRPr="00B54944">
        <w:t xml:space="preserve">The charging instrument alleged that he sexually abused his </w:t>
      </w:r>
      <w:r w:rsidR="00F344E9" w:rsidRPr="00B54944">
        <w:t xml:space="preserve">cousin </w:t>
      </w:r>
      <w:r w:rsidR="007217E3" w:rsidRPr="00B54944">
        <w:t>Doe, who was nine years old at the time, over a period from June 2015 to March 2016.  Each count alleged an identical range of dates during which the offense</w:t>
      </w:r>
      <w:r w:rsidR="00AB19B7">
        <w:t>’s</w:t>
      </w:r>
      <w:r w:rsidR="007217E3" w:rsidRPr="00B54944">
        <w:t xml:space="preserve"> conduct might have occurred.</w:t>
      </w:r>
      <w:r w:rsidR="00C0107C" w:rsidRPr="00B54944">
        <w:t xml:space="preserve">  </w:t>
      </w:r>
      <w:r w:rsidR="00DB0CF6" w:rsidRPr="00B54944">
        <w:t xml:space="preserve">Catarino </w:t>
      </w:r>
      <w:r w:rsidR="00C0107C" w:rsidRPr="00B54944">
        <w:t xml:space="preserve">was convicted on six of the counts, convicted of the lesser included offense of </w:t>
      </w:r>
      <w:r w:rsidR="001025AB" w:rsidRPr="00B54944">
        <w:t>attempt on the seventh count</w:t>
      </w:r>
      <w:r w:rsidR="00C0107C" w:rsidRPr="00B54944">
        <w:t>, and acquitted of the final count.</w:t>
      </w:r>
      <w:r w:rsidR="008A3C0F" w:rsidRPr="00B54944">
        <w:t xml:space="preserve">  The verdict included the same range of dates alleged on each count and did not further specify when the crimes occurred.</w:t>
      </w:r>
    </w:p>
    <w:p w14:paraId="02E72A53" w14:textId="1A5B1085" w:rsidR="00326032" w:rsidRPr="00B54944" w:rsidRDefault="00381B93" w:rsidP="00B54944">
      <w:pPr>
        <w:tabs>
          <w:tab w:val="left" w:pos="1440"/>
        </w:tabs>
        <w:ind w:firstLine="720"/>
      </w:pPr>
      <w:r>
        <w:t>T</w:t>
      </w:r>
      <w:r w:rsidR="00C623F1" w:rsidRPr="00B54944">
        <w:t xml:space="preserve">he prosecutor’s sentencing memorandum argued </w:t>
      </w:r>
      <w:r>
        <w:t xml:space="preserve">that </w:t>
      </w:r>
      <w:r w:rsidR="00C623F1" w:rsidRPr="00B54944">
        <w:t>the court should find that the seven counts of conviction were all committed on “separate occasions,” which would require the imposition of full</w:t>
      </w:r>
      <w:r w:rsidR="00C623F1" w:rsidRPr="00B54944">
        <w:noBreakHyphen/>
        <w:t xml:space="preserve">term consecutive sentencing on each count under </w:t>
      </w:r>
      <w:r w:rsidR="0003587D" w:rsidRPr="00B54944">
        <w:t>section 667.6(d)</w:t>
      </w:r>
      <w:r w:rsidR="00C623F1" w:rsidRPr="00B54944">
        <w:t xml:space="preserve">.  </w:t>
      </w:r>
      <w:r>
        <w:t>According to t</w:t>
      </w:r>
      <w:r w:rsidR="00C623F1" w:rsidRPr="00B54944">
        <w:t>he prosecutor</w:t>
      </w:r>
      <w:r>
        <w:t>,</w:t>
      </w:r>
      <w:r w:rsidR="00C623F1" w:rsidRPr="00B54944">
        <w:t xml:space="preserve"> </w:t>
      </w:r>
      <w:r w:rsidR="00C417B7" w:rsidRPr="00B54944">
        <w:t xml:space="preserve">Doe’s </w:t>
      </w:r>
      <w:r w:rsidR="00C623F1" w:rsidRPr="00B54944">
        <w:t xml:space="preserve">testimony at trial showed that at least five of the counts conclusively occurred on separate occasions and that the evidence would support a finding that the remaining counts also happened at separate times.  Catarino argued that the jury </w:t>
      </w:r>
      <w:r w:rsidR="00C623F1" w:rsidRPr="00B54944">
        <w:lastRenderedPageBreak/>
        <w:t>verdict did not “provide enough information to determine</w:t>
      </w:r>
      <w:r w:rsidR="00E9694C" w:rsidRPr="00B54944">
        <w:t>”</w:t>
      </w:r>
      <w:r w:rsidR="00C623F1" w:rsidRPr="00B54944">
        <w:t xml:space="preserve"> </w:t>
      </w:r>
      <w:r w:rsidR="00B57A05" w:rsidRPr="00B54944">
        <w:t>which convictions constitute</w:t>
      </w:r>
      <w:r w:rsidR="00E9694C" w:rsidRPr="00B54944">
        <w:t>d</w:t>
      </w:r>
      <w:r w:rsidR="00B57A05" w:rsidRPr="00B54944">
        <w:t xml:space="preserve"> </w:t>
      </w:r>
      <w:r w:rsidR="00E9694C" w:rsidRPr="00B54944">
        <w:t>“</w:t>
      </w:r>
      <w:r w:rsidR="00B57A05" w:rsidRPr="00B54944">
        <w:t xml:space="preserve">separate incidents” because the jury “did not make any specific findings regarding each count.”  </w:t>
      </w:r>
      <w:r>
        <w:t>In his view,</w:t>
      </w:r>
      <w:r w:rsidR="00B57A05" w:rsidRPr="00B54944">
        <w:t xml:space="preserve"> “the mere fact that the jury found [him] guilty on seven counts does not establish that they each occurred on separate occasions</w:t>
      </w:r>
      <w:r>
        <w:t>,</w:t>
      </w:r>
      <w:r w:rsidR="00B57A05" w:rsidRPr="00B54944">
        <w:t xml:space="preserve">” and making a </w:t>
      </w:r>
      <w:r w:rsidR="00C946E0" w:rsidRPr="00B54944">
        <w:t>“</w:t>
      </w:r>
      <w:r w:rsidR="00B57A05" w:rsidRPr="00B54944">
        <w:t>separate occasions</w:t>
      </w:r>
      <w:r w:rsidR="00C946E0" w:rsidRPr="00B54944">
        <w:t>”</w:t>
      </w:r>
      <w:r w:rsidR="00B57A05" w:rsidRPr="00B54944">
        <w:t xml:space="preserve"> finding based on evidence beyond the verdict would violate his rights under the Sixth Amendment.  </w:t>
      </w:r>
    </w:p>
    <w:p w14:paraId="46FEAB4D" w14:textId="063E8B86" w:rsidR="007217E3" w:rsidRPr="00B54944" w:rsidRDefault="00C17803" w:rsidP="00B54944">
      <w:pPr>
        <w:tabs>
          <w:tab w:val="left" w:pos="1440"/>
        </w:tabs>
        <w:ind w:firstLine="720"/>
      </w:pPr>
      <w:r w:rsidRPr="00B54944">
        <w:t xml:space="preserve">At sentencing, the court found that </w:t>
      </w:r>
      <w:r w:rsidR="00E65220" w:rsidRPr="00B54944">
        <w:t>Doe</w:t>
      </w:r>
      <w:r w:rsidRPr="00B54944">
        <w:t xml:space="preserve"> had testified to seven separate acts of sexual abuse.  Based on this testimony and the court’s instruction to the jury that it was required to “</w:t>
      </w:r>
      <w:r w:rsidR="00F344E9" w:rsidRPr="00B54944">
        <w:t> ‘</w:t>
      </w:r>
      <w:r w:rsidRPr="00B54944">
        <w:t>consider each count separately and return a separate verdict for each one,</w:t>
      </w:r>
      <w:r w:rsidR="00F344E9" w:rsidRPr="00B54944">
        <w:t>’ </w:t>
      </w:r>
      <w:r w:rsidRPr="00B54944">
        <w:t xml:space="preserve">” the court found that </w:t>
      </w:r>
      <w:r w:rsidR="005B7ECE" w:rsidRPr="00B54944">
        <w:t xml:space="preserve">Catarino’s seven counts of conviction corresponded to </w:t>
      </w:r>
      <w:r w:rsidR="00951694">
        <w:t>“seven separate incidents</w:t>
      </w:r>
      <w:r w:rsidR="00246968">
        <w:t xml:space="preserve"> pursuant to . . . section 667.6(d).”  </w:t>
      </w:r>
      <w:r w:rsidR="005B7ECE" w:rsidRPr="00B54944">
        <w:t xml:space="preserve">In line with </w:t>
      </w:r>
      <w:r w:rsidR="00DF562A">
        <w:t>this</w:t>
      </w:r>
      <w:r w:rsidR="005B7ECE" w:rsidRPr="00B54944">
        <w:t xml:space="preserve"> finding, the court sentenced Catarino to full, consecutive terms on each count.  It imposed the middle term of eight years on his first count and the lower term </w:t>
      </w:r>
      <w:r w:rsidR="00C946E0" w:rsidRPr="00B54944">
        <w:t xml:space="preserve">of five years </w:t>
      </w:r>
      <w:r w:rsidR="005B7ECE" w:rsidRPr="00B54944">
        <w:t>on each of counts</w:t>
      </w:r>
      <w:r w:rsidR="009E1E86" w:rsidRPr="00B54944">
        <w:t xml:space="preserve"> two through six</w:t>
      </w:r>
      <w:r w:rsidR="005B7ECE" w:rsidRPr="00B54944">
        <w:t xml:space="preserve">.  </w:t>
      </w:r>
      <w:r w:rsidR="009E1E86" w:rsidRPr="00B54944">
        <w:t xml:space="preserve">On </w:t>
      </w:r>
      <w:r w:rsidR="005E1BFF">
        <w:t xml:space="preserve">count seven, </w:t>
      </w:r>
      <w:r w:rsidR="009E1E86" w:rsidRPr="00B54944">
        <w:t xml:space="preserve">the attempt count, it imposed </w:t>
      </w:r>
      <w:r w:rsidR="00623790">
        <w:t xml:space="preserve">a term of </w:t>
      </w:r>
      <w:r w:rsidR="009E1E86" w:rsidRPr="00B54944">
        <w:t>two and a half years, the lowest available for that charge.</w:t>
      </w:r>
    </w:p>
    <w:p w14:paraId="62D5344C" w14:textId="3909DE06" w:rsidR="005B7ECE" w:rsidRPr="00B54944" w:rsidRDefault="0003587D" w:rsidP="00B54944">
      <w:pPr>
        <w:tabs>
          <w:tab w:val="left" w:pos="1440"/>
        </w:tabs>
        <w:ind w:firstLine="720"/>
      </w:pPr>
      <w:r w:rsidRPr="00B54944">
        <w:t xml:space="preserve">Catarino appealed, arguing that sentencing him under section 667.6(d) “without having submitted to the jury the question of whether each of </w:t>
      </w:r>
      <w:r w:rsidR="00A27EFE">
        <w:t xml:space="preserve">[his] </w:t>
      </w:r>
      <w:r w:rsidRPr="00B54944">
        <w:t xml:space="preserve">offenses was committed on a ‘separate occasion’ denied </w:t>
      </w:r>
      <w:r w:rsidR="005770B8">
        <w:t>[him]</w:t>
      </w:r>
      <w:r w:rsidR="005770B8" w:rsidRPr="00B54944">
        <w:t xml:space="preserve"> </w:t>
      </w:r>
      <w:r w:rsidRPr="00B54944">
        <w:t xml:space="preserve">his Sixth Amendment right to a jury trial” under </w:t>
      </w:r>
      <w:r w:rsidRPr="00B54944">
        <w:rPr>
          <w:i/>
          <w:iCs/>
        </w:rPr>
        <w:t>Apprendi</w:t>
      </w:r>
      <w:r w:rsidRPr="00B54944">
        <w:t xml:space="preserve"> and </w:t>
      </w:r>
      <w:r w:rsidRPr="00B54944">
        <w:rPr>
          <w:i/>
          <w:iCs/>
        </w:rPr>
        <w:t>Alleyne</w:t>
      </w:r>
      <w:r w:rsidRPr="00B54944">
        <w:t xml:space="preserve">.  </w:t>
      </w:r>
      <w:r w:rsidR="00186AAA" w:rsidRPr="00B54944">
        <w:t xml:space="preserve">He argued that </w:t>
      </w:r>
      <w:r w:rsidR="00FB02EA" w:rsidRPr="00B54944">
        <w:t xml:space="preserve">because </w:t>
      </w:r>
      <w:r w:rsidRPr="00B54944">
        <w:t xml:space="preserve">the </w:t>
      </w:r>
      <w:r w:rsidR="00B91FD7" w:rsidRPr="00B54944">
        <w:t xml:space="preserve">separate occasions </w:t>
      </w:r>
      <w:r w:rsidRPr="00B54944">
        <w:t xml:space="preserve">finding required that his second through seventh counts “carry a full term, rather than the term that would otherwise apply under” the </w:t>
      </w:r>
      <w:r w:rsidR="00651868" w:rsidRPr="00B54944">
        <w:t>determinate sentencing law</w:t>
      </w:r>
      <w:r w:rsidRPr="00B54944">
        <w:t xml:space="preserve">, it increased the minimum term for </w:t>
      </w:r>
      <w:r w:rsidR="000375E5" w:rsidRPr="00B54944">
        <w:t xml:space="preserve">each of </w:t>
      </w:r>
      <w:r w:rsidRPr="00B54944">
        <w:t>those offenses.</w:t>
      </w:r>
    </w:p>
    <w:p w14:paraId="7083C36A" w14:textId="26FAE1EC" w:rsidR="00694A6C" w:rsidRDefault="0003587D" w:rsidP="00B54944">
      <w:pPr>
        <w:tabs>
          <w:tab w:val="left" w:pos="1440"/>
        </w:tabs>
        <w:ind w:firstLine="720"/>
      </w:pPr>
      <w:r w:rsidRPr="00B54944">
        <w:lastRenderedPageBreak/>
        <w:t>The Court of Appeal</w:t>
      </w:r>
      <w:r w:rsidR="00BE64CB" w:rsidRPr="00B54944">
        <w:t>, c</w:t>
      </w:r>
      <w:r w:rsidR="00CB3E95" w:rsidRPr="00B54944">
        <w:t xml:space="preserve">iting </w:t>
      </w:r>
      <w:r w:rsidR="00A02774" w:rsidRPr="00B54944">
        <w:rPr>
          <w:i/>
          <w:iCs/>
        </w:rPr>
        <w:t>Ice</w:t>
      </w:r>
      <w:r w:rsidR="00CB3E95" w:rsidRPr="00B54944">
        <w:t xml:space="preserve">, </w:t>
      </w:r>
      <w:r w:rsidR="00BE64CB" w:rsidRPr="00B54944">
        <w:t>held</w:t>
      </w:r>
      <w:r w:rsidR="00CB3E95" w:rsidRPr="00B54944">
        <w:t xml:space="preserve"> that the rule of </w:t>
      </w:r>
      <w:r w:rsidR="00CB3E95" w:rsidRPr="00B54944">
        <w:rPr>
          <w:i/>
          <w:iCs/>
        </w:rPr>
        <w:t>Apprendi</w:t>
      </w:r>
      <w:r w:rsidR="00CB3E95" w:rsidRPr="00B54944">
        <w:t xml:space="preserve"> and </w:t>
      </w:r>
      <w:r w:rsidR="00CB3E95" w:rsidRPr="00B54944">
        <w:rPr>
          <w:i/>
          <w:iCs/>
        </w:rPr>
        <w:t>Alleyne</w:t>
      </w:r>
      <w:r w:rsidR="00CB3E95" w:rsidRPr="00B54944">
        <w:t xml:space="preserve"> “do[es] not apply to the court’s determination of whether to impose consecutive sentences for convictions of </w:t>
      </w:r>
      <w:r w:rsidR="00CB3E95" w:rsidRPr="00B54944">
        <w:rPr>
          <w:i/>
          <w:iCs/>
        </w:rPr>
        <w:t xml:space="preserve">multiple </w:t>
      </w:r>
      <w:r w:rsidR="00CB3E95" w:rsidRPr="00B54944">
        <w:t>criminal offenses.”</w:t>
      </w:r>
      <w:r w:rsidR="0013574E">
        <w:t xml:space="preserve">  (</w:t>
      </w:r>
      <w:r w:rsidR="0013574E">
        <w:rPr>
          <w:i/>
          <w:iCs/>
        </w:rPr>
        <w:t>People v. Catarino</w:t>
      </w:r>
      <w:r w:rsidR="0013574E">
        <w:t xml:space="preserve"> (Oct. 14, 2021, D078832) [nonpub. opn.].)</w:t>
      </w:r>
      <w:r w:rsidR="00CB3E95" w:rsidRPr="00B54944">
        <w:t xml:space="preserve">  </w:t>
      </w:r>
      <w:r w:rsidR="00051905">
        <w:t xml:space="preserve">It </w:t>
      </w:r>
      <w:r w:rsidR="00670522">
        <w:t>also</w:t>
      </w:r>
      <w:r w:rsidR="00051905">
        <w:t xml:space="preserve"> held that </w:t>
      </w:r>
      <w:r w:rsidR="00365E44">
        <w:t xml:space="preserve">on the </w:t>
      </w:r>
      <w:r w:rsidR="00C7258B">
        <w:t>attempt count</w:t>
      </w:r>
      <w:r w:rsidR="00365E44">
        <w:t>, Catarino</w:t>
      </w:r>
      <w:r w:rsidR="00C7258B">
        <w:t xml:space="preserve"> was erroneously sentenced under section 667.6(d), which does not apply to attempted sex offenses</w:t>
      </w:r>
      <w:r w:rsidR="00671194">
        <w:t>, and</w:t>
      </w:r>
      <w:r w:rsidR="00BA4E36">
        <w:t xml:space="preserve"> </w:t>
      </w:r>
      <w:r w:rsidR="00365E44">
        <w:t xml:space="preserve">it </w:t>
      </w:r>
      <w:r w:rsidR="00BA4E36">
        <w:t xml:space="preserve">remanded </w:t>
      </w:r>
      <w:r w:rsidR="00BF4471">
        <w:t>for resentencing</w:t>
      </w:r>
      <w:r w:rsidR="00D83FA3">
        <w:t>.</w:t>
      </w:r>
      <w:r w:rsidR="00F406AA">
        <w:t xml:space="preserve">  </w:t>
      </w:r>
      <w:r w:rsidR="00AF24F1">
        <w:t xml:space="preserve">As a result, </w:t>
      </w:r>
      <w:r w:rsidR="00655A7A">
        <w:t>we do not address Catarino’s attempt conviction.</w:t>
      </w:r>
    </w:p>
    <w:p w14:paraId="5900519B" w14:textId="45B85B7D" w:rsidR="00AE3C98" w:rsidRPr="00B54944" w:rsidDel="00694A6C" w:rsidRDefault="00CB3E95" w:rsidP="00B54944">
      <w:pPr>
        <w:tabs>
          <w:tab w:val="left" w:pos="1440"/>
        </w:tabs>
        <w:ind w:firstLine="720"/>
      </w:pPr>
      <w:r w:rsidRPr="00B54944" w:rsidDel="00694A6C">
        <w:t xml:space="preserve">We granted review to decide whether </w:t>
      </w:r>
      <w:r w:rsidR="00D11ED0" w:rsidRPr="00B54944" w:rsidDel="00694A6C">
        <w:t>section 667.6(d) complies with the Sixth Amendment.</w:t>
      </w:r>
      <w:r w:rsidR="009F2C49">
        <w:t xml:space="preserve">  Since our grant of review, a split </w:t>
      </w:r>
      <w:r w:rsidR="00365E44">
        <w:t xml:space="preserve">of authority </w:t>
      </w:r>
      <w:r w:rsidR="009F2C49">
        <w:t xml:space="preserve">has emerged </w:t>
      </w:r>
      <w:r w:rsidR="00724992">
        <w:t>on this question</w:t>
      </w:r>
      <w:r w:rsidR="009F2C49">
        <w:t>.  (</w:t>
      </w:r>
      <w:r w:rsidR="007066FA">
        <w:t>Compare</w:t>
      </w:r>
      <w:r w:rsidR="00724992">
        <w:t xml:space="preserve"> </w:t>
      </w:r>
      <w:r w:rsidR="002D5791">
        <w:rPr>
          <w:i/>
          <w:iCs/>
        </w:rPr>
        <w:t xml:space="preserve">People v. Wandrey </w:t>
      </w:r>
      <w:r w:rsidR="002D5791">
        <w:t xml:space="preserve">(2022) 80 Cal.App.5th 962, 978–980 </w:t>
      </w:r>
      <w:r w:rsidR="00724992">
        <w:t>[</w:t>
      </w:r>
      <w:r w:rsidR="0013574E">
        <w:t>§</w:t>
      </w:r>
      <w:r w:rsidR="00216B63">
        <w:t> </w:t>
      </w:r>
      <w:r w:rsidR="00724992">
        <w:t>667.6(d) compli</w:t>
      </w:r>
      <w:r w:rsidR="007066FA">
        <w:t xml:space="preserve">es with the </w:t>
      </w:r>
      <w:r w:rsidR="0013574E">
        <w:t>6th Amend.</w:t>
      </w:r>
      <w:r w:rsidR="00AC63CE">
        <w:t xml:space="preserve"> </w:t>
      </w:r>
      <w:r w:rsidR="007066FA">
        <w:t xml:space="preserve">under </w:t>
      </w:r>
      <w:r w:rsidR="007066FA">
        <w:rPr>
          <w:i/>
          <w:iCs/>
        </w:rPr>
        <w:t>Ice</w:t>
      </w:r>
      <w:r w:rsidR="007066FA">
        <w:t>] with</w:t>
      </w:r>
      <w:r w:rsidR="007066FA">
        <w:rPr>
          <w:i/>
          <w:iCs/>
        </w:rPr>
        <w:t xml:space="preserve"> </w:t>
      </w:r>
      <w:r w:rsidR="00DD5C21">
        <w:rPr>
          <w:i/>
          <w:iCs/>
        </w:rPr>
        <w:t xml:space="preserve">People v. Johnson </w:t>
      </w:r>
      <w:r w:rsidR="00DD5C21">
        <w:t xml:space="preserve">(2023) </w:t>
      </w:r>
      <w:r w:rsidR="008B152B">
        <w:t xml:space="preserve">88 Cal.App.5th 487, </w:t>
      </w:r>
      <w:r w:rsidR="009B3AE3">
        <w:t>502–505</w:t>
      </w:r>
      <w:r w:rsidR="00FA3F77">
        <w:t xml:space="preserve"> (</w:t>
      </w:r>
      <w:r w:rsidR="00FA3F77">
        <w:rPr>
          <w:i/>
          <w:iCs/>
        </w:rPr>
        <w:t>Johnson</w:t>
      </w:r>
      <w:r w:rsidR="00FA3F77">
        <w:t>)</w:t>
      </w:r>
      <w:r w:rsidR="004367A2">
        <w:t xml:space="preserve"> [</w:t>
      </w:r>
      <w:r w:rsidR="0013574E">
        <w:t>§</w:t>
      </w:r>
      <w:r w:rsidR="00216B63">
        <w:t> </w:t>
      </w:r>
      <w:r w:rsidR="004367A2">
        <w:t xml:space="preserve">667.6(d) violates the </w:t>
      </w:r>
      <w:r w:rsidR="0013574E">
        <w:t>6th Amend.</w:t>
      </w:r>
      <w:r w:rsidR="004367A2">
        <w:t>]</w:t>
      </w:r>
      <w:r w:rsidR="009B3AE3">
        <w:t>.)</w:t>
      </w:r>
      <w:r w:rsidR="009F2C49">
        <w:rPr>
          <w:b/>
          <w:bCs/>
          <w:position w:val="6"/>
        </w:rPr>
        <w:t xml:space="preserve"> </w:t>
      </w:r>
    </w:p>
    <w:p w14:paraId="623AF02D" w14:textId="0491D421" w:rsidR="00860CE3" w:rsidRPr="00B54944" w:rsidRDefault="00860CE3" w:rsidP="00B54944">
      <w:pPr>
        <w:pStyle w:val="Heading1"/>
      </w:pPr>
      <w:r w:rsidRPr="00B54944">
        <w:t>II.</w:t>
      </w:r>
    </w:p>
    <w:p w14:paraId="4A4B1A79" w14:textId="1C633CF1" w:rsidR="00BE6A33" w:rsidRPr="00B54944" w:rsidRDefault="001D5953" w:rsidP="00B54944">
      <w:pPr>
        <w:tabs>
          <w:tab w:val="left" w:pos="1440"/>
        </w:tabs>
        <w:ind w:firstLine="720"/>
      </w:pPr>
      <w:r w:rsidRPr="00B54944">
        <w:t xml:space="preserve">We begin with an explanation of </w:t>
      </w:r>
      <w:r w:rsidR="008674A1" w:rsidRPr="00B54944">
        <w:t>the sentencing scheme here</w:t>
      </w:r>
      <w:r w:rsidR="00570F02" w:rsidRPr="00B54944">
        <w:t xml:space="preserve">. </w:t>
      </w:r>
      <w:r w:rsidR="008674A1" w:rsidRPr="00B54944">
        <w:t xml:space="preserve"> </w:t>
      </w:r>
      <w:r w:rsidR="00570F02" w:rsidRPr="00B54944">
        <w:t>M</w:t>
      </w:r>
      <w:r w:rsidR="00205E36" w:rsidRPr="00B54944">
        <w:t>any sections of the Penal Code</w:t>
      </w:r>
      <w:r w:rsidR="00A94EC2" w:rsidRPr="00B54944">
        <w:t xml:space="preserve"> </w:t>
      </w:r>
      <w:r w:rsidR="00E56424" w:rsidRPr="00B54944">
        <w:t xml:space="preserve">that </w:t>
      </w:r>
      <w:r w:rsidR="00205E36" w:rsidRPr="00B54944">
        <w:t>describ</w:t>
      </w:r>
      <w:r w:rsidR="00A94EC2" w:rsidRPr="00B54944">
        <w:t xml:space="preserve">e a </w:t>
      </w:r>
      <w:r w:rsidR="00205E36" w:rsidRPr="00B54944">
        <w:t xml:space="preserve">criminal offense </w:t>
      </w:r>
      <w:r w:rsidR="000B347F" w:rsidRPr="00B54944">
        <w:t>establish</w:t>
      </w:r>
      <w:r w:rsidR="00205E36" w:rsidRPr="00B54944">
        <w:t xml:space="preserve"> three options for</w:t>
      </w:r>
      <w:r w:rsidR="00EE7BFF" w:rsidRPr="00B54944">
        <w:t xml:space="preserve"> </w:t>
      </w:r>
      <w:r w:rsidR="00205E36" w:rsidRPr="00B54944">
        <w:t xml:space="preserve">determinate sentences for the offense:  a lower, middle, and upper term.  </w:t>
      </w:r>
      <w:r w:rsidR="00365E44">
        <w:t>S</w:t>
      </w:r>
      <w:r w:rsidR="00205E36" w:rsidRPr="00B54944">
        <w:t xml:space="preserve">ection 288, </w:t>
      </w:r>
      <w:r w:rsidR="00BE6A33" w:rsidRPr="00B54944">
        <w:t xml:space="preserve">subdivision (b)(1), </w:t>
      </w:r>
      <w:r w:rsidR="00205E36" w:rsidRPr="00B54944">
        <w:t xml:space="preserve">which </w:t>
      </w:r>
      <w:r w:rsidR="00BE6A33" w:rsidRPr="00B54944">
        <w:t>defines Catarino’s offense of forcible lewd or lascivious acts against a child under the age of fourteen, states that a person who commits that crime “shall be punished by imprisonment in the state prison for 5, 8, or 10 years.”</w:t>
      </w:r>
    </w:p>
    <w:p w14:paraId="10D92157" w14:textId="5DADF89A" w:rsidR="00860CE3" w:rsidRPr="00B54944" w:rsidRDefault="00FF74BB" w:rsidP="00B54944">
      <w:pPr>
        <w:tabs>
          <w:tab w:val="left" w:pos="1440"/>
        </w:tabs>
        <w:ind w:firstLine="720"/>
      </w:pPr>
      <w:r>
        <w:t>“When a person is convicted of two or more crimes,” California law generally requires a court to determine “whether the terms of imprisonment</w:t>
      </w:r>
      <w:r w:rsidR="000C5460">
        <w:t xml:space="preserve"> . . . shall run concurrently or consecutively.”  (§ 669, subd. (a).)</w:t>
      </w:r>
      <w:r>
        <w:t xml:space="preserve"> </w:t>
      </w:r>
      <w:r w:rsidR="000C5460">
        <w:t xml:space="preserve"> As relevant here, several statutes </w:t>
      </w:r>
      <w:r w:rsidR="00CC43CC">
        <w:t xml:space="preserve">affect </w:t>
      </w:r>
      <w:r w:rsidR="00615384">
        <w:t xml:space="preserve">how a court imposes </w:t>
      </w:r>
      <w:r w:rsidR="009A2DD2">
        <w:t xml:space="preserve">concurrent or consecutive </w:t>
      </w:r>
      <w:r w:rsidR="009A2DD2">
        <w:lastRenderedPageBreak/>
        <w:t>sentences</w:t>
      </w:r>
      <w:r w:rsidR="003B6638">
        <w:t>.</w:t>
      </w:r>
      <w:r w:rsidR="00FD6372">
        <w:t xml:space="preserve"> </w:t>
      </w:r>
      <w:r w:rsidR="003B6638">
        <w:t xml:space="preserve"> </w:t>
      </w:r>
      <w:r w:rsidR="00911C77" w:rsidRPr="00B54944">
        <w:t xml:space="preserve">Under section 1170.1, </w:t>
      </w:r>
      <w:r w:rsidR="004E7E6B" w:rsidRPr="00B54944">
        <w:t xml:space="preserve">which is </w:t>
      </w:r>
      <w:r w:rsidR="00911C77" w:rsidRPr="00B54944">
        <w:t xml:space="preserve">part of the </w:t>
      </w:r>
      <w:r w:rsidR="00065211" w:rsidRPr="00B54944">
        <w:t>d</w:t>
      </w:r>
      <w:r w:rsidR="00911C77" w:rsidRPr="00B54944">
        <w:t xml:space="preserve">eterminate </w:t>
      </w:r>
      <w:r w:rsidR="00065211" w:rsidRPr="00B54944">
        <w:t>s</w:t>
      </w:r>
      <w:r w:rsidR="00911C77" w:rsidRPr="00B54944">
        <w:t xml:space="preserve">entencing </w:t>
      </w:r>
      <w:r w:rsidR="00065211" w:rsidRPr="00B54944">
        <w:t>l</w:t>
      </w:r>
      <w:r w:rsidR="00911C77" w:rsidRPr="00B54944">
        <w:t xml:space="preserve">aw, </w:t>
      </w:r>
      <w:r w:rsidR="006D4F67" w:rsidRPr="00B54944">
        <w:t xml:space="preserve">a court imposing </w:t>
      </w:r>
      <w:r w:rsidR="005745C8" w:rsidRPr="00B54944">
        <w:t xml:space="preserve">determinate, </w:t>
      </w:r>
      <w:r w:rsidR="006D4F67" w:rsidRPr="00B54944">
        <w:t xml:space="preserve">consecutive sentences </w:t>
      </w:r>
      <w:r w:rsidR="004E7E6B" w:rsidRPr="00B54944">
        <w:t xml:space="preserve">for </w:t>
      </w:r>
      <w:r w:rsidR="006D4F67" w:rsidRPr="00B54944">
        <w:t xml:space="preserve">two or more felonies </w:t>
      </w:r>
      <w:r w:rsidR="005745C8" w:rsidRPr="00B54944">
        <w:t>is required to impose an “aggregate term of imprisonment for all these convictions</w:t>
      </w:r>
      <w:r w:rsidR="000A7FDE" w:rsidRPr="00B54944">
        <w:t>,</w:t>
      </w:r>
      <w:r w:rsidR="005745C8" w:rsidRPr="00B54944">
        <w:t>”</w:t>
      </w:r>
      <w:r w:rsidR="000A7FDE" w:rsidRPr="00B54944">
        <w:t xml:space="preserve"> which is</w:t>
      </w:r>
      <w:r w:rsidR="005D4B08" w:rsidRPr="00B54944">
        <w:t xml:space="preserve"> </w:t>
      </w:r>
      <w:r w:rsidR="005745C8" w:rsidRPr="00B54944">
        <w:t>the sum of the “principal term,” the “subordinate term[s],” and any enhancements.  (</w:t>
      </w:r>
      <w:r w:rsidR="0013574E">
        <w:rPr>
          <w:i/>
          <w:iCs/>
        </w:rPr>
        <w:t>Id.</w:t>
      </w:r>
      <w:r w:rsidR="005745C8" w:rsidRPr="00B54944">
        <w:t>, subd.</w:t>
      </w:r>
      <w:r w:rsidR="00D42CD1" w:rsidRPr="00B54944">
        <w:t> </w:t>
      </w:r>
      <w:r w:rsidR="005745C8" w:rsidRPr="00B54944">
        <w:t xml:space="preserve">(a).)  The principal term </w:t>
      </w:r>
      <w:r w:rsidR="007A7CD0" w:rsidRPr="00B54944">
        <w:t xml:space="preserve">“shall consist of </w:t>
      </w:r>
      <w:r w:rsidR="005745C8" w:rsidRPr="00B54944">
        <w:t>the greatest term of imprisonment imposed by the court for any of the crimes.”  (</w:t>
      </w:r>
      <w:r w:rsidR="005745C8" w:rsidRPr="00B54944">
        <w:rPr>
          <w:i/>
          <w:iCs/>
        </w:rPr>
        <w:t>Ibid.</w:t>
      </w:r>
      <w:r w:rsidR="005745C8" w:rsidRPr="00B54944">
        <w:t xml:space="preserve">)  </w:t>
      </w:r>
      <w:r w:rsidR="007D1CE8" w:rsidRPr="00B54944">
        <w:t>The subordinate terms “shall consist of one</w:t>
      </w:r>
      <w:r w:rsidR="007D1CE8" w:rsidRPr="00B54944">
        <w:noBreakHyphen/>
        <w:t>third of the middle term of imprisonment prescribed for each other felony conviction for which a consecutive term of imprisonment is imposed,” plus one</w:t>
      </w:r>
      <w:r w:rsidR="007D1CE8" w:rsidRPr="00B54944">
        <w:noBreakHyphen/>
        <w:t>third of any applicable enhancements.  (</w:t>
      </w:r>
      <w:r w:rsidR="005F125A" w:rsidRPr="00B54944">
        <w:rPr>
          <w:i/>
          <w:iCs/>
        </w:rPr>
        <w:t>Ibid.</w:t>
      </w:r>
      <w:r w:rsidR="007D1CE8" w:rsidRPr="00B54944">
        <w:t>)</w:t>
      </w:r>
    </w:p>
    <w:p w14:paraId="5F04DD49" w14:textId="551B9C7F" w:rsidR="007A7CD0" w:rsidRPr="00B54944" w:rsidRDefault="002E48BF" w:rsidP="00B54944">
      <w:pPr>
        <w:tabs>
          <w:tab w:val="left" w:pos="1440"/>
        </w:tabs>
        <w:ind w:firstLine="720"/>
      </w:pPr>
      <w:r w:rsidRPr="00B54944">
        <w:t>Section 1170.1</w:t>
      </w:r>
      <w:r w:rsidR="00122FF6" w:rsidRPr="00B54944">
        <w:t xml:space="preserve"> </w:t>
      </w:r>
      <w:r w:rsidR="00474921" w:rsidRPr="00B54944">
        <w:t xml:space="preserve">governs </w:t>
      </w:r>
      <w:r w:rsidR="00552900" w:rsidRPr="00B54944">
        <w:t>most determinate sentencing</w:t>
      </w:r>
      <w:r w:rsidR="00AF3E67" w:rsidRPr="00B54944">
        <w:t xml:space="preserve">.  For certain sex offenses, however, </w:t>
      </w:r>
      <w:r w:rsidR="00B272DF" w:rsidRPr="00B54944">
        <w:t xml:space="preserve">the </w:t>
      </w:r>
      <w:r w:rsidR="00AF3E67" w:rsidRPr="00B54944">
        <w:t xml:space="preserve">Penal Code establishes two alternative sentencing frameworks.  </w:t>
      </w:r>
      <w:r w:rsidR="00FC718F" w:rsidRPr="00B54944">
        <w:t>First, u</w:t>
      </w:r>
      <w:r w:rsidR="00AF3E67" w:rsidRPr="00B54944">
        <w:t>nder section 667.6, subdivision (c)</w:t>
      </w:r>
      <w:r w:rsidR="00B91172">
        <w:t xml:space="preserve"> </w:t>
      </w:r>
      <w:r w:rsidR="00B91172" w:rsidRPr="00B54944">
        <w:t>(section 667.6(c))</w:t>
      </w:r>
      <w:r w:rsidR="00AF3E67" w:rsidRPr="00B54944">
        <w:t>, “a full, separate, and consecutive term may be imposed for each violation of an offense specified in subdivision (e) if the crimes involve the same victim on the same occasion.”</w:t>
      </w:r>
      <w:r w:rsidR="002E6C56" w:rsidRPr="00B54944">
        <w:t xml:space="preserve">  </w:t>
      </w:r>
      <w:r w:rsidR="00FC718F" w:rsidRPr="00B54944">
        <w:t>This is “[i]n lieu of the term provided in Section 1170.1.”  (</w:t>
      </w:r>
      <w:r w:rsidR="00FC718F" w:rsidRPr="00B54944">
        <w:rPr>
          <w:i/>
          <w:iCs/>
        </w:rPr>
        <w:t>Ibid.</w:t>
      </w:r>
      <w:r w:rsidR="00FC718F" w:rsidRPr="00B54944">
        <w:t>)</w:t>
      </w:r>
      <w:r w:rsidR="00FC718F" w:rsidRPr="00B54944">
        <w:rPr>
          <w:i/>
          <w:iCs/>
        </w:rPr>
        <w:t xml:space="preserve">  </w:t>
      </w:r>
      <w:r w:rsidR="00FC718F" w:rsidRPr="00B54944">
        <w:t xml:space="preserve">Section 667.6(c) </w:t>
      </w:r>
      <w:r w:rsidR="002E6C56" w:rsidRPr="00B54944">
        <w:t>is not challenged here.</w:t>
      </w:r>
      <w:r w:rsidR="00AF3E67" w:rsidRPr="00B54944">
        <w:t xml:space="preserve">  </w:t>
      </w:r>
      <w:r w:rsidR="00FC718F" w:rsidRPr="00B54944">
        <w:t>Second,</w:t>
      </w:r>
      <w:r w:rsidR="0064095C" w:rsidRPr="00B54944">
        <w:t xml:space="preserve"> u</w:t>
      </w:r>
      <w:r w:rsidR="00D96880" w:rsidRPr="00B54944">
        <w:t>nder section</w:t>
      </w:r>
      <w:r w:rsidR="00D12505" w:rsidRPr="00B54944">
        <w:t xml:space="preserve"> </w:t>
      </w:r>
      <w:r w:rsidR="00D96880" w:rsidRPr="00B54944">
        <w:t>667.6(d)</w:t>
      </w:r>
      <w:r w:rsidR="0064095C" w:rsidRPr="00B54944">
        <w:t>,</w:t>
      </w:r>
      <w:r w:rsidR="002679FE" w:rsidRPr="00B54944">
        <w:t xml:space="preserve"> </w:t>
      </w:r>
      <w:r w:rsidR="002113B3" w:rsidRPr="00B54944">
        <w:t xml:space="preserve">if the sentencing court finds </w:t>
      </w:r>
      <w:r w:rsidR="004A4E27" w:rsidRPr="00B54944">
        <w:t xml:space="preserve">that multiple sex offenses carrying determinate terms </w:t>
      </w:r>
      <w:r w:rsidR="00D96880" w:rsidRPr="00B54944">
        <w:t xml:space="preserve">involved separate victims or </w:t>
      </w:r>
      <w:r w:rsidR="004A4E27" w:rsidRPr="00B54944">
        <w:t>were committed on separate occasions</w:t>
      </w:r>
      <w:r w:rsidR="00C35E71" w:rsidRPr="00B54944">
        <w:t>, “[a] full, separate, and consecutive term shall be imposed for each violation,” and the terms “shall not be included in any determination pursuant to Section 1170.1.”  (§ 667.6, subd</w:t>
      </w:r>
      <w:r w:rsidR="00C206F6" w:rsidRPr="00B54944">
        <w:t>s</w:t>
      </w:r>
      <w:r w:rsidR="00C35E71" w:rsidRPr="00B54944">
        <w:t>.</w:t>
      </w:r>
      <w:r w:rsidR="00C206F6" w:rsidRPr="00B54944">
        <w:t> </w:t>
      </w:r>
      <w:r w:rsidR="00C35E71" w:rsidRPr="00B54944">
        <w:t xml:space="preserve">(d)(1), (3).)  </w:t>
      </w:r>
      <w:r w:rsidR="00877731" w:rsidRPr="00B54944">
        <w:t>Th</w:t>
      </w:r>
      <w:r w:rsidR="00AF3E67" w:rsidRPr="00B54944">
        <w:t>ese</w:t>
      </w:r>
      <w:r w:rsidR="002679FE" w:rsidRPr="00B54944">
        <w:t xml:space="preserve"> </w:t>
      </w:r>
      <w:r w:rsidR="00877731" w:rsidRPr="00B54944">
        <w:t>provision</w:t>
      </w:r>
      <w:r w:rsidR="00AF3E67" w:rsidRPr="00B54944">
        <w:t>s</w:t>
      </w:r>
      <w:r w:rsidR="00877731" w:rsidRPr="00B54944">
        <w:t xml:space="preserve"> appl</w:t>
      </w:r>
      <w:r w:rsidR="00AF3E67" w:rsidRPr="00B54944">
        <w:t>y</w:t>
      </w:r>
      <w:r w:rsidR="00877731" w:rsidRPr="00B54944">
        <w:t xml:space="preserve"> to many sex crimes</w:t>
      </w:r>
      <w:r w:rsidR="007D1CE8" w:rsidRPr="00B54944">
        <w:t>, including Catarino’s</w:t>
      </w:r>
      <w:r w:rsidR="00877731" w:rsidRPr="00B54944">
        <w:t>.  (§ 667.6, subd.</w:t>
      </w:r>
      <w:r w:rsidR="007D1CE8" w:rsidRPr="00B54944">
        <w:t> </w:t>
      </w:r>
      <w:r w:rsidR="00877731" w:rsidRPr="00B54944">
        <w:t>(e).)</w:t>
      </w:r>
    </w:p>
    <w:p w14:paraId="52C5F58E" w14:textId="119AD61B" w:rsidR="00BB1D62" w:rsidRPr="00B54944" w:rsidRDefault="00CC1A4E" w:rsidP="00B54944">
      <w:pPr>
        <w:tabs>
          <w:tab w:val="left" w:pos="1440"/>
        </w:tabs>
        <w:ind w:firstLine="720"/>
      </w:pPr>
      <w:r w:rsidRPr="00B54944">
        <w:t>T</w:t>
      </w:r>
      <w:r w:rsidR="00084364" w:rsidRPr="00B54944">
        <w:t xml:space="preserve">he statute </w:t>
      </w:r>
      <w:r w:rsidR="00743044" w:rsidRPr="00B54944">
        <w:t>prescribing</w:t>
      </w:r>
      <w:r w:rsidR="00084364" w:rsidRPr="00B54944">
        <w:t xml:space="preserve"> the lower, middle, and upper terms for s</w:t>
      </w:r>
      <w:r w:rsidR="00026A27" w:rsidRPr="00B54944">
        <w:t xml:space="preserve">ix of </w:t>
      </w:r>
      <w:r w:rsidRPr="00B54944">
        <w:t xml:space="preserve">Catarino’s </w:t>
      </w:r>
      <w:r w:rsidR="00026A27" w:rsidRPr="00B54944">
        <w:t xml:space="preserve">seven counts of conviction </w:t>
      </w:r>
      <w:r w:rsidR="00743044" w:rsidRPr="00B54944">
        <w:t>set</w:t>
      </w:r>
      <w:r w:rsidR="00084364" w:rsidRPr="00B54944">
        <w:t xml:space="preserve"> them at </w:t>
      </w:r>
      <w:r w:rsidR="00026A27" w:rsidRPr="00B54944">
        <w:lastRenderedPageBreak/>
        <w:t xml:space="preserve">five, eight, </w:t>
      </w:r>
      <w:r w:rsidR="00084364" w:rsidRPr="00B54944">
        <w:t>and</w:t>
      </w:r>
      <w:r w:rsidR="00026A27" w:rsidRPr="00B54944">
        <w:t xml:space="preserve"> </w:t>
      </w:r>
      <w:r w:rsidR="006C576F">
        <w:t>ten</w:t>
      </w:r>
      <w:r w:rsidR="00B91172" w:rsidRPr="00B54944">
        <w:t xml:space="preserve"> </w:t>
      </w:r>
      <w:r w:rsidR="00026A27" w:rsidRPr="00B54944">
        <w:t>years</w:t>
      </w:r>
      <w:r w:rsidRPr="00B54944">
        <w:t>, respectively</w:t>
      </w:r>
      <w:r w:rsidR="00026A27" w:rsidRPr="00B54944">
        <w:t>.  (§ 288, subd.</w:t>
      </w:r>
      <w:r w:rsidR="00C206F6" w:rsidRPr="00B54944">
        <w:t> </w:t>
      </w:r>
      <w:r w:rsidR="00026A27" w:rsidRPr="00B54944">
        <w:t>(b)(1).)</w:t>
      </w:r>
      <w:r w:rsidR="009C3085" w:rsidRPr="00B54944">
        <w:t xml:space="preserve">  </w:t>
      </w:r>
      <w:r w:rsidR="005F125A" w:rsidRPr="00B54944">
        <w:t>When Catarino was sentenced in November 2018, the determinate sentencing law gave courts discretion to impose the lower, middle, or upper sentence for a defendant’s principal term</w:t>
      </w:r>
      <w:r w:rsidR="0055149F" w:rsidRPr="00B54944">
        <w:t>;</w:t>
      </w:r>
      <w:r w:rsidR="005F125A" w:rsidRPr="00B54944">
        <w:t xml:space="preserve"> that part of the law has since been amended in ways not relevant </w:t>
      </w:r>
      <w:r w:rsidR="00365E44">
        <w:t>here</w:t>
      </w:r>
      <w:r w:rsidR="005F125A" w:rsidRPr="00B54944">
        <w:t xml:space="preserve">.  (§ 1170, </w:t>
      </w:r>
      <w:r w:rsidR="00B91172">
        <w:t xml:space="preserve">former </w:t>
      </w:r>
      <w:r w:rsidR="005F125A" w:rsidRPr="00B54944">
        <w:t xml:space="preserve">subd. (b).)  </w:t>
      </w:r>
      <w:r w:rsidR="00525B2F" w:rsidRPr="00B54944">
        <w:t xml:space="preserve">If Catarino had been sentenced under the </w:t>
      </w:r>
      <w:r w:rsidR="00C36D00" w:rsidRPr="00B54944">
        <w:t>d</w:t>
      </w:r>
      <w:r w:rsidR="00525B2F" w:rsidRPr="00B54944">
        <w:t xml:space="preserve">eterminate </w:t>
      </w:r>
      <w:r w:rsidR="00C36D00" w:rsidRPr="00B54944">
        <w:t>s</w:t>
      </w:r>
      <w:r w:rsidR="00525B2F" w:rsidRPr="00B54944">
        <w:t xml:space="preserve">entencing </w:t>
      </w:r>
      <w:r w:rsidR="00C36D00" w:rsidRPr="00B54944">
        <w:t>l</w:t>
      </w:r>
      <w:r w:rsidR="00525B2F" w:rsidRPr="00B54944">
        <w:t>aw</w:t>
      </w:r>
      <w:r w:rsidR="003E7A6C" w:rsidRPr="00B54944">
        <w:t xml:space="preserve"> instead of section 667.6(d)</w:t>
      </w:r>
      <w:r w:rsidR="00525B2F" w:rsidRPr="00B54944">
        <w:t>, the court could</w:t>
      </w:r>
      <w:r w:rsidR="00B01576" w:rsidRPr="00B54944">
        <w:t xml:space="preserve"> </w:t>
      </w:r>
      <w:r w:rsidR="00525B2F" w:rsidRPr="00B54944">
        <w:t xml:space="preserve">have imposed five, eight, or </w:t>
      </w:r>
      <w:r w:rsidR="006C576F">
        <w:t>ten</w:t>
      </w:r>
      <w:r w:rsidR="00B91172" w:rsidRPr="00B54944">
        <w:t xml:space="preserve"> </w:t>
      </w:r>
      <w:r w:rsidR="00525B2F" w:rsidRPr="00B54944">
        <w:t>years on one of his counts of conviction</w:t>
      </w:r>
      <w:r w:rsidRPr="00B54944">
        <w:t>, i.e.,</w:t>
      </w:r>
      <w:r w:rsidR="003E7A6C" w:rsidRPr="00B54944">
        <w:t xml:space="preserve"> the principal term</w:t>
      </w:r>
      <w:r w:rsidR="007D1CE8" w:rsidRPr="00B54944">
        <w:t xml:space="preserve">.  If the court </w:t>
      </w:r>
      <w:r w:rsidRPr="00B54944">
        <w:t>then imposed consecutive</w:t>
      </w:r>
      <w:r w:rsidR="007D1CE8" w:rsidRPr="00B54944">
        <w:t xml:space="preserve"> sentence</w:t>
      </w:r>
      <w:r w:rsidRPr="00B54944">
        <w:t>s</w:t>
      </w:r>
      <w:r w:rsidR="007D1CE8" w:rsidRPr="00B54944">
        <w:t xml:space="preserve"> for his other offenses</w:t>
      </w:r>
      <w:r w:rsidR="009339DB" w:rsidRPr="00B54944">
        <w:t xml:space="preserve">, </w:t>
      </w:r>
      <w:r w:rsidR="005C316E" w:rsidRPr="00B54944">
        <w:t xml:space="preserve">it would have been limited to imposing one-third of the middle term </w:t>
      </w:r>
      <w:r w:rsidR="001B6761" w:rsidRPr="00B54944">
        <w:t>on each of the other counts, i.e., the subordinate terms.</w:t>
      </w:r>
      <w:r w:rsidR="00525B2F" w:rsidRPr="00B54944">
        <w:t xml:space="preserve">  </w:t>
      </w:r>
      <w:r w:rsidR="003D4FE1" w:rsidRPr="00B54944">
        <w:t>For each of the non</w:t>
      </w:r>
      <w:r w:rsidR="006C576F">
        <w:t>-</w:t>
      </w:r>
      <w:r w:rsidR="003D4FE1" w:rsidRPr="00B54944">
        <w:t>attempt counts, this would have been two years and eight months</w:t>
      </w:r>
      <w:r w:rsidRPr="00B54944">
        <w:t xml:space="preserve">, which is </w:t>
      </w:r>
      <w:r w:rsidR="009339DB" w:rsidRPr="00B54944">
        <w:t>one</w:t>
      </w:r>
      <w:r w:rsidR="0062359F" w:rsidRPr="00B54944">
        <w:t>-</w:t>
      </w:r>
      <w:r w:rsidR="009339DB" w:rsidRPr="00B54944">
        <w:t>third of the eight</w:t>
      </w:r>
      <w:r w:rsidR="009339DB" w:rsidRPr="00B54944">
        <w:noBreakHyphen/>
        <w:t>year middle term for his offense listed in section</w:t>
      </w:r>
      <w:r w:rsidR="00836665" w:rsidRPr="00B54944">
        <w:t xml:space="preserve"> </w:t>
      </w:r>
      <w:r w:rsidR="009339DB" w:rsidRPr="00B54944">
        <w:t xml:space="preserve">288, subdivision (b)(1).  </w:t>
      </w:r>
      <w:r w:rsidR="000C47CE" w:rsidRPr="00B54944">
        <w:t xml:space="preserve">Alternatively, the court </w:t>
      </w:r>
      <w:r w:rsidR="00365E44">
        <w:t xml:space="preserve">could </w:t>
      </w:r>
      <w:r w:rsidR="000C47CE" w:rsidRPr="00B54944">
        <w:t xml:space="preserve">have </w:t>
      </w:r>
      <w:r w:rsidR="00365E44">
        <w:t>opted</w:t>
      </w:r>
      <w:r w:rsidR="000C47CE" w:rsidRPr="00B54944">
        <w:t xml:space="preserve"> to impose the sentences concurrently.</w:t>
      </w:r>
    </w:p>
    <w:p w14:paraId="24FD6C5B" w14:textId="1C403CE3" w:rsidR="003D4FE1" w:rsidRPr="00B54944" w:rsidRDefault="00E600CF" w:rsidP="00B54944">
      <w:pPr>
        <w:tabs>
          <w:tab w:val="left" w:pos="1440"/>
        </w:tabs>
        <w:ind w:firstLine="720"/>
      </w:pPr>
      <w:r w:rsidRPr="00B54944">
        <w:t xml:space="preserve">The parties dispute whether the trial court could have sentenced Catarino under section 667.6(c) on the basis of the jury verdict.  </w:t>
      </w:r>
      <w:r w:rsidR="00A075C4" w:rsidRPr="00B54944">
        <w:t xml:space="preserve">If the court </w:t>
      </w:r>
      <w:r w:rsidR="003E464C" w:rsidRPr="00B54944">
        <w:t xml:space="preserve">had </w:t>
      </w:r>
      <w:r w:rsidR="00135FBA" w:rsidRPr="00B54944">
        <w:t>sentenced Catarino under section 667.6(c)</w:t>
      </w:r>
      <w:r w:rsidRPr="00B54944">
        <w:t xml:space="preserve">, the range of sentences available for Catarino’s subordinate term offenses would not have been limited to </w:t>
      </w:r>
      <w:r w:rsidR="004C7471" w:rsidRPr="00B54944">
        <w:t xml:space="preserve">one-third of the middle </w:t>
      </w:r>
      <w:r w:rsidRPr="00B54944">
        <w:t xml:space="preserve">term described in section 1170.1.  </w:t>
      </w:r>
      <w:r w:rsidR="00B91172">
        <w:t>Instead, t</w:t>
      </w:r>
      <w:r w:rsidRPr="00B54944">
        <w:t>he court</w:t>
      </w:r>
      <w:r w:rsidR="00A075C4" w:rsidRPr="00B54944">
        <w:t xml:space="preserve"> would have </w:t>
      </w:r>
      <w:r w:rsidR="00DF392D" w:rsidRPr="00B54944">
        <w:t xml:space="preserve">had </w:t>
      </w:r>
      <w:r w:rsidR="00A075C4" w:rsidRPr="00B54944">
        <w:t xml:space="preserve">the discretion to impose the full five, eight, or </w:t>
      </w:r>
      <w:r w:rsidR="006C576F">
        <w:t>ten</w:t>
      </w:r>
      <w:r w:rsidR="00B91172" w:rsidRPr="00B54944">
        <w:t xml:space="preserve"> </w:t>
      </w:r>
      <w:r w:rsidR="00A075C4" w:rsidRPr="00B54944">
        <w:t xml:space="preserve">years </w:t>
      </w:r>
      <w:r w:rsidR="005C6B78" w:rsidRPr="00B54944">
        <w:t>for</w:t>
      </w:r>
      <w:r w:rsidR="00A075C4" w:rsidRPr="00B54944">
        <w:t xml:space="preserve"> each of the non</w:t>
      </w:r>
      <w:r w:rsidR="006C576F">
        <w:t>-</w:t>
      </w:r>
      <w:r w:rsidR="00A075C4" w:rsidRPr="00B54944">
        <w:t xml:space="preserve">attempt subordinate terms instead of two years and eight months.  </w:t>
      </w:r>
      <w:r w:rsidR="000844A4" w:rsidRPr="00B54944">
        <w:t>T</w:t>
      </w:r>
      <w:r w:rsidR="00A075C4" w:rsidRPr="00B54944">
        <w:t xml:space="preserve">he court </w:t>
      </w:r>
      <w:r w:rsidR="00FD4D9E">
        <w:t xml:space="preserve">would </w:t>
      </w:r>
      <w:r w:rsidR="00F939C7" w:rsidRPr="00B54944">
        <w:t>also</w:t>
      </w:r>
      <w:r w:rsidR="00FD4D9E">
        <w:t xml:space="preserve"> retain discretion to</w:t>
      </w:r>
      <w:r w:rsidR="00F939C7" w:rsidRPr="00B54944">
        <w:t xml:space="preserve"> </w:t>
      </w:r>
      <w:r w:rsidR="00A075C4" w:rsidRPr="00B54944">
        <w:t>run the terms concurrently.</w:t>
      </w:r>
    </w:p>
    <w:p w14:paraId="2DDFA35C" w14:textId="271E7107" w:rsidR="00A075C4" w:rsidRPr="00B54944" w:rsidRDefault="009477E7" w:rsidP="00B54944">
      <w:pPr>
        <w:tabs>
          <w:tab w:val="left" w:pos="1440"/>
        </w:tabs>
        <w:ind w:firstLine="720"/>
      </w:pPr>
      <w:r w:rsidRPr="00B54944">
        <w:t xml:space="preserve">A finding under section 667.6(d) that the crimes </w:t>
      </w:r>
      <w:r w:rsidR="00A72E47" w:rsidRPr="00B54944">
        <w:t xml:space="preserve">involved separate victims or </w:t>
      </w:r>
      <w:r w:rsidRPr="00B54944">
        <w:t xml:space="preserve">occurred on separate occasions eliminates </w:t>
      </w:r>
      <w:r w:rsidR="00B1573A">
        <w:t>the court’s</w:t>
      </w:r>
      <w:r w:rsidR="00B1573A" w:rsidRPr="00B54944">
        <w:t xml:space="preserve"> </w:t>
      </w:r>
      <w:r w:rsidRPr="00B54944">
        <w:t xml:space="preserve">discretion.  </w:t>
      </w:r>
      <w:r w:rsidR="00B25023" w:rsidRPr="00B54944">
        <w:t xml:space="preserve">Instead, “[a] full, separate, and consecutive term </w:t>
      </w:r>
      <w:r w:rsidR="00B25023" w:rsidRPr="00B54944">
        <w:rPr>
          <w:i/>
          <w:iCs/>
        </w:rPr>
        <w:t>shall</w:t>
      </w:r>
      <w:r w:rsidR="00B25023" w:rsidRPr="00B54944">
        <w:t xml:space="preserve"> be imposed for each violation</w:t>
      </w:r>
      <w:r w:rsidR="00B91172">
        <w:t xml:space="preserve"> </w:t>
      </w:r>
      <w:r w:rsidR="007279CA" w:rsidRPr="00B54944">
        <w:t>.</w:t>
      </w:r>
      <w:r w:rsidR="00DE67ED">
        <w:t> . . .</w:t>
      </w:r>
      <w:r w:rsidR="007279CA" w:rsidRPr="00B54944">
        <w:t>”</w:t>
      </w:r>
      <w:r w:rsidR="00B25023" w:rsidRPr="00B54944">
        <w:t xml:space="preserve">  </w:t>
      </w:r>
      <w:r w:rsidR="00B25023" w:rsidRPr="00B54944">
        <w:lastRenderedPageBreak/>
        <w:t>(§ 667.6(d)(1), italics added.)</w:t>
      </w:r>
      <w:r w:rsidR="007E69E5" w:rsidRPr="00B54944">
        <w:t xml:space="preserve">  A court that makes a section 667.6(d) finding cannot impose </w:t>
      </w:r>
      <w:r w:rsidR="00A3190F" w:rsidRPr="00B54944">
        <w:t>one</w:t>
      </w:r>
      <w:r w:rsidR="00A3190F" w:rsidRPr="00B54944">
        <w:noBreakHyphen/>
        <w:t xml:space="preserve">third of the middle term for the </w:t>
      </w:r>
      <w:r w:rsidR="00953546" w:rsidRPr="00B54944">
        <w:t xml:space="preserve">defendant’s </w:t>
      </w:r>
      <w:r w:rsidR="00A3190F" w:rsidRPr="00B54944">
        <w:t>subordinate term as</w:t>
      </w:r>
      <w:r w:rsidR="007E69E5" w:rsidRPr="00B54944">
        <w:t xml:space="preserve"> prescribed by </w:t>
      </w:r>
      <w:r w:rsidR="00200F39">
        <w:t>section 1170.1</w:t>
      </w:r>
      <w:r w:rsidR="00365E44">
        <w:t>,</w:t>
      </w:r>
      <w:r w:rsidR="009D6710" w:rsidRPr="00B54944">
        <w:t xml:space="preserve"> </w:t>
      </w:r>
      <w:r w:rsidR="00365E44">
        <w:t>n</w:t>
      </w:r>
      <w:r w:rsidR="009D6710" w:rsidRPr="00B54944">
        <w:t xml:space="preserve">or </w:t>
      </w:r>
      <w:r w:rsidR="00365E44">
        <w:t xml:space="preserve">can the court </w:t>
      </w:r>
      <w:r w:rsidR="009D6710" w:rsidRPr="00B54944">
        <w:t>run the terms concurrently</w:t>
      </w:r>
      <w:r w:rsidR="00C469AA" w:rsidRPr="00B54944">
        <w:t>.  I</w:t>
      </w:r>
      <w:r w:rsidR="007E69E5" w:rsidRPr="00B54944">
        <w:t>t must impose a full</w:t>
      </w:r>
      <w:r w:rsidR="007E69E5" w:rsidRPr="00B54944">
        <w:noBreakHyphen/>
        <w:t>term sentence</w:t>
      </w:r>
      <w:r w:rsidR="00953546" w:rsidRPr="00B54944">
        <w:t xml:space="preserve"> </w:t>
      </w:r>
      <w:r w:rsidR="00901C50" w:rsidRPr="00B54944">
        <w:t xml:space="preserve">for </w:t>
      </w:r>
      <w:r w:rsidR="00953546" w:rsidRPr="00B54944">
        <w:t>each offense it finds to have</w:t>
      </w:r>
      <w:r w:rsidR="00A46354" w:rsidRPr="00B54944">
        <w:t xml:space="preserve"> involved a different victim or to have</w:t>
      </w:r>
      <w:r w:rsidR="00953546" w:rsidRPr="00B54944">
        <w:t xml:space="preserve"> been committed on a separate occasion</w:t>
      </w:r>
      <w:r w:rsidR="007E69E5" w:rsidRPr="00B54944">
        <w:t>.</w:t>
      </w:r>
      <w:r w:rsidR="007B145C" w:rsidRPr="00B54944">
        <w:t xml:space="preserve">  In Catarino’s case, this mean</w:t>
      </w:r>
      <w:r w:rsidR="00365E44">
        <w:t>s</w:t>
      </w:r>
      <w:r w:rsidR="007B145C" w:rsidRPr="00B54944">
        <w:t xml:space="preserve"> the lowest term the sentencing court could impose for each of his non</w:t>
      </w:r>
      <w:r w:rsidR="006C576F">
        <w:t>-</w:t>
      </w:r>
      <w:r w:rsidR="007B145C" w:rsidRPr="00B54944">
        <w:t>attempt subordinate term</w:t>
      </w:r>
      <w:r w:rsidR="00923976">
        <w:t>s</w:t>
      </w:r>
      <w:r w:rsidR="007E69E5" w:rsidRPr="00B54944">
        <w:t xml:space="preserve"> </w:t>
      </w:r>
      <w:r w:rsidR="007B145C" w:rsidRPr="00B54944">
        <w:t>w</w:t>
      </w:r>
      <w:r w:rsidR="00071925" w:rsidRPr="00B54944">
        <w:t>as</w:t>
      </w:r>
      <w:r w:rsidR="007B145C" w:rsidRPr="00B54944">
        <w:t xml:space="preserve"> five year</w:t>
      </w:r>
      <w:r w:rsidR="00426B1F" w:rsidRPr="00B54944">
        <w:t>s</w:t>
      </w:r>
      <w:r w:rsidR="00AC212D" w:rsidRPr="00B54944">
        <w:t xml:space="preserve"> </w:t>
      </w:r>
      <w:r w:rsidR="005F190F" w:rsidRPr="00B54944">
        <w:t xml:space="preserve">as opposed to </w:t>
      </w:r>
      <w:r w:rsidR="007B145C" w:rsidRPr="00B54944">
        <w:t xml:space="preserve">the </w:t>
      </w:r>
      <w:r w:rsidR="00DE67ED">
        <w:t xml:space="preserve">term of </w:t>
      </w:r>
      <w:r w:rsidR="007B145C" w:rsidRPr="00B54944">
        <w:t xml:space="preserve">two years and eight months that would </w:t>
      </w:r>
      <w:r w:rsidR="00071925" w:rsidRPr="00B54944">
        <w:t xml:space="preserve">have </w:t>
      </w:r>
      <w:r w:rsidR="007B145C" w:rsidRPr="00B54944">
        <w:t>be</w:t>
      </w:r>
      <w:r w:rsidR="00071925" w:rsidRPr="00B54944">
        <w:t>en</w:t>
      </w:r>
      <w:r w:rsidR="007B145C" w:rsidRPr="00B54944">
        <w:t xml:space="preserve"> available if he </w:t>
      </w:r>
      <w:r w:rsidR="00071925" w:rsidRPr="00B54944">
        <w:t xml:space="preserve">had been </w:t>
      </w:r>
      <w:r w:rsidR="007B145C" w:rsidRPr="00B54944">
        <w:t>sentenced under either the determinate sentencing law or section 667.6(c).</w:t>
      </w:r>
    </w:p>
    <w:p w14:paraId="60725902" w14:textId="6562D458" w:rsidR="00EA796F" w:rsidRPr="00B54944" w:rsidRDefault="007279CA" w:rsidP="00B54944">
      <w:pPr>
        <w:tabs>
          <w:tab w:val="left" w:pos="1440"/>
        </w:tabs>
        <w:ind w:firstLine="720"/>
      </w:pPr>
      <w:r w:rsidRPr="00B54944">
        <w:t>In sum, if Catarino had been sentenced under section</w:t>
      </w:r>
      <w:r w:rsidR="00F80D2D">
        <w:t> </w:t>
      </w:r>
      <w:r w:rsidRPr="00B54944">
        <w:t>667.6(c)</w:t>
      </w:r>
      <w:r w:rsidR="00313A68" w:rsidRPr="00B54944">
        <w:t xml:space="preserve"> or </w:t>
      </w:r>
      <w:r w:rsidR="00200F39">
        <w:t>the determinate sentencing law</w:t>
      </w:r>
      <w:r w:rsidRPr="00B54944">
        <w:t>, the court would</w:t>
      </w:r>
      <w:r w:rsidR="00EE13DF" w:rsidRPr="00B54944">
        <w:t xml:space="preserve"> </w:t>
      </w:r>
      <w:r w:rsidRPr="00B54944">
        <w:t xml:space="preserve">have had the option to impose the terms for his offenses concurrently or consecutively.  If it decided to impose consecutive sentences on his subordinate terms, </w:t>
      </w:r>
      <w:r w:rsidR="00313A68" w:rsidRPr="00B54944">
        <w:t>the lowest term it could have imposed for each of his non</w:t>
      </w:r>
      <w:r w:rsidR="006C576F">
        <w:t>-</w:t>
      </w:r>
      <w:r w:rsidR="00313A68" w:rsidRPr="00B54944">
        <w:t>attempt offenses would have been</w:t>
      </w:r>
      <w:r w:rsidRPr="00B54944">
        <w:t xml:space="preserve"> two years and eight months.</w:t>
      </w:r>
      <w:r w:rsidR="002A1FC4" w:rsidRPr="00B54944">
        <w:t xml:space="preserve">  Instead, because the court sentenced him under section 667.6(d), </w:t>
      </w:r>
      <w:r w:rsidR="00E21094" w:rsidRPr="00B54944">
        <w:t>it</w:t>
      </w:r>
      <w:r w:rsidR="002A1FC4" w:rsidRPr="00B54944">
        <w:t xml:space="preserve"> was required to impose consecutive terms</w:t>
      </w:r>
      <w:r w:rsidR="005E0753">
        <w:t>,</w:t>
      </w:r>
      <w:r w:rsidR="002A1FC4" w:rsidRPr="00B54944">
        <w:t xml:space="preserve"> </w:t>
      </w:r>
      <w:r w:rsidR="000A3DE5">
        <w:t>and</w:t>
      </w:r>
      <w:r w:rsidR="002A1FC4" w:rsidRPr="00B54944">
        <w:t xml:space="preserve"> </w:t>
      </w:r>
      <w:r w:rsidR="001142EF" w:rsidRPr="00B54944">
        <w:t xml:space="preserve">the </w:t>
      </w:r>
      <w:r w:rsidR="00A62958" w:rsidRPr="00B54944">
        <w:t xml:space="preserve">lowest </w:t>
      </w:r>
      <w:r w:rsidR="00E473B9" w:rsidRPr="00B54944">
        <w:t xml:space="preserve">sentence </w:t>
      </w:r>
      <w:r w:rsidR="00A62958" w:rsidRPr="00B54944">
        <w:t xml:space="preserve">it could impose </w:t>
      </w:r>
      <w:r w:rsidR="001142EF" w:rsidRPr="00B54944">
        <w:t xml:space="preserve">for </w:t>
      </w:r>
      <w:r w:rsidR="000A3DE5">
        <w:t xml:space="preserve">each of </w:t>
      </w:r>
      <w:r w:rsidR="001142EF" w:rsidRPr="00B54944">
        <w:t xml:space="preserve">his </w:t>
      </w:r>
      <w:r w:rsidR="000A3DE5">
        <w:t xml:space="preserve">non-attempt </w:t>
      </w:r>
      <w:r w:rsidR="001142EF" w:rsidRPr="00B54944">
        <w:t>subordinate terms was five years.</w:t>
      </w:r>
      <w:r w:rsidR="006B1F13" w:rsidRPr="006B1F13">
        <w:t xml:space="preserve"> </w:t>
      </w:r>
      <w:r w:rsidR="006B1F13">
        <w:t xml:space="preserve"> The predicate finding that </w:t>
      </w:r>
      <w:r w:rsidR="003A2620">
        <w:t>enables</w:t>
      </w:r>
      <w:r w:rsidR="006B1F13">
        <w:t xml:space="preserve"> such sentencing </w:t>
      </w:r>
      <w:r w:rsidR="00535240">
        <w:t xml:space="preserve">under section 667.6(d) </w:t>
      </w:r>
      <w:r w:rsidR="006B1F13">
        <w:t>is made by “the sentencing judge.”  (Cal. Rules of Court, rule 4.426(a).)</w:t>
      </w:r>
      <w:r w:rsidR="00AB71BF" w:rsidRPr="00B54944">
        <w:t xml:space="preserve">  Catarino argues that this </w:t>
      </w:r>
      <w:r w:rsidR="003D005F" w:rsidRPr="00B54944">
        <w:t xml:space="preserve">scheme </w:t>
      </w:r>
      <w:r w:rsidR="00AB71BF" w:rsidRPr="00B54944">
        <w:t xml:space="preserve">violates </w:t>
      </w:r>
      <w:r w:rsidR="00AB71BF" w:rsidRPr="00B54944">
        <w:rPr>
          <w:i/>
          <w:iCs/>
        </w:rPr>
        <w:t>Apprendi</w:t>
      </w:r>
      <w:r w:rsidR="00AB71BF" w:rsidRPr="00B54944">
        <w:t>.</w:t>
      </w:r>
    </w:p>
    <w:p w14:paraId="185EEDAE" w14:textId="11FF0FEE" w:rsidR="009B1B3D" w:rsidRPr="00395C9F" w:rsidRDefault="008674A1" w:rsidP="00B54944">
      <w:pPr>
        <w:pStyle w:val="Heading1"/>
      </w:pPr>
      <w:r w:rsidRPr="00395C9F">
        <w:t>III</w:t>
      </w:r>
      <w:r w:rsidR="009B1B3D" w:rsidRPr="00395C9F">
        <w:t>.</w:t>
      </w:r>
    </w:p>
    <w:p w14:paraId="1F72E174" w14:textId="1B792A0F" w:rsidR="00580A73" w:rsidRPr="00B54944" w:rsidRDefault="00580A73" w:rsidP="00B54944">
      <w:pPr>
        <w:tabs>
          <w:tab w:val="left" w:pos="1440"/>
        </w:tabs>
        <w:ind w:firstLine="720"/>
      </w:pPr>
      <w:r w:rsidRPr="00395C9F">
        <w:t xml:space="preserve">The Sixth Amendment protects the right of </w:t>
      </w:r>
      <w:r w:rsidR="000A3DE5">
        <w:t xml:space="preserve">a </w:t>
      </w:r>
      <w:r w:rsidRPr="00395C9F">
        <w:t xml:space="preserve">criminal defendant to a trial by jury, and under the Fourteenth Amendment, this protection applies in state criminal </w:t>
      </w:r>
      <w:r w:rsidRPr="00395C9F">
        <w:lastRenderedPageBreak/>
        <w:t>proceedings.  (</w:t>
      </w:r>
      <w:r w:rsidRPr="00395C9F">
        <w:rPr>
          <w:i/>
          <w:iCs/>
        </w:rPr>
        <w:t>Ramos v. Louisiana</w:t>
      </w:r>
      <w:r w:rsidRPr="00395C9F">
        <w:t xml:space="preserve"> (2020) 590 U.S. __, __ [140 S.Ct. 1390, 1395–1397].)  Among the specific protections included in the jury trial guarantee are the right to have every element of the crime found by a jury (</w:t>
      </w:r>
      <w:r w:rsidRPr="00395C9F">
        <w:rPr>
          <w:i/>
          <w:iCs/>
        </w:rPr>
        <w:t>United States v. Gaudin</w:t>
      </w:r>
      <w:r w:rsidRPr="00395C9F">
        <w:t xml:space="preserve"> (1995) 515 U.S. 506, 511) and the right to have the jury make those findings beyond a reasonable doubt (</w:t>
      </w:r>
      <w:r w:rsidRPr="00395C9F">
        <w:rPr>
          <w:i/>
          <w:iCs/>
        </w:rPr>
        <w:t>In re Winship</w:t>
      </w:r>
      <w:r w:rsidRPr="00395C9F">
        <w:t xml:space="preserve"> (1970) 397 U.S. 358, 364).</w:t>
      </w:r>
      <w:r w:rsidRPr="00B54944">
        <w:t xml:space="preserve">  In </w:t>
      </w:r>
      <w:r w:rsidRPr="00B54944">
        <w:rPr>
          <w:i/>
          <w:iCs/>
        </w:rPr>
        <w:t>Apprendi</w:t>
      </w:r>
      <w:r w:rsidRPr="00B54944">
        <w:t xml:space="preserve">, the high court explained that </w:t>
      </w:r>
      <w:r w:rsidR="003D005F" w:rsidRPr="00B54944">
        <w:t xml:space="preserve">the existence of </w:t>
      </w:r>
      <w:r w:rsidRPr="00B54944">
        <w:t>these rights do</w:t>
      </w:r>
      <w:r w:rsidR="003D005F" w:rsidRPr="00B54944">
        <w:t>es</w:t>
      </w:r>
      <w:r w:rsidRPr="00B54944">
        <w:t xml:space="preserve"> not </w:t>
      </w:r>
      <w:r w:rsidR="003D005F" w:rsidRPr="00B54944">
        <w:t xml:space="preserve">turn on any distinction </w:t>
      </w:r>
      <w:r w:rsidRPr="00B54944">
        <w:t>between elements of a crime and sentencing factors.  (</w:t>
      </w:r>
      <w:r w:rsidRPr="00B54944">
        <w:rPr>
          <w:i/>
          <w:iCs/>
        </w:rPr>
        <w:t>Apprendi</w:t>
      </w:r>
      <w:r w:rsidRPr="00B54944">
        <w:t xml:space="preserve">, </w:t>
      </w:r>
      <w:r w:rsidRPr="00B54944">
        <w:rPr>
          <w:i/>
          <w:iCs/>
        </w:rPr>
        <w:t>supra</w:t>
      </w:r>
      <w:r w:rsidRPr="00B54944">
        <w:t xml:space="preserve">, 530 U.S. at p. 478.)  While a court may properly exercise its discretion to impose any sentence within the statutory range for a defendant’s offense once that range is determined by facts found by the jury, judicial factfinding that “exposes the criminal defendant to a penalty </w:t>
      </w:r>
      <w:r w:rsidRPr="00B54944">
        <w:rPr>
          <w:i/>
          <w:iCs/>
        </w:rPr>
        <w:t>exceeding</w:t>
      </w:r>
      <w:r w:rsidRPr="00B54944">
        <w:t xml:space="preserve"> the maximum he would receive if punished according to the facts reflected in the jury verdict alone” violates the Sixth Amendment.  (</w:t>
      </w:r>
      <w:r w:rsidRPr="00B54944">
        <w:rPr>
          <w:i/>
          <w:iCs/>
        </w:rPr>
        <w:t>Apprendi</w:t>
      </w:r>
      <w:r w:rsidRPr="00B54944">
        <w:t>, at p. 483.)  Accordingly, the high court held</w:t>
      </w:r>
      <w:r w:rsidR="00AC63CE">
        <w:t>:</w:t>
      </w:r>
      <w:r w:rsidRPr="00B54944">
        <w:t xml:space="preserve"> </w:t>
      </w:r>
      <w:r w:rsidR="00AC63CE">
        <w:t xml:space="preserve"> </w:t>
      </w:r>
      <w:r w:rsidRPr="00B54944">
        <w:t>“</w:t>
      </w:r>
      <w:r w:rsidR="00DE67ED">
        <w:t>O</w:t>
      </w:r>
      <w:r w:rsidRPr="00B54944">
        <w:t>ther than the fact of a prior conviction, any fact that increases the penalty for a crime beyond the prescribed statutory maximum must be submitted to a jury, and proved beyond a reasonable doubt.”  (</w:t>
      </w:r>
      <w:r w:rsidRPr="00B54944">
        <w:rPr>
          <w:i/>
          <w:iCs/>
        </w:rPr>
        <w:t>Id.</w:t>
      </w:r>
      <w:r w:rsidRPr="00B54944">
        <w:t xml:space="preserve"> at p. 490.)</w:t>
      </w:r>
    </w:p>
    <w:p w14:paraId="153FD637" w14:textId="460C1828" w:rsidR="00580A73" w:rsidRPr="00B54944" w:rsidRDefault="00580A73" w:rsidP="00B54944">
      <w:pPr>
        <w:tabs>
          <w:tab w:val="left" w:pos="1440"/>
        </w:tabs>
        <w:ind w:firstLine="720"/>
      </w:pPr>
      <w:r w:rsidRPr="00B54944">
        <w:t xml:space="preserve">In </w:t>
      </w:r>
      <w:r w:rsidRPr="00B54944">
        <w:rPr>
          <w:i/>
          <w:iCs/>
        </w:rPr>
        <w:t>Alleyne</w:t>
      </w:r>
      <w:r w:rsidRPr="00B54944">
        <w:t xml:space="preserve">, the high court applied the rule of </w:t>
      </w:r>
      <w:r w:rsidRPr="00B54944">
        <w:rPr>
          <w:i/>
          <w:iCs/>
        </w:rPr>
        <w:t>Apprendi</w:t>
      </w:r>
      <w:r w:rsidRPr="00B54944">
        <w:t xml:space="preserve"> to facts that increase the minimum term to which the defendant is exposed.  “[B]ecause the legally prescribed [sentencing] range </w:t>
      </w:r>
      <w:r w:rsidRPr="00B54944">
        <w:rPr>
          <w:i/>
          <w:iCs/>
        </w:rPr>
        <w:t>is</w:t>
      </w:r>
      <w:r w:rsidRPr="00B54944">
        <w:t xml:space="preserve"> the penalty affixed to the crime [citation], it follows that a fact increasing either end of the range produces a new penalty . . . .”  (</w:t>
      </w:r>
      <w:r w:rsidRPr="00B54944">
        <w:rPr>
          <w:i/>
          <w:iCs/>
        </w:rPr>
        <w:t>Alleyne</w:t>
      </w:r>
      <w:r w:rsidRPr="00B54944">
        <w:t xml:space="preserve">, </w:t>
      </w:r>
      <w:r w:rsidRPr="00B54944">
        <w:rPr>
          <w:i/>
          <w:iCs/>
        </w:rPr>
        <w:t>supra</w:t>
      </w:r>
      <w:r w:rsidRPr="00B54944">
        <w:t xml:space="preserve">, 570 U.S. at p. 112.)  The court explained that “[i]t is impossible to dissociate the floor of a sentencing range from the penalty affixed to the crime” and that “facts increasing the legally prescribed floor </w:t>
      </w:r>
      <w:r w:rsidRPr="00B54944">
        <w:rPr>
          <w:i/>
          <w:iCs/>
        </w:rPr>
        <w:t>aggravate</w:t>
      </w:r>
      <w:r w:rsidRPr="00B54944">
        <w:t xml:space="preserve"> the punishment” for the defendant’s offense.  (</w:t>
      </w:r>
      <w:r w:rsidRPr="00B54944">
        <w:rPr>
          <w:i/>
          <w:iCs/>
        </w:rPr>
        <w:t>Id.</w:t>
      </w:r>
      <w:r w:rsidRPr="00B54944">
        <w:t xml:space="preserve"> at pp. 112</w:t>
      </w:r>
      <w:r w:rsidR="00BD3034">
        <w:t xml:space="preserve">, </w:t>
      </w:r>
      <w:r w:rsidRPr="00B54944">
        <w:t xml:space="preserve">113.)  For purposes of </w:t>
      </w:r>
      <w:r w:rsidRPr="00B54944">
        <w:rPr>
          <w:i/>
          <w:iCs/>
        </w:rPr>
        <w:t>Apprendi</w:t>
      </w:r>
      <w:r w:rsidRPr="00B54944">
        <w:t xml:space="preserve">, “there is no basis in principle or logic to distinguish </w:t>
      </w:r>
      <w:r w:rsidRPr="00B54944">
        <w:lastRenderedPageBreak/>
        <w:t>facts that raise the maximum [sentence] from those that increase the minimum</w:t>
      </w:r>
      <w:r w:rsidR="00BF6106" w:rsidRPr="00B54944">
        <w:t xml:space="preserve"> </w:t>
      </w:r>
      <w:r w:rsidRPr="00B54944">
        <w:t>.</w:t>
      </w:r>
      <w:r w:rsidR="00224311" w:rsidRPr="00B54944">
        <w:t> . .</w:t>
      </w:r>
      <w:r w:rsidR="00821782" w:rsidRPr="00B54944">
        <w:t> .</w:t>
      </w:r>
      <w:r w:rsidRPr="00B54944">
        <w:t>”  (</w:t>
      </w:r>
      <w:r w:rsidRPr="00B54944">
        <w:rPr>
          <w:i/>
          <w:iCs/>
        </w:rPr>
        <w:t>Alleyne</w:t>
      </w:r>
      <w:r w:rsidRPr="00B54944">
        <w:t>, at p. 116.)  Both must be “submitted to the jury and found beyond a reasonable doubt.”  (</w:t>
      </w:r>
      <w:r w:rsidRPr="00B54944">
        <w:rPr>
          <w:i/>
          <w:iCs/>
        </w:rPr>
        <w:t>Ibid.</w:t>
      </w:r>
      <w:r w:rsidRPr="00B54944">
        <w:t>)</w:t>
      </w:r>
    </w:p>
    <w:p w14:paraId="319429FC" w14:textId="60756D4B" w:rsidR="00E128A6" w:rsidRPr="00B54944" w:rsidRDefault="003D005F" w:rsidP="00B54944">
      <w:pPr>
        <w:tabs>
          <w:tab w:val="left" w:pos="1440"/>
        </w:tabs>
        <w:ind w:firstLine="720"/>
      </w:pPr>
      <w:r w:rsidRPr="00B54944">
        <w:t xml:space="preserve">As relevant here, </w:t>
      </w:r>
      <w:r w:rsidR="008617B2">
        <w:t>“</w:t>
      </w:r>
      <w:r w:rsidR="00457496">
        <w:t> ‘</w:t>
      </w:r>
      <w:r w:rsidR="008617B2">
        <w:t>the Sixth Amendment’s restriction on judge-found facts</w:t>
      </w:r>
      <w:r w:rsidR="00457496">
        <w:t>’</w:t>
      </w:r>
      <w:r w:rsidR="008617B2">
        <w:t xml:space="preserve"> is </w:t>
      </w:r>
      <w:r w:rsidR="00457496">
        <w:t>‘</w:t>
      </w:r>
      <w:r w:rsidR="008617B2">
        <w:t>inapplicable</w:t>
      </w:r>
      <w:r w:rsidR="00457496">
        <w:t>’</w:t>
      </w:r>
      <w:r w:rsidR="008617B2">
        <w:t xml:space="preserve"> </w:t>
      </w:r>
      <w:r w:rsidR="00457496">
        <w:t>when a trial judge makes factual findings necessary to the imposition of consecutive terms.”  (</w:t>
      </w:r>
      <w:r w:rsidR="00457496">
        <w:rPr>
          <w:i/>
          <w:iCs/>
        </w:rPr>
        <w:t xml:space="preserve">People v. Scott </w:t>
      </w:r>
      <w:r w:rsidR="00457496">
        <w:t>(</w:t>
      </w:r>
      <w:r w:rsidR="006B177F">
        <w:t xml:space="preserve">2015) 61 Cal.4th 363, 405, quoting </w:t>
      </w:r>
      <w:r w:rsidR="006B177F">
        <w:rPr>
          <w:i/>
          <w:iCs/>
        </w:rPr>
        <w:t>Ice</w:t>
      </w:r>
      <w:r w:rsidR="006B177F">
        <w:t xml:space="preserve">, </w:t>
      </w:r>
      <w:r w:rsidR="006B177F">
        <w:rPr>
          <w:i/>
          <w:iCs/>
        </w:rPr>
        <w:t>supra</w:t>
      </w:r>
      <w:r w:rsidR="006B177F">
        <w:t>, 555 U.S.</w:t>
      </w:r>
      <w:r w:rsidR="00BD3034">
        <w:t xml:space="preserve"> </w:t>
      </w:r>
      <w:r w:rsidR="006B177F">
        <w:t xml:space="preserve">at p. 170.)  </w:t>
      </w:r>
      <w:r w:rsidR="0091141B" w:rsidRPr="00B54944">
        <w:t xml:space="preserve">In </w:t>
      </w:r>
      <w:r w:rsidR="0091141B" w:rsidRPr="00B54944">
        <w:rPr>
          <w:i/>
          <w:iCs/>
        </w:rPr>
        <w:t>Ice</w:t>
      </w:r>
      <w:r w:rsidR="0091141B" w:rsidRPr="00B54944">
        <w:t>, Oregon’s sentencing scheme</w:t>
      </w:r>
      <w:r w:rsidR="00BE71CB" w:rsidRPr="00B54944">
        <w:t xml:space="preserve"> provided that “sentences shall run concurrently unless the judge finds statutorily described facts.”  (</w:t>
      </w:r>
      <w:r w:rsidR="00BE71CB" w:rsidRPr="00B54944">
        <w:rPr>
          <w:i/>
          <w:iCs/>
        </w:rPr>
        <w:t>Ice</w:t>
      </w:r>
      <w:r w:rsidR="00BE71CB" w:rsidRPr="00B54944">
        <w:t xml:space="preserve">, at p. 165.)  </w:t>
      </w:r>
      <w:r w:rsidR="007F1D29" w:rsidRPr="00B54944">
        <w:t xml:space="preserve">The high court </w:t>
      </w:r>
      <w:r w:rsidR="00110032" w:rsidRPr="00B54944">
        <w:t>held</w:t>
      </w:r>
      <w:r w:rsidR="007F1D29" w:rsidRPr="00B54944">
        <w:t xml:space="preserve"> </w:t>
      </w:r>
      <w:r w:rsidR="005E0D99" w:rsidRPr="00B54944">
        <w:t>that such judicial factfinding d</w:t>
      </w:r>
      <w:r w:rsidRPr="00B54944">
        <w:t>oes</w:t>
      </w:r>
      <w:r w:rsidR="005E0D99" w:rsidRPr="00B54944">
        <w:t xml:space="preserve"> not violate </w:t>
      </w:r>
      <w:r w:rsidR="003A7B3E" w:rsidRPr="00B54944">
        <w:rPr>
          <w:i/>
          <w:iCs/>
        </w:rPr>
        <w:t>Apprendi</w:t>
      </w:r>
      <w:r w:rsidR="00BE6C47" w:rsidRPr="00B54944">
        <w:t>.</w:t>
      </w:r>
      <w:r w:rsidR="00BC4EB5" w:rsidRPr="00B54944">
        <w:t xml:space="preserve">  </w:t>
      </w:r>
      <w:r w:rsidR="00EE79E6" w:rsidRPr="00B54944">
        <w:t>(</w:t>
      </w:r>
      <w:r w:rsidR="00EE79E6" w:rsidRPr="00B54944">
        <w:rPr>
          <w:i/>
          <w:iCs/>
        </w:rPr>
        <w:t>I</w:t>
      </w:r>
      <w:r w:rsidR="00C264AF">
        <w:rPr>
          <w:i/>
          <w:iCs/>
        </w:rPr>
        <w:t>ce</w:t>
      </w:r>
      <w:r w:rsidR="00C264AF">
        <w:t>,</w:t>
      </w:r>
      <w:r w:rsidR="00EE79E6" w:rsidRPr="00B54944">
        <w:t xml:space="preserve"> at p. 164.)  </w:t>
      </w:r>
      <w:r w:rsidR="00BC4EB5" w:rsidRPr="00B54944">
        <w:t>“T</w:t>
      </w:r>
      <w:r w:rsidR="00401E14" w:rsidRPr="00B54944">
        <w:t>h</w:t>
      </w:r>
      <w:r w:rsidR="00FD0636" w:rsidRPr="00B54944">
        <w:t>e historical record demonstrates that the jury played no role in the decision to impose sentences consecutively or concurrently.”  (</w:t>
      </w:r>
      <w:r w:rsidR="00BF4BE7" w:rsidRPr="00B54944">
        <w:rPr>
          <w:i/>
          <w:iCs/>
        </w:rPr>
        <w:t>I</w:t>
      </w:r>
      <w:r w:rsidR="00C264AF">
        <w:rPr>
          <w:i/>
          <w:iCs/>
        </w:rPr>
        <w:t>d.</w:t>
      </w:r>
      <w:r w:rsidR="00FD0636" w:rsidRPr="00B54944">
        <w:t xml:space="preserve"> at p. 168.)  </w:t>
      </w:r>
      <w:r w:rsidR="0046121B" w:rsidRPr="00B54944">
        <w:t xml:space="preserve">Instead, judges </w:t>
      </w:r>
      <w:r w:rsidR="0012352A" w:rsidRPr="00B54944">
        <w:t xml:space="preserve">traditionally </w:t>
      </w:r>
      <w:r w:rsidR="0046121B" w:rsidRPr="00B54944">
        <w:t>had “unfettered discretion” to decide “whether sentences for discrete offenses shall be served consecutively or concurrently.”  (</w:t>
      </w:r>
      <w:r w:rsidR="0046121B" w:rsidRPr="00B54944">
        <w:rPr>
          <w:i/>
          <w:iCs/>
        </w:rPr>
        <w:t>Id.</w:t>
      </w:r>
      <w:r w:rsidR="0046121B" w:rsidRPr="00B54944">
        <w:t xml:space="preserve"> at p. 163.)</w:t>
      </w:r>
      <w:r w:rsidR="0046121B" w:rsidRPr="00B54944">
        <w:rPr>
          <w:i/>
          <w:iCs/>
        </w:rPr>
        <w:t xml:space="preserve">  </w:t>
      </w:r>
      <w:r w:rsidRPr="00B54944">
        <w:t>Thus</w:t>
      </w:r>
      <w:r w:rsidR="00FD0636" w:rsidRPr="00B54944">
        <w:t xml:space="preserve">, </w:t>
      </w:r>
      <w:r w:rsidR="007D6802" w:rsidRPr="00B54944">
        <w:t xml:space="preserve">the high court reasoned, </w:t>
      </w:r>
      <w:r w:rsidR="00FD0636" w:rsidRPr="00B54944">
        <w:t xml:space="preserve">the “core concerns” underlying </w:t>
      </w:r>
      <w:r w:rsidR="00FD0636" w:rsidRPr="00B54944">
        <w:rPr>
          <w:i/>
          <w:iCs/>
        </w:rPr>
        <w:t>Apprendi</w:t>
      </w:r>
      <w:r w:rsidR="00FD0636" w:rsidRPr="00B54944">
        <w:t> — “encroachment . . . by the judge upon facts historically found by the jury” and “threat to the jury’s domain as a bulwark at trial between the State and the accused”</w:t>
      </w:r>
      <w:r w:rsidR="006C7A12" w:rsidRPr="00B54944">
        <w:t> </w:t>
      </w:r>
      <w:r w:rsidR="00FD0636" w:rsidRPr="00B54944">
        <w:t>—</w:t>
      </w:r>
      <w:r w:rsidR="006C7A12" w:rsidRPr="00B54944">
        <w:t xml:space="preserve"> </w:t>
      </w:r>
      <w:r w:rsidR="00FD0636" w:rsidRPr="00B54944">
        <w:t xml:space="preserve">are not implicated by </w:t>
      </w:r>
      <w:r w:rsidR="00730CAA" w:rsidRPr="00B54944">
        <w:t>“legislative reforms regarding the imposition of multiple sentences</w:t>
      </w:r>
      <w:r w:rsidR="005D24A3">
        <w:t>.</w:t>
      </w:r>
      <w:r w:rsidR="00730CAA" w:rsidRPr="00B54944">
        <w:t>”  (</w:t>
      </w:r>
      <w:r w:rsidR="00730CAA" w:rsidRPr="00B54944">
        <w:rPr>
          <w:i/>
          <w:iCs/>
        </w:rPr>
        <w:t>I</w:t>
      </w:r>
      <w:r w:rsidR="00B1234A" w:rsidRPr="00B54944">
        <w:rPr>
          <w:i/>
          <w:iCs/>
        </w:rPr>
        <w:t>ce</w:t>
      </w:r>
      <w:r w:rsidR="00B1234A" w:rsidRPr="00B54944">
        <w:t>,</w:t>
      </w:r>
      <w:r w:rsidR="007D6802" w:rsidRPr="00B54944">
        <w:rPr>
          <w:i/>
          <w:iCs/>
        </w:rPr>
        <w:t xml:space="preserve"> </w:t>
      </w:r>
      <w:r w:rsidR="00730CAA" w:rsidRPr="00B54944">
        <w:t xml:space="preserve">at p. 169.)  </w:t>
      </w:r>
      <w:r w:rsidR="008F7749" w:rsidRPr="00B54944">
        <w:t>States</w:t>
      </w:r>
      <w:r w:rsidR="0046121B" w:rsidRPr="00B54944">
        <w:t xml:space="preserve"> may, consistent with the Sixth Amendment, enact </w:t>
      </w:r>
      <w:r w:rsidR="00685A92" w:rsidRPr="00B54944">
        <w:t>legislation to</w:t>
      </w:r>
      <w:r w:rsidR="008F7749" w:rsidRPr="00B54944">
        <w:t xml:space="preserve"> </w:t>
      </w:r>
      <w:r w:rsidR="00AF48AD" w:rsidRPr="00B54944">
        <w:t>“</w:t>
      </w:r>
      <w:r w:rsidR="008F7749" w:rsidRPr="00B54944">
        <w:t xml:space="preserve">constrain judges’ discretion by requiring them to </w:t>
      </w:r>
      <w:r w:rsidR="00AF48AD" w:rsidRPr="00B54944">
        <w:t xml:space="preserve">find certain facts </w:t>
      </w:r>
      <w:r w:rsidR="00905E47" w:rsidRPr="00B54944">
        <w:t>before imposing consecutive, rather than concurrent, sentences</w:t>
      </w:r>
      <w:r w:rsidR="00685A92" w:rsidRPr="00B54944">
        <w:t>.</w:t>
      </w:r>
      <w:r w:rsidR="00905E47" w:rsidRPr="00B54944">
        <w:t>”</w:t>
      </w:r>
      <w:r w:rsidR="008F7749" w:rsidRPr="00B54944">
        <w:t xml:space="preserve">  (</w:t>
      </w:r>
      <w:r w:rsidR="008F7749" w:rsidRPr="00B54944">
        <w:rPr>
          <w:i/>
          <w:iCs/>
        </w:rPr>
        <w:t>Id.</w:t>
      </w:r>
      <w:r w:rsidR="008F7749" w:rsidRPr="00B54944">
        <w:t xml:space="preserve"> at p. </w:t>
      </w:r>
      <w:r w:rsidR="00C32435" w:rsidRPr="00B54944">
        <w:t>16</w:t>
      </w:r>
      <w:r w:rsidR="00AB618F" w:rsidRPr="00B54944">
        <w:t>4.)</w:t>
      </w:r>
      <w:r w:rsidR="00E128A6" w:rsidRPr="00B54944">
        <w:t xml:space="preserve">  </w:t>
      </w:r>
    </w:p>
    <w:p w14:paraId="4A27C275" w14:textId="0EF407CF" w:rsidR="00C87831" w:rsidRPr="00B54944" w:rsidRDefault="007814A8" w:rsidP="00B54944">
      <w:pPr>
        <w:tabs>
          <w:tab w:val="left" w:pos="1440"/>
        </w:tabs>
        <w:ind w:firstLine="720"/>
      </w:pPr>
      <w:r w:rsidRPr="00B54944">
        <w:t xml:space="preserve">Catarino does not dispute that </w:t>
      </w:r>
      <w:r w:rsidRPr="00B54944">
        <w:rPr>
          <w:i/>
          <w:iCs/>
        </w:rPr>
        <w:t>Ice</w:t>
      </w:r>
      <w:r w:rsidRPr="00B54944">
        <w:t xml:space="preserve"> applies, at least in part, to section 667.6(d).  Instead, he argues that section 667.6(d) has “two distinct consequences”:  first, it requires that each term imposed be a full term instead of one-third</w:t>
      </w:r>
      <w:r w:rsidR="00775CE4">
        <w:t xml:space="preserve"> of</w:t>
      </w:r>
      <w:r w:rsidRPr="00B54944">
        <w:t xml:space="preserve"> the middle term </w:t>
      </w:r>
      <w:r w:rsidR="008A553F">
        <w:lastRenderedPageBreak/>
        <w:t>a</w:t>
      </w:r>
      <w:r w:rsidR="005D29BA">
        <w:t xml:space="preserve">s authorized by </w:t>
      </w:r>
      <w:r w:rsidRPr="00B54944">
        <w:t>section 1170.1; second, it requires that each term be imposed consecutively</w:t>
      </w:r>
      <w:r w:rsidRPr="00B54944">
        <w:rPr>
          <w:i/>
          <w:iCs/>
        </w:rPr>
        <w:t>.</w:t>
      </w:r>
      <w:r w:rsidRPr="00B54944">
        <w:t xml:space="preserve">  The </w:t>
      </w:r>
      <w:r w:rsidR="00045558" w:rsidRPr="00B54944">
        <w:t>latter</w:t>
      </w:r>
      <w:r w:rsidRPr="00B54944">
        <w:t>, he asserts, is</w:t>
      </w:r>
      <w:r w:rsidR="00045558" w:rsidRPr="00B54944">
        <w:t xml:space="preserve"> controlled by </w:t>
      </w:r>
      <w:r w:rsidR="00045558" w:rsidRPr="00B54944">
        <w:rPr>
          <w:i/>
          <w:iCs/>
        </w:rPr>
        <w:t>Ice</w:t>
      </w:r>
      <w:r w:rsidR="00CC7C6C">
        <w:t>,</w:t>
      </w:r>
      <w:r w:rsidR="00045558" w:rsidRPr="00B54944">
        <w:rPr>
          <w:i/>
          <w:iCs/>
        </w:rPr>
        <w:t xml:space="preserve"> </w:t>
      </w:r>
      <w:r w:rsidR="00045558" w:rsidRPr="00B54944">
        <w:t xml:space="preserve">while the former is not. </w:t>
      </w:r>
      <w:r w:rsidRPr="00B54944">
        <w:t xml:space="preserve"> </w:t>
      </w:r>
      <w:r w:rsidR="00535240">
        <w:t>We conclude that a</w:t>
      </w:r>
      <w:r w:rsidR="003D005F" w:rsidRPr="00B54944">
        <w:t xml:space="preserve">lthough </w:t>
      </w:r>
      <w:r w:rsidR="006859D2" w:rsidRPr="00B54944">
        <w:t>the</w:t>
      </w:r>
      <w:r w:rsidR="003D005F" w:rsidRPr="00B54944">
        <w:t xml:space="preserve"> high court in</w:t>
      </w:r>
      <w:r w:rsidR="006859D2" w:rsidRPr="00B54944">
        <w:t xml:space="preserve"> </w:t>
      </w:r>
      <w:r w:rsidR="006859D2" w:rsidRPr="00B54944">
        <w:rPr>
          <w:i/>
          <w:iCs/>
        </w:rPr>
        <w:t>Ice</w:t>
      </w:r>
      <w:r w:rsidR="006859D2" w:rsidRPr="00B54944">
        <w:t xml:space="preserve"> was confronted with a statutory regime that only addressed concurrent versus consecutive sentencing</w:t>
      </w:r>
      <w:r w:rsidR="00E91BD8" w:rsidRPr="00B54944">
        <w:t xml:space="preserve">, </w:t>
      </w:r>
      <w:r w:rsidR="006859D2" w:rsidRPr="00B54944">
        <w:t>its rationale is equally applicable to section 667.6(d)</w:t>
      </w:r>
      <w:r w:rsidR="00F46970" w:rsidRPr="00B54944">
        <w:t xml:space="preserve">.  </w:t>
      </w:r>
    </w:p>
    <w:p w14:paraId="498DD090" w14:textId="7B82B1D9" w:rsidR="00245EC7" w:rsidRPr="00B54944" w:rsidRDefault="0005499A" w:rsidP="00B54944">
      <w:pPr>
        <w:tabs>
          <w:tab w:val="left" w:pos="1440"/>
        </w:tabs>
        <w:ind w:firstLine="720"/>
      </w:pPr>
      <w:r w:rsidRPr="00B54944">
        <w:t xml:space="preserve">As </w:t>
      </w:r>
      <w:r w:rsidR="00982E85" w:rsidRPr="00B54944">
        <w:t>noted</w:t>
      </w:r>
      <w:r w:rsidRPr="00B54944">
        <w:t xml:space="preserve">, </w:t>
      </w:r>
      <w:r w:rsidR="00011BBE">
        <w:t xml:space="preserve">if Catarino had </w:t>
      </w:r>
      <w:r w:rsidR="002D0A6C" w:rsidRPr="00B54944">
        <w:t xml:space="preserve">been sentenced under the determinate sentencing law or </w:t>
      </w:r>
      <w:r w:rsidR="00982E85" w:rsidRPr="00B54944">
        <w:t xml:space="preserve">under </w:t>
      </w:r>
      <w:r w:rsidR="00AD22B5" w:rsidRPr="00B54944">
        <w:t>section 667.6(c)</w:t>
      </w:r>
      <w:r w:rsidR="00423FF0">
        <w:t>, t</w:t>
      </w:r>
      <w:r w:rsidR="00982E85" w:rsidRPr="00B54944">
        <w:t>he trial court</w:t>
      </w:r>
      <w:r w:rsidR="00CF27EE" w:rsidRPr="00B54944">
        <w:t xml:space="preserve"> </w:t>
      </w:r>
      <w:r w:rsidR="00641962">
        <w:t xml:space="preserve">could have </w:t>
      </w:r>
      <w:r w:rsidR="00982E85" w:rsidRPr="00B54944">
        <w:t>impose</w:t>
      </w:r>
      <w:r w:rsidR="00641962">
        <w:t>d</w:t>
      </w:r>
      <w:r w:rsidR="00B33614" w:rsidRPr="00B54944">
        <w:t xml:space="preserve"> concurrent sentenc</w:t>
      </w:r>
      <w:r w:rsidR="00982E85" w:rsidRPr="00B54944">
        <w:t>es</w:t>
      </w:r>
      <w:r w:rsidR="00B33614" w:rsidRPr="00B54944">
        <w:t xml:space="preserve"> or</w:t>
      </w:r>
      <w:r w:rsidR="001F0A06" w:rsidRPr="00B54944">
        <w:t xml:space="preserve"> partial</w:t>
      </w:r>
      <w:r w:rsidR="001F0A06" w:rsidRPr="00B54944">
        <w:rPr>
          <w:i/>
          <w:iCs/>
        </w:rPr>
        <w:t xml:space="preserve"> </w:t>
      </w:r>
      <w:r w:rsidR="001F0A06" w:rsidRPr="00B54944">
        <w:t>consecutive sentenc</w:t>
      </w:r>
      <w:r w:rsidR="00982E85" w:rsidRPr="00B54944">
        <w:t>es</w:t>
      </w:r>
      <w:r w:rsidR="00474708" w:rsidRPr="00B54944">
        <w:t xml:space="preserve"> on </w:t>
      </w:r>
      <w:r w:rsidR="00B06716" w:rsidRPr="00B54944">
        <w:t xml:space="preserve">Catarino’s </w:t>
      </w:r>
      <w:r w:rsidR="00474708" w:rsidRPr="00B54944">
        <w:t>seven counts of conviction</w:t>
      </w:r>
      <w:r w:rsidR="001446CF" w:rsidRPr="00B54944">
        <w:t>, i.e.</w:t>
      </w:r>
      <w:r w:rsidR="00A34D78" w:rsidRPr="00B54944">
        <w:t>,</w:t>
      </w:r>
      <w:r w:rsidR="001446CF" w:rsidRPr="00B54944">
        <w:t xml:space="preserve"> a full term on </w:t>
      </w:r>
      <w:r w:rsidR="005E1D22" w:rsidRPr="00B54944">
        <w:t xml:space="preserve">one </w:t>
      </w:r>
      <w:r w:rsidR="001446CF" w:rsidRPr="00B54944">
        <w:t xml:space="preserve">principal count and partial terms on </w:t>
      </w:r>
      <w:r w:rsidR="005E1D22" w:rsidRPr="00B54944">
        <w:t>six</w:t>
      </w:r>
      <w:r w:rsidR="001446CF" w:rsidRPr="00B54944">
        <w:t xml:space="preserve"> subordinate counts</w:t>
      </w:r>
      <w:r w:rsidR="001F0A06" w:rsidRPr="00B54944">
        <w:t xml:space="preserve">.  </w:t>
      </w:r>
      <w:r w:rsidR="00982E85" w:rsidRPr="00B54944">
        <w:t>S</w:t>
      </w:r>
      <w:r w:rsidR="004B65EF" w:rsidRPr="00B54944">
        <w:t>ection 667.6(d)</w:t>
      </w:r>
      <w:r w:rsidR="00982E85" w:rsidRPr="00B54944">
        <w:t xml:space="preserve">, by contrast, requires </w:t>
      </w:r>
      <w:r w:rsidR="00C42487" w:rsidRPr="00B54944">
        <w:t>ful</w:t>
      </w:r>
      <w:r w:rsidR="00D52A34" w:rsidRPr="00B54944">
        <w:t>l-term</w:t>
      </w:r>
      <w:r w:rsidR="00C42487" w:rsidRPr="00B54944">
        <w:t xml:space="preserve"> consecutive sentencing</w:t>
      </w:r>
      <w:r w:rsidR="00982E85" w:rsidRPr="00B54944">
        <w:t xml:space="preserve"> upon a</w:t>
      </w:r>
      <w:r w:rsidR="004B65EF" w:rsidRPr="00B54944">
        <w:t xml:space="preserve"> </w:t>
      </w:r>
      <w:r w:rsidR="000A25F4" w:rsidRPr="00B54944">
        <w:t xml:space="preserve">finding that “the crimes involve separate victims or involve the same victim on separate occasions.”  </w:t>
      </w:r>
      <w:r w:rsidR="00982E85" w:rsidRPr="00B54944">
        <w:t xml:space="preserve">Like </w:t>
      </w:r>
      <w:r w:rsidR="0043484D" w:rsidRPr="00B54944">
        <w:t xml:space="preserve">the statutes </w:t>
      </w:r>
      <w:r w:rsidR="00C545D0" w:rsidRPr="00B54944">
        <w:t>in</w:t>
      </w:r>
      <w:r w:rsidR="0043484D" w:rsidRPr="00B54944">
        <w:t xml:space="preserve"> </w:t>
      </w:r>
      <w:r w:rsidR="0043484D" w:rsidRPr="00B54944">
        <w:rPr>
          <w:i/>
          <w:iCs/>
        </w:rPr>
        <w:t>Ice</w:t>
      </w:r>
      <w:r w:rsidR="00982E85" w:rsidRPr="00B54944">
        <w:t xml:space="preserve">, section 667.6(d) is a </w:t>
      </w:r>
      <w:r w:rsidR="00970E83" w:rsidRPr="00B54944">
        <w:t>“specification of</w:t>
      </w:r>
      <w:r w:rsidR="000A25F4" w:rsidRPr="00B54944">
        <w:t xml:space="preserve"> the regime for administering multiple sentences</w:t>
      </w:r>
      <w:r w:rsidR="00982E85" w:rsidRPr="00B54944">
        <w:t>,</w:t>
      </w:r>
      <w:r w:rsidR="000A25F4" w:rsidRPr="00B54944">
        <w:t>”</w:t>
      </w:r>
      <w:r w:rsidR="00F17DB3" w:rsidRPr="00B54944">
        <w:t xml:space="preserve"> </w:t>
      </w:r>
      <w:r w:rsidR="00F2783A" w:rsidRPr="00B54944">
        <w:t>which</w:t>
      </w:r>
      <w:r w:rsidR="00F17DB3" w:rsidRPr="00B54944">
        <w:t xml:space="preserve"> </w:t>
      </w:r>
      <w:r w:rsidR="00982E85" w:rsidRPr="00B54944">
        <w:t>“has long been considered the prerogative of state legislatures.”</w:t>
      </w:r>
      <w:r w:rsidR="000A25F4" w:rsidRPr="00B54944">
        <w:t xml:space="preserve">  (</w:t>
      </w:r>
      <w:r w:rsidR="000A25F4" w:rsidRPr="00B54944">
        <w:rPr>
          <w:i/>
          <w:iCs/>
        </w:rPr>
        <w:t>Ice</w:t>
      </w:r>
      <w:r w:rsidR="000A25F4" w:rsidRPr="00B54944">
        <w:t xml:space="preserve">, </w:t>
      </w:r>
      <w:r w:rsidR="000A25F4" w:rsidRPr="00B54944">
        <w:rPr>
          <w:i/>
          <w:iCs/>
        </w:rPr>
        <w:t>supra</w:t>
      </w:r>
      <w:r w:rsidR="000A25F4" w:rsidRPr="00B54944">
        <w:t xml:space="preserve">, </w:t>
      </w:r>
      <w:r w:rsidR="00255EF3" w:rsidRPr="00B54944">
        <w:t>555</w:t>
      </w:r>
      <w:r w:rsidR="000A25F4" w:rsidRPr="00B54944">
        <w:t xml:space="preserve"> U.S. at p. 168.)</w:t>
      </w:r>
      <w:r w:rsidR="00E32E30" w:rsidRPr="00B54944">
        <w:t xml:space="preserve">  </w:t>
      </w:r>
      <w:r w:rsidR="00982E85" w:rsidRPr="00B54944">
        <w:t>S</w:t>
      </w:r>
      <w:r w:rsidR="000316A9" w:rsidRPr="00B54944">
        <w:t>ection 667.6(d)</w:t>
      </w:r>
      <w:r w:rsidR="000316A9" w:rsidRPr="00B54944">
        <w:rPr>
          <w:i/>
          <w:iCs/>
        </w:rPr>
        <w:t xml:space="preserve"> </w:t>
      </w:r>
      <w:r w:rsidR="0017279C" w:rsidRPr="00B54944">
        <w:t>applies</w:t>
      </w:r>
      <w:r w:rsidR="00733C16" w:rsidRPr="00B54944">
        <w:t xml:space="preserve"> only</w:t>
      </w:r>
      <w:r w:rsidR="0017279C" w:rsidRPr="00B54944">
        <w:t xml:space="preserve"> when a defendant “has been tried and convicted of multiple offenses, each involving discrete sentencing prescriptions”</w:t>
      </w:r>
      <w:r w:rsidR="00982E85" w:rsidRPr="00B54944">
        <w:t>; i</w:t>
      </w:r>
      <w:r w:rsidR="00461525" w:rsidRPr="00B54944">
        <w:t>t</w:t>
      </w:r>
      <w:r w:rsidR="0017279C" w:rsidRPr="00B54944">
        <w:t xml:space="preserve"> </w:t>
      </w:r>
      <w:r w:rsidR="00372D17" w:rsidRPr="00B54944">
        <w:t>governs how these sentences run relative to each other, a “sentencing function in which the jury traditionally played no part</w:t>
      </w:r>
      <w:r w:rsidR="009841CE">
        <w:t>.</w:t>
      </w:r>
      <w:r w:rsidR="00372D17" w:rsidRPr="00B54944">
        <w:t xml:space="preserve">”  </w:t>
      </w:r>
      <w:r w:rsidR="00982E85" w:rsidRPr="00B54944">
        <w:t>(</w:t>
      </w:r>
      <w:r w:rsidR="00982E85" w:rsidRPr="00B54944">
        <w:rPr>
          <w:i/>
          <w:iCs/>
        </w:rPr>
        <w:t>Ice</w:t>
      </w:r>
      <w:r w:rsidR="00982E85" w:rsidRPr="00B54944">
        <w:t xml:space="preserve">, at p. 163.)  </w:t>
      </w:r>
      <w:r w:rsidR="00EB49C5" w:rsidRPr="00B54944">
        <w:t xml:space="preserve">This is distinct from the </w:t>
      </w:r>
      <w:r w:rsidR="00EB49C5" w:rsidRPr="00B54944">
        <w:rPr>
          <w:i/>
          <w:iCs/>
        </w:rPr>
        <w:t xml:space="preserve">Apprendi </w:t>
      </w:r>
      <w:r w:rsidR="00EB49C5" w:rsidRPr="00B54944">
        <w:t xml:space="preserve">line of cases, which </w:t>
      </w:r>
      <w:r w:rsidR="00982E85" w:rsidRPr="00B54944">
        <w:t>concerns</w:t>
      </w:r>
      <w:r w:rsidR="00EB49C5" w:rsidRPr="00B54944">
        <w:t xml:space="preserve"> “sentencing for a discrete crime, not . . . for multiple offenses different in character or committed at different times.”  (</w:t>
      </w:r>
      <w:r w:rsidR="00EB49C5" w:rsidRPr="00B54944">
        <w:rPr>
          <w:i/>
          <w:iCs/>
        </w:rPr>
        <w:t>Ice</w:t>
      </w:r>
      <w:r w:rsidR="00EB49C5" w:rsidRPr="00B54944">
        <w:t xml:space="preserve">, at p. 167.)  </w:t>
      </w:r>
      <w:r w:rsidR="00982E85" w:rsidRPr="00B54944">
        <w:t>H</w:t>
      </w:r>
      <w:r w:rsidR="000A026D" w:rsidRPr="00B54944">
        <w:t xml:space="preserve">ad Catarino been convicted of only one </w:t>
      </w:r>
      <w:r w:rsidR="00A92031" w:rsidRPr="00B54944">
        <w:t>offense</w:t>
      </w:r>
      <w:r w:rsidR="000A026D" w:rsidRPr="00B54944">
        <w:t xml:space="preserve">, section 667.6(d) would have had no effect on the sentencing options authorized by the jury’s verdict.  It is only because he was convicted by a jury of multiple offenses that section 667.6(d) applies to inform </w:t>
      </w:r>
      <w:r w:rsidR="000A026D" w:rsidRPr="00B54944">
        <w:lastRenderedPageBreak/>
        <w:t>how each offense’s authorized sentence runs relative to each other.</w:t>
      </w:r>
    </w:p>
    <w:p w14:paraId="053C3FA4" w14:textId="36CAD9FE" w:rsidR="004765CF" w:rsidRDefault="00155F1C" w:rsidP="004765CF">
      <w:pPr>
        <w:tabs>
          <w:tab w:val="left" w:pos="1440"/>
        </w:tabs>
        <w:ind w:firstLine="720"/>
      </w:pPr>
      <w:r w:rsidRPr="00B54944">
        <w:t xml:space="preserve">Section 667.6(d)’s </w:t>
      </w:r>
      <w:r w:rsidR="00982E85" w:rsidRPr="00B54944">
        <w:t>requirement of “</w:t>
      </w:r>
      <w:r w:rsidR="00A7414A" w:rsidRPr="00B54944">
        <w:t>full</w:t>
      </w:r>
      <w:r w:rsidRPr="00B54944">
        <w:t xml:space="preserve">” </w:t>
      </w:r>
      <w:r w:rsidR="00A7414A" w:rsidRPr="00B54944">
        <w:t xml:space="preserve">consecutive </w:t>
      </w:r>
      <w:r w:rsidRPr="00B54944">
        <w:t xml:space="preserve">terms </w:t>
      </w:r>
      <w:r w:rsidR="00A7414A" w:rsidRPr="00B54944">
        <w:t>is also not a “</w:t>
      </w:r>
      <w:r w:rsidR="00255EF3" w:rsidRPr="00B54944">
        <w:t>discrete sentencing prescription</w:t>
      </w:r>
      <w:r w:rsidR="00A7414A" w:rsidRPr="00B54944">
        <w:t>[]</w:t>
      </w:r>
      <w:r w:rsidR="00255EF3" w:rsidRPr="00B54944">
        <w:t>”</w:t>
      </w:r>
      <w:r w:rsidRPr="00B54944">
        <w:t xml:space="preserve"> within the meaning of </w:t>
      </w:r>
      <w:r w:rsidRPr="00B54944">
        <w:rPr>
          <w:i/>
          <w:iCs/>
        </w:rPr>
        <w:t>Apprendi</w:t>
      </w:r>
      <w:r w:rsidRPr="00B54944">
        <w:t>.</w:t>
      </w:r>
      <w:r w:rsidR="00255EF3" w:rsidRPr="00B54944">
        <w:t xml:space="preserve">  (</w:t>
      </w:r>
      <w:r w:rsidR="00255EF3" w:rsidRPr="00B54944">
        <w:rPr>
          <w:i/>
          <w:iCs/>
        </w:rPr>
        <w:t>Ice</w:t>
      </w:r>
      <w:r w:rsidR="00255EF3" w:rsidRPr="00B54944">
        <w:t xml:space="preserve">, </w:t>
      </w:r>
      <w:r w:rsidR="00255EF3" w:rsidRPr="00B54944">
        <w:rPr>
          <w:i/>
          <w:iCs/>
        </w:rPr>
        <w:t>supra</w:t>
      </w:r>
      <w:r w:rsidR="00255EF3" w:rsidRPr="00B54944">
        <w:t>, 555 U.S. at p. </w:t>
      </w:r>
      <w:r w:rsidR="00340FC4" w:rsidRPr="00B54944">
        <w:t xml:space="preserve">163.)  </w:t>
      </w:r>
      <w:r w:rsidR="00A7414A" w:rsidRPr="00B54944">
        <w:t xml:space="preserve">Section 667.6(d) </w:t>
      </w:r>
      <w:r w:rsidR="00B87233" w:rsidRPr="00B54944">
        <w:t xml:space="preserve">does not </w:t>
      </w:r>
      <w:r w:rsidRPr="00B54944">
        <w:t xml:space="preserve">change what is a “full” term or otherwise define </w:t>
      </w:r>
      <w:r w:rsidR="003A25A4" w:rsidRPr="00B54944">
        <w:t>the</w:t>
      </w:r>
      <w:r w:rsidR="0074573D" w:rsidRPr="00B54944">
        <w:t xml:space="preserve"> sentence </w:t>
      </w:r>
      <w:r w:rsidRPr="00B54944">
        <w:t>for</w:t>
      </w:r>
      <w:r w:rsidR="0074573D" w:rsidRPr="00B54944">
        <w:t xml:space="preserve"> </w:t>
      </w:r>
      <w:r w:rsidR="003A25A4" w:rsidRPr="00B54944">
        <w:t>any particular</w:t>
      </w:r>
      <w:r w:rsidR="0074573D" w:rsidRPr="00B54944">
        <w:t xml:space="preserve"> offense</w:t>
      </w:r>
      <w:r w:rsidR="00090B37" w:rsidRPr="00B54944">
        <w:t xml:space="preserve">.  </w:t>
      </w:r>
      <w:r w:rsidRPr="00B54944">
        <w:t>In this regard, it differs</w:t>
      </w:r>
      <w:r w:rsidR="003278A4" w:rsidRPr="00B54944">
        <w:t xml:space="preserve"> from the statute at issue i</w:t>
      </w:r>
      <w:r w:rsidR="004052D3" w:rsidRPr="00B54944">
        <w:t xml:space="preserve">n </w:t>
      </w:r>
      <w:r w:rsidR="004052D3" w:rsidRPr="00B54944">
        <w:rPr>
          <w:i/>
          <w:iCs/>
        </w:rPr>
        <w:t>Alleyne</w:t>
      </w:r>
      <w:r w:rsidR="004052D3" w:rsidRPr="00B54944">
        <w:t xml:space="preserve">, </w:t>
      </w:r>
      <w:r w:rsidR="003278A4" w:rsidRPr="00B54944">
        <w:t xml:space="preserve">which </w:t>
      </w:r>
      <w:r w:rsidR="004052D3" w:rsidRPr="00B54944">
        <w:t xml:space="preserve">provided that </w:t>
      </w:r>
      <w:r w:rsidR="007041FA" w:rsidRPr="00B54944">
        <w:t>a defendant using or carrying a firearm must “</w:t>
      </w:r>
      <w:r w:rsidRPr="00B54944">
        <w:t> ‘</w:t>
      </w:r>
      <w:r w:rsidR="007041FA" w:rsidRPr="00B54944">
        <w:t>be sentenced to a term of imprisonment of not less than 5 years,</w:t>
      </w:r>
      <w:r w:rsidRPr="00B54944">
        <w:t>’ </w:t>
      </w:r>
      <w:r w:rsidR="007041FA" w:rsidRPr="00B54944">
        <w:t xml:space="preserve">” but if the firearm </w:t>
      </w:r>
      <w:r w:rsidR="009674E5" w:rsidRPr="00B54944">
        <w:t>wa</w:t>
      </w:r>
      <w:r w:rsidR="007041FA" w:rsidRPr="00B54944">
        <w:t xml:space="preserve">s brandished, the sentence </w:t>
      </w:r>
      <w:r w:rsidR="003278A4" w:rsidRPr="00B54944">
        <w:t>must be “</w:t>
      </w:r>
      <w:r w:rsidRPr="00B54944">
        <w:t> ‘</w:t>
      </w:r>
      <w:r w:rsidR="003278A4" w:rsidRPr="00B54944">
        <w:t>not less than 7 years.</w:t>
      </w:r>
      <w:r w:rsidRPr="00B54944">
        <w:t>’ </w:t>
      </w:r>
      <w:r w:rsidR="003278A4" w:rsidRPr="00B54944">
        <w:t>”  (</w:t>
      </w:r>
      <w:r w:rsidR="003278A4" w:rsidRPr="00B54944">
        <w:rPr>
          <w:i/>
          <w:iCs/>
        </w:rPr>
        <w:t>Alleyne</w:t>
      </w:r>
      <w:r w:rsidR="003278A4" w:rsidRPr="00B54944">
        <w:t xml:space="preserve">, </w:t>
      </w:r>
      <w:r w:rsidR="003278A4" w:rsidRPr="00B54944">
        <w:rPr>
          <w:i/>
          <w:iCs/>
        </w:rPr>
        <w:t>supra</w:t>
      </w:r>
      <w:r w:rsidR="003278A4" w:rsidRPr="00B54944">
        <w:t>, 570 U.S. at pp. 103</w:t>
      </w:r>
      <w:r w:rsidR="009841CE">
        <w:t xml:space="preserve">, </w:t>
      </w:r>
      <w:r w:rsidR="003278A4" w:rsidRPr="00B54944">
        <w:t>104</w:t>
      </w:r>
      <w:r w:rsidR="009674E5" w:rsidRPr="00B54944">
        <w:t>, quoting 18 U.S.C. § 924(c)(1)(A)(i)</w:t>
      </w:r>
      <w:r w:rsidR="00DE67ED">
        <w:t>–</w:t>
      </w:r>
      <w:r w:rsidR="009674E5" w:rsidRPr="00B54944">
        <w:t>(ii)</w:t>
      </w:r>
      <w:r w:rsidR="003278A4" w:rsidRPr="00B54944">
        <w:t xml:space="preserve">.)  </w:t>
      </w:r>
      <w:r w:rsidR="000026D0" w:rsidRPr="00B54944">
        <w:t>Rather than set or change the</w:t>
      </w:r>
      <w:r w:rsidR="00372A01" w:rsidRPr="00B54944">
        <w:t xml:space="preserve"> </w:t>
      </w:r>
      <w:r w:rsidR="000026D0" w:rsidRPr="00B54944">
        <w:t>term authorized on an individual count</w:t>
      </w:r>
      <w:r w:rsidR="00394D4F" w:rsidRPr="00B54944">
        <w:t xml:space="preserve"> as the statute in </w:t>
      </w:r>
      <w:r w:rsidR="00394D4F" w:rsidRPr="00B54944">
        <w:rPr>
          <w:i/>
          <w:iCs/>
        </w:rPr>
        <w:t xml:space="preserve">Alleyne </w:t>
      </w:r>
      <w:r w:rsidR="00394D4F" w:rsidRPr="00B54944">
        <w:t>did,</w:t>
      </w:r>
      <w:r w:rsidR="000026D0" w:rsidRPr="00B54944">
        <w:t xml:space="preserve"> section 667.6(d) requires th</w:t>
      </w:r>
      <w:r w:rsidR="00394D4F" w:rsidRPr="00B54944">
        <w:t xml:space="preserve">at </w:t>
      </w:r>
      <w:r w:rsidR="00744416" w:rsidRPr="00B54944">
        <w:t xml:space="preserve">the </w:t>
      </w:r>
      <w:r w:rsidR="00372A01" w:rsidRPr="00B54944">
        <w:t xml:space="preserve">term </w:t>
      </w:r>
      <w:r w:rsidR="00A1440D" w:rsidRPr="00B54944">
        <w:rPr>
          <w:i/>
          <w:iCs/>
        </w:rPr>
        <w:t>already authorized</w:t>
      </w:r>
      <w:r w:rsidR="00A1440D" w:rsidRPr="00B54944">
        <w:t xml:space="preserve"> </w:t>
      </w:r>
      <w:r w:rsidR="006D5052" w:rsidRPr="00B54944">
        <w:t xml:space="preserve">(§ 288, subd. (b)(1)) </w:t>
      </w:r>
      <w:r w:rsidR="00744416" w:rsidRPr="00B54944">
        <w:t xml:space="preserve">be </w:t>
      </w:r>
      <w:r w:rsidRPr="00B54944">
        <w:t xml:space="preserve">meted out </w:t>
      </w:r>
      <w:r w:rsidR="00A1440D" w:rsidRPr="00B54944">
        <w:t xml:space="preserve">as </w:t>
      </w:r>
      <w:r w:rsidR="00744416" w:rsidRPr="00B54944">
        <w:t xml:space="preserve">a </w:t>
      </w:r>
      <w:r w:rsidR="000026D0" w:rsidRPr="00B54944">
        <w:t>full</w:t>
      </w:r>
      <w:r w:rsidR="00744416" w:rsidRPr="00B54944">
        <w:t xml:space="preserve"> term</w:t>
      </w:r>
      <w:r w:rsidR="000026D0" w:rsidRPr="00B54944">
        <w:t>.</w:t>
      </w:r>
      <w:r w:rsidR="003958FE" w:rsidRPr="00B54944">
        <w:t xml:space="preserve"> </w:t>
      </w:r>
      <w:r w:rsidR="00633E35">
        <w:t xml:space="preserve"> </w:t>
      </w:r>
      <w:r w:rsidR="004765CF" w:rsidRPr="00B54944" w:rsidDel="000E672D">
        <w:t xml:space="preserve">Under the high court’s reasoning in </w:t>
      </w:r>
      <w:r w:rsidR="004765CF" w:rsidRPr="00B54944" w:rsidDel="000E672D">
        <w:rPr>
          <w:i/>
          <w:iCs/>
        </w:rPr>
        <w:t>Ice</w:t>
      </w:r>
      <w:r w:rsidR="004765CF" w:rsidRPr="00B54944" w:rsidDel="000E672D">
        <w:t xml:space="preserve">, </w:t>
      </w:r>
      <w:r w:rsidR="004765CF" w:rsidRPr="00B54944">
        <w:t xml:space="preserve">section 667.6(d) does not </w:t>
      </w:r>
      <w:r w:rsidR="004765CF" w:rsidRPr="00B54944" w:rsidDel="000E672D">
        <w:t>define or alter the term for any particular offense in a manner that invades the historical province of the jury.</w:t>
      </w:r>
      <w:r w:rsidR="004765CF">
        <w:t xml:space="preserve">  </w:t>
      </w:r>
    </w:p>
    <w:p w14:paraId="071E8EA9" w14:textId="0C26089A" w:rsidR="00C0585D" w:rsidRDefault="00C0585D" w:rsidP="00C0585D">
      <w:pPr>
        <w:tabs>
          <w:tab w:val="left" w:pos="1440"/>
        </w:tabs>
        <w:ind w:firstLine="720"/>
      </w:pPr>
      <w:r>
        <w:t xml:space="preserve">Catarino </w:t>
      </w:r>
      <w:r w:rsidR="00535240">
        <w:t>contends</w:t>
      </w:r>
      <w:r>
        <w:t xml:space="preserve"> that section 667.6(d) “has the effect” of raising the term on each subordinate count from two years and eight months to five years</w:t>
      </w:r>
      <w:r w:rsidR="002D15D1">
        <w:t xml:space="preserve"> in a manner </w:t>
      </w:r>
      <w:r w:rsidR="00F54FA6">
        <w:t xml:space="preserve">implicating </w:t>
      </w:r>
      <w:r w:rsidR="00F54FA6">
        <w:rPr>
          <w:i/>
          <w:iCs/>
        </w:rPr>
        <w:t>Apprendi</w:t>
      </w:r>
      <w:r>
        <w:t xml:space="preserve">.  The Court of Appeal in </w:t>
      </w:r>
      <w:r>
        <w:rPr>
          <w:i/>
          <w:iCs/>
        </w:rPr>
        <w:t xml:space="preserve">Johnson </w:t>
      </w:r>
      <w:r>
        <w:t xml:space="preserve">took a similar view, reasoning that a finding under section 667.6(d) “increases the ‘floor’ of the range [of sentences] from </w:t>
      </w:r>
      <w:r w:rsidR="009841CE">
        <w:t xml:space="preserve">two </w:t>
      </w:r>
      <w:r>
        <w:t xml:space="preserve">years </w:t>
      </w:r>
      <w:r w:rsidR="009841CE">
        <w:t xml:space="preserve">eight </w:t>
      </w:r>
      <w:r>
        <w:t xml:space="preserve">months to </w:t>
      </w:r>
      <w:r w:rsidR="009841CE">
        <w:t xml:space="preserve">five </w:t>
      </w:r>
      <w:r>
        <w:t>years.”  (</w:t>
      </w:r>
      <w:r>
        <w:rPr>
          <w:i/>
          <w:iCs/>
        </w:rPr>
        <w:t>Johnson</w:t>
      </w:r>
      <w:r>
        <w:t xml:space="preserve">, </w:t>
      </w:r>
      <w:r>
        <w:rPr>
          <w:i/>
          <w:iCs/>
        </w:rPr>
        <w:t>supra</w:t>
      </w:r>
      <w:r>
        <w:t xml:space="preserve">, 88 Cal.App.5th at p. 504.)  </w:t>
      </w:r>
      <w:r w:rsidR="00535240">
        <w:t>But t</w:t>
      </w:r>
      <w:r>
        <w:t xml:space="preserve">he lowest term </w:t>
      </w:r>
      <w:r w:rsidR="002B0448">
        <w:t>set</w:t>
      </w:r>
      <w:r>
        <w:t xml:space="preserve"> by section 288, subdivision (b)(1) — before any aggregation — is five years, not two years and eight months.  </w:t>
      </w:r>
      <w:r w:rsidR="00757558">
        <w:t>The jury</w:t>
      </w:r>
      <w:r w:rsidR="00712C47">
        <w:t>’s verdict thus authorized at least a five-year sentence for each violation of this section.</w:t>
      </w:r>
    </w:p>
    <w:p w14:paraId="2155DFFE" w14:textId="27E7E6E7" w:rsidR="00C21769" w:rsidRDefault="00D65F8F" w:rsidP="00691FFE">
      <w:pPr>
        <w:tabs>
          <w:tab w:val="left" w:pos="1440"/>
        </w:tabs>
        <w:ind w:firstLine="720"/>
      </w:pPr>
      <w:r>
        <w:lastRenderedPageBreak/>
        <w:t xml:space="preserve">In arguing otherwise, </w:t>
      </w:r>
      <w:r w:rsidR="001C79E9">
        <w:t xml:space="preserve">Catarino and the </w:t>
      </w:r>
      <w:r w:rsidR="001C79E9">
        <w:rPr>
          <w:i/>
          <w:iCs/>
        </w:rPr>
        <w:t xml:space="preserve">Johnson </w:t>
      </w:r>
      <w:r w:rsidR="001C79E9">
        <w:t>court</w:t>
      </w:r>
      <w:r w:rsidR="00EA6C2D">
        <w:t xml:space="preserve"> </w:t>
      </w:r>
      <w:r w:rsidR="00214E50">
        <w:t xml:space="preserve">erroneously </w:t>
      </w:r>
      <w:r w:rsidR="001C79E9">
        <w:t>import the</w:t>
      </w:r>
      <w:r>
        <w:t xml:space="preserve"> </w:t>
      </w:r>
      <w:r w:rsidR="00535240">
        <w:t xml:space="preserve">term of </w:t>
      </w:r>
      <w:r>
        <w:t>two years and eight months</w:t>
      </w:r>
      <w:r w:rsidR="001C79E9">
        <w:t xml:space="preserve"> authorized by </w:t>
      </w:r>
      <w:r w:rsidR="006220A1">
        <w:t xml:space="preserve">section 1170.1 </w:t>
      </w:r>
      <w:r w:rsidR="001C79E9">
        <w:t>into the analysis of section 667.6(d)</w:t>
      </w:r>
      <w:r w:rsidR="00BB50B0">
        <w:t>’s constitutionality</w:t>
      </w:r>
      <w:r w:rsidR="00CC3DC3">
        <w:t xml:space="preserve">.  </w:t>
      </w:r>
      <w:r w:rsidR="00214E50">
        <w:t>S</w:t>
      </w:r>
      <w:r w:rsidR="00CC3DC3" w:rsidRPr="00003613">
        <w:t>ection 1170.1</w:t>
      </w:r>
      <w:r w:rsidR="001A3631">
        <w:t>, like section 667.6(d),</w:t>
      </w:r>
      <w:r w:rsidR="00CC3DC3" w:rsidRPr="00003613">
        <w:t xml:space="preserve"> is</w:t>
      </w:r>
      <w:r w:rsidR="00584800">
        <w:t xml:space="preserve"> </w:t>
      </w:r>
      <w:r w:rsidR="00CC3DC3" w:rsidRPr="00003613">
        <w:t>a “specification of the regime for administering multiple sentences</w:t>
      </w:r>
      <w:r w:rsidR="00270F4F">
        <w:t>.</w:t>
      </w:r>
      <w:r w:rsidR="00CC3DC3" w:rsidRPr="00003613">
        <w:t>”</w:t>
      </w:r>
      <w:r w:rsidR="00270F4F">
        <w:t xml:space="preserve"> </w:t>
      </w:r>
      <w:r w:rsidR="00003613">
        <w:t xml:space="preserve"> </w:t>
      </w:r>
      <w:r w:rsidR="001C79E9" w:rsidRPr="00003613">
        <w:t>(</w:t>
      </w:r>
      <w:r w:rsidR="001C79E9" w:rsidRPr="00003613">
        <w:rPr>
          <w:i/>
          <w:iCs/>
        </w:rPr>
        <w:t>Ice</w:t>
      </w:r>
      <w:r w:rsidR="001C79E9" w:rsidRPr="00003613">
        <w:t xml:space="preserve">, </w:t>
      </w:r>
      <w:r w:rsidR="001C79E9" w:rsidRPr="00003613">
        <w:rPr>
          <w:i/>
          <w:iCs/>
        </w:rPr>
        <w:t>supra</w:t>
      </w:r>
      <w:r w:rsidR="001C79E9" w:rsidRPr="00003613">
        <w:t>, 555 U.S. at p. </w:t>
      </w:r>
      <w:r w:rsidR="00050ABC" w:rsidRPr="00003613">
        <w:t>168</w:t>
      </w:r>
      <w:r w:rsidR="00270F4F">
        <w:t>.</w:t>
      </w:r>
      <w:r w:rsidR="00050ABC" w:rsidRPr="00003613">
        <w:t>)</w:t>
      </w:r>
      <w:r w:rsidR="00CF7120">
        <w:t xml:space="preserve">  </w:t>
      </w:r>
      <w:r w:rsidR="006D5052" w:rsidRPr="00B54944">
        <w:t xml:space="preserve">The high court in </w:t>
      </w:r>
      <w:r w:rsidR="006D5052" w:rsidRPr="00B54944">
        <w:rPr>
          <w:i/>
          <w:iCs/>
        </w:rPr>
        <w:t>Ice</w:t>
      </w:r>
      <w:r w:rsidR="006D5052" w:rsidRPr="00B54944">
        <w:t xml:space="preserve"> explained that h</w:t>
      </w:r>
      <w:r w:rsidR="005C38F2" w:rsidRPr="00B54944">
        <w:t xml:space="preserve">istorically “a judge’s imposition of consecutive, rather than concurrent, sentences was the prevailing practice” </w:t>
      </w:r>
      <w:r w:rsidR="006D5052" w:rsidRPr="00B54944">
        <w:t xml:space="preserve">and that </w:t>
      </w:r>
      <w:r w:rsidR="001F7805" w:rsidRPr="00B54944">
        <w:t xml:space="preserve">state statutes making concurrent sentencing the </w:t>
      </w:r>
      <w:r w:rsidR="00423404" w:rsidRPr="00B54944">
        <w:t>rule and consecutive sentenc</w:t>
      </w:r>
      <w:r w:rsidR="00A465FB" w:rsidRPr="00B54944">
        <w:t>ing</w:t>
      </w:r>
      <w:r w:rsidR="00423404" w:rsidRPr="00B54944">
        <w:t xml:space="preserve"> the exception represent “modern . . . statutory protections meant to temper the harshness of the historical practice.”  </w:t>
      </w:r>
      <w:r w:rsidR="006D5052" w:rsidRPr="00B54944">
        <w:t>(</w:t>
      </w:r>
      <w:r w:rsidR="00CF65E4">
        <w:rPr>
          <w:i/>
          <w:iCs/>
        </w:rPr>
        <w:t>Id.</w:t>
      </w:r>
      <w:r w:rsidR="006D5052" w:rsidRPr="00B54944">
        <w:t xml:space="preserve"> at p. 169.)  </w:t>
      </w:r>
      <w:r w:rsidR="00C21769">
        <w:t>Here, s</w:t>
      </w:r>
      <w:r w:rsidR="00A515F6">
        <w:t>ection 1170.1</w:t>
      </w:r>
      <w:r w:rsidR="005E4005">
        <w:t xml:space="preserve"> </w:t>
      </w:r>
      <w:r w:rsidR="007248B6">
        <w:t xml:space="preserve">limits judges’ discretion by generally requiring them to impose </w:t>
      </w:r>
      <w:r w:rsidR="00A515F6">
        <w:t>partial</w:t>
      </w:r>
      <w:r w:rsidR="007F7816">
        <w:t>-term</w:t>
      </w:r>
      <w:r w:rsidR="00A515F6">
        <w:t xml:space="preserve"> consecutive sentences instead of full-term consecutive sentences.  Section 667.6(d) then</w:t>
      </w:r>
      <w:r w:rsidR="00D93212">
        <w:t xml:space="preserve"> departs from this general rule </w:t>
      </w:r>
      <w:r w:rsidR="00B279A1">
        <w:t xml:space="preserve">for certain enumerated sex offenses </w:t>
      </w:r>
      <w:r w:rsidR="00D93212">
        <w:t>by</w:t>
      </w:r>
      <w:r w:rsidR="00A515F6">
        <w:t xml:space="preserve"> </w:t>
      </w:r>
      <w:r w:rsidR="00D93212">
        <w:t>requiring</w:t>
      </w:r>
      <w:r w:rsidR="00A515F6">
        <w:t xml:space="preserve"> full-term consecutive sentences </w:t>
      </w:r>
      <w:r w:rsidR="00367819">
        <w:t xml:space="preserve">if </w:t>
      </w:r>
      <w:r w:rsidR="00A76285">
        <w:t>the</w:t>
      </w:r>
      <w:r w:rsidR="00367819">
        <w:t xml:space="preserve"> offenses </w:t>
      </w:r>
      <w:r w:rsidR="00A515F6">
        <w:t xml:space="preserve">“involve separate victims or involve the same victim on separate occasions.”  </w:t>
      </w:r>
      <w:r w:rsidR="009624F5" w:rsidRPr="00B54944" w:rsidDel="00957144">
        <w:t xml:space="preserve">A state </w:t>
      </w:r>
      <w:r w:rsidR="00F048A0" w:rsidRPr="00B54944" w:rsidDel="00957144">
        <w:t xml:space="preserve">could, consistent with the Sixth Amendment, require full-term consecutive sentencing in all cases.  </w:t>
      </w:r>
      <w:r w:rsidR="00D642B0" w:rsidRPr="00B54944">
        <w:t xml:space="preserve">By conditioning the imposition of </w:t>
      </w:r>
      <w:r w:rsidR="006D04D1" w:rsidRPr="00B54944">
        <w:t>such</w:t>
      </w:r>
      <w:r w:rsidR="00D642B0" w:rsidRPr="00B54944">
        <w:t xml:space="preserve"> consecutive sentences on “certain predicate factfindings”</w:t>
      </w:r>
      <w:r w:rsidR="006D5052" w:rsidRPr="00B54944">
        <w:t xml:space="preserve"> (</w:t>
      </w:r>
      <w:r w:rsidR="006D5052" w:rsidRPr="00B54944">
        <w:rPr>
          <w:i/>
          <w:iCs/>
        </w:rPr>
        <w:t>Ice</w:t>
      </w:r>
      <w:r w:rsidR="006D5052" w:rsidRPr="00B54944">
        <w:t>, at p. 164),</w:t>
      </w:r>
      <w:r w:rsidR="00D642B0" w:rsidRPr="00B54944">
        <w:t xml:space="preserve"> </w:t>
      </w:r>
      <w:r w:rsidR="00BD541A" w:rsidRPr="00B54944">
        <w:t xml:space="preserve">section 667.6(d) </w:t>
      </w:r>
      <w:r w:rsidR="006D5052" w:rsidRPr="00B54944">
        <w:t xml:space="preserve">may be understood “to </w:t>
      </w:r>
      <w:r w:rsidR="00BD541A" w:rsidRPr="00B54944">
        <w:t>temper</w:t>
      </w:r>
      <w:r w:rsidR="006D5052" w:rsidRPr="00B54944">
        <w:t xml:space="preserve"> </w:t>
      </w:r>
      <w:r w:rsidR="00BD541A" w:rsidRPr="00B54944">
        <w:t>the harshness” of a historically authorized practice (</w:t>
      </w:r>
      <w:r w:rsidR="00E277DF" w:rsidRPr="00B54944">
        <w:rPr>
          <w:i/>
          <w:iCs/>
        </w:rPr>
        <w:t>Ice</w:t>
      </w:r>
      <w:r w:rsidR="00E277DF" w:rsidRPr="00B54944">
        <w:t>, at p.</w:t>
      </w:r>
      <w:r w:rsidR="006D5052" w:rsidRPr="00B54944">
        <w:t> </w:t>
      </w:r>
      <w:r w:rsidR="00E277DF" w:rsidRPr="00B54944">
        <w:t>169)</w:t>
      </w:r>
      <w:r w:rsidR="006D5052" w:rsidRPr="00B54944">
        <w:t>.</w:t>
      </w:r>
    </w:p>
    <w:p w14:paraId="094C16C7" w14:textId="0FF207BE" w:rsidR="002708A7" w:rsidRDefault="00010863" w:rsidP="00691FFE">
      <w:pPr>
        <w:tabs>
          <w:tab w:val="left" w:pos="1440"/>
        </w:tabs>
        <w:ind w:firstLine="720"/>
      </w:pPr>
      <w:r w:rsidRPr="00C80119">
        <w:t>Just as it “would make scant sense” to “hem in States by holding that they may not . . . choose to make concurrent sentences the rule, and consecutive sentences the exception” (</w:t>
      </w:r>
      <w:r w:rsidRPr="00C80119">
        <w:rPr>
          <w:i/>
          <w:iCs/>
        </w:rPr>
        <w:t>Ice</w:t>
      </w:r>
      <w:r w:rsidRPr="00C80119">
        <w:t>,</w:t>
      </w:r>
      <w:r w:rsidR="00C21769">
        <w:t xml:space="preserve"> </w:t>
      </w:r>
      <w:r w:rsidR="00C21769">
        <w:rPr>
          <w:i/>
          <w:iCs/>
        </w:rPr>
        <w:t>supra</w:t>
      </w:r>
      <w:r w:rsidR="00C21769">
        <w:t>, 555 U.S.</w:t>
      </w:r>
      <w:r w:rsidRPr="00C80119">
        <w:t xml:space="preserve"> at p. </w:t>
      </w:r>
      <w:r w:rsidR="00237D13" w:rsidRPr="00C80119">
        <w:t>171),</w:t>
      </w:r>
      <w:r w:rsidRPr="00C80119">
        <w:rPr>
          <w:i/>
          <w:iCs/>
        </w:rPr>
        <w:t xml:space="preserve"> </w:t>
      </w:r>
      <w:r w:rsidRPr="00C80119">
        <w:t xml:space="preserve">it would </w:t>
      </w:r>
      <w:r w:rsidR="000B0E71">
        <w:t>make little sense</w:t>
      </w:r>
      <w:r w:rsidRPr="00C80119">
        <w:t xml:space="preserve"> to forbid California from making partial</w:t>
      </w:r>
      <w:r w:rsidR="007F7816">
        <w:t>-term</w:t>
      </w:r>
      <w:r w:rsidRPr="00C80119">
        <w:t xml:space="preserve"> consecutive sentences the rule and ful</w:t>
      </w:r>
      <w:r w:rsidR="00347317">
        <w:t>l-term</w:t>
      </w:r>
      <w:r w:rsidRPr="00C80119">
        <w:t xml:space="preserve"> consecutive sentences </w:t>
      </w:r>
      <w:r w:rsidR="000B0E71">
        <w:t>the</w:t>
      </w:r>
      <w:r w:rsidRPr="00C80119">
        <w:t xml:space="preserve"> exception.</w:t>
      </w:r>
      <w:r>
        <w:t xml:space="preserve">  </w:t>
      </w:r>
      <w:r w:rsidR="00D02662">
        <w:t xml:space="preserve">Viewed in that light, </w:t>
      </w:r>
      <w:r w:rsidR="00591163">
        <w:t xml:space="preserve">section 1170.1’s authorization </w:t>
      </w:r>
      <w:r w:rsidR="00591163">
        <w:lastRenderedPageBreak/>
        <w:t xml:space="preserve">of a lower term </w:t>
      </w:r>
      <w:r w:rsidR="00F8280A">
        <w:t>does not</w:t>
      </w:r>
      <w:r w:rsidR="004E7502">
        <w:t xml:space="preserve"> affect </w:t>
      </w:r>
      <w:r w:rsidR="006627A7">
        <w:t xml:space="preserve">our analysis of </w:t>
      </w:r>
      <w:r w:rsidR="00591163">
        <w:t>section 667.6(d)</w:t>
      </w:r>
      <w:r w:rsidR="00D02662">
        <w:t xml:space="preserve">.  </w:t>
      </w:r>
      <w:r w:rsidR="00174B38">
        <w:t>B</w:t>
      </w:r>
      <w:r w:rsidR="002708A7">
        <w:t xml:space="preserve">oth </w:t>
      </w:r>
      <w:r w:rsidR="000555DD">
        <w:t>rules</w:t>
      </w:r>
      <w:r w:rsidR="00BA61DB">
        <w:t xml:space="preserve"> are permissible under </w:t>
      </w:r>
      <w:r w:rsidR="00BA61DB">
        <w:rPr>
          <w:i/>
          <w:iCs/>
        </w:rPr>
        <w:t>Ice</w:t>
      </w:r>
      <w:r w:rsidR="00C21769">
        <w:t xml:space="preserve">, </w:t>
      </w:r>
      <w:r w:rsidR="00FA3F77">
        <w:t>and</w:t>
      </w:r>
      <w:r w:rsidR="00BD59AA">
        <w:t xml:space="preserve"> </w:t>
      </w:r>
      <w:r w:rsidR="00C21769">
        <w:t xml:space="preserve">the Legislature’s </w:t>
      </w:r>
      <w:r w:rsidR="00BA61DB">
        <w:t xml:space="preserve">adoption of one </w:t>
      </w:r>
      <w:r w:rsidR="00237D13">
        <w:t>does not</w:t>
      </w:r>
      <w:r w:rsidR="00BA61DB">
        <w:t xml:space="preserve"> render the other unconstitutional.</w:t>
      </w:r>
      <w:r w:rsidR="000E6E07">
        <w:t xml:space="preserve"> </w:t>
      </w:r>
      <w:r w:rsidR="003F2750">
        <w:t xml:space="preserve"> </w:t>
      </w:r>
      <w:r w:rsidR="00DE051C">
        <w:t xml:space="preserve">We disapprove of </w:t>
      </w:r>
      <w:r w:rsidR="00DE67ED">
        <w:rPr>
          <w:i/>
          <w:iCs/>
        </w:rPr>
        <w:t xml:space="preserve">People v. </w:t>
      </w:r>
      <w:r w:rsidR="00DE051C">
        <w:rPr>
          <w:i/>
          <w:iCs/>
        </w:rPr>
        <w:t>Johnson</w:t>
      </w:r>
      <w:r w:rsidR="00C21769">
        <w:t xml:space="preserve">, </w:t>
      </w:r>
      <w:r w:rsidR="00C21769">
        <w:rPr>
          <w:i/>
          <w:iCs/>
        </w:rPr>
        <w:t>supra</w:t>
      </w:r>
      <w:r w:rsidR="00C21769">
        <w:t>, 88 Cal.App.5th 487</w:t>
      </w:r>
      <w:r w:rsidR="00DE051C">
        <w:rPr>
          <w:i/>
          <w:iCs/>
        </w:rPr>
        <w:t xml:space="preserve"> </w:t>
      </w:r>
      <w:r w:rsidR="00DE051C">
        <w:t>to the extent it holds otherwise.</w:t>
      </w:r>
    </w:p>
    <w:p w14:paraId="2D288E9B" w14:textId="667B430A" w:rsidR="00237D13" w:rsidRPr="00B9186E" w:rsidRDefault="00C21769" w:rsidP="00691FFE">
      <w:pPr>
        <w:tabs>
          <w:tab w:val="left" w:pos="1440"/>
        </w:tabs>
        <w:ind w:firstLine="720"/>
      </w:pPr>
      <w:r>
        <w:t>T</w:t>
      </w:r>
      <w:r w:rsidR="00EB21E5">
        <w:t xml:space="preserve">he “scope of the constitutional jury right must be informed by the historical role of the jury at common law,” </w:t>
      </w:r>
      <w:r>
        <w:t xml:space="preserve">so </w:t>
      </w:r>
      <w:r w:rsidR="00EB21E5">
        <w:t xml:space="preserve">it is “no answer” </w:t>
      </w:r>
      <w:r w:rsidR="00D25B89">
        <w:t xml:space="preserve">that Catarino was </w:t>
      </w:r>
      <w:r w:rsidR="00D25B89" w:rsidRPr="00CF65E4">
        <w:t>“</w:t>
      </w:r>
      <w:r w:rsidR="00CC30C8" w:rsidRPr="00CF65E4">
        <w:t> </w:t>
      </w:r>
      <w:r w:rsidR="00D25B89" w:rsidRPr="00CF65E4">
        <w:t>‘</w:t>
      </w:r>
      <w:r w:rsidR="00CC30C8" w:rsidRPr="00CF65E4">
        <w:t> </w:t>
      </w:r>
      <w:r w:rsidR="00D25B89" w:rsidRPr="00CF65E4">
        <w:t>“</w:t>
      </w:r>
      <w:r w:rsidR="00CC30C8">
        <w:rPr>
          <w:i/>
          <w:iCs/>
        </w:rPr>
        <w:t>entitled</w:t>
      </w:r>
      <w:r w:rsidR="00CC30C8">
        <w:t>” ’ ” to sentencing under section 1170.1 absent operation of section 667.6(d).  (</w:t>
      </w:r>
      <w:r w:rsidR="00CC30C8">
        <w:rPr>
          <w:i/>
          <w:iCs/>
        </w:rPr>
        <w:t>Ice</w:t>
      </w:r>
      <w:r w:rsidR="00CC30C8">
        <w:t xml:space="preserve">, </w:t>
      </w:r>
      <w:r w:rsidR="00CC30C8">
        <w:rPr>
          <w:i/>
          <w:iCs/>
        </w:rPr>
        <w:t>supra</w:t>
      </w:r>
      <w:r w:rsidR="00CC30C8">
        <w:t xml:space="preserve">, 555 U.S. at p. 170.)  </w:t>
      </w:r>
      <w:r w:rsidR="00710ECF">
        <w:t xml:space="preserve">The Sixth Amendment right </w:t>
      </w:r>
      <w:r w:rsidR="00F30EC8">
        <w:t>does not “attach[] to every contemporary state-law ‘entitlement’ to predicate findings</w:t>
      </w:r>
      <w:r w:rsidR="00835226">
        <w:t>.”  (</w:t>
      </w:r>
      <w:r w:rsidR="00835226">
        <w:rPr>
          <w:i/>
          <w:iCs/>
        </w:rPr>
        <w:t>Ice</w:t>
      </w:r>
      <w:r w:rsidR="00835226">
        <w:t>, at p. 170.)</w:t>
      </w:r>
      <w:r w:rsidR="00835226">
        <w:rPr>
          <w:i/>
          <w:iCs/>
        </w:rPr>
        <w:t xml:space="preserve"> </w:t>
      </w:r>
      <w:r w:rsidR="00835226">
        <w:t xml:space="preserve"> </w:t>
      </w:r>
      <w:r w:rsidR="00B9186E">
        <w:t xml:space="preserve">Because </w:t>
      </w:r>
      <w:r w:rsidR="00973DA6">
        <w:t xml:space="preserve">there </w:t>
      </w:r>
      <w:r w:rsidR="00BD3CDE">
        <w:t xml:space="preserve">is </w:t>
      </w:r>
      <w:r w:rsidR="000B086F">
        <w:t>“</w:t>
      </w:r>
      <w:r w:rsidR="00BD3CDE">
        <w:t>no erosion of the jury’s traditional role</w:t>
      </w:r>
      <w:r w:rsidR="00E2207A">
        <w:t>”</w:t>
      </w:r>
      <w:r w:rsidR="00B9186E">
        <w:t xml:space="preserve"> here,</w:t>
      </w:r>
      <w:r w:rsidR="00C77ECD">
        <w:t xml:space="preserve"> “</w:t>
      </w:r>
      <w:r w:rsidR="00C77ECD">
        <w:rPr>
          <w:i/>
          <w:iCs/>
        </w:rPr>
        <w:t>Apprendi</w:t>
      </w:r>
      <w:r w:rsidR="00B9186E">
        <w:t>’</w:t>
      </w:r>
      <w:r w:rsidR="00C77ECD">
        <w:t>s core concern is inapplicable</w:t>
      </w:r>
      <w:r w:rsidR="00B9186E">
        <w:t>”</w:t>
      </w:r>
      <w:r w:rsidR="00596DD2">
        <w:t xml:space="preserve"> and “so too is the Sixth Amendment’s restriction on judge-found facts.”</w:t>
      </w:r>
      <w:r w:rsidR="00B9186E">
        <w:t xml:space="preserve"> </w:t>
      </w:r>
      <w:r w:rsidR="00596DD2">
        <w:t xml:space="preserve"> </w:t>
      </w:r>
      <w:r w:rsidR="00B9186E">
        <w:t>(</w:t>
      </w:r>
      <w:r w:rsidR="00CF65E4">
        <w:rPr>
          <w:i/>
          <w:iCs/>
        </w:rPr>
        <w:t>Ibid</w:t>
      </w:r>
      <w:r w:rsidR="00CF65E4" w:rsidRPr="00D7092A">
        <w:rPr>
          <w:i/>
        </w:rPr>
        <w:t>.</w:t>
      </w:r>
      <w:r w:rsidR="00B9186E">
        <w:t>)</w:t>
      </w:r>
    </w:p>
    <w:p w14:paraId="1AF670DB" w14:textId="3862DB62" w:rsidR="008F16CA" w:rsidRPr="00B54944" w:rsidRDefault="008F16CA" w:rsidP="00B54944">
      <w:pPr>
        <w:pStyle w:val="Heading1"/>
      </w:pPr>
      <w:r w:rsidRPr="00B54944">
        <w:t>CONCLUSION</w:t>
      </w:r>
    </w:p>
    <w:p w14:paraId="7D240854" w14:textId="532658F4" w:rsidR="00E35965" w:rsidRPr="00B54944" w:rsidRDefault="00C21769" w:rsidP="00B54944">
      <w:pPr>
        <w:tabs>
          <w:tab w:val="left" w:pos="1440"/>
        </w:tabs>
        <w:ind w:firstLine="720"/>
      </w:pPr>
      <w:r>
        <w:t>Because s</w:t>
      </w:r>
      <w:r w:rsidR="008F16CA" w:rsidRPr="00B54944">
        <w:t xml:space="preserve">ection 667.6(d) </w:t>
      </w:r>
      <w:r w:rsidR="009E71E5" w:rsidRPr="00B54944">
        <w:t xml:space="preserve">falls within the </w:t>
      </w:r>
      <w:r w:rsidR="00E7737F">
        <w:t>rationale of</w:t>
      </w:r>
      <w:r w:rsidR="009E71E5" w:rsidRPr="00B54944">
        <w:t xml:space="preserve"> </w:t>
      </w:r>
      <w:r w:rsidR="000233EC" w:rsidRPr="00B54944">
        <w:rPr>
          <w:i/>
          <w:iCs/>
        </w:rPr>
        <w:t>Ice</w:t>
      </w:r>
      <w:r>
        <w:t>, its operation</w:t>
      </w:r>
      <w:r w:rsidR="000233EC" w:rsidRPr="00B54944">
        <w:t xml:space="preserve"> does not violate</w:t>
      </w:r>
      <w:r w:rsidR="005422FE" w:rsidRPr="00B54944">
        <w:t xml:space="preserve"> </w:t>
      </w:r>
      <w:r>
        <w:t>the rule of</w:t>
      </w:r>
      <w:r w:rsidR="008F16CA" w:rsidRPr="00B54944">
        <w:t xml:space="preserve"> </w:t>
      </w:r>
      <w:r w:rsidR="00FA4253">
        <w:rPr>
          <w:i/>
          <w:iCs/>
        </w:rPr>
        <w:t xml:space="preserve">Apprendi </w:t>
      </w:r>
      <w:r w:rsidR="00FA4253">
        <w:t xml:space="preserve">and </w:t>
      </w:r>
      <w:r w:rsidR="008F16CA" w:rsidRPr="00B54944">
        <w:rPr>
          <w:i/>
          <w:iCs/>
        </w:rPr>
        <w:t>Alleyne</w:t>
      </w:r>
      <w:r w:rsidR="008F16CA" w:rsidRPr="00B54944">
        <w:t xml:space="preserve">.  </w:t>
      </w:r>
      <w:r w:rsidR="00FB172E">
        <w:t>We</w:t>
      </w:r>
      <w:r w:rsidR="008F16CA" w:rsidRPr="00B54944">
        <w:t xml:space="preserve"> </w:t>
      </w:r>
      <w:r w:rsidR="00D53F55" w:rsidRPr="00B54944">
        <w:t xml:space="preserve">affirm </w:t>
      </w:r>
      <w:r w:rsidR="008F16CA" w:rsidRPr="00B54944">
        <w:t>the judgment of the Court of Appeal.</w:t>
      </w:r>
    </w:p>
    <w:p w14:paraId="4CE207A6" w14:textId="164C4A18" w:rsidR="0051229A" w:rsidRPr="00B54944" w:rsidRDefault="0051229A" w:rsidP="00B54944">
      <w:pPr>
        <w:tabs>
          <w:tab w:val="left" w:pos="1440"/>
        </w:tabs>
        <w:ind w:firstLine="720"/>
      </w:pPr>
    </w:p>
    <w:p w14:paraId="07C32595" w14:textId="1CFC0861" w:rsidR="0051229A" w:rsidRPr="00B54944" w:rsidRDefault="0051229A" w:rsidP="00B54944">
      <w:pPr>
        <w:tabs>
          <w:tab w:val="left" w:pos="1440"/>
        </w:tabs>
        <w:ind w:firstLine="720"/>
        <w:rPr>
          <w:b/>
          <w:bCs/>
        </w:rPr>
      </w:pPr>
      <w:r w:rsidRPr="00B54944">
        <w:tab/>
      </w:r>
      <w:r w:rsidRPr="00B54944">
        <w:tab/>
      </w:r>
      <w:r w:rsidRPr="00B54944">
        <w:tab/>
      </w:r>
      <w:r w:rsidRPr="00B54944">
        <w:tab/>
      </w:r>
      <w:r w:rsidRPr="00B54944">
        <w:tab/>
      </w:r>
      <w:r w:rsidRPr="00B54944">
        <w:tab/>
      </w:r>
      <w:r w:rsidRPr="00B54944">
        <w:rPr>
          <w:b/>
          <w:bCs/>
        </w:rPr>
        <w:t>LIU, J.</w:t>
      </w:r>
    </w:p>
    <w:p w14:paraId="1EEE5A54" w14:textId="390C1039" w:rsidR="008F16CA" w:rsidRPr="00B54944" w:rsidRDefault="008F16CA" w:rsidP="00B54944">
      <w:pPr>
        <w:tabs>
          <w:tab w:val="left" w:pos="1440"/>
        </w:tabs>
      </w:pPr>
    </w:p>
    <w:p w14:paraId="77A13A91" w14:textId="77777777" w:rsidR="00302AD9" w:rsidRDefault="00302AD9" w:rsidP="007C014E">
      <w:pPr>
        <w:rPr>
          <w:b/>
        </w:rPr>
      </w:pPr>
      <w:bookmarkStart w:id="2" w:name="_Hlk124153411"/>
      <w:r>
        <w:rPr>
          <w:b/>
        </w:rPr>
        <w:t>We Concur:</w:t>
      </w:r>
    </w:p>
    <w:p w14:paraId="7F50BC77" w14:textId="0C2BF7F6" w:rsidR="00302AD9" w:rsidRPr="000413AA" w:rsidRDefault="00302AD9" w:rsidP="00302AD9">
      <w:pPr>
        <w:spacing w:after="0" w:line="240" w:lineRule="auto"/>
        <w:rPr>
          <w:rFonts w:ascii="Calibri" w:hAnsi="Calibri"/>
          <w:b/>
          <w:sz w:val="22"/>
          <w:lang w:val="it-IT"/>
        </w:rPr>
      </w:pPr>
      <w:bookmarkStart w:id="3" w:name="_Hlk134778552"/>
      <w:r w:rsidRPr="000413AA">
        <w:rPr>
          <w:b/>
        </w:rPr>
        <w:t>GUERRERO</w:t>
      </w:r>
      <w:r w:rsidRPr="000413AA">
        <w:rPr>
          <w:b/>
          <w:lang w:val="it-IT"/>
        </w:rPr>
        <w:t>, C.</w:t>
      </w:r>
      <w:r w:rsidR="007C014E">
        <w:rPr>
          <w:b/>
          <w:lang w:val="it-IT"/>
        </w:rPr>
        <w:t> </w:t>
      </w:r>
      <w:r w:rsidRPr="000413AA">
        <w:rPr>
          <w:b/>
          <w:lang w:val="it-IT"/>
        </w:rPr>
        <w:t>J.</w:t>
      </w:r>
    </w:p>
    <w:p w14:paraId="575B21BB" w14:textId="77777777" w:rsidR="00302AD9" w:rsidRPr="000413AA" w:rsidRDefault="00302AD9" w:rsidP="00302AD9">
      <w:pPr>
        <w:spacing w:after="0" w:line="240" w:lineRule="auto"/>
        <w:rPr>
          <w:b/>
          <w:lang w:val="it-IT"/>
        </w:rPr>
      </w:pPr>
      <w:r w:rsidRPr="000413AA">
        <w:rPr>
          <w:b/>
          <w:lang w:val="it-IT"/>
        </w:rPr>
        <w:t>CORRIGAN, J.</w:t>
      </w:r>
    </w:p>
    <w:p w14:paraId="5E29F08D" w14:textId="77777777" w:rsidR="00302AD9" w:rsidRPr="000413AA" w:rsidRDefault="00302AD9" w:rsidP="00302AD9">
      <w:pPr>
        <w:spacing w:after="0" w:line="240" w:lineRule="auto"/>
        <w:jc w:val="left"/>
        <w:rPr>
          <w:b/>
          <w:lang w:val="it-IT"/>
        </w:rPr>
      </w:pPr>
      <w:r w:rsidRPr="000413AA">
        <w:rPr>
          <w:b/>
          <w:lang w:val="it-IT"/>
        </w:rPr>
        <w:t>KRUGER, J.</w:t>
      </w:r>
    </w:p>
    <w:p w14:paraId="09FE4777" w14:textId="77777777" w:rsidR="00302AD9" w:rsidRPr="000413AA" w:rsidRDefault="00302AD9" w:rsidP="00302AD9">
      <w:pPr>
        <w:spacing w:after="0" w:line="240" w:lineRule="auto"/>
        <w:jc w:val="left"/>
        <w:rPr>
          <w:b/>
        </w:rPr>
      </w:pPr>
      <w:r w:rsidRPr="000413AA">
        <w:rPr>
          <w:b/>
        </w:rPr>
        <w:t>GROBAN, J.</w:t>
      </w:r>
    </w:p>
    <w:p w14:paraId="7B084577" w14:textId="77777777" w:rsidR="00302AD9" w:rsidRPr="000413AA" w:rsidRDefault="00302AD9" w:rsidP="00302AD9">
      <w:pPr>
        <w:spacing w:after="0" w:line="240" w:lineRule="auto"/>
        <w:jc w:val="left"/>
        <w:rPr>
          <w:b/>
        </w:rPr>
      </w:pPr>
      <w:r w:rsidRPr="000413AA">
        <w:rPr>
          <w:b/>
        </w:rPr>
        <w:t>JENKINS, J.</w:t>
      </w:r>
    </w:p>
    <w:p w14:paraId="1DB245B8" w14:textId="351A6188" w:rsidR="009932A6" w:rsidRDefault="00302AD9">
      <w:pPr>
        <w:spacing w:after="0" w:line="240" w:lineRule="auto"/>
        <w:jc w:val="left"/>
        <w:rPr>
          <w:b/>
        </w:rPr>
      </w:pPr>
      <w:r w:rsidRPr="000413AA">
        <w:rPr>
          <w:b/>
        </w:rPr>
        <w:t>EVANS, J.</w:t>
      </w:r>
      <w:bookmarkEnd w:id="2"/>
      <w:bookmarkEnd w:id="3"/>
    </w:p>
    <w:p w14:paraId="39DF00A4" w14:textId="77777777" w:rsidR="007C014E" w:rsidRDefault="007C014E">
      <w:pPr>
        <w:spacing w:after="0" w:line="240" w:lineRule="auto"/>
        <w:jc w:val="left"/>
        <w:rPr>
          <w:b/>
        </w:rPr>
        <w:sectPr w:rsidR="007C014E" w:rsidSect="00B54944">
          <w:footerReference w:type="first" r:id="rId10"/>
          <w:pgSz w:w="12240" w:h="15840"/>
          <w:pgMar w:top="1800" w:right="2160" w:bottom="1440" w:left="2160" w:header="720" w:footer="720" w:gutter="0"/>
          <w:pgNumType w:start="1"/>
          <w:cols w:space="720"/>
          <w:titlePg/>
          <w:docGrid w:linePitch="367"/>
        </w:sectPr>
      </w:pPr>
    </w:p>
    <w:p w14:paraId="25B090C7" w14:textId="77777777" w:rsidR="007C014E" w:rsidRPr="007C014E" w:rsidRDefault="007C014E" w:rsidP="007C014E">
      <w:pPr>
        <w:spacing w:after="0" w:line="240" w:lineRule="auto"/>
        <w:jc w:val="left"/>
        <w:rPr>
          <w:i/>
          <w:sz w:val="24"/>
          <w:szCs w:val="24"/>
        </w:rPr>
      </w:pPr>
      <w:r w:rsidRPr="007C014E">
        <w:rPr>
          <w:i/>
          <w:sz w:val="24"/>
          <w:szCs w:val="24"/>
        </w:rPr>
        <w:lastRenderedPageBreak/>
        <w:t>See next page for addresses and telephone numbers for counsel who argued in Supreme Court.</w:t>
      </w:r>
    </w:p>
    <w:p w14:paraId="01AEECDA" w14:textId="77777777" w:rsidR="007C014E" w:rsidRPr="007C014E" w:rsidRDefault="007C014E" w:rsidP="007C014E">
      <w:pPr>
        <w:spacing w:after="0" w:line="240" w:lineRule="auto"/>
        <w:jc w:val="left"/>
        <w:rPr>
          <w:i/>
          <w:sz w:val="24"/>
          <w:szCs w:val="24"/>
        </w:rPr>
      </w:pPr>
    </w:p>
    <w:p w14:paraId="2EC11068" w14:textId="77777777" w:rsidR="007C014E" w:rsidRPr="007C014E" w:rsidRDefault="007C014E" w:rsidP="007C014E">
      <w:pPr>
        <w:spacing w:after="0" w:line="240" w:lineRule="auto"/>
        <w:jc w:val="left"/>
        <w:rPr>
          <w:bCs/>
          <w:sz w:val="24"/>
          <w:szCs w:val="24"/>
        </w:rPr>
      </w:pPr>
      <w:r w:rsidRPr="007C014E">
        <w:rPr>
          <w:b/>
          <w:sz w:val="24"/>
          <w:szCs w:val="24"/>
        </w:rPr>
        <w:t xml:space="preserve">Name of Opinion  </w:t>
      </w:r>
      <w:r w:rsidRPr="007C014E">
        <w:rPr>
          <w:bCs/>
          <w:sz w:val="24"/>
          <w:szCs w:val="24"/>
        </w:rPr>
        <w:t>People v. Catarino</w:t>
      </w:r>
    </w:p>
    <w:p w14:paraId="3F9F3BE0" w14:textId="77777777" w:rsidR="007C014E" w:rsidRPr="007C014E" w:rsidRDefault="007C014E" w:rsidP="007C014E">
      <w:pPr>
        <w:spacing w:after="0" w:line="240" w:lineRule="auto"/>
        <w:jc w:val="left"/>
        <w:rPr>
          <w:b/>
          <w:sz w:val="24"/>
          <w:szCs w:val="24"/>
        </w:rPr>
      </w:pPr>
      <w:r w:rsidRPr="007C014E">
        <w:rPr>
          <w:b/>
          <w:sz w:val="24"/>
          <w:szCs w:val="24"/>
        </w:rPr>
        <w:t xml:space="preserve">__________________________________________________________ </w:t>
      </w:r>
    </w:p>
    <w:p w14:paraId="5AC8E5E7" w14:textId="77777777" w:rsidR="007C014E" w:rsidRPr="007C014E" w:rsidRDefault="007C014E" w:rsidP="007C014E">
      <w:pPr>
        <w:spacing w:after="0" w:line="240" w:lineRule="auto"/>
        <w:jc w:val="left"/>
        <w:rPr>
          <w:b/>
          <w:sz w:val="24"/>
          <w:szCs w:val="24"/>
        </w:rPr>
      </w:pPr>
    </w:p>
    <w:p w14:paraId="6828AD7A" w14:textId="77777777" w:rsidR="007C014E" w:rsidRPr="007C014E" w:rsidRDefault="007C014E" w:rsidP="007C014E">
      <w:pPr>
        <w:spacing w:after="0" w:line="240" w:lineRule="auto"/>
        <w:jc w:val="left"/>
        <w:rPr>
          <w:sz w:val="24"/>
          <w:szCs w:val="24"/>
        </w:rPr>
      </w:pPr>
      <w:r w:rsidRPr="007C014E">
        <w:rPr>
          <w:b/>
          <w:bCs/>
          <w:sz w:val="24"/>
          <w:szCs w:val="24"/>
          <w:u w:val="single"/>
        </w:rPr>
        <w:t>Procedural Posture</w:t>
      </w:r>
      <w:r w:rsidRPr="007C014E">
        <w:rPr>
          <w:b/>
          <w:bCs/>
          <w:sz w:val="24"/>
          <w:szCs w:val="24"/>
        </w:rPr>
        <w:t xml:space="preserve"> </w:t>
      </w:r>
      <w:r w:rsidRPr="007C014E">
        <w:rPr>
          <w:sz w:val="24"/>
          <w:szCs w:val="24"/>
        </w:rPr>
        <w:t>(see XX below)</w:t>
      </w:r>
    </w:p>
    <w:p w14:paraId="7B9403FF" w14:textId="77777777" w:rsidR="007C014E" w:rsidRPr="007C014E" w:rsidRDefault="007C014E" w:rsidP="007C014E">
      <w:pPr>
        <w:spacing w:after="0" w:line="240" w:lineRule="auto"/>
        <w:jc w:val="left"/>
        <w:rPr>
          <w:sz w:val="24"/>
          <w:szCs w:val="24"/>
        </w:rPr>
      </w:pPr>
      <w:r w:rsidRPr="007C014E">
        <w:rPr>
          <w:b/>
          <w:bCs/>
          <w:sz w:val="24"/>
          <w:szCs w:val="24"/>
        </w:rPr>
        <w:t>Original Appeal</w:t>
      </w:r>
      <w:r w:rsidRPr="007C014E">
        <w:rPr>
          <w:sz w:val="24"/>
          <w:szCs w:val="24"/>
        </w:rPr>
        <w:t xml:space="preserve"> </w:t>
      </w:r>
    </w:p>
    <w:p w14:paraId="786A564E" w14:textId="77777777" w:rsidR="007C014E" w:rsidRPr="007C014E" w:rsidRDefault="007C014E" w:rsidP="007C014E">
      <w:pPr>
        <w:spacing w:after="0" w:line="240" w:lineRule="auto"/>
        <w:jc w:val="left"/>
        <w:rPr>
          <w:b/>
          <w:bCs/>
          <w:sz w:val="24"/>
          <w:szCs w:val="24"/>
        </w:rPr>
      </w:pPr>
      <w:r w:rsidRPr="007C014E">
        <w:rPr>
          <w:b/>
          <w:bCs/>
          <w:sz w:val="24"/>
          <w:szCs w:val="24"/>
        </w:rPr>
        <w:t>Original Proceeding</w:t>
      </w:r>
    </w:p>
    <w:p w14:paraId="227DD42A" w14:textId="77777777" w:rsidR="007C014E" w:rsidRPr="007C014E" w:rsidRDefault="007C014E" w:rsidP="007C014E">
      <w:pPr>
        <w:spacing w:after="0" w:line="240" w:lineRule="auto"/>
        <w:jc w:val="left"/>
        <w:rPr>
          <w:sz w:val="24"/>
          <w:szCs w:val="24"/>
        </w:rPr>
      </w:pPr>
      <w:r w:rsidRPr="007C014E">
        <w:rPr>
          <w:b/>
          <w:bCs/>
          <w:sz w:val="24"/>
          <w:szCs w:val="24"/>
        </w:rPr>
        <w:t>Review Granted</w:t>
      </w:r>
      <w:r w:rsidRPr="007C014E">
        <w:rPr>
          <w:sz w:val="24"/>
          <w:szCs w:val="24"/>
        </w:rPr>
        <w:t xml:space="preserve"> </w:t>
      </w:r>
      <w:r w:rsidRPr="007C014E">
        <w:rPr>
          <w:b/>
          <w:bCs/>
          <w:sz w:val="24"/>
          <w:szCs w:val="24"/>
        </w:rPr>
        <w:t xml:space="preserve">(published) </w:t>
      </w:r>
    </w:p>
    <w:p w14:paraId="50412367" w14:textId="77777777" w:rsidR="007C014E" w:rsidRPr="007C014E" w:rsidRDefault="007C014E" w:rsidP="007C014E">
      <w:pPr>
        <w:spacing w:after="0" w:line="240" w:lineRule="auto"/>
        <w:jc w:val="left"/>
        <w:rPr>
          <w:sz w:val="24"/>
          <w:szCs w:val="24"/>
        </w:rPr>
      </w:pPr>
      <w:r w:rsidRPr="007C014E">
        <w:rPr>
          <w:b/>
          <w:bCs/>
          <w:sz w:val="24"/>
          <w:szCs w:val="24"/>
        </w:rPr>
        <w:t xml:space="preserve">Review Granted (unpublished) </w:t>
      </w:r>
      <w:r w:rsidRPr="007C014E">
        <w:rPr>
          <w:sz w:val="24"/>
          <w:szCs w:val="24"/>
        </w:rPr>
        <w:t>XX NP opn. filed 10/14/21 – 4th Dist., Div. 1</w:t>
      </w:r>
    </w:p>
    <w:p w14:paraId="6DF7FF95" w14:textId="77777777" w:rsidR="007C014E" w:rsidRPr="007C014E" w:rsidRDefault="007C014E" w:rsidP="007C014E">
      <w:pPr>
        <w:spacing w:after="0" w:line="240" w:lineRule="auto"/>
        <w:jc w:val="left"/>
        <w:rPr>
          <w:b/>
          <w:bCs/>
          <w:sz w:val="24"/>
          <w:szCs w:val="24"/>
        </w:rPr>
      </w:pPr>
      <w:r w:rsidRPr="007C014E">
        <w:rPr>
          <w:b/>
          <w:bCs/>
          <w:sz w:val="24"/>
          <w:szCs w:val="24"/>
        </w:rPr>
        <w:t>Rehearing Granted</w:t>
      </w:r>
    </w:p>
    <w:p w14:paraId="5E14D6D0" w14:textId="77777777" w:rsidR="007C014E" w:rsidRPr="007C014E" w:rsidRDefault="007C014E" w:rsidP="007C014E">
      <w:pPr>
        <w:spacing w:after="0" w:line="240" w:lineRule="auto"/>
        <w:jc w:val="left"/>
        <w:rPr>
          <w:b/>
          <w:sz w:val="24"/>
          <w:szCs w:val="24"/>
        </w:rPr>
      </w:pPr>
      <w:r w:rsidRPr="007C014E">
        <w:rPr>
          <w:b/>
          <w:sz w:val="24"/>
          <w:szCs w:val="24"/>
        </w:rPr>
        <w:t xml:space="preserve">__________________________________________________________ </w:t>
      </w:r>
    </w:p>
    <w:p w14:paraId="6081C1C0" w14:textId="77777777" w:rsidR="007C014E" w:rsidRPr="007C014E" w:rsidRDefault="007C014E" w:rsidP="007C014E">
      <w:pPr>
        <w:spacing w:after="0" w:line="240" w:lineRule="auto"/>
        <w:jc w:val="left"/>
        <w:rPr>
          <w:b/>
          <w:sz w:val="24"/>
          <w:szCs w:val="24"/>
        </w:rPr>
      </w:pPr>
    </w:p>
    <w:p w14:paraId="6CF2DAEF" w14:textId="77777777" w:rsidR="007C014E" w:rsidRPr="007C014E" w:rsidRDefault="007C014E" w:rsidP="007C014E">
      <w:pPr>
        <w:spacing w:after="0" w:line="240" w:lineRule="auto"/>
        <w:jc w:val="left"/>
        <w:rPr>
          <w:bCs/>
          <w:sz w:val="24"/>
          <w:szCs w:val="24"/>
        </w:rPr>
      </w:pPr>
      <w:r w:rsidRPr="007C014E">
        <w:rPr>
          <w:b/>
          <w:sz w:val="24"/>
          <w:szCs w:val="24"/>
        </w:rPr>
        <w:t>Opinion No.</w:t>
      </w:r>
      <w:r w:rsidRPr="007C014E">
        <w:rPr>
          <w:sz w:val="24"/>
          <w:szCs w:val="24"/>
        </w:rPr>
        <w:t xml:space="preserve"> S271828</w:t>
      </w:r>
    </w:p>
    <w:p w14:paraId="3BC5EA27" w14:textId="77777777" w:rsidR="007C014E" w:rsidRPr="007C014E" w:rsidRDefault="007C014E" w:rsidP="007C014E">
      <w:pPr>
        <w:spacing w:after="0" w:line="240" w:lineRule="auto"/>
        <w:jc w:val="left"/>
        <w:rPr>
          <w:bCs/>
          <w:sz w:val="24"/>
          <w:szCs w:val="24"/>
        </w:rPr>
      </w:pPr>
      <w:r w:rsidRPr="007C014E">
        <w:rPr>
          <w:b/>
          <w:sz w:val="24"/>
          <w:szCs w:val="24"/>
        </w:rPr>
        <w:t>Date Filed:</w:t>
      </w:r>
      <w:r w:rsidRPr="007C014E">
        <w:rPr>
          <w:sz w:val="24"/>
          <w:szCs w:val="24"/>
        </w:rPr>
        <w:t xml:space="preserve">  May 25, 2023</w:t>
      </w:r>
    </w:p>
    <w:p w14:paraId="32B4A03A" w14:textId="77777777" w:rsidR="007C014E" w:rsidRPr="007C014E" w:rsidRDefault="007C014E" w:rsidP="007C014E">
      <w:pPr>
        <w:spacing w:after="0" w:line="240" w:lineRule="auto"/>
        <w:jc w:val="left"/>
        <w:rPr>
          <w:b/>
          <w:sz w:val="24"/>
          <w:szCs w:val="24"/>
        </w:rPr>
      </w:pPr>
      <w:r w:rsidRPr="007C014E">
        <w:rPr>
          <w:b/>
          <w:sz w:val="24"/>
          <w:szCs w:val="24"/>
        </w:rPr>
        <w:t xml:space="preserve">__________________________________________________________ </w:t>
      </w:r>
    </w:p>
    <w:p w14:paraId="5673A48A" w14:textId="77777777" w:rsidR="007C014E" w:rsidRPr="007C014E" w:rsidRDefault="007C014E" w:rsidP="007C014E">
      <w:pPr>
        <w:spacing w:after="0" w:line="240" w:lineRule="auto"/>
        <w:jc w:val="left"/>
        <w:rPr>
          <w:b/>
          <w:sz w:val="24"/>
          <w:szCs w:val="24"/>
        </w:rPr>
      </w:pPr>
    </w:p>
    <w:p w14:paraId="2D7C294F" w14:textId="77777777" w:rsidR="007C014E" w:rsidRPr="007C014E" w:rsidRDefault="007C014E" w:rsidP="007C014E">
      <w:pPr>
        <w:spacing w:after="0" w:line="240" w:lineRule="auto"/>
        <w:jc w:val="left"/>
        <w:rPr>
          <w:bCs/>
          <w:sz w:val="24"/>
          <w:szCs w:val="24"/>
        </w:rPr>
      </w:pPr>
      <w:r w:rsidRPr="007C014E">
        <w:rPr>
          <w:b/>
          <w:sz w:val="24"/>
          <w:szCs w:val="24"/>
        </w:rPr>
        <w:t xml:space="preserve">Court:  </w:t>
      </w:r>
      <w:r w:rsidRPr="007C014E">
        <w:rPr>
          <w:bCs/>
          <w:sz w:val="24"/>
          <w:szCs w:val="24"/>
        </w:rPr>
        <w:t>Superior</w:t>
      </w:r>
      <w:r w:rsidRPr="007C014E">
        <w:rPr>
          <w:b/>
          <w:sz w:val="24"/>
          <w:szCs w:val="24"/>
        </w:rPr>
        <w:t xml:space="preserve"> </w:t>
      </w:r>
    </w:p>
    <w:p w14:paraId="0F499A1D" w14:textId="77777777" w:rsidR="007C014E" w:rsidRPr="007C014E" w:rsidRDefault="007C014E" w:rsidP="007C014E">
      <w:pPr>
        <w:spacing w:after="0" w:line="240" w:lineRule="auto"/>
        <w:jc w:val="left"/>
        <w:rPr>
          <w:bCs/>
          <w:sz w:val="24"/>
          <w:szCs w:val="24"/>
        </w:rPr>
      </w:pPr>
      <w:r w:rsidRPr="007C014E">
        <w:rPr>
          <w:b/>
          <w:sz w:val="24"/>
          <w:szCs w:val="24"/>
        </w:rPr>
        <w:t xml:space="preserve">County:  </w:t>
      </w:r>
      <w:r w:rsidRPr="007C014E">
        <w:rPr>
          <w:bCs/>
          <w:sz w:val="24"/>
          <w:szCs w:val="24"/>
        </w:rPr>
        <w:t>Santa Clara</w:t>
      </w:r>
      <w:r w:rsidRPr="007C014E">
        <w:rPr>
          <w:b/>
          <w:sz w:val="24"/>
          <w:szCs w:val="24"/>
        </w:rPr>
        <w:t xml:space="preserve"> </w:t>
      </w:r>
    </w:p>
    <w:p w14:paraId="15A9F8EB" w14:textId="77777777" w:rsidR="007C014E" w:rsidRPr="007C014E" w:rsidRDefault="007C014E" w:rsidP="007C014E">
      <w:pPr>
        <w:spacing w:after="0" w:line="240" w:lineRule="auto"/>
        <w:ind w:left="720" w:hanging="720"/>
        <w:jc w:val="left"/>
        <w:rPr>
          <w:bCs/>
          <w:sz w:val="24"/>
          <w:szCs w:val="24"/>
        </w:rPr>
      </w:pPr>
      <w:r w:rsidRPr="007C014E">
        <w:rPr>
          <w:b/>
          <w:sz w:val="24"/>
          <w:szCs w:val="24"/>
        </w:rPr>
        <w:t xml:space="preserve">Judge: </w:t>
      </w:r>
      <w:r w:rsidRPr="007C014E">
        <w:rPr>
          <w:bCs/>
          <w:sz w:val="24"/>
          <w:szCs w:val="24"/>
        </w:rPr>
        <w:t xml:space="preserve"> Cynthia A. Sevely</w:t>
      </w:r>
    </w:p>
    <w:p w14:paraId="34BF138F" w14:textId="77777777" w:rsidR="007C014E" w:rsidRPr="007C014E" w:rsidRDefault="007C014E" w:rsidP="007C014E">
      <w:pPr>
        <w:spacing w:after="0" w:line="240" w:lineRule="auto"/>
        <w:jc w:val="left"/>
        <w:rPr>
          <w:b/>
          <w:sz w:val="24"/>
          <w:szCs w:val="24"/>
        </w:rPr>
      </w:pPr>
      <w:r w:rsidRPr="007C014E">
        <w:rPr>
          <w:b/>
          <w:sz w:val="24"/>
          <w:szCs w:val="24"/>
        </w:rPr>
        <w:t xml:space="preserve">__________________________________________________________  </w:t>
      </w:r>
    </w:p>
    <w:p w14:paraId="215E13AB" w14:textId="77777777" w:rsidR="007C014E" w:rsidRPr="007C014E" w:rsidRDefault="007C014E" w:rsidP="007C014E">
      <w:pPr>
        <w:spacing w:after="0" w:line="240" w:lineRule="auto"/>
        <w:jc w:val="left"/>
        <w:rPr>
          <w:b/>
          <w:sz w:val="24"/>
          <w:szCs w:val="24"/>
        </w:rPr>
      </w:pPr>
    </w:p>
    <w:p w14:paraId="31253BDF" w14:textId="77777777" w:rsidR="007C014E" w:rsidRPr="007C014E" w:rsidRDefault="007C014E" w:rsidP="007C014E">
      <w:pPr>
        <w:spacing w:after="0" w:line="240" w:lineRule="auto"/>
        <w:jc w:val="left"/>
        <w:rPr>
          <w:b/>
          <w:sz w:val="24"/>
          <w:szCs w:val="24"/>
        </w:rPr>
      </w:pPr>
      <w:r w:rsidRPr="007C014E">
        <w:rPr>
          <w:b/>
          <w:sz w:val="24"/>
          <w:szCs w:val="24"/>
        </w:rPr>
        <w:t>Counsel:</w:t>
      </w:r>
    </w:p>
    <w:p w14:paraId="7C76AF0D" w14:textId="77777777" w:rsidR="007C014E" w:rsidRPr="007C014E" w:rsidRDefault="007C014E" w:rsidP="007C014E">
      <w:pPr>
        <w:spacing w:after="0" w:line="240" w:lineRule="auto"/>
        <w:jc w:val="left"/>
        <w:rPr>
          <w:bCs/>
          <w:sz w:val="24"/>
          <w:szCs w:val="24"/>
        </w:rPr>
      </w:pPr>
    </w:p>
    <w:p w14:paraId="70268C24" w14:textId="77777777" w:rsidR="007C014E" w:rsidRPr="007C014E" w:rsidRDefault="007C014E" w:rsidP="007C014E">
      <w:pPr>
        <w:spacing w:after="0" w:line="240" w:lineRule="auto"/>
        <w:jc w:val="left"/>
        <w:rPr>
          <w:color w:val="212121"/>
          <w:sz w:val="24"/>
          <w:szCs w:val="24"/>
          <w:shd w:val="clear" w:color="auto" w:fill="FFFFFF"/>
        </w:rPr>
      </w:pPr>
      <w:r w:rsidRPr="007C014E">
        <w:rPr>
          <w:color w:val="212121"/>
          <w:sz w:val="24"/>
          <w:szCs w:val="24"/>
          <w:shd w:val="clear" w:color="auto" w:fill="FFFFFF"/>
        </w:rPr>
        <w:t>Ron Boyer, under appointment by the Supreme Court, for Defendant and Appellant.</w:t>
      </w:r>
    </w:p>
    <w:p w14:paraId="11DB3C30" w14:textId="77777777" w:rsidR="007C014E" w:rsidRPr="007C014E" w:rsidRDefault="007C014E" w:rsidP="007C014E">
      <w:pPr>
        <w:spacing w:after="0" w:line="240" w:lineRule="auto"/>
        <w:jc w:val="left"/>
        <w:rPr>
          <w:color w:val="212121"/>
          <w:sz w:val="24"/>
          <w:szCs w:val="24"/>
          <w:shd w:val="clear" w:color="auto" w:fill="FFFFFF"/>
        </w:rPr>
      </w:pPr>
    </w:p>
    <w:p w14:paraId="22A0C1B3" w14:textId="77777777" w:rsidR="007C014E" w:rsidRPr="007C014E" w:rsidRDefault="007C014E" w:rsidP="007C014E">
      <w:pPr>
        <w:spacing w:after="0" w:line="240" w:lineRule="auto"/>
        <w:jc w:val="left"/>
        <w:rPr>
          <w:b/>
          <w:sz w:val="24"/>
          <w:szCs w:val="24"/>
        </w:rPr>
      </w:pPr>
      <w:r w:rsidRPr="007C014E">
        <w:rPr>
          <w:color w:val="212121"/>
          <w:sz w:val="24"/>
          <w:szCs w:val="24"/>
          <w:shd w:val="clear" w:color="auto" w:fill="FFFFFF"/>
        </w:rPr>
        <w:t>Xavier Becerra and Rob Bonta, Attorneys General, Lance E. Winters, Chief Assistant Attorney General, Jeffrey M. Laurence, Assistant Attorney General, Seth K. Schalit, Donna M. Provenzano and Melissa A. Meth, Deputy Attorneys General, for Plaintiff and Respondent.</w:t>
      </w:r>
      <w:r w:rsidRPr="007C014E">
        <w:rPr>
          <w:color w:val="212121"/>
          <w:sz w:val="24"/>
          <w:szCs w:val="24"/>
          <w:shd w:val="clear" w:color="auto" w:fill="FFFFFF"/>
        </w:rPr>
        <w:br w:type="page"/>
      </w:r>
      <w:r w:rsidRPr="007C014E">
        <w:rPr>
          <w:b/>
          <w:sz w:val="24"/>
          <w:szCs w:val="24"/>
        </w:rPr>
        <w:lastRenderedPageBreak/>
        <w:t>Counsel who argued in Supreme Court (not intended for publication with opinion):</w:t>
      </w:r>
    </w:p>
    <w:p w14:paraId="0C33B5B7" w14:textId="77777777" w:rsidR="007C014E" w:rsidRPr="007C014E" w:rsidRDefault="007C014E" w:rsidP="007C014E">
      <w:pPr>
        <w:spacing w:after="0" w:line="240" w:lineRule="auto"/>
        <w:jc w:val="left"/>
        <w:rPr>
          <w:b/>
          <w:sz w:val="24"/>
          <w:szCs w:val="24"/>
        </w:rPr>
      </w:pPr>
    </w:p>
    <w:p w14:paraId="36CEDE1C" w14:textId="77777777" w:rsidR="007C014E" w:rsidRPr="007C014E" w:rsidRDefault="007C014E" w:rsidP="007C014E">
      <w:pPr>
        <w:spacing w:after="0" w:line="240" w:lineRule="auto"/>
        <w:jc w:val="left"/>
        <w:rPr>
          <w:sz w:val="24"/>
          <w:szCs w:val="24"/>
        </w:rPr>
      </w:pPr>
      <w:r w:rsidRPr="007C014E">
        <w:rPr>
          <w:sz w:val="24"/>
          <w:szCs w:val="24"/>
        </w:rPr>
        <w:t>Ron Boyer</w:t>
      </w:r>
    </w:p>
    <w:p w14:paraId="392BAD97" w14:textId="77777777" w:rsidR="007C014E" w:rsidRPr="007C014E" w:rsidRDefault="007C014E" w:rsidP="007C014E">
      <w:pPr>
        <w:spacing w:after="0" w:line="240" w:lineRule="auto"/>
        <w:jc w:val="left"/>
        <w:rPr>
          <w:sz w:val="24"/>
          <w:szCs w:val="24"/>
        </w:rPr>
      </w:pPr>
      <w:r w:rsidRPr="007C014E">
        <w:rPr>
          <w:sz w:val="24"/>
          <w:szCs w:val="24"/>
        </w:rPr>
        <w:t>Attorney at Law</w:t>
      </w:r>
    </w:p>
    <w:p w14:paraId="5BAF5664" w14:textId="77777777" w:rsidR="007C014E" w:rsidRPr="007C014E" w:rsidRDefault="007C014E" w:rsidP="007C014E">
      <w:pPr>
        <w:spacing w:after="0" w:line="240" w:lineRule="auto"/>
        <w:jc w:val="left"/>
        <w:rPr>
          <w:sz w:val="24"/>
          <w:szCs w:val="24"/>
        </w:rPr>
      </w:pPr>
      <w:r w:rsidRPr="007C014E">
        <w:rPr>
          <w:sz w:val="24"/>
          <w:szCs w:val="24"/>
        </w:rPr>
        <w:t>950 Tyinn Street, #22332</w:t>
      </w:r>
    </w:p>
    <w:p w14:paraId="709220AD" w14:textId="77777777" w:rsidR="007C014E" w:rsidRPr="007C014E" w:rsidRDefault="007C014E" w:rsidP="007C014E">
      <w:pPr>
        <w:spacing w:after="0" w:line="240" w:lineRule="auto"/>
        <w:jc w:val="left"/>
        <w:rPr>
          <w:sz w:val="24"/>
          <w:szCs w:val="24"/>
        </w:rPr>
      </w:pPr>
      <w:r w:rsidRPr="007C014E">
        <w:rPr>
          <w:sz w:val="24"/>
          <w:szCs w:val="24"/>
        </w:rPr>
        <w:t>Eugene, OR 97402</w:t>
      </w:r>
    </w:p>
    <w:p w14:paraId="30FC91B2" w14:textId="77777777" w:rsidR="007C014E" w:rsidRPr="007C014E" w:rsidRDefault="007C014E" w:rsidP="007C014E">
      <w:pPr>
        <w:spacing w:after="0" w:line="240" w:lineRule="auto"/>
        <w:jc w:val="left"/>
        <w:rPr>
          <w:sz w:val="24"/>
          <w:szCs w:val="24"/>
        </w:rPr>
      </w:pPr>
      <w:r w:rsidRPr="007C014E">
        <w:rPr>
          <w:sz w:val="24"/>
          <w:szCs w:val="24"/>
        </w:rPr>
        <w:t>(510) 393-3822</w:t>
      </w:r>
    </w:p>
    <w:p w14:paraId="646E3573" w14:textId="77777777" w:rsidR="007C014E" w:rsidRPr="007C014E" w:rsidRDefault="007C014E" w:rsidP="007C014E">
      <w:pPr>
        <w:spacing w:after="0" w:line="240" w:lineRule="auto"/>
        <w:jc w:val="left"/>
        <w:rPr>
          <w:sz w:val="24"/>
          <w:szCs w:val="24"/>
        </w:rPr>
      </w:pPr>
    </w:p>
    <w:p w14:paraId="73056A2B" w14:textId="77777777" w:rsidR="007C014E" w:rsidRPr="007C014E" w:rsidRDefault="007C014E" w:rsidP="007C014E">
      <w:pPr>
        <w:spacing w:after="0" w:line="240" w:lineRule="auto"/>
        <w:jc w:val="left"/>
        <w:rPr>
          <w:color w:val="212121"/>
          <w:sz w:val="24"/>
          <w:szCs w:val="24"/>
          <w:shd w:val="clear" w:color="auto" w:fill="FFFFFF"/>
        </w:rPr>
      </w:pPr>
      <w:r w:rsidRPr="007C014E">
        <w:rPr>
          <w:color w:val="212121"/>
          <w:sz w:val="24"/>
          <w:szCs w:val="24"/>
          <w:shd w:val="clear" w:color="auto" w:fill="FFFFFF"/>
        </w:rPr>
        <w:t>Melissa A. Meth</w:t>
      </w:r>
    </w:p>
    <w:p w14:paraId="31C6FB51" w14:textId="77777777" w:rsidR="007C014E" w:rsidRPr="007C014E" w:rsidRDefault="007C014E" w:rsidP="007C014E">
      <w:pPr>
        <w:spacing w:after="0" w:line="240" w:lineRule="auto"/>
        <w:jc w:val="left"/>
        <w:rPr>
          <w:color w:val="212121"/>
          <w:sz w:val="24"/>
          <w:szCs w:val="24"/>
          <w:shd w:val="clear" w:color="auto" w:fill="FFFFFF"/>
        </w:rPr>
      </w:pPr>
      <w:r w:rsidRPr="007C014E">
        <w:rPr>
          <w:color w:val="212121"/>
          <w:sz w:val="24"/>
          <w:szCs w:val="24"/>
          <w:shd w:val="clear" w:color="auto" w:fill="FFFFFF"/>
        </w:rPr>
        <w:t>Deputy Attorney General</w:t>
      </w:r>
    </w:p>
    <w:p w14:paraId="39A42A78" w14:textId="77777777" w:rsidR="007C014E" w:rsidRPr="007C014E" w:rsidRDefault="007C014E" w:rsidP="007C014E">
      <w:pPr>
        <w:spacing w:after="0" w:line="240" w:lineRule="auto"/>
        <w:jc w:val="left"/>
        <w:rPr>
          <w:color w:val="212121"/>
          <w:sz w:val="24"/>
          <w:szCs w:val="24"/>
          <w:shd w:val="clear" w:color="auto" w:fill="FFFFFF"/>
        </w:rPr>
      </w:pPr>
      <w:r w:rsidRPr="007C014E">
        <w:rPr>
          <w:color w:val="212121"/>
          <w:sz w:val="24"/>
          <w:szCs w:val="24"/>
          <w:shd w:val="clear" w:color="auto" w:fill="FFFFFF"/>
        </w:rPr>
        <w:t>455 Golden Gate Avenue, Suite 11000</w:t>
      </w:r>
    </w:p>
    <w:p w14:paraId="69FE017A" w14:textId="77777777" w:rsidR="007C014E" w:rsidRPr="007C014E" w:rsidRDefault="007C014E" w:rsidP="007C014E">
      <w:pPr>
        <w:spacing w:after="0" w:line="240" w:lineRule="auto"/>
        <w:jc w:val="left"/>
        <w:rPr>
          <w:color w:val="212121"/>
          <w:sz w:val="24"/>
          <w:szCs w:val="24"/>
          <w:shd w:val="clear" w:color="auto" w:fill="FFFFFF"/>
        </w:rPr>
      </w:pPr>
      <w:r w:rsidRPr="007C014E">
        <w:rPr>
          <w:color w:val="212121"/>
          <w:sz w:val="24"/>
          <w:szCs w:val="24"/>
          <w:shd w:val="clear" w:color="auto" w:fill="FFFFFF"/>
        </w:rPr>
        <w:t>San Francisco, CA 94102</w:t>
      </w:r>
    </w:p>
    <w:p w14:paraId="508B94E3" w14:textId="77777777" w:rsidR="007C014E" w:rsidRPr="007C014E" w:rsidRDefault="007C014E" w:rsidP="007C014E">
      <w:pPr>
        <w:spacing w:after="0" w:line="240" w:lineRule="auto"/>
        <w:jc w:val="left"/>
        <w:rPr>
          <w:sz w:val="24"/>
          <w:szCs w:val="24"/>
        </w:rPr>
      </w:pPr>
      <w:r w:rsidRPr="007C014E">
        <w:rPr>
          <w:color w:val="212121"/>
          <w:sz w:val="24"/>
          <w:szCs w:val="24"/>
          <w:shd w:val="clear" w:color="auto" w:fill="FFFFFF"/>
        </w:rPr>
        <w:t>(415) 510-3827</w:t>
      </w:r>
    </w:p>
    <w:p w14:paraId="2326BDE3" w14:textId="77777777" w:rsidR="007C014E" w:rsidRPr="00302AD9" w:rsidRDefault="007C014E">
      <w:pPr>
        <w:spacing w:after="0" w:line="240" w:lineRule="auto"/>
        <w:jc w:val="left"/>
        <w:rPr>
          <w:b/>
        </w:rPr>
      </w:pPr>
    </w:p>
    <w:sectPr w:rsidR="007C014E" w:rsidRPr="00302AD9"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6B65" w14:textId="77777777" w:rsidR="00651F62" w:rsidRDefault="00651F62">
      <w:r>
        <w:separator/>
      </w:r>
    </w:p>
  </w:endnote>
  <w:endnote w:type="continuationSeparator" w:id="0">
    <w:p w14:paraId="7E9229A6" w14:textId="77777777" w:rsidR="00651F62" w:rsidRDefault="00651F62">
      <w:r>
        <w:continuationSeparator/>
      </w:r>
    </w:p>
  </w:endnote>
  <w:endnote w:type="continuationNotice" w:id="1">
    <w:p w14:paraId="765AE748" w14:textId="77777777" w:rsidR="00651F62" w:rsidRDefault="00651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3F03" w14:textId="77777777" w:rsidR="00731D9B" w:rsidRDefault="00F0095F">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FD3F" w14:textId="77777777" w:rsidR="00B54944" w:rsidRDefault="00B54944">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4D5" w14:textId="77777777" w:rsidR="00AF4B65" w:rsidRDefault="002600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2678" w14:textId="77777777" w:rsidR="00AF4B65" w:rsidRDefault="002600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4D5C" w14:textId="77777777" w:rsidR="00AF4B65" w:rsidRDefault="00260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FF70" w14:textId="77777777" w:rsidR="00651F62" w:rsidRDefault="00651F62">
      <w:r>
        <w:separator/>
      </w:r>
    </w:p>
  </w:footnote>
  <w:footnote w:type="continuationSeparator" w:id="0">
    <w:p w14:paraId="28CA6C76" w14:textId="77777777" w:rsidR="00651F62" w:rsidRDefault="00651F62">
      <w:pPr>
        <w:rPr>
          <w:sz w:val="22"/>
        </w:rPr>
      </w:pPr>
      <w:r>
        <w:continuationSeparator/>
      </w:r>
    </w:p>
  </w:footnote>
  <w:footnote w:type="continuationNotice" w:id="1">
    <w:p w14:paraId="05B35820" w14:textId="77777777" w:rsidR="00651F62" w:rsidRDefault="00651F62">
      <w:pPr>
        <w:jc w:val="right"/>
        <w:rPr>
          <w: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E6D5" w14:textId="24DC8C98" w:rsidR="00B54944" w:rsidRDefault="00B54944">
    <w:pPr>
      <w:pStyle w:val="Header"/>
    </w:pPr>
    <w:r>
      <w:t>PEOPLE v. CATARINO</w:t>
    </w:r>
  </w:p>
  <w:p w14:paraId="781D9A34" w14:textId="22B1A891" w:rsidR="00B54944" w:rsidRDefault="00B54944">
    <w:pPr>
      <w:pStyle w:val="Header"/>
    </w:pPr>
    <w:r>
      <w:t>Opinion of the Court by Liu, J.</w:t>
    </w:r>
  </w:p>
  <w:p w14:paraId="518A468C" w14:textId="77777777" w:rsidR="00B54944" w:rsidRDefault="00B54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B411" w14:textId="77777777" w:rsidR="00AF4B65" w:rsidRDefault="00260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9A34" w14:textId="77777777" w:rsidR="00AF4B65" w:rsidRDefault="002600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6590" w14:textId="77777777" w:rsidR="00AF4B65" w:rsidRDefault="00260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557A"/>
    <w:multiLevelType w:val="hybridMultilevel"/>
    <w:tmpl w:val="947E4F7C"/>
    <w:lvl w:ilvl="0" w:tplc="8B7CA28E">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3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printFractionalCharacterWidth/>
  <w:activeWritingStyle w:appName="MSWord" w:lang="en-US" w:vendorID="64" w:dllVersion="5" w:nlCheck="1" w:checkStyle="1"/>
  <w:activeWritingStyle w:appName="MSWord" w:lang="en-US" w:vendorID="64" w:dllVersion="0" w:nlCheck="1" w:checkStyle="0"/>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5F"/>
    <w:rsid w:val="000026D0"/>
    <w:rsid w:val="00003613"/>
    <w:rsid w:val="0000433B"/>
    <w:rsid w:val="00004B4B"/>
    <w:rsid w:val="00007C4D"/>
    <w:rsid w:val="00010863"/>
    <w:rsid w:val="00010AE6"/>
    <w:rsid w:val="00010EC8"/>
    <w:rsid w:val="00011094"/>
    <w:rsid w:val="0001197D"/>
    <w:rsid w:val="00011BBE"/>
    <w:rsid w:val="0001207C"/>
    <w:rsid w:val="00014B1A"/>
    <w:rsid w:val="0001511B"/>
    <w:rsid w:val="00015517"/>
    <w:rsid w:val="000156A5"/>
    <w:rsid w:val="000160AE"/>
    <w:rsid w:val="00016EA7"/>
    <w:rsid w:val="00016F2B"/>
    <w:rsid w:val="00017A7E"/>
    <w:rsid w:val="00022271"/>
    <w:rsid w:val="000227E4"/>
    <w:rsid w:val="000233EC"/>
    <w:rsid w:val="000243F3"/>
    <w:rsid w:val="000245FF"/>
    <w:rsid w:val="000248C6"/>
    <w:rsid w:val="00025243"/>
    <w:rsid w:val="00025DA1"/>
    <w:rsid w:val="00026A27"/>
    <w:rsid w:val="0002748C"/>
    <w:rsid w:val="00027E25"/>
    <w:rsid w:val="0003104B"/>
    <w:rsid w:val="000316A9"/>
    <w:rsid w:val="000317FD"/>
    <w:rsid w:val="0003470D"/>
    <w:rsid w:val="000357FC"/>
    <w:rsid w:val="0003587D"/>
    <w:rsid w:val="00035D13"/>
    <w:rsid w:val="000375E5"/>
    <w:rsid w:val="0004106E"/>
    <w:rsid w:val="0004188D"/>
    <w:rsid w:val="00041D9B"/>
    <w:rsid w:val="00042992"/>
    <w:rsid w:val="00043CF0"/>
    <w:rsid w:val="00045558"/>
    <w:rsid w:val="000504D1"/>
    <w:rsid w:val="00050ABC"/>
    <w:rsid w:val="00050CF4"/>
    <w:rsid w:val="00051905"/>
    <w:rsid w:val="000522F6"/>
    <w:rsid w:val="0005499A"/>
    <w:rsid w:val="000555DD"/>
    <w:rsid w:val="00056048"/>
    <w:rsid w:val="00056B91"/>
    <w:rsid w:val="000570E1"/>
    <w:rsid w:val="00057587"/>
    <w:rsid w:val="000577FD"/>
    <w:rsid w:val="0006003D"/>
    <w:rsid w:val="0006074E"/>
    <w:rsid w:val="000621F2"/>
    <w:rsid w:val="00062823"/>
    <w:rsid w:val="00062F68"/>
    <w:rsid w:val="00065211"/>
    <w:rsid w:val="00065CE5"/>
    <w:rsid w:val="00071925"/>
    <w:rsid w:val="000729FF"/>
    <w:rsid w:val="00073557"/>
    <w:rsid w:val="00073888"/>
    <w:rsid w:val="000739B8"/>
    <w:rsid w:val="00073BBC"/>
    <w:rsid w:val="00082362"/>
    <w:rsid w:val="000838BE"/>
    <w:rsid w:val="000840F4"/>
    <w:rsid w:val="000842F3"/>
    <w:rsid w:val="00084364"/>
    <w:rsid w:val="000844A4"/>
    <w:rsid w:val="000850E6"/>
    <w:rsid w:val="00085C0B"/>
    <w:rsid w:val="0008707E"/>
    <w:rsid w:val="00090703"/>
    <w:rsid w:val="00090B37"/>
    <w:rsid w:val="0009156F"/>
    <w:rsid w:val="00092098"/>
    <w:rsid w:val="00092858"/>
    <w:rsid w:val="00092F51"/>
    <w:rsid w:val="000939AC"/>
    <w:rsid w:val="00094383"/>
    <w:rsid w:val="000951F5"/>
    <w:rsid w:val="000A026D"/>
    <w:rsid w:val="000A05BB"/>
    <w:rsid w:val="000A0734"/>
    <w:rsid w:val="000A0921"/>
    <w:rsid w:val="000A200F"/>
    <w:rsid w:val="000A25F4"/>
    <w:rsid w:val="000A2741"/>
    <w:rsid w:val="000A2FB2"/>
    <w:rsid w:val="000A3DE5"/>
    <w:rsid w:val="000A5C3A"/>
    <w:rsid w:val="000A63BE"/>
    <w:rsid w:val="000A7FAC"/>
    <w:rsid w:val="000A7FDE"/>
    <w:rsid w:val="000B086F"/>
    <w:rsid w:val="000B0E71"/>
    <w:rsid w:val="000B0FF3"/>
    <w:rsid w:val="000B1AE9"/>
    <w:rsid w:val="000B347F"/>
    <w:rsid w:val="000B3986"/>
    <w:rsid w:val="000B524F"/>
    <w:rsid w:val="000B55EB"/>
    <w:rsid w:val="000B5BFD"/>
    <w:rsid w:val="000B6022"/>
    <w:rsid w:val="000B730C"/>
    <w:rsid w:val="000C2A13"/>
    <w:rsid w:val="000C2AD7"/>
    <w:rsid w:val="000C47CE"/>
    <w:rsid w:val="000C5299"/>
    <w:rsid w:val="000C5460"/>
    <w:rsid w:val="000C5B90"/>
    <w:rsid w:val="000C6174"/>
    <w:rsid w:val="000C6343"/>
    <w:rsid w:val="000C69A5"/>
    <w:rsid w:val="000D2058"/>
    <w:rsid w:val="000D3AC7"/>
    <w:rsid w:val="000D3C9B"/>
    <w:rsid w:val="000D403E"/>
    <w:rsid w:val="000D45B9"/>
    <w:rsid w:val="000D4866"/>
    <w:rsid w:val="000D4A08"/>
    <w:rsid w:val="000D5470"/>
    <w:rsid w:val="000D6D08"/>
    <w:rsid w:val="000D7883"/>
    <w:rsid w:val="000E0D4F"/>
    <w:rsid w:val="000E132E"/>
    <w:rsid w:val="000E1C3D"/>
    <w:rsid w:val="000E1CFE"/>
    <w:rsid w:val="000E2E5C"/>
    <w:rsid w:val="000E4748"/>
    <w:rsid w:val="000E4B39"/>
    <w:rsid w:val="000E672D"/>
    <w:rsid w:val="000E6E07"/>
    <w:rsid w:val="000E7792"/>
    <w:rsid w:val="000E7E9E"/>
    <w:rsid w:val="000E7F7D"/>
    <w:rsid w:val="000F0E3F"/>
    <w:rsid w:val="000F0E94"/>
    <w:rsid w:val="000F11E5"/>
    <w:rsid w:val="000F1882"/>
    <w:rsid w:val="000F63F0"/>
    <w:rsid w:val="000F7BDD"/>
    <w:rsid w:val="00100BBD"/>
    <w:rsid w:val="001015B5"/>
    <w:rsid w:val="001016CE"/>
    <w:rsid w:val="00102271"/>
    <w:rsid w:val="001025AB"/>
    <w:rsid w:val="00102756"/>
    <w:rsid w:val="00103366"/>
    <w:rsid w:val="0010454B"/>
    <w:rsid w:val="00104E7B"/>
    <w:rsid w:val="001057FB"/>
    <w:rsid w:val="00105EB9"/>
    <w:rsid w:val="00106198"/>
    <w:rsid w:val="00106D7A"/>
    <w:rsid w:val="00110032"/>
    <w:rsid w:val="00110C52"/>
    <w:rsid w:val="00110E66"/>
    <w:rsid w:val="001112C9"/>
    <w:rsid w:val="00111495"/>
    <w:rsid w:val="00112542"/>
    <w:rsid w:val="00112A10"/>
    <w:rsid w:val="00112CDD"/>
    <w:rsid w:val="001137F7"/>
    <w:rsid w:val="001142EF"/>
    <w:rsid w:val="00114D93"/>
    <w:rsid w:val="00114EAA"/>
    <w:rsid w:val="0011582F"/>
    <w:rsid w:val="001158A3"/>
    <w:rsid w:val="0011593B"/>
    <w:rsid w:val="00116476"/>
    <w:rsid w:val="001226A2"/>
    <w:rsid w:val="00122FF6"/>
    <w:rsid w:val="0012352A"/>
    <w:rsid w:val="0012367D"/>
    <w:rsid w:val="00124120"/>
    <w:rsid w:val="00124FE4"/>
    <w:rsid w:val="0012531E"/>
    <w:rsid w:val="001259F6"/>
    <w:rsid w:val="00125DAA"/>
    <w:rsid w:val="00126F01"/>
    <w:rsid w:val="00127B91"/>
    <w:rsid w:val="001303C6"/>
    <w:rsid w:val="0013042F"/>
    <w:rsid w:val="0013158F"/>
    <w:rsid w:val="00132067"/>
    <w:rsid w:val="00132A8B"/>
    <w:rsid w:val="0013507C"/>
    <w:rsid w:val="0013574E"/>
    <w:rsid w:val="00135C76"/>
    <w:rsid w:val="00135FBA"/>
    <w:rsid w:val="00137F2B"/>
    <w:rsid w:val="001410EF"/>
    <w:rsid w:val="00141C9A"/>
    <w:rsid w:val="001421A7"/>
    <w:rsid w:val="00142A54"/>
    <w:rsid w:val="0014456E"/>
    <w:rsid w:val="001446CF"/>
    <w:rsid w:val="00150E9B"/>
    <w:rsid w:val="0015113D"/>
    <w:rsid w:val="00151207"/>
    <w:rsid w:val="00153D9E"/>
    <w:rsid w:val="00154360"/>
    <w:rsid w:val="001555F7"/>
    <w:rsid w:val="00155E10"/>
    <w:rsid w:val="00155F1C"/>
    <w:rsid w:val="00160120"/>
    <w:rsid w:val="001620EC"/>
    <w:rsid w:val="001621CF"/>
    <w:rsid w:val="00164541"/>
    <w:rsid w:val="00165458"/>
    <w:rsid w:val="001669C8"/>
    <w:rsid w:val="00166DDE"/>
    <w:rsid w:val="0016767C"/>
    <w:rsid w:val="00170B0B"/>
    <w:rsid w:val="00170EDF"/>
    <w:rsid w:val="0017157F"/>
    <w:rsid w:val="0017279C"/>
    <w:rsid w:val="00174B38"/>
    <w:rsid w:val="00175E9A"/>
    <w:rsid w:val="00176F7E"/>
    <w:rsid w:val="001770B7"/>
    <w:rsid w:val="0017756E"/>
    <w:rsid w:val="00180692"/>
    <w:rsid w:val="001820CC"/>
    <w:rsid w:val="00182F8C"/>
    <w:rsid w:val="00183470"/>
    <w:rsid w:val="00184340"/>
    <w:rsid w:val="00184CE9"/>
    <w:rsid w:val="00185613"/>
    <w:rsid w:val="0018666B"/>
    <w:rsid w:val="00186AAA"/>
    <w:rsid w:val="00186DD1"/>
    <w:rsid w:val="001874F7"/>
    <w:rsid w:val="00191902"/>
    <w:rsid w:val="00191F6E"/>
    <w:rsid w:val="00192EBB"/>
    <w:rsid w:val="00194438"/>
    <w:rsid w:val="00194CF1"/>
    <w:rsid w:val="001958A7"/>
    <w:rsid w:val="00195C8A"/>
    <w:rsid w:val="00197413"/>
    <w:rsid w:val="001A03D0"/>
    <w:rsid w:val="001A2BAF"/>
    <w:rsid w:val="001A30C5"/>
    <w:rsid w:val="001A3248"/>
    <w:rsid w:val="001A3631"/>
    <w:rsid w:val="001A5F5D"/>
    <w:rsid w:val="001B0914"/>
    <w:rsid w:val="001B237D"/>
    <w:rsid w:val="001B3B23"/>
    <w:rsid w:val="001B4A8F"/>
    <w:rsid w:val="001B6761"/>
    <w:rsid w:val="001C0624"/>
    <w:rsid w:val="001C0F0B"/>
    <w:rsid w:val="001C2A65"/>
    <w:rsid w:val="001C5456"/>
    <w:rsid w:val="001C69B8"/>
    <w:rsid w:val="001C79E9"/>
    <w:rsid w:val="001D0246"/>
    <w:rsid w:val="001D0F7E"/>
    <w:rsid w:val="001D220E"/>
    <w:rsid w:val="001D245A"/>
    <w:rsid w:val="001D25F6"/>
    <w:rsid w:val="001D2CB2"/>
    <w:rsid w:val="001D5953"/>
    <w:rsid w:val="001D5965"/>
    <w:rsid w:val="001D65FF"/>
    <w:rsid w:val="001D6BFE"/>
    <w:rsid w:val="001E0129"/>
    <w:rsid w:val="001E15EE"/>
    <w:rsid w:val="001E163B"/>
    <w:rsid w:val="001E2D96"/>
    <w:rsid w:val="001E4D8B"/>
    <w:rsid w:val="001E4E89"/>
    <w:rsid w:val="001E6CBA"/>
    <w:rsid w:val="001F05B4"/>
    <w:rsid w:val="001F0A06"/>
    <w:rsid w:val="001F0BB4"/>
    <w:rsid w:val="001F1CBB"/>
    <w:rsid w:val="001F378D"/>
    <w:rsid w:val="001F3D5E"/>
    <w:rsid w:val="001F5445"/>
    <w:rsid w:val="001F7805"/>
    <w:rsid w:val="001F7ED8"/>
    <w:rsid w:val="001F7F7D"/>
    <w:rsid w:val="00200F39"/>
    <w:rsid w:val="002021EC"/>
    <w:rsid w:val="00202838"/>
    <w:rsid w:val="002032D7"/>
    <w:rsid w:val="00205E36"/>
    <w:rsid w:val="00206C5D"/>
    <w:rsid w:val="0021012F"/>
    <w:rsid w:val="002113B3"/>
    <w:rsid w:val="002123AE"/>
    <w:rsid w:val="00212DC3"/>
    <w:rsid w:val="002136F2"/>
    <w:rsid w:val="002140E9"/>
    <w:rsid w:val="00214378"/>
    <w:rsid w:val="00214BFF"/>
    <w:rsid w:val="00214E50"/>
    <w:rsid w:val="00214FF7"/>
    <w:rsid w:val="00216B63"/>
    <w:rsid w:val="00217C9C"/>
    <w:rsid w:val="00217D65"/>
    <w:rsid w:val="0022269F"/>
    <w:rsid w:val="00224311"/>
    <w:rsid w:val="00224BD3"/>
    <w:rsid w:val="00225292"/>
    <w:rsid w:val="00225FB6"/>
    <w:rsid w:val="00226365"/>
    <w:rsid w:val="00226457"/>
    <w:rsid w:val="00230A38"/>
    <w:rsid w:val="00235F22"/>
    <w:rsid w:val="002377C0"/>
    <w:rsid w:val="002378D9"/>
    <w:rsid w:val="0023796F"/>
    <w:rsid w:val="00237D13"/>
    <w:rsid w:val="002403C2"/>
    <w:rsid w:val="002403F0"/>
    <w:rsid w:val="00241036"/>
    <w:rsid w:val="0024231D"/>
    <w:rsid w:val="00242918"/>
    <w:rsid w:val="00243CFB"/>
    <w:rsid w:val="002445AD"/>
    <w:rsid w:val="00244848"/>
    <w:rsid w:val="00245EC7"/>
    <w:rsid w:val="00246968"/>
    <w:rsid w:val="00246DA4"/>
    <w:rsid w:val="00246FD8"/>
    <w:rsid w:val="00247131"/>
    <w:rsid w:val="00247752"/>
    <w:rsid w:val="00247DE0"/>
    <w:rsid w:val="00247EF2"/>
    <w:rsid w:val="0025062B"/>
    <w:rsid w:val="0025075C"/>
    <w:rsid w:val="002535CD"/>
    <w:rsid w:val="00253CDA"/>
    <w:rsid w:val="00255EF3"/>
    <w:rsid w:val="002561E8"/>
    <w:rsid w:val="0025724E"/>
    <w:rsid w:val="00257250"/>
    <w:rsid w:val="00257BB0"/>
    <w:rsid w:val="00262F6F"/>
    <w:rsid w:val="0026364A"/>
    <w:rsid w:val="002636D5"/>
    <w:rsid w:val="0026490C"/>
    <w:rsid w:val="002654C2"/>
    <w:rsid w:val="002677E8"/>
    <w:rsid w:val="002679FE"/>
    <w:rsid w:val="002708A7"/>
    <w:rsid w:val="00270F4F"/>
    <w:rsid w:val="00271495"/>
    <w:rsid w:val="002714F4"/>
    <w:rsid w:val="00271A30"/>
    <w:rsid w:val="00273CE6"/>
    <w:rsid w:val="002743D4"/>
    <w:rsid w:val="00275164"/>
    <w:rsid w:val="0027622C"/>
    <w:rsid w:val="00277E0C"/>
    <w:rsid w:val="0028062B"/>
    <w:rsid w:val="002807FA"/>
    <w:rsid w:val="00280965"/>
    <w:rsid w:val="002813EB"/>
    <w:rsid w:val="002816A3"/>
    <w:rsid w:val="0028190A"/>
    <w:rsid w:val="00281D8A"/>
    <w:rsid w:val="00281D9E"/>
    <w:rsid w:val="00282991"/>
    <w:rsid w:val="00283328"/>
    <w:rsid w:val="00283A36"/>
    <w:rsid w:val="00283A3F"/>
    <w:rsid w:val="0028403F"/>
    <w:rsid w:val="002844AE"/>
    <w:rsid w:val="00284C3B"/>
    <w:rsid w:val="00285B13"/>
    <w:rsid w:val="00286617"/>
    <w:rsid w:val="0028686D"/>
    <w:rsid w:val="00287318"/>
    <w:rsid w:val="0029264E"/>
    <w:rsid w:val="00292813"/>
    <w:rsid w:val="00292992"/>
    <w:rsid w:val="00293F05"/>
    <w:rsid w:val="00294EC1"/>
    <w:rsid w:val="00297B10"/>
    <w:rsid w:val="00297E79"/>
    <w:rsid w:val="002A1FC4"/>
    <w:rsid w:val="002A2CB8"/>
    <w:rsid w:val="002A5C87"/>
    <w:rsid w:val="002A605C"/>
    <w:rsid w:val="002A718F"/>
    <w:rsid w:val="002B0448"/>
    <w:rsid w:val="002B0C5D"/>
    <w:rsid w:val="002B0DB8"/>
    <w:rsid w:val="002B25DC"/>
    <w:rsid w:val="002B287B"/>
    <w:rsid w:val="002B3559"/>
    <w:rsid w:val="002B45E2"/>
    <w:rsid w:val="002B47C6"/>
    <w:rsid w:val="002B487A"/>
    <w:rsid w:val="002B4DE4"/>
    <w:rsid w:val="002B56B0"/>
    <w:rsid w:val="002B6A92"/>
    <w:rsid w:val="002C192B"/>
    <w:rsid w:val="002C3E05"/>
    <w:rsid w:val="002C6EC1"/>
    <w:rsid w:val="002C6F24"/>
    <w:rsid w:val="002D0A6C"/>
    <w:rsid w:val="002D0EC3"/>
    <w:rsid w:val="002D15D1"/>
    <w:rsid w:val="002D207C"/>
    <w:rsid w:val="002D244F"/>
    <w:rsid w:val="002D3AFF"/>
    <w:rsid w:val="002D48A5"/>
    <w:rsid w:val="002D5644"/>
    <w:rsid w:val="002D5791"/>
    <w:rsid w:val="002D5BAD"/>
    <w:rsid w:val="002D6C73"/>
    <w:rsid w:val="002D6EBE"/>
    <w:rsid w:val="002D7F8D"/>
    <w:rsid w:val="002E2A65"/>
    <w:rsid w:val="002E48BF"/>
    <w:rsid w:val="002E4944"/>
    <w:rsid w:val="002E49C5"/>
    <w:rsid w:val="002E54C2"/>
    <w:rsid w:val="002E5628"/>
    <w:rsid w:val="002E6C56"/>
    <w:rsid w:val="002E7149"/>
    <w:rsid w:val="002F023E"/>
    <w:rsid w:val="002F047E"/>
    <w:rsid w:val="002F1701"/>
    <w:rsid w:val="002F2AF1"/>
    <w:rsid w:val="002F4FD0"/>
    <w:rsid w:val="0030076B"/>
    <w:rsid w:val="003010E9"/>
    <w:rsid w:val="00302AD9"/>
    <w:rsid w:val="00304083"/>
    <w:rsid w:val="003056F6"/>
    <w:rsid w:val="003064BD"/>
    <w:rsid w:val="003064D9"/>
    <w:rsid w:val="003070AE"/>
    <w:rsid w:val="00310FE1"/>
    <w:rsid w:val="00312094"/>
    <w:rsid w:val="00313A68"/>
    <w:rsid w:val="003145FA"/>
    <w:rsid w:val="00321193"/>
    <w:rsid w:val="003216A8"/>
    <w:rsid w:val="0032286C"/>
    <w:rsid w:val="00324298"/>
    <w:rsid w:val="00326032"/>
    <w:rsid w:val="00326F0B"/>
    <w:rsid w:val="00327113"/>
    <w:rsid w:val="003271D8"/>
    <w:rsid w:val="0032764C"/>
    <w:rsid w:val="003278A4"/>
    <w:rsid w:val="003323C7"/>
    <w:rsid w:val="00332A98"/>
    <w:rsid w:val="00334475"/>
    <w:rsid w:val="00334D10"/>
    <w:rsid w:val="00335016"/>
    <w:rsid w:val="00335A04"/>
    <w:rsid w:val="00337BA4"/>
    <w:rsid w:val="00340FC4"/>
    <w:rsid w:val="00343635"/>
    <w:rsid w:val="00343BFF"/>
    <w:rsid w:val="003457BD"/>
    <w:rsid w:val="00345E88"/>
    <w:rsid w:val="0034609D"/>
    <w:rsid w:val="00347240"/>
    <w:rsid w:val="00347317"/>
    <w:rsid w:val="00347A97"/>
    <w:rsid w:val="003508D5"/>
    <w:rsid w:val="00352224"/>
    <w:rsid w:val="00353554"/>
    <w:rsid w:val="00353B9B"/>
    <w:rsid w:val="00355475"/>
    <w:rsid w:val="00356125"/>
    <w:rsid w:val="00360068"/>
    <w:rsid w:val="00361698"/>
    <w:rsid w:val="00362EA4"/>
    <w:rsid w:val="00364468"/>
    <w:rsid w:val="00364AF5"/>
    <w:rsid w:val="003650E2"/>
    <w:rsid w:val="00365E44"/>
    <w:rsid w:val="00367819"/>
    <w:rsid w:val="00370DB7"/>
    <w:rsid w:val="00371591"/>
    <w:rsid w:val="00372A01"/>
    <w:rsid w:val="00372D17"/>
    <w:rsid w:val="00372F39"/>
    <w:rsid w:val="003730FA"/>
    <w:rsid w:val="003739EE"/>
    <w:rsid w:val="00374A52"/>
    <w:rsid w:val="0037692E"/>
    <w:rsid w:val="0037747A"/>
    <w:rsid w:val="0038197D"/>
    <w:rsid w:val="00381B93"/>
    <w:rsid w:val="00382F38"/>
    <w:rsid w:val="003849F5"/>
    <w:rsid w:val="0038515D"/>
    <w:rsid w:val="00387D91"/>
    <w:rsid w:val="00390D59"/>
    <w:rsid w:val="00394D4F"/>
    <w:rsid w:val="00394F51"/>
    <w:rsid w:val="00394F8A"/>
    <w:rsid w:val="003958FE"/>
    <w:rsid w:val="00395C9F"/>
    <w:rsid w:val="003A0629"/>
    <w:rsid w:val="003A0BD0"/>
    <w:rsid w:val="003A25A4"/>
    <w:rsid w:val="003A2620"/>
    <w:rsid w:val="003A37C8"/>
    <w:rsid w:val="003A45FC"/>
    <w:rsid w:val="003A46DE"/>
    <w:rsid w:val="003A4C91"/>
    <w:rsid w:val="003A66DA"/>
    <w:rsid w:val="003A7485"/>
    <w:rsid w:val="003A7B3E"/>
    <w:rsid w:val="003B0421"/>
    <w:rsid w:val="003B08CF"/>
    <w:rsid w:val="003B0D5B"/>
    <w:rsid w:val="003B2F07"/>
    <w:rsid w:val="003B3994"/>
    <w:rsid w:val="003B4C88"/>
    <w:rsid w:val="003B6638"/>
    <w:rsid w:val="003B7F3B"/>
    <w:rsid w:val="003C13F4"/>
    <w:rsid w:val="003C41DB"/>
    <w:rsid w:val="003C5FDD"/>
    <w:rsid w:val="003D005F"/>
    <w:rsid w:val="003D0F16"/>
    <w:rsid w:val="003D2A28"/>
    <w:rsid w:val="003D3175"/>
    <w:rsid w:val="003D35FB"/>
    <w:rsid w:val="003D42AA"/>
    <w:rsid w:val="003D48D8"/>
    <w:rsid w:val="003D4FE1"/>
    <w:rsid w:val="003D527F"/>
    <w:rsid w:val="003D7098"/>
    <w:rsid w:val="003D792A"/>
    <w:rsid w:val="003D79B1"/>
    <w:rsid w:val="003E056C"/>
    <w:rsid w:val="003E067E"/>
    <w:rsid w:val="003E07AB"/>
    <w:rsid w:val="003E1843"/>
    <w:rsid w:val="003E3037"/>
    <w:rsid w:val="003E3053"/>
    <w:rsid w:val="003E4494"/>
    <w:rsid w:val="003E464C"/>
    <w:rsid w:val="003E46C6"/>
    <w:rsid w:val="003E46DF"/>
    <w:rsid w:val="003E6697"/>
    <w:rsid w:val="003E7A6C"/>
    <w:rsid w:val="003F0A1E"/>
    <w:rsid w:val="003F0ED5"/>
    <w:rsid w:val="003F118D"/>
    <w:rsid w:val="003F1CA6"/>
    <w:rsid w:val="003F24CC"/>
    <w:rsid w:val="003F273A"/>
    <w:rsid w:val="003F2750"/>
    <w:rsid w:val="003F33A0"/>
    <w:rsid w:val="003F34E4"/>
    <w:rsid w:val="003F45A5"/>
    <w:rsid w:val="003F464F"/>
    <w:rsid w:val="003F5FD9"/>
    <w:rsid w:val="003F75E5"/>
    <w:rsid w:val="00401190"/>
    <w:rsid w:val="004019DD"/>
    <w:rsid w:val="00401B97"/>
    <w:rsid w:val="00401BDB"/>
    <w:rsid w:val="00401E14"/>
    <w:rsid w:val="00404274"/>
    <w:rsid w:val="004042CE"/>
    <w:rsid w:val="004052D3"/>
    <w:rsid w:val="00405875"/>
    <w:rsid w:val="00406142"/>
    <w:rsid w:val="00407564"/>
    <w:rsid w:val="0041006E"/>
    <w:rsid w:val="00411343"/>
    <w:rsid w:val="004116CA"/>
    <w:rsid w:val="00412519"/>
    <w:rsid w:val="00413035"/>
    <w:rsid w:val="00414039"/>
    <w:rsid w:val="00414563"/>
    <w:rsid w:val="0041683D"/>
    <w:rsid w:val="00416A3A"/>
    <w:rsid w:val="0041753B"/>
    <w:rsid w:val="00417D4B"/>
    <w:rsid w:val="0042206B"/>
    <w:rsid w:val="004228B4"/>
    <w:rsid w:val="00423404"/>
    <w:rsid w:val="00423FF0"/>
    <w:rsid w:val="00424104"/>
    <w:rsid w:val="00426B1F"/>
    <w:rsid w:val="00431458"/>
    <w:rsid w:val="004347DE"/>
    <w:rsid w:val="0043484D"/>
    <w:rsid w:val="004367A2"/>
    <w:rsid w:val="00437AAE"/>
    <w:rsid w:val="00437E50"/>
    <w:rsid w:val="00440BDC"/>
    <w:rsid w:val="00441276"/>
    <w:rsid w:val="00443B5D"/>
    <w:rsid w:val="00444A03"/>
    <w:rsid w:val="00445540"/>
    <w:rsid w:val="004467AC"/>
    <w:rsid w:val="00446878"/>
    <w:rsid w:val="00447322"/>
    <w:rsid w:val="004477A0"/>
    <w:rsid w:val="00453955"/>
    <w:rsid w:val="00456427"/>
    <w:rsid w:val="00457496"/>
    <w:rsid w:val="00457C2E"/>
    <w:rsid w:val="0046121B"/>
    <w:rsid w:val="00461525"/>
    <w:rsid w:val="004625E5"/>
    <w:rsid w:val="0046437F"/>
    <w:rsid w:val="00467596"/>
    <w:rsid w:val="004677BD"/>
    <w:rsid w:val="00470789"/>
    <w:rsid w:val="00470E3C"/>
    <w:rsid w:val="00470E69"/>
    <w:rsid w:val="00470F8F"/>
    <w:rsid w:val="00471909"/>
    <w:rsid w:val="004719EB"/>
    <w:rsid w:val="00472344"/>
    <w:rsid w:val="00474708"/>
    <w:rsid w:val="004748F5"/>
    <w:rsid w:val="00474921"/>
    <w:rsid w:val="00474FC5"/>
    <w:rsid w:val="0047567A"/>
    <w:rsid w:val="00475E40"/>
    <w:rsid w:val="004765CF"/>
    <w:rsid w:val="00481585"/>
    <w:rsid w:val="00482277"/>
    <w:rsid w:val="0048493B"/>
    <w:rsid w:val="00485731"/>
    <w:rsid w:val="004863A1"/>
    <w:rsid w:val="004914D6"/>
    <w:rsid w:val="004936B8"/>
    <w:rsid w:val="004947E5"/>
    <w:rsid w:val="00494E51"/>
    <w:rsid w:val="004965D4"/>
    <w:rsid w:val="00497071"/>
    <w:rsid w:val="004A00A5"/>
    <w:rsid w:val="004A087F"/>
    <w:rsid w:val="004A3EA6"/>
    <w:rsid w:val="004A43A9"/>
    <w:rsid w:val="004A465C"/>
    <w:rsid w:val="004A4C03"/>
    <w:rsid w:val="004A4E27"/>
    <w:rsid w:val="004A6506"/>
    <w:rsid w:val="004A78DD"/>
    <w:rsid w:val="004B1269"/>
    <w:rsid w:val="004B28BB"/>
    <w:rsid w:val="004B3F4C"/>
    <w:rsid w:val="004B4056"/>
    <w:rsid w:val="004B557B"/>
    <w:rsid w:val="004B5BCA"/>
    <w:rsid w:val="004B5F5F"/>
    <w:rsid w:val="004B65EF"/>
    <w:rsid w:val="004B7722"/>
    <w:rsid w:val="004C0303"/>
    <w:rsid w:val="004C0AFA"/>
    <w:rsid w:val="004C2738"/>
    <w:rsid w:val="004C5058"/>
    <w:rsid w:val="004C542A"/>
    <w:rsid w:val="004C5C6D"/>
    <w:rsid w:val="004C6FBC"/>
    <w:rsid w:val="004C7471"/>
    <w:rsid w:val="004C76F4"/>
    <w:rsid w:val="004D01AF"/>
    <w:rsid w:val="004D1CB7"/>
    <w:rsid w:val="004D3E6C"/>
    <w:rsid w:val="004D3F09"/>
    <w:rsid w:val="004D41E9"/>
    <w:rsid w:val="004D47AD"/>
    <w:rsid w:val="004D7734"/>
    <w:rsid w:val="004E016B"/>
    <w:rsid w:val="004E1B9E"/>
    <w:rsid w:val="004E25D6"/>
    <w:rsid w:val="004E264C"/>
    <w:rsid w:val="004E39D1"/>
    <w:rsid w:val="004E42A9"/>
    <w:rsid w:val="004E5118"/>
    <w:rsid w:val="004E5451"/>
    <w:rsid w:val="004E5FC2"/>
    <w:rsid w:val="004E7502"/>
    <w:rsid w:val="004E7E6B"/>
    <w:rsid w:val="004F00B8"/>
    <w:rsid w:val="004F0572"/>
    <w:rsid w:val="004F1CB8"/>
    <w:rsid w:val="004F2952"/>
    <w:rsid w:val="004F3F06"/>
    <w:rsid w:val="004F67B4"/>
    <w:rsid w:val="004F6CC0"/>
    <w:rsid w:val="004F6E29"/>
    <w:rsid w:val="00501B23"/>
    <w:rsid w:val="00503CF5"/>
    <w:rsid w:val="005042C1"/>
    <w:rsid w:val="005045C1"/>
    <w:rsid w:val="00504BC4"/>
    <w:rsid w:val="00506BFC"/>
    <w:rsid w:val="00507638"/>
    <w:rsid w:val="0051229A"/>
    <w:rsid w:val="00514F6B"/>
    <w:rsid w:val="00515B28"/>
    <w:rsid w:val="0051768D"/>
    <w:rsid w:val="00521A04"/>
    <w:rsid w:val="00523FEE"/>
    <w:rsid w:val="00525576"/>
    <w:rsid w:val="00525B2F"/>
    <w:rsid w:val="00526964"/>
    <w:rsid w:val="00527549"/>
    <w:rsid w:val="00531DDC"/>
    <w:rsid w:val="00534F4E"/>
    <w:rsid w:val="00534F59"/>
    <w:rsid w:val="00535240"/>
    <w:rsid w:val="0053733F"/>
    <w:rsid w:val="00541F07"/>
    <w:rsid w:val="005422FE"/>
    <w:rsid w:val="00544BBD"/>
    <w:rsid w:val="005475DA"/>
    <w:rsid w:val="00550DB3"/>
    <w:rsid w:val="0055149F"/>
    <w:rsid w:val="00552900"/>
    <w:rsid w:val="005544A0"/>
    <w:rsid w:val="005560FC"/>
    <w:rsid w:val="0056053A"/>
    <w:rsid w:val="005617EC"/>
    <w:rsid w:val="00561913"/>
    <w:rsid w:val="00561DB0"/>
    <w:rsid w:val="00561E04"/>
    <w:rsid w:val="00562044"/>
    <w:rsid w:val="00562851"/>
    <w:rsid w:val="0056518B"/>
    <w:rsid w:val="00565651"/>
    <w:rsid w:val="00565B30"/>
    <w:rsid w:val="005670DE"/>
    <w:rsid w:val="00570334"/>
    <w:rsid w:val="00570A4F"/>
    <w:rsid w:val="00570C6A"/>
    <w:rsid w:val="00570F02"/>
    <w:rsid w:val="005720DC"/>
    <w:rsid w:val="0057242B"/>
    <w:rsid w:val="005725E1"/>
    <w:rsid w:val="005745C8"/>
    <w:rsid w:val="00575643"/>
    <w:rsid w:val="00576F5E"/>
    <w:rsid w:val="00576FD2"/>
    <w:rsid w:val="005770B8"/>
    <w:rsid w:val="005774E0"/>
    <w:rsid w:val="00580A73"/>
    <w:rsid w:val="00580FFE"/>
    <w:rsid w:val="0058271F"/>
    <w:rsid w:val="00583E21"/>
    <w:rsid w:val="00584800"/>
    <w:rsid w:val="0058508F"/>
    <w:rsid w:val="00585E7D"/>
    <w:rsid w:val="005876BD"/>
    <w:rsid w:val="00587995"/>
    <w:rsid w:val="0059022F"/>
    <w:rsid w:val="00591163"/>
    <w:rsid w:val="00592D74"/>
    <w:rsid w:val="00595915"/>
    <w:rsid w:val="00596874"/>
    <w:rsid w:val="00596C03"/>
    <w:rsid w:val="00596DD2"/>
    <w:rsid w:val="005A0457"/>
    <w:rsid w:val="005A49AD"/>
    <w:rsid w:val="005A4EB5"/>
    <w:rsid w:val="005A65FC"/>
    <w:rsid w:val="005A6E25"/>
    <w:rsid w:val="005A7329"/>
    <w:rsid w:val="005B36CD"/>
    <w:rsid w:val="005B6CE4"/>
    <w:rsid w:val="005B7ECE"/>
    <w:rsid w:val="005C0B53"/>
    <w:rsid w:val="005C1171"/>
    <w:rsid w:val="005C1FA4"/>
    <w:rsid w:val="005C2200"/>
    <w:rsid w:val="005C316E"/>
    <w:rsid w:val="005C38F2"/>
    <w:rsid w:val="005C3A17"/>
    <w:rsid w:val="005C6B78"/>
    <w:rsid w:val="005C7EE3"/>
    <w:rsid w:val="005D1BAC"/>
    <w:rsid w:val="005D24A3"/>
    <w:rsid w:val="005D29AC"/>
    <w:rsid w:val="005D29BA"/>
    <w:rsid w:val="005D3E38"/>
    <w:rsid w:val="005D458D"/>
    <w:rsid w:val="005D4B08"/>
    <w:rsid w:val="005D4CF7"/>
    <w:rsid w:val="005D4E8C"/>
    <w:rsid w:val="005D6344"/>
    <w:rsid w:val="005D73EB"/>
    <w:rsid w:val="005D7556"/>
    <w:rsid w:val="005E0368"/>
    <w:rsid w:val="005E0753"/>
    <w:rsid w:val="005E0D99"/>
    <w:rsid w:val="005E1BFF"/>
    <w:rsid w:val="005E1D22"/>
    <w:rsid w:val="005E318B"/>
    <w:rsid w:val="005E3D23"/>
    <w:rsid w:val="005E4005"/>
    <w:rsid w:val="005E5421"/>
    <w:rsid w:val="005E5D09"/>
    <w:rsid w:val="005F085E"/>
    <w:rsid w:val="005F125A"/>
    <w:rsid w:val="005F14D5"/>
    <w:rsid w:val="005F190F"/>
    <w:rsid w:val="005F2ED5"/>
    <w:rsid w:val="005F2FF1"/>
    <w:rsid w:val="005F5110"/>
    <w:rsid w:val="005F5E2A"/>
    <w:rsid w:val="005F6460"/>
    <w:rsid w:val="005F721E"/>
    <w:rsid w:val="005F74D1"/>
    <w:rsid w:val="005F7F3A"/>
    <w:rsid w:val="00600C95"/>
    <w:rsid w:val="00600EA8"/>
    <w:rsid w:val="00601148"/>
    <w:rsid w:val="00601F35"/>
    <w:rsid w:val="0060531E"/>
    <w:rsid w:val="006071E0"/>
    <w:rsid w:val="00612746"/>
    <w:rsid w:val="00612E4F"/>
    <w:rsid w:val="006132EA"/>
    <w:rsid w:val="006133EE"/>
    <w:rsid w:val="00614281"/>
    <w:rsid w:val="0061443A"/>
    <w:rsid w:val="00615384"/>
    <w:rsid w:val="00615BE3"/>
    <w:rsid w:val="0061663B"/>
    <w:rsid w:val="006169C6"/>
    <w:rsid w:val="006201AE"/>
    <w:rsid w:val="00620AB0"/>
    <w:rsid w:val="006220A1"/>
    <w:rsid w:val="00622191"/>
    <w:rsid w:val="0062359F"/>
    <w:rsid w:val="00623790"/>
    <w:rsid w:val="00624B55"/>
    <w:rsid w:val="0062718C"/>
    <w:rsid w:val="00631119"/>
    <w:rsid w:val="00632A9D"/>
    <w:rsid w:val="00633E35"/>
    <w:rsid w:val="006346CC"/>
    <w:rsid w:val="006348A8"/>
    <w:rsid w:val="006348B3"/>
    <w:rsid w:val="006348FF"/>
    <w:rsid w:val="00634C81"/>
    <w:rsid w:val="006350B7"/>
    <w:rsid w:val="00635B8F"/>
    <w:rsid w:val="00636036"/>
    <w:rsid w:val="0064095C"/>
    <w:rsid w:val="00641962"/>
    <w:rsid w:val="00642451"/>
    <w:rsid w:val="00643AE9"/>
    <w:rsid w:val="00643EBD"/>
    <w:rsid w:val="00645A94"/>
    <w:rsid w:val="00647A50"/>
    <w:rsid w:val="00647CF4"/>
    <w:rsid w:val="00647DC6"/>
    <w:rsid w:val="00647F94"/>
    <w:rsid w:val="006509CC"/>
    <w:rsid w:val="00650B69"/>
    <w:rsid w:val="00651868"/>
    <w:rsid w:val="00651CDB"/>
    <w:rsid w:val="00651F62"/>
    <w:rsid w:val="00655A7A"/>
    <w:rsid w:val="00655C7A"/>
    <w:rsid w:val="006560D3"/>
    <w:rsid w:val="00657DF8"/>
    <w:rsid w:val="00660A9A"/>
    <w:rsid w:val="006627A7"/>
    <w:rsid w:val="00663583"/>
    <w:rsid w:val="00663F4A"/>
    <w:rsid w:val="00664A83"/>
    <w:rsid w:val="00664FCE"/>
    <w:rsid w:val="006669F8"/>
    <w:rsid w:val="00667633"/>
    <w:rsid w:val="00670522"/>
    <w:rsid w:val="00671194"/>
    <w:rsid w:val="00672184"/>
    <w:rsid w:val="00673F77"/>
    <w:rsid w:val="00677FB5"/>
    <w:rsid w:val="00680BF2"/>
    <w:rsid w:val="0068125D"/>
    <w:rsid w:val="00681C53"/>
    <w:rsid w:val="006838D1"/>
    <w:rsid w:val="006849D9"/>
    <w:rsid w:val="006859D2"/>
    <w:rsid w:val="00685A92"/>
    <w:rsid w:val="00686998"/>
    <w:rsid w:val="00686B41"/>
    <w:rsid w:val="00690014"/>
    <w:rsid w:val="00690FDB"/>
    <w:rsid w:val="00691253"/>
    <w:rsid w:val="00691FFE"/>
    <w:rsid w:val="00693DDD"/>
    <w:rsid w:val="00694A6C"/>
    <w:rsid w:val="00694AFD"/>
    <w:rsid w:val="00694F29"/>
    <w:rsid w:val="00696165"/>
    <w:rsid w:val="006965EB"/>
    <w:rsid w:val="006966CC"/>
    <w:rsid w:val="006A04DB"/>
    <w:rsid w:val="006A25F8"/>
    <w:rsid w:val="006A2C55"/>
    <w:rsid w:val="006A3E9F"/>
    <w:rsid w:val="006A479B"/>
    <w:rsid w:val="006A5B4F"/>
    <w:rsid w:val="006A6216"/>
    <w:rsid w:val="006B0FA4"/>
    <w:rsid w:val="006B1265"/>
    <w:rsid w:val="006B1761"/>
    <w:rsid w:val="006B177F"/>
    <w:rsid w:val="006B1F13"/>
    <w:rsid w:val="006B4123"/>
    <w:rsid w:val="006B4D39"/>
    <w:rsid w:val="006B6183"/>
    <w:rsid w:val="006B63A9"/>
    <w:rsid w:val="006B7ACE"/>
    <w:rsid w:val="006C2A31"/>
    <w:rsid w:val="006C576F"/>
    <w:rsid w:val="006C57F7"/>
    <w:rsid w:val="006C658D"/>
    <w:rsid w:val="006C6FBF"/>
    <w:rsid w:val="006C7A12"/>
    <w:rsid w:val="006D04D1"/>
    <w:rsid w:val="006D2886"/>
    <w:rsid w:val="006D3B28"/>
    <w:rsid w:val="006D4F67"/>
    <w:rsid w:val="006D4FB8"/>
    <w:rsid w:val="006D5052"/>
    <w:rsid w:val="006D59AA"/>
    <w:rsid w:val="006D7670"/>
    <w:rsid w:val="006E2D75"/>
    <w:rsid w:val="006E404A"/>
    <w:rsid w:val="006E40F8"/>
    <w:rsid w:val="006E427B"/>
    <w:rsid w:val="006E4941"/>
    <w:rsid w:val="006E4B17"/>
    <w:rsid w:val="006E4E17"/>
    <w:rsid w:val="006E5159"/>
    <w:rsid w:val="006E6C14"/>
    <w:rsid w:val="006E7A08"/>
    <w:rsid w:val="006F2B81"/>
    <w:rsid w:val="006F4843"/>
    <w:rsid w:val="006F4EB5"/>
    <w:rsid w:val="00700B4A"/>
    <w:rsid w:val="00701045"/>
    <w:rsid w:val="00701F02"/>
    <w:rsid w:val="00702A95"/>
    <w:rsid w:val="00702F34"/>
    <w:rsid w:val="00703368"/>
    <w:rsid w:val="007041FA"/>
    <w:rsid w:val="00705C96"/>
    <w:rsid w:val="00705DAF"/>
    <w:rsid w:val="007066FA"/>
    <w:rsid w:val="00706867"/>
    <w:rsid w:val="00706D15"/>
    <w:rsid w:val="0071045B"/>
    <w:rsid w:val="00710ECF"/>
    <w:rsid w:val="007113A6"/>
    <w:rsid w:val="00711900"/>
    <w:rsid w:val="00712ADD"/>
    <w:rsid w:val="00712C47"/>
    <w:rsid w:val="00716620"/>
    <w:rsid w:val="007175BC"/>
    <w:rsid w:val="00720BCF"/>
    <w:rsid w:val="007211A1"/>
    <w:rsid w:val="0072139C"/>
    <w:rsid w:val="007217E3"/>
    <w:rsid w:val="00721C88"/>
    <w:rsid w:val="007227F8"/>
    <w:rsid w:val="007248B6"/>
    <w:rsid w:val="00724992"/>
    <w:rsid w:val="007279CA"/>
    <w:rsid w:val="00730CAA"/>
    <w:rsid w:val="00731D9B"/>
    <w:rsid w:val="00733C16"/>
    <w:rsid w:val="00735422"/>
    <w:rsid w:val="00735789"/>
    <w:rsid w:val="00735C24"/>
    <w:rsid w:val="00736079"/>
    <w:rsid w:val="00743044"/>
    <w:rsid w:val="00743B1A"/>
    <w:rsid w:val="00743C3E"/>
    <w:rsid w:val="00744416"/>
    <w:rsid w:val="00744507"/>
    <w:rsid w:val="00744C30"/>
    <w:rsid w:val="0074504C"/>
    <w:rsid w:val="0074573D"/>
    <w:rsid w:val="00745F05"/>
    <w:rsid w:val="007469D0"/>
    <w:rsid w:val="00746B42"/>
    <w:rsid w:val="007516A8"/>
    <w:rsid w:val="00753847"/>
    <w:rsid w:val="00753BEE"/>
    <w:rsid w:val="00756B7C"/>
    <w:rsid w:val="00757558"/>
    <w:rsid w:val="00760694"/>
    <w:rsid w:val="00763A8D"/>
    <w:rsid w:val="007654BB"/>
    <w:rsid w:val="007674BD"/>
    <w:rsid w:val="00767B40"/>
    <w:rsid w:val="0077169E"/>
    <w:rsid w:val="007729CC"/>
    <w:rsid w:val="007732C6"/>
    <w:rsid w:val="00775525"/>
    <w:rsid w:val="00775CE4"/>
    <w:rsid w:val="00777A4A"/>
    <w:rsid w:val="00777F28"/>
    <w:rsid w:val="0078039D"/>
    <w:rsid w:val="007813F2"/>
    <w:rsid w:val="007814A8"/>
    <w:rsid w:val="00781918"/>
    <w:rsid w:val="0078316D"/>
    <w:rsid w:val="007855C6"/>
    <w:rsid w:val="0078660E"/>
    <w:rsid w:val="00790489"/>
    <w:rsid w:val="0079082A"/>
    <w:rsid w:val="007909D6"/>
    <w:rsid w:val="0079151F"/>
    <w:rsid w:val="00791C5A"/>
    <w:rsid w:val="00793093"/>
    <w:rsid w:val="0079333F"/>
    <w:rsid w:val="00793496"/>
    <w:rsid w:val="00793987"/>
    <w:rsid w:val="00795CAF"/>
    <w:rsid w:val="0079689E"/>
    <w:rsid w:val="00796D55"/>
    <w:rsid w:val="00797A1D"/>
    <w:rsid w:val="007A0767"/>
    <w:rsid w:val="007A12F2"/>
    <w:rsid w:val="007A13DF"/>
    <w:rsid w:val="007A15E1"/>
    <w:rsid w:val="007A1BC7"/>
    <w:rsid w:val="007A218C"/>
    <w:rsid w:val="007A3F22"/>
    <w:rsid w:val="007A4860"/>
    <w:rsid w:val="007A5CAD"/>
    <w:rsid w:val="007A5D47"/>
    <w:rsid w:val="007A7A69"/>
    <w:rsid w:val="007A7CD0"/>
    <w:rsid w:val="007B029A"/>
    <w:rsid w:val="007B10FF"/>
    <w:rsid w:val="007B145C"/>
    <w:rsid w:val="007B39E6"/>
    <w:rsid w:val="007B3CDE"/>
    <w:rsid w:val="007B459F"/>
    <w:rsid w:val="007B70B7"/>
    <w:rsid w:val="007C014E"/>
    <w:rsid w:val="007C2DA7"/>
    <w:rsid w:val="007C34CC"/>
    <w:rsid w:val="007C55DE"/>
    <w:rsid w:val="007C6BC0"/>
    <w:rsid w:val="007D04DE"/>
    <w:rsid w:val="007D1434"/>
    <w:rsid w:val="007D1A0F"/>
    <w:rsid w:val="007D1CE8"/>
    <w:rsid w:val="007D358C"/>
    <w:rsid w:val="007D54D2"/>
    <w:rsid w:val="007D57A8"/>
    <w:rsid w:val="007D5809"/>
    <w:rsid w:val="007D6802"/>
    <w:rsid w:val="007E10F6"/>
    <w:rsid w:val="007E2094"/>
    <w:rsid w:val="007E3238"/>
    <w:rsid w:val="007E3A2E"/>
    <w:rsid w:val="007E41BA"/>
    <w:rsid w:val="007E49B5"/>
    <w:rsid w:val="007E4B2B"/>
    <w:rsid w:val="007E4F7F"/>
    <w:rsid w:val="007E543A"/>
    <w:rsid w:val="007E5FB4"/>
    <w:rsid w:val="007E66CF"/>
    <w:rsid w:val="007E6979"/>
    <w:rsid w:val="007E69E5"/>
    <w:rsid w:val="007F16BF"/>
    <w:rsid w:val="007F1D29"/>
    <w:rsid w:val="007F2FC3"/>
    <w:rsid w:val="007F5447"/>
    <w:rsid w:val="007F5E3E"/>
    <w:rsid w:val="007F7816"/>
    <w:rsid w:val="007F7899"/>
    <w:rsid w:val="007F7AB5"/>
    <w:rsid w:val="0080063C"/>
    <w:rsid w:val="00800F0C"/>
    <w:rsid w:val="00801890"/>
    <w:rsid w:val="00803495"/>
    <w:rsid w:val="008036D8"/>
    <w:rsid w:val="00804C8D"/>
    <w:rsid w:val="0080597F"/>
    <w:rsid w:val="008063B6"/>
    <w:rsid w:val="00807D0F"/>
    <w:rsid w:val="00810215"/>
    <w:rsid w:val="0081057C"/>
    <w:rsid w:val="00810B52"/>
    <w:rsid w:val="00810D5B"/>
    <w:rsid w:val="00810EDD"/>
    <w:rsid w:val="008127D8"/>
    <w:rsid w:val="008129A4"/>
    <w:rsid w:val="00813BA2"/>
    <w:rsid w:val="00816037"/>
    <w:rsid w:val="00820766"/>
    <w:rsid w:val="00821782"/>
    <w:rsid w:val="00822B36"/>
    <w:rsid w:val="00822DED"/>
    <w:rsid w:val="0082362B"/>
    <w:rsid w:val="0082399A"/>
    <w:rsid w:val="00823DDB"/>
    <w:rsid w:val="00824D84"/>
    <w:rsid w:val="0082535A"/>
    <w:rsid w:val="00825C37"/>
    <w:rsid w:val="008275CB"/>
    <w:rsid w:val="00827CC6"/>
    <w:rsid w:val="0083210E"/>
    <w:rsid w:val="00832801"/>
    <w:rsid w:val="00832D9B"/>
    <w:rsid w:val="00833039"/>
    <w:rsid w:val="00834FB6"/>
    <w:rsid w:val="00835226"/>
    <w:rsid w:val="00835A50"/>
    <w:rsid w:val="00836665"/>
    <w:rsid w:val="00836AE1"/>
    <w:rsid w:val="00836AE7"/>
    <w:rsid w:val="00836F86"/>
    <w:rsid w:val="0084002F"/>
    <w:rsid w:val="00842696"/>
    <w:rsid w:val="0084273A"/>
    <w:rsid w:val="008427B4"/>
    <w:rsid w:val="00842A48"/>
    <w:rsid w:val="0084308C"/>
    <w:rsid w:val="0084338C"/>
    <w:rsid w:val="00845D65"/>
    <w:rsid w:val="00846BC8"/>
    <w:rsid w:val="00847DAC"/>
    <w:rsid w:val="00850AB0"/>
    <w:rsid w:val="00851860"/>
    <w:rsid w:val="00852272"/>
    <w:rsid w:val="008522C8"/>
    <w:rsid w:val="00853FD7"/>
    <w:rsid w:val="00854C69"/>
    <w:rsid w:val="00854DB8"/>
    <w:rsid w:val="008558C3"/>
    <w:rsid w:val="008566EF"/>
    <w:rsid w:val="00860CE3"/>
    <w:rsid w:val="008617B2"/>
    <w:rsid w:val="00862008"/>
    <w:rsid w:val="0086325C"/>
    <w:rsid w:val="00863721"/>
    <w:rsid w:val="00864528"/>
    <w:rsid w:val="0086595C"/>
    <w:rsid w:val="00865A37"/>
    <w:rsid w:val="00866D2F"/>
    <w:rsid w:val="008674A1"/>
    <w:rsid w:val="008720C4"/>
    <w:rsid w:val="00873054"/>
    <w:rsid w:val="00873E7C"/>
    <w:rsid w:val="00874454"/>
    <w:rsid w:val="00875EB6"/>
    <w:rsid w:val="00877227"/>
    <w:rsid w:val="00877731"/>
    <w:rsid w:val="008779F3"/>
    <w:rsid w:val="00880452"/>
    <w:rsid w:val="008851F6"/>
    <w:rsid w:val="008860E5"/>
    <w:rsid w:val="00890920"/>
    <w:rsid w:val="00890D0C"/>
    <w:rsid w:val="00896DA9"/>
    <w:rsid w:val="008A0BC2"/>
    <w:rsid w:val="008A3C0F"/>
    <w:rsid w:val="008A4AA8"/>
    <w:rsid w:val="008A553F"/>
    <w:rsid w:val="008A6FF2"/>
    <w:rsid w:val="008A78E3"/>
    <w:rsid w:val="008B1036"/>
    <w:rsid w:val="008B152B"/>
    <w:rsid w:val="008B15EC"/>
    <w:rsid w:val="008B3B5C"/>
    <w:rsid w:val="008B4B11"/>
    <w:rsid w:val="008B5836"/>
    <w:rsid w:val="008B6330"/>
    <w:rsid w:val="008C191A"/>
    <w:rsid w:val="008C1FAE"/>
    <w:rsid w:val="008C22C7"/>
    <w:rsid w:val="008C37A7"/>
    <w:rsid w:val="008C4907"/>
    <w:rsid w:val="008C6764"/>
    <w:rsid w:val="008C6912"/>
    <w:rsid w:val="008D0987"/>
    <w:rsid w:val="008D255D"/>
    <w:rsid w:val="008D29B5"/>
    <w:rsid w:val="008D3AF0"/>
    <w:rsid w:val="008D49E9"/>
    <w:rsid w:val="008D5492"/>
    <w:rsid w:val="008D5EEA"/>
    <w:rsid w:val="008E38F1"/>
    <w:rsid w:val="008E5B19"/>
    <w:rsid w:val="008E72BD"/>
    <w:rsid w:val="008E78FA"/>
    <w:rsid w:val="008F06BF"/>
    <w:rsid w:val="008F16CA"/>
    <w:rsid w:val="008F1DCC"/>
    <w:rsid w:val="008F23C5"/>
    <w:rsid w:val="008F3A2D"/>
    <w:rsid w:val="008F4478"/>
    <w:rsid w:val="008F47F1"/>
    <w:rsid w:val="008F4806"/>
    <w:rsid w:val="008F48A5"/>
    <w:rsid w:val="008F4D92"/>
    <w:rsid w:val="008F570D"/>
    <w:rsid w:val="008F5809"/>
    <w:rsid w:val="008F5AE1"/>
    <w:rsid w:val="008F68D1"/>
    <w:rsid w:val="008F73F9"/>
    <w:rsid w:val="008F7547"/>
    <w:rsid w:val="008F7749"/>
    <w:rsid w:val="009004B6"/>
    <w:rsid w:val="00901C50"/>
    <w:rsid w:val="009046B4"/>
    <w:rsid w:val="00905080"/>
    <w:rsid w:val="00905662"/>
    <w:rsid w:val="00905E47"/>
    <w:rsid w:val="0091141B"/>
    <w:rsid w:val="00911BE8"/>
    <w:rsid w:val="00911C77"/>
    <w:rsid w:val="00913AAA"/>
    <w:rsid w:val="00915455"/>
    <w:rsid w:val="00915588"/>
    <w:rsid w:val="00915EF1"/>
    <w:rsid w:val="009164E6"/>
    <w:rsid w:val="00917621"/>
    <w:rsid w:val="00921626"/>
    <w:rsid w:val="0092170E"/>
    <w:rsid w:val="00922010"/>
    <w:rsid w:val="00923976"/>
    <w:rsid w:val="00924680"/>
    <w:rsid w:val="00925007"/>
    <w:rsid w:val="009269E8"/>
    <w:rsid w:val="00926AFF"/>
    <w:rsid w:val="00927363"/>
    <w:rsid w:val="00930BDA"/>
    <w:rsid w:val="009314BD"/>
    <w:rsid w:val="00931696"/>
    <w:rsid w:val="00931C4A"/>
    <w:rsid w:val="009339DB"/>
    <w:rsid w:val="009342F4"/>
    <w:rsid w:val="00935932"/>
    <w:rsid w:val="00940AB7"/>
    <w:rsid w:val="009417EE"/>
    <w:rsid w:val="00941A52"/>
    <w:rsid w:val="00942AEA"/>
    <w:rsid w:val="009477E7"/>
    <w:rsid w:val="0095110F"/>
    <w:rsid w:val="009513C2"/>
    <w:rsid w:val="00951694"/>
    <w:rsid w:val="00951A21"/>
    <w:rsid w:val="00951B77"/>
    <w:rsid w:val="009523FF"/>
    <w:rsid w:val="0095312A"/>
    <w:rsid w:val="00953546"/>
    <w:rsid w:val="00957144"/>
    <w:rsid w:val="00960349"/>
    <w:rsid w:val="00960A56"/>
    <w:rsid w:val="009624F5"/>
    <w:rsid w:val="00962733"/>
    <w:rsid w:val="00962F4C"/>
    <w:rsid w:val="00963621"/>
    <w:rsid w:val="00963C87"/>
    <w:rsid w:val="00965179"/>
    <w:rsid w:val="00965918"/>
    <w:rsid w:val="00966D3F"/>
    <w:rsid w:val="0096729D"/>
    <w:rsid w:val="009674E5"/>
    <w:rsid w:val="0097049F"/>
    <w:rsid w:val="00970E83"/>
    <w:rsid w:val="00971B02"/>
    <w:rsid w:val="00973DA6"/>
    <w:rsid w:val="0097408E"/>
    <w:rsid w:val="00977027"/>
    <w:rsid w:val="009773DF"/>
    <w:rsid w:val="00977448"/>
    <w:rsid w:val="009813A4"/>
    <w:rsid w:val="009825E5"/>
    <w:rsid w:val="00982E85"/>
    <w:rsid w:val="009841CE"/>
    <w:rsid w:val="00984B32"/>
    <w:rsid w:val="00985182"/>
    <w:rsid w:val="009858BF"/>
    <w:rsid w:val="0098614E"/>
    <w:rsid w:val="0098767D"/>
    <w:rsid w:val="00990293"/>
    <w:rsid w:val="009915AB"/>
    <w:rsid w:val="0099315B"/>
    <w:rsid w:val="009932A6"/>
    <w:rsid w:val="00993FEE"/>
    <w:rsid w:val="009947A3"/>
    <w:rsid w:val="00994A92"/>
    <w:rsid w:val="00994B21"/>
    <w:rsid w:val="00995216"/>
    <w:rsid w:val="00995DC5"/>
    <w:rsid w:val="00996D75"/>
    <w:rsid w:val="009A01C0"/>
    <w:rsid w:val="009A0691"/>
    <w:rsid w:val="009A29E8"/>
    <w:rsid w:val="009A2DD2"/>
    <w:rsid w:val="009A3581"/>
    <w:rsid w:val="009A389C"/>
    <w:rsid w:val="009A58F4"/>
    <w:rsid w:val="009A7CE0"/>
    <w:rsid w:val="009B0A8C"/>
    <w:rsid w:val="009B0AC1"/>
    <w:rsid w:val="009B10E0"/>
    <w:rsid w:val="009B116C"/>
    <w:rsid w:val="009B1580"/>
    <w:rsid w:val="009B1B3D"/>
    <w:rsid w:val="009B256B"/>
    <w:rsid w:val="009B287D"/>
    <w:rsid w:val="009B3AE3"/>
    <w:rsid w:val="009B4045"/>
    <w:rsid w:val="009B4C86"/>
    <w:rsid w:val="009B577F"/>
    <w:rsid w:val="009B7178"/>
    <w:rsid w:val="009B71D4"/>
    <w:rsid w:val="009B723D"/>
    <w:rsid w:val="009C197C"/>
    <w:rsid w:val="009C1AFB"/>
    <w:rsid w:val="009C2116"/>
    <w:rsid w:val="009C26F4"/>
    <w:rsid w:val="009C27B5"/>
    <w:rsid w:val="009C3085"/>
    <w:rsid w:val="009C3D5F"/>
    <w:rsid w:val="009C414E"/>
    <w:rsid w:val="009C5166"/>
    <w:rsid w:val="009C6C68"/>
    <w:rsid w:val="009C70BA"/>
    <w:rsid w:val="009C7A55"/>
    <w:rsid w:val="009D1B5A"/>
    <w:rsid w:val="009D5189"/>
    <w:rsid w:val="009D5E82"/>
    <w:rsid w:val="009D6710"/>
    <w:rsid w:val="009D6B4B"/>
    <w:rsid w:val="009E1E86"/>
    <w:rsid w:val="009E340B"/>
    <w:rsid w:val="009E71E5"/>
    <w:rsid w:val="009E77C1"/>
    <w:rsid w:val="009F1A85"/>
    <w:rsid w:val="009F2473"/>
    <w:rsid w:val="009F2C49"/>
    <w:rsid w:val="009F5F64"/>
    <w:rsid w:val="009F711F"/>
    <w:rsid w:val="00A004F0"/>
    <w:rsid w:val="00A00DA9"/>
    <w:rsid w:val="00A01902"/>
    <w:rsid w:val="00A01952"/>
    <w:rsid w:val="00A02774"/>
    <w:rsid w:val="00A027EF"/>
    <w:rsid w:val="00A04E91"/>
    <w:rsid w:val="00A05542"/>
    <w:rsid w:val="00A05749"/>
    <w:rsid w:val="00A05DCA"/>
    <w:rsid w:val="00A070DF"/>
    <w:rsid w:val="00A075C4"/>
    <w:rsid w:val="00A077E7"/>
    <w:rsid w:val="00A07C21"/>
    <w:rsid w:val="00A106FB"/>
    <w:rsid w:val="00A107FE"/>
    <w:rsid w:val="00A12D17"/>
    <w:rsid w:val="00A1306C"/>
    <w:rsid w:val="00A138AC"/>
    <w:rsid w:val="00A14000"/>
    <w:rsid w:val="00A1440D"/>
    <w:rsid w:val="00A154EA"/>
    <w:rsid w:val="00A16B6C"/>
    <w:rsid w:val="00A20579"/>
    <w:rsid w:val="00A206CF"/>
    <w:rsid w:val="00A21A1B"/>
    <w:rsid w:val="00A21E1A"/>
    <w:rsid w:val="00A228F4"/>
    <w:rsid w:val="00A23B25"/>
    <w:rsid w:val="00A272C9"/>
    <w:rsid w:val="00A27EFE"/>
    <w:rsid w:val="00A303A7"/>
    <w:rsid w:val="00A316E2"/>
    <w:rsid w:val="00A3190F"/>
    <w:rsid w:val="00A32C4F"/>
    <w:rsid w:val="00A33B8A"/>
    <w:rsid w:val="00A34624"/>
    <w:rsid w:val="00A34D78"/>
    <w:rsid w:val="00A35F49"/>
    <w:rsid w:val="00A409EA"/>
    <w:rsid w:val="00A419B5"/>
    <w:rsid w:val="00A4418A"/>
    <w:rsid w:val="00A44CC9"/>
    <w:rsid w:val="00A458CF"/>
    <w:rsid w:val="00A4601B"/>
    <w:rsid w:val="00A46354"/>
    <w:rsid w:val="00A465FB"/>
    <w:rsid w:val="00A47459"/>
    <w:rsid w:val="00A501AA"/>
    <w:rsid w:val="00A50ECC"/>
    <w:rsid w:val="00A515F6"/>
    <w:rsid w:val="00A5174B"/>
    <w:rsid w:val="00A521A2"/>
    <w:rsid w:val="00A526DF"/>
    <w:rsid w:val="00A547F7"/>
    <w:rsid w:val="00A55F40"/>
    <w:rsid w:val="00A56A49"/>
    <w:rsid w:val="00A570DE"/>
    <w:rsid w:val="00A60118"/>
    <w:rsid w:val="00A609CC"/>
    <w:rsid w:val="00A61B92"/>
    <w:rsid w:val="00A625B6"/>
    <w:rsid w:val="00A62958"/>
    <w:rsid w:val="00A6324E"/>
    <w:rsid w:val="00A633AD"/>
    <w:rsid w:val="00A655B3"/>
    <w:rsid w:val="00A65914"/>
    <w:rsid w:val="00A65CBA"/>
    <w:rsid w:val="00A669BA"/>
    <w:rsid w:val="00A6794A"/>
    <w:rsid w:val="00A67AD4"/>
    <w:rsid w:val="00A71750"/>
    <w:rsid w:val="00A72C34"/>
    <w:rsid w:val="00A72E47"/>
    <w:rsid w:val="00A7414A"/>
    <w:rsid w:val="00A74DA2"/>
    <w:rsid w:val="00A752C0"/>
    <w:rsid w:val="00A7558F"/>
    <w:rsid w:val="00A76285"/>
    <w:rsid w:val="00A763AB"/>
    <w:rsid w:val="00A77018"/>
    <w:rsid w:val="00A774CE"/>
    <w:rsid w:val="00A77D8A"/>
    <w:rsid w:val="00A817A8"/>
    <w:rsid w:val="00A81FD9"/>
    <w:rsid w:val="00A841FB"/>
    <w:rsid w:val="00A84754"/>
    <w:rsid w:val="00A848B4"/>
    <w:rsid w:val="00A84A02"/>
    <w:rsid w:val="00A85BE3"/>
    <w:rsid w:val="00A85C72"/>
    <w:rsid w:val="00A90090"/>
    <w:rsid w:val="00A90921"/>
    <w:rsid w:val="00A91DE0"/>
    <w:rsid w:val="00A92031"/>
    <w:rsid w:val="00A922E9"/>
    <w:rsid w:val="00A9349A"/>
    <w:rsid w:val="00A93539"/>
    <w:rsid w:val="00A93ED6"/>
    <w:rsid w:val="00A93EF0"/>
    <w:rsid w:val="00A94EC2"/>
    <w:rsid w:val="00A95B5F"/>
    <w:rsid w:val="00A974CF"/>
    <w:rsid w:val="00A975C8"/>
    <w:rsid w:val="00AA1D2E"/>
    <w:rsid w:val="00AA45AF"/>
    <w:rsid w:val="00AA4DD7"/>
    <w:rsid w:val="00AA7A9E"/>
    <w:rsid w:val="00AB0458"/>
    <w:rsid w:val="00AB14C4"/>
    <w:rsid w:val="00AB19B7"/>
    <w:rsid w:val="00AB1AE8"/>
    <w:rsid w:val="00AB1CE6"/>
    <w:rsid w:val="00AB2406"/>
    <w:rsid w:val="00AB2593"/>
    <w:rsid w:val="00AB355D"/>
    <w:rsid w:val="00AB3F8B"/>
    <w:rsid w:val="00AB5F46"/>
    <w:rsid w:val="00AB618F"/>
    <w:rsid w:val="00AB71BF"/>
    <w:rsid w:val="00AB7A67"/>
    <w:rsid w:val="00AC212D"/>
    <w:rsid w:val="00AC44DD"/>
    <w:rsid w:val="00AC63CE"/>
    <w:rsid w:val="00AD17A8"/>
    <w:rsid w:val="00AD1D56"/>
    <w:rsid w:val="00AD22B5"/>
    <w:rsid w:val="00AD3CFD"/>
    <w:rsid w:val="00AD4146"/>
    <w:rsid w:val="00AD4482"/>
    <w:rsid w:val="00AD48A1"/>
    <w:rsid w:val="00AD4F6D"/>
    <w:rsid w:val="00AD52D2"/>
    <w:rsid w:val="00AD6026"/>
    <w:rsid w:val="00AE34B2"/>
    <w:rsid w:val="00AE3C98"/>
    <w:rsid w:val="00AE4501"/>
    <w:rsid w:val="00AE4791"/>
    <w:rsid w:val="00AE5280"/>
    <w:rsid w:val="00AE59A2"/>
    <w:rsid w:val="00AE6A48"/>
    <w:rsid w:val="00AE7897"/>
    <w:rsid w:val="00AE7E06"/>
    <w:rsid w:val="00AF073D"/>
    <w:rsid w:val="00AF24F1"/>
    <w:rsid w:val="00AF291D"/>
    <w:rsid w:val="00AF3712"/>
    <w:rsid w:val="00AF3E67"/>
    <w:rsid w:val="00AF489D"/>
    <w:rsid w:val="00AF48AD"/>
    <w:rsid w:val="00AF5984"/>
    <w:rsid w:val="00B01576"/>
    <w:rsid w:val="00B015A7"/>
    <w:rsid w:val="00B0238F"/>
    <w:rsid w:val="00B0270D"/>
    <w:rsid w:val="00B028F1"/>
    <w:rsid w:val="00B03E9F"/>
    <w:rsid w:val="00B063B3"/>
    <w:rsid w:val="00B06716"/>
    <w:rsid w:val="00B07827"/>
    <w:rsid w:val="00B108A2"/>
    <w:rsid w:val="00B1234A"/>
    <w:rsid w:val="00B131E0"/>
    <w:rsid w:val="00B13BA9"/>
    <w:rsid w:val="00B142D8"/>
    <w:rsid w:val="00B14B17"/>
    <w:rsid w:val="00B1573A"/>
    <w:rsid w:val="00B16BAD"/>
    <w:rsid w:val="00B1765E"/>
    <w:rsid w:val="00B22337"/>
    <w:rsid w:val="00B23DF2"/>
    <w:rsid w:val="00B24061"/>
    <w:rsid w:val="00B25023"/>
    <w:rsid w:val="00B2538F"/>
    <w:rsid w:val="00B272DF"/>
    <w:rsid w:val="00B279A1"/>
    <w:rsid w:val="00B27A7F"/>
    <w:rsid w:val="00B27B89"/>
    <w:rsid w:val="00B27DB6"/>
    <w:rsid w:val="00B310A5"/>
    <w:rsid w:val="00B31C1A"/>
    <w:rsid w:val="00B32ED7"/>
    <w:rsid w:val="00B33024"/>
    <w:rsid w:val="00B332FD"/>
    <w:rsid w:val="00B33614"/>
    <w:rsid w:val="00B3387A"/>
    <w:rsid w:val="00B33B3C"/>
    <w:rsid w:val="00B34176"/>
    <w:rsid w:val="00B359E6"/>
    <w:rsid w:val="00B36936"/>
    <w:rsid w:val="00B36B65"/>
    <w:rsid w:val="00B41E83"/>
    <w:rsid w:val="00B42465"/>
    <w:rsid w:val="00B43976"/>
    <w:rsid w:val="00B440F9"/>
    <w:rsid w:val="00B4443D"/>
    <w:rsid w:val="00B452E6"/>
    <w:rsid w:val="00B4574C"/>
    <w:rsid w:val="00B45B0E"/>
    <w:rsid w:val="00B45C25"/>
    <w:rsid w:val="00B45C3D"/>
    <w:rsid w:val="00B464A1"/>
    <w:rsid w:val="00B468D1"/>
    <w:rsid w:val="00B46C2C"/>
    <w:rsid w:val="00B501FF"/>
    <w:rsid w:val="00B502C8"/>
    <w:rsid w:val="00B50B41"/>
    <w:rsid w:val="00B5356C"/>
    <w:rsid w:val="00B54944"/>
    <w:rsid w:val="00B561B6"/>
    <w:rsid w:val="00B57A05"/>
    <w:rsid w:val="00B57A9D"/>
    <w:rsid w:val="00B57EF6"/>
    <w:rsid w:val="00B60176"/>
    <w:rsid w:val="00B60F9E"/>
    <w:rsid w:val="00B62DDE"/>
    <w:rsid w:val="00B62E4E"/>
    <w:rsid w:val="00B62EA6"/>
    <w:rsid w:val="00B64F97"/>
    <w:rsid w:val="00B65B5C"/>
    <w:rsid w:val="00B70DD6"/>
    <w:rsid w:val="00B711C4"/>
    <w:rsid w:val="00B73C4B"/>
    <w:rsid w:val="00B747A1"/>
    <w:rsid w:val="00B74FE1"/>
    <w:rsid w:val="00B7544F"/>
    <w:rsid w:val="00B76546"/>
    <w:rsid w:val="00B771E2"/>
    <w:rsid w:val="00B8168E"/>
    <w:rsid w:val="00B82122"/>
    <w:rsid w:val="00B85000"/>
    <w:rsid w:val="00B87233"/>
    <w:rsid w:val="00B91172"/>
    <w:rsid w:val="00B9186E"/>
    <w:rsid w:val="00B91FD7"/>
    <w:rsid w:val="00B94C73"/>
    <w:rsid w:val="00B965B4"/>
    <w:rsid w:val="00B968A7"/>
    <w:rsid w:val="00BA0EE3"/>
    <w:rsid w:val="00BA4E36"/>
    <w:rsid w:val="00BA61DB"/>
    <w:rsid w:val="00BA79C3"/>
    <w:rsid w:val="00BB125E"/>
    <w:rsid w:val="00BB1B29"/>
    <w:rsid w:val="00BB1B2B"/>
    <w:rsid w:val="00BB1D62"/>
    <w:rsid w:val="00BB325E"/>
    <w:rsid w:val="00BB4A48"/>
    <w:rsid w:val="00BB50B0"/>
    <w:rsid w:val="00BB65BD"/>
    <w:rsid w:val="00BB7E7F"/>
    <w:rsid w:val="00BC0126"/>
    <w:rsid w:val="00BC133A"/>
    <w:rsid w:val="00BC2192"/>
    <w:rsid w:val="00BC4EB5"/>
    <w:rsid w:val="00BC57E0"/>
    <w:rsid w:val="00BC672D"/>
    <w:rsid w:val="00BC7C00"/>
    <w:rsid w:val="00BD134D"/>
    <w:rsid w:val="00BD2824"/>
    <w:rsid w:val="00BD3034"/>
    <w:rsid w:val="00BD38A3"/>
    <w:rsid w:val="00BD3CDE"/>
    <w:rsid w:val="00BD3FC8"/>
    <w:rsid w:val="00BD4267"/>
    <w:rsid w:val="00BD541A"/>
    <w:rsid w:val="00BD59AA"/>
    <w:rsid w:val="00BE0101"/>
    <w:rsid w:val="00BE3E98"/>
    <w:rsid w:val="00BE4FA4"/>
    <w:rsid w:val="00BE54D0"/>
    <w:rsid w:val="00BE5977"/>
    <w:rsid w:val="00BE5BB2"/>
    <w:rsid w:val="00BE64CB"/>
    <w:rsid w:val="00BE6A33"/>
    <w:rsid w:val="00BE6C47"/>
    <w:rsid w:val="00BE71CB"/>
    <w:rsid w:val="00BF1F7B"/>
    <w:rsid w:val="00BF3F39"/>
    <w:rsid w:val="00BF4471"/>
    <w:rsid w:val="00BF4BE7"/>
    <w:rsid w:val="00BF4DC0"/>
    <w:rsid w:val="00BF5478"/>
    <w:rsid w:val="00BF6106"/>
    <w:rsid w:val="00BF6A7C"/>
    <w:rsid w:val="00BF6DF6"/>
    <w:rsid w:val="00BF7692"/>
    <w:rsid w:val="00C00A68"/>
    <w:rsid w:val="00C0107C"/>
    <w:rsid w:val="00C04D79"/>
    <w:rsid w:val="00C0585D"/>
    <w:rsid w:val="00C05F7B"/>
    <w:rsid w:val="00C114A9"/>
    <w:rsid w:val="00C1154F"/>
    <w:rsid w:val="00C11F5C"/>
    <w:rsid w:val="00C1229E"/>
    <w:rsid w:val="00C12544"/>
    <w:rsid w:val="00C13AB0"/>
    <w:rsid w:val="00C1415F"/>
    <w:rsid w:val="00C1489D"/>
    <w:rsid w:val="00C1713B"/>
    <w:rsid w:val="00C17803"/>
    <w:rsid w:val="00C206F6"/>
    <w:rsid w:val="00C21769"/>
    <w:rsid w:val="00C21C80"/>
    <w:rsid w:val="00C225AD"/>
    <w:rsid w:val="00C22FE4"/>
    <w:rsid w:val="00C231D4"/>
    <w:rsid w:val="00C24A3C"/>
    <w:rsid w:val="00C25650"/>
    <w:rsid w:val="00C258FD"/>
    <w:rsid w:val="00C264AF"/>
    <w:rsid w:val="00C2720D"/>
    <w:rsid w:val="00C273EB"/>
    <w:rsid w:val="00C27A23"/>
    <w:rsid w:val="00C27FAB"/>
    <w:rsid w:val="00C309BF"/>
    <w:rsid w:val="00C31BD1"/>
    <w:rsid w:val="00C31CE0"/>
    <w:rsid w:val="00C32435"/>
    <w:rsid w:val="00C34910"/>
    <w:rsid w:val="00C356EB"/>
    <w:rsid w:val="00C35E71"/>
    <w:rsid w:val="00C3616F"/>
    <w:rsid w:val="00C36D00"/>
    <w:rsid w:val="00C4041E"/>
    <w:rsid w:val="00C4056D"/>
    <w:rsid w:val="00C40F58"/>
    <w:rsid w:val="00C417B7"/>
    <w:rsid w:val="00C42487"/>
    <w:rsid w:val="00C432AE"/>
    <w:rsid w:val="00C44C7E"/>
    <w:rsid w:val="00C45179"/>
    <w:rsid w:val="00C465E2"/>
    <w:rsid w:val="00C466F4"/>
    <w:rsid w:val="00C469AA"/>
    <w:rsid w:val="00C50B7D"/>
    <w:rsid w:val="00C519D0"/>
    <w:rsid w:val="00C523F7"/>
    <w:rsid w:val="00C5304B"/>
    <w:rsid w:val="00C545D0"/>
    <w:rsid w:val="00C548D6"/>
    <w:rsid w:val="00C54E68"/>
    <w:rsid w:val="00C55FE9"/>
    <w:rsid w:val="00C5729C"/>
    <w:rsid w:val="00C623F1"/>
    <w:rsid w:val="00C62BC1"/>
    <w:rsid w:val="00C641A3"/>
    <w:rsid w:val="00C64530"/>
    <w:rsid w:val="00C645FC"/>
    <w:rsid w:val="00C65396"/>
    <w:rsid w:val="00C6677A"/>
    <w:rsid w:val="00C70E02"/>
    <w:rsid w:val="00C7258B"/>
    <w:rsid w:val="00C72BA3"/>
    <w:rsid w:val="00C7416B"/>
    <w:rsid w:val="00C744E1"/>
    <w:rsid w:val="00C74C3B"/>
    <w:rsid w:val="00C769B9"/>
    <w:rsid w:val="00C77ECD"/>
    <w:rsid w:val="00C80119"/>
    <w:rsid w:val="00C817A0"/>
    <w:rsid w:val="00C823CA"/>
    <w:rsid w:val="00C83BD9"/>
    <w:rsid w:val="00C85DE5"/>
    <w:rsid w:val="00C87831"/>
    <w:rsid w:val="00C90306"/>
    <w:rsid w:val="00C9067E"/>
    <w:rsid w:val="00C91192"/>
    <w:rsid w:val="00C92E8E"/>
    <w:rsid w:val="00C93A63"/>
    <w:rsid w:val="00C946E0"/>
    <w:rsid w:val="00C947B2"/>
    <w:rsid w:val="00C9563D"/>
    <w:rsid w:val="00CA099E"/>
    <w:rsid w:val="00CA366A"/>
    <w:rsid w:val="00CA7067"/>
    <w:rsid w:val="00CA7B2E"/>
    <w:rsid w:val="00CB00E1"/>
    <w:rsid w:val="00CB1607"/>
    <w:rsid w:val="00CB2A8B"/>
    <w:rsid w:val="00CB3043"/>
    <w:rsid w:val="00CB3259"/>
    <w:rsid w:val="00CB35C3"/>
    <w:rsid w:val="00CB3E95"/>
    <w:rsid w:val="00CB65EE"/>
    <w:rsid w:val="00CC1A4E"/>
    <w:rsid w:val="00CC1C88"/>
    <w:rsid w:val="00CC30C8"/>
    <w:rsid w:val="00CC3DC3"/>
    <w:rsid w:val="00CC4026"/>
    <w:rsid w:val="00CC43CC"/>
    <w:rsid w:val="00CC5031"/>
    <w:rsid w:val="00CC5534"/>
    <w:rsid w:val="00CC62BA"/>
    <w:rsid w:val="00CC7C6C"/>
    <w:rsid w:val="00CD0D65"/>
    <w:rsid w:val="00CD1904"/>
    <w:rsid w:val="00CD34EA"/>
    <w:rsid w:val="00CD4520"/>
    <w:rsid w:val="00CD4776"/>
    <w:rsid w:val="00CD54A6"/>
    <w:rsid w:val="00CD5E0E"/>
    <w:rsid w:val="00CD616E"/>
    <w:rsid w:val="00CD6DB3"/>
    <w:rsid w:val="00CD75CF"/>
    <w:rsid w:val="00CD7E57"/>
    <w:rsid w:val="00CE16F1"/>
    <w:rsid w:val="00CE1756"/>
    <w:rsid w:val="00CE319A"/>
    <w:rsid w:val="00CE3498"/>
    <w:rsid w:val="00CE3B1F"/>
    <w:rsid w:val="00CE3D4F"/>
    <w:rsid w:val="00CE45FE"/>
    <w:rsid w:val="00CE5CD4"/>
    <w:rsid w:val="00CF0764"/>
    <w:rsid w:val="00CF10FF"/>
    <w:rsid w:val="00CF1E2E"/>
    <w:rsid w:val="00CF27EE"/>
    <w:rsid w:val="00CF31FC"/>
    <w:rsid w:val="00CF47F9"/>
    <w:rsid w:val="00CF5BA1"/>
    <w:rsid w:val="00CF65E4"/>
    <w:rsid w:val="00CF6889"/>
    <w:rsid w:val="00CF6CC7"/>
    <w:rsid w:val="00CF7120"/>
    <w:rsid w:val="00CF7B24"/>
    <w:rsid w:val="00CF7E13"/>
    <w:rsid w:val="00D00EE0"/>
    <w:rsid w:val="00D018E6"/>
    <w:rsid w:val="00D02662"/>
    <w:rsid w:val="00D0290E"/>
    <w:rsid w:val="00D02AAB"/>
    <w:rsid w:val="00D03D42"/>
    <w:rsid w:val="00D05778"/>
    <w:rsid w:val="00D06A42"/>
    <w:rsid w:val="00D06B4F"/>
    <w:rsid w:val="00D07CAE"/>
    <w:rsid w:val="00D11324"/>
    <w:rsid w:val="00D11641"/>
    <w:rsid w:val="00D11AF7"/>
    <w:rsid w:val="00D11ED0"/>
    <w:rsid w:val="00D123E3"/>
    <w:rsid w:val="00D12505"/>
    <w:rsid w:val="00D126E8"/>
    <w:rsid w:val="00D12B5F"/>
    <w:rsid w:val="00D12C21"/>
    <w:rsid w:val="00D1419B"/>
    <w:rsid w:val="00D14491"/>
    <w:rsid w:val="00D17162"/>
    <w:rsid w:val="00D17492"/>
    <w:rsid w:val="00D179CC"/>
    <w:rsid w:val="00D2082D"/>
    <w:rsid w:val="00D2286C"/>
    <w:rsid w:val="00D22ABA"/>
    <w:rsid w:val="00D22BB7"/>
    <w:rsid w:val="00D235DD"/>
    <w:rsid w:val="00D23A96"/>
    <w:rsid w:val="00D24CF7"/>
    <w:rsid w:val="00D24EB1"/>
    <w:rsid w:val="00D253EC"/>
    <w:rsid w:val="00D25B89"/>
    <w:rsid w:val="00D25E67"/>
    <w:rsid w:val="00D27F28"/>
    <w:rsid w:val="00D30392"/>
    <w:rsid w:val="00D32C2C"/>
    <w:rsid w:val="00D349D8"/>
    <w:rsid w:val="00D3544E"/>
    <w:rsid w:val="00D35792"/>
    <w:rsid w:val="00D35BA5"/>
    <w:rsid w:val="00D35E89"/>
    <w:rsid w:val="00D368E2"/>
    <w:rsid w:val="00D40084"/>
    <w:rsid w:val="00D40FCA"/>
    <w:rsid w:val="00D42CD1"/>
    <w:rsid w:val="00D42DA2"/>
    <w:rsid w:val="00D442E6"/>
    <w:rsid w:val="00D46513"/>
    <w:rsid w:val="00D468A0"/>
    <w:rsid w:val="00D474BC"/>
    <w:rsid w:val="00D504E1"/>
    <w:rsid w:val="00D50708"/>
    <w:rsid w:val="00D51663"/>
    <w:rsid w:val="00D518A6"/>
    <w:rsid w:val="00D52009"/>
    <w:rsid w:val="00D521C0"/>
    <w:rsid w:val="00D526B8"/>
    <w:rsid w:val="00D52A34"/>
    <w:rsid w:val="00D53F55"/>
    <w:rsid w:val="00D54025"/>
    <w:rsid w:val="00D55225"/>
    <w:rsid w:val="00D553CE"/>
    <w:rsid w:val="00D55A2F"/>
    <w:rsid w:val="00D5732F"/>
    <w:rsid w:val="00D600D0"/>
    <w:rsid w:val="00D605D7"/>
    <w:rsid w:val="00D60A90"/>
    <w:rsid w:val="00D60C6A"/>
    <w:rsid w:val="00D642B0"/>
    <w:rsid w:val="00D65F8F"/>
    <w:rsid w:val="00D7039F"/>
    <w:rsid w:val="00D7092A"/>
    <w:rsid w:val="00D729B8"/>
    <w:rsid w:val="00D72ED1"/>
    <w:rsid w:val="00D73404"/>
    <w:rsid w:val="00D74C7C"/>
    <w:rsid w:val="00D76085"/>
    <w:rsid w:val="00D766FE"/>
    <w:rsid w:val="00D807CC"/>
    <w:rsid w:val="00D8251E"/>
    <w:rsid w:val="00D83753"/>
    <w:rsid w:val="00D83862"/>
    <w:rsid w:val="00D83C06"/>
    <w:rsid w:val="00D83FA3"/>
    <w:rsid w:val="00D84879"/>
    <w:rsid w:val="00D87226"/>
    <w:rsid w:val="00D87B74"/>
    <w:rsid w:val="00D90AE5"/>
    <w:rsid w:val="00D91DB5"/>
    <w:rsid w:val="00D92A47"/>
    <w:rsid w:val="00D93212"/>
    <w:rsid w:val="00D934A5"/>
    <w:rsid w:val="00D93778"/>
    <w:rsid w:val="00D95062"/>
    <w:rsid w:val="00D950C3"/>
    <w:rsid w:val="00D96880"/>
    <w:rsid w:val="00DA2568"/>
    <w:rsid w:val="00DA6BFA"/>
    <w:rsid w:val="00DA711F"/>
    <w:rsid w:val="00DA731A"/>
    <w:rsid w:val="00DB0CF6"/>
    <w:rsid w:val="00DB195F"/>
    <w:rsid w:val="00DB2420"/>
    <w:rsid w:val="00DB36A6"/>
    <w:rsid w:val="00DB3707"/>
    <w:rsid w:val="00DB6EF7"/>
    <w:rsid w:val="00DC061E"/>
    <w:rsid w:val="00DC07D4"/>
    <w:rsid w:val="00DC4586"/>
    <w:rsid w:val="00DC6520"/>
    <w:rsid w:val="00DC6744"/>
    <w:rsid w:val="00DC7DF8"/>
    <w:rsid w:val="00DD0E2D"/>
    <w:rsid w:val="00DD1E07"/>
    <w:rsid w:val="00DD1EE4"/>
    <w:rsid w:val="00DD2D52"/>
    <w:rsid w:val="00DD3C7E"/>
    <w:rsid w:val="00DD3F60"/>
    <w:rsid w:val="00DD40AF"/>
    <w:rsid w:val="00DD4396"/>
    <w:rsid w:val="00DD48B0"/>
    <w:rsid w:val="00DD576B"/>
    <w:rsid w:val="00DD5C21"/>
    <w:rsid w:val="00DE051C"/>
    <w:rsid w:val="00DE26F6"/>
    <w:rsid w:val="00DE67ED"/>
    <w:rsid w:val="00DE70B7"/>
    <w:rsid w:val="00DF2E26"/>
    <w:rsid w:val="00DF392D"/>
    <w:rsid w:val="00DF4E8B"/>
    <w:rsid w:val="00DF562A"/>
    <w:rsid w:val="00DF759C"/>
    <w:rsid w:val="00DF7AA8"/>
    <w:rsid w:val="00E003F8"/>
    <w:rsid w:val="00E014D9"/>
    <w:rsid w:val="00E02659"/>
    <w:rsid w:val="00E0473B"/>
    <w:rsid w:val="00E06A78"/>
    <w:rsid w:val="00E06AE2"/>
    <w:rsid w:val="00E06E1D"/>
    <w:rsid w:val="00E072B7"/>
    <w:rsid w:val="00E128A6"/>
    <w:rsid w:val="00E1294C"/>
    <w:rsid w:val="00E168E6"/>
    <w:rsid w:val="00E2091D"/>
    <w:rsid w:val="00E21094"/>
    <w:rsid w:val="00E2206D"/>
    <w:rsid w:val="00E2207A"/>
    <w:rsid w:val="00E23990"/>
    <w:rsid w:val="00E24603"/>
    <w:rsid w:val="00E25454"/>
    <w:rsid w:val="00E25FA2"/>
    <w:rsid w:val="00E26BA5"/>
    <w:rsid w:val="00E26BE0"/>
    <w:rsid w:val="00E26DFF"/>
    <w:rsid w:val="00E276A2"/>
    <w:rsid w:val="00E277DF"/>
    <w:rsid w:val="00E31527"/>
    <w:rsid w:val="00E3232F"/>
    <w:rsid w:val="00E32E30"/>
    <w:rsid w:val="00E33A06"/>
    <w:rsid w:val="00E35965"/>
    <w:rsid w:val="00E3598B"/>
    <w:rsid w:val="00E376E3"/>
    <w:rsid w:val="00E42237"/>
    <w:rsid w:val="00E42F3D"/>
    <w:rsid w:val="00E4327F"/>
    <w:rsid w:val="00E44425"/>
    <w:rsid w:val="00E446DA"/>
    <w:rsid w:val="00E457F3"/>
    <w:rsid w:val="00E4585D"/>
    <w:rsid w:val="00E4662F"/>
    <w:rsid w:val="00E473B9"/>
    <w:rsid w:val="00E50F25"/>
    <w:rsid w:val="00E51EE7"/>
    <w:rsid w:val="00E52F6B"/>
    <w:rsid w:val="00E55AF5"/>
    <w:rsid w:val="00E56225"/>
    <w:rsid w:val="00E5632C"/>
    <w:rsid w:val="00E56424"/>
    <w:rsid w:val="00E56526"/>
    <w:rsid w:val="00E56CC3"/>
    <w:rsid w:val="00E571BE"/>
    <w:rsid w:val="00E578DA"/>
    <w:rsid w:val="00E57D4F"/>
    <w:rsid w:val="00E6000A"/>
    <w:rsid w:val="00E600CF"/>
    <w:rsid w:val="00E6155E"/>
    <w:rsid w:val="00E62965"/>
    <w:rsid w:val="00E65220"/>
    <w:rsid w:val="00E65451"/>
    <w:rsid w:val="00E65654"/>
    <w:rsid w:val="00E662E6"/>
    <w:rsid w:val="00E66440"/>
    <w:rsid w:val="00E6748C"/>
    <w:rsid w:val="00E6770D"/>
    <w:rsid w:val="00E72AF4"/>
    <w:rsid w:val="00E73658"/>
    <w:rsid w:val="00E74502"/>
    <w:rsid w:val="00E7469B"/>
    <w:rsid w:val="00E752B1"/>
    <w:rsid w:val="00E759E4"/>
    <w:rsid w:val="00E75F2C"/>
    <w:rsid w:val="00E7737F"/>
    <w:rsid w:val="00E77655"/>
    <w:rsid w:val="00E77786"/>
    <w:rsid w:val="00E80302"/>
    <w:rsid w:val="00E81838"/>
    <w:rsid w:val="00E82791"/>
    <w:rsid w:val="00E839AA"/>
    <w:rsid w:val="00E83A96"/>
    <w:rsid w:val="00E83D25"/>
    <w:rsid w:val="00E84B62"/>
    <w:rsid w:val="00E84E97"/>
    <w:rsid w:val="00E861DA"/>
    <w:rsid w:val="00E90117"/>
    <w:rsid w:val="00E91BD8"/>
    <w:rsid w:val="00E9261D"/>
    <w:rsid w:val="00E9292B"/>
    <w:rsid w:val="00E93709"/>
    <w:rsid w:val="00E93A79"/>
    <w:rsid w:val="00E94E23"/>
    <w:rsid w:val="00E96745"/>
    <w:rsid w:val="00E9694C"/>
    <w:rsid w:val="00EA2101"/>
    <w:rsid w:val="00EA32F5"/>
    <w:rsid w:val="00EA371E"/>
    <w:rsid w:val="00EA417F"/>
    <w:rsid w:val="00EA4A3E"/>
    <w:rsid w:val="00EA4E09"/>
    <w:rsid w:val="00EA5838"/>
    <w:rsid w:val="00EA592C"/>
    <w:rsid w:val="00EA66A2"/>
    <w:rsid w:val="00EA6C2D"/>
    <w:rsid w:val="00EA75FB"/>
    <w:rsid w:val="00EA796F"/>
    <w:rsid w:val="00EB1FCF"/>
    <w:rsid w:val="00EB21E5"/>
    <w:rsid w:val="00EB49C5"/>
    <w:rsid w:val="00EB61E5"/>
    <w:rsid w:val="00EB6519"/>
    <w:rsid w:val="00EB7B35"/>
    <w:rsid w:val="00EC0548"/>
    <w:rsid w:val="00EC0B4D"/>
    <w:rsid w:val="00EC1359"/>
    <w:rsid w:val="00EC2C75"/>
    <w:rsid w:val="00EC37EB"/>
    <w:rsid w:val="00EC43CF"/>
    <w:rsid w:val="00EC47B6"/>
    <w:rsid w:val="00EC5595"/>
    <w:rsid w:val="00EC5E9D"/>
    <w:rsid w:val="00EC632F"/>
    <w:rsid w:val="00ED05ED"/>
    <w:rsid w:val="00ED1DFB"/>
    <w:rsid w:val="00ED4DEA"/>
    <w:rsid w:val="00ED5A06"/>
    <w:rsid w:val="00ED6B08"/>
    <w:rsid w:val="00ED70BD"/>
    <w:rsid w:val="00ED7E56"/>
    <w:rsid w:val="00EE13DF"/>
    <w:rsid w:val="00EE45AF"/>
    <w:rsid w:val="00EE5CF4"/>
    <w:rsid w:val="00EE6886"/>
    <w:rsid w:val="00EE6B52"/>
    <w:rsid w:val="00EE79E6"/>
    <w:rsid w:val="00EE7BFF"/>
    <w:rsid w:val="00EF25B1"/>
    <w:rsid w:val="00EF3B69"/>
    <w:rsid w:val="00EF3D9A"/>
    <w:rsid w:val="00EF44C1"/>
    <w:rsid w:val="00EF5267"/>
    <w:rsid w:val="00EF5E45"/>
    <w:rsid w:val="00EF624C"/>
    <w:rsid w:val="00EF67FC"/>
    <w:rsid w:val="00EF734E"/>
    <w:rsid w:val="00EF7E44"/>
    <w:rsid w:val="00F0095F"/>
    <w:rsid w:val="00F00E4E"/>
    <w:rsid w:val="00F028DC"/>
    <w:rsid w:val="00F032A4"/>
    <w:rsid w:val="00F04175"/>
    <w:rsid w:val="00F0421A"/>
    <w:rsid w:val="00F04346"/>
    <w:rsid w:val="00F048A0"/>
    <w:rsid w:val="00F07B5C"/>
    <w:rsid w:val="00F07FEE"/>
    <w:rsid w:val="00F10B2E"/>
    <w:rsid w:val="00F10E5F"/>
    <w:rsid w:val="00F1121B"/>
    <w:rsid w:val="00F13BBB"/>
    <w:rsid w:val="00F1516B"/>
    <w:rsid w:val="00F15345"/>
    <w:rsid w:val="00F154E0"/>
    <w:rsid w:val="00F17DB3"/>
    <w:rsid w:val="00F216E2"/>
    <w:rsid w:val="00F24341"/>
    <w:rsid w:val="00F27465"/>
    <w:rsid w:val="00F2783A"/>
    <w:rsid w:val="00F30DD2"/>
    <w:rsid w:val="00F30EC8"/>
    <w:rsid w:val="00F32220"/>
    <w:rsid w:val="00F3405A"/>
    <w:rsid w:val="00F344E9"/>
    <w:rsid w:val="00F353A4"/>
    <w:rsid w:val="00F378F5"/>
    <w:rsid w:val="00F37A5C"/>
    <w:rsid w:val="00F406AA"/>
    <w:rsid w:val="00F40F47"/>
    <w:rsid w:val="00F415E9"/>
    <w:rsid w:val="00F42D8C"/>
    <w:rsid w:val="00F44688"/>
    <w:rsid w:val="00F4474A"/>
    <w:rsid w:val="00F46970"/>
    <w:rsid w:val="00F4708C"/>
    <w:rsid w:val="00F50092"/>
    <w:rsid w:val="00F50369"/>
    <w:rsid w:val="00F5052C"/>
    <w:rsid w:val="00F51804"/>
    <w:rsid w:val="00F52BEA"/>
    <w:rsid w:val="00F52CE6"/>
    <w:rsid w:val="00F54FA6"/>
    <w:rsid w:val="00F578B6"/>
    <w:rsid w:val="00F57B55"/>
    <w:rsid w:val="00F57C56"/>
    <w:rsid w:val="00F627EA"/>
    <w:rsid w:val="00F62EC5"/>
    <w:rsid w:val="00F65044"/>
    <w:rsid w:val="00F70E91"/>
    <w:rsid w:val="00F73217"/>
    <w:rsid w:val="00F73645"/>
    <w:rsid w:val="00F73D3D"/>
    <w:rsid w:val="00F7422D"/>
    <w:rsid w:val="00F74C2D"/>
    <w:rsid w:val="00F74CE9"/>
    <w:rsid w:val="00F76B3B"/>
    <w:rsid w:val="00F77462"/>
    <w:rsid w:val="00F77546"/>
    <w:rsid w:val="00F80D2D"/>
    <w:rsid w:val="00F80FEA"/>
    <w:rsid w:val="00F8280A"/>
    <w:rsid w:val="00F83956"/>
    <w:rsid w:val="00F852E8"/>
    <w:rsid w:val="00F859CB"/>
    <w:rsid w:val="00F86D58"/>
    <w:rsid w:val="00F91BA9"/>
    <w:rsid w:val="00F936D2"/>
    <w:rsid w:val="00F939C7"/>
    <w:rsid w:val="00F965B3"/>
    <w:rsid w:val="00F96F4A"/>
    <w:rsid w:val="00F9777E"/>
    <w:rsid w:val="00FA041A"/>
    <w:rsid w:val="00FA278C"/>
    <w:rsid w:val="00FA2B4B"/>
    <w:rsid w:val="00FA34DD"/>
    <w:rsid w:val="00FA3F77"/>
    <w:rsid w:val="00FA4253"/>
    <w:rsid w:val="00FA63E6"/>
    <w:rsid w:val="00FA6D61"/>
    <w:rsid w:val="00FB02EA"/>
    <w:rsid w:val="00FB0785"/>
    <w:rsid w:val="00FB1210"/>
    <w:rsid w:val="00FB172E"/>
    <w:rsid w:val="00FB2038"/>
    <w:rsid w:val="00FB2049"/>
    <w:rsid w:val="00FB2ADA"/>
    <w:rsid w:val="00FB438A"/>
    <w:rsid w:val="00FB4EEA"/>
    <w:rsid w:val="00FB5310"/>
    <w:rsid w:val="00FB556E"/>
    <w:rsid w:val="00FB565D"/>
    <w:rsid w:val="00FB6608"/>
    <w:rsid w:val="00FB660E"/>
    <w:rsid w:val="00FB6C86"/>
    <w:rsid w:val="00FB6D91"/>
    <w:rsid w:val="00FB6FC5"/>
    <w:rsid w:val="00FC0728"/>
    <w:rsid w:val="00FC282C"/>
    <w:rsid w:val="00FC28B1"/>
    <w:rsid w:val="00FC2DC5"/>
    <w:rsid w:val="00FC353C"/>
    <w:rsid w:val="00FC44A0"/>
    <w:rsid w:val="00FC6378"/>
    <w:rsid w:val="00FC6DC8"/>
    <w:rsid w:val="00FC718F"/>
    <w:rsid w:val="00FD0636"/>
    <w:rsid w:val="00FD1D8D"/>
    <w:rsid w:val="00FD3C3C"/>
    <w:rsid w:val="00FD4D9E"/>
    <w:rsid w:val="00FD5964"/>
    <w:rsid w:val="00FD6372"/>
    <w:rsid w:val="00FD7AAA"/>
    <w:rsid w:val="00FE1D04"/>
    <w:rsid w:val="00FE24D8"/>
    <w:rsid w:val="00FE4A81"/>
    <w:rsid w:val="00FE5617"/>
    <w:rsid w:val="00FE646C"/>
    <w:rsid w:val="00FE6470"/>
    <w:rsid w:val="00FE775E"/>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A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944"/>
    <w:pPr>
      <w:spacing w:after="100" w:line="400" w:lineRule="exact"/>
      <w:jc w:val="both"/>
    </w:pPr>
    <w:rPr>
      <w:rFonts w:ascii="Century Schoolbook" w:hAnsi="Century Schoolbook"/>
      <w:sz w:val="27"/>
    </w:rPr>
  </w:style>
  <w:style w:type="paragraph" w:styleId="Heading1">
    <w:name w:val="heading 1"/>
    <w:basedOn w:val="Normal"/>
    <w:next w:val="Normal"/>
    <w:qFormat/>
    <w:rsid w:val="00B54944"/>
    <w:pPr>
      <w:keepNext/>
      <w:spacing w:before="140" w:line="240" w:lineRule="atLeast"/>
      <w:jc w:val="center"/>
      <w:outlineLvl w:val="0"/>
    </w:pPr>
    <w:rPr>
      <w:b/>
      <w:smallCaps/>
    </w:rPr>
  </w:style>
  <w:style w:type="paragraph" w:styleId="Heading2">
    <w:name w:val="heading 2"/>
    <w:basedOn w:val="Normal"/>
    <w:next w:val="Normal"/>
    <w:qFormat/>
    <w:rsid w:val="00B5494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B54944"/>
    <w:pPr>
      <w:keepNext/>
      <w:tabs>
        <w:tab w:val="left" w:pos="1584"/>
      </w:tabs>
      <w:spacing w:before="140" w:line="240" w:lineRule="atLeast"/>
      <w:ind w:left="1584" w:hanging="432"/>
      <w:jc w:val="left"/>
      <w:outlineLvl w:val="2"/>
    </w:pPr>
    <w:rPr>
      <w:i/>
    </w:rPr>
  </w:style>
  <w:style w:type="paragraph" w:styleId="Heading4">
    <w:name w:val="heading 4"/>
    <w:basedOn w:val="Normal"/>
    <w:rsid w:val="00B54944"/>
    <w:pPr>
      <w:keepNext/>
      <w:tabs>
        <w:tab w:val="left" w:pos="2016"/>
      </w:tabs>
      <w:spacing w:before="140" w:line="240" w:lineRule="atLeast"/>
      <w:ind w:left="2016" w:hanging="432"/>
      <w:jc w:val="left"/>
      <w:outlineLvl w:val="3"/>
    </w:pPr>
    <w:rPr>
      <w:i/>
    </w:rPr>
  </w:style>
  <w:style w:type="paragraph" w:styleId="Heading5">
    <w:name w:val="heading 5"/>
    <w:basedOn w:val="Normal"/>
    <w:rsid w:val="00B5494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54944"/>
    <w:pPr>
      <w:ind w:left="720"/>
    </w:pPr>
  </w:style>
  <w:style w:type="paragraph" w:styleId="Footer">
    <w:name w:val="footer"/>
    <w:basedOn w:val="Normal"/>
    <w:qFormat/>
    <w:rsid w:val="00B54944"/>
    <w:pPr>
      <w:tabs>
        <w:tab w:val="center" w:pos="3960"/>
        <w:tab w:val="right" w:pos="10080"/>
      </w:tabs>
      <w:spacing w:after="0" w:line="240" w:lineRule="auto"/>
      <w:jc w:val="center"/>
    </w:pPr>
    <w:rPr>
      <w:sz w:val="22"/>
    </w:rPr>
  </w:style>
  <w:style w:type="paragraph" w:styleId="Header">
    <w:name w:val="header"/>
    <w:basedOn w:val="Normal"/>
    <w:qFormat/>
    <w:rsid w:val="00B5494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B54944"/>
    <w:rPr>
      <w:rFonts w:ascii="Century Schoolbook" w:hAnsi="Century Schoolbook"/>
      <w:b/>
      <w:i w:val="0"/>
      <w:position w:val="4"/>
      <w:sz w:val="27"/>
      <w:vertAlign w:val="superscript"/>
    </w:rPr>
  </w:style>
  <w:style w:type="paragraph" w:styleId="FootnoteText">
    <w:name w:val="footnote text"/>
    <w:basedOn w:val="Normal"/>
    <w:rsid w:val="00B54944"/>
    <w:pPr>
      <w:spacing w:line="300" w:lineRule="exact"/>
    </w:pPr>
  </w:style>
  <w:style w:type="paragraph" w:customStyle="1" w:styleId="Title1">
    <w:name w:val="Title1"/>
    <w:basedOn w:val="Normal"/>
    <w:rsid w:val="00B54944"/>
    <w:pPr>
      <w:tabs>
        <w:tab w:val="left" w:pos="5760"/>
        <w:tab w:val="left" w:pos="6480"/>
      </w:tabs>
      <w:spacing w:line="240" w:lineRule="atLeast"/>
    </w:pPr>
  </w:style>
  <w:style w:type="paragraph" w:customStyle="1" w:styleId="Recommend">
    <w:name w:val="Recommend"/>
    <w:basedOn w:val="Normal"/>
    <w:rsid w:val="00B54944"/>
  </w:style>
  <w:style w:type="paragraph" w:customStyle="1" w:styleId="Summary">
    <w:name w:val="Summary"/>
    <w:basedOn w:val="Normal"/>
    <w:rsid w:val="00B54944"/>
    <w:pPr>
      <w:ind w:left="2160" w:hanging="2160"/>
    </w:pPr>
  </w:style>
  <w:style w:type="paragraph" w:customStyle="1" w:styleId="Text">
    <w:name w:val="Text"/>
    <w:basedOn w:val="Normal"/>
    <w:rsid w:val="00B54944"/>
    <w:pPr>
      <w:tabs>
        <w:tab w:val="left" w:pos="720"/>
        <w:tab w:val="left" w:pos="1440"/>
        <w:tab w:val="left" w:pos="2160"/>
        <w:tab w:val="center" w:pos="4320"/>
      </w:tabs>
      <w:spacing w:line="480" w:lineRule="atLeast"/>
      <w:ind w:firstLine="540"/>
    </w:pPr>
  </w:style>
  <w:style w:type="paragraph" w:styleId="Date">
    <w:name w:val="Date"/>
    <w:basedOn w:val="Normal"/>
    <w:semiHidden/>
    <w:rsid w:val="00B54944"/>
    <w:pPr>
      <w:jc w:val="right"/>
    </w:pPr>
  </w:style>
  <w:style w:type="character" w:styleId="PageNumber">
    <w:name w:val="page number"/>
    <w:basedOn w:val="DefaultParagraphFont"/>
    <w:rsid w:val="00B54944"/>
  </w:style>
  <w:style w:type="paragraph" w:customStyle="1" w:styleId="subject">
    <w:name w:val="subject"/>
    <w:basedOn w:val="Normal"/>
    <w:rsid w:val="00B54944"/>
    <w:pPr>
      <w:tabs>
        <w:tab w:val="left" w:pos="1008"/>
      </w:tabs>
      <w:ind w:left="990" w:hanging="990"/>
    </w:pPr>
    <w:rPr>
      <w:b/>
    </w:rPr>
  </w:style>
  <w:style w:type="paragraph" w:customStyle="1" w:styleId="Titles">
    <w:name w:val="Titles"/>
    <w:basedOn w:val="Normal"/>
    <w:rsid w:val="00B54944"/>
    <w:pPr>
      <w:tabs>
        <w:tab w:val="left" w:pos="2160"/>
      </w:tabs>
      <w:ind w:left="2160" w:hanging="2160"/>
    </w:pPr>
    <w:rPr>
      <w:b/>
    </w:rPr>
  </w:style>
  <w:style w:type="paragraph" w:styleId="TOAHeading">
    <w:name w:val="toa heading"/>
    <w:basedOn w:val="Normal"/>
    <w:next w:val="Normal"/>
    <w:semiHidden/>
    <w:rsid w:val="00B54944"/>
    <w:pPr>
      <w:spacing w:before="120"/>
    </w:pPr>
    <w:rPr>
      <w:b/>
    </w:rPr>
  </w:style>
  <w:style w:type="paragraph" w:styleId="TOC1">
    <w:name w:val="toc 1"/>
    <w:basedOn w:val="Normal"/>
    <w:next w:val="Normal"/>
    <w:autoRedefine/>
    <w:semiHidden/>
    <w:rsid w:val="00B54944"/>
  </w:style>
  <w:style w:type="paragraph" w:styleId="TOC2">
    <w:name w:val="toc 2"/>
    <w:basedOn w:val="Normal"/>
    <w:next w:val="Normal"/>
    <w:autoRedefine/>
    <w:semiHidden/>
    <w:rsid w:val="00B54944"/>
    <w:pPr>
      <w:ind w:left="259"/>
    </w:pPr>
  </w:style>
  <w:style w:type="paragraph" w:styleId="TOC3">
    <w:name w:val="toc 3"/>
    <w:basedOn w:val="Normal"/>
    <w:next w:val="Normal"/>
    <w:autoRedefine/>
    <w:semiHidden/>
    <w:rsid w:val="00B54944"/>
    <w:pPr>
      <w:ind w:left="520"/>
    </w:pPr>
  </w:style>
  <w:style w:type="paragraph" w:styleId="TOC4">
    <w:name w:val="toc 4"/>
    <w:basedOn w:val="Normal"/>
    <w:next w:val="Normal"/>
    <w:autoRedefine/>
    <w:semiHidden/>
    <w:rsid w:val="00B54944"/>
    <w:pPr>
      <w:ind w:left="780"/>
    </w:pPr>
  </w:style>
  <w:style w:type="paragraph" w:styleId="TOC5">
    <w:name w:val="toc 5"/>
    <w:basedOn w:val="Normal"/>
    <w:next w:val="Normal"/>
    <w:autoRedefine/>
    <w:semiHidden/>
    <w:rsid w:val="00B54944"/>
    <w:pPr>
      <w:ind w:left="1040"/>
    </w:pPr>
  </w:style>
  <w:style w:type="paragraph" w:styleId="TOC6">
    <w:name w:val="toc 6"/>
    <w:basedOn w:val="Normal"/>
    <w:next w:val="Normal"/>
    <w:autoRedefine/>
    <w:semiHidden/>
    <w:rsid w:val="00B54944"/>
    <w:pPr>
      <w:ind w:left="1300"/>
    </w:pPr>
  </w:style>
  <w:style w:type="paragraph" w:styleId="TOC7">
    <w:name w:val="toc 7"/>
    <w:basedOn w:val="Normal"/>
    <w:next w:val="Normal"/>
    <w:autoRedefine/>
    <w:semiHidden/>
    <w:rsid w:val="00B54944"/>
    <w:pPr>
      <w:ind w:left="1560"/>
    </w:pPr>
  </w:style>
  <w:style w:type="paragraph" w:styleId="TOC8">
    <w:name w:val="toc 8"/>
    <w:basedOn w:val="Normal"/>
    <w:next w:val="Normal"/>
    <w:autoRedefine/>
    <w:semiHidden/>
    <w:rsid w:val="00B54944"/>
    <w:pPr>
      <w:ind w:left="1820"/>
    </w:pPr>
  </w:style>
  <w:style w:type="paragraph" w:styleId="TOC9">
    <w:name w:val="toc 9"/>
    <w:basedOn w:val="Normal"/>
    <w:next w:val="Normal"/>
    <w:autoRedefine/>
    <w:semiHidden/>
    <w:rsid w:val="00B54944"/>
    <w:pPr>
      <w:ind w:left="2080"/>
    </w:pPr>
  </w:style>
  <w:style w:type="paragraph" w:customStyle="1" w:styleId="Contents">
    <w:name w:val="Contents"/>
    <w:basedOn w:val="Normal"/>
    <w:rsid w:val="00B54944"/>
    <w:pPr>
      <w:jc w:val="center"/>
    </w:pPr>
    <w:rPr>
      <w:b/>
      <w:spacing w:val="100"/>
    </w:rPr>
  </w:style>
  <w:style w:type="character" w:styleId="CommentReference">
    <w:name w:val="annotation reference"/>
    <w:basedOn w:val="DefaultParagraphFont"/>
    <w:uiPriority w:val="99"/>
    <w:semiHidden/>
    <w:unhideWhenUsed/>
    <w:rsid w:val="00EA592C"/>
    <w:rPr>
      <w:sz w:val="16"/>
      <w:szCs w:val="16"/>
    </w:rPr>
  </w:style>
  <w:style w:type="paragraph" w:styleId="CommentText">
    <w:name w:val="annotation text"/>
    <w:basedOn w:val="Normal"/>
    <w:link w:val="CommentTextChar"/>
    <w:uiPriority w:val="99"/>
    <w:unhideWhenUsed/>
    <w:rsid w:val="00EA592C"/>
    <w:rPr>
      <w:sz w:val="20"/>
    </w:rPr>
  </w:style>
  <w:style w:type="character" w:customStyle="1" w:styleId="CommentTextChar">
    <w:name w:val="Comment Text Char"/>
    <w:basedOn w:val="DefaultParagraphFont"/>
    <w:link w:val="CommentText"/>
    <w:uiPriority w:val="99"/>
    <w:rsid w:val="00EA592C"/>
  </w:style>
  <w:style w:type="paragraph" w:styleId="CommentSubject">
    <w:name w:val="annotation subject"/>
    <w:basedOn w:val="CommentText"/>
    <w:next w:val="CommentText"/>
    <w:link w:val="CommentSubjectChar"/>
    <w:uiPriority w:val="99"/>
    <w:semiHidden/>
    <w:unhideWhenUsed/>
    <w:rsid w:val="00EA592C"/>
    <w:rPr>
      <w:b/>
      <w:bCs/>
    </w:rPr>
  </w:style>
  <w:style w:type="character" w:customStyle="1" w:styleId="CommentSubjectChar">
    <w:name w:val="Comment Subject Char"/>
    <w:basedOn w:val="CommentTextChar"/>
    <w:link w:val="CommentSubject"/>
    <w:uiPriority w:val="99"/>
    <w:semiHidden/>
    <w:rsid w:val="00EA592C"/>
    <w:rPr>
      <w:b/>
      <w:bCs/>
    </w:rPr>
  </w:style>
  <w:style w:type="character" w:customStyle="1" w:styleId="costarpage">
    <w:name w:val="co_starpage"/>
    <w:basedOn w:val="DefaultParagraphFont"/>
    <w:rsid w:val="00A05DCA"/>
  </w:style>
  <w:style w:type="paragraph" w:styleId="Revision">
    <w:name w:val="Revision"/>
    <w:hidden/>
    <w:uiPriority w:val="99"/>
    <w:semiHidden/>
    <w:rsid w:val="00110032"/>
    <w:rPr>
      <w:sz w:val="26"/>
    </w:rPr>
  </w:style>
  <w:style w:type="character" w:styleId="Hyperlink">
    <w:name w:val="Hyperlink"/>
    <w:basedOn w:val="DefaultParagraphFont"/>
    <w:uiPriority w:val="99"/>
    <w:unhideWhenUsed/>
    <w:rsid w:val="001820CC"/>
    <w:rPr>
      <w:color w:val="0000FF" w:themeColor="hyperlink"/>
      <w:u w:val="single"/>
    </w:rPr>
  </w:style>
  <w:style w:type="character" w:styleId="UnresolvedMention">
    <w:name w:val="Unresolved Mention"/>
    <w:basedOn w:val="DefaultParagraphFont"/>
    <w:uiPriority w:val="99"/>
    <w:semiHidden/>
    <w:unhideWhenUsed/>
    <w:rsid w:val="001820CC"/>
    <w:rPr>
      <w:color w:val="605E5C"/>
      <w:shd w:val="clear" w:color="auto" w:fill="E1DFDD"/>
    </w:rPr>
  </w:style>
  <w:style w:type="paragraph" w:styleId="BodyText">
    <w:name w:val="Body Text"/>
    <w:basedOn w:val="Normal"/>
    <w:link w:val="BodyTextChar"/>
    <w:qFormat/>
    <w:rsid w:val="00B54944"/>
  </w:style>
  <w:style w:type="character" w:customStyle="1" w:styleId="BodyTextChar">
    <w:name w:val="Body Text Char"/>
    <w:basedOn w:val="DefaultParagraphFont"/>
    <w:link w:val="BodyText"/>
    <w:rsid w:val="00B54944"/>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7358-02F2-499F-9CB4-0D2DA9CC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3815</Words>
  <Characters>20552</Characters>
  <Application>Microsoft Office Word</Application>
  <DocSecurity>0</DocSecurity>
  <Lines>171</Lines>
  <Paragraphs>48</Paragraphs>
  <ScaleCrop>false</ScaleCrop>
  <Manager/>
  <Company/>
  <LinksUpToDate>false</LinksUpToDate>
  <CharactersWithSpaces>24319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2023-05-24T17:11:00Z</dcterms:created>
  <dcterms:modified xsi:type="dcterms:W3CDTF">2023-05-24T17:11:00Z</dcterms:modified>
  <cp:category/>
</cp:coreProperties>
</file>