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613FB" w:rsidRPr="00A43D3A" w:rsidP="00097AC4" w14:paraId="0CABFA37" w14:textId="77777777">
      <w:pPr>
        <w:tabs>
          <w:tab w:val="left" w:pos="1440"/>
          <w:tab w:val="left" w:pos="4680"/>
          <w:tab w:val="center" w:pos="7200"/>
        </w:tabs>
        <w:spacing w:after="0"/>
        <w:jc w:val="center"/>
        <w:rPr>
          <w:sz w:val="36"/>
        </w:rPr>
      </w:pPr>
      <w:bookmarkStart w:id="0" w:name="_Hlk147309542"/>
      <w:r w:rsidRPr="00A43D3A">
        <w:rPr>
          <w:b/>
          <w:sz w:val="36"/>
        </w:rPr>
        <w:t>IN THE SUPREME COURT OF CALIFORNIA</w:t>
      </w:r>
    </w:p>
    <w:p w:rsidR="00A43D3A" w:rsidRPr="00A43D3A" w:rsidP="00097AC4" w14:paraId="0CABFA38" w14:textId="77777777">
      <w:pPr>
        <w:tabs>
          <w:tab w:val="left" w:pos="1440"/>
          <w:tab w:val="left" w:pos="4680"/>
          <w:tab w:val="center" w:pos="7200"/>
        </w:tabs>
        <w:spacing w:after="0"/>
        <w:jc w:val="center"/>
      </w:pPr>
    </w:p>
    <w:p w:rsidR="00A43D3A" w:rsidRPr="00A43D3A" w:rsidP="00097AC4" w14:paraId="0CABFA39" w14:textId="77777777">
      <w:pPr>
        <w:tabs>
          <w:tab w:val="left" w:pos="1440"/>
          <w:tab w:val="left" w:pos="4680"/>
          <w:tab w:val="center" w:pos="7200"/>
        </w:tabs>
        <w:spacing w:after="0"/>
        <w:jc w:val="center"/>
      </w:pPr>
      <w:r w:rsidRPr="00A43D3A">
        <w:t>THE PEOPLE,</w:t>
      </w:r>
    </w:p>
    <w:p w:rsidR="00A43D3A" w:rsidRPr="00A43D3A" w:rsidP="00097AC4" w14:paraId="0CABFA3A" w14:textId="77777777">
      <w:pPr>
        <w:tabs>
          <w:tab w:val="left" w:pos="1440"/>
          <w:tab w:val="left" w:pos="4680"/>
          <w:tab w:val="center" w:pos="7200"/>
        </w:tabs>
        <w:spacing w:after="0"/>
        <w:jc w:val="center"/>
      </w:pPr>
      <w:r w:rsidRPr="00A43D3A">
        <w:t>Plaintiff and Respondent,</w:t>
      </w:r>
    </w:p>
    <w:p w:rsidR="00A43D3A" w:rsidRPr="00A43D3A" w:rsidP="00097AC4" w14:paraId="0CABFA3B" w14:textId="77777777">
      <w:pPr>
        <w:tabs>
          <w:tab w:val="left" w:pos="1440"/>
          <w:tab w:val="left" w:pos="4680"/>
          <w:tab w:val="center" w:pos="7200"/>
        </w:tabs>
        <w:spacing w:after="0"/>
        <w:jc w:val="center"/>
      </w:pPr>
      <w:r w:rsidRPr="00A43D3A">
        <w:t>v.</w:t>
      </w:r>
    </w:p>
    <w:p w:rsidR="00A43D3A" w:rsidRPr="00A43D3A" w:rsidP="00097AC4" w14:paraId="0CABFA3C" w14:textId="77777777">
      <w:pPr>
        <w:tabs>
          <w:tab w:val="left" w:pos="1440"/>
          <w:tab w:val="left" w:pos="4680"/>
          <w:tab w:val="center" w:pos="7200"/>
        </w:tabs>
        <w:spacing w:after="0"/>
        <w:jc w:val="center"/>
      </w:pPr>
      <w:r w:rsidRPr="00A43D3A">
        <w:t>NORMAN THOMAS SALAZAR</w:t>
      </w:r>
      <w:r w:rsidR="00402A87">
        <w:t>,</w:t>
      </w:r>
    </w:p>
    <w:p w:rsidR="00A43D3A" w:rsidRPr="00A43D3A" w:rsidP="00097AC4" w14:paraId="0CABFA3D" w14:textId="77777777">
      <w:pPr>
        <w:tabs>
          <w:tab w:val="left" w:pos="1440"/>
          <w:tab w:val="left" w:pos="4680"/>
          <w:tab w:val="center" w:pos="7200"/>
        </w:tabs>
        <w:spacing w:after="0"/>
        <w:jc w:val="center"/>
      </w:pPr>
      <w:r w:rsidRPr="00A43D3A">
        <w:t>Defendant and Appellant.</w:t>
      </w:r>
    </w:p>
    <w:p w:rsidR="00A43D3A" w:rsidRPr="00A43D3A" w:rsidP="00097AC4" w14:paraId="0CABFA3E" w14:textId="77777777">
      <w:pPr>
        <w:tabs>
          <w:tab w:val="left" w:pos="1440"/>
          <w:tab w:val="left" w:pos="4680"/>
          <w:tab w:val="center" w:pos="7200"/>
        </w:tabs>
        <w:spacing w:after="0"/>
        <w:jc w:val="center"/>
      </w:pPr>
    </w:p>
    <w:p w:rsidR="00A43D3A" w:rsidRPr="00A43D3A" w:rsidP="00097AC4" w14:paraId="0CABFA3F" w14:textId="77777777">
      <w:pPr>
        <w:tabs>
          <w:tab w:val="left" w:pos="1440"/>
          <w:tab w:val="left" w:pos="4680"/>
          <w:tab w:val="center" w:pos="7200"/>
        </w:tabs>
        <w:spacing w:after="0"/>
        <w:jc w:val="center"/>
      </w:pPr>
      <w:r w:rsidRPr="00A43D3A">
        <w:t>S275788</w:t>
      </w:r>
    </w:p>
    <w:p w:rsidR="00A43D3A" w:rsidRPr="00A43D3A" w:rsidP="00A43D3A" w14:paraId="0CABFA40" w14:textId="77777777">
      <w:pPr>
        <w:tabs>
          <w:tab w:val="left" w:pos="1440"/>
          <w:tab w:val="left" w:pos="4680"/>
          <w:tab w:val="center" w:pos="7200"/>
        </w:tabs>
        <w:spacing w:after="0"/>
        <w:jc w:val="center"/>
      </w:pPr>
    </w:p>
    <w:p w:rsidR="00A43D3A" w:rsidRPr="00A43D3A" w:rsidP="00A43D3A" w14:paraId="0CABFA41" w14:textId="77777777">
      <w:pPr>
        <w:tabs>
          <w:tab w:val="left" w:pos="1440"/>
        </w:tabs>
        <w:spacing w:after="0"/>
        <w:jc w:val="center"/>
      </w:pPr>
      <w:r w:rsidRPr="00A43D3A">
        <w:t xml:space="preserve">Second Appellate District, Division </w:t>
      </w:r>
      <w:r w:rsidR="003C6E23">
        <w:t>Six</w:t>
      </w:r>
    </w:p>
    <w:p w:rsidR="00A43D3A" w:rsidRPr="00A43D3A" w:rsidP="00A43D3A" w14:paraId="0CABFA42" w14:textId="77777777">
      <w:pPr>
        <w:tabs>
          <w:tab w:val="left" w:pos="1440"/>
        </w:tabs>
        <w:spacing w:after="0"/>
        <w:jc w:val="center"/>
      </w:pPr>
      <w:r w:rsidRPr="00A43D3A">
        <w:t>B</w:t>
      </w:r>
      <w:r w:rsidR="003C6E23">
        <w:t>309803</w:t>
      </w:r>
    </w:p>
    <w:p w:rsidR="00A43D3A" w:rsidRPr="00A43D3A" w:rsidP="00097AC4" w14:paraId="0CABFA43" w14:textId="77777777">
      <w:pPr>
        <w:tabs>
          <w:tab w:val="left" w:pos="1440"/>
          <w:tab w:val="left" w:pos="4680"/>
          <w:tab w:val="center" w:pos="7200"/>
        </w:tabs>
        <w:spacing w:after="0"/>
        <w:jc w:val="center"/>
      </w:pPr>
    </w:p>
    <w:p w:rsidR="00A43D3A" w:rsidRPr="00A43D3A" w:rsidP="00097AC4" w14:paraId="0CABFA44" w14:textId="77777777">
      <w:pPr>
        <w:tabs>
          <w:tab w:val="left" w:pos="1440"/>
          <w:tab w:val="left" w:pos="4680"/>
          <w:tab w:val="center" w:pos="7200"/>
        </w:tabs>
        <w:spacing w:after="0"/>
        <w:jc w:val="center"/>
      </w:pPr>
      <w:r w:rsidRPr="00A43D3A">
        <w:t>Ventura County</w:t>
      </w:r>
      <w:r>
        <w:t xml:space="preserve"> Superior Court</w:t>
      </w:r>
    </w:p>
    <w:p w:rsidR="00A43D3A" w:rsidRPr="00A43D3A" w:rsidP="00097AC4" w14:paraId="0CABFA45" w14:textId="77777777">
      <w:pPr>
        <w:tabs>
          <w:tab w:val="left" w:pos="1440"/>
          <w:tab w:val="left" w:pos="4680"/>
          <w:tab w:val="center" w:pos="7200"/>
        </w:tabs>
        <w:spacing w:after="0"/>
        <w:jc w:val="center"/>
      </w:pPr>
      <w:r>
        <w:t>2018027995</w:t>
      </w:r>
    </w:p>
    <w:p w:rsidR="00A43D3A" w:rsidP="00097AC4" w14:paraId="0CABFA46" w14:textId="77777777">
      <w:pPr>
        <w:pBdr>
          <w:bottom w:val="single" w:sz="4" w:space="1" w:color="auto"/>
        </w:pBdr>
        <w:tabs>
          <w:tab w:val="left" w:pos="1440"/>
          <w:tab w:val="left" w:pos="4680"/>
          <w:tab w:val="center" w:pos="7200"/>
        </w:tabs>
        <w:spacing w:after="0"/>
        <w:jc w:val="center"/>
      </w:pPr>
    </w:p>
    <w:p w:rsidR="00A43D3A" w:rsidP="00097AC4" w14:paraId="0CABFA47" w14:textId="77777777">
      <w:pPr>
        <w:tabs>
          <w:tab w:val="left" w:pos="1440"/>
          <w:tab w:val="left" w:pos="4680"/>
          <w:tab w:val="center" w:pos="7200"/>
        </w:tabs>
        <w:spacing w:after="0"/>
        <w:jc w:val="center"/>
      </w:pPr>
    </w:p>
    <w:p w:rsidR="00A43D3A" w:rsidP="00097AC4" w14:paraId="0CABFA48" w14:textId="77777777">
      <w:pPr>
        <w:tabs>
          <w:tab w:val="left" w:pos="1440"/>
          <w:tab w:val="left" w:pos="4680"/>
          <w:tab w:val="center" w:pos="7200"/>
        </w:tabs>
        <w:spacing w:after="0"/>
        <w:jc w:val="center"/>
      </w:pPr>
      <w:r>
        <w:t xml:space="preserve">November </w:t>
      </w:r>
      <w:r w:rsidR="007400AA">
        <w:t>20</w:t>
      </w:r>
      <w:r>
        <w:t>, 2023</w:t>
      </w:r>
    </w:p>
    <w:p w:rsidR="00A43D3A" w:rsidP="00097AC4" w14:paraId="0CABFA49" w14:textId="77777777">
      <w:pPr>
        <w:tabs>
          <w:tab w:val="left" w:pos="1440"/>
          <w:tab w:val="left" w:pos="4680"/>
          <w:tab w:val="center" w:pos="7200"/>
        </w:tabs>
        <w:spacing w:after="0"/>
        <w:jc w:val="center"/>
      </w:pPr>
    </w:p>
    <w:p w:rsidR="00A43D3A" w:rsidP="00097AC4" w14:paraId="0CABFA4A" w14:textId="77777777">
      <w:pPr>
        <w:tabs>
          <w:tab w:val="left" w:pos="1440"/>
          <w:tab w:val="left" w:pos="4680"/>
          <w:tab w:val="center" w:pos="7200"/>
        </w:tabs>
        <w:spacing w:after="0"/>
        <w:jc w:val="left"/>
      </w:pPr>
      <w:r>
        <w:t xml:space="preserve">Justice Groban authored the opinion of the Court, in which </w:t>
      </w:r>
      <w:r w:rsidR="007400AA">
        <w:rPr>
          <w:szCs w:val="27"/>
        </w:rPr>
        <w:t>Chief Justice Guerrero and Justices Corrigan, Liu, Kruger, Jenkins,</w:t>
      </w:r>
      <w:r w:rsidR="007400AA">
        <w:t xml:space="preserve"> and </w:t>
      </w:r>
      <w:r w:rsidR="007400AA">
        <w:rPr>
          <w:szCs w:val="27"/>
        </w:rPr>
        <w:t>Evans</w:t>
      </w:r>
      <w:r>
        <w:t xml:space="preserve"> concurred.</w:t>
      </w:r>
    </w:p>
    <w:p w:rsidR="00A43D3A" w:rsidRPr="00A43D3A" w:rsidP="00097AC4" w14:paraId="0CABFA4C" w14:textId="77777777">
      <w:pPr>
        <w:pBdr>
          <w:bottom w:val="single" w:sz="4" w:space="1" w:color="auto"/>
        </w:pBdr>
        <w:tabs>
          <w:tab w:val="left" w:pos="1440"/>
          <w:tab w:val="left" w:pos="4680"/>
          <w:tab w:val="center" w:pos="7200"/>
        </w:tabs>
        <w:spacing w:line="480" w:lineRule="atLeast"/>
        <w:jc w:val="left"/>
      </w:pPr>
      <w:bookmarkStart w:id="1" w:name="Return"/>
      <w:bookmarkEnd w:id="1"/>
    </w:p>
    <w:p w:rsidR="00A43D3A" w14:paraId="0CABFA4D" w14:textId="77777777">
      <w:pPr>
        <w:tabs>
          <w:tab w:val="left" w:pos="1440"/>
          <w:tab w:val="left" w:pos="4680"/>
          <w:tab w:val="center" w:pos="7200"/>
        </w:tabs>
        <w:spacing w:line="480" w:lineRule="atLeast"/>
        <w:sectPr w:rsidSect="00097AC4">
          <w:headerReference w:type="default" r:id="rId6"/>
          <w:footerReference w:type="default" r:id="rId7"/>
          <w:pgSz w:w="12240" w:h="15840"/>
          <w:pgMar w:top="1800" w:right="2160" w:bottom="1440" w:left="2160" w:header="720" w:footer="720" w:gutter="0"/>
          <w:cols w:space="720"/>
          <w:titlePg/>
          <w:docGrid w:linePitch="367"/>
        </w:sectPr>
      </w:pPr>
    </w:p>
    <w:p w:rsidR="00A43D3A" w:rsidP="00A43D3A" w14:paraId="0CABFA4E" w14:textId="77777777">
      <w:pPr>
        <w:tabs>
          <w:tab w:val="left" w:pos="1440"/>
          <w:tab w:val="left" w:pos="4680"/>
          <w:tab w:val="center" w:pos="7200"/>
        </w:tabs>
        <w:jc w:val="center"/>
      </w:pPr>
      <w:r>
        <w:t>PEOPLE v. SALAZAR</w:t>
      </w:r>
    </w:p>
    <w:p w:rsidR="00A43D3A" w:rsidP="00A43D3A" w14:paraId="0CABFA4F" w14:textId="77777777">
      <w:pPr>
        <w:tabs>
          <w:tab w:val="left" w:pos="1440"/>
          <w:tab w:val="left" w:pos="4680"/>
          <w:tab w:val="center" w:pos="7200"/>
        </w:tabs>
        <w:jc w:val="center"/>
      </w:pPr>
      <w:r>
        <w:t>S275788</w:t>
      </w:r>
    </w:p>
    <w:p w:rsidR="00A43D3A" w:rsidP="00A43D3A" w14:paraId="0CABFA50" w14:textId="77777777">
      <w:pPr>
        <w:tabs>
          <w:tab w:val="left" w:pos="1440"/>
          <w:tab w:val="left" w:pos="4680"/>
          <w:tab w:val="center" w:pos="7200"/>
        </w:tabs>
        <w:jc w:val="center"/>
      </w:pPr>
    </w:p>
    <w:p w:rsidR="00A43D3A" w:rsidP="00A43D3A" w14:paraId="0CABFA51" w14:textId="77777777">
      <w:pPr>
        <w:tabs>
          <w:tab w:val="left" w:pos="1440"/>
          <w:tab w:val="left" w:pos="4680"/>
          <w:tab w:val="center" w:pos="7200"/>
        </w:tabs>
        <w:jc w:val="center"/>
      </w:pPr>
      <w:r>
        <w:t>Opinion of the Court by Groban, J.</w:t>
      </w:r>
    </w:p>
    <w:p w:rsidR="00A43D3A" w:rsidRPr="00A43D3A" w:rsidP="00097AC4" w14:paraId="0CABFA52" w14:textId="77777777">
      <w:pPr>
        <w:tabs>
          <w:tab w:val="left" w:pos="1440"/>
          <w:tab w:val="left" w:pos="4680"/>
          <w:tab w:val="center" w:pos="7200"/>
        </w:tabs>
        <w:jc w:val="center"/>
      </w:pPr>
    </w:p>
    <w:p w:rsidR="00801BB9" w:rsidRPr="00A43D3A" w:rsidP="00097AC4" w14:paraId="0CABFA53" w14:textId="77777777">
      <w:pPr>
        <w:pStyle w:val="Text"/>
        <w:spacing w:line="400" w:lineRule="exact"/>
        <w:ind w:firstLine="720"/>
      </w:pPr>
      <w:bookmarkStart w:id="2" w:name="justice"/>
      <w:bookmarkEnd w:id="2"/>
      <w:r w:rsidRPr="00A43D3A">
        <w:t xml:space="preserve">After </w:t>
      </w:r>
      <w:r w:rsidRPr="00A43D3A" w:rsidR="008B16FC">
        <w:t>Norman Salazar</w:t>
      </w:r>
      <w:r w:rsidRPr="00A43D3A">
        <w:t xml:space="preserve"> had been sentenced but while his</w:t>
      </w:r>
      <w:r w:rsidRPr="00A43D3A" w:rsidR="008B16FC">
        <w:t xml:space="preserve"> appeal was </w:t>
      </w:r>
      <w:r w:rsidRPr="00A43D3A">
        <w:t xml:space="preserve">still </w:t>
      </w:r>
      <w:r w:rsidRPr="00A43D3A" w:rsidR="008B16FC">
        <w:t xml:space="preserve">pending, </w:t>
      </w:r>
      <w:r w:rsidRPr="00A43D3A">
        <w:t xml:space="preserve">the Legislature enacted </w:t>
      </w:r>
      <w:r w:rsidRPr="00A43D3A" w:rsidR="007753DD">
        <w:t xml:space="preserve">Senate Bill No. 567 </w:t>
      </w:r>
      <w:r w:rsidR="00827774">
        <w:t xml:space="preserve">(2021–2022 Reg. Sess.) </w:t>
      </w:r>
      <w:r w:rsidRPr="00A43D3A" w:rsidR="007753DD">
        <w:t>(</w:t>
      </w:r>
      <w:r w:rsidR="00827774">
        <w:t>S</w:t>
      </w:r>
      <w:r w:rsidRPr="00A43D3A" w:rsidR="007753DD">
        <w:t>tats. 2021, ch. 731) (Senate Bill 567)</w:t>
      </w:r>
      <w:r w:rsidRPr="00A43D3A" w:rsidR="00C07518">
        <w:t>.</w:t>
      </w:r>
      <w:r w:rsidRPr="00A43D3A" w:rsidR="008423CD">
        <w:t xml:space="preserve"> </w:t>
      </w:r>
      <w:r w:rsidRPr="00A43D3A" w:rsidR="008B16FC">
        <w:t xml:space="preserve"> </w:t>
      </w:r>
      <w:r w:rsidRPr="00A43D3A" w:rsidR="00496865">
        <w:t>Though Salazar received a mid</w:t>
      </w:r>
      <w:r w:rsidRPr="00A43D3A" w:rsidR="00022F7F">
        <w:t>dle</w:t>
      </w:r>
      <w:r w:rsidRPr="00A43D3A" w:rsidR="00A368C7">
        <w:t xml:space="preserve"> </w:t>
      </w:r>
      <w:r w:rsidRPr="00A43D3A" w:rsidR="00496865">
        <w:t>term sentence at the time of his original sentencing, t</w:t>
      </w:r>
      <w:r w:rsidRPr="00A43D3A" w:rsidR="00AC3D5E">
        <w:t xml:space="preserve">he new statute creates a presumption </w:t>
      </w:r>
      <w:r w:rsidRPr="00A43D3A">
        <w:t xml:space="preserve">that the sentencing court “shall” enter a </w:t>
      </w:r>
      <w:r w:rsidRPr="00A43D3A" w:rsidR="00AC3D5E">
        <w:t>lower</w:t>
      </w:r>
      <w:r w:rsidRPr="00A43D3A" w:rsidR="00A368C7">
        <w:t xml:space="preserve"> </w:t>
      </w:r>
      <w:r w:rsidRPr="00A43D3A" w:rsidR="00AC3D5E">
        <w:t xml:space="preserve">term sentence when, among other things, a </w:t>
      </w:r>
      <w:r w:rsidRPr="00A43D3A" w:rsidR="00AE514B">
        <w:t>“</w:t>
      </w:r>
      <w:r w:rsidRPr="00A43D3A" w:rsidR="00AC3D5E">
        <w:t>psychological, physical, or childhood trauma</w:t>
      </w:r>
      <w:r w:rsidRPr="00A43D3A" w:rsidR="00AE514B">
        <w:t>”</w:t>
      </w:r>
      <w:r w:rsidRPr="00A43D3A" w:rsidR="00AC3D5E">
        <w:t xml:space="preserve"> </w:t>
      </w:r>
      <w:r w:rsidRPr="00A43D3A" w:rsidR="00CF22E6">
        <w:t xml:space="preserve">contributed to the offense.  </w:t>
      </w:r>
      <w:r w:rsidRPr="00A43D3A" w:rsidR="008B16FC">
        <w:t>(</w:t>
      </w:r>
      <w:r w:rsidR="00EA394A">
        <w:t xml:space="preserve">Pen. Code, </w:t>
      </w:r>
      <w:r w:rsidRPr="00A43D3A" w:rsidR="008B16FC">
        <w:t>§ 1170, subd. (b)(6)</w:t>
      </w:r>
      <w:r w:rsidRPr="00A43D3A" w:rsidR="00FA15DA">
        <w:t xml:space="preserve"> &amp; </w:t>
      </w:r>
      <w:r w:rsidRPr="00A43D3A" w:rsidR="008B16FC">
        <w:t>(A).)</w:t>
      </w:r>
      <w:r>
        <w:rPr>
          <w:rStyle w:val="FootnoteReference"/>
          <w:b w:val="0"/>
          <w:bCs/>
        </w:rPr>
        <w:footnoteReference w:id="3"/>
      </w:r>
      <w:r w:rsidRPr="00A43D3A" w:rsidR="008B16FC">
        <w:t xml:space="preserve">  </w:t>
      </w:r>
      <w:r w:rsidRPr="00A43D3A" w:rsidR="00CF22E6">
        <w:t xml:space="preserve">The </w:t>
      </w:r>
      <w:r w:rsidRPr="00A43D3A">
        <w:t xml:space="preserve">sentencing court may only depart from this </w:t>
      </w:r>
      <w:r w:rsidRPr="00A43D3A" w:rsidR="00CF22E6">
        <w:t>lower</w:t>
      </w:r>
      <w:r w:rsidRPr="00A43D3A" w:rsidR="00A368C7">
        <w:t xml:space="preserve"> </w:t>
      </w:r>
      <w:r w:rsidRPr="00A43D3A" w:rsidR="00CF22E6">
        <w:t xml:space="preserve">term presumption if </w:t>
      </w:r>
      <w:r w:rsidRPr="00A43D3A">
        <w:t xml:space="preserve">it finds that </w:t>
      </w:r>
      <w:r w:rsidRPr="00A43D3A" w:rsidR="00CF22E6">
        <w:t xml:space="preserve">the aggravating circumstances outweigh the mitigating circumstances such </w:t>
      </w:r>
      <w:r w:rsidRPr="00A43D3A" w:rsidR="00AE514B">
        <w:t xml:space="preserve">that the lower term </w:t>
      </w:r>
      <w:r w:rsidRPr="00A43D3A" w:rsidR="00CF22E6">
        <w:t xml:space="preserve">would be contrary to </w:t>
      </w:r>
      <w:r w:rsidRPr="00A43D3A" w:rsidR="00AE514B">
        <w:t>“</w:t>
      </w:r>
      <w:r w:rsidRPr="00A43D3A" w:rsidR="00CF22E6">
        <w:t>the interests of justice.”  (</w:t>
      </w:r>
      <w:r w:rsidRPr="00A43D3A" w:rsidR="00234103">
        <w:rPr>
          <w:i/>
          <w:iCs/>
        </w:rPr>
        <w:t>Id.</w:t>
      </w:r>
      <w:r w:rsidR="0036289E">
        <w:t>,</w:t>
      </w:r>
      <w:r w:rsidRPr="00A43D3A" w:rsidR="00FA15DA">
        <w:t xml:space="preserve"> subd. (b)(6).</w:t>
      </w:r>
      <w:r w:rsidRPr="00A43D3A" w:rsidR="00CF22E6">
        <w:t xml:space="preserve">)  </w:t>
      </w:r>
      <w:r w:rsidRPr="00A43D3A" w:rsidR="008B16FC">
        <w:t xml:space="preserve">The </w:t>
      </w:r>
      <w:r w:rsidRPr="00A43D3A" w:rsidR="008600EF">
        <w:t>parties agree</w:t>
      </w:r>
      <w:r w:rsidRPr="00A43D3A" w:rsidR="008B16FC">
        <w:t xml:space="preserve"> that </w:t>
      </w:r>
      <w:r w:rsidRPr="00A43D3A" w:rsidR="001B0C54">
        <w:t>this</w:t>
      </w:r>
      <w:r w:rsidRPr="00A43D3A" w:rsidR="008B16FC">
        <w:t xml:space="preserve"> new legislation applies </w:t>
      </w:r>
      <w:r w:rsidRPr="00A43D3A" w:rsidR="0084403E">
        <w:t xml:space="preserve">on appeal </w:t>
      </w:r>
      <w:r w:rsidRPr="00A43D3A" w:rsidR="008B16FC">
        <w:t xml:space="preserve">to </w:t>
      </w:r>
      <w:r w:rsidRPr="00A43D3A" w:rsidR="001B0C54">
        <w:t xml:space="preserve">Salazar’s nonfinal </w:t>
      </w:r>
      <w:r w:rsidRPr="00A43D3A" w:rsidR="008B16FC">
        <w:t xml:space="preserve">case.  </w:t>
      </w:r>
      <w:r w:rsidRPr="00A43D3A" w:rsidR="008600EF">
        <w:t xml:space="preserve">(See </w:t>
      </w:r>
      <w:r w:rsidRPr="00A43D3A" w:rsidR="008600EF">
        <w:rPr>
          <w:i/>
          <w:iCs/>
        </w:rPr>
        <w:t xml:space="preserve">In re Estrada </w:t>
      </w:r>
      <w:r w:rsidRPr="00A43D3A" w:rsidR="008600EF">
        <w:t>(1965) 63</w:t>
      </w:r>
      <w:r w:rsidRPr="00A43D3A" w:rsidR="0092320B">
        <w:t> </w:t>
      </w:r>
      <w:r w:rsidRPr="00A43D3A" w:rsidR="008600EF">
        <w:t xml:space="preserve">Cal.2d 740, 745.) </w:t>
      </w:r>
      <w:r w:rsidRPr="00A43D3A" w:rsidR="00941EF4">
        <w:t xml:space="preserve"> </w:t>
      </w:r>
      <w:r w:rsidRPr="00A43D3A" w:rsidR="001B0C54">
        <w:t>The</w:t>
      </w:r>
      <w:r w:rsidRPr="00A43D3A" w:rsidR="00941EF4">
        <w:t xml:space="preserve"> Attorney General </w:t>
      </w:r>
      <w:r w:rsidRPr="00A43D3A" w:rsidR="001B0C54">
        <w:t xml:space="preserve">further </w:t>
      </w:r>
      <w:r w:rsidRPr="00A43D3A" w:rsidR="00941EF4">
        <w:t>concedes</w:t>
      </w:r>
      <w:r w:rsidRPr="00A43D3A" w:rsidR="00C07518">
        <w:t xml:space="preserve"> that </w:t>
      </w:r>
      <w:r w:rsidR="00547804">
        <w:t xml:space="preserve">the record discloses that Salazar may have suffered a qualifying trauma, which would appear to </w:t>
      </w:r>
      <w:r w:rsidRPr="00A43D3A" w:rsidR="00941EF4">
        <w:t>meet the statute’s threshold requirement for triggering the lower</w:t>
      </w:r>
      <w:r w:rsidRPr="00A43D3A" w:rsidR="00A368C7">
        <w:t xml:space="preserve"> </w:t>
      </w:r>
      <w:r w:rsidRPr="00A43D3A" w:rsidR="00941EF4">
        <w:t>term presumption</w:t>
      </w:r>
      <w:r w:rsidRPr="00A43D3A" w:rsidR="001B0C54">
        <w:t xml:space="preserve">. </w:t>
      </w:r>
      <w:r w:rsidRPr="00A43D3A" w:rsidR="00941EF4">
        <w:t xml:space="preserve"> (See </w:t>
      </w:r>
      <w:r w:rsidRPr="00A43D3A" w:rsidR="00941EF4">
        <w:rPr>
          <w:i/>
          <w:iCs/>
        </w:rPr>
        <w:t>People v. Frahs</w:t>
      </w:r>
      <w:r w:rsidRPr="00A43D3A" w:rsidR="00941EF4">
        <w:t xml:space="preserve"> (2020) 9</w:t>
      </w:r>
      <w:r w:rsidRPr="00A43D3A" w:rsidR="0092320B">
        <w:t> </w:t>
      </w:r>
      <w:r w:rsidRPr="00A43D3A" w:rsidR="00941EF4">
        <w:t xml:space="preserve">Cal.5th 618, </w:t>
      </w:r>
      <w:r w:rsidRPr="00A43D3A" w:rsidR="00B0255E">
        <w:t>638–640</w:t>
      </w:r>
      <w:r w:rsidRPr="00A43D3A" w:rsidR="005A612C">
        <w:t xml:space="preserve"> (</w:t>
      </w:r>
      <w:r w:rsidRPr="00A43D3A" w:rsidR="005A612C">
        <w:rPr>
          <w:i/>
          <w:iCs/>
        </w:rPr>
        <w:t>Frahs</w:t>
      </w:r>
      <w:r w:rsidRPr="00A43D3A" w:rsidR="005A612C">
        <w:t>)</w:t>
      </w:r>
      <w:r w:rsidRPr="00A43D3A" w:rsidR="001B0C54">
        <w:t>.)</w:t>
      </w:r>
    </w:p>
    <w:p w:rsidR="008B16FC" w:rsidRPr="00A43D3A" w:rsidP="00097AC4" w14:paraId="0CABFA54" w14:textId="77777777">
      <w:pPr>
        <w:pStyle w:val="Text"/>
        <w:spacing w:line="400" w:lineRule="exact"/>
        <w:ind w:firstLine="720"/>
        <w:rPr>
          <w:szCs w:val="26"/>
        </w:rPr>
      </w:pPr>
      <w:r w:rsidRPr="00A43D3A">
        <w:t xml:space="preserve"> </w:t>
      </w:r>
      <w:r w:rsidRPr="00A43D3A" w:rsidR="008862F0">
        <w:t>In</w:t>
      </w:r>
      <w:r w:rsidRPr="00A43D3A" w:rsidR="008862F0">
        <w:rPr>
          <w:i/>
          <w:iCs/>
          <w:szCs w:val="26"/>
        </w:rPr>
        <w:t xml:space="preserve"> People v. Gutierrez</w:t>
      </w:r>
      <w:r w:rsidRPr="00A43D3A" w:rsidR="008862F0">
        <w:rPr>
          <w:szCs w:val="26"/>
        </w:rPr>
        <w:t xml:space="preserve"> (2014) 58</w:t>
      </w:r>
      <w:r w:rsidRPr="00A43D3A" w:rsidR="0092320B">
        <w:rPr>
          <w:szCs w:val="26"/>
        </w:rPr>
        <w:t> </w:t>
      </w:r>
      <w:r w:rsidRPr="00A43D3A" w:rsidR="008862F0">
        <w:rPr>
          <w:szCs w:val="26"/>
        </w:rPr>
        <w:t>Cal.4th 1354</w:t>
      </w:r>
      <w:r w:rsidRPr="00A43D3A" w:rsidR="007B049F">
        <w:rPr>
          <w:szCs w:val="26"/>
        </w:rPr>
        <w:t xml:space="preserve"> (</w:t>
      </w:r>
      <w:r w:rsidRPr="00A43D3A" w:rsidR="007B049F">
        <w:rPr>
          <w:i/>
          <w:iCs/>
          <w:szCs w:val="26"/>
        </w:rPr>
        <w:t>Gutierrez</w:t>
      </w:r>
      <w:r w:rsidRPr="00A43D3A" w:rsidR="007B049F">
        <w:rPr>
          <w:szCs w:val="26"/>
        </w:rPr>
        <w:t>)</w:t>
      </w:r>
      <w:r w:rsidRPr="00A43D3A" w:rsidR="008862F0">
        <w:rPr>
          <w:szCs w:val="26"/>
        </w:rPr>
        <w:t xml:space="preserve">, </w:t>
      </w:r>
      <w:r w:rsidRPr="00A43D3A" w:rsidR="00945D88">
        <w:rPr>
          <w:szCs w:val="26"/>
        </w:rPr>
        <w:t>we held that</w:t>
      </w:r>
      <w:r w:rsidRPr="00A43D3A" w:rsidR="00801BB9">
        <w:rPr>
          <w:szCs w:val="26"/>
        </w:rPr>
        <w:t>, in a case like this one,</w:t>
      </w:r>
      <w:r w:rsidRPr="00A43D3A" w:rsidR="00945D88">
        <w:rPr>
          <w:szCs w:val="26"/>
        </w:rPr>
        <w:t xml:space="preserve"> </w:t>
      </w:r>
      <w:r w:rsidRPr="00A43D3A" w:rsidR="008862F0">
        <w:rPr>
          <w:szCs w:val="26"/>
        </w:rPr>
        <w:t>w</w:t>
      </w:r>
      <w:r w:rsidRPr="00A43D3A" w:rsidR="00945D88">
        <w:rPr>
          <w:szCs w:val="26"/>
        </w:rPr>
        <w:t xml:space="preserve">hen </w:t>
      </w:r>
      <w:r w:rsidRPr="00A43D3A" w:rsidR="00945D88">
        <w:t xml:space="preserve">a sentencing court was not aware of the </w:t>
      </w:r>
      <w:r w:rsidRPr="00A43D3A" w:rsidR="00B155EB">
        <w:t xml:space="preserve">full </w:t>
      </w:r>
      <w:r w:rsidRPr="00A43D3A" w:rsidR="00945D88">
        <w:t>scope of its discretionary powers</w:t>
      </w:r>
      <w:r w:rsidRPr="00A43D3A" w:rsidR="00801BB9">
        <w:t xml:space="preserve"> at the time the defendant was sentenced</w:t>
      </w:r>
      <w:r w:rsidRPr="00A43D3A" w:rsidR="00945D88">
        <w:t>, “the appropriate remedy is to remand for resentencing unless the record ‘clearly indicate[s]’ that the trial court would have reached the same conclusion ‘even if it had been aware that it had such discretion.</w:t>
      </w:r>
      <w:r w:rsidR="00234A31">
        <w:t>’ ”</w:t>
      </w:r>
      <w:r w:rsidRPr="00A43D3A" w:rsidR="00945D88">
        <w:t xml:space="preserve">  </w:t>
      </w:r>
      <w:r w:rsidRPr="00A43D3A" w:rsidR="00945D88">
        <w:rPr>
          <w:szCs w:val="26"/>
        </w:rPr>
        <w:t>(</w:t>
      </w:r>
      <w:r w:rsidRPr="00A43D3A" w:rsidR="00945D88">
        <w:rPr>
          <w:i/>
          <w:iCs/>
          <w:szCs w:val="26"/>
        </w:rPr>
        <w:t>Id.</w:t>
      </w:r>
      <w:r w:rsidRPr="00A43D3A" w:rsidR="00945D88">
        <w:rPr>
          <w:szCs w:val="26"/>
        </w:rPr>
        <w:t xml:space="preserve"> at p.</w:t>
      </w:r>
      <w:r w:rsidRPr="00A43D3A" w:rsidR="00762E4B">
        <w:rPr>
          <w:szCs w:val="26"/>
        </w:rPr>
        <w:t> </w:t>
      </w:r>
      <w:r w:rsidRPr="00A43D3A" w:rsidR="00945D88">
        <w:rPr>
          <w:szCs w:val="26"/>
        </w:rPr>
        <w:t xml:space="preserve">1391.)  </w:t>
      </w:r>
      <w:r w:rsidRPr="00A43D3A" w:rsidR="00DE2CA8">
        <w:t xml:space="preserve">We granted review to determine whether the Court of Appeal erred </w:t>
      </w:r>
      <w:r w:rsidRPr="00A43D3A" w:rsidR="00801BB9">
        <w:t xml:space="preserve">here </w:t>
      </w:r>
      <w:r w:rsidRPr="00A43D3A" w:rsidR="00DE2CA8">
        <w:t xml:space="preserve">by finding </w:t>
      </w:r>
      <w:r w:rsidR="00ED52F9">
        <w:t xml:space="preserve">that </w:t>
      </w:r>
      <w:r w:rsidRPr="00A43D3A" w:rsidR="00DE2CA8">
        <w:t xml:space="preserve">the record </w:t>
      </w:r>
      <w:r w:rsidRPr="00A43D3A" w:rsidR="00941EF4">
        <w:t>“</w:t>
      </w:r>
      <w:r w:rsidRPr="00A43D3A" w:rsidR="003F6808">
        <w:t> ‘</w:t>
      </w:r>
      <w:r w:rsidRPr="00A43D3A" w:rsidR="00DE2CA8">
        <w:t>clearly indicate</w:t>
      </w:r>
      <w:r w:rsidRPr="00A43D3A" w:rsidR="003F6808">
        <w:t>[</w:t>
      </w:r>
      <w:r w:rsidRPr="00A43D3A" w:rsidR="00DE2CA8">
        <w:t>s</w:t>
      </w:r>
      <w:r w:rsidRPr="00A43D3A" w:rsidR="003F6808">
        <w:t>]’ </w:t>
      </w:r>
      <w:r w:rsidRPr="00A43D3A" w:rsidR="00941EF4">
        <w:t>”</w:t>
      </w:r>
      <w:r w:rsidRPr="00A43D3A" w:rsidR="00DE2CA8">
        <w:t xml:space="preserve"> the trial court would not have imposed a low</w:t>
      </w:r>
      <w:r w:rsidRPr="00A43D3A" w:rsidR="00941EF4">
        <w:t>er</w:t>
      </w:r>
      <w:r w:rsidRPr="00A43D3A" w:rsidR="00A368C7">
        <w:t xml:space="preserve"> </w:t>
      </w:r>
      <w:r w:rsidRPr="00A43D3A" w:rsidR="00DE2CA8">
        <w:t xml:space="preserve">term sentence if it had been aware of </w:t>
      </w:r>
      <w:r w:rsidRPr="00A43D3A" w:rsidR="00B155EB">
        <w:t xml:space="preserve">the scope of its </w:t>
      </w:r>
      <w:r w:rsidRPr="00A43D3A" w:rsidR="00DE2CA8">
        <w:t>discretion</w:t>
      </w:r>
      <w:r w:rsidRPr="00A43D3A" w:rsidR="0084403E">
        <w:t>.</w:t>
      </w:r>
      <w:r w:rsidRPr="00A43D3A" w:rsidR="002670FB">
        <w:t xml:space="preserve">  </w:t>
      </w:r>
      <w:r w:rsidRPr="00A43D3A" w:rsidR="003F6808">
        <w:t>(</w:t>
      </w:r>
      <w:r w:rsidRPr="00A43D3A" w:rsidR="003F6808">
        <w:rPr>
          <w:i/>
          <w:iCs/>
        </w:rPr>
        <w:t>Ibid</w:t>
      </w:r>
      <w:r w:rsidRPr="00A43D3A" w:rsidR="003F6808">
        <w:t xml:space="preserve">.)  </w:t>
      </w:r>
      <w:r w:rsidRPr="00A43D3A" w:rsidR="00302F08">
        <w:t>W</w:t>
      </w:r>
      <w:r w:rsidRPr="00A43D3A" w:rsidR="002670FB">
        <w:t xml:space="preserve">e </w:t>
      </w:r>
      <w:r w:rsidRPr="00A43D3A" w:rsidR="00A87532">
        <w:t xml:space="preserve">find </w:t>
      </w:r>
      <w:r w:rsidRPr="00A43D3A" w:rsidR="0043184D">
        <w:t>no</w:t>
      </w:r>
      <w:r w:rsidRPr="00A43D3A" w:rsidR="00A87532">
        <w:t xml:space="preserve"> </w:t>
      </w:r>
      <w:r w:rsidRPr="00A43D3A" w:rsidR="0043184D">
        <w:t>clear indication in the record</w:t>
      </w:r>
      <w:r w:rsidRPr="00A43D3A" w:rsidR="00D20F6C">
        <w:t xml:space="preserve"> </w:t>
      </w:r>
      <w:r w:rsidRPr="00A43D3A" w:rsidR="00A87532">
        <w:t xml:space="preserve">that the sentencing court would have imposed the same sentence had it been aware of </w:t>
      </w:r>
      <w:r w:rsidRPr="00A43D3A" w:rsidR="00E62E6A">
        <w:t>“</w:t>
      </w:r>
      <w:r w:rsidRPr="00A43D3A" w:rsidR="00237650">
        <w:t> ‘</w:t>
      </w:r>
      <w:r w:rsidRPr="00A43D3A" w:rsidR="0008106A">
        <w:t>the scope of its</w:t>
      </w:r>
      <w:r w:rsidRPr="00A43D3A" w:rsidR="008166AB">
        <w:t xml:space="preserve"> </w:t>
      </w:r>
      <w:r w:rsidRPr="00A43D3A" w:rsidR="007052E6">
        <w:t>discretion</w:t>
      </w:r>
      <w:r w:rsidRPr="00A43D3A" w:rsidR="00E62E6A">
        <w:t>ary powers</w:t>
      </w:r>
      <w:r w:rsidRPr="00A43D3A" w:rsidR="00237650">
        <w:t>’ </w:t>
      </w:r>
      <w:r w:rsidRPr="00A43D3A" w:rsidR="00E62E6A">
        <w:t>”</w:t>
      </w:r>
      <w:r w:rsidRPr="00A43D3A" w:rsidR="00A63B48">
        <w:t xml:space="preserve"> under </w:t>
      </w:r>
      <w:r w:rsidRPr="00A43D3A" w:rsidR="000473E4">
        <w:t>the current section 1170</w:t>
      </w:r>
      <w:r w:rsidRPr="00A43D3A" w:rsidR="001618FD">
        <w:t xml:space="preserve">.  </w:t>
      </w:r>
      <w:r w:rsidRPr="00A43D3A" w:rsidR="00237650">
        <w:t>(</w:t>
      </w:r>
      <w:r w:rsidR="00ED52F9">
        <w:rPr>
          <w:i/>
          <w:iCs/>
        </w:rPr>
        <w:t>Gutierrez</w:t>
      </w:r>
      <w:r w:rsidR="00ED52F9">
        <w:t>, at p.</w:t>
      </w:r>
      <w:r w:rsidR="00C94EE6">
        <w:t> </w:t>
      </w:r>
      <w:r w:rsidR="00ED52F9">
        <w:t>1391</w:t>
      </w:r>
      <w:r w:rsidR="0016368E">
        <w:t>.</w:t>
      </w:r>
      <w:r w:rsidRPr="00A43D3A" w:rsidR="00237650">
        <w:t xml:space="preserve">)  </w:t>
      </w:r>
      <w:r w:rsidRPr="00A43D3A" w:rsidR="00302F08">
        <w:t xml:space="preserve">We </w:t>
      </w:r>
      <w:r w:rsidRPr="00A43D3A" w:rsidR="001618FD">
        <w:t xml:space="preserve">therefore </w:t>
      </w:r>
      <w:r w:rsidRPr="00A43D3A" w:rsidR="00DD2F50">
        <w:t xml:space="preserve">reverse the </w:t>
      </w:r>
      <w:r w:rsidRPr="00A43D3A" w:rsidR="00CC6004">
        <w:t xml:space="preserve">judgment of the </w:t>
      </w:r>
      <w:r w:rsidRPr="00A43D3A" w:rsidR="00DD2F50">
        <w:t>Court of Appeal and remand the case to the Court of Appeal with instructions to remand the case to the superior court for resentencing.</w:t>
      </w:r>
    </w:p>
    <w:p w:rsidR="008B16FC" w:rsidRPr="00A43D3A" w:rsidP="00097AC4" w14:paraId="0CABFA55" w14:textId="77777777">
      <w:pPr>
        <w:tabs>
          <w:tab w:val="left" w:pos="1440"/>
        </w:tabs>
        <w:jc w:val="center"/>
        <w:rPr>
          <w:szCs w:val="26"/>
        </w:rPr>
      </w:pPr>
      <w:r w:rsidRPr="00A43D3A">
        <w:rPr>
          <w:szCs w:val="26"/>
        </w:rPr>
        <w:t>I. Background</w:t>
      </w:r>
    </w:p>
    <w:p w:rsidR="00A33DB8" w:rsidRPr="00A43D3A" w:rsidP="00097AC4" w14:paraId="0CABFA56" w14:textId="77777777">
      <w:pPr>
        <w:tabs>
          <w:tab w:val="left" w:pos="1440"/>
        </w:tabs>
        <w:ind w:firstLine="720"/>
        <w:rPr>
          <w:szCs w:val="26"/>
        </w:rPr>
      </w:pPr>
      <w:r w:rsidRPr="00A43D3A">
        <w:rPr>
          <w:szCs w:val="26"/>
        </w:rPr>
        <w:t xml:space="preserve">In 2018, </w:t>
      </w:r>
      <w:r w:rsidRPr="00A43D3A" w:rsidR="00D10689">
        <w:rPr>
          <w:szCs w:val="26"/>
        </w:rPr>
        <w:t xml:space="preserve">Salazar and M.Q. </w:t>
      </w:r>
      <w:r w:rsidRPr="00A43D3A">
        <w:rPr>
          <w:szCs w:val="26"/>
        </w:rPr>
        <w:t>were in a</w:t>
      </w:r>
      <w:r w:rsidRPr="00A43D3A" w:rsidR="00D10689">
        <w:rPr>
          <w:szCs w:val="26"/>
        </w:rPr>
        <w:t xml:space="preserve"> dating relationship</w:t>
      </w:r>
      <w:r w:rsidRPr="00A43D3A" w:rsidR="00AE02F4">
        <w:rPr>
          <w:szCs w:val="26"/>
        </w:rPr>
        <w:t xml:space="preserve">.  </w:t>
      </w:r>
      <w:r w:rsidRPr="00A43D3A">
        <w:rPr>
          <w:szCs w:val="26"/>
        </w:rPr>
        <w:t>On August 12, 2018,</w:t>
      </w:r>
      <w:r w:rsidRPr="00A43D3A" w:rsidR="00AE02F4">
        <w:rPr>
          <w:szCs w:val="26"/>
        </w:rPr>
        <w:t xml:space="preserve"> after their relationship had ended, </w:t>
      </w:r>
      <w:r w:rsidRPr="00A43D3A">
        <w:rPr>
          <w:szCs w:val="26"/>
        </w:rPr>
        <w:t>M.Q.</w:t>
      </w:r>
      <w:r w:rsidRPr="00A43D3A" w:rsidR="00AE02F4">
        <w:rPr>
          <w:szCs w:val="26"/>
        </w:rPr>
        <w:t xml:space="preserve"> </w:t>
      </w:r>
      <w:r w:rsidRPr="00A43D3A">
        <w:rPr>
          <w:szCs w:val="26"/>
        </w:rPr>
        <w:t>knocked on the door to</w:t>
      </w:r>
      <w:r w:rsidRPr="00A43D3A" w:rsidR="00AE02F4">
        <w:rPr>
          <w:szCs w:val="26"/>
        </w:rPr>
        <w:t xml:space="preserve"> </w:t>
      </w:r>
      <w:r w:rsidRPr="00A43D3A">
        <w:rPr>
          <w:szCs w:val="26"/>
        </w:rPr>
        <w:t>Salazar’s</w:t>
      </w:r>
      <w:r w:rsidRPr="00A43D3A" w:rsidR="00AE02F4">
        <w:rPr>
          <w:szCs w:val="26"/>
        </w:rPr>
        <w:t xml:space="preserve"> motel room</w:t>
      </w:r>
      <w:r w:rsidRPr="00A43D3A" w:rsidR="00905EDF">
        <w:rPr>
          <w:szCs w:val="26"/>
        </w:rPr>
        <w:t xml:space="preserve"> </w:t>
      </w:r>
      <w:r w:rsidRPr="00A43D3A" w:rsidR="004C5E99">
        <w:rPr>
          <w:szCs w:val="26"/>
        </w:rPr>
        <w:t>around 2:00 or 3:00 p.m</w:t>
      </w:r>
      <w:r w:rsidRPr="00A43D3A" w:rsidR="00AE02F4">
        <w:rPr>
          <w:szCs w:val="26"/>
        </w:rPr>
        <w:t xml:space="preserve">.  </w:t>
      </w:r>
      <w:r w:rsidRPr="00A43D3A">
        <w:rPr>
          <w:szCs w:val="26"/>
        </w:rPr>
        <w:t>M.Q.</w:t>
      </w:r>
      <w:r w:rsidRPr="00A43D3A" w:rsidR="001F0771">
        <w:rPr>
          <w:szCs w:val="26"/>
        </w:rPr>
        <w:t xml:space="preserve"> testified that </w:t>
      </w:r>
      <w:r w:rsidRPr="00A43D3A">
        <w:rPr>
          <w:szCs w:val="26"/>
        </w:rPr>
        <w:t>Salazar</w:t>
      </w:r>
      <w:r w:rsidRPr="00A43D3A" w:rsidR="00AE02F4">
        <w:rPr>
          <w:szCs w:val="26"/>
        </w:rPr>
        <w:t xml:space="preserve"> pulled her inside</w:t>
      </w:r>
      <w:r w:rsidRPr="00A43D3A">
        <w:rPr>
          <w:szCs w:val="26"/>
        </w:rPr>
        <w:t xml:space="preserve"> </w:t>
      </w:r>
      <w:r w:rsidRPr="00A43D3A" w:rsidR="00BE2F01">
        <w:rPr>
          <w:szCs w:val="26"/>
        </w:rPr>
        <w:t xml:space="preserve">by the shirt </w:t>
      </w:r>
      <w:r w:rsidRPr="00A43D3A">
        <w:rPr>
          <w:szCs w:val="26"/>
        </w:rPr>
        <w:t xml:space="preserve">and </w:t>
      </w:r>
      <w:r w:rsidRPr="00A43D3A" w:rsidR="00AE02F4">
        <w:rPr>
          <w:szCs w:val="26"/>
        </w:rPr>
        <w:t>punched her in the hea</w:t>
      </w:r>
      <w:r w:rsidRPr="00A43D3A" w:rsidR="005F56A6">
        <w:rPr>
          <w:szCs w:val="26"/>
        </w:rPr>
        <w:t>d, causing her to bleed.</w:t>
      </w:r>
      <w:r w:rsidRPr="00A43D3A" w:rsidR="0005696A">
        <w:rPr>
          <w:szCs w:val="26"/>
        </w:rPr>
        <w:t xml:space="preserve"> </w:t>
      </w:r>
      <w:r w:rsidRPr="00A43D3A" w:rsidR="00302F08">
        <w:rPr>
          <w:szCs w:val="26"/>
        </w:rPr>
        <w:t xml:space="preserve"> </w:t>
      </w:r>
      <w:r w:rsidRPr="00A43D3A" w:rsidR="00710EF3">
        <w:rPr>
          <w:szCs w:val="26"/>
        </w:rPr>
        <w:t>Within a few minutes, h</w:t>
      </w:r>
      <w:r w:rsidRPr="00A43D3A" w:rsidR="005F56A6">
        <w:rPr>
          <w:szCs w:val="26"/>
        </w:rPr>
        <w:t>e put a desk in front of the door</w:t>
      </w:r>
      <w:r w:rsidRPr="00A43D3A" w:rsidR="00BC0966">
        <w:rPr>
          <w:szCs w:val="26"/>
        </w:rPr>
        <w:t xml:space="preserve"> to prevent M.Q. from leaving</w:t>
      </w:r>
      <w:r w:rsidRPr="00A43D3A" w:rsidR="005F56A6">
        <w:rPr>
          <w:szCs w:val="26"/>
        </w:rPr>
        <w:t>.</w:t>
      </w:r>
      <w:r w:rsidRPr="00A43D3A" w:rsidR="00710EF3">
        <w:rPr>
          <w:szCs w:val="26"/>
        </w:rPr>
        <w:t xml:space="preserve"> </w:t>
      </w:r>
    </w:p>
    <w:p w:rsidR="00D10689" w:rsidRPr="00A43D3A" w:rsidP="00097AC4" w14:paraId="0CABFA57" w14:textId="77777777">
      <w:pPr>
        <w:tabs>
          <w:tab w:val="left" w:pos="1440"/>
        </w:tabs>
        <w:ind w:firstLine="720"/>
        <w:rPr>
          <w:szCs w:val="26"/>
        </w:rPr>
      </w:pPr>
      <w:r w:rsidRPr="00A43D3A">
        <w:rPr>
          <w:szCs w:val="26"/>
        </w:rPr>
        <w:t>Salazar accused M.Q. of being followed or bringing people with her</w:t>
      </w:r>
      <w:r w:rsidRPr="00A43D3A" w:rsidR="00612F47">
        <w:rPr>
          <w:szCs w:val="26"/>
        </w:rPr>
        <w:t>.</w:t>
      </w:r>
      <w:r w:rsidRPr="00A43D3A">
        <w:rPr>
          <w:szCs w:val="26"/>
        </w:rPr>
        <w:t xml:space="preserve">  </w:t>
      </w:r>
      <w:r w:rsidRPr="00A43D3A" w:rsidR="00FD199C">
        <w:rPr>
          <w:szCs w:val="26"/>
        </w:rPr>
        <w:t xml:space="preserve">Even though his motorcycle was in the parking lot, Salazar repeatedly claimed </w:t>
      </w:r>
      <w:r w:rsidRPr="00A43D3A">
        <w:rPr>
          <w:szCs w:val="26"/>
        </w:rPr>
        <w:t>M.Q.</w:t>
      </w:r>
      <w:r w:rsidRPr="00A43D3A" w:rsidR="00FD199C">
        <w:rPr>
          <w:szCs w:val="26"/>
        </w:rPr>
        <w:t xml:space="preserve"> stole it and sold it to someone who replaced it with a different bike.  </w:t>
      </w:r>
      <w:r w:rsidRPr="00A43D3A" w:rsidR="004C5E99">
        <w:rPr>
          <w:szCs w:val="26"/>
        </w:rPr>
        <w:t>By 7</w:t>
      </w:r>
      <w:r w:rsidR="00220D9F">
        <w:rPr>
          <w:szCs w:val="26"/>
        </w:rPr>
        <w:t>:00</w:t>
      </w:r>
      <w:r w:rsidRPr="00A43D3A" w:rsidR="004C5E99">
        <w:rPr>
          <w:szCs w:val="26"/>
        </w:rPr>
        <w:t xml:space="preserve"> p.m.</w:t>
      </w:r>
      <w:r w:rsidRPr="00A43D3A" w:rsidR="0036576E">
        <w:rPr>
          <w:szCs w:val="26"/>
        </w:rPr>
        <w:t xml:space="preserve">, </w:t>
      </w:r>
      <w:r w:rsidRPr="00A43D3A" w:rsidR="004C5E99">
        <w:rPr>
          <w:szCs w:val="26"/>
        </w:rPr>
        <w:t>Salazar had</w:t>
      </w:r>
      <w:r w:rsidRPr="00A43D3A" w:rsidR="0036576E">
        <w:rPr>
          <w:szCs w:val="26"/>
        </w:rPr>
        <w:t xml:space="preserve"> punched </w:t>
      </w:r>
      <w:r w:rsidRPr="00A43D3A" w:rsidR="004C5E99">
        <w:rPr>
          <w:szCs w:val="26"/>
        </w:rPr>
        <w:t>M.Q.</w:t>
      </w:r>
      <w:r w:rsidRPr="00A43D3A" w:rsidR="0036576E">
        <w:rPr>
          <w:szCs w:val="26"/>
        </w:rPr>
        <w:t xml:space="preserve"> five to ten times and sprayed her </w:t>
      </w:r>
      <w:r w:rsidRPr="00A43D3A" w:rsidR="00B061EA">
        <w:rPr>
          <w:szCs w:val="26"/>
        </w:rPr>
        <w:t xml:space="preserve">with pepper spray </w:t>
      </w:r>
      <w:r w:rsidRPr="00A43D3A" w:rsidR="0036576E">
        <w:rPr>
          <w:szCs w:val="26"/>
        </w:rPr>
        <w:t xml:space="preserve">five to </w:t>
      </w:r>
      <w:r w:rsidR="000D18DB">
        <w:rPr>
          <w:szCs w:val="26"/>
        </w:rPr>
        <w:t>10</w:t>
      </w:r>
      <w:r w:rsidRPr="00A43D3A" w:rsidR="0036576E">
        <w:rPr>
          <w:szCs w:val="26"/>
        </w:rPr>
        <w:t xml:space="preserve"> times.  </w:t>
      </w:r>
      <w:r w:rsidRPr="00A43D3A" w:rsidR="004C5E99">
        <w:rPr>
          <w:szCs w:val="26"/>
        </w:rPr>
        <w:t>Around 7</w:t>
      </w:r>
      <w:r w:rsidR="00220D9F">
        <w:rPr>
          <w:szCs w:val="26"/>
        </w:rPr>
        <w:t>:00</w:t>
      </w:r>
      <w:r w:rsidRPr="00A43D3A" w:rsidR="004C5E99">
        <w:rPr>
          <w:szCs w:val="26"/>
        </w:rPr>
        <w:t xml:space="preserve"> p.m., Salazar </w:t>
      </w:r>
      <w:r w:rsidRPr="00A43D3A" w:rsidR="00FD199C">
        <w:rPr>
          <w:szCs w:val="26"/>
        </w:rPr>
        <w:t xml:space="preserve">also </w:t>
      </w:r>
      <w:r w:rsidRPr="00A43D3A" w:rsidR="004C5E99">
        <w:rPr>
          <w:szCs w:val="26"/>
        </w:rPr>
        <w:t xml:space="preserve">threatened to kill M.Q.  </w:t>
      </w:r>
      <w:r w:rsidRPr="00A43D3A" w:rsidR="00FD199C">
        <w:rPr>
          <w:szCs w:val="26"/>
        </w:rPr>
        <w:t xml:space="preserve">Later in the evening, Salazar </w:t>
      </w:r>
      <w:r w:rsidRPr="00A43D3A" w:rsidR="0036576E">
        <w:rPr>
          <w:szCs w:val="26"/>
        </w:rPr>
        <w:t xml:space="preserve">kicked </w:t>
      </w:r>
      <w:r w:rsidRPr="00A43D3A" w:rsidR="00B061EA">
        <w:rPr>
          <w:szCs w:val="26"/>
        </w:rPr>
        <w:t xml:space="preserve">M.Q. </w:t>
      </w:r>
      <w:r w:rsidRPr="00A43D3A" w:rsidR="00FD199C">
        <w:rPr>
          <w:szCs w:val="26"/>
        </w:rPr>
        <w:t>between the</w:t>
      </w:r>
      <w:r w:rsidRPr="00A43D3A" w:rsidR="0036576E">
        <w:rPr>
          <w:szCs w:val="26"/>
        </w:rPr>
        <w:t xml:space="preserve"> thigh</w:t>
      </w:r>
      <w:r w:rsidRPr="00A43D3A" w:rsidR="00FD199C">
        <w:rPr>
          <w:szCs w:val="26"/>
        </w:rPr>
        <w:t>s</w:t>
      </w:r>
      <w:r w:rsidRPr="00A43D3A" w:rsidR="0036576E">
        <w:rPr>
          <w:szCs w:val="26"/>
        </w:rPr>
        <w:t xml:space="preserve">, knocking her to the ground. </w:t>
      </w:r>
      <w:r w:rsidRPr="00A43D3A" w:rsidR="006C4203">
        <w:rPr>
          <w:szCs w:val="26"/>
        </w:rPr>
        <w:t xml:space="preserve"> </w:t>
      </w:r>
      <w:r w:rsidRPr="00A43D3A" w:rsidR="00710EF3">
        <w:rPr>
          <w:szCs w:val="26"/>
        </w:rPr>
        <w:t>Salazar ingested five lines of methamphetamine while in the motel room.</w:t>
      </w:r>
    </w:p>
    <w:p w:rsidR="000665C1" w:rsidRPr="00A43D3A" w:rsidP="00097AC4" w14:paraId="0CABFA58" w14:textId="77777777">
      <w:pPr>
        <w:tabs>
          <w:tab w:val="left" w:pos="1440"/>
        </w:tabs>
        <w:ind w:firstLine="720"/>
        <w:rPr>
          <w:szCs w:val="26"/>
        </w:rPr>
      </w:pPr>
      <w:r w:rsidRPr="00A43D3A">
        <w:rPr>
          <w:szCs w:val="26"/>
        </w:rPr>
        <w:t xml:space="preserve">According to </w:t>
      </w:r>
      <w:r w:rsidRPr="00A43D3A" w:rsidR="00C75B56">
        <w:rPr>
          <w:szCs w:val="26"/>
        </w:rPr>
        <w:t>M.Q.</w:t>
      </w:r>
      <w:r w:rsidRPr="00A43D3A" w:rsidR="006220AF">
        <w:rPr>
          <w:szCs w:val="26"/>
        </w:rPr>
        <w:t>,</w:t>
      </w:r>
      <w:r w:rsidRPr="00A43D3A" w:rsidR="00C75B56">
        <w:rPr>
          <w:szCs w:val="26"/>
        </w:rPr>
        <w:t xml:space="preserve"> </w:t>
      </w:r>
      <w:r w:rsidRPr="00A43D3A" w:rsidR="006220AF">
        <w:rPr>
          <w:szCs w:val="26"/>
        </w:rPr>
        <w:t>around</w:t>
      </w:r>
      <w:r w:rsidRPr="00A43D3A" w:rsidR="006C4203">
        <w:rPr>
          <w:szCs w:val="26"/>
        </w:rPr>
        <w:t xml:space="preserve"> 8:00 p.m., </w:t>
      </w:r>
      <w:r w:rsidRPr="00A43D3A" w:rsidR="00C75B56">
        <w:rPr>
          <w:szCs w:val="26"/>
        </w:rPr>
        <w:t xml:space="preserve">Salazar </w:t>
      </w:r>
      <w:r w:rsidRPr="00A43D3A" w:rsidR="006C4203">
        <w:rPr>
          <w:szCs w:val="26"/>
        </w:rPr>
        <w:t xml:space="preserve">insisted that </w:t>
      </w:r>
      <w:r w:rsidRPr="00A43D3A">
        <w:rPr>
          <w:szCs w:val="26"/>
        </w:rPr>
        <w:t>she</w:t>
      </w:r>
      <w:r w:rsidRPr="00A43D3A" w:rsidR="006C4203">
        <w:rPr>
          <w:szCs w:val="26"/>
        </w:rPr>
        <w:t xml:space="preserve"> accompany him in her car to purchase </w:t>
      </w:r>
      <w:r w:rsidRPr="00A43D3A" w:rsidR="00FD199C">
        <w:rPr>
          <w:szCs w:val="26"/>
        </w:rPr>
        <w:t xml:space="preserve">more </w:t>
      </w:r>
      <w:r w:rsidRPr="00A43D3A" w:rsidR="006C4203">
        <w:rPr>
          <w:szCs w:val="26"/>
        </w:rPr>
        <w:t>drugs.</w:t>
      </w:r>
      <w:r w:rsidRPr="00A43D3A" w:rsidR="00C75B56">
        <w:rPr>
          <w:szCs w:val="26"/>
        </w:rPr>
        <w:t xml:space="preserve">  </w:t>
      </w:r>
      <w:r w:rsidRPr="00A43D3A" w:rsidR="00710EF3">
        <w:rPr>
          <w:szCs w:val="26"/>
        </w:rPr>
        <w:t xml:space="preserve">Before leaving the motel room, Salazar </w:t>
      </w:r>
      <w:r w:rsidRPr="00A43D3A" w:rsidR="00D10AFA">
        <w:rPr>
          <w:szCs w:val="26"/>
        </w:rPr>
        <w:t xml:space="preserve">broke </w:t>
      </w:r>
      <w:r w:rsidRPr="00A43D3A" w:rsidR="00710EF3">
        <w:rPr>
          <w:szCs w:val="26"/>
        </w:rPr>
        <w:t>M.Q.’s phone</w:t>
      </w:r>
      <w:r w:rsidRPr="00A43D3A" w:rsidR="00D10AFA">
        <w:rPr>
          <w:szCs w:val="26"/>
        </w:rPr>
        <w:t xml:space="preserve"> into two</w:t>
      </w:r>
      <w:r w:rsidRPr="00A43D3A" w:rsidR="00710EF3">
        <w:rPr>
          <w:szCs w:val="26"/>
        </w:rPr>
        <w:t xml:space="preserve"> and </w:t>
      </w:r>
      <w:r w:rsidRPr="00A43D3A" w:rsidR="00D10AFA">
        <w:rPr>
          <w:szCs w:val="26"/>
        </w:rPr>
        <w:t xml:space="preserve">took </w:t>
      </w:r>
      <w:r w:rsidRPr="00A43D3A" w:rsidR="00710EF3">
        <w:rPr>
          <w:szCs w:val="26"/>
        </w:rPr>
        <w:t xml:space="preserve">keys from her purse.  </w:t>
      </w:r>
      <w:r w:rsidRPr="00A43D3A" w:rsidR="006C4203">
        <w:rPr>
          <w:szCs w:val="26"/>
        </w:rPr>
        <w:t xml:space="preserve">From about 11:00 p.m. until about 9:00 </w:t>
      </w:r>
      <w:r w:rsidRPr="00A43D3A" w:rsidR="00401704">
        <w:rPr>
          <w:szCs w:val="26"/>
        </w:rPr>
        <w:t xml:space="preserve">a.m. </w:t>
      </w:r>
      <w:r w:rsidRPr="00A43D3A" w:rsidR="006C4203">
        <w:rPr>
          <w:szCs w:val="26"/>
        </w:rPr>
        <w:t xml:space="preserve">the next morning, </w:t>
      </w:r>
      <w:r w:rsidRPr="00A43D3A" w:rsidR="00401704">
        <w:rPr>
          <w:szCs w:val="26"/>
        </w:rPr>
        <w:t>Salazar</w:t>
      </w:r>
      <w:r w:rsidRPr="00A43D3A" w:rsidR="006C4203">
        <w:rPr>
          <w:szCs w:val="26"/>
        </w:rPr>
        <w:t xml:space="preserve"> drove M.Q.’s car while she sat in the passenger seat.  He continued to punch and spray her with pepper spray</w:t>
      </w:r>
      <w:r w:rsidRPr="00A43D3A" w:rsidR="00BC3FC4">
        <w:rPr>
          <w:szCs w:val="26"/>
        </w:rPr>
        <w:t xml:space="preserve"> and with glass cleaner</w:t>
      </w:r>
      <w:r w:rsidRPr="00A43D3A" w:rsidR="006C4203">
        <w:rPr>
          <w:szCs w:val="26"/>
        </w:rPr>
        <w:t>.</w:t>
      </w:r>
    </w:p>
    <w:p w:rsidR="006C4203" w:rsidRPr="00A43D3A" w:rsidP="00097AC4" w14:paraId="0CABFA59" w14:textId="77777777">
      <w:pPr>
        <w:tabs>
          <w:tab w:val="left" w:pos="1440"/>
        </w:tabs>
        <w:ind w:firstLine="720"/>
        <w:rPr>
          <w:szCs w:val="26"/>
        </w:rPr>
      </w:pPr>
      <w:r w:rsidRPr="00A43D3A">
        <w:rPr>
          <w:szCs w:val="26"/>
        </w:rPr>
        <w:t xml:space="preserve">M.Q. testified that at about 9:00 a.m., they returned to the motel room.  </w:t>
      </w:r>
      <w:r w:rsidRPr="00A43D3A" w:rsidR="000665C1">
        <w:rPr>
          <w:szCs w:val="26"/>
        </w:rPr>
        <w:t>A</w:t>
      </w:r>
      <w:r w:rsidRPr="00A43D3A">
        <w:rPr>
          <w:szCs w:val="26"/>
        </w:rPr>
        <w:t xml:space="preserve">t about 10:00 a.m., </w:t>
      </w:r>
      <w:r w:rsidRPr="00A43D3A" w:rsidR="00401704">
        <w:rPr>
          <w:szCs w:val="26"/>
        </w:rPr>
        <w:t>Salazar</w:t>
      </w:r>
      <w:r w:rsidRPr="00A43D3A">
        <w:rPr>
          <w:szCs w:val="26"/>
        </w:rPr>
        <w:t xml:space="preserve"> drove M.Q.’s car to </w:t>
      </w:r>
      <w:r w:rsidRPr="00A43D3A" w:rsidR="0068284A">
        <w:rPr>
          <w:szCs w:val="26"/>
        </w:rPr>
        <w:t>a park</w:t>
      </w:r>
      <w:r w:rsidRPr="00A43D3A" w:rsidR="006F4CF8">
        <w:rPr>
          <w:szCs w:val="26"/>
        </w:rPr>
        <w:t xml:space="preserve">, </w:t>
      </w:r>
      <w:r w:rsidRPr="00A43D3A" w:rsidR="000665C1">
        <w:rPr>
          <w:szCs w:val="26"/>
        </w:rPr>
        <w:t>with M.Q.</w:t>
      </w:r>
      <w:r w:rsidRPr="00A43D3A">
        <w:rPr>
          <w:szCs w:val="26"/>
        </w:rPr>
        <w:t xml:space="preserve"> follow</w:t>
      </w:r>
      <w:r w:rsidRPr="00A43D3A" w:rsidR="000665C1">
        <w:rPr>
          <w:szCs w:val="26"/>
        </w:rPr>
        <w:t>ing</w:t>
      </w:r>
      <w:r w:rsidRPr="00A43D3A">
        <w:rPr>
          <w:szCs w:val="26"/>
        </w:rPr>
        <w:t xml:space="preserve"> in his truck.  </w:t>
      </w:r>
      <w:r w:rsidRPr="00A43D3A" w:rsidR="000665C1">
        <w:rPr>
          <w:szCs w:val="26"/>
        </w:rPr>
        <w:t>Once there, h</w:t>
      </w:r>
      <w:r w:rsidRPr="00A43D3A">
        <w:rPr>
          <w:szCs w:val="26"/>
        </w:rPr>
        <w:t xml:space="preserve">e became angry that she did not park his truck correctly and bit her face, </w:t>
      </w:r>
      <w:r w:rsidRPr="00A43D3A" w:rsidR="00401704">
        <w:rPr>
          <w:szCs w:val="26"/>
        </w:rPr>
        <w:t>making her bleed</w:t>
      </w:r>
      <w:r w:rsidRPr="00A43D3A">
        <w:rPr>
          <w:szCs w:val="26"/>
        </w:rPr>
        <w:t>.</w:t>
      </w:r>
      <w:r w:rsidRPr="00A43D3A" w:rsidR="00F52AA8">
        <w:rPr>
          <w:szCs w:val="26"/>
        </w:rPr>
        <w:t xml:space="preserve">  </w:t>
      </w:r>
      <w:r w:rsidRPr="00A43D3A" w:rsidR="000665C1">
        <w:rPr>
          <w:szCs w:val="26"/>
        </w:rPr>
        <w:t>Salazar then drove the two of them back to the motel in his truck</w:t>
      </w:r>
      <w:r w:rsidRPr="00A43D3A">
        <w:rPr>
          <w:szCs w:val="26"/>
        </w:rPr>
        <w:t xml:space="preserve">, leaving </w:t>
      </w:r>
      <w:r w:rsidRPr="00A43D3A" w:rsidR="00BC0966">
        <w:rPr>
          <w:szCs w:val="26"/>
        </w:rPr>
        <w:t xml:space="preserve">M.Q.’s car </w:t>
      </w:r>
      <w:r w:rsidRPr="00A43D3A">
        <w:rPr>
          <w:szCs w:val="26"/>
        </w:rPr>
        <w:t>behind</w:t>
      </w:r>
      <w:r w:rsidRPr="00A43D3A" w:rsidR="000665C1">
        <w:rPr>
          <w:szCs w:val="26"/>
        </w:rPr>
        <w:t>.  They</w:t>
      </w:r>
      <w:r w:rsidRPr="00A43D3A">
        <w:rPr>
          <w:szCs w:val="26"/>
        </w:rPr>
        <w:t xml:space="preserve"> then</w:t>
      </w:r>
      <w:r w:rsidRPr="00A43D3A" w:rsidR="000665C1">
        <w:rPr>
          <w:szCs w:val="26"/>
        </w:rPr>
        <w:t xml:space="preserve"> returned to </w:t>
      </w:r>
      <w:r w:rsidRPr="00A43D3A" w:rsidR="0068284A">
        <w:rPr>
          <w:szCs w:val="26"/>
        </w:rPr>
        <w:t>the p</w:t>
      </w:r>
      <w:r w:rsidRPr="00A43D3A" w:rsidR="000665C1">
        <w:rPr>
          <w:szCs w:val="26"/>
        </w:rPr>
        <w:t>ark a second time with M.Q. driving the truck and Salazar</w:t>
      </w:r>
      <w:r w:rsidRPr="00A43D3A" w:rsidR="00612F47">
        <w:rPr>
          <w:szCs w:val="26"/>
        </w:rPr>
        <w:t xml:space="preserve"> driving</w:t>
      </w:r>
      <w:r w:rsidRPr="00A43D3A" w:rsidR="000665C1">
        <w:rPr>
          <w:szCs w:val="26"/>
        </w:rPr>
        <w:t xml:space="preserve"> his motorcycle.  </w:t>
      </w:r>
      <w:r w:rsidR="00FA061A">
        <w:rPr>
          <w:szCs w:val="26"/>
        </w:rPr>
        <w:t>M.Q. and Salazar</w:t>
      </w:r>
      <w:r w:rsidRPr="00A43D3A" w:rsidR="00297EA5">
        <w:rPr>
          <w:szCs w:val="26"/>
        </w:rPr>
        <w:t xml:space="preserve"> then both rode to the motel on Salazar’s motorcycle, leaving the truck behind at the park.</w:t>
      </w:r>
    </w:p>
    <w:p w:rsidR="00E9618C" w:rsidRPr="00A43D3A" w:rsidP="00097AC4" w14:paraId="0CABFA5A" w14:textId="77777777">
      <w:pPr>
        <w:tabs>
          <w:tab w:val="left" w:pos="1440"/>
        </w:tabs>
        <w:ind w:firstLine="720"/>
        <w:rPr>
          <w:szCs w:val="26"/>
        </w:rPr>
      </w:pPr>
      <w:r w:rsidRPr="00A43D3A">
        <w:rPr>
          <w:szCs w:val="26"/>
        </w:rPr>
        <w:t xml:space="preserve">The two </w:t>
      </w:r>
      <w:r w:rsidRPr="00A43D3A" w:rsidR="004576BB">
        <w:rPr>
          <w:szCs w:val="26"/>
        </w:rPr>
        <w:t xml:space="preserve">then </w:t>
      </w:r>
      <w:r w:rsidRPr="00A43D3A" w:rsidR="00297EA5">
        <w:rPr>
          <w:szCs w:val="26"/>
        </w:rPr>
        <w:t xml:space="preserve">proceeded on Salazar’s motorcycle to </w:t>
      </w:r>
      <w:r w:rsidRPr="00A43D3A" w:rsidR="00F52AA8">
        <w:rPr>
          <w:szCs w:val="26"/>
        </w:rPr>
        <w:t>Chase Bank</w:t>
      </w:r>
      <w:r w:rsidRPr="00A43D3A" w:rsidR="006C4203">
        <w:rPr>
          <w:szCs w:val="26"/>
        </w:rPr>
        <w:t xml:space="preserve">.  When they </w:t>
      </w:r>
      <w:r w:rsidRPr="00A43D3A">
        <w:rPr>
          <w:szCs w:val="26"/>
        </w:rPr>
        <w:t>arrived</w:t>
      </w:r>
      <w:r w:rsidRPr="00A43D3A" w:rsidR="00C81615">
        <w:rPr>
          <w:szCs w:val="26"/>
        </w:rPr>
        <w:t xml:space="preserve"> at the bank</w:t>
      </w:r>
      <w:r w:rsidRPr="00A43D3A">
        <w:rPr>
          <w:szCs w:val="26"/>
        </w:rPr>
        <w:t>, Salazar said “we’re going to go to the ATM to pull out the $3,000 that [M.Q.] owed him”</w:t>
      </w:r>
      <w:r w:rsidRPr="00A43D3A" w:rsidR="00BC3FC4">
        <w:rPr>
          <w:szCs w:val="26"/>
        </w:rPr>
        <w:t xml:space="preserve"> for his motorcycle.</w:t>
      </w:r>
      <w:r w:rsidRPr="00A43D3A">
        <w:rPr>
          <w:szCs w:val="26"/>
        </w:rPr>
        <w:t xml:space="preserve">  M.Q. replied </w:t>
      </w:r>
      <w:r w:rsidRPr="00A43D3A" w:rsidR="00B248D7">
        <w:rPr>
          <w:szCs w:val="26"/>
        </w:rPr>
        <w:t>that they had to go inside because</w:t>
      </w:r>
      <w:r w:rsidRPr="00A43D3A">
        <w:rPr>
          <w:szCs w:val="26"/>
        </w:rPr>
        <w:t xml:space="preserve"> ATMs do not </w:t>
      </w:r>
      <w:r w:rsidRPr="00A43D3A" w:rsidR="00B248D7">
        <w:rPr>
          <w:szCs w:val="26"/>
        </w:rPr>
        <w:t>give out</w:t>
      </w:r>
      <w:r w:rsidRPr="00A43D3A">
        <w:rPr>
          <w:szCs w:val="26"/>
        </w:rPr>
        <w:t xml:space="preserve"> $3,000.  </w:t>
      </w:r>
      <w:r w:rsidRPr="00A43D3A" w:rsidR="00D76D60">
        <w:rPr>
          <w:szCs w:val="26"/>
        </w:rPr>
        <w:t>When they</w:t>
      </w:r>
      <w:r w:rsidRPr="00A43D3A">
        <w:rPr>
          <w:szCs w:val="26"/>
        </w:rPr>
        <w:t xml:space="preserve"> </w:t>
      </w:r>
      <w:r w:rsidRPr="00A43D3A" w:rsidR="006C4203">
        <w:rPr>
          <w:szCs w:val="26"/>
        </w:rPr>
        <w:t xml:space="preserve">went inside, </w:t>
      </w:r>
      <w:r w:rsidRPr="00A43D3A" w:rsidR="00F52AA8">
        <w:rPr>
          <w:szCs w:val="26"/>
        </w:rPr>
        <w:t>M.Q.</w:t>
      </w:r>
      <w:r w:rsidRPr="00A43D3A" w:rsidR="006C4203">
        <w:rPr>
          <w:szCs w:val="26"/>
        </w:rPr>
        <w:t xml:space="preserve"> </w:t>
      </w:r>
      <w:r w:rsidRPr="00A43D3A" w:rsidR="00D76D60">
        <w:rPr>
          <w:szCs w:val="26"/>
        </w:rPr>
        <w:t>pulled her</w:t>
      </w:r>
      <w:r w:rsidRPr="00A43D3A" w:rsidR="006C4203">
        <w:rPr>
          <w:szCs w:val="26"/>
        </w:rPr>
        <w:t xml:space="preserve"> sunglasses </w:t>
      </w:r>
      <w:r w:rsidRPr="00A43D3A" w:rsidR="00D76D60">
        <w:rPr>
          <w:szCs w:val="26"/>
        </w:rPr>
        <w:t>up and</w:t>
      </w:r>
      <w:r w:rsidRPr="00A43D3A" w:rsidR="006C4203">
        <w:rPr>
          <w:szCs w:val="26"/>
        </w:rPr>
        <w:t xml:space="preserve"> asked </w:t>
      </w:r>
      <w:r w:rsidRPr="00A43D3A" w:rsidR="00D76D60">
        <w:rPr>
          <w:szCs w:val="26"/>
        </w:rPr>
        <w:t xml:space="preserve">a bank </w:t>
      </w:r>
      <w:r w:rsidRPr="00A43D3A" w:rsidR="00510C24">
        <w:rPr>
          <w:szCs w:val="26"/>
        </w:rPr>
        <w:t>employee</w:t>
      </w:r>
      <w:r w:rsidRPr="00A43D3A" w:rsidR="006C4203">
        <w:rPr>
          <w:szCs w:val="26"/>
        </w:rPr>
        <w:t xml:space="preserve"> to call the police.  Police responded and arrested </w:t>
      </w:r>
      <w:r w:rsidRPr="00A43D3A" w:rsidR="00401704">
        <w:rPr>
          <w:szCs w:val="26"/>
        </w:rPr>
        <w:t>Salazar</w:t>
      </w:r>
      <w:r w:rsidRPr="00A43D3A" w:rsidR="006C4203">
        <w:rPr>
          <w:szCs w:val="26"/>
        </w:rPr>
        <w:t xml:space="preserve">.  </w:t>
      </w:r>
    </w:p>
    <w:p w:rsidR="0036576E" w:rsidRPr="00A43D3A" w:rsidP="00097AC4" w14:paraId="0CABFA5B" w14:textId="77777777">
      <w:pPr>
        <w:tabs>
          <w:tab w:val="left" w:pos="1440"/>
        </w:tabs>
        <w:ind w:firstLine="720"/>
        <w:rPr>
          <w:szCs w:val="26"/>
        </w:rPr>
      </w:pPr>
      <w:r w:rsidRPr="00A43D3A">
        <w:rPr>
          <w:szCs w:val="26"/>
        </w:rPr>
        <w:t xml:space="preserve">M.Q. went to the hospital for treatment.  </w:t>
      </w:r>
      <w:r w:rsidRPr="00A43D3A" w:rsidR="00D8577B">
        <w:rPr>
          <w:szCs w:val="26"/>
        </w:rPr>
        <w:t>The</w:t>
      </w:r>
      <w:r w:rsidRPr="00A43D3A">
        <w:rPr>
          <w:szCs w:val="26"/>
        </w:rPr>
        <w:t xml:space="preserve"> treating physician found that she </w:t>
      </w:r>
      <w:r w:rsidRPr="00A43D3A" w:rsidR="00904E35">
        <w:rPr>
          <w:szCs w:val="26"/>
        </w:rPr>
        <w:t xml:space="preserve">had a </w:t>
      </w:r>
      <w:r w:rsidRPr="00A43D3A" w:rsidR="006C4203">
        <w:rPr>
          <w:szCs w:val="26"/>
        </w:rPr>
        <w:t>fractured</w:t>
      </w:r>
      <w:r w:rsidRPr="00A43D3A" w:rsidR="00904E35">
        <w:rPr>
          <w:szCs w:val="26"/>
        </w:rPr>
        <w:t xml:space="preserve"> cheek bone, </w:t>
      </w:r>
      <w:r w:rsidRPr="00A43D3A" w:rsidR="006C4203">
        <w:rPr>
          <w:szCs w:val="26"/>
        </w:rPr>
        <w:t>a closed head injury, swelling around her eye, and a</w:t>
      </w:r>
      <w:r w:rsidRPr="00A43D3A" w:rsidR="00904E35">
        <w:rPr>
          <w:szCs w:val="26"/>
        </w:rPr>
        <w:t>n injury consistent with a</w:t>
      </w:r>
      <w:r w:rsidRPr="00A43D3A" w:rsidR="006C4203">
        <w:rPr>
          <w:szCs w:val="26"/>
        </w:rPr>
        <w:t xml:space="preserve"> bite mark on her face.</w:t>
      </w:r>
    </w:p>
    <w:p w:rsidR="006C4203" w:rsidRPr="00A43D3A" w:rsidP="00097AC4" w14:paraId="0CABFA5C" w14:textId="77777777">
      <w:pPr>
        <w:tabs>
          <w:tab w:val="left" w:pos="1440"/>
        </w:tabs>
        <w:ind w:firstLine="720"/>
        <w:rPr>
          <w:szCs w:val="26"/>
        </w:rPr>
      </w:pPr>
      <w:r w:rsidRPr="00A43D3A">
        <w:rPr>
          <w:szCs w:val="26"/>
        </w:rPr>
        <w:t>The</w:t>
      </w:r>
      <w:r w:rsidRPr="00A43D3A" w:rsidR="00FE2A06">
        <w:rPr>
          <w:szCs w:val="26"/>
        </w:rPr>
        <w:t xml:space="preserve"> jury </w:t>
      </w:r>
      <w:r w:rsidRPr="00A43D3A" w:rsidR="00927D30">
        <w:rPr>
          <w:szCs w:val="26"/>
        </w:rPr>
        <w:t xml:space="preserve">acquitted Salazar of kidnapping but </w:t>
      </w:r>
      <w:r w:rsidRPr="00A43D3A" w:rsidR="00FE2A06">
        <w:rPr>
          <w:szCs w:val="26"/>
        </w:rPr>
        <w:t xml:space="preserve">found </w:t>
      </w:r>
      <w:r w:rsidRPr="00A43D3A" w:rsidR="00927D30">
        <w:rPr>
          <w:szCs w:val="26"/>
        </w:rPr>
        <w:t>him guilty of the lesser included offense</w:t>
      </w:r>
      <w:r w:rsidRPr="00A43D3A" w:rsidR="00FE2A06">
        <w:rPr>
          <w:szCs w:val="26"/>
        </w:rPr>
        <w:t xml:space="preserve"> of false imprisonment by violence or menace (§§ 236, 237, subd. (a))</w:t>
      </w:r>
      <w:r w:rsidRPr="00A43D3A" w:rsidR="00927D30">
        <w:rPr>
          <w:szCs w:val="26"/>
        </w:rPr>
        <w:t xml:space="preserve">.  The jury also found Salazar guilty of </w:t>
      </w:r>
      <w:r w:rsidRPr="00A43D3A" w:rsidR="00FE2A06">
        <w:rPr>
          <w:szCs w:val="26"/>
        </w:rPr>
        <w:t xml:space="preserve">infliction of corporal injury on a person with whom he had a current or former dating relationship (§ 273.5, subd. (a)).  </w:t>
      </w:r>
      <w:r w:rsidRPr="00A43D3A" w:rsidR="00927D30">
        <w:rPr>
          <w:szCs w:val="26"/>
        </w:rPr>
        <w:t xml:space="preserve">The jury acquitted Salazar of attempted robbery (§§ 664, 211).  </w:t>
      </w:r>
      <w:r w:rsidRPr="00A43D3A" w:rsidR="00E3753F">
        <w:rPr>
          <w:szCs w:val="26"/>
        </w:rPr>
        <w:t>The jury did not reach agreement on a</w:t>
      </w:r>
      <w:r w:rsidRPr="00A43D3A" w:rsidR="008A5ED1">
        <w:rPr>
          <w:szCs w:val="26"/>
        </w:rPr>
        <w:t>n allegation that Salazar personally inflicted great bodily injury</w:t>
      </w:r>
      <w:r w:rsidRPr="00A43D3A" w:rsidR="00E3753F">
        <w:rPr>
          <w:szCs w:val="26"/>
        </w:rPr>
        <w:t xml:space="preserve"> </w:t>
      </w:r>
      <w:r w:rsidRPr="00A43D3A" w:rsidR="008A5ED1">
        <w:rPr>
          <w:szCs w:val="26"/>
        </w:rPr>
        <w:t xml:space="preserve">(§ </w:t>
      </w:r>
      <w:r w:rsidRPr="00A43D3A" w:rsidR="00E3753F">
        <w:rPr>
          <w:szCs w:val="26"/>
        </w:rPr>
        <w:t>12022.7, subd. (e)</w:t>
      </w:r>
      <w:r w:rsidRPr="00A43D3A" w:rsidR="008A5ED1">
        <w:rPr>
          <w:szCs w:val="26"/>
        </w:rPr>
        <w:t xml:space="preserve">), </w:t>
      </w:r>
      <w:r w:rsidRPr="00A43D3A" w:rsidR="00E3753F">
        <w:rPr>
          <w:szCs w:val="26"/>
        </w:rPr>
        <w:t xml:space="preserve">and </w:t>
      </w:r>
      <w:r w:rsidRPr="00A43D3A" w:rsidR="00AA5F57">
        <w:rPr>
          <w:szCs w:val="26"/>
        </w:rPr>
        <w:t xml:space="preserve">this charge </w:t>
      </w:r>
      <w:r w:rsidRPr="00A43D3A" w:rsidR="00E3753F">
        <w:rPr>
          <w:szCs w:val="26"/>
        </w:rPr>
        <w:t xml:space="preserve">was subsequently dismissed pursuant to section 1383.  </w:t>
      </w:r>
      <w:r w:rsidRPr="00A43D3A" w:rsidR="00927D30">
        <w:rPr>
          <w:szCs w:val="26"/>
        </w:rPr>
        <w:t>Salazar</w:t>
      </w:r>
      <w:r w:rsidRPr="00A43D3A" w:rsidR="00FE2A06">
        <w:rPr>
          <w:szCs w:val="26"/>
        </w:rPr>
        <w:t xml:space="preserve"> admitted a prior strike (§§ 667, subds. (c)(1), (e)(1), 1170.12, subds. (a)(1), (c)(1)). </w:t>
      </w:r>
    </w:p>
    <w:p w:rsidR="00D97B6A" w:rsidRPr="00A43D3A" w:rsidP="00097AC4" w14:paraId="0CABFA5D" w14:textId="77777777">
      <w:pPr>
        <w:tabs>
          <w:tab w:val="left" w:pos="1440"/>
        </w:tabs>
        <w:ind w:firstLine="720"/>
        <w:rPr>
          <w:szCs w:val="26"/>
        </w:rPr>
      </w:pPr>
      <w:r w:rsidRPr="00A43D3A">
        <w:rPr>
          <w:szCs w:val="26"/>
        </w:rPr>
        <w:t xml:space="preserve">At Salazar’s sentencing hearing in November 2020, the court considered a probation report, a defense sentencing memorandum, and the prosecution’s statement in aggravation.  The defense </w:t>
      </w:r>
      <w:r w:rsidRPr="00A43D3A" w:rsidR="000E43CA">
        <w:rPr>
          <w:szCs w:val="26"/>
        </w:rPr>
        <w:t xml:space="preserve">sentencing memorandum </w:t>
      </w:r>
      <w:r w:rsidRPr="00A43D3A">
        <w:rPr>
          <w:szCs w:val="26"/>
        </w:rPr>
        <w:t xml:space="preserve">reported that Salazar’s father was an alcoholic and strictly disciplined him.  </w:t>
      </w:r>
      <w:r w:rsidRPr="00A43D3A" w:rsidR="00C147C4">
        <w:rPr>
          <w:szCs w:val="26"/>
        </w:rPr>
        <w:t xml:space="preserve">According to Salazar, he first tried alcohol, smoked marijuana, and snorted cocaine when he was </w:t>
      </w:r>
      <w:r w:rsidR="00CE6047">
        <w:rPr>
          <w:szCs w:val="26"/>
        </w:rPr>
        <w:t>13</w:t>
      </w:r>
      <w:r w:rsidRPr="00A43D3A" w:rsidR="00C147C4">
        <w:rPr>
          <w:szCs w:val="26"/>
        </w:rPr>
        <w:t xml:space="preserve">.  From the age of </w:t>
      </w:r>
      <w:r w:rsidR="00CE6047">
        <w:rPr>
          <w:szCs w:val="26"/>
        </w:rPr>
        <w:t>13</w:t>
      </w:r>
      <w:r w:rsidRPr="00A43D3A" w:rsidR="00CE6047">
        <w:rPr>
          <w:szCs w:val="26"/>
        </w:rPr>
        <w:t xml:space="preserve"> </w:t>
      </w:r>
      <w:r w:rsidRPr="00A43D3A" w:rsidR="00C147C4">
        <w:rPr>
          <w:szCs w:val="26"/>
        </w:rPr>
        <w:t xml:space="preserve">to </w:t>
      </w:r>
      <w:r w:rsidR="00CE6047">
        <w:rPr>
          <w:szCs w:val="26"/>
        </w:rPr>
        <w:t>20</w:t>
      </w:r>
      <w:r w:rsidRPr="00A43D3A" w:rsidR="00C147C4">
        <w:rPr>
          <w:szCs w:val="26"/>
        </w:rPr>
        <w:t>, he used psychedelic drugs such as LSD frequently, sometimes daily.  Arrest records reflect that Salazar used methamphetamine.</w:t>
      </w:r>
      <w:r w:rsidRPr="00A43D3A" w:rsidR="00E01E8A">
        <w:rPr>
          <w:szCs w:val="26"/>
        </w:rPr>
        <w:t xml:space="preserve"> </w:t>
      </w:r>
    </w:p>
    <w:p w:rsidR="001A08A0" w:rsidRPr="00A43D3A" w:rsidP="00097AC4" w14:paraId="0CABFA5E" w14:textId="77777777">
      <w:pPr>
        <w:tabs>
          <w:tab w:val="left" w:pos="1440"/>
        </w:tabs>
        <w:ind w:firstLine="720"/>
        <w:rPr>
          <w:szCs w:val="26"/>
        </w:rPr>
      </w:pPr>
      <w:r w:rsidRPr="00A43D3A">
        <w:rPr>
          <w:szCs w:val="26"/>
        </w:rPr>
        <w:t xml:space="preserve">The sentencing memorandum </w:t>
      </w:r>
      <w:r w:rsidRPr="00A43D3A" w:rsidR="004642B8">
        <w:rPr>
          <w:szCs w:val="26"/>
        </w:rPr>
        <w:t xml:space="preserve">also </w:t>
      </w:r>
      <w:r w:rsidRPr="00A43D3A">
        <w:rPr>
          <w:szCs w:val="26"/>
        </w:rPr>
        <w:t xml:space="preserve">indicates that </w:t>
      </w:r>
      <w:r w:rsidRPr="00A43D3A" w:rsidR="00524D5B">
        <w:rPr>
          <w:szCs w:val="26"/>
        </w:rPr>
        <w:t>Salazar</w:t>
      </w:r>
      <w:r w:rsidRPr="00A43D3A" w:rsidR="004E26F6">
        <w:rPr>
          <w:szCs w:val="26"/>
        </w:rPr>
        <w:t xml:space="preserve"> </w:t>
      </w:r>
      <w:r w:rsidRPr="00A43D3A" w:rsidR="00524D5B">
        <w:rPr>
          <w:szCs w:val="26"/>
        </w:rPr>
        <w:t xml:space="preserve">was diagnosed </w:t>
      </w:r>
      <w:r w:rsidRPr="00A43D3A" w:rsidR="00DC20CE">
        <w:rPr>
          <w:szCs w:val="26"/>
        </w:rPr>
        <w:t>with p</w:t>
      </w:r>
      <w:r w:rsidRPr="00A43D3A" w:rsidR="00524D5B">
        <w:rPr>
          <w:szCs w:val="26"/>
        </w:rPr>
        <w:t xml:space="preserve">aranoid </w:t>
      </w:r>
      <w:r w:rsidRPr="00A43D3A" w:rsidR="00DC20CE">
        <w:rPr>
          <w:szCs w:val="26"/>
        </w:rPr>
        <w:t>schizoaffective disorder</w:t>
      </w:r>
      <w:r w:rsidRPr="00A43D3A" w:rsidR="00524D5B">
        <w:rPr>
          <w:szCs w:val="26"/>
        </w:rPr>
        <w:t xml:space="preserve">, </w:t>
      </w:r>
      <w:r w:rsidRPr="00A43D3A" w:rsidR="00DC20CE">
        <w:rPr>
          <w:szCs w:val="26"/>
        </w:rPr>
        <w:t>anxiety</w:t>
      </w:r>
      <w:r w:rsidRPr="00A43D3A" w:rsidR="00524D5B">
        <w:rPr>
          <w:szCs w:val="26"/>
        </w:rPr>
        <w:t xml:space="preserve">, and </w:t>
      </w:r>
      <w:r w:rsidRPr="00A43D3A" w:rsidR="00DC20CE">
        <w:rPr>
          <w:szCs w:val="26"/>
        </w:rPr>
        <w:t>claustrophobia</w:t>
      </w:r>
      <w:r w:rsidRPr="00A43D3A" w:rsidR="006F70C0">
        <w:rPr>
          <w:szCs w:val="26"/>
        </w:rPr>
        <w:t>, h</w:t>
      </w:r>
      <w:r w:rsidRPr="00A43D3A">
        <w:rPr>
          <w:szCs w:val="26"/>
        </w:rPr>
        <w:t xml:space="preserve">is mother and sister were diagnosed </w:t>
      </w:r>
      <w:r w:rsidRPr="00A43D3A" w:rsidR="00DC20CE">
        <w:rPr>
          <w:szCs w:val="26"/>
        </w:rPr>
        <w:t>with</w:t>
      </w:r>
      <w:r w:rsidRPr="00A43D3A">
        <w:rPr>
          <w:szCs w:val="26"/>
        </w:rPr>
        <w:t xml:space="preserve"> </w:t>
      </w:r>
      <w:r w:rsidRPr="00A43D3A" w:rsidR="00DC20CE">
        <w:rPr>
          <w:szCs w:val="26"/>
        </w:rPr>
        <w:t>b</w:t>
      </w:r>
      <w:r w:rsidRPr="00A43D3A">
        <w:rPr>
          <w:szCs w:val="26"/>
        </w:rPr>
        <w:t>ipolar</w:t>
      </w:r>
      <w:r w:rsidRPr="00A43D3A" w:rsidR="00DC20CE">
        <w:rPr>
          <w:szCs w:val="26"/>
        </w:rPr>
        <w:t xml:space="preserve"> disorder</w:t>
      </w:r>
      <w:r w:rsidRPr="00A43D3A" w:rsidR="006F70C0">
        <w:rPr>
          <w:szCs w:val="26"/>
        </w:rPr>
        <w:t>,</w:t>
      </w:r>
      <w:r w:rsidRPr="00A43D3A">
        <w:rPr>
          <w:szCs w:val="26"/>
        </w:rPr>
        <w:t xml:space="preserve"> and his father was diagnosed </w:t>
      </w:r>
      <w:r w:rsidRPr="00A43D3A" w:rsidR="006F70C0">
        <w:rPr>
          <w:szCs w:val="26"/>
        </w:rPr>
        <w:t xml:space="preserve">with </w:t>
      </w:r>
      <w:r w:rsidRPr="00A43D3A" w:rsidR="00DC20CE">
        <w:rPr>
          <w:szCs w:val="26"/>
        </w:rPr>
        <w:t>paranoid schizophrenia</w:t>
      </w:r>
      <w:r w:rsidRPr="00A43D3A">
        <w:rPr>
          <w:szCs w:val="26"/>
        </w:rPr>
        <w:t xml:space="preserve">.  </w:t>
      </w:r>
      <w:r w:rsidRPr="00A43D3A" w:rsidR="00E01E8A">
        <w:rPr>
          <w:szCs w:val="26"/>
        </w:rPr>
        <w:t>In 2011, Salazar’s father passed away, and in 2013, his mother died of pancreatic cancer.</w:t>
      </w:r>
    </w:p>
    <w:p w:rsidR="00D97B6A" w:rsidRPr="00A43D3A" w:rsidP="00097AC4" w14:paraId="0CABFA5F" w14:textId="77777777">
      <w:pPr>
        <w:tabs>
          <w:tab w:val="left" w:pos="1440"/>
        </w:tabs>
        <w:ind w:firstLine="720"/>
        <w:rPr>
          <w:szCs w:val="26"/>
        </w:rPr>
      </w:pPr>
      <w:r w:rsidRPr="00A43D3A">
        <w:rPr>
          <w:szCs w:val="26"/>
        </w:rPr>
        <w:t xml:space="preserve">In </w:t>
      </w:r>
      <w:r w:rsidRPr="00A43D3A" w:rsidR="0087669D">
        <w:rPr>
          <w:szCs w:val="26"/>
        </w:rPr>
        <w:t xml:space="preserve">November </w:t>
      </w:r>
      <w:r w:rsidRPr="00A43D3A">
        <w:rPr>
          <w:szCs w:val="26"/>
        </w:rPr>
        <w:t xml:space="preserve">2009, </w:t>
      </w:r>
      <w:r w:rsidR="00102CEA">
        <w:rPr>
          <w:szCs w:val="26"/>
        </w:rPr>
        <w:t xml:space="preserve">at the age of 36 years old, </w:t>
      </w:r>
      <w:r w:rsidRPr="00A43D3A">
        <w:rPr>
          <w:szCs w:val="26"/>
        </w:rPr>
        <w:t xml:space="preserve">Salazar was admitted to the Ventura County Psychiatric Unit. </w:t>
      </w:r>
      <w:r w:rsidRPr="00A43D3A" w:rsidR="0087669D">
        <w:rPr>
          <w:szCs w:val="26"/>
        </w:rPr>
        <w:t xml:space="preserve"> </w:t>
      </w:r>
      <w:r w:rsidRPr="00A43D3A">
        <w:rPr>
          <w:szCs w:val="26"/>
        </w:rPr>
        <w:t xml:space="preserve">According to the </w:t>
      </w:r>
      <w:r w:rsidRPr="00A43D3A" w:rsidR="00F573FB">
        <w:rPr>
          <w:szCs w:val="26"/>
        </w:rPr>
        <w:t>i</w:t>
      </w:r>
      <w:r w:rsidRPr="00A43D3A">
        <w:rPr>
          <w:szCs w:val="26"/>
        </w:rPr>
        <w:t xml:space="preserve">ntake </w:t>
      </w:r>
      <w:r w:rsidRPr="00A43D3A" w:rsidR="00F573FB">
        <w:rPr>
          <w:szCs w:val="26"/>
        </w:rPr>
        <w:t>f</w:t>
      </w:r>
      <w:r w:rsidRPr="00A43D3A">
        <w:rPr>
          <w:szCs w:val="26"/>
        </w:rPr>
        <w:t xml:space="preserve">orm, Salazar stated he had tried to kill himself, he thought his mother’s boyfriend was trying to kill him, and he had a history of self-harm and suicidal ideations. </w:t>
      </w:r>
      <w:r w:rsidRPr="00A43D3A" w:rsidR="0087669D">
        <w:rPr>
          <w:szCs w:val="26"/>
        </w:rPr>
        <w:t xml:space="preserve"> In December 2009, at </w:t>
      </w:r>
      <w:r w:rsidRPr="00A43D3A" w:rsidR="00F573FB">
        <w:rPr>
          <w:szCs w:val="26"/>
        </w:rPr>
        <w:t>a subsequent</w:t>
      </w:r>
      <w:r w:rsidRPr="00A43D3A" w:rsidR="0087669D">
        <w:rPr>
          <w:szCs w:val="26"/>
        </w:rPr>
        <w:t xml:space="preserve"> </w:t>
      </w:r>
      <w:r w:rsidRPr="00A43D3A" w:rsidR="00F573FB">
        <w:rPr>
          <w:szCs w:val="26"/>
        </w:rPr>
        <w:t>a</w:t>
      </w:r>
      <w:r w:rsidRPr="00A43D3A" w:rsidR="0087669D">
        <w:rPr>
          <w:szCs w:val="26"/>
        </w:rPr>
        <w:t xml:space="preserve">dult </w:t>
      </w:r>
      <w:r w:rsidRPr="00A43D3A" w:rsidR="00F573FB">
        <w:rPr>
          <w:szCs w:val="26"/>
        </w:rPr>
        <w:t>s</w:t>
      </w:r>
      <w:r w:rsidRPr="00A43D3A" w:rsidR="0087669D">
        <w:rPr>
          <w:szCs w:val="26"/>
        </w:rPr>
        <w:t xml:space="preserve">ervices </w:t>
      </w:r>
      <w:r w:rsidRPr="00A43D3A" w:rsidR="00F573FB">
        <w:rPr>
          <w:szCs w:val="26"/>
        </w:rPr>
        <w:t>a</w:t>
      </w:r>
      <w:r w:rsidRPr="00A43D3A" w:rsidR="0087669D">
        <w:rPr>
          <w:szCs w:val="26"/>
        </w:rPr>
        <w:t xml:space="preserve">ssessment, Salazar </w:t>
      </w:r>
      <w:r w:rsidRPr="00A43D3A" w:rsidR="00A33DB8">
        <w:rPr>
          <w:szCs w:val="26"/>
        </w:rPr>
        <w:t>exhibited</w:t>
      </w:r>
      <w:r w:rsidRPr="00A43D3A" w:rsidR="00F705CE">
        <w:rPr>
          <w:szCs w:val="26"/>
        </w:rPr>
        <w:t xml:space="preserve"> paranoid ideation and </w:t>
      </w:r>
      <w:r w:rsidRPr="00A43D3A" w:rsidR="006F70C0">
        <w:rPr>
          <w:szCs w:val="26"/>
        </w:rPr>
        <w:t xml:space="preserve">reported hallucinations.  </w:t>
      </w:r>
      <w:r w:rsidRPr="00A43D3A" w:rsidR="00E77B5D">
        <w:rPr>
          <w:szCs w:val="26"/>
        </w:rPr>
        <w:t>Salazar reported that he drank seven to eight beers daily and occasionally used cocaine.</w:t>
      </w:r>
    </w:p>
    <w:p w:rsidR="00C54463" w:rsidRPr="00A43D3A" w:rsidP="00097AC4" w14:paraId="0CABFA60" w14:textId="77777777">
      <w:pPr>
        <w:tabs>
          <w:tab w:val="left" w:pos="1440"/>
        </w:tabs>
        <w:ind w:firstLine="720"/>
        <w:rPr>
          <w:szCs w:val="26"/>
        </w:rPr>
      </w:pPr>
      <w:r w:rsidRPr="00A43D3A">
        <w:rPr>
          <w:szCs w:val="26"/>
        </w:rPr>
        <w:t>A Ventura County Behavior Health Client Assessment Form</w:t>
      </w:r>
      <w:r w:rsidRPr="00A43D3A" w:rsidR="00F573FB">
        <w:rPr>
          <w:szCs w:val="26"/>
        </w:rPr>
        <w:t>, dated December 2011,</w:t>
      </w:r>
      <w:r w:rsidRPr="00A43D3A">
        <w:rPr>
          <w:szCs w:val="26"/>
        </w:rPr>
        <w:t xml:space="preserve"> </w:t>
      </w:r>
      <w:r w:rsidRPr="00A43D3A" w:rsidR="005D68B5">
        <w:rPr>
          <w:szCs w:val="26"/>
        </w:rPr>
        <w:t>states</w:t>
      </w:r>
      <w:r w:rsidRPr="00A43D3A" w:rsidR="00666DBD">
        <w:rPr>
          <w:szCs w:val="26"/>
        </w:rPr>
        <w:t xml:space="preserve"> that </w:t>
      </w:r>
      <w:r w:rsidRPr="00A43D3A" w:rsidR="005D68B5">
        <w:rPr>
          <w:szCs w:val="26"/>
        </w:rPr>
        <w:t xml:space="preserve">prior </w:t>
      </w:r>
      <w:r w:rsidRPr="00A43D3A" w:rsidR="00666DBD">
        <w:rPr>
          <w:szCs w:val="26"/>
        </w:rPr>
        <w:t xml:space="preserve">records indicate that Salazar was diagnosed with </w:t>
      </w:r>
      <w:r w:rsidRPr="00A43D3A" w:rsidR="00A93E78">
        <w:rPr>
          <w:szCs w:val="26"/>
        </w:rPr>
        <w:t>schizoaffective disorder</w:t>
      </w:r>
      <w:r w:rsidRPr="00A43D3A" w:rsidR="00666DBD">
        <w:rPr>
          <w:szCs w:val="26"/>
        </w:rPr>
        <w:t xml:space="preserve">, </w:t>
      </w:r>
      <w:r w:rsidRPr="00A43D3A" w:rsidR="00A93E78">
        <w:rPr>
          <w:szCs w:val="26"/>
        </w:rPr>
        <w:t xml:space="preserve">depressed </w:t>
      </w:r>
      <w:r w:rsidRPr="00A43D3A" w:rsidR="00666DBD">
        <w:rPr>
          <w:szCs w:val="26"/>
        </w:rPr>
        <w:t>type</w:t>
      </w:r>
      <w:r w:rsidR="00205628">
        <w:rPr>
          <w:szCs w:val="26"/>
        </w:rPr>
        <w:t>,</w:t>
      </w:r>
      <w:r w:rsidRPr="00A43D3A" w:rsidR="00666DBD">
        <w:rPr>
          <w:szCs w:val="26"/>
        </w:rPr>
        <w:t xml:space="preserve"> in May 2010 and had a history of paranoia and depression since </w:t>
      </w:r>
      <w:r w:rsidRPr="00A43D3A" w:rsidR="00A93E78">
        <w:rPr>
          <w:szCs w:val="26"/>
        </w:rPr>
        <w:t xml:space="preserve">he was </w:t>
      </w:r>
      <w:r w:rsidR="00205628">
        <w:rPr>
          <w:szCs w:val="26"/>
        </w:rPr>
        <w:t>10</w:t>
      </w:r>
      <w:r w:rsidRPr="00A43D3A" w:rsidR="00205628">
        <w:rPr>
          <w:szCs w:val="26"/>
        </w:rPr>
        <w:t xml:space="preserve"> </w:t>
      </w:r>
      <w:r w:rsidRPr="00A43D3A" w:rsidR="00666DBD">
        <w:rPr>
          <w:szCs w:val="26"/>
        </w:rPr>
        <w:t xml:space="preserve">years old.  </w:t>
      </w:r>
      <w:r w:rsidRPr="00A43D3A" w:rsidR="005D68B5">
        <w:rPr>
          <w:szCs w:val="26"/>
        </w:rPr>
        <w:t xml:space="preserve">During the December 2011 </w:t>
      </w:r>
      <w:r w:rsidRPr="00A43D3A" w:rsidR="00E77B5D">
        <w:rPr>
          <w:szCs w:val="26"/>
        </w:rPr>
        <w:t xml:space="preserve">client </w:t>
      </w:r>
      <w:r w:rsidRPr="00A43D3A" w:rsidR="005D68B5">
        <w:rPr>
          <w:szCs w:val="26"/>
        </w:rPr>
        <w:t xml:space="preserve">assessment, </w:t>
      </w:r>
      <w:r w:rsidRPr="00A43D3A" w:rsidR="00666DBD">
        <w:rPr>
          <w:szCs w:val="26"/>
        </w:rPr>
        <w:t xml:space="preserve">Salazar further reported that </w:t>
      </w:r>
      <w:r w:rsidRPr="00A43D3A" w:rsidR="005D623C">
        <w:rPr>
          <w:szCs w:val="26"/>
        </w:rPr>
        <w:t>his father was physically abusive beginning at age five</w:t>
      </w:r>
      <w:r w:rsidRPr="00A43D3A" w:rsidR="00666DBD">
        <w:rPr>
          <w:szCs w:val="26"/>
        </w:rPr>
        <w:t>.  He reported visual hallucinations</w:t>
      </w:r>
      <w:r w:rsidRPr="00A43D3A" w:rsidR="005D68B5">
        <w:rPr>
          <w:szCs w:val="26"/>
        </w:rPr>
        <w:t xml:space="preserve"> since childhood</w:t>
      </w:r>
      <w:r w:rsidRPr="00A43D3A" w:rsidR="00666DBD">
        <w:rPr>
          <w:szCs w:val="26"/>
        </w:rPr>
        <w:t>.  The</w:t>
      </w:r>
      <w:r w:rsidRPr="00A43D3A" w:rsidR="00E77B5D">
        <w:rPr>
          <w:szCs w:val="26"/>
        </w:rPr>
        <w:t xml:space="preserve"> client</w:t>
      </w:r>
      <w:r w:rsidRPr="00A43D3A" w:rsidR="00666DBD">
        <w:rPr>
          <w:szCs w:val="26"/>
        </w:rPr>
        <w:t xml:space="preserve"> </w:t>
      </w:r>
      <w:r w:rsidRPr="00A43D3A" w:rsidR="005D623C">
        <w:rPr>
          <w:szCs w:val="26"/>
        </w:rPr>
        <w:t xml:space="preserve">assessment </w:t>
      </w:r>
      <w:r w:rsidRPr="00A43D3A" w:rsidR="00666DBD">
        <w:rPr>
          <w:szCs w:val="26"/>
        </w:rPr>
        <w:t>form state</w:t>
      </w:r>
      <w:r w:rsidRPr="00A43D3A" w:rsidR="005D623C">
        <w:rPr>
          <w:szCs w:val="26"/>
        </w:rPr>
        <w:t>s</w:t>
      </w:r>
      <w:r w:rsidRPr="00A43D3A" w:rsidR="00666DBD">
        <w:rPr>
          <w:szCs w:val="26"/>
        </w:rPr>
        <w:t xml:space="preserve"> that Salazar has symptoms of </w:t>
      </w:r>
      <w:r w:rsidR="00205628">
        <w:rPr>
          <w:szCs w:val="26"/>
        </w:rPr>
        <w:t>posttraumatic stress disorder (</w:t>
      </w:r>
      <w:r w:rsidRPr="00A43D3A" w:rsidR="00666DBD">
        <w:rPr>
          <w:szCs w:val="26"/>
        </w:rPr>
        <w:t>PTSD</w:t>
      </w:r>
      <w:r w:rsidR="00205628">
        <w:rPr>
          <w:szCs w:val="26"/>
        </w:rPr>
        <w:t>)</w:t>
      </w:r>
      <w:r w:rsidRPr="00A43D3A" w:rsidR="005D623C">
        <w:rPr>
          <w:szCs w:val="26"/>
        </w:rPr>
        <w:t>,</w:t>
      </w:r>
      <w:r w:rsidRPr="00A43D3A" w:rsidR="00666DBD">
        <w:rPr>
          <w:szCs w:val="26"/>
        </w:rPr>
        <w:t xml:space="preserve"> including flashbacks of rapes/physical assaults when in prison</w:t>
      </w:r>
      <w:r w:rsidRPr="00A43D3A" w:rsidR="005D623C">
        <w:rPr>
          <w:szCs w:val="26"/>
        </w:rPr>
        <w:t xml:space="preserve">, as well as symptoms of </w:t>
      </w:r>
      <w:r w:rsidR="00A53CAD">
        <w:rPr>
          <w:szCs w:val="26"/>
        </w:rPr>
        <w:t>attention deficit hyperactivity disorder (</w:t>
      </w:r>
      <w:r w:rsidRPr="00A43D3A" w:rsidR="005D623C">
        <w:rPr>
          <w:szCs w:val="26"/>
        </w:rPr>
        <w:t>ADHD</w:t>
      </w:r>
      <w:r w:rsidR="00A53CAD">
        <w:rPr>
          <w:szCs w:val="26"/>
        </w:rPr>
        <w:t>)</w:t>
      </w:r>
      <w:r w:rsidRPr="00A43D3A" w:rsidR="005D623C">
        <w:rPr>
          <w:szCs w:val="26"/>
        </w:rPr>
        <w:t xml:space="preserve"> that “were likely related to trauma in childhood.”  The </w:t>
      </w:r>
      <w:r w:rsidRPr="00A43D3A" w:rsidR="00E77B5D">
        <w:rPr>
          <w:szCs w:val="26"/>
        </w:rPr>
        <w:t xml:space="preserve">client </w:t>
      </w:r>
      <w:r w:rsidRPr="00A43D3A" w:rsidR="005D623C">
        <w:rPr>
          <w:szCs w:val="26"/>
        </w:rPr>
        <w:t xml:space="preserve">assessment form concluded that Salazar meets the criteria for </w:t>
      </w:r>
      <w:r w:rsidRPr="00A43D3A" w:rsidR="00A93E78">
        <w:rPr>
          <w:szCs w:val="26"/>
        </w:rPr>
        <w:t>schizoaffective disorder</w:t>
      </w:r>
      <w:r w:rsidRPr="00A43D3A" w:rsidR="005D68B5">
        <w:rPr>
          <w:szCs w:val="26"/>
        </w:rPr>
        <w:t xml:space="preserve">, </w:t>
      </w:r>
      <w:r w:rsidRPr="00A43D3A" w:rsidR="00A93E78">
        <w:rPr>
          <w:szCs w:val="26"/>
        </w:rPr>
        <w:t>major depressive disorder</w:t>
      </w:r>
      <w:r w:rsidRPr="00A43D3A" w:rsidR="005D68B5">
        <w:rPr>
          <w:szCs w:val="26"/>
        </w:rPr>
        <w:t xml:space="preserve">, and </w:t>
      </w:r>
      <w:r w:rsidRPr="00A43D3A" w:rsidR="00A93E78">
        <w:rPr>
          <w:szCs w:val="26"/>
        </w:rPr>
        <w:t>dysthymic disorder</w:t>
      </w:r>
      <w:r w:rsidRPr="00A43D3A" w:rsidR="005D68B5">
        <w:rPr>
          <w:szCs w:val="26"/>
        </w:rPr>
        <w:t>.</w:t>
      </w:r>
    </w:p>
    <w:p w:rsidR="00642C52" w:rsidRPr="00A43D3A" w:rsidP="00097AC4" w14:paraId="0CABFA61" w14:textId="77777777">
      <w:pPr>
        <w:tabs>
          <w:tab w:val="left" w:pos="1440"/>
        </w:tabs>
        <w:ind w:firstLine="720"/>
        <w:rPr>
          <w:szCs w:val="26"/>
        </w:rPr>
      </w:pPr>
      <w:r w:rsidRPr="00A43D3A">
        <w:rPr>
          <w:szCs w:val="26"/>
        </w:rPr>
        <w:t>The prosecution</w:t>
      </w:r>
      <w:r w:rsidRPr="00A43D3A" w:rsidR="00260EDC">
        <w:rPr>
          <w:szCs w:val="26"/>
        </w:rPr>
        <w:t xml:space="preserve"> also filed a </w:t>
      </w:r>
      <w:r w:rsidRPr="00A43D3A">
        <w:rPr>
          <w:szCs w:val="26"/>
        </w:rPr>
        <w:t>statement in aggravation</w:t>
      </w:r>
      <w:r w:rsidRPr="00A43D3A" w:rsidR="00260EDC">
        <w:rPr>
          <w:szCs w:val="26"/>
        </w:rPr>
        <w:t xml:space="preserve">.  The statement details </w:t>
      </w:r>
      <w:r w:rsidRPr="00A43D3A" w:rsidR="003B57F1">
        <w:rPr>
          <w:szCs w:val="26"/>
        </w:rPr>
        <w:t xml:space="preserve">Salazar’s </w:t>
      </w:r>
      <w:r w:rsidRPr="00A43D3A" w:rsidR="004921C1">
        <w:rPr>
          <w:szCs w:val="26"/>
        </w:rPr>
        <w:t xml:space="preserve">prior </w:t>
      </w:r>
      <w:r w:rsidRPr="00A43D3A" w:rsidR="003B57F1">
        <w:rPr>
          <w:szCs w:val="26"/>
        </w:rPr>
        <w:t>criminal history</w:t>
      </w:r>
      <w:r w:rsidRPr="00A43D3A" w:rsidR="00260EDC">
        <w:rPr>
          <w:szCs w:val="26"/>
        </w:rPr>
        <w:t>, which</w:t>
      </w:r>
      <w:r w:rsidRPr="00A43D3A" w:rsidR="003B57F1">
        <w:rPr>
          <w:szCs w:val="26"/>
        </w:rPr>
        <w:t xml:space="preserve"> includes</w:t>
      </w:r>
      <w:r w:rsidRPr="00A43D3A" w:rsidR="004921C1">
        <w:rPr>
          <w:szCs w:val="26"/>
        </w:rPr>
        <w:t xml:space="preserve"> a misdemeanor conviction for assault with a deadly weapon in 1997 (§ 245);</w:t>
      </w:r>
      <w:r w:rsidRPr="00A43D3A" w:rsidR="003B57F1">
        <w:rPr>
          <w:szCs w:val="26"/>
        </w:rPr>
        <w:t xml:space="preserve"> a conviction for battery on a spouse </w:t>
      </w:r>
      <w:r w:rsidRPr="00A43D3A" w:rsidR="004921C1">
        <w:rPr>
          <w:szCs w:val="26"/>
        </w:rPr>
        <w:t>in</w:t>
      </w:r>
      <w:r w:rsidRPr="00A43D3A" w:rsidR="003B57F1">
        <w:rPr>
          <w:szCs w:val="26"/>
        </w:rPr>
        <w:t xml:space="preserve"> 1998 (§ 243, subd. (e)); a </w:t>
      </w:r>
      <w:r w:rsidRPr="00A43D3A" w:rsidR="004921C1">
        <w:rPr>
          <w:szCs w:val="26"/>
        </w:rPr>
        <w:t xml:space="preserve">misdemeanor </w:t>
      </w:r>
      <w:r w:rsidRPr="00A43D3A" w:rsidR="003B57F1">
        <w:rPr>
          <w:szCs w:val="26"/>
        </w:rPr>
        <w:t xml:space="preserve">conviction for inflicting injury on a spouse </w:t>
      </w:r>
      <w:r w:rsidRPr="00A43D3A" w:rsidR="004921C1">
        <w:rPr>
          <w:szCs w:val="26"/>
        </w:rPr>
        <w:t>in</w:t>
      </w:r>
      <w:r w:rsidRPr="00A43D3A" w:rsidR="003B57F1">
        <w:rPr>
          <w:szCs w:val="26"/>
        </w:rPr>
        <w:t xml:space="preserve"> 1998 (§ 273.5, subd. (a)</w:t>
      </w:r>
      <w:r w:rsidRPr="00A43D3A" w:rsidR="004921C1">
        <w:rPr>
          <w:szCs w:val="26"/>
        </w:rPr>
        <w:t>)</w:t>
      </w:r>
      <w:r w:rsidRPr="00A43D3A" w:rsidR="003B57F1">
        <w:rPr>
          <w:szCs w:val="26"/>
        </w:rPr>
        <w:t xml:space="preserve">; </w:t>
      </w:r>
      <w:r w:rsidRPr="00A43D3A" w:rsidR="004921C1">
        <w:rPr>
          <w:szCs w:val="26"/>
        </w:rPr>
        <w:t xml:space="preserve">a conviction for possessing a stolen vehicle from 2009 (§ 496d, subd. (a)); a conviction for battery from 2009 (§ 242); a conviction for evading police with willful disregard for safety from 2012 (§ 2800.2, subd. (a)); and a conviction for evading police with willful disregard for safety from 2014 (§ 2800.2, subd. (a)).  </w:t>
      </w:r>
      <w:r w:rsidRPr="00A43D3A" w:rsidR="00672A1A">
        <w:rPr>
          <w:szCs w:val="26"/>
        </w:rPr>
        <w:t>The prosecution’s statement notes that after</w:t>
      </w:r>
      <w:r w:rsidRPr="00A43D3A" w:rsidR="004921C1">
        <w:rPr>
          <w:szCs w:val="26"/>
        </w:rPr>
        <w:t xml:space="preserve"> Salazar was arrested for the present case, six new cases had been filed against him.  The statement </w:t>
      </w:r>
      <w:r w:rsidRPr="00A43D3A" w:rsidR="007630E5">
        <w:rPr>
          <w:szCs w:val="26"/>
        </w:rPr>
        <w:t xml:space="preserve">also </w:t>
      </w:r>
      <w:r w:rsidRPr="00A43D3A" w:rsidR="0008106A">
        <w:rPr>
          <w:szCs w:val="26"/>
        </w:rPr>
        <w:t>notes</w:t>
      </w:r>
      <w:r w:rsidRPr="00A43D3A" w:rsidR="004921C1">
        <w:rPr>
          <w:szCs w:val="26"/>
        </w:rPr>
        <w:t xml:space="preserve"> that Salazar has been committed to the Department of Corrections </w:t>
      </w:r>
      <w:r w:rsidR="00064F91">
        <w:rPr>
          <w:szCs w:val="26"/>
        </w:rPr>
        <w:t>and Rehabilitation 11</w:t>
      </w:r>
      <w:r w:rsidRPr="00A43D3A" w:rsidR="00064F91">
        <w:rPr>
          <w:szCs w:val="26"/>
        </w:rPr>
        <w:t xml:space="preserve"> </w:t>
      </w:r>
      <w:r w:rsidRPr="00A43D3A" w:rsidR="004921C1">
        <w:rPr>
          <w:szCs w:val="26"/>
        </w:rPr>
        <w:t>times since 2001.</w:t>
      </w:r>
    </w:p>
    <w:p w:rsidR="005638B2" w:rsidRPr="00A43D3A" w:rsidP="00097AC4" w14:paraId="0CABFA62" w14:textId="77777777">
      <w:pPr>
        <w:tabs>
          <w:tab w:val="left" w:pos="1440"/>
        </w:tabs>
        <w:ind w:firstLine="720"/>
        <w:rPr>
          <w:szCs w:val="26"/>
        </w:rPr>
      </w:pPr>
      <w:r w:rsidRPr="00A43D3A">
        <w:rPr>
          <w:szCs w:val="26"/>
        </w:rPr>
        <w:t>At the sentencing hearing, the</w:t>
      </w:r>
      <w:r w:rsidRPr="00A43D3A" w:rsidR="006C4203">
        <w:rPr>
          <w:szCs w:val="26"/>
        </w:rPr>
        <w:t xml:space="preserve"> court denied Salazar’s request to dismiss</w:t>
      </w:r>
      <w:r w:rsidRPr="00A43D3A" w:rsidR="00927D30">
        <w:rPr>
          <w:szCs w:val="26"/>
        </w:rPr>
        <w:t xml:space="preserve"> </w:t>
      </w:r>
      <w:r w:rsidRPr="00A43D3A">
        <w:rPr>
          <w:szCs w:val="26"/>
        </w:rPr>
        <w:t>the</w:t>
      </w:r>
      <w:r w:rsidRPr="00A43D3A" w:rsidR="006C4203">
        <w:rPr>
          <w:szCs w:val="26"/>
        </w:rPr>
        <w:t xml:space="preserve"> prior strike conviction. </w:t>
      </w:r>
      <w:r w:rsidRPr="00A43D3A" w:rsidR="00927D30">
        <w:rPr>
          <w:szCs w:val="26"/>
        </w:rPr>
        <w:t xml:space="preserve"> </w:t>
      </w:r>
      <w:r w:rsidRPr="00A43D3A" w:rsidR="006C4203">
        <w:rPr>
          <w:szCs w:val="26"/>
        </w:rPr>
        <w:t>(</w:t>
      </w:r>
      <w:r w:rsidRPr="00A43D3A">
        <w:rPr>
          <w:szCs w:val="26"/>
        </w:rPr>
        <w:t xml:space="preserve">See </w:t>
      </w:r>
      <w:r w:rsidRPr="00A43D3A" w:rsidR="006C4203">
        <w:rPr>
          <w:i/>
          <w:iCs/>
          <w:szCs w:val="26"/>
        </w:rPr>
        <w:t>People v.</w:t>
      </w:r>
      <w:r w:rsidRPr="00A43D3A" w:rsidR="00927D30">
        <w:rPr>
          <w:i/>
          <w:iCs/>
          <w:szCs w:val="26"/>
        </w:rPr>
        <w:t xml:space="preserve"> </w:t>
      </w:r>
      <w:r w:rsidRPr="00A43D3A" w:rsidR="006C4203">
        <w:rPr>
          <w:i/>
          <w:iCs/>
          <w:szCs w:val="26"/>
        </w:rPr>
        <w:t xml:space="preserve">Superior Court (Romero) </w:t>
      </w:r>
      <w:r w:rsidRPr="00A43D3A" w:rsidR="006C4203">
        <w:rPr>
          <w:szCs w:val="26"/>
        </w:rPr>
        <w:t>(1996) 13</w:t>
      </w:r>
      <w:r w:rsidRPr="00A43D3A" w:rsidR="008B5736">
        <w:rPr>
          <w:szCs w:val="26"/>
        </w:rPr>
        <w:t> </w:t>
      </w:r>
      <w:r w:rsidRPr="00A43D3A" w:rsidR="006C4203">
        <w:rPr>
          <w:szCs w:val="26"/>
        </w:rPr>
        <w:t xml:space="preserve">Cal.4th 497.) </w:t>
      </w:r>
      <w:r w:rsidRPr="00A43D3A" w:rsidR="00927D30">
        <w:rPr>
          <w:szCs w:val="26"/>
        </w:rPr>
        <w:t xml:space="preserve"> </w:t>
      </w:r>
      <w:r w:rsidRPr="00A43D3A" w:rsidR="007022C3">
        <w:rPr>
          <w:szCs w:val="26"/>
        </w:rPr>
        <w:t>Before doing so</w:t>
      </w:r>
      <w:r w:rsidRPr="00A43D3A" w:rsidR="005A3BFF">
        <w:rPr>
          <w:szCs w:val="26"/>
        </w:rPr>
        <w:t xml:space="preserve">, </w:t>
      </w:r>
      <w:bookmarkStart w:id="3" w:name="_Hlk138674511"/>
      <w:r w:rsidRPr="00A43D3A" w:rsidR="005A3BFF">
        <w:rPr>
          <w:szCs w:val="26"/>
        </w:rPr>
        <w:t xml:space="preserve">the court </w:t>
      </w:r>
      <w:r w:rsidRPr="00A43D3A">
        <w:rPr>
          <w:szCs w:val="26"/>
        </w:rPr>
        <w:t>prais</w:t>
      </w:r>
      <w:r w:rsidRPr="00A43D3A" w:rsidR="005A3BFF">
        <w:rPr>
          <w:szCs w:val="26"/>
        </w:rPr>
        <w:t>ed</w:t>
      </w:r>
      <w:r w:rsidRPr="00A43D3A">
        <w:rPr>
          <w:szCs w:val="26"/>
        </w:rPr>
        <w:t xml:space="preserve"> Salazar’s courtroom conduct, stating:  “You presented yourself very well.  You could not have been more respectful, both to your counsel and to [the prosecutor] and to me and to the jury.”  </w:t>
      </w:r>
      <w:r w:rsidRPr="00A43D3A" w:rsidR="005A3BFF">
        <w:rPr>
          <w:szCs w:val="26"/>
        </w:rPr>
        <w:t xml:space="preserve">The court was “hopeful that once this is done, that you can become the best version of yourself, like your sister is indicating.”  </w:t>
      </w:r>
      <w:bookmarkEnd w:id="3"/>
      <w:r w:rsidRPr="00A43D3A" w:rsidR="00DC20CE">
        <w:rPr>
          <w:szCs w:val="26"/>
        </w:rPr>
        <w:t xml:space="preserve">The court </w:t>
      </w:r>
      <w:r w:rsidRPr="00A43D3A" w:rsidR="006224AD">
        <w:rPr>
          <w:szCs w:val="26"/>
        </w:rPr>
        <w:t>added</w:t>
      </w:r>
      <w:r w:rsidRPr="00A43D3A" w:rsidR="00DC20CE">
        <w:rPr>
          <w:szCs w:val="26"/>
        </w:rPr>
        <w:t xml:space="preserve"> that “it seems to me like you have more that you could offer.”  </w:t>
      </w:r>
      <w:r w:rsidRPr="00A43D3A" w:rsidR="005A3BFF">
        <w:rPr>
          <w:szCs w:val="26"/>
        </w:rPr>
        <w:t xml:space="preserve">The court denied the </w:t>
      </w:r>
      <w:r w:rsidRPr="00A43D3A" w:rsidR="005A3BFF">
        <w:rPr>
          <w:i/>
          <w:iCs/>
          <w:szCs w:val="26"/>
        </w:rPr>
        <w:t>Romero</w:t>
      </w:r>
      <w:r w:rsidRPr="00A43D3A" w:rsidR="005A3BFF">
        <w:rPr>
          <w:szCs w:val="26"/>
        </w:rPr>
        <w:t xml:space="preserve"> motion though because </w:t>
      </w:r>
      <w:r w:rsidRPr="00A43D3A">
        <w:rPr>
          <w:szCs w:val="26"/>
        </w:rPr>
        <w:t>Salazar had a “long and continuous criminal history”</w:t>
      </w:r>
      <w:r w:rsidRPr="00A43D3A" w:rsidR="00A93E78">
        <w:rPr>
          <w:szCs w:val="26"/>
        </w:rPr>
        <w:t xml:space="preserve"> and the strike was a “serious offense.”</w:t>
      </w:r>
      <w:r w:rsidRPr="00A43D3A">
        <w:rPr>
          <w:szCs w:val="26"/>
        </w:rPr>
        <w:t xml:space="preserve">  </w:t>
      </w:r>
      <w:r w:rsidRPr="00A43D3A" w:rsidR="00DC2686">
        <w:rPr>
          <w:szCs w:val="26"/>
        </w:rPr>
        <w:t xml:space="preserve">The court noted that Salazar had been arrested six times since </w:t>
      </w:r>
      <w:r w:rsidRPr="00A43D3A" w:rsidR="00A93E78">
        <w:rPr>
          <w:szCs w:val="26"/>
        </w:rPr>
        <w:t>the offenses in this case were committed</w:t>
      </w:r>
      <w:r w:rsidRPr="00A43D3A" w:rsidR="00DC2686">
        <w:rPr>
          <w:szCs w:val="26"/>
        </w:rPr>
        <w:t xml:space="preserve"> and had a 23-year criminal history from 1995 to 2018</w:t>
      </w:r>
      <w:r w:rsidRPr="00A43D3A" w:rsidR="00702EB1">
        <w:rPr>
          <w:szCs w:val="26"/>
        </w:rPr>
        <w:t>,</w:t>
      </w:r>
      <w:r w:rsidRPr="00A43D3A" w:rsidR="00DC2686">
        <w:rPr>
          <w:szCs w:val="26"/>
        </w:rPr>
        <w:t xml:space="preserve"> plus a juvenile offense in 1991.  </w:t>
      </w:r>
      <w:r w:rsidRPr="00A43D3A" w:rsidR="005A3BFF">
        <w:rPr>
          <w:szCs w:val="26"/>
        </w:rPr>
        <w:t xml:space="preserve">The court found that </w:t>
      </w:r>
      <w:r w:rsidRPr="00A43D3A" w:rsidR="009563E4">
        <w:rPr>
          <w:szCs w:val="26"/>
        </w:rPr>
        <w:t>“</w:t>
      </w:r>
      <w:r w:rsidRPr="00A43D3A" w:rsidR="005A3BFF">
        <w:rPr>
          <w:szCs w:val="26"/>
        </w:rPr>
        <w:t>a</w:t>
      </w:r>
      <w:r w:rsidRPr="00A43D3A">
        <w:rPr>
          <w:szCs w:val="26"/>
        </w:rPr>
        <w:t xml:space="preserve"> lot</w:t>
      </w:r>
      <w:r w:rsidRPr="00A43D3A" w:rsidR="009563E4">
        <w:rPr>
          <w:szCs w:val="26"/>
        </w:rPr>
        <w:t>”</w:t>
      </w:r>
      <w:r w:rsidRPr="00A43D3A">
        <w:rPr>
          <w:szCs w:val="26"/>
        </w:rPr>
        <w:t xml:space="preserve"> of </w:t>
      </w:r>
      <w:r w:rsidRPr="00A43D3A" w:rsidR="007022C3">
        <w:rPr>
          <w:szCs w:val="26"/>
        </w:rPr>
        <w:t>that</w:t>
      </w:r>
      <w:r w:rsidRPr="00A43D3A">
        <w:rPr>
          <w:szCs w:val="26"/>
        </w:rPr>
        <w:t xml:space="preserve"> criminal history “is drug related, and a lot of it may be because of suffering from your father’s death, and then I think it was a couple years later, your mother’s death.  And it sounds like you were very much involved in your mother’s last few months of life, and you and she were lucky to have that opportunity.  But I simply cannot, based on that history, strike the strike.”</w:t>
      </w:r>
    </w:p>
    <w:p w:rsidR="005975DB" w:rsidRPr="00A43D3A" w:rsidP="00097AC4" w14:paraId="0CABFA63" w14:textId="77777777">
      <w:pPr>
        <w:tabs>
          <w:tab w:val="left" w:pos="1440"/>
        </w:tabs>
        <w:ind w:firstLine="720"/>
        <w:rPr>
          <w:szCs w:val="26"/>
        </w:rPr>
      </w:pPr>
      <w:r w:rsidRPr="00A43D3A">
        <w:rPr>
          <w:szCs w:val="26"/>
        </w:rPr>
        <w:t>The</w:t>
      </w:r>
      <w:r w:rsidRPr="00A43D3A" w:rsidR="00927D30">
        <w:rPr>
          <w:szCs w:val="26"/>
        </w:rPr>
        <w:t xml:space="preserve"> </w:t>
      </w:r>
      <w:r w:rsidRPr="00A43D3A">
        <w:rPr>
          <w:szCs w:val="26"/>
        </w:rPr>
        <w:t xml:space="preserve">court </w:t>
      </w:r>
      <w:r w:rsidRPr="00A43D3A" w:rsidR="007022C3">
        <w:rPr>
          <w:szCs w:val="26"/>
        </w:rPr>
        <w:t xml:space="preserve">also </w:t>
      </w:r>
      <w:r w:rsidRPr="00A43D3A">
        <w:rPr>
          <w:szCs w:val="26"/>
        </w:rPr>
        <w:t>denied</w:t>
      </w:r>
      <w:r w:rsidRPr="00A43D3A" w:rsidR="00927D30">
        <w:rPr>
          <w:szCs w:val="26"/>
        </w:rPr>
        <w:t xml:space="preserve"> </w:t>
      </w:r>
      <w:r w:rsidRPr="00A43D3A" w:rsidR="00CD3308">
        <w:rPr>
          <w:szCs w:val="26"/>
        </w:rPr>
        <w:t>Salazar’s</w:t>
      </w:r>
      <w:r w:rsidRPr="00A43D3A">
        <w:rPr>
          <w:szCs w:val="26"/>
        </w:rPr>
        <w:t xml:space="preserve"> request to stay sentencing on </w:t>
      </w:r>
      <w:r w:rsidRPr="00A43D3A" w:rsidR="00927D30">
        <w:rPr>
          <w:szCs w:val="26"/>
        </w:rPr>
        <w:t>the false imprisonment conviction</w:t>
      </w:r>
      <w:r w:rsidRPr="00A43D3A">
        <w:rPr>
          <w:szCs w:val="26"/>
        </w:rPr>
        <w:t xml:space="preserve"> pursuant to section 654</w:t>
      </w:r>
      <w:r w:rsidRPr="00A43D3A" w:rsidR="00CD3308">
        <w:rPr>
          <w:szCs w:val="26"/>
        </w:rPr>
        <w:t xml:space="preserve"> because “I cannot find that this is an ongoing singular continuous course of conduct.</w:t>
      </w:r>
      <w:r w:rsidRPr="00A43D3A" w:rsidR="007022C3">
        <w:rPr>
          <w:szCs w:val="26"/>
        </w:rPr>
        <w:t xml:space="preserve">  I think that there were breaks.</w:t>
      </w:r>
      <w:r w:rsidRPr="00A43D3A" w:rsidR="00E95874">
        <w:rPr>
          <w:szCs w:val="26"/>
        </w:rPr>
        <w:t xml:space="preserve">”  </w:t>
      </w:r>
      <w:r w:rsidRPr="00A43D3A" w:rsidR="00820369">
        <w:rPr>
          <w:szCs w:val="26"/>
        </w:rPr>
        <w:t>“Based on everything that I’ve said</w:t>
      </w:r>
      <w:r w:rsidRPr="00A43D3A" w:rsidR="00E95874">
        <w:rPr>
          <w:szCs w:val="26"/>
        </w:rPr>
        <w:t>,</w:t>
      </w:r>
      <w:r w:rsidRPr="00A43D3A" w:rsidR="00820369">
        <w:rPr>
          <w:szCs w:val="26"/>
        </w:rPr>
        <w:t>”</w:t>
      </w:r>
      <w:r w:rsidRPr="00A43D3A" w:rsidR="00E95874">
        <w:rPr>
          <w:szCs w:val="26"/>
        </w:rPr>
        <w:t xml:space="preserve"> t</w:t>
      </w:r>
      <w:r w:rsidRPr="00A43D3A">
        <w:rPr>
          <w:szCs w:val="26"/>
        </w:rPr>
        <w:t>he court</w:t>
      </w:r>
      <w:r w:rsidRPr="00A43D3A" w:rsidR="00820369">
        <w:rPr>
          <w:szCs w:val="26"/>
        </w:rPr>
        <w:t xml:space="preserve"> then</w:t>
      </w:r>
      <w:r w:rsidRPr="00A43D3A">
        <w:rPr>
          <w:szCs w:val="26"/>
        </w:rPr>
        <w:t xml:space="preserve"> </w:t>
      </w:r>
      <w:r w:rsidRPr="00A43D3A" w:rsidR="001A1703">
        <w:rPr>
          <w:szCs w:val="26"/>
        </w:rPr>
        <w:t xml:space="preserve">also </w:t>
      </w:r>
      <w:r w:rsidRPr="00A43D3A">
        <w:rPr>
          <w:szCs w:val="26"/>
        </w:rPr>
        <w:t xml:space="preserve">denied the defense request to impose concurrent sentences on </w:t>
      </w:r>
      <w:r w:rsidRPr="00A43D3A" w:rsidR="00927D30">
        <w:rPr>
          <w:szCs w:val="26"/>
        </w:rPr>
        <w:t>false imprisonment and inflicting corporal injury</w:t>
      </w:r>
      <w:r w:rsidRPr="00A43D3A" w:rsidR="00E95874">
        <w:rPr>
          <w:szCs w:val="26"/>
        </w:rPr>
        <w:t>, and instead imposed consecutive sentences</w:t>
      </w:r>
      <w:r w:rsidRPr="00A43D3A">
        <w:rPr>
          <w:szCs w:val="26"/>
        </w:rPr>
        <w:t>.</w:t>
      </w:r>
      <w:r>
        <w:rPr>
          <w:rStyle w:val="FootnoteReference"/>
          <w:b w:val="0"/>
          <w:bCs/>
          <w:szCs w:val="26"/>
        </w:rPr>
        <w:footnoteReference w:id="4"/>
      </w:r>
      <w:r w:rsidRPr="00A43D3A" w:rsidR="00E95874">
        <w:rPr>
          <w:szCs w:val="26"/>
        </w:rPr>
        <w:t xml:space="preserve">  </w:t>
      </w:r>
    </w:p>
    <w:p w:rsidR="003706A3" w:rsidRPr="00A43D3A" w:rsidP="00097AC4" w14:paraId="0CABFA64" w14:textId="77777777">
      <w:pPr>
        <w:tabs>
          <w:tab w:val="left" w:pos="1440"/>
        </w:tabs>
        <w:ind w:firstLine="720"/>
        <w:rPr>
          <w:szCs w:val="26"/>
        </w:rPr>
      </w:pPr>
      <w:r w:rsidRPr="00A43D3A">
        <w:rPr>
          <w:szCs w:val="26"/>
        </w:rPr>
        <w:t>Ultimately, t</w:t>
      </w:r>
      <w:r w:rsidRPr="00A43D3A" w:rsidR="006C4203">
        <w:rPr>
          <w:szCs w:val="26"/>
        </w:rPr>
        <w:t>he court</w:t>
      </w:r>
      <w:r w:rsidRPr="00A43D3A">
        <w:rPr>
          <w:szCs w:val="26"/>
        </w:rPr>
        <w:t xml:space="preserve"> </w:t>
      </w:r>
      <w:r w:rsidRPr="00A43D3A" w:rsidR="006C4203">
        <w:rPr>
          <w:szCs w:val="26"/>
        </w:rPr>
        <w:t xml:space="preserve">imposed the middle term of three years on </w:t>
      </w:r>
      <w:r w:rsidRPr="00A43D3A" w:rsidR="00927D30">
        <w:rPr>
          <w:szCs w:val="26"/>
        </w:rPr>
        <w:t>inflicting corporal</w:t>
      </w:r>
      <w:r w:rsidRPr="00A43D3A" w:rsidR="00E3753F">
        <w:rPr>
          <w:szCs w:val="26"/>
        </w:rPr>
        <w:t xml:space="preserve"> injury</w:t>
      </w:r>
      <w:r w:rsidRPr="00A43D3A" w:rsidR="006C4203">
        <w:rPr>
          <w:szCs w:val="26"/>
        </w:rPr>
        <w:t xml:space="preserve">, doubled </w:t>
      </w:r>
      <w:r w:rsidRPr="00A43D3A" w:rsidR="00E3753F">
        <w:rPr>
          <w:szCs w:val="26"/>
        </w:rPr>
        <w:t>because of</w:t>
      </w:r>
      <w:r w:rsidRPr="00A43D3A" w:rsidR="006C4203">
        <w:rPr>
          <w:szCs w:val="26"/>
        </w:rPr>
        <w:t xml:space="preserve"> the prior strike, plus a consecutive eight months </w:t>
      </w:r>
      <w:r w:rsidRPr="00A43D3A" w:rsidR="00927D30">
        <w:rPr>
          <w:szCs w:val="26"/>
        </w:rPr>
        <w:t>for false imprisonment</w:t>
      </w:r>
      <w:r w:rsidRPr="00A43D3A" w:rsidR="006C4203">
        <w:rPr>
          <w:szCs w:val="26"/>
        </w:rPr>
        <w:t xml:space="preserve"> (one-third the middle term), doubled</w:t>
      </w:r>
      <w:r w:rsidRPr="00A43D3A" w:rsidR="00E3753F">
        <w:rPr>
          <w:szCs w:val="26"/>
        </w:rPr>
        <w:t xml:space="preserve"> because of the prior strike</w:t>
      </w:r>
      <w:r w:rsidRPr="00A43D3A" w:rsidR="006C4203">
        <w:rPr>
          <w:szCs w:val="26"/>
        </w:rPr>
        <w:t xml:space="preserve">, for a total prison sentence of seven years and four months.  </w:t>
      </w:r>
      <w:r w:rsidRPr="00A43D3A" w:rsidR="003B51A4">
        <w:rPr>
          <w:szCs w:val="26"/>
        </w:rPr>
        <w:t xml:space="preserve">The court explained: “I’m going to select not the high term, but the mid term, and that’s based on having heard the evidence and based on the fact that the last seven years or so, the defendant’s criminal history has been drug related.”  </w:t>
      </w:r>
      <w:r w:rsidRPr="00A43D3A">
        <w:rPr>
          <w:szCs w:val="26"/>
        </w:rPr>
        <w:t xml:space="preserve">The </w:t>
      </w:r>
      <w:r w:rsidRPr="00A43D3A" w:rsidR="00172B78">
        <w:rPr>
          <w:szCs w:val="26"/>
        </w:rPr>
        <w:t xml:space="preserve">court </w:t>
      </w:r>
      <w:r w:rsidRPr="00A43D3A">
        <w:rPr>
          <w:szCs w:val="26"/>
        </w:rPr>
        <w:t xml:space="preserve">found “that defendant has a history of drug abuse and/or alcohol abuse and recommend[ed] that he participate in a treatment program.”  </w:t>
      </w:r>
      <w:r w:rsidRPr="00A43D3A" w:rsidR="006C4203">
        <w:rPr>
          <w:szCs w:val="26"/>
        </w:rPr>
        <w:t xml:space="preserve">The court </w:t>
      </w:r>
      <w:r w:rsidRPr="00A43D3A" w:rsidR="00DC627F">
        <w:rPr>
          <w:szCs w:val="26"/>
        </w:rPr>
        <w:t xml:space="preserve">also </w:t>
      </w:r>
      <w:r w:rsidRPr="00A43D3A" w:rsidR="006C4203">
        <w:rPr>
          <w:szCs w:val="26"/>
        </w:rPr>
        <w:t>issued a criminal protective order</w:t>
      </w:r>
      <w:r w:rsidRPr="00A43D3A" w:rsidR="009E5224">
        <w:rPr>
          <w:szCs w:val="26"/>
        </w:rPr>
        <w:t>, protecting M.Q. from</w:t>
      </w:r>
      <w:r w:rsidRPr="00A43D3A" w:rsidR="006C4203">
        <w:rPr>
          <w:szCs w:val="26"/>
        </w:rPr>
        <w:t xml:space="preserve"> Salazar for ten years.</w:t>
      </w:r>
    </w:p>
    <w:p w:rsidR="00DD2F50" w:rsidRPr="00A43D3A" w:rsidP="00097AC4" w14:paraId="0CABFA65" w14:textId="77777777">
      <w:pPr>
        <w:tabs>
          <w:tab w:val="left" w:pos="1440"/>
        </w:tabs>
        <w:ind w:firstLine="720"/>
        <w:rPr>
          <w:szCs w:val="26"/>
        </w:rPr>
      </w:pPr>
      <w:r w:rsidRPr="00A43D3A">
        <w:rPr>
          <w:szCs w:val="26"/>
        </w:rPr>
        <w:t>Effective January 1, 2022</w:t>
      </w:r>
      <w:r w:rsidRPr="00A43D3A" w:rsidR="006177AD">
        <w:rPr>
          <w:szCs w:val="26"/>
        </w:rPr>
        <w:t xml:space="preserve"> and</w:t>
      </w:r>
      <w:r w:rsidRPr="00A43D3A">
        <w:rPr>
          <w:szCs w:val="26"/>
        </w:rPr>
        <w:t xml:space="preserve"> w</w:t>
      </w:r>
      <w:r w:rsidRPr="00A43D3A" w:rsidR="003706A3">
        <w:rPr>
          <w:szCs w:val="26"/>
        </w:rPr>
        <w:t xml:space="preserve">hile Salazar’s appeal was pending, </w:t>
      </w:r>
      <w:r w:rsidRPr="00A43D3A" w:rsidR="007753DD">
        <w:rPr>
          <w:szCs w:val="26"/>
        </w:rPr>
        <w:t>Senate Bill 567</w:t>
      </w:r>
      <w:r w:rsidRPr="00A43D3A" w:rsidR="003706A3">
        <w:rPr>
          <w:szCs w:val="26"/>
        </w:rPr>
        <w:t xml:space="preserve"> amended section 1170 to provide that “unless the court finds that the aggravating circumstances outweigh the mitigating circumstances that imposition of the lower term would be contrary to the interests of justice, the court shall order imposition of the lower term if,” among other things, the defendant “has experienced psychological, physical, or childhood trauma,” and this trauma “was a contributing factor in the commission of the offense.”  (§ 1170, subd. </w:t>
      </w:r>
      <w:r w:rsidRPr="00A43D3A" w:rsidR="0041647B">
        <w:rPr>
          <w:szCs w:val="26"/>
        </w:rPr>
        <w:t xml:space="preserve">(b)(6) &amp; </w:t>
      </w:r>
      <w:r w:rsidRPr="00A43D3A" w:rsidR="003706A3">
        <w:rPr>
          <w:szCs w:val="26"/>
        </w:rPr>
        <w:t>(A).)</w:t>
      </w:r>
      <w:r>
        <w:rPr>
          <w:rStyle w:val="FootnoteReference"/>
          <w:szCs w:val="26"/>
        </w:rPr>
        <w:footnoteReference w:id="5"/>
      </w:r>
      <w:r w:rsidRPr="00A43D3A" w:rsidR="003706A3">
        <w:rPr>
          <w:szCs w:val="26"/>
        </w:rPr>
        <w:t xml:space="preserve">  </w:t>
      </w:r>
      <w:r w:rsidRPr="00A43D3A" w:rsidR="00653D2C">
        <w:rPr>
          <w:szCs w:val="26"/>
        </w:rPr>
        <w:t xml:space="preserve">The </w:t>
      </w:r>
      <w:r w:rsidRPr="00A43D3A" w:rsidR="00172B78">
        <w:rPr>
          <w:szCs w:val="26"/>
        </w:rPr>
        <w:t>C</w:t>
      </w:r>
      <w:r w:rsidRPr="00A43D3A" w:rsidR="00653D2C">
        <w:rPr>
          <w:szCs w:val="26"/>
        </w:rPr>
        <w:t>ourt</w:t>
      </w:r>
      <w:r w:rsidRPr="00A43D3A" w:rsidR="000B32F6">
        <w:rPr>
          <w:szCs w:val="26"/>
        </w:rPr>
        <w:t xml:space="preserve"> of </w:t>
      </w:r>
      <w:r w:rsidRPr="00A43D3A" w:rsidR="00172B78">
        <w:rPr>
          <w:szCs w:val="26"/>
        </w:rPr>
        <w:t>A</w:t>
      </w:r>
      <w:r w:rsidRPr="00A43D3A" w:rsidR="000B32F6">
        <w:rPr>
          <w:szCs w:val="26"/>
        </w:rPr>
        <w:t>ppeal</w:t>
      </w:r>
      <w:r w:rsidRPr="00A43D3A" w:rsidR="00653D2C">
        <w:rPr>
          <w:szCs w:val="26"/>
        </w:rPr>
        <w:t xml:space="preserve"> asked the parties</w:t>
      </w:r>
      <w:r w:rsidRPr="00A43D3A" w:rsidR="00607DB4">
        <w:rPr>
          <w:szCs w:val="26"/>
        </w:rPr>
        <w:t xml:space="preserve"> to</w:t>
      </w:r>
      <w:r w:rsidRPr="00A43D3A" w:rsidR="00653D2C">
        <w:rPr>
          <w:szCs w:val="26"/>
        </w:rPr>
        <w:t xml:space="preserve"> submit supplemental briefing discussing the application of the new legislation, if any, to the case.  </w:t>
      </w:r>
      <w:r w:rsidRPr="00A43D3A" w:rsidR="006161FD">
        <w:rPr>
          <w:szCs w:val="26"/>
        </w:rPr>
        <w:t>In a supplemental brief, Salazar argued he was entitled to resentencing pursuant to these amendments to section 1170</w:t>
      </w:r>
      <w:r w:rsidRPr="00A43D3A" w:rsidR="00010F2B">
        <w:rPr>
          <w:szCs w:val="26"/>
        </w:rPr>
        <w:t xml:space="preserve">.  </w:t>
      </w:r>
      <w:r w:rsidRPr="00A43D3A" w:rsidR="00837DCC">
        <w:rPr>
          <w:szCs w:val="26"/>
        </w:rPr>
        <w:t xml:space="preserve">In a </w:t>
      </w:r>
      <w:r w:rsidRPr="00A43D3A" w:rsidR="00E026F3">
        <w:rPr>
          <w:szCs w:val="26"/>
        </w:rPr>
        <w:t>divided</w:t>
      </w:r>
      <w:r w:rsidRPr="00A43D3A" w:rsidR="00837DCC">
        <w:rPr>
          <w:szCs w:val="26"/>
        </w:rPr>
        <w:t xml:space="preserve"> opinion</w:t>
      </w:r>
      <w:r w:rsidRPr="00A43D3A" w:rsidR="003706A3">
        <w:rPr>
          <w:szCs w:val="26"/>
        </w:rPr>
        <w:t xml:space="preserve">, the Court of Appeal declined to remand </w:t>
      </w:r>
      <w:r w:rsidRPr="00A43D3A" w:rsidR="006161FD">
        <w:rPr>
          <w:szCs w:val="26"/>
        </w:rPr>
        <w:t>for resentencing in light of</w:t>
      </w:r>
      <w:r w:rsidRPr="00A43D3A" w:rsidR="003706A3">
        <w:rPr>
          <w:szCs w:val="26"/>
        </w:rPr>
        <w:t xml:space="preserve"> </w:t>
      </w:r>
      <w:r w:rsidRPr="00A43D3A" w:rsidR="006161FD">
        <w:rPr>
          <w:szCs w:val="26"/>
        </w:rPr>
        <w:t>the new law</w:t>
      </w:r>
      <w:r w:rsidRPr="00A43D3A" w:rsidR="003706A3">
        <w:rPr>
          <w:szCs w:val="26"/>
        </w:rPr>
        <w:t xml:space="preserve">. </w:t>
      </w:r>
      <w:r w:rsidRPr="00A43D3A" w:rsidR="006161FD">
        <w:rPr>
          <w:szCs w:val="26"/>
        </w:rPr>
        <w:t xml:space="preserve"> (</w:t>
      </w:r>
      <w:r w:rsidRPr="00A43D3A" w:rsidR="006161FD">
        <w:rPr>
          <w:i/>
          <w:iCs/>
          <w:szCs w:val="26"/>
        </w:rPr>
        <w:t>People v. Salazar</w:t>
      </w:r>
      <w:r w:rsidRPr="00A43D3A" w:rsidR="006161FD">
        <w:rPr>
          <w:szCs w:val="26"/>
        </w:rPr>
        <w:t xml:space="preserve"> (2022) 80</w:t>
      </w:r>
      <w:r w:rsidRPr="00A43D3A" w:rsidR="00710A09">
        <w:rPr>
          <w:szCs w:val="26"/>
        </w:rPr>
        <w:t> </w:t>
      </w:r>
      <w:r w:rsidRPr="00A43D3A" w:rsidR="006161FD">
        <w:rPr>
          <w:szCs w:val="26"/>
        </w:rPr>
        <w:t>Cal.App.5th 453, 464</w:t>
      </w:r>
      <w:r w:rsidRPr="00A43D3A" w:rsidR="004C6CC5">
        <w:rPr>
          <w:szCs w:val="26"/>
        </w:rPr>
        <w:t xml:space="preserve"> (</w:t>
      </w:r>
      <w:r w:rsidRPr="00A43D3A" w:rsidR="004C6CC5">
        <w:rPr>
          <w:i/>
          <w:iCs/>
          <w:szCs w:val="26"/>
        </w:rPr>
        <w:t>Salazar</w:t>
      </w:r>
      <w:r w:rsidRPr="00A43D3A" w:rsidR="004C6CC5">
        <w:rPr>
          <w:szCs w:val="26"/>
        </w:rPr>
        <w:t>)</w:t>
      </w:r>
      <w:r w:rsidRPr="00A43D3A" w:rsidR="006161FD">
        <w:rPr>
          <w:szCs w:val="26"/>
        </w:rPr>
        <w:t>.)  The majority concluded “the record ‘</w:t>
      </w:r>
      <w:r w:rsidR="00A26D9D">
        <w:rPr>
          <w:szCs w:val="26"/>
        </w:rPr>
        <w:t> “</w:t>
      </w:r>
      <w:r w:rsidRPr="00A43D3A" w:rsidR="006161FD">
        <w:rPr>
          <w:szCs w:val="26"/>
        </w:rPr>
        <w:t>clearly indicate</w:t>
      </w:r>
      <w:r w:rsidR="005F7244">
        <w:rPr>
          <w:szCs w:val="26"/>
        </w:rPr>
        <w:t>[</w:t>
      </w:r>
      <w:r w:rsidRPr="00A43D3A" w:rsidR="006161FD">
        <w:rPr>
          <w:szCs w:val="26"/>
        </w:rPr>
        <w:t>s</w:t>
      </w:r>
      <w:r w:rsidR="005F7244">
        <w:rPr>
          <w:szCs w:val="26"/>
        </w:rPr>
        <w:t>]</w:t>
      </w:r>
      <w:r w:rsidR="00A26D9D">
        <w:rPr>
          <w:szCs w:val="26"/>
        </w:rPr>
        <w:t>” </w:t>
      </w:r>
      <w:r w:rsidRPr="00A43D3A" w:rsidR="006161FD">
        <w:rPr>
          <w:szCs w:val="26"/>
        </w:rPr>
        <w:t>’ the trial court would not have imposed the low term had it been aware of its discretion to do so under S</w:t>
      </w:r>
      <w:r w:rsidR="00A26D9D">
        <w:rPr>
          <w:szCs w:val="26"/>
        </w:rPr>
        <w:t xml:space="preserve">enate </w:t>
      </w:r>
      <w:r w:rsidRPr="00A43D3A" w:rsidR="006161FD">
        <w:rPr>
          <w:szCs w:val="26"/>
        </w:rPr>
        <w:t>B</w:t>
      </w:r>
      <w:r w:rsidR="00A26D9D">
        <w:rPr>
          <w:szCs w:val="26"/>
        </w:rPr>
        <w:t>ill</w:t>
      </w:r>
      <w:r w:rsidRPr="00A43D3A" w:rsidR="006161FD">
        <w:rPr>
          <w:szCs w:val="26"/>
        </w:rPr>
        <w:t xml:space="preserve"> 567.”  (</w:t>
      </w:r>
      <w:r w:rsidRPr="00A43D3A" w:rsidR="006161FD">
        <w:rPr>
          <w:i/>
          <w:iCs/>
          <w:szCs w:val="26"/>
        </w:rPr>
        <w:t>Ibid</w:t>
      </w:r>
      <w:r w:rsidRPr="00A43D3A" w:rsidR="006161FD">
        <w:rPr>
          <w:szCs w:val="26"/>
        </w:rPr>
        <w:t xml:space="preserve">.)  </w:t>
      </w:r>
      <w:r w:rsidRPr="00A43D3A" w:rsidR="00B956BA">
        <w:rPr>
          <w:szCs w:val="26"/>
        </w:rPr>
        <w:t xml:space="preserve">The majority reasoned (1) the probation report identified multiple aggravating factors; (2) the trial court denied </w:t>
      </w:r>
      <w:r w:rsidRPr="00A43D3A" w:rsidR="00C202C9">
        <w:rPr>
          <w:szCs w:val="26"/>
        </w:rPr>
        <w:t>Salazar’s</w:t>
      </w:r>
      <w:r w:rsidRPr="00A43D3A" w:rsidR="00B956BA">
        <w:rPr>
          <w:szCs w:val="26"/>
        </w:rPr>
        <w:t xml:space="preserve"> </w:t>
      </w:r>
      <w:r w:rsidRPr="00A43D3A" w:rsidR="00B956BA">
        <w:rPr>
          <w:i/>
          <w:iCs/>
          <w:szCs w:val="26"/>
        </w:rPr>
        <w:t>Romero</w:t>
      </w:r>
      <w:r w:rsidRPr="00A43D3A" w:rsidR="00B956BA">
        <w:rPr>
          <w:szCs w:val="26"/>
        </w:rPr>
        <w:t xml:space="preserve"> motion and request for probation, highlighting his </w:t>
      </w:r>
      <w:r w:rsidRPr="00A43D3A" w:rsidR="00C202C9">
        <w:rPr>
          <w:szCs w:val="26"/>
        </w:rPr>
        <w:t>lengthy criminal history;</w:t>
      </w:r>
      <w:r w:rsidRPr="00A43D3A" w:rsidR="00B956BA">
        <w:rPr>
          <w:szCs w:val="26"/>
        </w:rPr>
        <w:t xml:space="preserve"> (3) the trial court </w:t>
      </w:r>
      <w:r w:rsidRPr="00A43D3A" w:rsidR="00C202C9">
        <w:rPr>
          <w:szCs w:val="26"/>
        </w:rPr>
        <w:t>imposed consecutive sentences instead of concurrent sentences</w:t>
      </w:r>
      <w:r w:rsidRPr="00A43D3A" w:rsidR="00B956BA">
        <w:rPr>
          <w:szCs w:val="26"/>
        </w:rPr>
        <w:t>; (4) “the current offenses were aggravated, sadistic, and extended over the course of 20 hours</w:t>
      </w:r>
      <w:r w:rsidRPr="00A43D3A" w:rsidR="00C202C9">
        <w:rPr>
          <w:szCs w:val="26"/>
        </w:rPr>
        <w:t>”</w:t>
      </w:r>
      <w:r w:rsidRPr="00A43D3A" w:rsidR="00B956BA">
        <w:rPr>
          <w:szCs w:val="26"/>
        </w:rPr>
        <w:t xml:space="preserve">; and (5) the trial court imposed a criminal protective order against </w:t>
      </w:r>
      <w:r w:rsidRPr="00A43D3A" w:rsidR="00C202C9">
        <w:rPr>
          <w:szCs w:val="26"/>
        </w:rPr>
        <w:t>Salazar</w:t>
      </w:r>
      <w:r w:rsidRPr="00A43D3A" w:rsidR="00B956BA">
        <w:rPr>
          <w:szCs w:val="26"/>
        </w:rPr>
        <w:t xml:space="preserve"> </w:t>
      </w:r>
      <w:r w:rsidRPr="00A43D3A" w:rsidR="00C202C9">
        <w:rPr>
          <w:szCs w:val="26"/>
        </w:rPr>
        <w:t>and the probation report indicated he</w:t>
      </w:r>
      <w:r w:rsidRPr="00A43D3A" w:rsidR="00B956BA">
        <w:rPr>
          <w:szCs w:val="26"/>
        </w:rPr>
        <w:t xml:space="preserve"> had a record of violence against other women.  (</w:t>
      </w:r>
      <w:r w:rsidRPr="00A43D3A" w:rsidR="00B956BA">
        <w:rPr>
          <w:i/>
          <w:iCs/>
          <w:szCs w:val="26"/>
        </w:rPr>
        <w:t>Id</w:t>
      </w:r>
      <w:r w:rsidRPr="00A43D3A" w:rsidR="00B956BA">
        <w:rPr>
          <w:szCs w:val="26"/>
        </w:rPr>
        <w:t>. at p.</w:t>
      </w:r>
      <w:r w:rsidRPr="00A43D3A" w:rsidR="00710A09">
        <w:rPr>
          <w:szCs w:val="26"/>
        </w:rPr>
        <w:t> </w:t>
      </w:r>
      <w:r w:rsidRPr="00A43D3A" w:rsidR="00C202C9">
        <w:rPr>
          <w:szCs w:val="26"/>
        </w:rPr>
        <w:t>46</w:t>
      </w:r>
      <w:r w:rsidRPr="00A43D3A" w:rsidR="00492BAD">
        <w:rPr>
          <w:szCs w:val="26"/>
        </w:rPr>
        <w:t>4</w:t>
      </w:r>
      <w:r w:rsidR="001226EF">
        <w:rPr>
          <w:szCs w:val="26"/>
        </w:rPr>
        <w:t xml:space="preserve">; </w:t>
      </w:r>
      <w:r w:rsidR="001226EF">
        <w:rPr>
          <w:i/>
          <w:iCs/>
          <w:szCs w:val="26"/>
        </w:rPr>
        <w:t>id.</w:t>
      </w:r>
      <w:r w:rsidR="001226EF">
        <w:rPr>
          <w:szCs w:val="26"/>
        </w:rPr>
        <w:t xml:space="preserve"> at p.</w:t>
      </w:r>
      <w:r w:rsidR="00C94EE6">
        <w:rPr>
          <w:szCs w:val="26"/>
        </w:rPr>
        <w:t> </w:t>
      </w:r>
      <w:r w:rsidR="001226EF">
        <w:rPr>
          <w:szCs w:val="26"/>
        </w:rPr>
        <w:t>463</w:t>
      </w:r>
      <w:r w:rsidRPr="00A43D3A" w:rsidR="00B956BA">
        <w:rPr>
          <w:szCs w:val="26"/>
        </w:rPr>
        <w:t xml:space="preserve">.)  </w:t>
      </w:r>
      <w:r w:rsidRPr="00A43D3A" w:rsidR="006161FD">
        <w:rPr>
          <w:szCs w:val="26"/>
        </w:rPr>
        <w:t>In contrast, the dissent would have remanded the case for resentencing.  (</w:t>
      </w:r>
      <w:r w:rsidRPr="00A43D3A" w:rsidR="006161FD">
        <w:rPr>
          <w:i/>
          <w:iCs/>
          <w:szCs w:val="26"/>
        </w:rPr>
        <w:t>Id</w:t>
      </w:r>
      <w:r w:rsidRPr="00A43D3A" w:rsidR="006161FD">
        <w:rPr>
          <w:szCs w:val="26"/>
        </w:rPr>
        <w:t>. at p.</w:t>
      </w:r>
      <w:r w:rsidRPr="00A43D3A" w:rsidR="00710A09">
        <w:rPr>
          <w:szCs w:val="26"/>
        </w:rPr>
        <w:t> </w:t>
      </w:r>
      <w:r w:rsidRPr="00A43D3A" w:rsidR="006161FD">
        <w:rPr>
          <w:szCs w:val="26"/>
        </w:rPr>
        <w:t>466 (</w:t>
      </w:r>
      <w:r w:rsidR="001226EF">
        <w:rPr>
          <w:szCs w:val="26"/>
        </w:rPr>
        <w:t xml:space="preserve">dis. opn. of </w:t>
      </w:r>
      <w:r w:rsidRPr="00A43D3A" w:rsidR="006161FD">
        <w:rPr>
          <w:szCs w:val="26"/>
        </w:rPr>
        <w:t xml:space="preserve">Tangeman, J.).)  </w:t>
      </w:r>
      <w:r w:rsidRPr="00A43D3A" w:rsidR="00492BAD">
        <w:rPr>
          <w:szCs w:val="26"/>
        </w:rPr>
        <w:t>The dissent believed the record is not clear that the court would have found “</w:t>
      </w:r>
      <w:r w:rsidRPr="00A43D3A" w:rsidR="00710A09">
        <w:rPr>
          <w:szCs w:val="26"/>
        </w:rPr>
        <w:t> </w:t>
      </w:r>
      <w:r w:rsidRPr="00A43D3A" w:rsidR="00492BAD">
        <w:rPr>
          <w:szCs w:val="26"/>
        </w:rPr>
        <w:t xml:space="preserve">‘the aggravating circumstances outweigh </w:t>
      </w:r>
      <w:r w:rsidRPr="00A43D3A" w:rsidR="00710A09">
        <w:rPr>
          <w:szCs w:val="26"/>
        </w:rPr>
        <w:t xml:space="preserve">the </w:t>
      </w:r>
      <w:r w:rsidRPr="00A43D3A" w:rsidR="00492BAD">
        <w:rPr>
          <w:szCs w:val="26"/>
        </w:rPr>
        <w:t>mitigating circumstances [so] that imposition of the lower term would be contrary to the interests of justice.’</w:t>
      </w:r>
      <w:r w:rsidRPr="00A43D3A" w:rsidR="00710A09">
        <w:rPr>
          <w:szCs w:val="26"/>
        </w:rPr>
        <w:t> </w:t>
      </w:r>
      <w:r w:rsidRPr="00A43D3A" w:rsidR="00492BAD">
        <w:rPr>
          <w:szCs w:val="26"/>
        </w:rPr>
        <w:t>”  (</w:t>
      </w:r>
      <w:r w:rsidRPr="00A43D3A" w:rsidR="00492BAD">
        <w:rPr>
          <w:i/>
          <w:iCs/>
          <w:szCs w:val="26"/>
        </w:rPr>
        <w:t>Ibid</w:t>
      </w:r>
      <w:r w:rsidRPr="00A43D3A" w:rsidR="00492BAD">
        <w:rPr>
          <w:szCs w:val="26"/>
        </w:rPr>
        <w:t>.)  The dissent noted that by selecting the middle term, “the trial court impliedly found the aggravating factors were not sufficient to warrant imposition of the high term.”  (</w:t>
      </w:r>
      <w:r w:rsidRPr="00A43D3A" w:rsidR="00492BAD">
        <w:rPr>
          <w:i/>
          <w:iCs/>
          <w:szCs w:val="26"/>
        </w:rPr>
        <w:t>Ibid</w:t>
      </w:r>
      <w:r w:rsidRPr="00A43D3A" w:rsidR="00492BAD">
        <w:rPr>
          <w:szCs w:val="26"/>
        </w:rPr>
        <w:t>.)  The dissent concluded that the “majority’s approach of substituting its judgment for that of the trial court contravenes our Supreme Court’s holding that remand is required ‘unless the record “clearly indicate[s]” that the trial court would have reached the same conclusion “even if it had been aware that it had such discretion.”</w:t>
      </w:r>
      <w:r w:rsidRPr="00A43D3A" w:rsidR="002014AF">
        <w:rPr>
          <w:szCs w:val="26"/>
        </w:rPr>
        <w:t> </w:t>
      </w:r>
      <w:r w:rsidRPr="00A43D3A" w:rsidR="00492BAD">
        <w:rPr>
          <w:szCs w:val="26"/>
        </w:rPr>
        <w:t>’</w:t>
      </w:r>
      <w:r w:rsidRPr="00A43D3A" w:rsidR="00CC6004">
        <w:rPr>
          <w:szCs w:val="26"/>
        </w:rPr>
        <w:t> </w:t>
      </w:r>
      <w:r w:rsidRPr="00A43D3A" w:rsidR="00492BAD">
        <w:rPr>
          <w:szCs w:val="26"/>
        </w:rPr>
        <w:t>”  (</w:t>
      </w:r>
      <w:r w:rsidRPr="00A43D3A" w:rsidR="00492BAD">
        <w:rPr>
          <w:i/>
          <w:iCs/>
          <w:szCs w:val="26"/>
        </w:rPr>
        <w:t>Ibid</w:t>
      </w:r>
      <w:r w:rsidRPr="00A43D3A" w:rsidR="00492BAD">
        <w:rPr>
          <w:szCs w:val="26"/>
        </w:rPr>
        <w:t xml:space="preserve">.)  </w:t>
      </w:r>
      <w:r w:rsidRPr="00A43D3A" w:rsidR="003706A3">
        <w:rPr>
          <w:szCs w:val="26"/>
        </w:rPr>
        <w:t>We granted review.</w:t>
      </w:r>
    </w:p>
    <w:p w:rsidR="00DD2F50" w:rsidRPr="00A43D3A" w:rsidP="00097AC4" w14:paraId="0CABFA66" w14:textId="77777777">
      <w:pPr>
        <w:tabs>
          <w:tab w:val="left" w:pos="1440"/>
        </w:tabs>
        <w:jc w:val="center"/>
        <w:rPr>
          <w:szCs w:val="26"/>
        </w:rPr>
      </w:pPr>
      <w:r w:rsidRPr="00A43D3A">
        <w:rPr>
          <w:szCs w:val="26"/>
        </w:rPr>
        <w:t>II. Discussion</w:t>
      </w:r>
    </w:p>
    <w:p w:rsidR="00D248CA" w:rsidRPr="00A43D3A" w:rsidP="00097AC4" w14:paraId="0CABFA67" w14:textId="77777777">
      <w:pPr>
        <w:tabs>
          <w:tab w:val="left" w:pos="1440"/>
        </w:tabs>
        <w:ind w:firstLine="720"/>
        <w:rPr>
          <w:szCs w:val="26"/>
        </w:rPr>
      </w:pPr>
      <w:r w:rsidRPr="00A43D3A">
        <w:rPr>
          <w:szCs w:val="26"/>
        </w:rPr>
        <w:t>The Attorney General argues that the record clearly indicates that the trial court would have imposed the same middle</w:t>
      </w:r>
      <w:r w:rsidRPr="00A43D3A" w:rsidR="00A368C7">
        <w:rPr>
          <w:szCs w:val="26"/>
        </w:rPr>
        <w:t xml:space="preserve"> </w:t>
      </w:r>
      <w:r w:rsidRPr="00A43D3A">
        <w:rPr>
          <w:szCs w:val="26"/>
        </w:rPr>
        <w:t>term sentence even if it had been aware of the current section 1170</w:t>
      </w:r>
      <w:r w:rsidR="00102CEA">
        <w:rPr>
          <w:szCs w:val="26"/>
        </w:rPr>
        <w:t xml:space="preserve"> lower term presumption</w:t>
      </w:r>
      <w:r w:rsidRPr="00A43D3A">
        <w:rPr>
          <w:szCs w:val="26"/>
        </w:rPr>
        <w:t xml:space="preserve">.  </w:t>
      </w:r>
      <w:r w:rsidRPr="00A43D3A" w:rsidR="00302F08">
        <w:rPr>
          <w:szCs w:val="26"/>
        </w:rPr>
        <w:t>W</w:t>
      </w:r>
      <w:r w:rsidRPr="00A43D3A">
        <w:rPr>
          <w:szCs w:val="26"/>
        </w:rPr>
        <w:t>e disagree.</w:t>
      </w:r>
    </w:p>
    <w:p w:rsidR="009C2938" w:rsidRPr="00A43D3A" w:rsidP="00097AC4" w14:paraId="0CABFA68" w14:textId="77777777">
      <w:pPr>
        <w:tabs>
          <w:tab w:val="left" w:pos="1440"/>
        </w:tabs>
        <w:ind w:firstLine="720"/>
        <w:rPr>
          <w:szCs w:val="26"/>
        </w:rPr>
      </w:pPr>
      <w:r w:rsidRPr="00A43D3A">
        <w:rPr>
          <w:szCs w:val="26"/>
        </w:rPr>
        <w:t>“</w:t>
      </w:r>
      <w:r w:rsidRPr="00A43D3A" w:rsidR="00DD2F50">
        <w:rPr>
          <w:szCs w:val="26"/>
        </w:rPr>
        <w:t> </w:t>
      </w:r>
      <w:r w:rsidRPr="00A43D3A">
        <w:rPr>
          <w:szCs w:val="26"/>
        </w:rPr>
        <w:t xml:space="preserve">‘Defendants are entitled to sentencing decisions made in the exercise of the “informed discretion” of the sentencing court. </w:t>
      </w:r>
      <w:r w:rsidRPr="00A43D3A" w:rsidR="00384D04">
        <w:rPr>
          <w:szCs w:val="26"/>
        </w:rPr>
        <w:t xml:space="preserve"> (See </w:t>
      </w:r>
      <w:r w:rsidRPr="00A43D3A" w:rsidR="00384D04">
        <w:rPr>
          <w:i/>
          <w:iCs/>
          <w:szCs w:val="26"/>
        </w:rPr>
        <w:t>United States v. Tucker</w:t>
      </w:r>
      <w:r w:rsidRPr="00A43D3A" w:rsidR="00384D04">
        <w:rPr>
          <w:szCs w:val="26"/>
        </w:rPr>
        <w:t xml:space="preserve"> (1972) 404</w:t>
      </w:r>
      <w:r w:rsidRPr="00A43D3A" w:rsidR="00762E4B">
        <w:rPr>
          <w:szCs w:val="26"/>
        </w:rPr>
        <w:t> </w:t>
      </w:r>
      <w:r w:rsidRPr="00A43D3A" w:rsidR="00384D04">
        <w:rPr>
          <w:szCs w:val="26"/>
        </w:rPr>
        <w:t>U.S. 443, 447</w:t>
      </w:r>
      <w:r w:rsidR="009E45D4">
        <w:rPr>
          <w:szCs w:val="26"/>
        </w:rPr>
        <w:t xml:space="preserve"> </w:t>
      </w:r>
      <w:r w:rsidRPr="009E45D4" w:rsidR="009E45D4">
        <w:rPr>
          <w:szCs w:val="26"/>
        </w:rPr>
        <w:t>[30</w:t>
      </w:r>
      <w:r w:rsidR="009E45D4">
        <w:rPr>
          <w:szCs w:val="26"/>
        </w:rPr>
        <w:t xml:space="preserve"> </w:t>
      </w:r>
      <w:r w:rsidRPr="009E45D4" w:rsidR="009E45D4">
        <w:rPr>
          <w:szCs w:val="26"/>
        </w:rPr>
        <w:t>L.Ed.2d</w:t>
      </w:r>
      <w:r w:rsidR="009E45D4">
        <w:rPr>
          <w:szCs w:val="26"/>
        </w:rPr>
        <w:t xml:space="preserve"> </w:t>
      </w:r>
      <w:r w:rsidRPr="009E45D4" w:rsidR="009E45D4">
        <w:rPr>
          <w:szCs w:val="26"/>
        </w:rPr>
        <w:t>592,</w:t>
      </w:r>
      <w:r w:rsidR="009E45D4">
        <w:rPr>
          <w:szCs w:val="26"/>
        </w:rPr>
        <w:t xml:space="preserve"> </w:t>
      </w:r>
      <w:r w:rsidRPr="009E45D4" w:rsidR="009E45D4">
        <w:rPr>
          <w:szCs w:val="26"/>
        </w:rPr>
        <w:t>596,</w:t>
      </w:r>
      <w:r w:rsidR="009E45D4">
        <w:rPr>
          <w:szCs w:val="26"/>
        </w:rPr>
        <w:t xml:space="preserve"> </w:t>
      </w:r>
      <w:r w:rsidRPr="009E45D4" w:rsidR="009E45D4">
        <w:rPr>
          <w:szCs w:val="26"/>
        </w:rPr>
        <w:t>92</w:t>
      </w:r>
      <w:r w:rsidR="009E45D4">
        <w:rPr>
          <w:szCs w:val="26"/>
        </w:rPr>
        <w:t xml:space="preserve"> </w:t>
      </w:r>
      <w:r w:rsidRPr="009E45D4" w:rsidR="009E45D4">
        <w:rPr>
          <w:szCs w:val="26"/>
        </w:rPr>
        <w:t>S.Ct.</w:t>
      </w:r>
      <w:r w:rsidR="009E45D4">
        <w:rPr>
          <w:szCs w:val="26"/>
        </w:rPr>
        <w:t xml:space="preserve"> </w:t>
      </w:r>
      <w:r w:rsidRPr="009E45D4" w:rsidR="009E45D4">
        <w:rPr>
          <w:szCs w:val="26"/>
        </w:rPr>
        <w:t>589]</w:t>
      </w:r>
      <w:r w:rsidRPr="00A43D3A" w:rsidR="00384D04">
        <w:rPr>
          <w:szCs w:val="26"/>
        </w:rPr>
        <w:t xml:space="preserve">; </w:t>
      </w:r>
      <w:r w:rsidRPr="00A43D3A" w:rsidR="00384D04">
        <w:rPr>
          <w:i/>
          <w:iCs/>
          <w:szCs w:val="26"/>
        </w:rPr>
        <w:t>Townsend v. Burke</w:t>
      </w:r>
      <w:r w:rsidRPr="00A43D3A" w:rsidR="00384D04">
        <w:rPr>
          <w:szCs w:val="26"/>
        </w:rPr>
        <w:t xml:space="preserve"> (1948) 334</w:t>
      </w:r>
      <w:r w:rsidRPr="00A43D3A" w:rsidR="00762E4B">
        <w:rPr>
          <w:szCs w:val="26"/>
        </w:rPr>
        <w:t> </w:t>
      </w:r>
      <w:r w:rsidRPr="00A43D3A" w:rsidR="00384D04">
        <w:rPr>
          <w:szCs w:val="26"/>
        </w:rPr>
        <w:t>U.S. 736, 741</w:t>
      </w:r>
      <w:r w:rsidR="009E45D4">
        <w:rPr>
          <w:szCs w:val="26"/>
        </w:rPr>
        <w:t xml:space="preserve"> </w:t>
      </w:r>
      <w:r w:rsidRPr="009E45D4" w:rsidR="009E45D4">
        <w:rPr>
          <w:szCs w:val="26"/>
        </w:rPr>
        <w:t>[92</w:t>
      </w:r>
      <w:r w:rsidR="009E45D4">
        <w:rPr>
          <w:szCs w:val="26"/>
        </w:rPr>
        <w:t xml:space="preserve"> </w:t>
      </w:r>
      <w:r w:rsidRPr="009E45D4" w:rsidR="009E45D4">
        <w:rPr>
          <w:szCs w:val="26"/>
        </w:rPr>
        <w:t>L.Ed.</w:t>
      </w:r>
      <w:r w:rsidR="009E45D4">
        <w:rPr>
          <w:szCs w:val="26"/>
        </w:rPr>
        <w:t xml:space="preserve"> </w:t>
      </w:r>
      <w:r w:rsidRPr="009E45D4" w:rsidR="009E45D4">
        <w:rPr>
          <w:szCs w:val="26"/>
        </w:rPr>
        <w:t>1690,</w:t>
      </w:r>
      <w:r w:rsidR="009E45D4">
        <w:rPr>
          <w:szCs w:val="26"/>
        </w:rPr>
        <w:t xml:space="preserve"> </w:t>
      </w:r>
      <w:r w:rsidRPr="009E45D4" w:rsidR="009E45D4">
        <w:rPr>
          <w:szCs w:val="26"/>
        </w:rPr>
        <w:t>1693,</w:t>
      </w:r>
      <w:r w:rsidR="009E45D4">
        <w:rPr>
          <w:szCs w:val="26"/>
        </w:rPr>
        <w:t xml:space="preserve"> </w:t>
      </w:r>
      <w:r w:rsidRPr="009E45D4" w:rsidR="009E45D4">
        <w:rPr>
          <w:szCs w:val="26"/>
        </w:rPr>
        <w:t>68</w:t>
      </w:r>
      <w:r w:rsidR="009E45D4">
        <w:rPr>
          <w:szCs w:val="26"/>
        </w:rPr>
        <w:t xml:space="preserve"> </w:t>
      </w:r>
      <w:r w:rsidRPr="009E45D4" w:rsidR="009E45D4">
        <w:rPr>
          <w:szCs w:val="26"/>
        </w:rPr>
        <w:t>S.Ct. 1252]</w:t>
      </w:r>
      <w:r w:rsidRPr="00A43D3A" w:rsidR="00384D04">
        <w:rPr>
          <w:szCs w:val="26"/>
        </w:rPr>
        <w:t xml:space="preserve">.) </w:t>
      </w:r>
      <w:r w:rsidRPr="00A43D3A">
        <w:rPr>
          <w:szCs w:val="26"/>
        </w:rPr>
        <w:t xml:space="preserve"> A court which is unaware of the scope of its discretionary powers can no more exercise that “informed discretion” than one whose sentence is or may have been based on misinformation regarding a material aspect of a defendant’s record.’ </w:t>
      </w:r>
      <w:r w:rsidRPr="00A43D3A" w:rsidR="00384D04">
        <w:rPr>
          <w:szCs w:val="26"/>
        </w:rPr>
        <w:t xml:space="preserve"> (</w:t>
      </w:r>
      <w:r w:rsidRPr="00A43D3A" w:rsidR="00384D04">
        <w:rPr>
          <w:i/>
          <w:iCs/>
          <w:szCs w:val="26"/>
        </w:rPr>
        <w:t>People v. Belmontes</w:t>
      </w:r>
      <w:r w:rsidRPr="00A43D3A" w:rsidR="00384D04">
        <w:rPr>
          <w:szCs w:val="26"/>
        </w:rPr>
        <w:t xml:space="preserve"> (1983) 34</w:t>
      </w:r>
      <w:r w:rsidRPr="00A43D3A" w:rsidR="00762E4B">
        <w:rPr>
          <w:szCs w:val="26"/>
        </w:rPr>
        <w:t> </w:t>
      </w:r>
      <w:r w:rsidRPr="00A43D3A" w:rsidR="00384D04">
        <w:rPr>
          <w:szCs w:val="26"/>
        </w:rPr>
        <w:t>Cal.3d 335, 348, fn. 8</w:t>
      </w:r>
      <w:r w:rsidR="007B615F">
        <w:rPr>
          <w:szCs w:val="26"/>
        </w:rPr>
        <w:t xml:space="preserve"> </w:t>
      </w:r>
      <w:r w:rsidRPr="007B615F" w:rsidR="007B615F">
        <w:rPr>
          <w:szCs w:val="26"/>
        </w:rPr>
        <w:t>[193</w:t>
      </w:r>
      <w:r w:rsidR="007B615F">
        <w:rPr>
          <w:szCs w:val="26"/>
        </w:rPr>
        <w:t xml:space="preserve"> </w:t>
      </w:r>
      <w:r w:rsidRPr="007B615F" w:rsidR="007B615F">
        <w:rPr>
          <w:szCs w:val="26"/>
        </w:rPr>
        <w:t>Cal.Rptr.</w:t>
      </w:r>
      <w:r w:rsidR="007B615F">
        <w:rPr>
          <w:szCs w:val="26"/>
        </w:rPr>
        <w:t xml:space="preserve"> </w:t>
      </w:r>
      <w:r w:rsidRPr="007B615F" w:rsidR="007B615F">
        <w:rPr>
          <w:szCs w:val="26"/>
        </w:rPr>
        <w:t>882,</w:t>
      </w:r>
      <w:r w:rsidR="007B615F">
        <w:rPr>
          <w:szCs w:val="26"/>
        </w:rPr>
        <w:t xml:space="preserve"> </w:t>
      </w:r>
      <w:r w:rsidRPr="007B615F" w:rsidR="007B615F">
        <w:rPr>
          <w:szCs w:val="26"/>
        </w:rPr>
        <w:t>667</w:t>
      </w:r>
      <w:r w:rsidR="007B615F">
        <w:rPr>
          <w:szCs w:val="26"/>
        </w:rPr>
        <w:t xml:space="preserve"> </w:t>
      </w:r>
      <w:r w:rsidRPr="007B615F" w:rsidR="007B615F">
        <w:rPr>
          <w:szCs w:val="26"/>
        </w:rPr>
        <w:t>P.2d</w:t>
      </w:r>
      <w:r w:rsidR="007B615F">
        <w:rPr>
          <w:szCs w:val="26"/>
        </w:rPr>
        <w:t xml:space="preserve"> </w:t>
      </w:r>
      <w:r w:rsidRPr="007B615F" w:rsidR="007B615F">
        <w:rPr>
          <w:szCs w:val="26"/>
        </w:rPr>
        <w:t>686]</w:t>
      </w:r>
      <w:r w:rsidRPr="00A43D3A" w:rsidR="00384D04">
        <w:rPr>
          <w:szCs w:val="26"/>
        </w:rPr>
        <w:t xml:space="preserve">.)  </w:t>
      </w:r>
      <w:r w:rsidRPr="00A43D3A">
        <w:rPr>
          <w:szCs w:val="26"/>
        </w:rPr>
        <w:t xml:space="preserve">In such circumstances, </w:t>
      </w:r>
      <w:r w:rsidRPr="00A43D3A" w:rsidR="00384D04">
        <w:rPr>
          <w:szCs w:val="26"/>
        </w:rPr>
        <w:t>we have held that</w:t>
      </w:r>
      <w:r w:rsidRPr="00A43D3A">
        <w:rPr>
          <w:szCs w:val="26"/>
        </w:rPr>
        <w:t xml:space="preserve"> the appropriate remedy is to remand for resentencing unless the record ‘clearly indicate[s]’ that the trial court would have reached the same conclusion ‘even if it had been aware that it had such discretion.’</w:t>
      </w:r>
      <w:r w:rsidRPr="00A43D3A" w:rsidR="00762E4B">
        <w:rPr>
          <w:szCs w:val="26"/>
        </w:rPr>
        <w:t> </w:t>
      </w:r>
      <w:r w:rsidRPr="00A43D3A">
        <w:rPr>
          <w:szCs w:val="26"/>
        </w:rPr>
        <w:t>”</w:t>
      </w:r>
      <w:r w:rsidRPr="00A43D3A" w:rsidR="00384D04">
        <w:rPr>
          <w:szCs w:val="26"/>
        </w:rPr>
        <w:t xml:space="preserve"> </w:t>
      </w:r>
      <w:r w:rsidRPr="00A43D3A">
        <w:rPr>
          <w:szCs w:val="26"/>
        </w:rPr>
        <w:t xml:space="preserve"> (</w:t>
      </w:r>
      <w:r w:rsidRPr="00A43D3A">
        <w:rPr>
          <w:i/>
          <w:iCs/>
          <w:szCs w:val="26"/>
        </w:rPr>
        <w:t>Gutierrez</w:t>
      </w:r>
      <w:r w:rsidRPr="0016368E" w:rsidR="009E427B">
        <w:rPr>
          <w:szCs w:val="26"/>
        </w:rPr>
        <w:t>,</w:t>
      </w:r>
      <w:r w:rsidRPr="00A43D3A" w:rsidR="009E427B">
        <w:rPr>
          <w:i/>
          <w:iCs/>
          <w:szCs w:val="26"/>
        </w:rPr>
        <w:t xml:space="preserve"> supra</w:t>
      </w:r>
      <w:r w:rsidRPr="00A43D3A" w:rsidR="009E427B">
        <w:rPr>
          <w:szCs w:val="26"/>
        </w:rPr>
        <w:t>,</w:t>
      </w:r>
      <w:r w:rsidRPr="00A43D3A">
        <w:rPr>
          <w:szCs w:val="26"/>
        </w:rPr>
        <w:t xml:space="preserve"> </w:t>
      </w:r>
      <w:r w:rsidRPr="00A43D3A" w:rsidR="00384D04">
        <w:rPr>
          <w:szCs w:val="26"/>
        </w:rPr>
        <w:t>58</w:t>
      </w:r>
      <w:r w:rsidRPr="00A43D3A" w:rsidR="00762E4B">
        <w:rPr>
          <w:szCs w:val="26"/>
        </w:rPr>
        <w:t> </w:t>
      </w:r>
      <w:r w:rsidRPr="00A43D3A" w:rsidR="00384D04">
        <w:rPr>
          <w:szCs w:val="26"/>
        </w:rPr>
        <w:t xml:space="preserve">Cal.4th </w:t>
      </w:r>
      <w:r w:rsidRPr="00A43D3A" w:rsidR="009E427B">
        <w:rPr>
          <w:szCs w:val="26"/>
        </w:rPr>
        <w:t>at p.</w:t>
      </w:r>
      <w:r w:rsidRPr="00A43D3A" w:rsidR="00762E4B">
        <w:rPr>
          <w:szCs w:val="26"/>
        </w:rPr>
        <w:t> </w:t>
      </w:r>
      <w:r w:rsidRPr="00A43D3A">
        <w:rPr>
          <w:szCs w:val="26"/>
        </w:rPr>
        <w:t xml:space="preserve">1391; </w:t>
      </w:r>
      <w:r w:rsidRPr="00A43D3A" w:rsidR="00384D04">
        <w:rPr>
          <w:szCs w:val="26"/>
        </w:rPr>
        <w:t>accord,</w:t>
      </w:r>
      <w:r w:rsidRPr="00A43D3A">
        <w:rPr>
          <w:szCs w:val="26"/>
        </w:rPr>
        <w:t xml:space="preserve"> </w:t>
      </w:r>
      <w:r w:rsidRPr="00A43D3A" w:rsidR="00384D04">
        <w:rPr>
          <w:i/>
          <w:iCs/>
        </w:rPr>
        <w:t>People v. Mataele</w:t>
      </w:r>
      <w:r w:rsidRPr="00A43D3A" w:rsidR="00384D04">
        <w:t xml:space="preserve"> (2022) 13</w:t>
      </w:r>
      <w:r w:rsidRPr="00A43D3A" w:rsidR="00762E4B">
        <w:t> </w:t>
      </w:r>
      <w:r w:rsidRPr="00A43D3A" w:rsidR="00384D04">
        <w:t xml:space="preserve">Cal.5th 372, 437; </w:t>
      </w:r>
      <w:r w:rsidRPr="00A43D3A">
        <w:rPr>
          <w:i/>
          <w:iCs/>
          <w:szCs w:val="26"/>
        </w:rPr>
        <w:t>People v. Flores</w:t>
      </w:r>
      <w:r w:rsidRPr="00A43D3A">
        <w:rPr>
          <w:szCs w:val="26"/>
        </w:rPr>
        <w:t xml:space="preserve"> (2020) 9</w:t>
      </w:r>
      <w:r w:rsidRPr="00A43D3A" w:rsidR="00762E4B">
        <w:rPr>
          <w:szCs w:val="26"/>
        </w:rPr>
        <w:t> </w:t>
      </w:r>
      <w:r w:rsidRPr="00A43D3A">
        <w:rPr>
          <w:szCs w:val="26"/>
        </w:rPr>
        <w:t>Cal.5th 371, 431–432</w:t>
      </w:r>
      <w:r w:rsidRPr="00A43D3A" w:rsidR="004D7DE7">
        <w:rPr>
          <w:szCs w:val="26"/>
        </w:rPr>
        <w:t xml:space="preserve"> (</w:t>
      </w:r>
      <w:r w:rsidRPr="00A43D3A" w:rsidR="004D7DE7">
        <w:rPr>
          <w:i/>
          <w:iCs/>
          <w:szCs w:val="26"/>
        </w:rPr>
        <w:t>Flores</w:t>
      </w:r>
      <w:r w:rsidRPr="00A43D3A" w:rsidR="004D7DE7">
        <w:rPr>
          <w:szCs w:val="26"/>
        </w:rPr>
        <w:t>)</w:t>
      </w:r>
      <w:r w:rsidRPr="00A43D3A">
        <w:rPr>
          <w:szCs w:val="26"/>
        </w:rPr>
        <w:t>.)</w:t>
      </w:r>
      <w:r w:rsidRPr="00A43D3A" w:rsidR="00A87532">
        <w:rPr>
          <w:szCs w:val="26"/>
        </w:rPr>
        <w:t xml:space="preserve">  </w:t>
      </w:r>
    </w:p>
    <w:p w:rsidR="005119B8" w:rsidRPr="00A43D3A" w:rsidP="00097AC4" w14:paraId="0CABFA69" w14:textId="77777777">
      <w:pPr>
        <w:tabs>
          <w:tab w:val="left" w:pos="1440"/>
        </w:tabs>
        <w:ind w:firstLine="720"/>
        <w:rPr>
          <w:szCs w:val="26"/>
        </w:rPr>
      </w:pPr>
      <w:r w:rsidRPr="00A43D3A">
        <w:t>In</w:t>
      </w:r>
      <w:r w:rsidRPr="00A43D3A">
        <w:rPr>
          <w:i/>
          <w:iCs/>
          <w:szCs w:val="26"/>
        </w:rPr>
        <w:t xml:space="preserve"> Gutierrez</w:t>
      </w:r>
      <w:r w:rsidRPr="00A43D3A">
        <w:rPr>
          <w:szCs w:val="26"/>
        </w:rPr>
        <w:t>, we disapproved case law establishing a presumption in favor of life without parole for juveniles convicted of special circumstance murder.  (</w:t>
      </w:r>
      <w:r w:rsidRPr="00A43D3A" w:rsidR="007B049F">
        <w:rPr>
          <w:i/>
          <w:iCs/>
          <w:szCs w:val="26"/>
        </w:rPr>
        <w:t>Gutierrez</w:t>
      </w:r>
      <w:r w:rsidRPr="0016368E" w:rsidR="00CB447D">
        <w:rPr>
          <w:szCs w:val="26"/>
        </w:rPr>
        <w:t>,</w:t>
      </w:r>
      <w:r w:rsidRPr="00A43D3A">
        <w:rPr>
          <w:szCs w:val="26"/>
        </w:rPr>
        <w:t xml:space="preserve"> </w:t>
      </w:r>
      <w:r w:rsidRPr="00A43D3A" w:rsidR="00CB447D">
        <w:rPr>
          <w:i/>
          <w:iCs/>
          <w:szCs w:val="26"/>
        </w:rPr>
        <w:t>supra</w:t>
      </w:r>
      <w:r w:rsidRPr="0016368E" w:rsidR="00CB447D">
        <w:rPr>
          <w:szCs w:val="26"/>
        </w:rPr>
        <w:t>,</w:t>
      </w:r>
      <w:r w:rsidRPr="00A43D3A" w:rsidR="00CB447D">
        <w:rPr>
          <w:i/>
          <w:iCs/>
          <w:szCs w:val="26"/>
        </w:rPr>
        <w:t xml:space="preserve"> </w:t>
      </w:r>
      <w:r w:rsidRPr="00A43D3A" w:rsidR="00CB447D">
        <w:rPr>
          <w:szCs w:val="26"/>
        </w:rPr>
        <w:t xml:space="preserve">58 Cal.4th </w:t>
      </w:r>
      <w:r w:rsidRPr="00A43D3A">
        <w:rPr>
          <w:szCs w:val="26"/>
        </w:rPr>
        <w:t>at p.</w:t>
      </w:r>
      <w:r w:rsidRPr="00A43D3A" w:rsidR="00762E4B">
        <w:rPr>
          <w:szCs w:val="26"/>
        </w:rPr>
        <w:t> </w:t>
      </w:r>
      <w:r w:rsidRPr="00A43D3A">
        <w:rPr>
          <w:szCs w:val="26"/>
        </w:rPr>
        <w:t xml:space="preserve">1390.) </w:t>
      </w:r>
      <w:r w:rsidRPr="00A43D3A" w:rsidR="008E1D0D">
        <w:t xml:space="preserve"> </w:t>
      </w:r>
      <w:r w:rsidRPr="00A43D3A" w:rsidR="008E1D0D">
        <w:rPr>
          <w:szCs w:val="26"/>
        </w:rPr>
        <w:t xml:space="preserve">We </w:t>
      </w:r>
      <w:r w:rsidR="00066470">
        <w:rPr>
          <w:szCs w:val="26"/>
        </w:rPr>
        <w:t>had consolidated two cases under review on our own motion.  (</w:t>
      </w:r>
      <w:r w:rsidRPr="0016368E" w:rsidR="00066470">
        <w:rPr>
          <w:i/>
          <w:iCs/>
          <w:szCs w:val="26"/>
        </w:rPr>
        <w:t>Id</w:t>
      </w:r>
      <w:r w:rsidR="00066470">
        <w:rPr>
          <w:szCs w:val="26"/>
        </w:rPr>
        <w:t>. at p.</w:t>
      </w:r>
      <w:r w:rsidR="00C94EE6">
        <w:rPr>
          <w:szCs w:val="26"/>
        </w:rPr>
        <w:t> </w:t>
      </w:r>
      <w:r w:rsidR="00066470">
        <w:rPr>
          <w:szCs w:val="26"/>
        </w:rPr>
        <w:t xml:space="preserve">1361.)  We </w:t>
      </w:r>
      <w:r w:rsidRPr="00A43D3A" w:rsidR="008E1D0D">
        <w:rPr>
          <w:szCs w:val="26"/>
        </w:rPr>
        <w:t>then remanded</w:t>
      </w:r>
      <w:r w:rsidRPr="00A43D3A" w:rsidR="00361F88">
        <w:rPr>
          <w:szCs w:val="26"/>
        </w:rPr>
        <w:t xml:space="preserve"> the</w:t>
      </w:r>
      <w:r w:rsidRPr="00A43D3A" w:rsidR="008E1D0D">
        <w:rPr>
          <w:szCs w:val="26"/>
        </w:rPr>
        <w:t xml:space="preserve"> two </w:t>
      </w:r>
      <w:r w:rsidR="00066470">
        <w:rPr>
          <w:szCs w:val="26"/>
        </w:rPr>
        <w:t>cases</w:t>
      </w:r>
      <w:r w:rsidR="00FD655F">
        <w:rPr>
          <w:szCs w:val="26"/>
        </w:rPr>
        <w:t xml:space="preserve"> </w:t>
      </w:r>
      <w:r w:rsidRPr="00A43D3A" w:rsidR="008E1D0D">
        <w:rPr>
          <w:szCs w:val="26"/>
        </w:rPr>
        <w:t>for resentencing</w:t>
      </w:r>
      <w:r w:rsidR="00FD655F">
        <w:rPr>
          <w:szCs w:val="26"/>
        </w:rPr>
        <w:t>,</w:t>
      </w:r>
      <w:r w:rsidRPr="00A43D3A" w:rsidR="008E1D0D">
        <w:rPr>
          <w:szCs w:val="26"/>
        </w:rPr>
        <w:t xml:space="preserve"> even though </w:t>
      </w:r>
      <w:r w:rsidRPr="00A43D3A" w:rsidR="00361F88">
        <w:rPr>
          <w:szCs w:val="26"/>
        </w:rPr>
        <w:t xml:space="preserve">the </w:t>
      </w:r>
      <w:r w:rsidRPr="00A43D3A" w:rsidR="008E1D0D">
        <w:rPr>
          <w:szCs w:val="26"/>
        </w:rPr>
        <w:t xml:space="preserve">trial courts </w:t>
      </w:r>
      <w:r w:rsidR="00FD655F">
        <w:rPr>
          <w:szCs w:val="26"/>
        </w:rPr>
        <w:t xml:space="preserve">in </w:t>
      </w:r>
      <w:r w:rsidR="00066470">
        <w:rPr>
          <w:szCs w:val="26"/>
        </w:rPr>
        <w:t>each</w:t>
      </w:r>
      <w:r w:rsidR="00FD655F">
        <w:rPr>
          <w:szCs w:val="26"/>
        </w:rPr>
        <w:t xml:space="preserve"> case had </w:t>
      </w:r>
      <w:r w:rsidRPr="00A43D3A" w:rsidR="008E1D0D">
        <w:rPr>
          <w:szCs w:val="26"/>
        </w:rPr>
        <w:t xml:space="preserve">made statements indicating </w:t>
      </w:r>
      <w:r w:rsidRPr="00A43D3A" w:rsidR="00361F88">
        <w:rPr>
          <w:szCs w:val="26"/>
        </w:rPr>
        <w:t>that life without parole</w:t>
      </w:r>
      <w:r w:rsidRPr="00A43D3A" w:rsidR="008E1D0D">
        <w:rPr>
          <w:szCs w:val="26"/>
        </w:rPr>
        <w:t xml:space="preserve"> was </w:t>
      </w:r>
      <w:r w:rsidR="00FD655F">
        <w:rPr>
          <w:szCs w:val="26"/>
        </w:rPr>
        <w:t xml:space="preserve">the </w:t>
      </w:r>
      <w:r w:rsidRPr="00A43D3A" w:rsidR="008E1D0D">
        <w:rPr>
          <w:szCs w:val="26"/>
        </w:rPr>
        <w:t>appropriate</w:t>
      </w:r>
      <w:r w:rsidR="00FD655F">
        <w:rPr>
          <w:szCs w:val="26"/>
        </w:rPr>
        <w:t xml:space="preserve"> sentence</w:t>
      </w:r>
      <w:r w:rsidRPr="00A43D3A" w:rsidR="008E1D0D">
        <w:rPr>
          <w:szCs w:val="26"/>
        </w:rPr>
        <w:t xml:space="preserve">.  </w:t>
      </w:r>
      <w:r w:rsidRPr="00A43D3A" w:rsidR="008E1D0D">
        <w:t>(</w:t>
      </w:r>
      <w:r w:rsidRPr="00A43D3A" w:rsidR="008E1D0D">
        <w:rPr>
          <w:i/>
          <w:iCs/>
        </w:rPr>
        <w:t>Id.</w:t>
      </w:r>
      <w:r w:rsidRPr="00A43D3A" w:rsidR="008E1D0D">
        <w:t xml:space="preserve"> at p.</w:t>
      </w:r>
      <w:r w:rsidRPr="00A43D3A" w:rsidR="00667AF6">
        <w:t> </w:t>
      </w:r>
      <w:r w:rsidRPr="00A43D3A" w:rsidR="008E1D0D">
        <w:t>1364 [</w:t>
      </w:r>
      <w:r w:rsidR="00FD655F">
        <w:t>noting the</w:t>
      </w:r>
      <w:r w:rsidRPr="00A43D3A" w:rsidR="00FD655F">
        <w:t xml:space="preserve"> </w:t>
      </w:r>
      <w:r w:rsidRPr="00A43D3A" w:rsidR="008E1D0D">
        <w:t>trial court</w:t>
      </w:r>
      <w:r w:rsidR="00FD655F">
        <w:t>’s</w:t>
      </w:r>
      <w:r w:rsidRPr="00A43D3A" w:rsidR="008E1D0D">
        <w:t xml:space="preserve"> </w:t>
      </w:r>
      <w:r w:rsidRPr="00A43D3A" w:rsidR="00FD655F">
        <w:t>state</w:t>
      </w:r>
      <w:r w:rsidR="00FD655F">
        <w:t>ment that</w:t>
      </w:r>
      <w:r w:rsidRPr="00A43D3A" w:rsidR="00FD655F">
        <w:t xml:space="preserve"> </w:t>
      </w:r>
      <w:r w:rsidRPr="00A43D3A" w:rsidR="008E1D0D">
        <w:t>defendant</w:t>
      </w:r>
      <w:r w:rsidR="00FD655F">
        <w:t xml:space="preserve"> Moffe</w:t>
      </w:r>
      <w:r w:rsidR="000B6F3F">
        <w:t>t</w:t>
      </w:r>
      <w:r w:rsidR="00FD655F">
        <w:t>t</w:t>
      </w:r>
      <w:r w:rsidRPr="00A43D3A" w:rsidR="008E1D0D">
        <w:t>’s actions and criminal history “</w:t>
      </w:r>
      <w:r w:rsidRPr="00A43D3A" w:rsidR="00271250">
        <w:t> ‘</w:t>
      </w:r>
      <w:r w:rsidRPr="00A43D3A" w:rsidR="008E1D0D">
        <w:t>do not support, in my opinion, this Court exercising [its] discretion and sentencing him to a determinate term of twenty-five years to life.  I do not find that sentence appropriate in this particular case under the circumstances of this case</w:t>
      </w:r>
      <w:r w:rsidRPr="00A43D3A" w:rsidR="00271250">
        <w:t>’ </w:t>
      </w:r>
      <w:r w:rsidRPr="00A43D3A" w:rsidR="008E1D0D">
        <w:t xml:space="preserve">”]; see </w:t>
      </w:r>
      <w:r w:rsidRPr="00A43D3A" w:rsidR="008E1D0D">
        <w:rPr>
          <w:i/>
          <w:iCs/>
        </w:rPr>
        <w:t>id</w:t>
      </w:r>
      <w:r w:rsidRPr="00A43D3A" w:rsidR="008E1D0D">
        <w:t>. at p.</w:t>
      </w:r>
      <w:r w:rsidRPr="00A43D3A" w:rsidR="00667AF6">
        <w:t> </w:t>
      </w:r>
      <w:r w:rsidRPr="00A43D3A" w:rsidR="008E1D0D">
        <w:t>1367 [</w:t>
      </w:r>
      <w:r w:rsidR="00FD655F">
        <w:t>noting the other</w:t>
      </w:r>
      <w:r w:rsidRPr="00A43D3A" w:rsidR="00FD655F">
        <w:t xml:space="preserve"> </w:t>
      </w:r>
      <w:r w:rsidRPr="00A43D3A" w:rsidR="008E1D0D">
        <w:t>trial court</w:t>
      </w:r>
      <w:r w:rsidR="00FD655F">
        <w:t>’s</w:t>
      </w:r>
      <w:r w:rsidRPr="00A43D3A" w:rsidR="008E1D0D">
        <w:t xml:space="preserve"> state</w:t>
      </w:r>
      <w:r w:rsidR="00FD655F">
        <w:t>ment, regarding</w:t>
      </w:r>
      <w:r w:rsidRPr="00A43D3A" w:rsidR="008E1D0D">
        <w:t xml:space="preserve"> defendant </w:t>
      </w:r>
      <w:r w:rsidR="00FD655F">
        <w:t xml:space="preserve">Gutierrez’s sentence, that it </w:t>
      </w:r>
      <w:r w:rsidRPr="00A43D3A" w:rsidR="008E1D0D">
        <w:t>was “</w:t>
      </w:r>
      <w:r w:rsidRPr="00A43D3A" w:rsidR="00271250">
        <w:t> ‘</w:t>
      </w:r>
      <w:r w:rsidRPr="00A43D3A" w:rsidR="008E1D0D">
        <w:t>absolutely convinced at this stage of the proceedings that life without the possibility of parole is the only thing that the Court can do that could redress the amount of violence that was inflicted in this case</w:t>
      </w:r>
      <w:r w:rsidRPr="00A43D3A" w:rsidR="00271250">
        <w:t>’ </w:t>
      </w:r>
      <w:r w:rsidRPr="00A43D3A" w:rsidR="008E1D0D">
        <w:t xml:space="preserve">”].)  </w:t>
      </w:r>
      <w:r w:rsidRPr="00A43D3A">
        <w:rPr>
          <w:szCs w:val="26"/>
        </w:rPr>
        <w:t xml:space="preserve">We </w:t>
      </w:r>
      <w:r w:rsidRPr="00A43D3A" w:rsidR="008E1D0D">
        <w:rPr>
          <w:szCs w:val="26"/>
        </w:rPr>
        <w:t>reasoned that</w:t>
      </w:r>
      <w:r w:rsidRPr="00A43D3A">
        <w:rPr>
          <w:szCs w:val="26"/>
        </w:rPr>
        <w:t xml:space="preserve">, while “the trial courts in these cases understood that they had some discretion in sentencing, the records do not clearly indicate that they would have imposed the same sentence had they been aware of the full scope of their discretion.  Because the trial courts operated under a governing presumption in favor of life without parole, we cannot say with confidence what sentence they would have imposed absent the presumption.” </w:t>
      </w:r>
      <w:r w:rsidRPr="00A43D3A">
        <w:t xml:space="preserve"> (</w:t>
      </w:r>
      <w:r w:rsidRPr="00A43D3A">
        <w:rPr>
          <w:i/>
          <w:iCs/>
        </w:rPr>
        <w:t>Id</w:t>
      </w:r>
      <w:r w:rsidRPr="00A43D3A">
        <w:t>. at p.</w:t>
      </w:r>
      <w:r w:rsidRPr="00A43D3A" w:rsidR="00A80F74">
        <w:t> </w:t>
      </w:r>
      <w:r w:rsidRPr="00A43D3A">
        <w:t>1391.)</w:t>
      </w:r>
      <w:r w:rsidRPr="00A43D3A" w:rsidR="008E1D0D">
        <w:t xml:space="preserve"> </w:t>
      </w:r>
    </w:p>
    <w:p w:rsidR="00555CFB" w:rsidRPr="00A43D3A" w:rsidP="00097AC4" w14:paraId="0CABFA6A" w14:textId="77777777">
      <w:pPr>
        <w:tabs>
          <w:tab w:val="left" w:pos="1440"/>
        </w:tabs>
        <w:ind w:firstLine="720"/>
        <w:rPr>
          <w:szCs w:val="26"/>
        </w:rPr>
      </w:pPr>
      <w:r w:rsidRPr="00A43D3A">
        <w:rPr>
          <w:szCs w:val="26"/>
        </w:rPr>
        <w:t xml:space="preserve">The Court of Appeal </w:t>
      </w:r>
      <w:r w:rsidRPr="00A43D3A" w:rsidR="009563E4">
        <w:rPr>
          <w:szCs w:val="26"/>
        </w:rPr>
        <w:t xml:space="preserve">here </w:t>
      </w:r>
      <w:r w:rsidRPr="00A43D3A">
        <w:rPr>
          <w:szCs w:val="26"/>
        </w:rPr>
        <w:t>emphasized that “[t]he California Constitution admonishes our appellate judiciary not to reverse any trial court judgment unless there has been a miscarriage of justice.  There should only be a reversal where it is reasonably probable that a more favorable outcome will result upon reversal.  (Cal. Const.</w:t>
      </w:r>
      <w:r w:rsidR="00B3155E">
        <w:rPr>
          <w:szCs w:val="26"/>
        </w:rPr>
        <w:t>,</w:t>
      </w:r>
      <w:r w:rsidRPr="00A43D3A">
        <w:rPr>
          <w:szCs w:val="26"/>
        </w:rPr>
        <w:t xml:space="preserve"> art. VI, § 13; </w:t>
      </w:r>
      <w:r w:rsidRPr="00A43D3A">
        <w:rPr>
          <w:i/>
          <w:iCs/>
          <w:szCs w:val="26"/>
        </w:rPr>
        <w:t>People v. Watson</w:t>
      </w:r>
      <w:r w:rsidRPr="00A43D3A">
        <w:rPr>
          <w:szCs w:val="26"/>
        </w:rPr>
        <w:t xml:space="preserve"> (1956) 46</w:t>
      </w:r>
      <w:r w:rsidRPr="00A43D3A" w:rsidR="002014AF">
        <w:rPr>
          <w:szCs w:val="26"/>
        </w:rPr>
        <w:t> </w:t>
      </w:r>
      <w:r w:rsidRPr="00A43D3A">
        <w:rPr>
          <w:szCs w:val="26"/>
        </w:rPr>
        <w:t>Cal.2d 818, 836</w:t>
      </w:r>
      <w:r w:rsidR="00D461A3">
        <w:rPr>
          <w:szCs w:val="26"/>
        </w:rPr>
        <w:t xml:space="preserve"> </w:t>
      </w:r>
      <w:r w:rsidRPr="00A43D3A" w:rsidR="00CF56BF">
        <w:rPr>
          <w:szCs w:val="26"/>
        </w:rPr>
        <w:t>[</w:t>
      </w:r>
      <w:r w:rsidR="00D461A3">
        <w:rPr>
          <w:rStyle w:val="ui-provider"/>
        </w:rPr>
        <w:t xml:space="preserve">299 P.2d 243] </w:t>
      </w:r>
      <w:r w:rsidRPr="00A43D3A">
        <w:rPr>
          <w:szCs w:val="26"/>
        </w:rPr>
        <w:t>.</w:t>
      </w:r>
      <w:r w:rsidR="00D461A3">
        <w:t> . . .</w:t>
      </w:r>
      <w:r w:rsidRPr="00A43D3A" w:rsidR="00CF56BF">
        <w:rPr>
          <w:szCs w:val="26"/>
        </w:rPr>
        <w:t>)</w:t>
      </w:r>
      <w:r w:rsidRPr="00A43D3A">
        <w:rPr>
          <w:szCs w:val="26"/>
        </w:rPr>
        <w:t>”  (</w:t>
      </w:r>
      <w:r w:rsidRPr="00A43D3A">
        <w:rPr>
          <w:i/>
          <w:iCs/>
          <w:szCs w:val="26"/>
        </w:rPr>
        <w:t>Salazar</w:t>
      </w:r>
      <w:r w:rsidRPr="0016368E">
        <w:rPr>
          <w:szCs w:val="26"/>
        </w:rPr>
        <w:t>,</w:t>
      </w:r>
      <w:r w:rsidRPr="00A43D3A">
        <w:rPr>
          <w:i/>
          <w:iCs/>
          <w:szCs w:val="26"/>
        </w:rPr>
        <w:t xml:space="preserve"> supra</w:t>
      </w:r>
      <w:r w:rsidRPr="00A43D3A">
        <w:rPr>
          <w:szCs w:val="26"/>
        </w:rPr>
        <w:t>, 80</w:t>
      </w:r>
      <w:r w:rsidRPr="00A43D3A" w:rsidR="002014AF">
        <w:rPr>
          <w:szCs w:val="26"/>
        </w:rPr>
        <w:t> </w:t>
      </w:r>
      <w:r w:rsidRPr="00A43D3A">
        <w:rPr>
          <w:szCs w:val="26"/>
        </w:rPr>
        <w:t>Cal.App.5th at p.</w:t>
      </w:r>
      <w:r w:rsidRPr="00A43D3A" w:rsidR="002014AF">
        <w:rPr>
          <w:szCs w:val="26"/>
        </w:rPr>
        <w:t> </w:t>
      </w:r>
      <w:r w:rsidRPr="00A43D3A">
        <w:rPr>
          <w:szCs w:val="26"/>
        </w:rPr>
        <w:t>462.)  However,</w:t>
      </w:r>
      <w:r w:rsidRPr="00A43D3A" w:rsidR="00C54463">
        <w:rPr>
          <w:szCs w:val="26"/>
        </w:rPr>
        <w:t xml:space="preserve"> the Court of Appeal </w:t>
      </w:r>
      <w:r w:rsidRPr="00A43D3A" w:rsidR="009563E4">
        <w:rPr>
          <w:szCs w:val="26"/>
        </w:rPr>
        <w:t>was mistaken to suggest</w:t>
      </w:r>
      <w:r w:rsidRPr="00A43D3A" w:rsidR="00C54463">
        <w:rPr>
          <w:szCs w:val="26"/>
        </w:rPr>
        <w:t xml:space="preserve"> that </w:t>
      </w:r>
      <w:r w:rsidRPr="00A43D3A" w:rsidR="00C54463">
        <w:rPr>
          <w:i/>
          <w:iCs/>
          <w:szCs w:val="26"/>
        </w:rPr>
        <w:t>Watson</w:t>
      </w:r>
      <w:r w:rsidRPr="00A43D3A" w:rsidR="00C54463">
        <w:rPr>
          <w:szCs w:val="26"/>
        </w:rPr>
        <w:t xml:space="preserve"> </w:t>
      </w:r>
      <w:r w:rsidR="00F420A7">
        <w:rPr>
          <w:szCs w:val="26"/>
        </w:rPr>
        <w:t>provides</w:t>
      </w:r>
      <w:r w:rsidRPr="00A43D3A" w:rsidR="00F420A7">
        <w:rPr>
          <w:szCs w:val="26"/>
        </w:rPr>
        <w:t xml:space="preserve"> </w:t>
      </w:r>
      <w:r w:rsidRPr="00A43D3A" w:rsidR="009563E4">
        <w:rPr>
          <w:szCs w:val="26"/>
        </w:rPr>
        <w:t>the applicable standard</w:t>
      </w:r>
      <w:r w:rsidRPr="00A43D3A" w:rsidR="00C54463">
        <w:rPr>
          <w:szCs w:val="26"/>
        </w:rPr>
        <w:t xml:space="preserve">. </w:t>
      </w:r>
      <w:r w:rsidRPr="00A43D3A">
        <w:rPr>
          <w:szCs w:val="26"/>
        </w:rPr>
        <w:t xml:space="preserve"> </w:t>
      </w:r>
      <w:r w:rsidRPr="00A43D3A" w:rsidR="00C54463">
        <w:rPr>
          <w:szCs w:val="26"/>
        </w:rPr>
        <w:t xml:space="preserve">Indeed, </w:t>
      </w:r>
      <w:r w:rsidRPr="00A43D3A">
        <w:rPr>
          <w:szCs w:val="26"/>
        </w:rPr>
        <w:t>“</w:t>
      </w:r>
      <w:r w:rsidRPr="00A43D3A" w:rsidR="00C54463">
        <w:rPr>
          <w:szCs w:val="26"/>
        </w:rPr>
        <w:t>t</w:t>
      </w:r>
      <w:r w:rsidRPr="00A43D3A">
        <w:rPr>
          <w:szCs w:val="26"/>
        </w:rPr>
        <w:t>here is a practical difference in assessing the effect of an error when the court has not articulated whether a discretionary decision was made in the first place, as compared to when there were errors in a decision the court actually rendered.”  (</w:t>
      </w:r>
      <w:r w:rsidRPr="00A43D3A">
        <w:rPr>
          <w:i/>
          <w:iCs/>
          <w:szCs w:val="26"/>
        </w:rPr>
        <w:t>In re F.M.</w:t>
      </w:r>
      <w:r w:rsidRPr="00A43D3A">
        <w:rPr>
          <w:szCs w:val="26"/>
        </w:rPr>
        <w:t xml:space="preserve"> (2023) 14</w:t>
      </w:r>
      <w:r w:rsidRPr="00A43D3A" w:rsidR="00A80F74">
        <w:rPr>
          <w:szCs w:val="26"/>
        </w:rPr>
        <w:t> </w:t>
      </w:r>
      <w:r w:rsidRPr="00A43D3A">
        <w:rPr>
          <w:szCs w:val="26"/>
        </w:rPr>
        <w:t xml:space="preserve">Cal.5th 701, 716.)  Where, as here, </w:t>
      </w:r>
      <w:r w:rsidRPr="00A43D3A" w:rsidR="00EC2981">
        <w:rPr>
          <w:szCs w:val="26"/>
        </w:rPr>
        <w:t xml:space="preserve">the </w:t>
      </w:r>
      <w:r w:rsidRPr="00A43D3A" w:rsidR="00E355D5">
        <w:rPr>
          <w:szCs w:val="26"/>
        </w:rPr>
        <w:t xml:space="preserve">sentencing </w:t>
      </w:r>
      <w:r w:rsidRPr="00A43D3A" w:rsidR="00EC2981">
        <w:rPr>
          <w:szCs w:val="26"/>
        </w:rPr>
        <w:t xml:space="preserve">court </w:t>
      </w:r>
      <w:r w:rsidRPr="00A43D3A" w:rsidR="00E355D5">
        <w:rPr>
          <w:szCs w:val="26"/>
        </w:rPr>
        <w:t xml:space="preserve">was not aware of </w:t>
      </w:r>
      <w:r w:rsidRPr="00A43D3A" w:rsidR="00B155EB">
        <w:rPr>
          <w:szCs w:val="26"/>
        </w:rPr>
        <w:t xml:space="preserve">the scope of its </w:t>
      </w:r>
      <w:r w:rsidRPr="00A43D3A" w:rsidR="00E355D5">
        <w:rPr>
          <w:szCs w:val="26"/>
        </w:rPr>
        <w:t>discretion</w:t>
      </w:r>
      <w:r w:rsidRPr="00A43D3A" w:rsidR="00237650">
        <w:rPr>
          <w:szCs w:val="26"/>
        </w:rPr>
        <w:t>ary powers</w:t>
      </w:r>
      <w:r w:rsidRPr="00A43D3A" w:rsidR="00E355D5">
        <w:rPr>
          <w:szCs w:val="26"/>
        </w:rPr>
        <w:t xml:space="preserve"> at sentencing,</w:t>
      </w:r>
      <w:r w:rsidRPr="00A43D3A" w:rsidR="000E5D90">
        <w:rPr>
          <w:szCs w:val="26"/>
        </w:rPr>
        <w:t xml:space="preserve"> </w:t>
      </w:r>
      <w:r w:rsidRPr="00A43D3A">
        <w:rPr>
          <w:i/>
          <w:iCs/>
          <w:szCs w:val="26"/>
        </w:rPr>
        <w:t>Watson</w:t>
      </w:r>
      <w:r w:rsidRPr="00A43D3A">
        <w:rPr>
          <w:szCs w:val="26"/>
        </w:rPr>
        <w:t xml:space="preserve"> </w:t>
      </w:r>
      <w:r w:rsidRPr="00A43D3A" w:rsidR="00592795">
        <w:rPr>
          <w:szCs w:val="26"/>
        </w:rPr>
        <w:t>does not properly take into consideration</w:t>
      </w:r>
      <w:r w:rsidRPr="00A43D3A">
        <w:rPr>
          <w:szCs w:val="26"/>
        </w:rPr>
        <w:t xml:space="preserve"> </w:t>
      </w:r>
      <w:r w:rsidRPr="00A43D3A" w:rsidR="000E5D90">
        <w:rPr>
          <w:szCs w:val="26"/>
        </w:rPr>
        <w:t xml:space="preserve">the </w:t>
      </w:r>
      <w:r w:rsidRPr="00A43D3A" w:rsidR="000B3B7A">
        <w:rPr>
          <w:szCs w:val="26"/>
        </w:rPr>
        <w:t>“</w:t>
      </w:r>
      <w:r w:rsidRPr="00A43D3A" w:rsidR="000E5D90">
        <w:rPr>
          <w:szCs w:val="26"/>
        </w:rPr>
        <w:t>more speculative inquiry</w:t>
      </w:r>
      <w:r w:rsidRPr="00A43D3A" w:rsidR="000B3B7A">
        <w:rPr>
          <w:szCs w:val="26"/>
        </w:rPr>
        <w:t>”</w:t>
      </w:r>
      <w:r w:rsidRPr="00A43D3A" w:rsidR="000E5D90">
        <w:rPr>
          <w:szCs w:val="26"/>
        </w:rPr>
        <w:t xml:space="preserve"> of what choice the court is likely to make in the first instance.  (</w:t>
      </w:r>
      <w:r w:rsidRPr="00A43D3A" w:rsidR="000B3B7A">
        <w:rPr>
          <w:i/>
          <w:iCs/>
          <w:szCs w:val="26"/>
        </w:rPr>
        <w:t>Ibid</w:t>
      </w:r>
      <w:r w:rsidRPr="00A43D3A" w:rsidR="000B3B7A">
        <w:rPr>
          <w:szCs w:val="26"/>
        </w:rPr>
        <w:t xml:space="preserve">.; accord, </w:t>
      </w:r>
      <w:r w:rsidRPr="00A43D3A" w:rsidR="000E5D90">
        <w:rPr>
          <w:i/>
          <w:iCs/>
          <w:szCs w:val="26"/>
        </w:rPr>
        <w:t>People v. McDaniels</w:t>
      </w:r>
      <w:r w:rsidRPr="00A43D3A" w:rsidR="000E5D90">
        <w:rPr>
          <w:szCs w:val="26"/>
        </w:rPr>
        <w:t xml:space="preserve"> (2018) 22</w:t>
      </w:r>
      <w:r w:rsidRPr="00A43D3A" w:rsidR="00A80F74">
        <w:rPr>
          <w:szCs w:val="26"/>
        </w:rPr>
        <w:t> </w:t>
      </w:r>
      <w:r w:rsidRPr="00A43D3A" w:rsidR="000E5D90">
        <w:rPr>
          <w:szCs w:val="26"/>
        </w:rPr>
        <w:t xml:space="preserve">Cal.App.5th 420, 426.)  </w:t>
      </w:r>
      <w:r w:rsidRPr="00A43D3A">
        <w:rPr>
          <w:szCs w:val="26"/>
        </w:rPr>
        <w:t xml:space="preserve">Indeed, when the </w:t>
      </w:r>
      <w:r w:rsidRPr="00A43D3A" w:rsidR="005D6466">
        <w:rPr>
          <w:szCs w:val="26"/>
        </w:rPr>
        <w:t xml:space="preserve">applicable </w:t>
      </w:r>
      <w:r w:rsidRPr="00A43D3A">
        <w:rPr>
          <w:szCs w:val="26"/>
        </w:rPr>
        <w:t xml:space="preserve">law </w:t>
      </w:r>
      <w:r w:rsidRPr="00A43D3A" w:rsidR="005D6466">
        <w:rPr>
          <w:szCs w:val="26"/>
        </w:rPr>
        <w:t>governing</w:t>
      </w:r>
      <w:r w:rsidRPr="00A43D3A" w:rsidR="004E3039">
        <w:rPr>
          <w:szCs w:val="26"/>
        </w:rPr>
        <w:t xml:space="preserve"> the defendant</w:t>
      </w:r>
      <w:r w:rsidRPr="00A43D3A" w:rsidR="005D6466">
        <w:rPr>
          <w:szCs w:val="26"/>
        </w:rPr>
        <w:t>’s sentence</w:t>
      </w:r>
      <w:r w:rsidRPr="00A43D3A" w:rsidR="004E3039">
        <w:rPr>
          <w:szCs w:val="26"/>
        </w:rPr>
        <w:t xml:space="preserve"> has </w:t>
      </w:r>
      <w:r w:rsidRPr="00A43D3A" w:rsidR="005D6466">
        <w:rPr>
          <w:szCs w:val="26"/>
        </w:rPr>
        <w:t>substantively</w:t>
      </w:r>
      <w:r w:rsidRPr="00A43D3A" w:rsidR="004E3039">
        <w:rPr>
          <w:szCs w:val="26"/>
        </w:rPr>
        <w:t xml:space="preserve"> </w:t>
      </w:r>
      <w:r w:rsidRPr="00A43D3A" w:rsidR="005D6466">
        <w:rPr>
          <w:szCs w:val="26"/>
        </w:rPr>
        <w:t>changed</w:t>
      </w:r>
      <w:r w:rsidRPr="00A43D3A" w:rsidR="004E3039">
        <w:rPr>
          <w:szCs w:val="26"/>
        </w:rPr>
        <w:t xml:space="preserve"> after</w:t>
      </w:r>
      <w:r w:rsidRPr="00A43D3A">
        <w:rPr>
          <w:szCs w:val="26"/>
        </w:rPr>
        <w:t xml:space="preserve"> sentencing, it is almost always speculative for a reviewing court to say what the sentencing court would have done </w:t>
      </w:r>
      <w:r w:rsidRPr="00A43D3A" w:rsidR="00496080">
        <w:rPr>
          <w:szCs w:val="26"/>
        </w:rPr>
        <w:t>if it had known the scope of its discretion</w:t>
      </w:r>
      <w:r w:rsidRPr="00A43D3A" w:rsidR="00237650">
        <w:rPr>
          <w:szCs w:val="26"/>
        </w:rPr>
        <w:t xml:space="preserve">ary powers at </w:t>
      </w:r>
      <w:r w:rsidRPr="00A43D3A" w:rsidR="0038523B">
        <w:rPr>
          <w:szCs w:val="26"/>
        </w:rPr>
        <w:t xml:space="preserve">the time of </w:t>
      </w:r>
      <w:r w:rsidRPr="00A43D3A" w:rsidR="00237650">
        <w:rPr>
          <w:szCs w:val="26"/>
        </w:rPr>
        <w:t>sentencing</w:t>
      </w:r>
      <w:r w:rsidRPr="00A43D3A">
        <w:rPr>
          <w:szCs w:val="26"/>
        </w:rPr>
        <w:t xml:space="preserve">.  Accordingly, </w:t>
      </w:r>
      <w:r w:rsidRPr="00A43D3A">
        <w:t>when</w:t>
      </w:r>
      <w:r w:rsidR="009C480C">
        <w:t>,</w:t>
      </w:r>
      <w:r w:rsidRPr="00A43D3A">
        <w:t xml:space="preserve"> </w:t>
      </w:r>
      <w:r w:rsidRPr="00A43D3A" w:rsidR="00DB36AC">
        <w:t>as here</w:t>
      </w:r>
      <w:r w:rsidR="009C480C">
        <w:t>,</w:t>
      </w:r>
      <w:r w:rsidRPr="00A43D3A" w:rsidR="00DB36AC">
        <w:t xml:space="preserve"> </w:t>
      </w:r>
      <w:r w:rsidRPr="00A43D3A">
        <w:t xml:space="preserve">a sentencing court was </w:t>
      </w:r>
      <w:r w:rsidRPr="00A43D3A" w:rsidR="003B671B">
        <w:t xml:space="preserve">not fully </w:t>
      </w:r>
      <w:r w:rsidRPr="00A43D3A">
        <w:t>aware of the scope of its discretionary powers,</w:t>
      </w:r>
      <w:r w:rsidRPr="00A43D3A">
        <w:rPr>
          <w:szCs w:val="26"/>
        </w:rPr>
        <w:t xml:space="preserve"> “the appropriate remedy is to remand for resentencing unless the record ‘clearly indicate[s]’ that the trial court would have reached the same conclusion ‘even if it had been aware that it had such discretion.’</w:t>
      </w:r>
      <w:r w:rsidRPr="00A43D3A" w:rsidR="00EF371C">
        <w:rPr>
          <w:szCs w:val="26"/>
        </w:rPr>
        <w:t> </w:t>
      </w:r>
      <w:r w:rsidRPr="00A43D3A">
        <w:rPr>
          <w:szCs w:val="26"/>
        </w:rPr>
        <w:t>”  (</w:t>
      </w:r>
      <w:r w:rsidRPr="00A43D3A">
        <w:rPr>
          <w:i/>
          <w:iCs/>
          <w:szCs w:val="26"/>
        </w:rPr>
        <w:t>Gutierrez</w:t>
      </w:r>
      <w:r w:rsidRPr="0016368E">
        <w:rPr>
          <w:szCs w:val="26"/>
        </w:rPr>
        <w:t>,</w:t>
      </w:r>
      <w:r w:rsidRPr="00A43D3A">
        <w:rPr>
          <w:i/>
          <w:iCs/>
          <w:szCs w:val="26"/>
        </w:rPr>
        <w:t xml:space="preserve"> supra</w:t>
      </w:r>
      <w:r w:rsidRPr="00A43D3A">
        <w:rPr>
          <w:szCs w:val="26"/>
        </w:rPr>
        <w:t>, 58</w:t>
      </w:r>
      <w:r w:rsidRPr="00A43D3A" w:rsidR="00762E4B">
        <w:rPr>
          <w:szCs w:val="26"/>
        </w:rPr>
        <w:t> </w:t>
      </w:r>
      <w:r w:rsidRPr="00A43D3A">
        <w:rPr>
          <w:szCs w:val="26"/>
        </w:rPr>
        <w:t>Cal.4th at p.</w:t>
      </w:r>
      <w:r w:rsidRPr="00A43D3A" w:rsidR="00762E4B">
        <w:rPr>
          <w:szCs w:val="26"/>
        </w:rPr>
        <w:t> </w:t>
      </w:r>
      <w:r w:rsidRPr="00A43D3A">
        <w:rPr>
          <w:szCs w:val="26"/>
        </w:rPr>
        <w:t>1391</w:t>
      </w:r>
      <w:r w:rsidRPr="00A43D3A" w:rsidR="00DB36AC">
        <w:rPr>
          <w:szCs w:val="26"/>
        </w:rPr>
        <w:t xml:space="preserve">; see also </w:t>
      </w:r>
      <w:r w:rsidRPr="00A43D3A" w:rsidR="00DB36AC">
        <w:rPr>
          <w:i/>
          <w:iCs/>
        </w:rPr>
        <w:t>People v. Banner</w:t>
      </w:r>
      <w:r w:rsidRPr="00A43D3A" w:rsidR="00DB36AC">
        <w:t xml:space="preserve"> (2022) 77 Cal.App.5th 226, 242; </w:t>
      </w:r>
      <w:r w:rsidRPr="00A43D3A" w:rsidR="00DB36AC">
        <w:rPr>
          <w:i/>
          <w:iCs/>
        </w:rPr>
        <w:t>People v. Gerson</w:t>
      </w:r>
      <w:r w:rsidRPr="00A43D3A" w:rsidR="00DB36AC">
        <w:t xml:space="preserve"> (2022) 80 Cal.App.5th 1067, 1096; </w:t>
      </w:r>
      <w:r w:rsidRPr="00A43D3A" w:rsidR="00DB36AC">
        <w:rPr>
          <w:i/>
          <w:iCs/>
        </w:rPr>
        <w:t>People v. Fuller</w:t>
      </w:r>
      <w:r w:rsidRPr="00A43D3A" w:rsidR="00DB36AC">
        <w:t xml:space="preserve"> (2022) 83 Cal.App.5th 394, 400</w:t>
      </w:r>
      <w:r w:rsidRPr="00A43D3A">
        <w:rPr>
          <w:szCs w:val="26"/>
        </w:rPr>
        <w:t>.)</w:t>
      </w:r>
      <w:r>
        <w:rPr>
          <w:rStyle w:val="FootnoteReference"/>
          <w:b w:val="0"/>
          <w:bCs/>
          <w:szCs w:val="26"/>
        </w:rPr>
        <w:footnoteReference w:id="6"/>
      </w:r>
    </w:p>
    <w:p w:rsidR="00A87532" w:rsidRPr="00A43D3A" w:rsidP="00097AC4" w14:paraId="0CABFA6B" w14:textId="77777777">
      <w:pPr>
        <w:tabs>
          <w:tab w:val="left" w:pos="1440"/>
        </w:tabs>
        <w:ind w:firstLine="720"/>
      </w:pPr>
      <w:r w:rsidRPr="00A43D3A">
        <w:rPr>
          <w:szCs w:val="26"/>
        </w:rPr>
        <w:t xml:space="preserve">Here, the </w:t>
      </w:r>
      <w:r w:rsidRPr="00A43D3A" w:rsidR="00370070">
        <w:rPr>
          <w:szCs w:val="26"/>
        </w:rPr>
        <w:t xml:space="preserve">sentencing </w:t>
      </w:r>
      <w:r w:rsidRPr="00A43D3A">
        <w:rPr>
          <w:szCs w:val="26"/>
        </w:rPr>
        <w:t xml:space="preserve">court did not clearly indicate that it would have imposed the same sentence even if it had been aware of </w:t>
      </w:r>
      <w:r w:rsidRPr="00A43D3A" w:rsidR="002D2F46">
        <w:rPr>
          <w:szCs w:val="26"/>
        </w:rPr>
        <w:t xml:space="preserve">the scope of </w:t>
      </w:r>
      <w:r w:rsidRPr="00A43D3A">
        <w:rPr>
          <w:szCs w:val="26"/>
        </w:rPr>
        <w:t>its discretion</w:t>
      </w:r>
      <w:r w:rsidRPr="00A43D3A" w:rsidR="00237650">
        <w:rPr>
          <w:szCs w:val="26"/>
        </w:rPr>
        <w:t>ary powers</w:t>
      </w:r>
      <w:r w:rsidRPr="00A43D3A">
        <w:rPr>
          <w:szCs w:val="26"/>
        </w:rPr>
        <w:t xml:space="preserve"> under the current section 1170.  </w:t>
      </w:r>
      <w:r w:rsidRPr="00A43D3A" w:rsidR="00B0255E">
        <w:rPr>
          <w:szCs w:val="26"/>
        </w:rPr>
        <w:t>The</w:t>
      </w:r>
      <w:r w:rsidRPr="00A43D3A">
        <w:rPr>
          <w:szCs w:val="26"/>
        </w:rPr>
        <w:t xml:space="preserve"> Attorney General concedes</w:t>
      </w:r>
      <w:r w:rsidRPr="00A43D3A" w:rsidR="00A54DFC">
        <w:rPr>
          <w:szCs w:val="26"/>
        </w:rPr>
        <w:t xml:space="preserve"> that </w:t>
      </w:r>
      <w:r w:rsidRPr="00A43D3A" w:rsidR="00B0255E">
        <w:rPr>
          <w:szCs w:val="26"/>
        </w:rPr>
        <w:t>the</w:t>
      </w:r>
      <w:r w:rsidRPr="00A43D3A">
        <w:rPr>
          <w:szCs w:val="26"/>
        </w:rPr>
        <w:t xml:space="preserve"> record </w:t>
      </w:r>
      <w:r w:rsidRPr="00A43D3A" w:rsidR="00B0255E">
        <w:rPr>
          <w:szCs w:val="26"/>
        </w:rPr>
        <w:t xml:space="preserve">supports </w:t>
      </w:r>
      <w:r w:rsidRPr="00A43D3A">
        <w:rPr>
          <w:szCs w:val="26"/>
        </w:rPr>
        <w:t xml:space="preserve">that </w:t>
      </w:r>
      <w:r w:rsidRPr="00A43D3A" w:rsidR="00B0255E">
        <w:rPr>
          <w:szCs w:val="26"/>
        </w:rPr>
        <w:t xml:space="preserve">Salazar </w:t>
      </w:r>
      <w:r w:rsidRPr="00A43D3A">
        <w:rPr>
          <w:szCs w:val="26"/>
        </w:rPr>
        <w:t xml:space="preserve">may have suffered </w:t>
      </w:r>
      <w:r w:rsidRPr="00A43D3A" w:rsidR="00E5739E">
        <w:rPr>
          <w:szCs w:val="26"/>
        </w:rPr>
        <w:t>a qualifying trauma</w:t>
      </w:r>
      <w:r w:rsidRPr="00A43D3A" w:rsidR="00B0255E">
        <w:rPr>
          <w:szCs w:val="26"/>
        </w:rPr>
        <w:t xml:space="preserve"> that </w:t>
      </w:r>
      <w:r w:rsidRPr="00A43D3A">
        <w:rPr>
          <w:szCs w:val="26"/>
        </w:rPr>
        <w:t xml:space="preserve">would meet the statute’s threshold requirement for </w:t>
      </w:r>
      <w:bookmarkStart w:id="4" w:name="_Hlk138674273"/>
      <w:r w:rsidRPr="00A43D3A">
        <w:rPr>
          <w:szCs w:val="26"/>
        </w:rPr>
        <w:t>triggering the lower</w:t>
      </w:r>
      <w:r w:rsidRPr="00A43D3A" w:rsidR="00A368C7">
        <w:rPr>
          <w:szCs w:val="26"/>
        </w:rPr>
        <w:t xml:space="preserve"> </w:t>
      </w:r>
      <w:r w:rsidRPr="00A43D3A">
        <w:rPr>
          <w:szCs w:val="26"/>
        </w:rPr>
        <w:t>term presumption</w:t>
      </w:r>
      <w:bookmarkEnd w:id="4"/>
      <w:r w:rsidRPr="00A43D3A">
        <w:rPr>
          <w:szCs w:val="26"/>
        </w:rPr>
        <w:t>.</w:t>
      </w:r>
      <w:r>
        <w:rPr>
          <w:rStyle w:val="FootnoteReference"/>
          <w:b w:val="0"/>
          <w:bCs/>
        </w:rPr>
        <w:footnoteReference w:id="7"/>
      </w:r>
      <w:r w:rsidRPr="00A43D3A">
        <w:rPr>
          <w:szCs w:val="26"/>
        </w:rPr>
        <w:t xml:space="preserve">  </w:t>
      </w:r>
      <w:r w:rsidRPr="00A43D3A" w:rsidR="003678B3">
        <w:t xml:space="preserve">(See </w:t>
      </w:r>
      <w:r w:rsidRPr="00A43D3A" w:rsidR="003678B3">
        <w:rPr>
          <w:i/>
          <w:iCs/>
        </w:rPr>
        <w:t>Frahs</w:t>
      </w:r>
      <w:r w:rsidRPr="0016368E" w:rsidR="003678B3">
        <w:t>,</w:t>
      </w:r>
      <w:r w:rsidRPr="00A43D3A" w:rsidR="003678B3">
        <w:rPr>
          <w:i/>
          <w:iCs/>
        </w:rPr>
        <w:t xml:space="preserve"> supra</w:t>
      </w:r>
      <w:r w:rsidRPr="00A43D3A" w:rsidR="003678B3">
        <w:t>, 9</w:t>
      </w:r>
      <w:r w:rsidRPr="00A43D3A" w:rsidR="0092320B">
        <w:t> </w:t>
      </w:r>
      <w:r w:rsidRPr="00A43D3A" w:rsidR="003678B3">
        <w:t>Cal.5th at p</w:t>
      </w:r>
      <w:r w:rsidRPr="00A43D3A" w:rsidR="00B0255E">
        <w:t>p</w:t>
      </w:r>
      <w:r w:rsidRPr="00A43D3A" w:rsidR="003678B3">
        <w:t>.</w:t>
      </w:r>
      <w:r w:rsidRPr="00A43D3A" w:rsidR="0092320B">
        <w:t> </w:t>
      </w:r>
      <w:r w:rsidRPr="00A43D3A" w:rsidR="003678B3">
        <w:t>638</w:t>
      </w:r>
      <w:r w:rsidRPr="00A43D3A" w:rsidR="00521D49">
        <w:t>–640</w:t>
      </w:r>
      <w:r w:rsidRPr="00A43D3A" w:rsidR="003678B3">
        <w:t>.)</w:t>
      </w:r>
      <w:r w:rsidRPr="00A43D3A" w:rsidR="006D71DD">
        <w:t xml:space="preserve">  </w:t>
      </w:r>
      <w:r w:rsidRPr="00A43D3A" w:rsidR="0072089C">
        <w:t>Instead, the</w:t>
      </w:r>
      <w:r w:rsidRPr="00A43D3A" w:rsidR="006D71DD">
        <w:t xml:space="preserve"> Attorney General</w:t>
      </w:r>
      <w:r w:rsidRPr="00A43D3A" w:rsidR="0072089C">
        <w:t xml:space="preserve"> argues that </w:t>
      </w:r>
      <w:r w:rsidRPr="00A43D3A" w:rsidR="000022C1">
        <w:t>the record clearly indicate</w:t>
      </w:r>
      <w:r w:rsidRPr="00A43D3A" w:rsidR="00E355D5">
        <w:t>s</w:t>
      </w:r>
      <w:r w:rsidRPr="00A43D3A" w:rsidR="000022C1">
        <w:t xml:space="preserve"> that even if the </w:t>
      </w:r>
      <w:r w:rsidRPr="00A43D3A" w:rsidR="00370070">
        <w:t xml:space="preserve">sentencing </w:t>
      </w:r>
      <w:r w:rsidRPr="00A43D3A" w:rsidR="000022C1">
        <w:t xml:space="preserve">court </w:t>
      </w:r>
      <w:r w:rsidRPr="00A43D3A" w:rsidR="00FB3CC1">
        <w:t>w</w:t>
      </w:r>
      <w:r w:rsidR="00FB3CC1">
        <w:t>as</w:t>
      </w:r>
      <w:r w:rsidRPr="00A43D3A" w:rsidR="00FB3CC1">
        <w:t xml:space="preserve"> </w:t>
      </w:r>
      <w:r w:rsidRPr="00A43D3A" w:rsidR="000022C1">
        <w:t>aware that</w:t>
      </w:r>
      <w:r w:rsidRPr="00A43D3A" w:rsidR="00162962">
        <w:t xml:space="preserve"> it was required to impose the lower term unless </w:t>
      </w:r>
      <w:r w:rsidRPr="00A43D3A" w:rsidR="00E355D5">
        <w:t>“the aggravating circumstances outweigh the mitigating circumstances [</w:t>
      </w:r>
      <w:r w:rsidRPr="00A43D3A" w:rsidR="00765340">
        <w:t>so</w:t>
      </w:r>
      <w:r w:rsidRPr="00A43D3A" w:rsidR="00E355D5">
        <w:t>] that imposition of the lower term would be contrary to the interests of justice” (§ 1170, subd. (b)(6))</w:t>
      </w:r>
      <w:r w:rsidRPr="00A43D3A" w:rsidR="000022C1">
        <w:t xml:space="preserve">, it still would have refused to </w:t>
      </w:r>
      <w:r w:rsidRPr="00A43D3A" w:rsidR="00162962">
        <w:t>impose the lower term</w:t>
      </w:r>
      <w:r w:rsidRPr="00A43D3A" w:rsidR="000022C1">
        <w:t>.  We disagree.</w:t>
      </w:r>
      <w:r w:rsidRPr="00A43D3A" w:rsidR="00302F08">
        <w:rPr>
          <w:rStyle w:val="FootnoteReference"/>
        </w:rPr>
        <w:t xml:space="preserve"> </w:t>
      </w:r>
      <w:r w:rsidRPr="00A43D3A" w:rsidR="00375B0E">
        <w:rPr>
          <w:vertAlign w:val="superscript"/>
        </w:rPr>
        <w:t xml:space="preserve">  </w:t>
      </w:r>
    </w:p>
    <w:p w:rsidR="004E3039" w:rsidRPr="00A43D3A" w:rsidP="00097AC4" w14:paraId="0CABFA6C" w14:textId="77777777">
      <w:pPr>
        <w:tabs>
          <w:tab w:val="left" w:pos="1440"/>
        </w:tabs>
        <w:ind w:firstLine="720"/>
        <w:rPr>
          <w:szCs w:val="26"/>
        </w:rPr>
      </w:pPr>
      <w:r w:rsidRPr="00A43D3A">
        <w:rPr>
          <w:szCs w:val="26"/>
        </w:rPr>
        <w:t>F</w:t>
      </w:r>
      <w:r w:rsidRPr="00A43D3A" w:rsidR="00BF745F">
        <w:rPr>
          <w:szCs w:val="26"/>
        </w:rPr>
        <w:t>irst, the</w:t>
      </w:r>
      <w:r w:rsidRPr="00A43D3A" w:rsidR="00CA0F80">
        <w:rPr>
          <w:szCs w:val="26"/>
        </w:rPr>
        <w:t xml:space="preserve"> Attorney General points to Salazar’s “long and continuous criminal history</w:t>
      </w:r>
      <w:r w:rsidRPr="00A43D3A" w:rsidR="00302F08">
        <w:rPr>
          <w:szCs w:val="26"/>
        </w:rPr>
        <w:t>,</w:t>
      </w:r>
      <w:r w:rsidRPr="00A43D3A" w:rsidR="00CA0F80">
        <w:rPr>
          <w:szCs w:val="26"/>
        </w:rPr>
        <w:t>” that includes six additional offenses after the commission of the present offenses</w:t>
      </w:r>
      <w:r w:rsidRPr="00A43D3A" w:rsidR="00D13DD0">
        <w:rPr>
          <w:szCs w:val="26"/>
        </w:rPr>
        <w:t xml:space="preserve">. </w:t>
      </w:r>
      <w:r w:rsidRPr="00A43D3A" w:rsidR="00CA0F80">
        <w:rPr>
          <w:szCs w:val="26"/>
        </w:rPr>
        <w:t xml:space="preserve"> </w:t>
      </w:r>
      <w:r w:rsidRPr="00A43D3A" w:rsidR="00765340">
        <w:rPr>
          <w:szCs w:val="26"/>
        </w:rPr>
        <w:t xml:space="preserve">The Attorney General also </w:t>
      </w:r>
      <w:r w:rsidRPr="00A43D3A" w:rsidR="00D13DD0">
        <w:rPr>
          <w:szCs w:val="26"/>
        </w:rPr>
        <w:t xml:space="preserve">cites </w:t>
      </w:r>
      <w:r w:rsidRPr="00A43D3A" w:rsidR="00765340">
        <w:rPr>
          <w:szCs w:val="26"/>
        </w:rPr>
        <w:t>to</w:t>
      </w:r>
      <w:r w:rsidRPr="00A43D3A" w:rsidR="00CA0F80">
        <w:rPr>
          <w:szCs w:val="26"/>
        </w:rPr>
        <w:t xml:space="preserve"> the particularly aggravated facts of the present case</w:t>
      </w:r>
      <w:r w:rsidRPr="00A43D3A" w:rsidR="00765340">
        <w:rPr>
          <w:szCs w:val="26"/>
        </w:rPr>
        <w:t xml:space="preserve">, </w:t>
      </w:r>
      <w:r w:rsidRPr="00A43D3A" w:rsidR="00555247">
        <w:rPr>
          <w:szCs w:val="26"/>
        </w:rPr>
        <w:t>including the fact that</w:t>
      </w:r>
      <w:r w:rsidRPr="00A43D3A" w:rsidR="00765340">
        <w:rPr>
          <w:szCs w:val="26"/>
        </w:rPr>
        <w:t xml:space="preserve"> Salazar repeatedly </w:t>
      </w:r>
      <w:r w:rsidRPr="00A43D3A" w:rsidR="00555247">
        <w:rPr>
          <w:szCs w:val="26"/>
        </w:rPr>
        <w:t>struck</w:t>
      </w:r>
      <w:r w:rsidRPr="00A43D3A" w:rsidR="00765340">
        <w:rPr>
          <w:szCs w:val="26"/>
        </w:rPr>
        <w:t xml:space="preserve"> </w:t>
      </w:r>
      <w:r w:rsidR="00FB3CC1">
        <w:rPr>
          <w:szCs w:val="26"/>
        </w:rPr>
        <w:t xml:space="preserve">the victim </w:t>
      </w:r>
      <w:r w:rsidRPr="00A43D3A" w:rsidR="00765340">
        <w:rPr>
          <w:szCs w:val="26"/>
        </w:rPr>
        <w:t xml:space="preserve">and </w:t>
      </w:r>
      <w:r w:rsidRPr="00A43D3A" w:rsidR="00555247">
        <w:rPr>
          <w:szCs w:val="26"/>
        </w:rPr>
        <w:t>sprayed</w:t>
      </w:r>
      <w:r w:rsidRPr="00A43D3A" w:rsidR="00765340">
        <w:rPr>
          <w:szCs w:val="26"/>
        </w:rPr>
        <w:t xml:space="preserve"> </w:t>
      </w:r>
      <w:r w:rsidR="00FB3CC1">
        <w:rPr>
          <w:szCs w:val="26"/>
        </w:rPr>
        <w:t>her with pepper spray</w:t>
      </w:r>
      <w:r w:rsidRPr="00A43D3A" w:rsidR="00765340">
        <w:rPr>
          <w:szCs w:val="26"/>
        </w:rPr>
        <w:t xml:space="preserve"> over </w:t>
      </w:r>
      <w:r w:rsidRPr="00A43D3A" w:rsidR="00555247">
        <w:rPr>
          <w:szCs w:val="26"/>
        </w:rPr>
        <w:t>a prolonged period</w:t>
      </w:r>
      <w:r w:rsidRPr="00A43D3A" w:rsidR="00765340">
        <w:rPr>
          <w:szCs w:val="26"/>
        </w:rPr>
        <w:t xml:space="preserve">, causing her </w:t>
      </w:r>
      <w:r w:rsidRPr="00A43D3A" w:rsidR="00555247">
        <w:rPr>
          <w:szCs w:val="26"/>
        </w:rPr>
        <w:t>significant</w:t>
      </w:r>
      <w:r w:rsidRPr="00A43D3A" w:rsidR="00765340">
        <w:rPr>
          <w:szCs w:val="26"/>
        </w:rPr>
        <w:t xml:space="preserve"> injuries.</w:t>
      </w:r>
      <w:r w:rsidRPr="00A43D3A" w:rsidR="00CA0F80">
        <w:rPr>
          <w:szCs w:val="26"/>
        </w:rPr>
        <w:t xml:space="preserve"> </w:t>
      </w:r>
      <w:r w:rsidRPr="00A43D3A" w:rsidR="00765340">
        <w:rPr>
          <w:szCs w:val="26"/>
        </w:rPr>
        <w:t xml:space="preserve"> </w:t>
      </w:r>
      <w:r w:rsidRPr="00A43D3A" w:rsidR="0002178E">
        <w:rPr>
          <w:szCs w:val="26"/>
        </w:rPr>
        <w:t xml:space="preserve">However, even though </w:t>
      </w:r>
      <w:r w:rsidRPr="00A43D3A" w:rsidR="00C927E8">
        <w:rPr>
          <w:szCs w:val="26"/>
        </w:rPr>
        <w:t xml:space="preserve">the </w:t>
      </w:r>
      <w:r w:rsidRPr="00A43D3A" w:rsidR="001A4055">
        <w:rPr>
          <w:szCs w:val="26"/>
        </w:rPr>
        <w:t>offenses in</w:t>
      </w:r>
      <w:r w:rsidRPr="00A43D3A" w:rsidR="00555247">
        <w:rPr>
          <w:szCs w:val="26"/>
        </w:rPr>
        <w:t xml:space="preserve"> this case </w:t>
      </w:r>
      <w:r w:rsidRPr="00A43D3A" w:rsidR="001A4055">
        <w:rPr>
          <w:szCs w:val="26"/>
        </w:rPr>
        <w:t xml:space="preserve">were </w:t>
      </w:r>
      <w:r w:rsidRPr="00A43D3A" w:rsidR="006D6205">
        <w:rPr>
          <w:szCs w:val="26"/>
        </w:rPr>
        <w:t>certainly abhorrent</w:t>
      </w:r>
      <w:r w:rsidRPr="00A43D3A" w:rsidR="00247FFC">
        <w:rPr>
          <w:szCs w:val="26"/>
        </w:rPr>
        <w:t xml:space="preserve"> </w:t>
      </w:r>
      <w:r w:rsidRPr="00A43D3A" w:rsidR="00C927E8">
        <w:rPr>
          <w:szCs w:val="26"/>
        </w:rPr>
        <w:t xml:space="preserve">and </w:t>
      </w:r>
      <w:r w:rsidRPr="00A43D3A" w:rsidR="0002178E">
        <w:rPr>
          <w:szCs w:val="26"/>
        </w:rPr>
        <w:t xml:space="preserve">the </w:t>
      </w:r>
      <w:r w:rsidRPr="00A43D3A" w:rsidR="00D13DD0">
        <w:rPr>
          <w:szCs w:val="26"/>
        </w:rPr>
        <w:t xml:space="preserve">sentencing </w:t>
      </w:r>
      <w:r w:rsidRPr="00A43D3A" w:rsidR="0002178E">
        <w:rPr>
          <w:szCs w:val="26"/>
        </w:rPr>
        <w:t xml:space="preserve">court </w:t>
      </w:r>
      <w:r w:rsidRPr="00A43D3A" w:rsidR="00310B74">
        <w:rPr>
          <w:szCs w:val="26"/>
        </w:rPr>
        <w:t xml:space="preserve">did </w:t>
      </w:r>
      <w:r w:rsidRPr="00A43D3A" w:rsidR="0002178E">
        <w:rPr>
          <w:szCs w:val="26"/>
        </w:rPr>
        <w:t xml:space="preserve">note Salazar’s </w:t>
      </w:r>
      <w:r w:rsidRPr="00A43D3A" w:rsidR="0084289D">
        <w:rPr>
          <w:szCs w:val="26"/>
        </w:rPr>
        <w:t xml:space="preserve">“long and continuous </w:t>
      </w:r>
      <w:r w:rsidRPr="00A43D3A" w:rsidR="0002178E">
        <w:rPr>
          <w:szCs w:val="26"/>
        </w:rPr>
        <w:t>criminal history</w:t>
      </w:r>
      <w:r w:rsidRPr="00A43D3A" w:rsidR="00302F08">
        <w:rPr>
          <w:szCs w:val="26"/>
        </w:rPr>
        <w:t>,</w:t>
      </w:r>
      <w:r w:rsidRPr="00A43D3A" w:rsidR="0084289D">
        <w:rPr>
          <w:szCs w:val="26"/>
        </w:rPr>
        <w:t>”</w:t>
      </w:r>
      <w:r w:rsidRPr="00A43D3A" w:rsidR="0002178E">
        <w:rPr>
          <w:szCs w:val="26"/>
        </w:rPr>
        <w:t xml:space="preserve"> this does not constitute a clear indication that it would have imposed the middle</w:t>
      </w:r>
      <w:r w:rsidRPr="00A43D3A" w:rsidR="00A368C7">
        <w:rPr>
          <w:szCs w:val="26"/>
        </w:rPr>
        <w:t xml:space="preserve"> </w:t>
      </w:r>
      <w:r w:rsidRPr="00A43D3A" w:rsidR="0002178E">
        <w:rPr>
          <w:szCs w:val="26"/>
        </w:rPr>
        <w:t xml:space="preserve">term under the new law.  </w:t>
      </w:r>
    </w:p>
    <w:p w:rsidR="003C5993" w:rsidRPr="00A43D3A" w:rsidP="00097AC4" w14:paraId="0CABFA6D" w14:textId="77777777">
      <w:pPr>
        <w:tabs>
          <w:tab w:val="left" w:pos="1440"/>
        </w:tabs>
        <w:ind w:firstLine="720"/>
        <w:rPr>
          <w:szCs w:val="26"/>
        </w:rPr>
      </w:pPr>
      <w:r w:rsidRPr="00A43D3A">
        <w:rPr>
          <w:szCs w:val="26"/>
        </w:rPr>
        <w:t>Under the former law, section 1170</w:t>
      </w:r>
      <w:r w:rsidRPr="00A43D3A" w:rsidR="00A92EF4">
        <w:rPr>
          <w:szCs w:val="26"/>
        </w:rPr>
        <w:t xml:space="preserve"> </w:t>
      </w:r>
      <w:r w:rsidRPr="00A43D3A">
        <w:rPr>
          <w:szCs w:val="26"/>
        </w:rPr>
        <w:t xml:space="preserve">vested the court with </w:t>
      </w:r>
      <w:r w:rsidRPr="00A43D3A" w:rsidR="002F06C4">
        <w:rPr>
          <w:szCs w:val="26"/>
        </w:rPr>
        <w:t xml:space="preserve">“sound </w:t>
      </w:r>
      <w:r w:rsidRPr="00A43D3A">
        <w:rPr>
          <w:szCs w:val="26"/>
        </w:rPr>
        <w:t>discretion</w:t>
      </w:r>
      <w:r w:rsidRPr="00A43D3A" w:rsidR="002F06C4">
        <w:rPr>
          <w:szCs w:val="26"/>
        </w:rPr>
        <w:t>”</w:t>
      </w:r>
      <w:r w:rsidRPr="00A43D3A">
        <w:rPr>
          <w:szCs w:val="26"/>
        </w:rPr>
        <w:t xml:space="preserve"> to </w:t>
      </w:r>
      <w:r w:rsidRPr="00A43D3A" w:rsidR="004C141A">
        <w:rPr>
          <w:szCs w:val="26"/>
        </w:rPr>
        <w:t xml:space="preserve">simply weigh </w:t>
      </w:r>
      <w:r w:rsidRPr="00A43D3A">
        <w:rPr>
          <w:szCs w:val="26"/>
        </w:rPr>
        <w:t xml:space="preserve">circumstances in aggravation or mitigation, and any other </w:t>
      </w:r>
      <w:r w:rsidRPr="00A43D3A" w:rsidR="004C141A">
        <w:rPr>
          <w:szCs w:val="26"/>
        </w:rPr>
        <w:t>relevant factors, and then impose any of the three prescribed terms (low, middle</w:t>
      </w:r>
      <w:r w:rsidRPr="00A43D3A" w:rsidR="005A0216">
        <w:rPr>
          <w:szCs w:val="26"/>
        </w:rPr>
        <w:t>,</w:t>
      </w:r>
      <w:r w:rsidRPr="00A43D3A" w:rsidR="004C141A">
        <w:rPr>
          <w:szCs w:val="26"/>
        </w:rPr>
        <w:t xml:space="preserve"> or high) it </w:t>
      </w:r>
      <w:r w:rsidR="00991FD6">
        <w:rPr>
          <w:szCs w:val="26"/>
        </w:rPr>
        <w:t>found to “best serve[] the interests of justice</w:t>
      </w:r>
      <w:r w:rsidRPr="00A43D3A" w:rsidR="004C141A">
        <w:rPr>
          <w:szCs w:val="26"/>
        </w:rPr>
        <w:t>.</w:t>
      </w:r>
      <w:r w:rsidR="00991FD6">
        <w:rPr>
          <w:szCs w:val="26"/>
        </w:rPr>
        <w:t>”</w:t>
      </w:r>
      <w:r w:rsidRPr="00A43D3A" w:rsidR="004C141A">
        <w:rPr>
          <w:szCs w:val="26"/>
        </w:rPr>
        <w:t xml:space="preserve">  </w:t>
      </w:r>
      <w:r w:rsidRPr="00A43D3A" w:rsidR="002F06C4">
        <w:rPr>
          <w:szCs w:val="26"/>
        </w:rPr>
        <w:t xml:space="preserve">(§ 1170, former subd. (b).)  </w:t>
      </w:r>
      <w:r w:rsidRPr="00A43D3A" w:rsidR="004C141A">
        <w:rPr>
          <w:szCs w:val="26"/>
        </w:rPr>
        <w:t>The new law dramatically restrains that discretion</w:t>
      </w:r>
      <w:r w:rsidRPr="00A43D3A" w:rsidR="008314AB">
        <w:rPr>
          <w:szCs w:val="26"/>
        </w:rPr>
        <w:t xml:space="preserve"> to impose the middle or upper term</w:t>
      </w:r>
      <w:r w:rsidRPr="00A43D3A" w:rsidR="004C141A">
        <w:rPr>
          <w:szCs w:val="26"/>
        </w:rPr>
        <w:t xml:space="preserve">, now </w:t>
      </w:r>
      <w:r w:rsidRPr="00A43D3A" w:rsidR="004C141A">
        <w:rPr>
          <w:i/>
          <w:iCs/>
          <w:szCs w:val="26"/>
        </w:rPr>
        <w:t>requiring</w:t>
      </w:r>
      <w:r w:rsidRPr="00A43D3A" w:rsidR="004C141A">
        <w:rPr>
          <w:szCs w:val="26"/>
        </w:rPr>
        <w:t xml:space="preserve"> the court to impose the low</w:t>
      </w:r>
      <w:r w:rsidRPr="00A43D3A" w:rsidR="00923BA3">
        <w:rPr>
          <w:szCs w:val="26"/>
        </w:rPr>
        <w:t>er</w:t>
      </w:r>
      <w:r w:rsidRPr="00A43D3A" w:rsidR="004C141A">
        <w:rPr>
          <w:szCs w:val="26"/>
        </w:rPr>
        <w:t xml:space="preserve"> term if </w:t>
      </w:r>
      <w:r w:rsidRPr="00A43D3A">
        <w:rPr>
          <w:szCs w:val="26"/>
        </w:rPr>
        <w:t xml:space="preserve">a qualifying trauma was a contributing factor in the commission of the offense “unless the court finds that the aggravating circumstances outweigh the mitigating circumstances </w:t>
      </w:r>
      <w:r w:rsidRPr="00A43D3A" w:rsidR="00E355D5">
        <w:rPr>
          <w:szCs w:val="26"/>
        </w:rPr>
        <w:t>[</w:t>
      </w:r>
      <w:r w:rsidRPr="00A43D3A" w:rsidR="00765340">
        <w:rPr>
          <w:szCs w:val="26"/>
        </w:rPr>
        <w:t>so</w:t>
      </w:r>
      <w:r w:rsidRPr="00A43D3A" w:rsidR="00E355D5">
        <w:rPr>
          <w:szCs w:val="26"/>
        </w:rPr>
        <w:t xml:space="preserve">] </w:t>
      </w:r>
      <w:r w:rsidRPr="00A43D3A">
        <w:rPr>
          <w:szCs w:val="26"/>
        </w:rPr>
        <w:t xml:space="preserve">that imposition of the lower term would be contrary to the interests of justice.”  (§ 1170, subd. (b)(6).)  Accordingly, </w:t>
      </w:r>
      <w:r w:rsidRPr="00A43D3A" w:rsidR="00310B74">
        <w:rPr>
          <w:szCs w:val="26"/>
        </w:rPr>
        <w:t xml:space="preserve">under </w:t>
      </w:r>
      <w:r w:rsidRPr="00A43D3A">
        <w:rPr>
          <w:szCs w:val="26"/>
        </w:rPr>
        <w:t>the new law</w:t>
      </w:r>
      <w:r w:rsidRPr="00A43D3A" w:rsidR="00310B74">
        <w:rPr>
          <w:szCs w:val="26"/>
        </w:rPr>
        <w:t xml:space="preserve">, the </w:t>
      </w:r>
      <w:r w:rsidRPr="00A43D3A" w:rsidR="00C927E8">
        <w:rPr>
          <w:szCs w:val="26"/>
        </w:rPr>
        <w:t>presumption</w:t>
      </w:r>
      <w:r w:rsidRPr="00A43D3A" w:rsidR="00310B74">
        <w:rPr>
          <w:szCs w:val="26"/>
        </w:rPr>
        <w:t xml:space="preserve"> is that the court “</w:t>
      </w:r>
      <w:r w:rsidRPr="00A43D3A" w:rsidR="00310B74">
        <w:rPr>
          <w:i/>
          <w:iCs/>
          <w:szCs w:val="26"/>
        </w:rPr>
        <w:t>shall</w:t>
      </w:r>
      <w:r w:rsidRPr="00A43D3A" w:rsidR="00310B74">
        <w:rPr>
          <w:szCs w:val="26"/>
        </w:rPr>
        <w:t xml:space="preserve"> order imposition of the lower term” when</w:t>
      </w:r>
      <w:r w:rsidRPr="00A43D3A" w:rsidR="006C0F4D">
        <w:rPr>
          <w:szCs w:val="26"/>
        </w:rPr>
        <w:t>ever</w:t>
      </w:r>
      <w:r w:rsidRPr="00A43D3A" w:rsidR="00310B74">
        <w:rPr>
          <w:szCs w:val="26"/>
        </w:rPr>
        <w:t xml:space="preserve"> the defendant has a qualifying trauma.  </w:t>
      </w:r>
      <w:r w:rsidRPr="00A43D3A" w:rsidR="00654849">
        <w:rPr>
          <w:szCs w:val="26"/>
        </w:rPr>
        <w:t>(</w:t>
      </w:r>
      <w:r w:rsidRPr="00A43D3A" w:rsidR="00654849">
        <w:rPr>
          <w:i/>
          <w:iCs/>
          <w:szCs w:val="26"/>
        </w:rPr>
        <w:t>Ibid</w:t>
      </w:r>
      <w:r w:rsidRPr="00A43D3A" w:rsidR="00654849">
        <w:rPr>
          <w:szCs w:val="26"/>
        </w:rPr>
        <w:t xml:space="preserve">., italics added.)  </w:t>
      </w:r>
    </w:p>
    <w:p w:rsidR="00DB0CA5" w:rsidP="00097AC4" w14:paraId="0CABFA6E" w14:textId="77777777">
      <w:pPr>
        <w:tabs>
          <w:tab w:val="left" w:pos="1440"/>
        </w:tabs>
        <w:ind w:firstLine="720"/>
      </w:pPr>
      <w:r w:rsidRPr="00A43D3A">
        <w:rPr>
          <w:szCs w:val="26"/>
        </w:rPr>
        <w:t>Here</w:t>
      </w:r>
      <w:r w:rsidRPr="00A43D3A" w:rsidR="006C0F4D">
        <w:rPr>
          <w:szCs w:val="26"/>
        </w:rPr>
        <w:t>,</w:t>
      </w:r>
      <w:r w:rsidRPr="00A43D3A">
        <w:rPr>
          <w:szCs w:val="26"/>
        </w:rPr>
        <w:t xml:space="preserve"> </w:t>
      </w:r>
      <w:r w:rsidRPr="00A43D3A" w:rsidR="004C141A">
        <w:rPr>
          <w:szCs w:val="26"/>
        </w:rPr>
        <w:t>the fact</w:t>
      </w:r>
      <w:r w:rsidRPr="00A43D3A" w:rsidR="0084289D">
        <w:rPr>
          <w:szCs w:val="26"/>
        </w:rPr>
        <w:t>s</w:t>
      </w:r>
      <w:r w:rsidRPr="00A43D3A" w:rsidR="004C141A">
        <w:rPr>
          <w:szCs w:val="26"/>
        </w:rPr>
        <w:t xml:space="preserve"> that </w:t>
      </w:r>
      <w:r w:rsidRPr="00A43D3A" w:rsidR="0050606D">
        <w:rPr>
          <w:szCs w:val="26"/>
        </w:rPr>
        <w:t xml:space="preserve">the </w:t>
      </w:r>
      <w:r w:rsidRPr="00A43D3A" w:rsidR="00247FFC">
        <w:rPr>
          <w:szCs w:val="26"/>
        </w:rPr>
        <w:t xml:space="preserve">offenses </w:t>
      </w:r>
      <w:r w:rsidRPr="00A43D3A" w:rsidR="0050606D">
        <w:rPr>
          <w:szCs w:val="26"/>
        </w:rPr>
        <w:t xml:space="preserve">were </w:t>
      </w:r>
      <w:r w:rsidRPr="00A43D3A" w:rsidR="001A4055">
        <w:rPr>
          <w:szCs w:val="26"/>
        </w:rPr>
        <w:t xml:space="preserve">violent </w:t>
      </w:r>
      <w:r w:rsidRPr="00A43D3A" w:rsidR="00247FFC">
        <w:rPr>
          <w:szCs w:val="26"/>
        </w:rPr>
        <w:t>and occurred over</w:t>
      </w:r>
      <w:r w:rsidRPr="00A43D3A" w:rsidR="001A4055">
        <w:rPr>
          <w:szCs w:val="26"/>
        </w:rPr>
        <w:t xml:space="preserve"> an extended period </w:t>
      </w:r>
      <w:r w:rsidRPr="00A43D3A" w:rsidR="0050606D">
        <w:rPr>
          <w:szCs w:val="26"/>
        </w:rPr>
        <w:t>and that</w:t>
      </w:r>
      <w:r w:rsidRPr="00A43D3A" w:rsidR="00247FFC">
        <w:rPr>
          <w:szCs w:val="26"/>
        </w:rPr>
        <w:t xml:space="preserve"> the sentencing court noted</w:t>
      </w:r>
      <w:r w:rsidRPr="00A43D3A" w:rsidR="0050606D">
        <w:rPr>
          <w:szCs w:val="26"/>
        </w:rPr>
        <w:t xml:space="preserve"> </w:t>
      </w:r>
      <w:r w:rsidRPr="00A43D3A" w:rsidR="0075539E">
        <w:rPr>
          <w:szCs w:val="26"/>
        </w:rPr>
        <w:t xml:space="preserve">Salazar </w:t>
      </w:r>
      <w:r w:rsidRPr="00A43D3A" w:rsidR="004C141A">
        <w:rPr>
          <w:szCs w:val="26"/>
        </w:rPr>
        <w:t xml:space="preserve">had an extensive criminal history does not suffice to provide a clear indication </w:t>
      </w:r>
      <w:r w:rsidRPr="00A43D3A">
        <w:rPr>
          <w:szCs w:val="26"/>
        </w:rPr>
        <w:t xml:space="preserve">the court would have departed from this presumptive lower term </w:t>
      </w:r>
      <w:r w:rsidRPr="00A43D3A" w:rsidR="004C141A">
        <w:rPr>
          <w:szCs w:val="26"/>
        </w:rPr>
        <w:t>in the</w:t>
      </w:r>
      <w:r w:rsidRPr="00A43D3A">
        <w:rPr>
          <w:szCs w:val="26"/>
        </w:rPr>
        <w:t xml:space="preserve"> </w:t>
      </w:r>
      <w:r w:rsidRPr="00A43D3A" w:rsidR="004C141A">
        <w:rPr>
          <w:szCs w:val="26"/>
        </w:rPr>
        <w:t>“</w:t>
      </w:r>
      <w:r w:rsidRPr="00A43D3A">
        <w:rPr>
          <w:szCs w:val="26"/>
        </w:rPr>
        <w:t>interests of justice</w:t>
      </w:r>
      <w:r w:rsidRPr="00A43D3A" w:rsidR="001F0E88">
        <w:rPr>
          <w:szCs w:val="26"/>
        </w:rPr>
        <w:t>.</w:t>
      </w:r>
      <w:r w:rsidRPr="00A43D3A">
        <w:rPr>
          <w:szCs w:val="26"/>
        </w:rPr>
        <w:t xml:space="preserve">” </w:t>
      </w:r>
      <w:r w:rsidRPr="00A43D3A" w:rsidR="0084289D">
        <w:rPr>
          <w:szCs w:val="26"/>
        </w:rPr>
        <w:t xml:space="preserve"> </w:t>
      </w:r>
      <w:r w:rsidRPr="00A43D3A" w:rsidR="003C5993">
        <w:rPr>
          <w:szCs w:val="26"/>
        </w:rPr>
        <w:t>(§ 1170, subd. (b)(6).)</w:t>
      </w:r>
      <w:r w:rsidRPr="00A43D3A" w:rsidR="00654849">
        <w:rPr>
          <w:szCs w:val="26"/>
        </w:rPr>
        <w:t xml:space="preserve">  </w:t>
      </w:r>
      <w:r w:rsidRPr="00A43D3A" w:rsidR="0050606D">
        <w:rPr>
          <w:szCs w:val="26"/>
        </w:rPr>
        <w:t>With respect to the nature of the crime, it is notable that the sentencing court did not even</w:t>
      </w:r>
      <w:r w:rsidRPr="00A43D3A" w:rsidR="00247FFC">
        <w:rPr>
          <w:szCs w:val="26"/>
        </w:rPr>
        <w:t xml:space="preserve"> mention</w:t>
      </w:r>
      <w:r w:rsidRPr="00A43D3A" w:rsidR="0050606D">
        <w:rPr>
          <w:szCs w:val="26"/>
        </w:rPr>
        <w:t xml:space="preserve"> </w:t>
      </w:r>
      <w:r w:rsidRPr="00A43D3A" w:rsidR="00C55892">
        <w:rPr>
          <w:szCs w:val="26"/>
        </w:rPr>
        <w:t>the nature of the crime</w:t>
      </w:r>
      <w:r w:rsidRPr="00A43D3A" w:rsidR="0050606D">
        <w:rPr>
          <w:szCs w:val="26"/>
        </w:rPr>
        <w:t xml:space="preserve"> as part of its sentencing determination, other than to </w:t>
      </w:r>
      <w:r w:rsidRPr="00A43D3A" w:rsidR="0065458E">
        <w:rPr>
          <w:szCs w:val="26"/>
        </w:rPr>
        <w:t xml:space="preserve">agree </w:t>
      </w:r>
      <w:r w:rsidRPr="00A43D3A" w:rsidR="0050606D">
        <w:rPr>
          <w:szCs w:val="26"/>
        </w:rPr>
        <w:t xml:space="preserve">that the People’s estimate that the </w:t>
      </w:r>
      <w:r w:rsidRPr="00A43D3A" w:rsidR="00EF371C">
        <w:rPr>
          <w:szCs w:val="26"/>
        </w:rPr>
        <w:t xml:space="preserve">crime </w:t>
      </w:r>
      <w:r w:rsidRPr="00A43D3A" w:rsidR="0050606D">
        <w:rPr>
          <w:szCs w:val="26"/>
        </w:rPr>
        <w:t>lasted “20 hours is probably pretty accurate.”</w:t>
      </w:r>
      <w:r>
        <w:rPr>
          <w:rStyle w:val="FootnoteReference"/>
          <w:b w:val="0"/>
          <w:bCs/>
          <w:szCs w:val="26"/>
        </w:rPr>
        <w:footnoteReference w:id="8"/>
      </w:r>
      <w:r w:rsidRPr="00A43D3A" w:rsidR="00EF371C">
        <w:rPr>
          <w:szCs w:val="26"/>
        </w:rPr>
        <w:t xml:space="preserve"> </w:t>
      </w:r>
      <w:r w:rsidRPr="00A43D3A" w:rsidR="0065458E">
        <w:rPr>
          <w:szCs w:val="26"/>
        </w:rPr>
        <w:t xml:space="preserve"> </w:t>
      </w:r>
      <w:r w:rsidRPr="00A43D3A" w:rsidR="00C55892">
        <w:t>The</w:t>
      </w:r>
      <w:r w:rsidRPr="00A43D3A" w:rsidR="003C5993">
        <w:t xml:space="preserve"> Court of Appeal </w:t>
      </w:r>
      <w:r w:rsidRPr="00A43D3A" w:rsidR="001D6980">
        <w:t>state</w:t>
      </w:r>
      <w:r w:rsidR="00FB3CC1">
        <w:t>d</w:t>
      </w:r>
      <w:r w:rsidRPr="00A43D3A" w:rsidR="003C5993">
        <w:t xml:space="preserve"> that the current offenses were “aggravated, sadistic” and “akin to torture</w:t>
      </w:r>
      <w:r w:rsidRPr="00A43D3A" w:rsidR="00CB2654">
        <w:t>.</w:t>
      </w:r>
      <w:r w:rsidRPr="00A43D3A" w:rsidR="003C5993">
        <w:t xml:space="preserve">” </w:t>
      </w:r>
      <w:r w:rsidRPr="00A43D3A" w:rsidR="001D6980">
        <w:t xml:space="preserve"> </w:t>
      </w:r>
      <w:r w:rsidRPr="00A43D3A" w:rsidR="003C5993">
        <w:t>(</w:t>
      </w:r>
      <w:r w:rsidRPr="00A43D3A" w:rsidR="003C5993">
        <w:rPr>
          <w:i/>
          <w:iCs/>
        </w:rPr>
        <w:t>Salazar</w:t>
      </w:r>
      <w:r w:rsidRPr="0016368E" w:rsidR="003C5993">
        <w:t>,</w:t>
      </w:r>
      <w:r w:rsidRPr="00A43D3A" w:rsidR="003C5993">
        <w:rPr>
          <w:i/>
          <w:iCs/>
        </w:rPr>
        <w:t xml:space="preserve"> supra</w:t>
      </w:r>
      <w:r w:rsidRPr="00A43D3A" w:rsidR="003C5993">
        <w:t>, 80 Cal.App.5th at p. 464</w:t>
      </w:r>
      <w:r w:rsidRPr="00A43D3A" w:rsidR="001D6980">
        <w:t>.</w:t>
      </w:r>
      <w:r w:rsidRPr="00A43D3A" w:rsidR="003C5993">
        <w:t>)</w:t>
      </w:r>
      <w:r w:rsidRPr="00A43D3A" w:rsidR="001D6980">
        <w:t xml:space="preserve">  </w:t>
      </w:r>
      <w:r w:rsidRPr="00A43D3A" w:rsidR="00C55892">
        <w:t xml:space="preserve">However, </w:t>
      </w:r>
      <w:r w:rsidRPr="00A43D3A" w:rsidR="003C5993">
        <w:t xml:space="preserve">the sentencing court </w:t>
      </w:r>
      <w:r w:rsidRPr="00A43D3A" w:rsidR="001D6980">
        <w:t>never made</w:t>
      </w:r>
      <w:r w:rsidRPr="00A43D3A" w:rsidR="003C5993">
        <w:t xml:space="preserve"> any similar statements about the nature of the crime</w:t>
      </w:r>
      <w:r w:rsidRPr="00A43D3A" w:rsidR="00C55892">
        <w:t xml:space="preserve"> and the</w:t>
      </w:r>
      <w:r w:rsidRPr="00A43D3A" w:rsidR="001D6980">
        <w:t xml:space="preserve"> Court of Appeal </w:t>
      </w:r>
      <w:r w:rsidRPr="00A43D3A" w:rsidR="00196E4D">
        <w:t>may not substitute</w:t>
      </w:r>
      <w:r w:rsidRPr="00A43D3A" w:rsidR="001D6980">
        <w:t xml:space="preserve"> its own view of the offenses for the </w:t>
      </w:r>
      <w:r w:rsidRPr="00A43D3A" w:rsidR="00370070">
        <w:t>sentencing</w:t>
      </w:r>
      <w:r w:rsidRPr="00A43D3A" w:rsidR="001D6980">
        <w:t xml:space="preserve"> court’s in determining whether remand is appropriate</w:t>
      </w:r>
      <w:r w:rsidRPr="00A43D3A" w:rsidR="00C55892">
        <w:t>.</w:t>
      </w:r>
      <w:r w:rsidRPr="00A43D3A" w:rsidR="003C5993">
        <w:t xml:space="preserve">  </w:t>
      </w:r>
    </w:p>
    <w:p w:rsidR="00DE75F9" w:rsidP="00097AC4" w14:paraId="0CABFA6F" w14:textId="77777777">
      <w:pPr>
        <w:tabs>
          <w:tab w:val="left" w:pos="1440"/>
        </w:tabs>
        <w:ind w:firstLine="720"/>
        <w:rPr>
          <w:szCs w:val="26"/>
        </w:rPr>
      </w:pPr>
      <w:r w:rsidRPr="00A43D3A">
        <w:rPr>
          <w:szCs w:val="26"/>
        </w:rPr>
        <w:t xml:space="preserve">As to </w:t>
      </w:r>
      <w:r w:rsidRPr="00A43D3A" w:rsidR="00AE36B5">
        <w:rPr>
          <w:szCs w:val="26"/>
        </w:rPr>
        <w:t>Salazar</w:t>
      </w:r>
      <w:r w:rsidRPr="00A43D3A">
        <w:rPr>
          <w:szCs w:val="26"/>
        </w:rPr>
        <w:t>’s criminal history</w:t>
      </w:r>
      <w:r w:rsidRPr="00A43D3A" w:rsidR="00416150">
        <w:rPr>
          <w:szCs w:val="26"/>
        </w:rPr>
        <w:t xml:space="preserve">, </w:t>
      </w:r>
      <w:r w:rsidRPr="00A43D3A" w:rsidR="00765340">
        <w:rPr>
          <w:szCs w:val="26"/>
        </w:rPr>
        <w:t>though the</w:t>
      </w:r>
      <w:r w:rsidRPr="00A43D3A" w:rsidR="00416150">
        <w:rPr>
          <w:szCs w:val="26"/>
        </w:rPr>
        <w:t xml:space="preserve"> sentencing court</w:t>
      </w:r>
      <w:r w:rsidRPr="00A43D3A" w:rsidR="00765340">
        <w:rPr>
          <w:szCs w:val="26"/>
        </w:rPr>
        <w:t xml:space="preserve"> </w:t>
      </w:r>
      <w:r w:rsidR="00DB0CA5">
        <w:rPr>
          <w:szCs w:val="26"/>
        </w:rPr>
        <w:t>referenced</w:t>
      </w:r>
      <w:r w:rsidRPr="00A43D3A">
        <w:rPr>
          <w:szCs w:val="26"/>
        </w:rPr>
        <w:t xml:space="preserve"> </w:t>
      </w:r>
      <w:r w:rsidR="003C6E23">
        <w:rPr>
          <w:szCs w:val="26"/>
        </w:rPr>
        <w:t>his</w:t>
      </w:r>
      <w:r w:rsidRPr="00A43D3A" w:rsidR="00765340">
        <w:rPr>
          <w:szCs w:val="26"/>
        </w:rPr>
        <w:t xml:space="preserve"> extensive criminal history, it also noted several mitigating factors in conjunction with that history.</w:t>
      </w:r>
      <w:r w:rsidRPr="00A43D3A" w:rsidR="00416150">
        <w:rPr>
          <w:szCs w:val="26"/>
        </w:rPr>
        <w:t xml:space="preserve"> </w:t>
      </w:r>
      <w:r w:rsidRPr="00A43D3A" w:rsidR="00765340">
        <w:rPr>
          <w:szCs w:val="26"/>
        </w:rPr>
        <w:t xml:space="preserve"> </w:t>
      </w:r>
      <w:r w:rsidRPr="00A43D3A" w:rsidR="00C54463">
        <w:rPr>
          <w:szCs w:val="26"/>
        </w:rPr>
        <w:t xml:space="preserve">As </w:t>
      </w:r>
      <w:r w:rsidRPr="00A43D3A" w:rsidR="00765340">
        <w:rPr>
          <w:szCs w:val="26"/>
        </w:rPr>
        <w:t xml:space="preserve">mentioned </w:t>
      </w:r>
      <w:r w:rsidRPr="00A43D3A" w:rsidR="00C54463">
        <w:rPr>
          <w:szCs w:val="26"/>
        </w:rPr>
        <w:t xml:space="preserve">above, the sentencing court found that “a lot” of Salazar’s criminal history “is drug related, and a lot of it may be because of suffering from your father’s death, and then I think it was a couple years later, your mother’s death.”  The sentencing court </w:t>
      </w:r>
      <w:r w:rsidRPr="00A43D3A" w:rsidR="00CA0F80">
        <w:rPr>
          <w:szCs w:val="26"/>
        </w:rPr>
        <w:t>further</w:t>
      </w:r>
      <w:r w:rsidRPr="00A43D3A" w:rsidR="00C54463">
        <w:rPr>
          <w:szCs w:val="26"/>
        </w:rPr>
        <w:t xml:space="preserve"> praised Salazar’s courtroom conduct</w:t>
      </w:r>
      <w:r w:rsidRPr="00A43D3A" w:rsidR="00C15196">
        <w:rPr>
          <w:szCs w:val="26"/>
        </w:rPr>
        <w:t xml:space="preserve">, explaining: “You presented yourself very well.  You could not have been more respectful, both to your counsel and to [the prosecutor] and to me and to the jury.”  The court explained that it was </w:t>
      </w:r>
      <w:r w:rsidRPr="00A43D3A" w:rsidR="00C54463">
        <w:rPr>
          <w:szCs w:val="26"/>
        </w:rPr>
        <w:t xml:space="preserve">“hopeful that once this is done, that you can become the best version of yourself, like your sister is indicating.”  </w:t>
      </w:r>
      <w:r w:rsidRPr="00A43D3A" w:rsidR="006224AD">
        <w:rPr>
          <w:szCs w:val="26"/>
        </w:rPr>
        <w:t xml:space="preserve">The court added that “it seems to me like you have more that you could offer.”  </w:t>
      </w:r>
      <w:r w:rsidRPr="00A43D3A" w:rsidR="00C15196">
        <w:t>The</w:t>
      </w:r>
      <w:r w:rsidRPr="00A43D3A" w:rsidR="00F47A00">
        <w:t xml:space="preserve"> Attorney General concedes that the parties and the court below </w:t>
      </w:r>
      <w:r w:rsidRPr="00A43D3A" w:rsidR="00FD4D47">
        <w:t>all acknowledged that</w:t>
      </w:r>
      <w:r w:rsidRPr="00A43D3A" w:rsidR="00F47A00">
        <w:t xml:space="preserve"> </w:t>
      </w:r>
      <w:r w:rsidRPr="00A43D3A" w:rsidR="00FD4D47">
        <w:t>Salazar’s “</w:t>
      </w:r>
      <w:r w:rsidRPr="00A43D3A" w:rsidR="00F47A00">
        <w:t xml:space="preserve">criminality appeared to be primarily bound up with his drug addiction and mental health issues, and possibly the effects of losing his parents several years before the current offenses.”  </w:t>
      </w:r>
      <w:r w:rsidRPr="00A43D3A" w:rsidR="00C55892">
        <w:rPr>
          <w:szCs w:val="26"/>
        </w:rPr>
        <w:t>Notably</w:t>
      </w:r>
      <w:r w:rsidRPr="00A43D3A" w:rsidR="002F06C4">
        <w:rPr>
          <w:szCs w:val="26"/>
        </w:rPr>
        <w:t xml:space="preserve">, </w:t>
      </w:r>
      <w:r w:rsidRPr="00A43D3A" w:rsidR="00196E4D">
        <w:rPr>
          <w:szCs w:val="26"/>
        </w:rPr>
        <w:t>under the former law the sentencing court had</w:t>
      </w:r>
      <w:r w:rsidRPr="00A43D3A" w:rsidR="002F06C4">
        <w:rPr>
          <w:szCs w:val="26"/>
        </w:rPr>
        <w:t xml:space="preserve"> “sound discretion” (§ 1170, former subd. (b)</w:t>
      </w:r>
      <w:r w:rsidRPr="00A43D3A" w:rsidR="00196E4D">
        <w:rPr>
          <w:szCs w:val="26"/>
        </w:rPr>
        <w:t>)</w:t>
      </w:r>
      <w:r w:rsidRPr="00A43D3A" w:rsidR="002F06C4">
        <w:rPr>
          <w:szCs w:val="26"/>
        </w:rPr>
        <w:t xml:space="preserve"> to impose </w:t>
      </w:r>
      <w:r w:rsidRPr="00A43D3A" w:rsidR="00196E4D">
        <w:rPr>
          <w:szCs w:val="26"/>
        </w:rPr>
        <w:t>any term, but did not use that “sound discretion” (</w:t>
      </w:r>
      <w:r w:rsidRPr="00A43D3A" w:rsidR="00196E4D">
        <w:rPr>
          <w:i/>
          <w:iCs/>
          <w:szCs w:val="26"/>
        </w:rPr>
        <w:t>ibid</w:t>
      </w:r>
      <w:r w:rsidRPr="00A43D3A" w:rsidR="00196E4D">
        <w:rPr>
          <w:szCs w:val="26"/>
        </w:rPr>
        <w:t xml:space="preserve">.) to impose </w:t>
      </w:r>
      <w:r w:rsidRPr="00A43D3A" w:rsidR="002F06C4">
        <w:rPr>
          <w:szCs w:val="26"/>
        </w:rPr>
        <w:t>an upper term.</w:t>
      </w:r>
      <w:r>
        <w:rPr>
          <w:rStyle w:val="FootnoteReference"/>
          <w:b w:val="0"/>
          <w:bCs/>
        </w:rPr>
        <w:footnoteReference w:id="9"/>
      </w:r>
      <w:r w:rsidRPr="00A43D3A" w:rsidR="002F06C4">
        <w:rPr>
          <w:szCs w:val="26"/>
        </w:rPr>
        <w:t xml:space="preserve">  </w:t>
      </w:r>
    </w:p>
    <w:p w:rsidR="00B94A84" w:rsidRPr="00A43D3A" w:rsidP="00097AC4" w14:paraId="0CABFA70" w14:textId="77777777">
      <w:pPr>
        <w:tabs>
          <w:tab w:val="left" w:pos="1440"/>
        </w:tabs>
        <w:ind w:firstLine="720"/>
        <w:rPr>
          <w:szCs w:val="26"/>
        </w:rPr>
      </w:pPr>
      <w:r w:rsidRPr="00A43D3A">
        <w:t xml:space="preserve">This </w:t>
      </w:r>
      <w:r w:rsidRPr="00A43D3A" w:rsidR="00CA1471">
        <w:t xml:space="preserve">is simply not the kind of record upon which we can conclude that </w:t>
      </w:r>
      <w:r w:rsidRPr="00A43D3A" w:rsidR="00A06F18">
        <w:t xml:space="preserve">there is a clear indication that </w:t>
      </w:r>
      <w:r w:rsidRPr="00A43D3A" w:rsidR="00CA1471">
        <w:t>the sentencing court would have exercise</w:t>
      </w:r>
      <w:r w:rsidRPr="00A43D3A" w:rsidR="00A06F18">
        <w:t>d</w:t>
      </w:r>
      <w:r w:rsidRPr="00A43D3A" w:rsidR="00CA1471">
        <w:t xml:space="preserve"> </w:t>
      </w:r>
      <w:r w:rsidRPr="00A43D3A" w:rsidR="000473E4">
        <w:t>its</w:t>
      </w:r>
      <w:r w:rsidRPr="00A43D3A" w:rsidR="00CA1471">
        <w:t xml:space="preserve"> discretion </w:t>
      </w:r>
      <w:r w:rsidRPr="00A43D3A" w:rsidR="000473E4">
        <w:t xml:space="preserve">under the current section 1170 </w:t>
      </w:r>
      <w:r w:rsidRPr="00A43D3A" w:rsidR="00CA1471">
        <w:t xml:space="preserve">to impose </w:t>
      </w:r>
      <w:r w:rsidRPr="00A43D3A" w:rsidR="00A06F18">
        <w:t>the same middle term as before</w:t>
      </w:r>
      <w:r w:rsidRPr="00A43D3A" w:rsidR="00CA1471">
        <w:t xml:space="preserve">.  </w:t>
      </w:r>
      <w:r w:rsidRPr="00A43D3A" w:rsidR="008770DD">
        <w:t xml:space="preserve">Here, the court emphasized </w:t>
      </w:r>
      <w:r w:rsidRPr="00A43D3A" w:rsidR="00034F1F">
        <w:t>how</w:t>
      </w:r>
      <w:r w:rsidRPr="00A43D3A" w:rsidR="008770DD">
        <w:t xml:space="preserve"> drug</w:t>
      </w:r>
      <w:r w:rsidRPr="00A43D3A" w:rsidR="00034F1F">
        <w:t xml:space="preserve"> use affected</w:t>
      </w:r>
      <w:r w:rsidRPr="00A43D3A" w:rsidR="008770DD">
        <w:t xml:space="preserve"> Salazar’s criminal history, </w:t>
      </w:r>
      <w:r w:rsidR="00DE75F9">
        <w:t>underscored</w:t>
      </w:r>
      <w:r w:rsidRPr="00A43D3A" w:rsidR="00DE75F9">
        <w:t xml:space="preserve"> </w:t>
      </w:r>
      <w:r w:rsidRPr="00A43D3A" w:rsidR="008770DD">
        <w:t>the impact</w:t>
      </w:r>
      <w:r w:rsidRPr="00A43D3A" w:rsidR="00034F1F">
        <w:t xml:space="preserve"> that </w:t>
      </w:r>
      <w:r w:rsidRPr="00A43D3A" w:rsidR="008770DD">
        <w:t>Salazar’s parents</w:t>
      </w:r>
      <w:r w:rsidRPr="00A43D3A" w:rsidR="00034F1F">
        <w:t>’</w:t>
      </w:r>
      <w:r w:rsidRPr="00A43D3A" w:rsidR="008770DD">
        <w:t xml:space="preserve"> death</w:t>
      </w:r>
      <w:r w:rsidRPr="00A43D3A" w:rsidR="00034F1F">
        <w:t>s</w:t>
      </w:r>
      <w:r w:rsidRPr="00A43D3A" w:rsidR="008770DD">
        <w:t xml:space="preserve"> </w:t>
      </w:r>
      <w:r w:rsidRPr="00A43D3A" w:rsidR="00034F1F">
        <w:t xml:space="preserve">had </w:t>
      </w:r>
      <w:r w:rsidRPr="00A43D3A" w:rsidR="008770DD">
        <w:t xml:space="preserve">on him, noted how respectful Salazar had been in court, and expressed hope that he would have an opportunity for rehabilitation and become the best version of himself.  </w:t>
      </w:r>
      <w:r w:rsidRPr="00A43D3A" w:rsidR="00CA1471">
        <w:t>On this record</w:t>
      </w:r>
      <w:r w:rsidRPr="00A43D3A" w:rsidR="00917745">
        <w:rPr>
          <w:szCs w:val="26"/>
        </w:rPr>
        <w:t xml:space="preserve">, we cannot say </w:t>
      </w:r>
      <w:r w:rsidRPr="00A43D3A" w:rsidR="008F16D2">
        <w:rPr>
          <w:szCs w:val="26"/>
        </w:rPr>
        <w:t xml:space="preserve">that simply because </w:t>
      </w:r>
      <w:r w:rsidRPr="00A43D3A" w:rsidR="00D77185">
        <w:rPr>
          <w:szCs w:val="26"/>
        </w:rPr>
        <w:t xml:space="preserve">the sentencing court made a cursory reference to the </w:t>
      </w:r>
      <w:r w:rsidRPr="00A43D3A" w:rsidR="001A4055">
        <w:rPr>
          <w:szCs w:val="26"/>
        </w:rPr>
        <w:t>extended duration of the crime</w:t>
      </w:r>
      <w:r w:rsidRPr="00A43D3A" w:rsidR="008F16D2">
        <w:rPr>
          <w:szCs w:val="26"/>
        </w:rPr>
        <w:t xml:space="preserve"> </w:t>
      </w:r>
      <w:r w:rsidRPr="00A43D3A" w:rsidR="00D77185">
        <w:rPr>
          <w:szCs w:val="26"/>
        </w:rPr>
        <w:t>and mentioned</w:t>
      </w:r>
      <w:r w:rsidRPr="00A43D3A" w:rsidR="008F16D2">
        <w:rPr>
          <w:szCs w:val="26"/>
        </w:rPr>
        <w:t xml:space="preserve"> Salazar’s long criminal history that this</w:t>
      </w:r>
      <w:r w:rsidRPr="00A43D3A" w:rsidR="00917745">
        <w:rPr>
          <w:szCs w:val="26"/>
        </w:rPr>
        <w:t xml:space="preserve"> provide</w:t>
      </w:r>
      <w:r w:rsidRPr="00A43D3A" w:rsidR="008F16D2">
        <w:rPr>
          <w:szCs w:val="26"/>
        </w:rPr>
        <w:t>s</w:t>
      </w:r>
      <w:r w:rsidRPr="00A43D3A" w:rsidR="00917745">
        <w:rPr>
          <w:szCs w:val="26"/>
        </w:rPr>
        <w:t xml:space="preserve"> a clear indication that</w:t>
      </w:r>
      <w:r w:rsidRPr="00A43D3A" w:rsidR="008F16D2">
        <w:rPr>
          <w:szCs w:val="26"/>
        </w:rPr>
        <w:t xml:space="preserve"> the court would have concluded that</w:t>
      </w:r>
      <w:r w:rsidRPr="00A43D3A" w:rsidR="00917745">
        <w:rPr>
          <w:szCs w:val="26"/>
        </w:rPr>
        <w:t xml:space="preserve"> “the aggravating circumstances outweigh the mitigating circumstances [</w:t>
      </w:r>
      <w:r w:rsidRPr="00A43D3A" w:rsidR="00765340">
        <w:rPr>
          <w:szCs w:val="26"/>
        </w:rPr>
        <w:t>so</w:t>
      </w:r>
      <w:r w:rsidRPr="00A43D3A" w:rsidR="00917745">
        <w:rPr>
          <w:szCs w:val="26"/>
        </w:rPr>
        <w:t>] that imposition of the lower term would be contrary to the interests of justice.” (§ 1170, subd. (b)(6).)</w:t>
      </w:r>
      <w:r>
        <w:rPr>
          <w:rStyle w:val="FootnoteReference"/>
          <w:b w:val="0"/>
          <w:bCs/>
          <w:szCs w:val="26"/>
        </w:rPr>
        <w:footnoteReference w:id="10"/>
      </w:r>
      <w:r w:rsidRPr="00A43D3A" w:rsidR="00917745">
        <w:rPr>
          <w:b/>
          <w:bCs/>
          <w:szCs w:val="26"/>
        </w:rPr>
        <w:t xml:space="preserve"> </w:t>
      </w:r>
      <w:r w:rsidRPr="00A43D3A" w:rsidR="00917745">
        <w:rPr>
          <w:szCs w:val="26"/>
        </w:rPr>
        <w:t xml:space="preserve"> </w:t>
      </w:r>
    </w:p>
    <w:p w:rsidR="00F97601" w:rsidRPr="00A43D3A" w:rsidP="00097AC4" w14:paraId="0CABFA71" w14:textId="77777777">
      <w:pPr>
        <w:tabs>
          <w:tab w:val="left" w:pos="1440"/>
        </w:tabs>
        <w:ind w:firstLine="720"/>
        <w:rPr>
          <w:szCs w:val="26"/>
        </w:rPr>
      </w:pPr>
      <w:r w:rsidRPr="00A43D3A">
        <w:t xml:space="preserve">The Attorney General </w:t>
      </w:r>
      <w:r w:rsidRPr="00A43D3A" w:rsidR="008F08F7">
        <w:t xml:space="preserve">next </w:t>
      </w:r>
      <w:r w:rsidRPr="00A43D3A">
        <w:t xml:space="preserve">argues that we can glean a clear indication of the sentencing court’s intent from </w:t>
      </w:r>
      <w:r w:rsidRPr="00A43D3A" w:rsidR="00676E06">
        <w:t xml:space="preserve">its </w:t>
      </w:r>
      <w:r w:rsidRPr="00A43D3A">
        <w:t>deni</w:t>
      </w:r>
      <w:r w:rsidRPr="00A43D3A" w:rsidR="00C54463">
        <w:t>al of</w:t>
      </w:r>
      <w:r w:rsidRPr="00A43D3A">
        <w:t xml:space="preserve"> Salazar’s </w:t>
      </w:r>
      <w:r w:rsidRPr="00A43D3A">
        <w:rPr>
          <w:i/>
          <w:iCs/>
        </w:rPr>
        <w:t xml:space="preserve">Romero </w:t>
      </w:r>
      <w:r w:rsidRPr="00A43D3A">
        <w:t>motion</w:t>
      </w:r>
      <w:r w:rsidRPr="00A43D3A" w:rsidR="009563E4">
        <w:t xml:space="preserve">. </w:t>
      </w:r>
      <w:r w:rsidRPr="00A43D3A">
        <w:t xml:space="preserve"> </w:t>
      </w:r>
      <w:r w:rsidRPr="00A43D3A" w:rsidR="009563E4">
        <w:t xml:space="preserve">However, </w:t>
      </w:r>
      <w:r w:rsidRPr="00A43D3A" w:rsidR="00CF0DCF">
        <w:t xml:space="preserve">a </w:t>
      </w:r>
      <w:r w:rsidRPr="00A43D3A" w:rsidR="00CF0DCF">
        <w:rPr>
          <w:i/>
          <w:iCs/>
        </w:rPr>
        <w:t>Romero</w:t>
      </w:r>
      <w:r w:rsidRPr="00A43D3A" w:rsidR="00CF0DCF">
        <w:t xml:space="preserve"> motion</w:t>
      </w:r>
      <w:r w:rsidR="00DE75F9">
        <w:t>, which is utilized by defendants facing a prison sentence under California’s Three Strikes law,</w:t>
      </w:r>
      <w:r w:rsidRPr="00A43D3A" w:rsidR="00CF0DCF">
        <w:t xml:space="preserve"> requires the sentencing court to utilize</w:t>
      </w:r>
      <w:r w:rsidRPr="00A43D3A" w:rsidR="009563E4">
        <w:t xml:space="preserve"> a different </w:t>
      </w:r>
      <w:r w:rsidRPr="00A43D3A" w:rsidR="00CF0DCF">
        <w:t xml:space="preserve">legal </w:t>
      </w:r>
      <w:r w:rsidRPr="00A43D3A" w:rsidR="009563E4">
        <w:t xml:space="preserve">standard </w:t>
      </w:r>
      <w:r w:rsidRPr="00A43D3A" w:rsidR="00985889">
        <w:t xml:space="preserve">with a different presumption than would be applied under </w:t>
      </w:r>
      <w:r w:rsidRPr="00A43D3A" w:rsidR="0093652C">
        <w:t xml:space="preserve">the </w:t>
      </w:r>
      <w:r w:rsidRPr="00A43D3A" w:rsidR="00C57311">
        <w:rPr>
          <w:szCs w:val="26"/>
        </w:rPr>
        <w:t>current section 1170</w:t>
      </w:r>
      <w:r w:rsidRPr="00A43D3A" w:rsidR="00B84A7F">
        <w:t>.</w:t>
      </w:r>
      <w:r w:rsidRPr="00A43D3A" w:rsidR="00C57311">
        <w:rPr>
          <w:szCs w:val="26"/>
        </w:rPr>
        <w:t xml:space="preserve"> </w:t>
      </w:r>
      <w:r w:rsidRPr="00A43D3A" w:rsidR="009563E4">
        <w:t xml:space="preserve"> </w:t>
      </w:r>
      <w:r w:rsidRPr="00A43D3A" w:rsidR="00215548">
        <w:t>“</w:t>
      </w:r>
      <w:r w:rsidRPr="00A43D3A" w:rsidR="00677B62">
        <w:t> </w:t>
      </w:r>
      <w:r w:rsidRPr="00A43D3A" w:rsidR="00215548">
        <w:t>‘</w:t>
      </w:r>
      <w:r w:rsidRPr="00A43D3A" w:rsidR="00677B62">
        <w:t>[T]</w:t>
      </w:r>
      <w:r w:rsidRPr="00A43D3A" w:rsidR="00215548">
        <w:t>he Three Strikes law does not offer a discretionary sentencing choice, as do other sentencing laws, but establishes a sentencing requirement to be applied in every case where the defendant has at least one qualifying strike, unless the sentencing court “</w:t>
      </w:r>
      <w:r w:rsidRPr="00A43D3A" w:rsidR="00677B62">
        <w:t>conclud</w:t>
      </w:r>
      <w:r w:rsidRPr="00A43D3A" w:rsidR="00215548">
        <w:t>[es] that an exception to the scheme should be made because, for articulable reasons which can withstand scrutiny for abuse, this defendant should be treated as though he actually fell outside the Three Strikes scheme.” ’ ”  (</w:t>
      </w:r>
      <w:r w:rsidRPr="00A43D3A" w:rsidR="00215548">
        <w:rPr>
          <w:i/>
          <w:iCs/>
        </w:rPr>
        <w:t>People v. Carmony</w:t>
      </w:r>
      <w:r w:rsidRPr="00A43D3A" w:rsidR="00215548">
        <w:t xml:space="preserve"> (2004) 33</w:t>
      </w:r>
      <w:r w:rsidRPr="00A43D3A" w:rsidR="00BF5909">
        <w:t> </w:t>
      </w:r>
      <w:r w:rsidRPr="00A43D3A" w:rsidR="00215548">
        <w:t>Cal.4</w:t>
      </w:r>
      <w:r w:rsidRPr="00A43D3A" w:rsidR="00677B62">
        <w:t>th</w:t>
      </w:r>
      <w:r w:rsidRPr="00A43D3A" w:rsidR="00215548">
        <w:t xml:space="preserve"> 367, 377.)  </w:t>
      </w:r>
      <w:r w:rsidRPr="00A43D3A" w:rsidR="008E1D0D">
        <w:t xml:space="preserve">In ruling on a </w:t>
      </w:r>
      <w:r w:rsidRPr="00A43D3A" w:rsidR="008E1D0D">
        <w:rPr>
          <w:i/>
          <w:iCs/>
        </w:rPr>
        <w:t>Romero</w:t>
      </w:r>
      <w:r w:rsidRPr="00A43D3A" w:rsidR="008E1D0D">
        <w:t xml:space="preserve"> motion, </w:t>
      </w:r>
      <w:r w:rsidRPr="00A43D3A" w:rsidR="00CF6BF0">
        <w:t xml:space="preserve">the court must consider whether </w:t>
      </w:r>
      <w:r w:rsidRPr="00A43D3A" w:rsidR="008E1D0D">
        <w:t>“the defendant may be deemed outside the scheme’s spirit, in whole or in part, and hence should be treated as though he had not previously been convicted of one or more serious and/or violent felonies.”  (</w:t>
      </w:r>
      <w:r w:rsidRPr="00A43D3A" w:rsidR="008E1D0D">
        <w:rPr>
          <w:i/>
          <w:iCs/>
        </w:rPr>
        <w:t>Williams</w:t>
      </w:r>
      <w:r w:rsidRPr="0016368E" w:rsidR="00347A14">
        <w:t>,</w:t>
      </w:r>
      <w:r w:rsidRPr="00A43D3A" w:rsidR="00347A14">
        <w:rPr>
          <w:i/>
          <w:iCs/>
        </w:rPr>
        <w:t xml:space="preserve"> supra</w:t>
      </w:r>
      <w:r w:rsidRPr="0016368E" w:rsidR="00347A14">
        <w:t>,</w:t>
      </w:r>
      <w:r w:rsidRPr="00A43D3A" w:rsidR="00347A14">
        <w:rPr>
          <w:i/>
          <w:iCs/>
        </w:rPr>
        <w:t xml:space="preserve"> </w:t>
      </w:r>
      <w:r w:rsidRPr="00A43D3A" w:rsidR="008E1D0D">
        <w:t>17</w:t>
      </w:r>
      <w:r w:rsidRPr="00A43D3A" w:rsidR="00347A14">
        <w:t> </w:t>
      </w:r>
      <w:r w:rsidRPr="00A43D3A" w:rsidR="008E1D0D">
        <w:t xml:space="preserve">Cal.4th </w:t>
      </w:r>
      <w:r w:rsidRPr="00A43D3A" w:rsidR="00347A14">
        <w:t>at p. </w:t>
      </w:r>
      <w:r w:rsidRPr="00A43D3A" w:rsidR="008E1D0D">
        <w:t xml:space="preserve">161.)  </w:t>
      </w:r>
      <w:r w:rsidRPr="00A43D3A" w:rsidR="00677B62">
        <w:t xml:space="preserve">Thus, the </w:t>
      </w:r>
      <w:r w:rsidRPr="00A43D3A" w:rsidR="008E1D0D">
        <w:t xml:space="preserve">Three Strikes </w:t>
      </w:r>
      <w:r w:rsidRPr="00A43D3A" w:rsidR="00677B62">
        <w:t>law establishes a</w:t>
      </w:r>
      <w:r w:rsidRPr="00A43D3A" w:rsidR="00063C02">
        <w:t xml:space="preserve"> “strong presumption”</w:t>
      </w:r>
      <w:r w:rsidRPr="00A43D3A" w:rsidR="00463566">
        <w:t xml:space="preserve"> </w:t>
      </w:r>
      <w:r w:rsidRPr="00A43D3A" w:rsidR="00395FA4">
        <w:t>in favor</w:t>
      </w:r>
      <w:r w:rsidRPr="00A43D3A" w:rsidR="007F4B06">
        <w:t xml:space="preserve"> </w:t>
      </w:r>
      <w:r w:rsidRPr="00A43D3A" w:rsidR="00923BA3">
        <w:t>of a</w:t>
      </w:r>
      <w:r w:rsidRPr="00A43D3A" w:rsidR="007F4B06">
        <w:t xml:space="preserve"> harsher sentence and </w:t>
      </w:r>
      <w:r w:rsidRPr="00A43D3A" w:rsidR="00677B62">
        <w:t>requires</w:t>
      </w:r>
      <w:r w:rsidRPr="00A43D3A" w:rsidR="00063C02">
        <w:t xml:space="preserve"> the court to explicitly </w:t>
      </w:r>
      <w:r w:rsidRPr="00A43D3A" w:rsidR="007B34CE">
        <w:t>articulate its reasoning</w:t>
      </w:r>
      <w:r w:rsidRPr="00A43D3A" w:rsidR="00063C02">
        <w:t xml:space="preserve"> if it is to depart from </w:t>
      </w:r>
      <w:r w:rsidRPr="00A43D3A" w:rsidR="00395FA4">
        <w:t xml:space="preserve">a harsher sentence </w:t>
      </w:r>
      <w:r w:rsidRPr="00A43D3A" w:rsidR="00063C02">
        <w:t xml:space="preserve">by granting the </w:t>
      </w:r>
      <w:r w:rsidRPr="00A43D3A" w:rsidR="00063C02">
        <w:rPr>
          <w:i/>
          <w:iCs/>
        </w:rPr>
        <w:t>Romero</w:t>
      </w:r>
      <w:r w:rsidRPr="00A43D3A" w:rsidR="00063C02">
        <w:t xml:space="preserve"> motion.</w:t>
      </w:r>
      <w:r w:rsidRPr="00A43D3A" w:rsidR="00677B62">
        <w:t xml:space="preserve">  </w:t>
      </w:r>
      <w:r w:rsidRPr="00A43D3A" w:rsidR="00063C02">
        <w:t>(</w:t>
      </w:r>
      <w:r w:rsidR="00742D84">
        <w:rPr>
          <w:i/>
          <w:iCs/>
        </w:rPr>
        <w:t>Carmony</w:t>
      </w:r>
      <w:r w:rsidR="00742D84">
        <w:t>,</w:t>
      </w:r>
      <w:r w:rsidRPr="00A43D3A" w:rsidR="00215548">
        <w:t xml:space="preserve"> at p.</w:t>
      </w:r>
      <w:r w:rsidRPr="00A43D3A" w:rsidR="00AC2B8E">
        <w:t> </w:t>
      </w:r>
      <w:r w:rsidRPr="00A43D3A" w:rsidR="00215548">
        <w:t>378.)</w:t>
      </w:r>
      <w:r w:rsidRPr="00A43D3A" w:rsidR="001F5591">
        <w:t xml:space="preserve">  In </w:t>
      </w:r>
      <w:r w:rsidRPr="00A43D3A">
        <w:t xml:space="preserve">contrast, </w:t>
      </w:r>
      <w:r w:rsidRPr="00A43D3A" w:rsidR="001F5591">
        <w:t xml:space="preserve">the </w:t>
      </w:r>
      <w:r w:rsidRPr="00A43D3A" w:rsidR="001F5591">
        <w:rPr>
          <w:szCs w:val="26"/>
        </w:rPr>
        <w:t>current section 1170</w:t>
      </w:r>
      <w:r w:rsidRPr="00A43D3A" w:rsidR="007F4B06">
        <w:rPr>
          <w:szCs w:val="26"/>
        </w:rPr>
        <w:t xml:space="preserve"> does just the opposite: </w:t>
      </w:r>
      <w:r w:rsidRPr="00A43D3A" w:rsidR="00034F1F">
        <w:rPr>
          <w:szCs w:val="26"/>
        </w:rPr>
        <w:t>I</w:t>
      </w:r>
      <w:r w:rsidRPr="00A43D3A" w:rsidR="006454A5">
        <w:rPr>
          <w:szCs w:val="26"/>
        </w:rPr>
        <w:t xml:space="preserve">n cases where the defendant can establish certain qualifying attributes, such as </w:t>
      </w:r>
      <w:r w:rsidRPr="00A43D3A" w:rsidR="006454A5">
        <w:t>psychological, physical, or childhood trauma</w:t>
      </w:r>
      <w:r w:rsidRPr="00A43D3A" w:rsidR="00395FA4">
        <w:t xml:space="preserve"> that contributed to the offense</w:t>
      </w:r>
      <w:r w:rsidRPr="00A43D3A" w:rsidR="006454A5">
        <w:t>,</w:t>
      </w:r>
      <w:r w:rsidRPr="00A43D3A" w:rsidR="006454A5">
        <w:rPr>
          <w:szCs w:val="26"/>
        </w:rPr>
        <w:t xml:space="preserve"> the statute now </w:t>
      </w:r>
      <w:r w:rsidRPr="00A43D3A" w:rsidR="001F5591">
        <w:rPr>
          <w:szCs w:val="26"/>
        </w:rPr>
        <w:t xml:space="preserve">creates </w:t>
      </w:r>
      <w:r w:rsidRPr="00A43D3A" w:rsidR="00F518E4">
        <w:rPr>
          <w:szCs w:val="26"/>
        </w:rPr>
        <w:t xml:space="preserve">a </w:t>
      </w:r>
      <w:r w:rsidRPr="00A43D3A" w:rsidR="00A20544">
        <w:rPr>
          <w:szCs w:val="26"/>
        </w:rPr>
        <w:t xml:space="preserve">presumption </w:t>
      </w:r>
      <w:r w:rsidRPr="00A43D3A" w:rsidR="00F518E4">
        <w:rPr>
          <w:szCs w:val="26"/>
        </w:rPr>
        <w:t>in favor of</w:t>
      </w:r>
      <w:r w:rsidRPr="00A43D3A" w:rsidR="00A20544">
        <w:rPr>
          <w:szCs w:val="26"/>
        </w:rPr>
        <w:t xml:space="preserve"> a more </w:t>
      </w:r>
      <w:r w:rsidRPr="00A43D3A" w:rsidR="00463566">
        <w:rPr>
          <w:szCs w:val="26"/>
        </w:rPr>
        <w:t>lenient, lower</w:t>
      </w:r>
      <w:r w:rsidRPr="00A43D3A" w:rsidR="00A368C7">
        <w:rPr>
          <w:szCs w:val="26"/>
        </w:rPr>
        <w:t xml:space="preserve"> </w:t>
      </w:r>
      <w:r w:rsidRPr="00A43D3A" w:rsidR="00A20544">
        <w:rPr>
          <w:szCs w:val="26"/>
        </w:rPr>
        <w:t>term sentence</w:t>
      </w:r>
      <w:r w:rsidRPr="00A43D3A" w:rsidR="0015594D">
        <w:rPr>
          <w:szCs w:val="26"/>
        </w:rPr>
        <w:t>.  This lower</w:t>
      </w:r>
      <w:r w:rsidRPr="00A43D3A" w:rsidR="00A368C7">
        <w:rPr>
          <w:szCs w:val="26"/>
        </w:rPr>
        <w:t xml:space="preserve"> </w:t>
      </w:r>
      <w:r w:rsidRPr="00A43D3A" w:rsidR="0015594D">
        <w:rPr>
          <w:szCs w:val="26"/>
        </w:rPr>
        <w:t xml:space="preserve">term presumption under section </w:t>
      </w:r>
      <w:r w:rsidRPr="00A43D3A" w:rsidR="00463566">
        <w:rPr>
          <w:szCs w:val="26"/>
        </w:rPr>
        <w:t>1170</w:t>
      </w:r>
      <w:r w:rsidRPr="00A43D3A" w:rsidR="00AB5271">
        <w:rPr>
          <w:szCs w:val="26"/>
        </w:rPr>
        <w:t xml:space="preserve"> </w:t>
      </w:r>
      <w:r w:rsidRPr="00A43D3A" w:rsidR="0015594D">
        <w:rPr>
          <w:szCs w:val="26"/>
        </w:rPr>
        <w:t>can then only be departed from if</w:t>
      </w:r>
      <w:r w:rsidRPr="00A43D3A" w:rsidR="00A20544">
        <w:rPr>
          <w:szCs w:val="26"/>
        </w:rPr>
        <w:t xml:space="preserve"> </w:t>
      </w:r>
      <w:r w:rsidRPr="00A43D3A" w:rsidR="001F5591">
        <w:rPr>
          <w:szCs w:val="26"/>
        </w:rPr>
        <w:t>“the aggravating circumstances outweigh the mitigating circumstances [so] that imposition of the lower term would be contrary to the interests of justice.”</w:t>
      </w:r>
      <w:r w:rsidRPr="00A43D3A" w:rsidR="0015594D">
        <w:rPr>
          <w:szCs w:val="26"/>
        </w:rPr>
        <w:t xml:space="preserve"> </w:t>
      </w:r>
      <w:r w:rsidRPr="00A43D3A" w:rsidR="001F5591">
        <w:rPr>
          <w:szCs w:val="26"/>
        </w:rPr>
        <w:t xml:space="preserve"> (§ 1170, subd. (b)(6).)  </w:t>
      </w:r>
      <w:r w:rsidRPr="00A43D3A" w:rsidR="00A607CF">
        <w:rPr>
          <w:szCs w:val="26"/>
        </w:rPr>
        <w:t xml:space="preserve">As explained in </w:t>
      </w:r>
      <w:r w:rsidRPr="00A43D3A" w:rsidR="00A607CF">
        <w:rPr>
          <w:i/>
          <w:iCs/>
          <w:szCs w:val="26"/>
        </w:rPr>
        <w:t>People v. Bell</w:t>
      </w:r>
      <w:r w:rsidRPr="00A43D3A" w:rsidR="00A607CF">
        <w:rPr>
          <w:szCs w:val="26"/>
        </w:rPr>
        <w:t xml:space="preserve"> (2020) 47</w:t>
      </w:r>
      <w:r w:rsidRPr="00A43D3A" w:rsidR="00347A14">
        <w:rPr>
          <w:szCs w:val="26"/>
        </w:rPr>
        <w:t> </w:t>
      </w:r>
      <w:r w:rsidRPr="00A43D3A" w:rsidR="00A607CF">
        <w:rPr>
          <w:szCs w:val="26"/>
        </w:rPr>
        <w:t xml:space="preserve">Cal.App.5th 153, “[a]s for the court’s statement about [the defendant’s] </w:t>
      </w:r>
      <w:r w:rsidRPr="00A43D3A" w:rsidR="00A607CF">
        <w:rPr>
          <w:i/>
          <w:iCs/>
          <w:szCs w:val="26"/>
        </w:rPr>
        <w:t xml:space="preserve">Romero </w:t>
      </w:r>
      <w:r w:rsidRPr="00A43D3A" w:rsidR="00A607CF">
        <w:rPr>
          <w:szCs w:val="26"/>
        </w:rPr>
        <w:t xml:space="preserve">motion, it is only a ‘clear indication’ of its views on </w:t>
      </w:r>
      <w:r w:rsidRPr="00A43D3A" w:rsidR="00A607CF">
        <w:rPr>
          <w:i/>
          <w:iCs/>
          <w:szCs w:val="26"/>
        </w:rPr>
        <w:t>that particular</w:t>
      </w:r>
      <w:r w:rsidRPr="00A43D3A" w:rsidR="00A607CF">
        <w:rPr>
          <w:szCs w:val="26"/>
        </w:rPr>
        <w:t xml:space="preserve"> sentencing decision.  We cannot speculate from the court’s statements and decision as to one sentencing issue to divine what the court would have done if it had broadened discretion on another sentencing issue.”  (</w:t>
      </w:r>
      <w:r w:rsidRPr="00A43D3A" w:rsidR="00A607CF">
        <w:rPr>
          <w:i/>
          <w:iCs/>
          <w:szCs w:val="26"/>
        </w:rPr>
        <w:t>Id</w:t>
      </w:r>
      <w:r w:rsidRPr="00A43D3A" w:rsidR="00A607CF">
        <w:rPr>
          <w:szCs w:val="26"/>
        </w:rPr>
        <w:t>. at p.</w:t>
      </w:r>
      <w:r w:rsidRPr="00A43D3A" w:rsidR="00CB447D">
        <w:rPr>
          <w:szCs w:val="26"/>
        </w:rPr>
        <w:t> </w:t>
      </w:r>
      <w:r w:rsidRPr="00A43D3A" w:rsidR="00A607CF">
        <w:rPr>
          <w:szCs w:val="26"/>
        </w:rPr>
        <w:t xml:space="preserve">200.)  </w:t>
      </w:r>
      <w:r w:rsidRPr="00A43D3A" w:rsidR="00E026F3">
        <w:t>Accordingly</w:t>
      </w:r>
      <w:r w:rsidRPr="00A43D3A" w:rsidR="00C71750">
        <w:t>,</w:t>
      </w:r>
      <w:r w:rsidRPr="00A43D3A" w:rsidR="009E1404">
        <w:t xml:space="preserve"> </w:t>
      </w:r>
      <w:r w:rsidRPr="00A43D3A" w:rsidR="00CF0DCF">
        <w:t xml:space="preserve">the fact that the sentencing court denied Salazar’s </w:t>
      </w:r>
      <w:r w:rsidRPr="00A43D3A" w:rsidR="00CF0DCF">
        <w:rPr>
          <w:i/>
          <w:iCs/>
        </w:rPr>
        <w:t>Romero</w:t>
      </w:r>
      <w:r w:rsidRPr="00A43D3A" w:rsidR="00CF0DCF">
        <w:t xml:space="preserve"> motion </w:t>
      </w:r>
      <w:r w:rsidRPr="00A43D3A" w:rsidR="004D2545">
        <w:t xml:space="preserve">tells us little about </w:t>
      </w:r>
      <w:r w:rsidRPr="00A43D3A" w:rsidR="00CF0DCF">
        <w:t xml:space="preserve">what it would have done if given the opportunity to </w:t>
      </w:r>
      <w:r w:rsidRPr="00A43D3A" w:rsidR="006454A5">
        <w:t xml:space="preserve">exercise its discretion </w:t>
      </w:r>
      <w:r w:rsidRPr="00A43D3A" w:rsidR="008E1D0D">
        <w:t xml:space="preserve">on another sentencing issue </w:t>
      </w:r>
      <w:r w:rsidRPr="00A43D3A" w:rsidR="006454A5">
        <w:t xml:space="preserve">under </w:t>
      </w:r>
      <w:r w:rsidRPr="00A43D3A" w:rsidR="00AB5271">
        <w:t>the current</w:t>
      </w:r>
      <w:r w:rsidRPr="00A43D3A" w:rsidR="006454A5">
        <w:t xml:space="preserve"> </w:t>
      </w:r>
      <w:r w:rsidRPr="00A43D3A" w:rsidR="009E1404">
        <w:rPr>
          <w:szCs w:val="26"/>
        </w:rPr>
        <w:t>section 11</w:t>
      </w:r>
      <w:r w:rsidRPr="00A43D3A" w:rsidR="00463566">
        <w:rPr>
          <w:szCs w:val="26"/>
        </w:rPr>
        <w:t>7</w:t>
      </w:r>
      <w:r w:rsidRPr="00A43D3A" w:rsidR="009E1404">
        <w:rPr>
          <w:szCs w:val="26"/>
        </w:rPr>
        <w:t>0</w:t>
      </w:r>
      <w:r w:rsidRPr="00A43D3A" w:rsidR="00D77185">
        <w:rPr>
          <w:szCs w:val="26"/>
        </w:rPr>
        <w:t>.</w:t>
      </w:r>
      <w:r w:rsidRPr="00A43D3A" w:rsidR="008E1D0D">
        <w:t xml:space="preserve">  </w:t>
      </w:r>
    </w:p>
    <w:p w:rsidR="008565BC" w:rsidRPr="00A43D3A" w:rsidP="00097AC4" w14:paraId="0CABFA72" w14:textId="77777777">
      <w:pPr>
        <w:tabs>
          <w:tab w:val="left" w:pos="1440"/>
        </w:tabs>
        <w:ind w:firstLine="720"/>
        <w:rPr>
          <w:color w:val="000000"/>
          <w:szCs w:val="26"/>
        </w:rPr>
      </w:pPr>
      <w:r w:rsidRPr="00A43D3A">
        <w:t xml:space="preserve">The Attorney General </w:t>
      </w:r>
      <w:r w:rsidRPr="00A43D3A" w:rsidR="00FA2507">
        <w:t xml:space="preserve">also </w:t>
      </w:r>
      <w:r w:rsidRPr="00A43D3A">
        <w:t xml:space="preserve">argues that </w:t>
      </w:r>
      <w:r w:rsidRPr="00A43D3A" w:rsidR="00675CD9">
        <w:t xml:space="preserve">the </w:t>
      </w:r>
      <w:r w:rsidR="00DE75F9">
        <w:t xml:space="preserve">sentencing </w:t>
      </w:r>
      <w:r w:rsidRPr="00A43D3A" w:rsidR="00675CD9">
        <w:t>court’s</w:t>
      </w:r>
      <w:r w:rsidRPr="00A43D3A">
        <w:t xml:space="preserve"> rejection of Salazar’s request to impose concurrent sentences</w:t>
      </w:r>
      <w:r w:rsidRPr="00A43D3A" w:rsidR="009A2BE9">
        <w:t xml:space="preserve"> </w:t>
      </w:r>
      <w:r w:rsidRPr="00A43D3A" w:rsidR="009A2BE9">
        <w:rPr>
          <w:szCs w:val="26"/>
        </w:rPr>
        <w:t>on the false imprisonment and inflicting corporal injury charges</w:t>
      </w:r>
      <w:r w:rsidR="00DE75F9">
        <w:rPr>
          <w:szCs w:val="26"/>
        </w:rPr>
        <w:t xml:space="preserve"> </w:t>
      </w:r>
      <w:r w:rsidR="00746A0A">
        <w:rPr>
          <w:szCs w:val="26"/>
        </w:rPr>
        <w:t xml:space="preserve">and the court’s corresponding statement </w:t>
      </w:r>
      <w:r w:rsidR="00DE75F9">
        <w:rPr>
          <w:szCs w:val="26"/>
        </w:rPr>
        <w:t xml:space="preserve">provide a clear indication that </w:t>
      </w:r>
      <w:r w:rsidR="00746A0A">
        <w:rPr>
          <w:szCs w:val="26"/>
        </w:rPr>
        <w:t xml:space="preserve">it </w:t>
      </w:r>
      <w:r w:rsidR="00DE75F9">
        <w:rPr>
          <w:szCs w:val="26"/>
        </w:rPr>
        <w:t xml:space="preserve">would have imposed the middle term even if it had been </w:t>
      </w:r>
      <w:r w:rsidR="00E92E44">
        <w:rPr>
          <w:szCs w:val="26"/>
        </w:rPr>
        <w:t xml:space="preserve">aware </w:t>
      </w:r>
      <w:r w:rsidR="00DE75F9">
        <w:rPr>
          <w:szCs w:val="26"/>
        </w:rPr>
        <w:t>of its discretion under the current section 1170.</w:t>
      </w:r>
      <w:r w:rsidRPr="00A43D3A">
        <w:t xml:space="preserve">  </w:t>
      </w:r>
      <w:r w:rsidRPr="00A43D3A" w:rsidR="00904D60">
        <w:t>However,</w:t>
      </w:r>
      <w:r w:rsidRPr="00A43D3A" w:rsidR="006D5D20">
        <w:t xml:space="preserve"> a review of the record again shows that the sentencing court was </w:t>
      </w:r>
      <w:r w:rsidR="00683AF0">
        <w:t>focused on</w:t>
      </w:r>
      <w:r w:rsidRPr="00A43D3A" w:rsidR="00683AF0">
        <w:t xml:space="preserve"> </w:t>
      </w:r>
      <w:r w:rsidRPr="00A43D3A" w:rsidR="006D5D20">
        <w:t>a very different inquir</w:t>
      </w:r>
      <w:r w:rsidRPr="00A43D3A" w:rsidR="00923BA3">
        <w:t>y</w:t>
      </w:r>
      <w:r w:rsidRPr="00A43D3A" w:rsidR="006D5D20">
        <w:t xml:space="preserve"> </w:t>
      </w:r>
      <w:r w:rsidRPr="00A43D3A" w:rsidR="00923BA3">
        <w:t>here</w:t>
      </w:r>
      <w:r w:rsidRPr="00A43D3A" w:rsidR="006D5D20">
        <w:t xml:space="preserve">. </w:t>
      </w:r>
      <w:r w:rsidRPr="00A43D3A" w:rsidR="00904D60">
        <w:t xml:space="preserve"> </w:t>
      </w:r>
      <w:r w:rsidRPr="00A43D3A" w:rsidR="00904D60">
        <w:rPr>
          <w:szCs w:val="26"/>
        </w:rPr>
        <w:t>The sentencing court’s statement that it was impos</w:t>
      </w:r>
      <w:r w:rsidRPr="00A43D3A" w:rsidR="00820369">
        <w:rPr>
          <w:szCs w:val="26"/>
        </w:rPr>
        <w:t>ing</w:t>
      </w:r>
      <w:r w:rsidRPr="00A43D3A" w:rsidR="00904D60">
        <w:rPr>
          <w:szCs w:val="26"/>
        </w:rPr>
        <w:t xml:space="preserve"> consecutive sentences “[b]ased on everything</w:t>
      </w:r>
      <w:r w:rsidRPr="00A43D3A" w:rsidR="00820369">
        <w:rPr>
          <w:szCs w:val="26"/>
        </w:rPr>
        <w:t xml:space="preserve"> that I’ve said” appears </w:t>
      </w:r>
      <w:r w:rsidR="00683AF0">
        <w:rPr>
          <w:szCs w:val="26"/>
        </w:rPr>
        <w:t xml:space="preserve">to refer to its denial of </w:t>
      </w:r>
      <w:r w:rsidRPr="00A43D3A" w:rsidR="006D5D20">
        <w:t>Salazar’s request to stay sentencing on the false imprisonment conviction because “</w:t>
      </w:r>
      <w:r w:rsidRPr="00A43D3A" w:rsidR="006D5D20">
        <w:rPr>
          <w:szCs w:val="26"/>
        </w:rPr>
        <w:t>there were breaks”</w:t>
      </w:r>
      <w:r w:rsidR="00683AF0">
        <w:rPr>
          <w:szCs w:val="26"/>
        </w:rPr>
        <w:t xml:space="preserve"> between offenses, rather than “an ongoing singular continuous course of conduct.”</w:t>
      </w:r>
      <w:r w:rsidRPr="00A43D3A" w:rsidR="006D5D20">
        <w:rPr>
          <w:szCs w:val="26"/>
        </w:rPr>
        <w:t xml:space="preserve">   </w:t>
      </w:r>
      <w:r w:rsidR="00683AF0">
        <w:rPr>
          <w:color w:val="000000"/>
          <w:szCs w:val="26"/>
        </w:rPr>
        <w:t>I</w:t>
      </w:r>
      <w:r w:rsidRPr="00A43D3A" w:rsidR="009A2BE9">
        <w:rPr>
          <w:color w:val="000000"/>
          <w:szCs w:val="26"/>
        </w:rPr>
        <w:t xml:space="preserve">n deciding whether to impose consecutive sentences, the sentencing court </w:t>
      </w:r>
      <w:r w:rsidRPr="00A43D3A" w:rsidR="00BA17AB">
        <w:rPr>
          <w:color w:val="000000"/>
          <w:szCs w:val="26"/>
        </w:rPr>
        <w:t>here</w:t>
      </w:r>
      <w:r w:rsidR="00E81E60">
        <w:rPr>
          <w:color w:val="000000"/>
          <w:szCs w:val="26"/>
        </w:rPr>
        <w:t xml:space="preserve">, consistent with </w:t>
      </w:r>
      <w:r w:rsidRPr="00A43D3A" w:rsidR="009A2BE9">
        <w:rPr>
          <w:color w:val="000000"/>
          <w:szCs w:val="26"/>
        </w:rPr>
        <w:t>well-settled law</w:t>
      </w:r>
      <w:r w:rsidR="00E81E60">
        <w:rPr>
          <w:color w:val="000000"/>
          <w:szCs w:val="26"/>
        </w:rPr>
        <w:t>,</w:t>
      </w:r>
      <w:r w:rsidRPr="00A43D3A" w:rsidR="009A2BE9">
        <w:rPr>
          <w:color w:val="000000"/>
          <w:szCs w:val="26"/>
        </w:rPr>
        <w:t xml:space="preserve"> </w:t>
      </w:r>
      <w:r w:rsidR="00E81E60">
        <w:rPr>
          <w:color w:val="000000"/>
          <w:szCs w:val="26"/>
        </w:rPr>
        <w:t>was considering</w:t>
      </w:r>
      <w:r w:rsidRPr="00A43D3A" w:rsidR="00653D2C">
        <w:rPr>
          <w:color w:val="000000"/>
          <w:szCs w:val="26"/>
        </w:rPr>
        <w:t xml:space="preserve"> </w:t>
      </w:r>
      <w:r w:rsidRPr="00A43D3A" w:rsidR="00776B6F">
        <w:rPr>
          <w:color w:val="000000"/>
          <w:szCs w:val="26"/>
        </w:rPr>
        <w:t>w</w:t>
      </w:r>
      <w:r w:rsidRPr="00A43D3A" w:rsidR="00653D2C">
        <w:rPr>
          <w:color w:val="000000"/>
          <w:szCs w:val="26"/>
        </w:rPr>
        <w:t>hether the “crimes were committed at different times or separate places, rather than being committed so closely in time and place as to indicate a single period of aberrant behavior.”</w:t>
      </w:r>
      <w:r w:rsidRPr="00A43D3A" w:rsidR="001F1BF2">
        <w:rPr>
          <w:color w:val="000000"/>
          <w:szCs w:val="26"/>
        </w:rPr>
        <w:t xml:space="preserve">  </w:t>
      </w:r>
      <w:r w:rsidRPr="00A43D3A" w:rsidR="00653D2C">
        <w:rPr>
          <w:color w:val="000000"/>
          <w:szCs w:val="26"/>
        </w:rPr>
        <w:t xml:space="preserve">(Cal. Rules of Court, rule 4.425(a)(3).)  </w:t>
      </w:r>
      <w:r w:rsidRPr="00A43D3A" w:rsidR="009D5CBE">
        <w:rPr>
          <w:color w:val="000000"/>
          <w:szCs w:val="26"/>
        </w:rPr>
        <w:t>The court’s decision to impose consecutive sentences based upon its determination that the conduct at issue was not continuous is a wholly distinct inquir</w:t>
      </w:r>
      <w:r w:rsidRPr="00A43D3A" w:rsidR="005E3632">
        <w:rPr>
          <w:color w:val="000000"/>
          <w:szCs w:val="26"/>
        </w:rPr>
        <w:t>y</w:t>
      </w:r>
      <w:r w:rsidRPr="00A43D3A" w:rsidR="009D5CBE">
        <w:rPr>
          <w:color w:val="000000"/>
          <w:szCs w:val="26"/>
        </w:rPr>
        <w:t xml:space="preserve"> from whether </w:t>
      </w:r>
      <w:r w:rsidRPr="00A43D3A" w:rsidR="00BB0A7C">
        <w:rPr>
          <w:szCs w:val="26"/>
        </w:rPr>
        <w:t>a</w:t>
      </w:r>
      <w:r w:rsidRPr="00A43D3A" w:rsidR="005E3632">
        <w:rPr>
          <w:szCs w:val="26"/>
        </w:rPr>
        <w:t xml:space="preserve"> lower term would be contrary to </w:t>
      </w:r>
      <w:r w:rsidRPr="00A43D3A" w:rsidR="00BB0A7C">
        <w:rPr>
          <w:szCs w:val="26"/>
        </w:rPr>
        <w:t>“</w:t>
      </w:r>
      <w:r w:rsidRPr="00A43D3A" w:rsidR="005E3632">
        <w:rPr>
          <w:szCs w:val="26"/>
        </w:rPr>
        <w:t xml:space="preserve">the interests of justice.”  (§ 1170, subd. (b)(6).)  </w:t>
      </w:r>
    </w:p>
    <w:p w:rsidR="009B7BF3" w:rsidRPr="00A43D3A" w:rsidP="00097AC4" w14:paraId="0CABFA73" w14:textId="77777777">
      <w:pPr>
        <w:tabs>
          <w:tab w:val="left" w:pos="1440"/>
        </w:tabs>
        <w:ind w:firstLine="720"/>
        <w:rPr>
          <w:szCs w:val="26"/>
        </w:rPr>
      </w:pPr>
      <w:r w:rsidRPr="00A43D3A">
        <w:rPr>
          <w:color w:val="000000"/>
          <w:szCs w:val="26"/>
        </w:rPr>
        <w:t xml:space="preserve"> </w:t>
      </w:r>
      <w:r w:rsidRPr="00A43D3A" w:rsidR="00623D42">
        <w:t xml:space="preserve">The Attorney General </w:t>
      </w:r>
      <w:r w:rsidRPr="00A43D3A" w:rsidR="008565BC">
        <w:t xml:space="preserve">responds by noting </w:t>
      </w:r>
      <w:r w:rsidRPr="00A43D3A" w:rsidR="00623D42">
        <w:t>t</w:t>
      </w:r>
      <w:r w:rsidRPr="00A43D3A" w:rsidR="008565BC">
        <w:t>hat</w:t>
      </w:r>
      <w:r w:rsidRPr="00A43D3A" w:rsidR="00623D42">
        <w:t xml:space="preserve"> </w:t>
      </w:r>
      <w:r w:rsidRPr="00A43D3A" w:rsidR="00821D4A">
        <w:rPr>
          <w:color w:val="000000"/>
          <w:szCs w:val="26"/>
        </w:rPr>
        <w:t xml:space="preserve">because the sentencing court may </w:t>
      </w:r>
      <w:r w:rsidRPr="00A43D3A" w:rsidR="0002404F">
        <w:rPr>
          <w:color w:val="000000"/>
          <w:szCs w:val="26"/>
        </w:rPr>
        <w:t xml:space="preserve">also </w:t>
      </w:r>
      <w:r w:rsidRPr="00A43D3A" w:rsidR="00821D4A">
        <w:rPr>
          <w:color w:val="000000"/>
          <w:szCs w:val="26"/>
        </w:rPr>
        <w:t xml:space="preserve">consider aggravating </w:t>
      </w:r>
      <w:r w:rsidRPr="00A43D3A" w:rsidR="0002404F">
        <w:rPr>
          <w:color w:val="000000"/>
          <w:szCs w:val="26"/>
        </w:rPr>
        <w:t>circumstances</w:t>
      </w:r>
      <w:r w:rsidRPr="00A43D3A" w:rsidR="00821D4A">
        <w:rPr>
          <w:color w:val="000000"/>
          <w:szCs w:val="26"/>
        </w:rPr>
        <w:t xml:space="preserve"> as part of its</w:t>
      </w:r>
      <w:r w:rsidRPr="00A43D3A" w:rsidR="003208D4">
        <w:rPr>
          <w:color w:val="000000"/>
          <w:szCs w:val="26"/>
        </w:rPr>
        <w:t xml:space="preserve"> decision to impose </w:t>
      </w:r>
      <w:r w:rsidRPr="00A43D3A" w:rsidR="0002404F">
        <w:rPr>
          <w:color w:val="000000"/>
          <w:szCs w:val="26"/>
        </w:rPr>
        <w:t>consecutive</w:t>
      </w:r>
      <w:r w:rsidRPr="00A43D3A" w:rsidR="003208D4">
        <w:rPr>
          <w:color w:val="000000"/>
          <w:szCs w:val="26"/>
        </w:rPr>
        <w:t xml:space="preserve"> sentences</w:t>
      </w:r>
      <w:r w:rsidRPr="00A43D3A" w:rsidR="00821D4A">
        <w:rPr>
          <w:color w:val="000000"/>
          <w:szCs w:val="26"/>
        </w:rPr>
        <w:t xml:space="preserve">, this </w:t>
      </w:r>
      <w:r w:rsidRPr="00A43D3A" w:rsidR="003208D4">
        <w:rPr>
          <w:color w:val="000000"/>
          <w:szCs w:val="26"/>
        </w:rPr>
        <w:t>“</w:t>
      </w:r>
      <w:r w:rsidRPr="00A43D3A" w:rsidR="00CF56BF">
        <w:rPr>
          <w:color w:val="000000"/>
          <w:szCs w:val="26"/>
        </w:rPr>
        <w:t> ‘</w:t>
      </w:r>
      <w:r w:rsidRPr="00A43D3A" w:rsidR="003208D4">
        <w:rPr>
          <w:color w:val="000000"/>
          <w:szCs w:val="26"/>
        </w:rPr>
        <w:t>clearly indicate</w:t>
      </w:r>
      <w:r w:rsidRPr="00A43D3A" w:rsidR="0084289D">
        <w:rPr>
          <w:color w:val="000000"/>
          <w:szCs w:val="26"/>
        </w:rPr>
        <w:t>[</w:t>
      </w:r>
      <w:r w:rsidRPr="00A43D3A" w:rsidR="003208D4">
        <w:rPr>
          <w:color w:val="000000"/>
          <w:szCs w:val="26"/>
        </w:rPr>
        <w:t>s</w:t>
      </w:r>
      <w:r w:rsidRPr="00A43D3A" w:rsidR="0084289D">
        <w:rPr>
          <w:color w:val="000000"/>
          <w:szCs w:val="26"/>
        </w:rPr>
        <w:t>]</w:t>
      </w:r>
      <w:r w:rsidRPr="00A43D3A" w:rsidR="00CF56BF">
        <w:rPr>
          <w:color w:val="000000"/>
          <w:szCs w:val="26"/>
        </w:rPr>
        <w:t>’ </w:t>
      </w:r>
      <w:r w:rsidRPr="00A43D3A" w:rsidR="003208D4">
        <w:rPr>
          <w:color w:val="000000"/>
          <w:szCs w:val="26"/>
        </w:rPr>
        <w:t xml:space="preserve">” that it would not have imposed the lower term under the current section 1170. </w:t>
      </w:r>
      <w:r w:rsidRPr="00A43D3A" w:rsidR="00092CF3">
        <w:rPr>
          <w:color w:val="000000"/>
          <w:szCs w:val="26"/>
        </w:rPr>
        <w:t xml:space="preserve"> </w:t>
      </w:r>
      <w:r w:rsidRPr="00A43D3A" w:rsidR="0002404F">
        <w:rPr>
          <w:color w:val="000000"/>
          <w:szCs w:val="26"/>
        </w:rPr>
        <w:t>(</w:t>
      </w:r>
      <w:r w:rsidRPr="00A43D3A" w:rsidR="0084289D">
        <w:rPr>
          <w:i/>
          <w:iCs/>
        </w:rPr>
        <w:t>Gutierrez</w:t>
      </w:r>
      <w:r w:rsidRPr="0016368E" w:rsidR="0084289D">
        <w:t>,</w:t>
      </w:r>
      <w:r w:rsidRPr="00A43D3A" w:rsidR="0084289D">
        <w:rPr>
          <w:i/>
          <w:iCs/>
        </w:rPr>
        <w:t xml:space="preserve"> supra</w:t>
      </w:r>
      <w:r w:rsidRPr="00A43D3A" w:rsidR="0084289D">
        <w:t>, 58</w:t>
      </w:r>
      <w:r w:rsidRPr="00A43D3A" w:rsidR="00E20DCB">
        <w:t> </w:t>
      </w:r>
      <w:r w:rsidRPr="00A43D3A" w:rsidR="0084289D">
        <w:t>Cal.4th at p.</w:t>
      </w:r>
      <w:r w:rsidRPr="00A43D3A" w:rsidR="00E20DCB">
        <w:t> </w:t>
      </w:r>
      <w:r w:rsidRPr="00A43D3A" w:rsidR="0084289D">
        <w:t xml:space="preserve">1391; </w:t>
      </w:r>
      <w:r w:rsidRPr="00A43D3A" w:rsidR="0084289D">
        <w:rPr>
          <w:color w:val="000000"/>
          <w:szCs w:val="26"/>
        </w:rPr>
        <w:t xml:space="preserve">see </w:t>
      </w:r>
      <w:r w:rsidRPr="00A43D3A" w:rsidR="0002404F">
        <w:rPr>
          <w:color w:val="000000"/>
          <w:szCs w:val="26"/>
        </w:rPr>
        <w:t>Cal. Rules of Court, rule 4.425.)</w:t>
      </w:r>
      <w:r w:rsidRPr="00A43D3A" w:rsidR="00623D42">
        <w:t xml:space="preserve">  </w:t>
      </w:r>
      <w:r w:rsidRPr="00A43D3A">
        <w:rPr>
          <w:color w:val="000000"/>
          <w:szCs w:val="26"/>
        </w:rPr>
        <w:t>“</w:t>
      </w:r>
      <w:r w:rsidRPr="00A43D3A" w:rsidR="00623D42">
        <w:rPr>
          <w:color w:val="000000"/>
          <w:szCs w:val="26"/>
        </w:rPr>
        <w:t>I</w:t>
      </w:r>
      <w:r w:rsidRPr="00A43D3A" w:rsidR="00C93BCA">
        <w:t>n deciding whether to impose consecutive terms, the trial court may consider aggravating and mitigating factors</w:t>
      </w:r>
      <w:r w:rsidR="002239AB">
        <w:t>.</w:t>
      </w:r>
      <w:r w:rsidRPr="002239AB" w:rsidR="002239AB">
        <w:t>”</w:t>
      </w:r>
      <w:r w:rsidRPr="002239AB" w:rsidR="002239AB">
        <w:rPr>
          <w:i/>
          <w:iCs/>
        </w:rPr>
        <w:t xml:space="preserve"> </w:t>
      </w:r>
      <w:r w:rsidR="002239AB">
        <w:rPr>
          <w:i/>
          <w:iCs/>
        </w:rPr>
        <w:t xml:space="preserve"> </w:t>
      </w:r>
      <w:r w:rsidR="002239AB">
        <w:t>(</w:t>
      </w:r>
      <w:r w:rsidRPr="00A43D3A" w:rsidR="002239AB">
        <w:rPr>
          <w:i/>
          <w:iCs/>
        </w:rPr>
        <w:t>People v. Black</w:t>
      </w:r>
      <w:r w:rsidRPr="00A43D3A" w:rsidR="002239AB">
        <w:t xml:space="preserve"> (2007) 41 Cal.4th 799, 822</w:t>
      </w:r>
      <w:r w:rsidR="002239AB">
        <w:t>.)</w:t>
      </w:r>
      <w:r w:rsidRPr="00A43D3A" w:rsidR="00C93BCA">
        <w:t xml:space="preserve"> </w:t>
      </w:r>
      <w:r w:rsidR="002239AB">
        <w:t xml:space="preserve"> However, “</w:t>
      </w:r>
      <w:r w:rsidRPr="00A43D3A" w:rsidR="00C93BCA">
        <w:t>there is no requirement that, in order to justify the imposition of consecutive terms, the court find that an aggravating circumstance exists.”  (</w:t>
      </w:r>
      <w:r w:rsidRPr="0016368E" w:rsidR="002239AB">
        <w:rPr>
          <w:i/>
          <w:iCs/>
        </w:rPr>
        <w:t>Ibid</w:t>
      </w:r>
      <w:r w:rsidR="002239AB">
        <w:t>.</w:t>
      </w:r>
      <w:r w:rsidRPr="00A43D3A" w:rsidR="00E823C0">
        <w:t>; see also Cal. Rules of Court, rule 4.425</w:t>
      </w:r>
      <w:r w:rsidRPr="00A43D3A" w:rsidR="00C93BCA">
        <w:t xml:space="preserve">.)  </w:t>
      </w:r>
      <w:r w:rsidRPr="00A43D3A" w:rsidR="0002404F">
        <w:t>Thus, the</w:t>
      </w:r>
      <w:r w:rsidRPr="00A43D3A" w:rsidR="00704E03">
        <w:t xml:space="preserve"> sentencing court is not required to find </w:t>
      </w:r>
      <w:r w:rsidR="00B20F39">
        <w:t xml:space="preserve">that </w:t>
      </w:r>
      <w:r w:rsidRPr="00A43D3A" w:rsidR="00704E03">
        <w:rPr>
          <w:i/>
          <w:iCs/>
        </w:rPr>
        <w:t>any</w:t>
      </w:r>
      <w:r w:rsidRPr="00A43D3A" w:rsidR="00704E03">
        <w:t xml:space="preserve"> aggravating circumstances exist </w:t>
      </w:r>
      <w:r w:rsidR="002239AB">
        <w:t>before</w:t>
      </w:r>
      <w:r w:rsidRPr="00A43D3A" w:rsidR="00704E03">
        <w:t xml:space="preserve"> </w:t>
      </w:r>
      <w:r w:rsidRPr="00A43D3A" w:rsidR="002239AB">
        <w:t>impos</w:t>
      </w:r>
      <w:r w:rsidR="002239AB">
        <w:t>ing</w:t>
      </w:r>
      <w:r w:rsidRPr="00A43D3A" w:rsidR="002239AB">
        <w:t xml:space="preserve"> </w:t>
      </w:r>
      <w:r w:rsidRPr="00A43D3A" w:rsidR="00704E03">
        <w:t>consecutive sentences</w:t>
      </w:r>
      <w:r w:rsidRPr="00A43D3A" w:rsidR="00623D42">
        <w:t xml:space="preserve"> and, notably, the court </w:t>
      </w:r>
      <w:r w:rsidR="002239AB">
        <w:t xml:space="preserve">here </w:t>
      </w:r>
      <w:r w:rsidRPr="00A43D3A" w:rsidR="00FF29B6">
        <w:t xml:space="preserve">did not specifically </w:t>
      </w:r>
      <w:r w:rsidRPr="00A43D3A" w:rsidR="00CF3379">
        <w:t>articulate</w:t>
      </w:r>
      <w:r w:rsidRPr="00A43D3A" w:rsidR="00FF29B6">
        <w:t xml:space="preserve"> any</w:t>
      </w:r>
      <w:r w:rsidRPr="00A43D3A" w:rsidR="00623D42">
        <w:t xml:space="preserve"> aggravating </w:t>
      </w:r>
      <w:r w:rsidRPr="00A43D3A" w:rsidR="0050606D">
        <w:t>circumstances in conjunction with its imposition of consecutive terms</w:t>
      </w:r>
      <w:r w:rsidRPr="00A43D3A" w:rsidR="00704E03">
        <w:t>.</w:t>
      </w:r>
      <w:r w:rsidRPr="00A43D3A" w:rsidR="00BA17AB">
        <w:t xml:space="preserve"> </w:t>
      </w:r>
      <w:r w:rsidRPr="00A43D3A" w:rsidR="00704E03">
        <w:t xml:space="preserve"> </w:t>
      </w:r>
      <w:r w:rsidR="002239AB">
        <w:t>By contrast</w:t>
      </w:r>
      <w:r w:rsidRPr="00A43D3A" w:rsidR="00C93BCA">
        <w:t xml:space="preserve">, under section 1170, </w:t>
      </w:r>
      <w:r w:rsidRPr="00A43D3A" w:rsidR="005E3632">
        <w:t>in order to depart from the lower</w:t>
      </w:r>
      <w:r w:rsidRPr="00A43D3A" w:rsidR="00A368C7">
        <w:t xml:space="preserve"> </w:t>
      </w:r>
      <w:r w:rsidRPr="00A43D3A" w:rsidR="005E3632">
        <w:t>term after</w:t>
      </w:r>
      <w:r w:rsidRPr="00A43D3A" w:rsidR="001F1BF2">
        <w:t xml:space="preserve"> </w:t>
      </w:r>
      <w:r w:rsidRPr="00A43D3A" w:rsidR="00D33DDD">
        <w:rPr>
          <w:szCs w:val="26"/>
        </w:rPr>
        <w:t>the lower</w:t>
      </w:r>
      <w:r w:rsidRPr="00A43D3A" w:rsidR="00A368C7">
        <w:rPr>
          <w:szCs w:val="26"/>
        </w:rPr>
        <w:t xml:space="preserve"> </w:t>
      </w:r>
      <w:r w:rsidRPr="00A43D3A" w:rsidR="00D33DDD">
        <w:rPr>
          <w:szCs w:val="26"/>
        </w:rPr>
        <w:t>term presumption is triggered,</w:t>
      </w:r>
      <w:r w:rsidRPr="00A43D3A" w:rsidR="00675CD9">
        <w:rPr>
          <w:szCs w:val="26"/>
        </w:rPr>
        <w:t xml:space="preserve"> </w:t>
      </w:r>
      <w:r w:rsidRPr="00A43D3A" w:rsidR="001F1BF2">
        <w:rPr>
          <w:szCs w:val="26"/>
        </w:rPr>
        <w:t xml:space="preserve">the court must make </w:t>
      </w:r>
      <w:r w:rsidRPr="00A43D3A" w:rsidR="00254406">
        <w:rPr>
          <w:szCs w:val="26"/>
        </w:rPr>
        <w:t xml:space="preserve">a </w:t>
      </w:r>
      <w:r w:rsidRPr="00A43D3A" w:rsidR="001F1BF2">
        <w:rPr>
          <w:szCs w:val="26"/>
        </w:rPr>
        <w:t>specific finding</w:t>
      </w:r>
      <w:r w:rsidRPr="00A43D3A" w:rsidR="00254406">
        <w:rPr>
          <w:szCs w:val="26"/>
        </w:rPr>
        <w:t xml:space="preserve"> that </w:t>
      </w:r>
      <w:r w:rsidRPr="00A43D3A" w:rsidR="00675CD9">
        <w:rPr>
          <w:szCs w:val="26"/>
        </w:rPr>
        <w:t>“the aggravating circumstances outweigh the mitigating circumstances [so] that imposition of the lower term would be contrary to the interests of justice</w:t>
      </w:r>
      <w:r w:rsidRPr="00A43D3A" w:rsidR="005E3632">
        <w:rPr>
          <w:szCs w:val="26"/>
        </w:rPr>
        <w:t>.</w:t>
      </w:r>
      <w:r w:rsidRPr="00A43D3A" w:rsidR="00334E6D">
        <w:rPr>
          <w:szCs w:val="26"/>
        </w:rPr>
        <w:t>”</w:t>
      </w:r>
      <w:r w:rsidRPr="00A43D3A" w:rsidR="005E3632">
        <w:rPr>
          <w:szCs w:val="26"/>
        </w:rPr>
        <w:t xml:space="preserve">  (§ 1170, subd. (b)(6).) </w:t>
      </w:r>
      <w:r w:rsidRPr="00A43D3A" w:rsidR="00675CD9">
        <w:rPr>
          <w:szCs w:val="26"/>
        </w:rPr>
        <w:t xml:space="preserve"> </w:t>
      </w:r>
      <w:r w:rsidRPr="00A43D3A" w:rsidR="001F1BF2">
        <w:t>Consequently</w:t>
      </w:r>
      <w:r w:rsidRPr="00A43D3A" w:rsidR="00063C02">
        <w:t xml:space="preserve">, the court’s decision to impose consecutive sentences cannot be a clear indication of its intent </w:t>
      </w:r>
      <w:r w:rsidR="002239AB">
        <w:t xml:space="preserve">to impose the middle term </w:t>
      </w:r>
      <w:r w:rsidRPr="00A43D3A" w:rsidR="00063C02">
        <w:t xml:space="preserve">under the </w:t>
      </w:r>
      <w:r w:rsidRPr="00A43D3A" w:rsidR="00063C02">
        <w:rPr>
          <w:szCs w:val="26"/>
        </w:rPr>
        <w:t>current section 1170.</w:t>
      </w:r>
      <w:r>
        <w:rPr>
          <w:rStyle w:val="FootnoteReference"/>
          <w:b w:val="0"/>
          <w:bCs/>
          <w:szCs w:val="26"/>
        </w:rPr>
        <w:footnoteReference w:id="11"/>
      </w:r>
    </w:p>
    <w:p w:rsidR="005F537A" w:rsidRPr="00A43D3A" w:rsidP="00097AC4" w14:paraId="0CABFA74" w14:textId="77777777">
      <w:pPr>
        <w:tabs>
          <w:tab w:val="left" w:pos="1440"/>
        </w:tabs>
        <w:ind w:firstLine="720"/>
        <w:rPr>
          <w:szCs w:val="26"/>
        </w:rPr>
      </w:pPr>
      <w:r w:rsidRPr="00A43D3A">
        <w:t>Finally, the</w:t>
      </w:r>
      <w:r w:rsidRPr="00A43D3A" w:rsidR="009563E4">
        <w:t xml:space="preserve"> Attorney General argues that a clear indication of the sentencing court’s intent is shown by the </w:t>
      </w:r>
      <w:r w:rsidRPr="00A43D3A" w:rsidR="00F0125A">
        <w:t>statement that “I’m going to select not the high term, but the mid term, and that’s based on having heard the evidence, and based on the fact that the last seven years or so, the defendant’s criminal history has been drug related</w:t>
      </w:r>
      <w:r w:rsidRPr="00A43D3A" w:rsidR="009563E4">
        <w:t>.</w:t>
      </w:r>
      <w:r w:rsidRPr="00A43D3A" w:rsidR="00F0125A">
        <w:t>”</w:t>
      </w:r>
      <w:r w:rsidRPr="00A43D3A" w:rsidR="00002CE4">
        <w:t xml:space="preserve"> </w:t>
      </w:r>
      <w:r w:rsidRPr="00A43D3A" w:rsidR="00F0125A">
        <w:t xml:space="preserve"> </w:t>
      </w:r>
      <w:r w:rsidRPr="00A43D3A" w:rsidR="00002CE4">
        <w:t xml:space="preserve">The Attorney General emphasizes that the court did not indicate </w:t>
      </w:r>
      <w:r w:rsidRPr="00A43D3A">
        <w:t xml:space="preserve">here or </w:t>
      </w:r>
      <w:r w:rsidRPr="00A43D3A" w:rsidR="004C7122">
        <w:t xml:space="preserve">elsewhere </w:t>
      </w:r>
      <w:r w:rsidRPr="00A43D3A" w:rsidR="00002CE4">
        <w:t xml:space="preserve">that it was contemplating the lower term as an appropriate sentence. </w:t>
      </w:r>
      <w:r w:rsidRPr="00A43D3A" w:rsidR="007D23F0">
        <w:t xml:space="preserve"> </w:t>
      </w:r>
      <w:r w:rsidRPr="00A43D3A" w:rsidR="00002CE4">
        <w:t xml:space="preserve">However, the court never had the opportunity to consider the new </w:t>
      </w:r>
      <w:r w:rsidRPr="00A43D3A" w:rsidR="00776B6F">
        <w:t>lower</w:t>
      </w:r>
      <w:r w:rsidRPr="00A43D3A" w:rsidR="00A368C7">
        <w:t xml:space="preserve"> </w:t>
      </w:r>
      <w:r w:rsidRPr="00A43D3A" w:rsidR="00776B6F">
        <w:t xml:space="preserve">term </w:t>
      </w:r>
      <w:r w:rsidRPr="00A43D3A" w:rsidR="00002CE4">
        <w:t xml:space="preserve">presumption for qualifying offenders.  </w:t>
      </w:r>
      <w:r w:rsidRPr="00A43D3A" w:rsidR="00C50487">
        <w:t>Th</w:t>
      </w:r>
      <w:r w:rsidRPr="00A43D3A" w:rsidR="00575ADD">
        <w:t>e fact that</w:t>
      </w:r>
      <w:r w:rsidRPr="00A43D3A" w:rsidR="00C50487">
        <w:t xml:space="preserve"> the court did not </w:t>
      </w:r>
      <w:r w:rsidRPr="00A43D3A" w:rsidR="005247DC">
        <w:t>expressly indicate that it was considering imposing the lower</w:t>
      </w:r>
      <w:r w:rsidRPr="00A43D3A" w:rsidR="00A368C7">
        <w:t xml:space="preserve"> </w:t>
      </w:r>
      <w:r w:rsidRPr="00A43D3A" w:rsidR="005247DC">
        <w:t xml:space="preserve">term </w:t>
      </w:r>
      <w:r w:rsidRPr="00A43D3A" w:rsidR="0093167F">
        <w:t>reveals very little, as the newly</w:t>
      </w:r>
      <w:r w:rsidRPr="00A43D3A" w:rsidR="00A368C7">
        <w:t xml:space="preserve"> </w:t>
      </w:r>
      <w:r w:rsidRPr="00A43D3A" w:rsidR="0093167F">
        <w:t>enacted presumption in favor of the low</w:t>
      </w:r>
      <w:r w:rsidRPr="00A43D3A" w:rsidR="00776B6F">
        <w:t>er</w:t>
      </w:r>
      <w:r w:rsidRPr="00A43D3A" w:rsidR="00A368C7">
        <w:t xml:space="preserve"> </w:t>
      </w:r>
      <w:r w:rsidRPr="00A43D3A" w:rsidR="0093167F">
        <w:t>term did not exist at the time of Salazar’s sentencing.</w:t>
      </w:r>
      <w:r w:rsidRPr="00A43D3A" w:rsidR="00C50487">
        <w:t xml:space="preserve"> </w:t>
      </w:r>
      <w:r w:rsidRPr="00A43D3A" w:rsidR="00776B6F">
        <w:t xml:space="preserve"> </w:t>
      </w:r>
      <w:r w:rsidRPr="00A43D3A" w:rsidR="00143837">
        <w:rPr>
          <w:szCs w:val="26"/>
        </w:rPr>
        <w:t>In</w:t>
      </w:r>
      <w:r w:rsidRPr="00A43D3A" w:rsidR="001B0699">
        <w:rPr>
          <w:szCs w:val="26"/>
        </w:rPr>
        <w:t xml:space="preserve"> </w:t>
      </w:r>
      <w:r w:rsidRPr="00A43D3A" w:rsidR="001B0699">
        <w:rPr>
          <w:i/>
          <w:iCs/>
          <w:szCs w:val="26"/>
        </w:rPr>
        <w:t>Gutierrez</w:t>
      </w:r>
      <w:r w:rsidRPr="00A43D3A" w:rsidR="001B0699">
        <w:rPr>
          <w:szCs w:val="26"/>
        </w:rPr>
        <w:t xml:space="preserve"> we remanded the cases for resentencing even though the </w:t>
      </w:r>
      <w:r w:rsidRPr="00A43D3A" w:rsidR="00370070">
        <w:rPr>
          <w:szCs w:val="26"/>
        </w:rPr>
        <w:t>sentencing</w:t>
      </w:r>
      <w:r w:rsidRPr="00A43D3A" w:rsidR="001B0699">
        <w:rPr>
          <w:szCs w:val="26"/>
        </w:rPr>
        <w:t xml:space="preserve"> courts made statements indicating that </w:t>
      </w:r>
      <w:r w:rsidRPr="00A43D3A" w:rsidR="00665BD5">
        <w:rPr>
          <w:szCs w:val="26"/>
        </w:rPr>
        <w:t>a lengthier sentence</w:t>
      </w:r>
      <w:r w:rsidRPr="00A43D3A" w:rsidR="001B0699">
        <w:rPr>
          <w:szCs w:val="26"/>
        </w:rPr>
        <w:t xml:space="preserve"> was appropriate.  (</w:t>
      </w:r>
      <w:r w:rsidRPr="00A43D3A" w:rsidR="001B0699">
        <w:rPr>
          <w:i/>
          <w:iCs/>
          <w:szCs w:val="26"/>
        </w:rPr>
        <w:t>Gutierrez</w:t>
      </w:r>
      <w:r w:rsidRPr="0016368E" w:rsidR="001B0699">
        <w:rPr>
          <w:szCs w:val="26"/>
        </w:rPr>
        <w:t>,</w:t>
      </w:r>
      <w:r w:rsidRPr="00A43D3A" w:rsidR="001B0699">
        <w:rPr>
          <w:i/>
          <w:iCs/>
          <w:szCs w:val="26"/>
        </w:rPr>
        <w:t xml:space="preserve"> supra</w:t>
      </w:r>
      <w:r w:rsidRPr="00A43D3A" w:rsidR="001B0699">
        <w:rPr>
          <w:szCs w:val="26"/>
        </w:rPr>
        <w:t xml:space="preserve">, </w:t>
      </w:r>
      <w:r w:rsidRPr="00A43D3A" w:rsidR="00CB447D">
        <w:rPr>
          <w:szCs w:val="26"/>
        </w:rPr>
        <w:t xml:space="preserve">58 Cal.4th </w:t>
      </w:r>
      <w:r w:rsidRPr="00A43D3A" w:rsidR="001B0699">
        <w:rPr>
          <w:szCs w:val="26"/>
        </w:rPr>
        <w:t>at pp.</w:t>
      </w:r>
      <w:r w:rsidRPr="00A43D3A" w:rsidR="00CB447D">
        <w:rPr>
          <w:szCs w:val="26"/>
        </w:rPr>
        <w:t> </w:t>
      </w:r>
      <w:r w:rsidRPr="00A43D3A" w:rsidR="001B0699">
        <w:rPr>
          <w:szCs w:val="26"/>
        </w:rPr>
        <w:t xml:space="preserve">1364, 1367.)  </w:t>
      </w:r>
      <w:r w:rsidRPr="00A43D3A" w:rsidR="005E7F11">
        <w:rPr>
          <w:szCs w:val="26"/>
        </w:rPr>
        <w:t xml:space="preserve">In fact, </w:t>
      </w:r>
      <w:r w:rsidRPr="00A43D3A" w:rsidR="00532787">
        <w:rPr>
          <w:szCs w:val="26"/>
        </w:rPr>
        <w:t xml:space="preserve">we </w:t>
      </w:r>
      <w:r w:rsidRPr="00A43D3A" w:rsidR="00847689">
        <w:rPr>
          <w:szCs w:val="26"/>
        </w:rPr>
        <w:t>remanded</w:t>
      </w:r>
      <w:r w:rsidRPr="00A43D3A" w:rsidR="00532787">
        <w:rPr>
          <w:szCs w:val="26"/>
        </w:rPr>
        <w:t xml:space="preserve"> </w:t>
      </w:r>
      <w:r w:rsidRPr="00A43D3A" w:rsidR="005E7F11">
        <w:rPr>
          <w:szCs w:val="26"/>
        </w:rPr>
        <w:t xml:space="preserve">in </w:t>
      </w:r>
      <w:r w:rsidRPr="00A43D3A" w:rsidR="005E7F11">
        <w:rPr>
          <w:i/>
          <w:iCs/>
          <w:szCs w:val="26"/>
        </w:rPr>
        <w:t>Gutierrez</w:t>
      </w:r>
      <w:r w:rsidRPr="00A43D3A" w:rsidR="005E7F11">
        <w:rPr>
          <w:szCs w:val="26"/>
        </w:rPr>
        <w:t xml:space="preserve"> </w:t>
      </w:r>
      <w:r w:rsidRPr="00A43D3A" w:rsidR="00532787">
        <w:rPr>
          <w:szCs w:val="26"/>
        </w:rPr>
        <w:t>even though the</w:t>
      </w:r>
      <w:r w:rsidRPr="00A43D3A" w:rsidR="00847689">
        <w:rPr>
          <w:szCs w:val="26"/>
        </w:rPr>
        <w:t xml:space="preserve"> sentencing court provided a much more </w:t>
      </w:r>
      <w:r w:rsidRPr="00A43D3A" w:rsidR="003736A0">
        <w:rPr>
          <w:szCs w:val="26"/>
        </w:rPr>
        <w:t>forceful</w:t>
      </w:r>
      <w:r w:rsidRPr="00A43D3A" w:rsidR="00166B08">
        <w:rPr>
          <w:szCs w:val="26"/>
        </w:rPr>
        <w:t xml:space="preserve"> justification </w:t>
      </w:r>
      <w:r w:rsidRPr="00A43D3A" w:rsidR="00847689">
        <w:rPr>
          <w:szCs w:val="26"/>
        </w:rPr>
        <w:t xml:space="preserve">for imposing a lengthy sentence than the sentencing court did here.  </w:t>
      </w:r>
      <w:r w:rsidRPr="00A43D3A" w:rsidR="00075FCB">
        <w:rPr>
          <w:szCs w:val="26"/>
        </w:rPr>
        <w:t>(</w:t>
      </w:r>
      <w:r w:rsidRPr="00A43D3A" w:rsidR="00166B08">
        <w:rPr>
          <w:szCs w:val="26"/>
        </w:rPr>
        <w:t xml:space="preserve">See </w:t>
      </w:r>
      <w:r w:rsidRPr="00A43D3A" w:rsidR="00166B08">
        <w:rPr>
          <w:i/>
          <w:iCs/>
        </w:rPr>
        <w:t>i</w:t>
      </w:r>
      <w:r w:rsidRPr="00A43D3A" w:rsidR="005E4AEF">
        <w:rPr>
          <w:i/>
          <w:iCs/>
        </w:rPr>
        <w:t>d</w:t>
      </w:r>
      <w:r w:rsidRPr="00A43D3A" w:rsidR="005E4AEF">
        <w:t>. at p.</w:t>
      </w:r>
      <w:r w:rsidRPr="00A43D3A" w:rsidR="00CB447D">
        <w:t> </w:t>
      </w:r>
      <w:r w:rsidRPr="00A43D3A" w:rsidR="005E4AEF">
        <w:t>1367</w:t>
      </w:r>
      <w:r w:rsidRPr="00A43D3A" w:rsidR="005E4AEF">
        <w:rPr>
          <w:szCs w:val="26"/>
        </w:rPr>
        <w:t xml:space="preserve"> </w:t>
      </w:r>
      <w:r w:rsidRPr="00A43D3A" w:rsidR="00847689">
        <w:rPr>
          <w:szCs w:val="26"/>
        </w:rPr>
        <w:t>[</w:t>
      </w:r>
      <w:r w:rsidRPr="00A43D3A" w:rsidR="00166B08">
        <w:rPr>
          <w:szCs w:val="26"/>
        </w:rPr>
        <w:t>the sentencing court stated it was</w:t>
      </w:r>
      <w:r w:rsidRPr="00A43D3A" w:rsidR="00075FCB">
        <w:rPr>
          <w:szCs w:val="26"/>
        </w:rPr>
        <w:t xml:space="preserve"> </w:t>
      </w:r>
      <w:r w:rsidRPr="00A43D3A" w:rsidR="005E7F11">
        <w:rPr>
          <w:szCs w:val="26"/>
        </w:rPr>
        <w:t>“</w:t>
      </w:r>
      <w:r w:rsidRPr="00A43D3A" w:rsidR="00271250">
        <w:rPr>
          <w:szCs w:val="26"/>
        </w:rPr>
        <w:t> ‘</w:t>
      </w:r>
      <w:r w:rsidRPr="00A43D3A" w:rsidR="005E7F11">
        <w:rPr>
          <w:szCs w:val="26"/>
        </w:rPr>
        <w:t>absolutely convinced</w:t>
      </w:r>
      <w:r w:rsidRPr="00A43D3A" w:rsidR="00271250">
        <w:rPr>
          <w:szCs w:val="26"/>
        </w:rPr>
        <w:t>’ </w:t>
      </w:r>
      <w:r w:rsidRPr="00A43D3A" w:rsidR="005E7F11">
        <w:rPr>
          <w:szCs w:val="26"/>
        </w:rPr>
        <w:t xml:space="preserve">” </w:t>
      </w:r>
      <w:r w:rsidRPr="00A43D3A" w:rsidR="00271250">
        <w:t>that life without the possibility of parole was “ ‘the only thing that the Court can do that could redress the amount of violence that was inflicted in this case’ ”</w:t>
      </w:r>
      <w:r w:rsidRPr="00A43D3A" w:rsidR="00847689">
        <w:t>]</w:t>
      </w:r>
      <w:r w:rsidRPr="00A43D3A" w:rsidR="00166B08">
        <w:t>.)</w:t>
      </w:r>
      <w:r w:rsidRPr="00A43D3A" w:rsidR="00271250">
        <w:t xml:space="preserve">  </w:t>
      </w:r>
      <w:r w:rsidRPr="00A43D3A" w:rsidR="0093167F">
        <w:t xml:space="preserve">The </w:t>
      </w:r>
      <w:r w:rsidRPr="00A43D3A" w:rsidR="00EC5A7F">
        <w:t>Attorney General</w:t>
      </w:r>
      <w:r w:rsidRPr="00A43D3A" w:rsidR="0093167F">
        <w:t xml:space="preserve">’s framing </w:t>
      </w:r>
      <w:r w:rsidRPr="00A43D3A" w:rsidR="00665BD5">
        <w:t xml:space="preserve">here </w:t>
      </w:r>
      <w:r w:rsidRPr="00A43D3A" w:rsidR="0093167F">
        <w:t xml:space="preserve">would flip the </w:t>
      </w:r>
      <w:r w:rsidRPr="00A43D3A" w:rsidR="00AC2B8E">
        <w:t>“</w:t>
      </w:r>
      <w:r w:rsidRPr="00A43D3A" w:rsidR="0093167F">
        <w:t>clearly indicate</w:t>
      </w:r>
      <w:r w:rsidRPr="00A43D3A" w:rsidR="00CC6004">
        <w:t>”</w:t>
      </w:r>
      <w:r w:rsidRPr="00A43D3A" w:rsidR="0093167F">
        <w:t xml:space="preserve"> standard on its head: the sentencing court’s mere silence about whether it was considering the low</w:t>
      </w:r>
      <w:r w:rsidRPr="00A43D3A" w:rsidR="00923BA3">
        <w:t>er</w:t>
      </w:r>
      <w:r w:rsidRPr="00A43D3A" w:rsidR="00776B6F">
        <w:t xml:space="preserve"> </w:t>
      </w:r>
      <w:r w:rsidRPr="00A43D3A" w:rsidR="0093167F">
        <w:t xml:space="preserve">term cannot constitute </w:t>
      </w:r>
      <w:r w:rsidRPr="00A43D3A" w:rsidR="00EC5A7F">
        <w:t xml:space="preserve">a clear indication that it would not have imposed a lower term </w:t>
      </w:r>
      <w:r w:rsidRPr="00A43D3A" w:rsidR="0093167F">
        <w:t xml:space="preserve">even if it were applying </w:t>
      </w:r>
      <w:r w:rsidRPr="00A43D3A" w:rsidR="00EC5A7F">
        <w:t xml:space="preserve">the new law.  </w:t>
      </w:r>
      <w:r w:rsidRPr="00A43D3A" w:rsidR="005247DC">
        <w:rPr>
          <w:szCs w:val="26"/>
        </w:rPr>
        <w:t>If anything, “[b]y selecting the middle term [under the former law], the trial court impliedly found the aggravating factors were not sufficient to warrant imposition of the high term.”  (</w:t>
      </w:r>
      <w:r w:rsidRPr="00A43D3A" w:rsidR="005247DC">
        <w:rPr>
          <w:i/>
          <w:iCs/>
          <w:szCs w:val="26"/>
        </w:rPr>
        <w:t>Salazar</w:t>
      </w:r>
      <w:r w:rsidRPr="0016368E" w:rsidR="005247DC">
        <w:rPr>
          <w:szCs w:val="26"/>
        </w:rPr>
        <w:t>,</w:t>
      </w:r>
      <w:r w:rsidRPr="00A43D3A" w:rsidR="005247DC">
        <w:rPr>
          <w:i/>
          <w:iCs/>
          <w:szCs w:val="26"/>
        </w:rPr>
        <w:t xml:space="preserve"> supra</w:t>
      </w:r>
      <w:r w:rsidRPr="00A43D3A" w:rsidR="005247DC">
        <w:rPr>
          <w:szCs w:val="26"/>
        </w:rPr>
        <w:t xml:space="preserve">, </w:t>
      </w:r>
      <w:r w:rsidRPr="00A43D3A" w:rsidR="00EF285C">
        <w:rPr>
          <w:szCs w:val="26"/>
        </w:rPr>
        <w:t xml:space="preserve">80 Cal.App.5th </w:t>
      </w:r>
      <w:r w:rsidRPr="00A43D3A" w:rsidR="005247DC">
        <w:rPr>
          <w:szCs w:val="26"/>
        </w:rPr>
        <w:t>at p.</w:t>
      </w:r>
      <w:r w:rsidRPr="00A43D3A" w:rsidR="00EF285C">
        <w:rPr>
          <w:szCs w:val="26"/>
        </w:rPr>
        <w:t> </w:t>
      </w:r>
      <w:r w:rsidRPr="00A43D3A" w:rsidR="005247DC">
        <w:rPr>
          <w:szCs w:val="26"/>
        </w:rPr>
        <w:t>466 (</w:t>
      </w:r>
      <w:r w:rsidR="00CB57D9">
        <w:rPr>
          <w:szCs w:val="26"/>
        </w:rPr>
        <w:t xml:space="preserve">dis. opn. of </w:t>
      </w:r>
      <w:r w:rsidRPr="00A43D3A" w:rsidR="005247DC">
        <w:rPr>
          <w:szCs w:val="26"/>
        </w:rPr>
        <w:t>Tangeman, J.).)</w:t>
      </w:r>
      <w:r w:rsidRPr="00A43D3A" w:rsidR="00334E6D">
        <w:rPr>
          <w:szCs w:val="26"/>
        </w:rPr>
        <w:t xml:space="preserve"> </w:t>
      </w:r>
      <w:r w:rsidRPr="00A43D3A" w:rsidR="002C4099">
        <w:rPr>
          <w:szCs w:val="26"/>
        </w:rPr>
        <w:t xml:space="preserve"> </w:t>
      </w:r>
    </w:p>
    <w:p w:rsidR="00097317" w:rsidRPr="00A43D3A" w:rsidP="00097AC4" w14:paraId="0CABFA75" w14:textId="77777777">
      <w:pPr>
        <w:tabs>
          <w:tab w:val="left" w:pos="1440"/>
        </w:tabs>
        <w:ind w:firstLine="720"/>
      </w:pPr>
      <w:r w:rsidRPr="00A43D3A">
        <w:t>In</w:t>
      </w:r>
      <w:r w:rsidRPr="00A43D3A" w:rsidR="000415A3">
        <w:t>deed</w:t>
      </w:r>
      <w:r w:rsidRPr="00A43D3A" w:rsidR="0093167F">
        <w:t xml:space="preserve">, </w:t>
      </w:r>
      <w:r w:rsidRPr="00A43D3A" w:rsidR="009B7BF3">
        <w:t>t</w:t>
      </w:r>
      <w:r w:rsidRPr="00A43D3A" w:rsidR="0093167F">
        <w:t xml:space="preserve">he record is very different from </w:t>
      </w:r>
      <w:r w:rsidRPr="00A43D3A" w:rsidR="00A06A56">
        <w:t xml:space="preserve">the </w:t>
      </w:r>
      <w:r w:rsidRPr="00A43D3A" w:rsidR="00776B6F">
        <w:t>circumstances</w:t>
      </w:r>
      <w:r w:rsidRPr="00A43D3A" w:rsidR="0093167F">
        <w:t xml:space="preserve"> in which we have </w:t>
      </w:r>
      <w:r w:rsidRPr="00A43D3A" w:rsidR="005F537A">
        <w:t xml:space="preserve">previously </w:t>
      </w:r>
      <w:r w:rsidRPr="00A43D3A" w:rsidR="0093167F">
        <w:t xml:space="preserve">found a clear indication </w:t>
      </w:r>
      <w:r w:rsidRPr="00A43D3A" w:rsidR="00323A26">
        <w:t xml:space="preserve">that </w:t>
      </w:r>
      <w:r w:rsidRPr="00A43D3A" w:rsidR="0093167F">
        <w:t xml:space="preserve">the </w:t>
      </w:r>
      <w:r w:rsidRPr="00A43D3A">
        <w:t>sentencing</w:t>
      </w:r>
      <w:r w:rsidRPr="00A43D3A" w:rsidR="0093167F">
        <w:t xml:space="preserve"> court</w:t>
      </w:r>
      <w:r w:rsidRPr="00A43D3A" w:rsidR="00323A26">
        <w:t xml:space="preserve"> would have imposed the same sentence had it been aware of the scope of its discretion</w:t>
      </w:r>
      <w:r w:rsidRPr="00A43D3A" w:rsidR="00237650">
        <w:t>ary powers</w:t>
      </w:r>
      <w:r w:rsidRPr="00A43D3A" w:rsidR="00A06A56">
        <w:t>.</w:t>
      </w:r>
      <w:r w:rsidRPr="00A43D3A" w:rsidR="0093167F">
        <w:t xml:space="preserve"> </w:t>
      </w:r>
      <w:r w:rsidRPr="00A43D3A" w:rsidR="00A06A56">
        <w:t xml:space="preserve"> </w:t>
      </w:r>
      <w:r w:rsidRPr="00A43D3A" w:rsidR="009B7BF3">
        <w:t>For example, i</w:t>
      </w:r>
      <w:r w:rsidRPr="00A43D3A" w:rsidR="00A06A56">
        <w:t xml:space="preserve">n </w:t>
      </w:r>
      <w:r w:rsidRPr="00A43D3A" w:rsidR="00A06A56">
        <w:rPr>
          <w:i/>
          <w:iCs/>
        </w:rPr>
        <w:t>Flores</w:t>
      </w:r>
      <w:r w:rsidRPr="00A43D3A" w:rsidR="00A06A56">
        <w:t>, the sentencing court stated, “ ‘I think Mr. Flores does fall into the category of the worst of the worst offenders thereby deserving the ultimate sentence of death.’ ”  (</w:t>
      </w:r>
      <w:r w:rsidRPr="00A43D3A" w:rsidR="00A06A56">
        <w:rPr>
          <w:i/>
          <w:iCs/>
        </w:rPr>
        <w:t>Flores</w:t>
      </w:r>
      <w:r w:rsidRPr="0016368E" w:rsidR="00A06A56">
        <w:t>,</w:t>
      </w:r>
      <w:r w:rsidRPr="00A43D3A" w:rsidR="00A06A56">
        <w:rPr>
          <w:i/>
          <w:iCs/>
        </w:rPr>
        <w:t xml:space="preserve"> supra</w:t>
      </w:r>
      <w:r w:rsidRPr="00A43D3A" w:rsidR="00A06A56">
        <w:t>, 9</w:t>
      </w:r>
      <w:r w:rsidRPr="00A43D3A" w:rsidR="00EF285C">
        <w:t> </w:t>
      </w:r>
      <w:r w:rsidRPr="00A43D3A" w:rsidR="00A06A56">
        <w:t>Cal.5th at p.</w:t>
      </w:r>
      <w:r w:rsidRPr="00A43D3A" w:rsidR="00EF285C">
        <w:t> </w:t>
      </w:r>
      <w:r w:rsidRPr="00A43D3A" w:rsidR="00A06A56">
        <w:t xml:space="preserve">432.)  The </w:t>
      </w:r>
      <w:r w:rsidRPr="00A43D3A" w:rsidR="005F537A">
        <w:t xml:space="preserve">sentencing </w:t>
      </w:r>
      <w:r w:rsidRPr="00A43D3A" w:rsidR="00A06A56">
        <w:t>court noted the defendant, “ ‘show[ed] absolutely no remorse’; ‘[i]t’s as if he has no soul.’</w:t>
      </w:r>
      <w:r w:rsidRPr="00A43D3A" w:rsidR="005F537A">
        <w:t> ”</w:t>
      </w:r>
      <w:r w:rsidRPr="00A43D3A" w:rsidR="00EF285C">
        <w:t xml:space="preserve"> </w:t>
      </w:r>
      <w:r w:rsidRPr="00A43D3A" w:rsidR="00A06A56">
        <w:t xml:space="preserve"> </w:t>
      </w:r>
      <w:r w:rsidRPr="00A43D3A" w:rsidR="005F537A">
        <w:t>(</w:t>
      </w:r>
      <w:r w:rsidRPr="00A43D3A" w:rsidR="005F537A">
        <w:rPr>
          <w:i/>
          <w:iCs/>
        </w:rPr>
        <w:t>Ibid</w:t>
      </w:r>
      <w:r w:rsidRPr="00A43D3A" w:rsidR="005F537A">
        <w:t xml:space="preserve">.)  </w:t>
      </w:r>
      <w:r w:rsidRPr="00A43D3A" w:rsidR="00A06A56">
        <w:t>In the</w:t>
      </w:r>
      <w:r w:rsidRPr="00A43D3A" w:rsidR="005F537A">
        <w:t xml:space="preserve"> sentencing</w:t>
      </w:r>
      <w:r w:rsidRPr="00A43D3A" w:rsidR="00A06A56">
        <w:t xml:space="preserve"> court’s </w:t>
      </w:r>
      <w:r w:rsidRPr="00A43D3A" w:rsidR="005F537A">
        <w:t>“ </w:t>
      </w:r>
      <w:r w:rsidRPr="00A43D3A" w:rsidR="00A06A56">
        <w:t>‘opinion[,] justice will be served’ by a death sentence.</w:t>
      </w:r>
      <w:r w:rsidRPr="00A43D3A" w:rsidR="005F537A">
        <w:t>”</w:t>
      </w:r>
      <w:r w:rsidRPr="00A43D3A" w:rsidR="00A06A56">
        <w:t xml:space="preserve">  </w:t>
      </w:r>
      <w:r w:rsidRPr="00A43D3A" w:rsidR="00CB4AF6">
        <w:t>(</w:t>
      </w:r>
      <w:r w:rsidRPr="00A43D3A" w:rsidR="00CB4AF6">
        <w:rPr>
          <w:i/>
          <w:iCs/>
        </w:rPr>
        <w:t>Ibid</w:t>
      </w:r>
      <w:r w:rsidRPr="00A43D3A" w:rsidR="00CB4AF6">
        <w:t xml:space="preserve">.)  </w:t>
      </w:r>
      <w:r w:rsidRPr="00A43D3A" w:rsidR="00A06A56">
        <w:t xml:space="preserve">Given that the </w:t>
      </w:r>
      <w:r w:rsidRPr="00A43D3A" w:rsidR="005F537A">
        <w:t>sentencing</w:t>
      </w:r>
      <w:r w:rsidRPr="00A43D3A" w:rsidR="00A06A56">
        <w:t xml:space="preserve"> court explicitly said it thought it </w:t>
      </w:r>
      <w:r w:rsidRPr="00A43D3A" w:rsidR="005F537A">
        <w:t>“ </w:t>
      </w:r>
      <w:r w:rsidRPr="00A43D3A" w:rsidR="00A06A56">
        <w:t>‘just[ ]’</w:t>
      </w:r>
      <w:r w:rsidRPr="00A43D3A" w:rsidR="005F537A">
        <w:t> ”</w:t>
      </w:r>
      <w:r w:rsidRPr="00A43D3A" w:rsidR="00A06A56">
        <w:t xml:space="preserve"> for</w:t>
      </w:r>
      <w:r w:rsidRPr="00A43D3A" w:rsidR="005F537A">
        <w:t xml:space="preserve"> the</w:t>
      </w:r>
      <w:r w:rsidRPr="00A43D3A" w:rsidR="00A06A56">
        <w:t xml:space="preserve"> defendant to receive a death</w:t>
      </w:r>
      <w:r w:rsidRPr="00A43D3A" w:rsidR="00EF285C">
        <w:t xml:space="preserve"> </w:t>
      </w:r>
      <w:r w:rsidRPr="00A43D3A" w:rsidR="00A06A56">
        <w:t>sentence</w:t>
      </w:r>
      <w:r w:rsidRPr="00A43D3A" w:rsidR="00EF285C">
        <w:t> </w:t>
      </w:r>
      <w:r w:rsidRPr="00A43D3A" w:rsidR="00A06A56">
        <w:t>—</w:t>
      </w:r>
      <w:r w:rsidRPr="00A43D3A" w:rsidR="00EF285C">
        <w:t xml:space="preserve"> </w:t>
      </w:r>
      <w:r w:rsidRPr="00A43D3A" w:rsidR="005F537A">
        <w:t>“</w:t>
      </w:r>
      <w:r w:rsidRPr="00A43D3A" w:rsidR="00A06A56">
        <w:t>the most severe sentence available under California law</w:t>
      </w:r>
      <w:r w:rsidRPr="00A43D3A" w:rsidR="005F537A">
        <w:t>”</w:t>
      </w:r>
      <w:r w:rsidRPr="00A43D3A" w:rsidR="00EF285C">
        <w:t> </w:t>
      </w:r>
      <w:r w:rsidRPr="00A43D3A" w:rsidR="00A06A56">
        <w:t>—</w:t>
      </w:r>
      <w:r w:rsidRPr="00A43D3A" w:rsidR="00EF285C">
        <w:t xml:space="preserve"> </w:t>
      </w:r>
      <w:r w:rsidRPr="00A43D3A" w:rsidR="00A06A56">
        <w:t xml:space="preserve">we found it clear the </w:t>
      </w:r>
      <w:r w:rsidRPr="00A43D3A" w:rsidR="00370070">
        <w:t xml:space="preserve">sentencing </w:t>
      </w:r>
      <w:r w:rsidRPr="00A43D3A" w:rsidR="00A06A56">
        <w:t xml:space="preserve">court would not have exercised its </w:t>
      </w:r>
      <w:r w:rsidRPr="00A43D3A" w:rsidR="000415A3">
        <w:t>newly</w:t>
      </w:r>
      <w:r w:rsidRPr="00A43D3A" w:rsidR="00A06A56">
        <w:t xml:space="preserve"> conferred discretion to eliminate firearm enhancements “ ‘in the interest of justice.’ ” </w:t>
      </w:r>
      <w:r w:rsidRPr="00A43D3A" w:rsidR="005F537A">
        <w:t xml:space="preserve"> </w:t>
      </w:r>
      <w:r w:rsidRPr="00A43D3A" w:rsidR="00EA0E7B">
        <w:t>(</w:t>
      </w:r>
      <w:r w:rsidRPr="00A43D3A" w:rsidR="00CB4AF6">
        <w:rPr>
          <w:i/>
          <w:iCs/>
        </w:rPr>
        <w:t>Ibid</w:t>
      </w:r>
      <w:r w:rsidRPr="00A43D3A" w:rsidR="001E7DE5">
        <w:t>.</w:t>
      </w:r>
      <w:r w:rsidRPr="00A43D3A" w:rsidR="00EA0E7B">
        <w:t xml:space="preserve">) </w:t>
      </w:r>
      <w:r w:rsidRPr="00A43D3A" w:rsidR="00776B6F">
        <w:t xml:space="preserve"> </w:t>
      </w:r>
      <w:r w:rsidRPr="00A43D3A" w:rsidR="00555CFB">
        <w:t xml:space="preserve">However, we </w:t>
      </w:r>
      <w:r w:rsidRPr="00A43D3A" w:rsidR="008314AB">
        <w:t>emphasized that “[w]e express no opinion” on the utility of remand in light of the newly conferred discretion to eliminate firearm enhancements “where the record shows the trial court approved of a high sentence short of the death penalty.”  (</w:t>
      </w:r>
      <w:r w:rsidRPr="00A43D3A" w:rsidR="008314AB">
        <w:rPr>
          <w:i/>
          <w:iCs/>
        </w:rPr>
        <w:t>Id</w:t>
      </w:r>
      <w:r w:rsidRPr="00A43D3A" w:rsidR="008314AB">
        <w:t>. at p.</w:t>
      </w:r>
      <w:r w:rsidRPr="00A43D3A" w:rsidR="00CB447D">
        <w:t> </w:t>
      </w:r>
      <w:r w:rsidRPr="00A43D3A" w:rsidR="008314AB">
        <w:t xml:space="preserve">432, fn. 16.)  </w:t>
      </w:r>
      <w:r w:rsidRPr="00A43D3A" w:rsidR="00E023B3">
        <w:rPr>
          <w:i/>
          <w:iCs/>
        </w:rPr>
        <w:t>Flores</w:t>
      </w:r>
      <w:r w:rsidRPr="00A43D3A" w:rsidR="00E023B3">
        <w:t xml:space="preserve"> is thus distinct from </w:t>
      </w:r>
      <w:r w:rsidRPr="00A43D3A" w:rsidR="000F0AD2">
        <w:t xml:space="preserve">the present case, which does not involve a death </w:t>
      </w:r>
      <w:r w:rsidRPr="00A43D3A" w:rsidR="00143837">
        <w:t>sentence</w:t>
      </w:r>
      <w:r w:rsidRPr="00A43D3A" w:rsidR="000F0AD2">
        <w:t xml:space="preserve"> and where the sentencing court’s comments are not </w:t>
      </w:r>
      <w:r w:rsidRPr="00A43D3A" w:rsidR="00860567">
        <w:t xml:space="preserve">at all </w:t>
      </w:r>
      <w:r w:rsidRPr="00A43D3A" w:rsidR="000F0AD2">
        <w:t xml:space="preserve">comparable to those in </w:t>
      </w:r>
      <w:r w:rsidRPr="00A43D3A" w:rsidR="000F0AD2">
        <w:rPr>
          <w:i/>
          <w:iCs/>
        </w:rPr>
        <w:t>Flores</w:t>
      </w:r>
      <w:r w:rsidRPr="00A43D3A" w:rsidR="000F0AD2">
        <w:t>.</w:t>
      </w:r>
      <w:r w:rsidRPr="00A43D3A" w:rsidR="00426D23">
        <w:t xml:space="preserve">  </w:t>
      </w:r>
      <w:r w:rsidRPr="00A43D3A" w:rsidR="009B7BF3">
        <w:t>Th</w:t>
      </w:r>
      <w:r w:rsidR="00997C73">
        <w:t xml:space="preserve">is case </w:t>
      </w:r>
      <w:r w:rsidR="003A3601">
        <w:t xml:space="preserve">also </w:t>
      </w:r>
      <w:r w:rsidR="00997C73">
        <w:t>does not present the circumstances</w:t>
      </w:r>
      <w:r w:rsidR="003A3601">
        <w:t xml:space="preserve"> </w:t>
      </w:r>
      <w:r w:rsidR="00F43242">
        <w:t>in which</w:t>
      </w:r>
      <w:r w:rsidRPr="00A43D3A" w:rsidR="00F43242">
        <w:t xml:space="preserve"> </w:t>
      </w:r>
      <w:r w:rsidRPr="00A43D3A" w:rsidR="00426D23">
        <w:t xml:space="preserve">the </w:t>
      </w:r>
      <w:r w:rsidR="00F43242">
        <w:t xml:space="preserve">sentencing </w:t>
      </w:r>
      <w:r w:rsidRPr="00A43D3A" w:rsidR="00426D23">
        <w:t xml:space="preserve">court announces that it is aware of forthcoming legislation and then explains how it would exercise its discretion under that legislation.  </w:t>
      </w:r>
      <w:r w:rsidRPr="00A43D3A" w:rsidR="00EA0E7B">
        <w:t>The</w:t>
      </w:r>
      <w:r w:rsidRPr="00A43D3A" w:rsidR="00B30AEF">
        <w:t xml:space="preserve"> sentencing court</w:t>
      </w:r>
      <w:r w:rsidRPr="00A43D3A" w:rsidR="00EA0E7B">
        <w:t xml:space="preserve">’s </w:t>
      </w:r>
      <w:r w:rsidRPr="00A43D3A" w:rsidR="00B30AEF">
        <w:t>statement</w:t>
      </w:r>
      <w:r w:rsidRPr="00A43D3A" w:rsidR="00EA0E7B">
        <w:t>s here</w:t>
      </w:r>
      <w:r w:rsidRPr="00A43D3A" w:rsidR="00B30AEF">
        <w:t xml:space="preserve"> </w:t>
      </w:r>
      <w:r w:rsidRPr="00A43D3A" w:rsidR="00EA0E7B">
        <w:t xml:space="preserve">do not provide </w:t>
      </w:r>
      <w:r w:rsidRPr="00A43D3A" w:rsidR="00426D23">
        <w:t>this type of</w:t>
      </w:r>
      <w:r w:rsidRPr="00A43D3A" w:rsidR="00EA0E7B">
        <w:t xml:space="preserve"> clear indication of intent.</w:t>
      </w:r>
      <w:r w:rsidRPr="00A43D3A" w:rsidR="005F537A">
        <w:t xml:space="preserve">  </w:t>
      </w:r>
    </w:p>
    <w:p w:rsidR="00127B35" w:rsidP="00097AC4" w14:paraId="0CABFA76" w14:textId="0E3F4D17">
      <w:pPr>
        <w:tabs>
          <w:tab w:val="left" w:pos="1440"/>
        </w:tabs>
        <w:ind w:firstLine="720"/>
      </w:pPr>
      <w:r w:rsidRPr="00A43D3A">
        <w:t>In</w:t>
      </w:r>
      <w:r w:rsidRPr="00A43D3A" w:rsidR="00A008A8">
        <w:t xml:space="preserve"> sum, in</w:t>
      </w:r>
      <w:r w:rsidRPr="00A43D3A">
        <w:t xml:space="preserve"> </w:t>
      </w:r>
      <w:r w:rsidRPr="00A43D3A" w:rsidR="00EF1FA1">
        <w:rPr>
          <w:i/>
          <w:iCs/>
        </w:rPr>
        <w:t>Gutierrez</w:t>
      </w:r>
      <w:r w:rsidRPr="00A43D3A">
        <w:t>, we established</w:t>
      </w:r>
      <w:r w:rsidRPr="00A43D3A" w:rsidR="00EF1FA1">
        <w:t xml:space="preserve"> that when a court </w:t>
      </w:r>
      <w:r w:rsidRPr="00A43D3A" w:rsidR="00BB2E43">
        <w:t>has</w:t>
      </w:r>
      <w:r w:rsidRPr="00A43D3A" w:rsidR="00EF1FA1">
        <w:t xml:space="preserve"> not exercise</w:t>
      </w:r>
      <w:r w:rsidRPr="00A43D3A" w:rsidR="006E6EF0">
        <w:t>d</w:t>
      </w:r>
      <w:r w:rsidRPr="00A43D3A" w:rsidR="00EF1FA1">
        <w:t xml:space="preserve"> its </w:t>
      </w:r>
      <w:r w:rsidRPr="00A43D3A">
        <w:t xml:space="preserve">informed </w:t>
      </w:r>
      <w:r w:rsidRPr="00A43D3A" w:rsidR="00EF1FA1">
        <w:t xml:space="preserve">discretion, remand </w:t>
      </w:r>
      <w:r w:rsidRPr="00A43D3A" w:rsidR="00BB2E43">
        <w:t>is the</w:t>
      </w:r>
      <w:r w:rsidRPr="00A43D3A" w:rsidR="00EF1FA1">
        <w:t xml:space="preserve"> default </w:t>
      </w:r>
      <w:r w:rsidRPr="00A43D3A" w:rsidR="00BB2E43">
        <w:t>“unless the record ‘clearly indicate[s]’ that the trial court would have reached the same conclusion ‘even if it had been aware that it had such discretion.’</w:t>
      </w:r>
      <w:r w:rsidRPr="00A43D3A" w:rsidR="00E20DCB">
        <w:t> </w:t>
      </w:r>
      <w:r w:rsidRPr="00A43D3A" w:rsidR="00BB2E43">
        <w:t>”  (</w:t>
      </w:r>
      <w:r w:rsidRPr="00A43D3A" w:rsidR="00BB2E43">
        <w:rPr>
          <w:i/>
          <w:iCs/>
        </w:rPr>
        <w:t>Gutierrez</w:t>
      </w:r>
      <w:r w:rsidRPr="0016368E" w:rsidR="00BB2E43">
        <w:t>,</w:t>
      </w:r>
      <w:r w:rsidRPr="00A43D3A" w:rsidR="00BB2E43">
        <w:rPr>
          <w:i/>
          <w:iCs/>
        </w:rPr>
        <w:t xml:space="preserve"> supra</w:t>
      </w:r>
      <w:r w:rsidRPr="00A43D3A" w:rsidR="00BB2E43">
        <w:t>, 58</w:t>
      </w:r>
      <w:r w:rsidRPr="00A43D3A" w:rsidR="00E20DCB">
        <w:t> </w:t>
      </w:r>
      <w:r w:rsidRPr="00A43D3A" w:rsidR="00BB2E43">
        <w:t>Cal.4th at p.</w:t>
      </w:r>
      <w:r w:rsidRPr="00A43D3A" w:rsidR="00E20DCB">
        <w:t> </w:t>
      </w:r>
      <w:r w:rsidRPr="00A43D3A" w:rsidR="00BB2E43">
        <w:t>1391.)  We</w:t>
      </w:r>
      <w:r w:rsidRPr="00A43D3A" w:rsidR="00EF1FA1">
        <w:t xml:space="preserve"> emphasize that </w:t>
      </w:r>
      <w:r w:rsidRPr="00A43D3A" w:rsidR="004400EE">
        <w:t xml:space="preserve">principle </w:t>
      </w:r>
      <w:r w:rsidRPr="00A43D3A" w:rsidR="00BB2E43">
        <w:t>again</w:t>
      </w:r>
      <w:r w:rsidRPr="00A43D3A" w:rsidR="00EF1FA1">
        <w:t xml:space="preserve">: unless there is a clear indication from the </w:t>
      </w:r>
      <w:r w:rsidRPr="00A43D3A" w:rsidR="00370070">
        <w:t xml:space="preserve">sentencing </w:t>
      </w:r>
      <w:r w:rsidRPr="00A43D3A" w:rsidR="00EF1FA1">
        <w:t>court that it would be idle to do so, remand</w:t>
      </w:r>
      <w:r w:rsidRPr="00A43D3A" w:rsidR="00323A26">
        <w:t xml:space="preserve"> for resentencing</w:t>
      </w:r>
      <w:r w:rsidRPr="00A43D3A" w:rsidR="00EF1FA1">
        <w:t xml:space="preserve"> is </w:t>
      </w:r>
      <w:r w:rsidRPr="00A43D3A" w:rsidR="00323A26">
        <w:t>required</w:t>
      </w:r>
      <w:r w:rsidRPr="00A43D3A" w:rsidR="00BB2E43">
        <w:t xml:space="preserve">.  </w:t>
      </w:r>
      <w:bookmarkStart w:id="5" w:name="_Hlk146728584"/>
      <w:r w:rsidRPr="00A43D3A" w:rsidR="0006223A">
        <w:t xml:space="preserve">When the applicable law governing the defendant’s sentence has substantively changed after sentencing, it is almost always speculative for a reviewing court to say what the sentencing court would have done </w:t>
      </w:r>
      <w:r w:rsidRPr="00A43D3A" w:rsidR="00496080">
        <w:rPr>
          <w:szCs w:val="26"/>
        </w:rPr>
        <w:t>if it had known the scope of its discretion</w:t>
      </w:r>
      <w:r w:rsidRPr="00A43D3A" w:rsidR="003B671B">
        <w:rPr>
          <w:szCs w:val="26"/>
        </w:rPr>
        <w:t xml:space="preserve">ary powers at </w:t>
      </w:r>
      <w:r w:rsidRPr="00A43D3A" w:rsidR="003B08E5">
        <w:rPr>
          <w:szCs w:val="26"/>
        </w:rPr>
        <w:t xml:space="preserve">the time of </w:t>
      </w:r>
      <w:r w:rsidRPr="00A43D3A" w:rsidR="003B671B">
        <w:rPr>
          <w:szCs w:val="26"/>
        </w:rPr>
        <w:t>sentencing</w:t>
      </w:r>
      <w:r w:rsidRPr="00A43D3A" w:rsidR="0006223A">
        <w:t xml:space="preserve">.  </w:t>
      </w:r>
      <w:bookmarkStart w:id="6" w:name="_Hlk149810922"/>
      <w:bookmarkEnd w:id="5"/>
      <w:r w:rsidR="00587435">
        <w:t>Mere reliance on the</w:t>
      </w:r>
      <w:r w:rsidR="00F43242">
        <w:t xml:space="preserve"> </w:t>
      </w:r>
      <w:r w:rsidR="008E61E1">
        <w:t xml:space="preserve">length of the </w:t>
      </w:r>
      <w:r w:rsidR="00F43242">
        <w:t>original sentenc</w:t>
      </w:r>
      <w:r w:rsidR="008E61E1">
        <w:t>e and attendant decisions</w:t>
      </w:r>
      <w:r w:rsidRPr="00A43D3A" w:rsidR="004B4208">
        <w:rPr>
          <w:szCs w:val="26"/>
        </w:rPr>
        <w:t xml:space="preserve">, </w:t>
      </w:r>
      <w:r w:rsidR="008E61E1">
        <w:rPr>
          <w:szCs w:val="26"/>
        </w:rPr>
        <w:t xml:space="preserve">such as </w:t>
      </w:r>
      <w:r w:rsidRPr="00A43D3A" w:rsidR="004B4208">
        <w:rPr>
          <w:szCs w:val="26"/>
        </w:rPr>
        <w:t>impos</w:t>
      </w:r>
      <w:r w:rsidR="008E61E1">
        <w:rPr>
          <w:szCs w:val="26"/>
        </w:rPr>
        <w:t>ing</w:t>
      </w:r>
      <w:r w:rsidRPr="00A43D3A" w:rsidR="004B4208">
        <w:rPr>
          <w:szCs w:val="26"/>
        </w:rPr>
        <w:t xml:space="preserve"> consecutive sentences, impos</w:t>
      </w:r>
      <w:r w:rsidR="008E61E1">
        <w:rPr>
          <w:szCs w:val="26"/>
        </w:rPr>
        <w:t>ing</w:t>
      </w:r>
      <w:r w:rsidRPr="00A43D3A" w:rsidR="004B4208">
        <w:rPr>
          <w:szCs w:val="26"/>
        </w:rPr>
        <w:t xml:space="preserve"> middle or upper term sentences</w:t>
      </w:r>
      <w:r w:rsidR="004B4208">
        <w:rPr>
          <w:szCs w:val="26"/>
        </w:rPr>
        <w:t xml:space="preserve">, </w:t>
      </w:r>
      <w:r w:rsidR="008E61E1">
        <w:rPr>
          <w:szCs w:val="26"/>
        </w:rPr>
        <w:t xml:space="preserve">or declining to strike enhancements, is not sufficient to </w:t>
      </w:r>
      <w:r w:rsidR="004B4208">
        <w:rPr>
          <w:szCs w:val="26"/>
        </w:rPr>
        <w:t>provide a clear indication of what</w:t>
      </w:r>
      <w:r w:rsidRPr="00A43D3A" w:rsidR="004B4208">
        <w:t xml:space="preserve"> </w:t>
      </w:r>
      <w:r w:rsidRPr="00A43D3A" w:rsidR="00E023B3">
        <w:rPr>
          <w:szCs w:val="26"/>
        </w:rPr>
        <w:t>a sentencing court might do on remand</w:t>
      </w:r>
      <w:r w:rsidR="00F43242">
        <w:rPr>
          <w:szCs w:val="26"/>
        </w:rPr>
        <w:t xml:space="preserve"> if it had been fully aware of the scope of its discretionary powers</w:t>
      </w:r>
      <w:bookmarkEnd w:id="6"/>
      <w:r w:rsidRPr="00A43D3A" w:rsidR="00E023B3">
        <w:rPr>
          <w:szCs w:val="26"/>
        </w:rPr>
        <w:t xml:space="preserve">. </w:t>
      </w:r>
      <w:r w:rsidRPr="00A43D3A" w:rsidR="00E023B3">
        <w:t xml:space="preserve"> (See, e.g., </w:t>
      </w:r>
      <w:r w:rsidRPr="00A43D3A" w:rsidR="00E023B3">
        <w:rPr>
          <w:i/>
          <w:iCs/>
          <w:szCs w:val="26"/>
        </w:rPr>
        <w:t>People v. Almanza</w:t>
      </w:r>
      <w:r w:rsidRPr="00A43D3A" w:rsidR="00E023B3">
        <w:rPr>
          <w:szCs w:val="26"/>
        </w:rPr>
        <w:t xml:space="preserve"> (2018) 24 Cal.App.5th 1104, 1110–1111.)  </w:t>
      </w:r>
      <w:r w:rsidRPr="00A43D3A" w:rsidR="00BB2E43">
        <w:rPr>
          <w:szCs w:val="26"/>
        </w:rPr>
        <w:t>G</w:t>
      </w:r>
      <w:r w:rsidRPr="00A43D3A" w:rsidR="00EF1FA1">
        <w:t xml:space="preserve">iven </w:t>
      </w:r>
      <w:r w:rsidR="00286EAD">
        <w:t xml:space="preserve">the Attorney General’s concession </w:t>
      </w:r>
      <w:r w:rsidRPr="00A43D3A" w:rsidR="00BB2E43">
        <w:t>that</w:t>
      </w:r>
      <w:r w:rsidRPr="00A43D3A" w:rsidR="00EF1FA1">
        <w:t xml:space="preserve"> </w:t>
      </w:r>
      <w:r w:rsidRPr="00A43D3A" w:rsidR="00CF57F0">
        <w:t>there is at least an affirmative indication in the record that Salazar</w:t>
      </w:r>
      <w:r w:rsidR="009D2947">
        <w:t xml:space="preserve"> may have suffered a qualifying trauma and that such</w:t>
      </w:r>
      <w:r w:rsidRPr="00A43D3A" w:rsidR="00CF57F0">
        <w:t xml:space="preserve"> </w:t>
      </w:r>
      <w:r w:rsidRPr="00A43D3A" w:rsidR="00E5739E">
        <w:t>qualifying trauma</w:t>
      </w:r>
      <w:r w:rsidRPr="00A43D3A" w:rsidR="00CF57F0">
        <w:t xml:space="preserve"> </w:t>
      </w:r>
      <w:r w:rsidR="009D2947">
        <w:t>may have been</w:t>
      </w:r>
      <w:r w:rsidRPr="00A43D3A" w:rsidR="00CF57F0">
        <w:t xml:space="preserve"> a contributing factor to the offense</w:t>
      </w:r>
      <w:r w:rsidRPr="00A43D3A" w:rsidR="00DF7532">
        <w:t>;</w:t>
      </w:r>
      <w:r w:rsidRPr="00A43D3A" w:rsidR="00EF1FA1">
        <w:t xml:space="preserve"> </w:t>
      </w:r>
      <w:r w:rsidR="00286EAD">
        <w:t xml:space="preserve">given </w:t>
      </w:r>
      <w:r w:rsidRPr="00A43D3A" w:rsidR="00EF1FA1">
        <w:t xml:space="preserve">that the </w:t>
      </w:r>
      <w:r w:rsidRPr="00A43D3A" w:rsidR="00BB2E43">
        <w:t xml:space="preserve">sentencing </w:t>
      </w:r>
      <w:r w:rsidRPr="00A43D3A" w:rsidR="00EF1FA1">
        <w:t>court expressly referenced various mitigating factors in its ruling</w:t>
      </w:r>
      <w:r w:rsidRPr="00A43D3A" w:rsidR="00DF7532">
        <w:t>;</w:t>
      </w:r>
      <w:r w:rsidRPr="00A43D3A" w:rsidR="00EF1FA1">
        <w:t xml:space="preserve"> </w:t>
      </w:r>
      <w:r w:rsidRPr="00A43D3A" w:rsidR="00B2154F">
        <w:t xml:space="preserve">and </w:t>
      </w:r>
      <w:r w:rsidR="00286EAD">
        <w:t xml:space="preserve">given </w:t>
      </w:r>
      <w:r w:rsidRPr="00A43D3A" w:rsidR="00EF1FA1">
        <w:t xml:space="preserve">that the </w:t>
      </w:r>
      <w:r w:rsidRPr="00A43D3A" w:rsidR="000D1EE0">
        <w:t xml:space="preserve">sentencing </w:t>
      </w:r>
      <w:r w:rsidRPr="00A43D3A" w:rsidR="00EF1FA1">
        <w:t xml:space="preserve">court </w:t>
      </w:r>
      <w:r w:rsidRPr="00A43D3A" w:rsidR="00BB2E43">
        <w:t xml:space="preserve">declined to impose the </w:t>
      </w:r>
      <w:r w:rsidRPr="00A43D3A" w:rsidR="00923BA3">
        <w:t xml:space="preserve">high </w:t>
      </w:r>
      <w:r w:rsidRPr="00A43D3A" w:rsidR="00BB2E43">
        <w:t>term</w:t>
      </w:r>
      <w:r w:rsidRPr="00A43D3A" w:rsidR="00EF1FA1">
        <w:t xml:space="preserve">, </w:t>
      </w:r>
      <w:r w:rsidRPr="00A43D3A" w:rsidR="00BB2E43">
        <w:t>we find</w:t>
      </w:r>
      <w:r w:rsidRPr="00A43D3A" w:rsidR="00EF1FA1">
        <w:t xml:space="preserve"> </w:t>
      </w:r>
      <w:r w:rsidRPr="00A43D3A" w:rsidR="00BB2E43">
        <w:t>no</w:t>
      </w:r>
      <w:r w:rsidRPr="00A43D3A" w:rsidR="00EF1FA1">
        <w:t xml:space="preserve"> clear indication that </w:t>
      </w:r>
      <w:r w:rsidRPr="00A43D3A" w:rsidR="00BB2E43">
        <w:t xml:space="preserve">the sentencing court would impose the same sentence even under </w:t>
      </w:r>
      <w:r w:rsidRPr="00A43D3A" w:rsidR="000D1EE0">
        <w:t>the new law</w:t>
      </w:r>
      <w:r w:rsidRPr="00A43D3A" w:rsidR="00EF1FA1">
        <w:t xml:space="preserve">. </w:t>
      </w:r>
      <w:r w:rsidRPr="00A43D3A" w:rsidR="00BB2E43">
        <w:t xml:space="preserve"> </w:t>
      </w:r>
      <w:r w:rsidRPr="00A43D3A" w:rsidR="00DF7532">
        <w:t>The</w:t>
      </w:r>
      <w:r w:rsidRPr="00A43D3A" w:rsidR="002C4099">
        <w:t xml:space="preserve"> </w:t>
      </w:r>
      <w:r w:rsidRPr="00A43D3A" w:rsidR="009E1404">
        <w:rPr>
          <w:szCs w:val="26"/>
        </w:rPr>
        <w:t xml:space="preserve">current section 1170 </w:t>
      </w:r>
      <w:r w:rsidRPr="00A43D3A" w:rsidR="00561049">
        <w:t xml:space="preserve">is an ameliorative law that </w:t>
      </w:r>
      <w:r w:rsidRPr="00A43D3A" w:rsidR="000D1EE0">
        <w:rPr>
          <w:i/>
          <w:iCs/>
        </w:rPr>
        <w:t>requires</w:t>
      </w:r>
      <w:r w:rsidRPr="00A43D3A" w:rsidR="000D1EE0">
        <w:t xml:space="preserve"> the sentencing court to impose the low term</w:t>
      </w:r>
      <w:r w:rsidRPr="00A43D3A" w:rsidR="004400EE">
        <w:t xml:space="preserve"> in cases where </w:t>
      </w:r>
      <w:r w:rsidRPr="00A43D3A" w:rsidR="00D04ECD">
        <w:t xml:space="preserve">a qualifying </w:t>
      </w:r>
      <w:r w:rsidRPr="00A43D3A" w:rsidR="004400EE">
        <w:t>trauma contributed to the offense</w:t>
      </w:r>
      <w:r w:rsidRPr="00A43D3A" w:rsidR="000D1EE0">
        <w:t xml:space="preserve"> </w:t>
      </w:r>
      <w:r w:rsidRPr="00A43D3A" w:rsidR="00A008A8">
        <w:t xml:space="preserve">and </w:t>
      </w:r>
      <w:r w:rsidRPr="00A43D3A" w:rsidR="00D04ECD">
        <w:t xml:space="preserve">permits the sentencing court to </w:t>
      </w:r>
      <w:r w:rsidRPr="00A43D3A" w:rsidR="00A008A8">
        <w:t>depart from the low</w:t>
      </w:r>
      <w:r w:rsidRPr="00A43D3A" w:rsidR="00923BA3">
        <w:t>er</w:t>
      </w:r>
      <w:r w:rsidRPr="00A43D3A" w:rsidR="00A008A8">
        <w:t xml:space="preserve"> term</w:t>
      </w:r>
      <w:r w:rsidRPr="00A43D3A" w:rsidR="009E1404">
        <w:t xml:space="preserve"> only</w:t>
      </w:r>
      <w:r w:rsidRPr="00A43D3A" w:rsidR="00A008A8">
        <w:t xml:space="preserve"> </w:t>
      </w:r>
      <w:r w:rsidRPr="00A43D3A" w:rsidR="009E1404">
        <w:t>in specific circumstances.</w:t>
      </w:r>
      <w:r w:rsidRPr="00A43D3A" w:rsidR="000D1EE0">
        <w:t xml:space="preserve">  </w:t>
      </w:r>
      <w:r w:rsidRPr="00A43D3A" w:rsidR="004400EE">
        <w:t xml:space="preserve">This is a marked departure from the prior law under which Salazar was sentenced.  </w:t>
      </w:r>
      <w:r w:rsidRPr="00A43D3A" w:rsidR="00135D60">
        <w:rPr>
          <w:szCs w:val="26"/>
        </w:rPr>
        <w:t xml:space="preserve">The </w:t>
      </w:r>
      <w:r w:rsidRPr="00A43D3A" w:rsidR="00EF1FA1">
        <w:t xml:space="preserve">record </w:t>
      </w:r>
      <w:r w:rsidRPr="00A43D3A" w:rsidR="00DE0DDA">
        <w:t>must</w:t>
      </w:r>
      <w:r w:rsidRPr="00A43D3A" w:rsidR="00135D60">
        <w:t>, accordingly,</w:t>
      </w:r>
      <w:r w:rsidRPr="00A43D3A" w:rsidR="00EF1FA1">
        <w:t xml:space="preserve"> </w:t>
      </w:r>
      <w:r w:rsidRPr="00A43D3A" w:rsidR="00667B37">
        <w:t>be clear</w:t>
      </w:r>
      <w:r w:rsidRPr="00A43D3A" w:rsidR="00EF1FA1">
        <w:t xml:space="preserve"> before </w:t>
      </w:r>
      <w:r w:rsidRPr="00A43D3A" w:rsidR="00B2154F">
        <w:t xml:space="preserve">a reviewing court </w:t>
      </w:r>
      <w:r w:rsidRPr="00A43D3A" w:rsidR="00DE0DDA">
        <w:t>declines to remand and precludes the sentencing</w:t>
      </w:r>
      <w:r w:rsidRPr="00A43D3A" w:rsidR="00EF1FA1">
        <w:t xml:space="preserve"> court </w:t>
      </w:r>
      <w:r w:rsidRPr="00A43D3A" w:rsidR="00DE0DDA">
        <w:t>from</w:t>
      </w:r>
      <w:r w:rsidRPr="00A43D3A" w:rsidR="00EF1FA1">
        <w:t xml:space="preserve"> exercis</w:t>
      </w:r>
      <w:r w:rsidRPr="00A43D3A" w:rsidR="00DE0DDA">
        <w:t xml:space="preserve">ing </w:t>
      </w:r>
      <w:r w:rsidRPr="00A43D3A" w:rsidR="00B2154F">
        <w:t>discretion</w:t>
      </w:r>
      <w:r w:rsidRPr="00A43D3A" w:rsidR="00EF1FA1">
        <w:t xml:space="preserve"> that it never </w:t>
      </w:r>
      <w:r w:rsidRPr="00A43D3A" w:rsidR="00DE0DDA">
        <w:t>k</w:t>
      </w:r>
      <w:r w:rsidRPr="00A43D3A" w:rsidR="00EF1FA1">
        <w:t>new it had.</w:t>
      </w:r>
      <w:r w:rsidRPr="00A43D3A">
        <w:t xml:space="preserve">  </w:t>
      </w:r>
      <w:r w:rsidRPr="00A43D3A" w:rsidR="004400EE">
        <w:t>On this record,</w:t>
      </w:r>
      <w:r w:rsidRPr="00A43D3A" w:rsidR="00917745">
        <w:rPr>
          <w:szCs w:val="26"/>
        </w:rPr>
        <w:t xml:space="preserve"> “we cannot say with confidence what sentence [the court] would have imposed” if </w:t>
      </w:r>
      <w:r w:rsidRPr="00A43D3A" w:rsidR="004400EE">
        <w:rPr>
          <w:szCs w:val="26"/>
        </w:rPr>
        <w:t xml:space="preserve">it were applying </w:t>
      </w:r>
      <w:r w:rsidRPr="00A43D3A" w:rsidR="007753DD">
        <w:rPr>
          <w:szCs w:val="26"/>
        </w:rPr>
        <w:t>Senate Bill 567</w:t>
      </w:r>
      <w:r w:rsidRPr="00A43D3A" w:rsidR="004400EE">
        <w:rPr>
          <w:szCs w:val="26"/>
        </w:rPr>
        <w:t xml:space="preserve"> in the first instance.</w:t>
      </w:r>
      <w:r w:rsidRPr="00A43D3A" w:rsidR="00917745">
        <w:rPr>
          <w:szCs w:val="26"/>
        </w:rPr>
        <w:t xml:space="preserve">  </w:t>
      </w:r>
      <w:r w:rsidRPr="00A43D3A" w:rsidR="005A0216">
        <w:t>(</w:t>
      </w:r>
      <w:r w:rsidRPr="00A43D3A" w:rsidR="00323A26">
        <w:rPr>
          <w:i/>
          <w:iCs/>
        </w:rPr>
        <w:t>Gutierrez</w:t>
      </w:r>
      <w:r w:rsidRPr="0016368E" w:rsidR="00323A26">
        <w:t>,</w:t>
      </w:r>
      <w:r w:rsidRPr="00A43D3A" w:rsidR="00323A26">
        <w:rPr>
          <w:i/>
          <w:iCs/>
        </w:rPr>
        <w:t xml:space="preserve"> </w:t>
      </w:r>
      <w:r w:rsidRPr="00A43D3A" w:rsidR="00323A26">
        <w:t>at p.</w:t>
      </w:r>
      <w:r w:rsidR="00C94EE6">
        <w:t> </w:t>
      </w:r>
      <w:r w:rsidRPr="00A43D3A" w:rsidR="00323A26">
        <w:t>1391</w:t>
      </w:r>
      <w:r w:rsidRPr="00A43D3A" w:rsidR="005A0216">
        <w:t>.)</w:t>
      </w:r>
      <w:r w:rsidRPr="00A43D3A" w:rsidR="00046FE8">
        <w:t xml:space="preserve"> </w:t>
      </w:r>
      <w:r w:rsidRPr="00097AC4" w:rsidR="002F50F3">
        <w:rPr>
          <w:szCs w:val="28"/>
        </w:rPr>
        <w:t xml:space="preserve"> </w:t>
      </w:r>
      <w:r w:rsidRPr="00A43D3A" w:rsidR="002F50F3">
        <w:t>The Legislature has created a procedure for a defendant to seek resentencing and the parties agree that Salazar, whose case is not yet final on appeal, is entitled to its application in this case.</w:t>
      </w:r>
      <w:r w:rsidR="00C94EE6">
        <w:t xml:space="preserve"> </w:t>
      </w:r>
      <w:r w:rsidRPr="00A43D3A" w:rsidR="002F50F3">
        <w:t xml:space="preserve"> Having reviewed the record under the standard </w:t>
      </w:r>
      <w:r w:rsidRPr="00A43D3A" w:rsidR="00A94C00">
        <w:t>enunciated in</w:t>
      </w:r>
      <w:r w:rsidRPr="00A43D3A" w:rsidR="002F50F3">
        <w:t xml:space="preserve"> </w:t>
      </w:r>
      <w:r w:rsidRPr="00A43D3A" w:rsidR="002F50F3">
        <w:rPr>
          <w:i/>
          <w:iCs/>
        </w:rPr>
        <w:t>Gutierrez</w:t>
      </w:r>
      <w:r w:rsidRPr="00A43D3A" w:rsidR="002F50F3">
        <w:t>, we conclude the appropriate remedy is to remand the matter to allow the sentencing court to exercise its discretion in the first instance.</w:t>
      </w:r>
      <w:r w:rsidR="00C94EE6">
        <w:t xml:space="preserve"> </w:t>
      </w:r>
      <w:r w:rsidRPr="00A43D3A" w:rsidR="002F50F3">
        <w:t xml:space="preserve"> We express no view as to how the court should resolve that question.</w:t>
      </w:r>
    </w:p>
    <w:p w:rsidR="00127B35" w14:paraId="2D7D3516" w14:textId="5233CDAD">
      <w:pPr>
        <w:spacing w:after="0" w:line="240" w:lineRule="auto"/>
        <w:jc w:val="left"/>
      </w:pPr>
    </w:p>
    <w:p w:rsidR="00575ADD" w:rsidRPr="00A43D3A" w:rsidP="0016368E" w14:paraId="0CABFA77" w14:textId="77777777">
      <w:pPr>
        <w:keepNext/>
        <w:tabs>
          <w:tab w:val="left" w:pos="1440"/>
        </w:tabs>
        <w:jc w:val="center"/>
        <w:rPr>
          <w:szCs w:val="26"/>
        </w:rPr>
      </w:pPr>
      <w:r w:rsidRPr="00A43D3A">
        <w:rPr>
          <w:szCs w:val="26"/>
        </w:rPr>
        <w:t>III. Disposition</w:t>
      </w:r>
    </w:p>
    <w:p w:rsidR="00A43D3A" w:rsidP="0016368E" w14:paraId="0CABFA78" w14:textId="77777777">
      <w:pPr>
        <w:keepNext/>
        <w:tabs>
          <w:tab w:val="left" w:pos="1440"/>
        </w:tabs>
        <w:ind w:firstLine="720"/>
      </w:pPr>
      <w:r w:rsidRPr="00A43D3A">
        <w:t>W</w:t>
      </w:r>
      <w:r w:rsidRPr="00A43D3A" w:rsidR="00575ADD">
        <w:t xml:space="preserve">e reverse the </w:t>
      </w:r>
      <w:r w:rsidRPr="00A43D3A" w:rsidR="00CC6004">
        <w:t xml:space="preserve">judgment of the </w:t>
      </w:r>
      <w:r w:rsidRPr="00A43D3A" w:rsidR="00575ADD">
        <w:t>Court of Appeal and remand the case to the Court of Appeal with instructions to remand the case to the superior court for resentencing.</w:t>
      </w:r>
    </w:p>
    <w:p w:rsidR="00956608" w14:paraId="0CABFA79" w14:textId="7C13CB1A">
      <w:pPr>
        <w:spacing w:after="0" w:line="240" w:lineRule="auto"/>
        <w:jc w:val="left"/>
      </w:pPr>
      <w:r>
        <w:br w:type="page"/>
      </w:r>
    </w:p>
    <w:bookmarkEnd w:id="0"/>
    <w:p w:rsidR="007400AA" w:rsidP="007400AA" w14:paraId="0CABFA7A" w14:textId="77777777">
      <w:pPr>
        <w:keepNext/>
        <w:spacing w:before="240"/>
        <w:ind w:left="720" w:firstLine="5040"/>
        <w:rPr>
          <w:rStyle w:val="normaltextrun"/>
          <w:rFonts w:cstheme="minorHAnsi"/>
          <w:b/>
          <w:szCs w:val="26"/>
          <w:shd w:val="clear" w:color="auto" w:fill="FFFFFF"/>
        </w:rPr>
      </w:pPr>
      <w:r>
        <w:rPr>
          <w:rStyle w:val="normaltextrun"/>
          <w:rFonts w:cstheme="minorHAnsi"/>
          <w:b/>
          <w:szCs w:val="26"/>
          <w:shd w:val="clear" w:color="auto" w:fill="FFFFFF"/>
        </w:rPr>
        <w:t>GROBAN</w:t>
      </w:r>
      <w:r w:rsidR="007D2F1D">
        <w:rPr>
          <w:rStyle w:val="normaltextrun"/>
          <w:rFonts w:cstheme="minorHAnsi"/>
          <w:b/>
          <w:szCs w:val="26"/>
          <w:shd w:val="clear" w:color="auto" w:fill="FFFFFF"/>
        </w:rPr>
        <w:t>,</w:t>
      </w:r>
      <w:r w:rsidRPr="00043285">
        <w:t> </w:t>
      </w:r>
      <w:r w:rsidRPr="00043285">
        <w:rPr>
          <w:rStyle w:val="normaltextrun"/>
          <w:rFonts w:cstheme="minorHAnsi"/>
          <w:b/>
          <w:szCs w:val="26"/>
          <w:shd w:val="clear" w:color="auto" w:fill="FFFFFF"/>
        </w:rPr>
        <w:t>J.</w:t>
      </w:r>
    </w:p>
    <w:p w:rsidR="007400AA" w:rsidP="007400AA" w14:paraId="0CABFA7B" w14:textId="77777777">
      <w:pPr>
        <w:rPr>
          <w:b/>
        </w:rPr>
      </w:pPr>
    </w:p>
    <w:p w:rsidR="007400AA" w:rsidP="007400AA" w14:paraId="0CABFA7C" w14:textId="77777777">
      <w:pPr>
        <w:rPr>
          <w:b/>
        </w:rPr>
      </w:pPr>
      <w:r>
        <w:rPr>
          <w:b/>
        </w:rPr>
        <w:t>We Concur:</w:t>
      </w:r>
    </w:p>
    <w:p w:rsidR="007400AA" w:rsidP="007400AA" w14:paraId="0CABFA7D" w14:textId="77777777">
      <w:pPr>
        <w:spacing w:after="0" w:line="240" w:lineRule="auto"/>
        <w:jc w:val="left"/>
        <w:rPr>
          <w:b/>
        </w:rPr>
      </w:pPr>
      <w:r>
        <w:rPr>
          <w:b/>
        </w:rPr>
        <w:t>GUERRERO, C. J.</w:t>
      </w:r>
    </w:p>
    <w:p w:rsidR="007400AA" w:rsidP="007400AA" w14:paraId="0CABFA7E" w14:textId="77777777">
      <w:pPr>
        <w:spacing w:after="0" w:line="240" w:lineRule="auto"/>
        <w:rPr>
          <w:b/>
          <w:lang w:val="it-IT"/>
        </w:rPr>
      </w:pPr>
      <w:r>
        <w:rPr>
          <w:b/>
          <w:lang w:val="it-IT"/>
        </w:rPr>
        <w:t>CORRIGAN, J.</w:t>
      </w:r>
    </w:p>
    <w:p w:rsidR="007400AA" w:rsidP="007400AA" w14:paraId="0CABFA7F" w14:textId="77777777">
      <w:pPr>
        <w:spacing w:after="0" w:line="240" w:lineRule="auto"/>
        <w:jc w:val="left"/>
        <w:rPr>
          <w:b/>
        </w:rPr>
      </w:pPr>
      <w:r>
        <w:rPr>
          <w:b/>
        </w:rPr>
        <w:t>LIU, J.</w:t>
      </w:r>
    </w:p>
    <w:p w:rsidR="007400AA" w:rsidP="007400AA" w14:paraId="0CABFA80" w14:textId="77777777">
      <w:pPr>
        <w:spacing w:after="0" w:line="240" w:lineRule="auto"/>
        <w:jc w:val="left"/>
        <w:rPr>
          <w:b/>
          <w:lang w:val="it-IT"/>
        </w:rPr>
      </w:pPr>
      <w:r>
        <w:rPr>
          <w:b/>
          <w:lang w:val="it-IT"/>
        </w:rPr>
        <w:t>KRUGER, J.</w:t>
      </w:r>
    </w:p>
    <w:p w:rsidR="007400AA" w:rsidP="007400AA" w14:paraId="0CABFA81" w14:textId="77777777">
      <w:pPr>
        <w:spacing w:after="0" w:line="240" w:lineRule="auto"/>
        <w:jc w:val="left"/>
        <w:rPr>
          <w:b/>
        </w:rPr>
      </w:pPr>
      <w:r>
        <w:rPr>
          <w:b/>
        </w:rPr>
        <w:t>JENKINS, J.</w:t>
      </w:r>
    </w:p>
    <w:p w:rsidR="007400AA" w:rsidP="007400AA" w14:paraId="0CABFA82" w14:textId="77777777">
      <w:pPr>
        <w:pStyle w:val="Text"/>
        <w:spacing w:line="400" w:lineRule="exact"/>
        <w:ind w:firstLine="0"/>
      </w:pPr>
      <w:r>
        <w:rPr>
          <w:b/>
          <w:lang w:val="it-IT"/>
        </w:rPr>
        <w:t>EVANS</w:t>
      </w:r>
      <w:r>
        <w:rPr>
          <w:b/>
        </w:rPr>
        <w:t>, J.</w:t>
      </w:r>
    </w:p>
    <w:p w:rsidR="00EE4239" w:rsidP="0016368E" w14:paraId="3A54B436" w14:textId="77777777">
      <w:pPr>
        <w:tabs>
          <w:tab w:val="right" w:pos="7200"/>
        </w:tabs>
        <w:sectPr w:rsidSect="000B6F3F">
          <w:footerReference w:type="first" r:id="rId8"/>
          <w:pgSz w:w="12240" w:h="15840"/>
          <w:pgMar w:top="1800" w:right="2160" w:bottom="1440" w:left="2160" w:header="720" w:footer="720" w:gutter="0"/>
          <w:pgNumType w:start="1"/>
          <w:cols w:space="720"/>
          <w:titlePg/>
          <w:docGrid w:linePitch="367"/>
        </w:sectPr>
      </w:pPr>
    </w:p>
    <w:p w:rsidR="008E1EC9" w:rsidRPr="008E1EC9" w:rsidP="008E1EC9" w14:paraId="4BDB4ED4" w14:textId="77777777">
      <w:pPr>
        <w:spacing w:after="0" w:line="240" w:lineRule="auto"/>
        <w:jc w:val="left"/>
        <w:rPr>
          <w:i/>
          <w:sz w:val="24"/>
          <w:szCs w:val="24"/>
        </w:rPr>
      </w:pPr>
      <w:r w:rsidRPr="008E1EC9">
        <w:rPr>
          <w:i/>
          <w:sz w:val="24"/>
          <w:szCs w:val="24"/>
        </w:rPr>
        <w:t>See next page for addresses and telephone numbers for counsel who argued in Supreme Court.</w:t>
      </w:r>
    </w:p>
    <w:p w:rsidR="008E1EC9" w:rsidRPr="008E1EC9" w:rsidP="008E1EC9" w14:paraId="376BE844" w14:textId="77777777">
      <w:pPr>
        <w:spacing w:after="0" w:line="240" w:lineRule="auto"/>
        <w:jc w:val="left"/>
        <w:rPr>
          <w:i/>
          <w:sz w:val="24"/>
          <w:szCs w:val="24"/>
        </w:rPr>
      </w:pPr>
    </w:p>
    <w:p w:rsidR="008E1EC9" w:rsidRPr="008E1EC9" w:rsidP="008E1EC9" w14:paraId="41BA5CF5" w14:textId="77777777">
      <w:pPr>
        <w:spacing w:after="0" w:line="240" w:lineRule="auto"/>
        <w:jc w:val="left"/>
        <w:rPr>
          <w:bCs/>
          <w:sz w:val="24"/>
          <w:szCs w:val="24"/>
        </w:rPr>
      </w:pPr>
      <w:r w:rsidRPr="008E1EC9">
        <w:rPr>
          <w:b/>
          <w:sz w:val="24"/>
          <w:szCs w:val="24"/>
        </w:rPr>
        <w:t xml:space="preserve">Name of Opinion  </w:t>
      </w:r>
      <w:r w:rsidRPr="008E1EC9">
        <w:rPr>
          <w:bCs/>
          <w:sz w:val="24"/>
          <w:szCs w:val="24"/>
        </w:rPr>
        <w:t>People v. Salazar</w:t>
      </w:r>
    </w:p>
    <w:p w:rsidR="008E1EC9" w:rsidRPr="008E1EC9" w:rsidP="008E1EC9" w14:paraId="258CFE32" w14:textId="77777777">
      <w:pPr>
        <w:spacing w:after="0" w:line="240" w:lineRule="auto"/>
        <w:jc w:val="left"/>
        <w:rPr>
          <w:b/>
          <w:sz w:val="24"/>
          <w:szCs w:val="24"/>
        </w:rPr>
      </w:pPr>
      <w:r w:rsidRPr="008E1EC9">
        <w:rPr>
          <w:b/>
          <w:sz w:val="24"/>
          <w:szCs w:val="24"/>
        </w:rPr>
        <w:t xml:space="preserve">__________________________________________________________ </w:t>
      </w:r>
    </w:p>
    <w:p w:rsidR="008E1EC9" w:rsidRPr="008E1EC9" w:rsidP="008E1EC9" w14:paraId="2D0079D0" w14:textId="77777777">
      <w:pPr>
        <w:spacing w:after="0" w:line="240" w:lineRule="auto"/>
        <w:jc w:val="left"/>
        <w:rPr>
          <w:b/>
          <w:sz w:val="24"/>
          <w:szCs w:val="24"/>
        </w:rPr>
      </w:pPr>
    </w:p>
    <w:p w:rsidR="008E1EC9" w:rsidRPr="008E1EC9" w:rsidP="008E1EC9" w14:paraId="064DFC81" w14:textId="77777777">
      <w:pPr>
        <w:spacing w:after="0" w:line="240" w:lineRule="auto"/>
        <w:jc w:val="left"/>
        <w:rPr>
          <w:sz w:val="24"/>
          <w:szCs w:val="24"/>
        </w:rPr>
      </w:pPr>
      <w:r w:rsidRPr="008E1EC9">
        <w:rPr>
          <w:b/>
          <w:bCs/>
          <w:sz w:val="24"/>
          <w:szCs w:val="24"/>
          <w:u w:val="single"/>
        </w:rPr>
        <w:t>Procedural Posture</w:t>
      </w:r>
      <w:r w:rsidRPr="008E1EC9">
        <w:rPr>
          <w:b/>
          <w:bCs/>
          <w:sz w:val="24"/>
          <w:szCs w:val="24"/>
        </w:rPr>
        <w:t xml:space="preserve"> </w:t>
      </w:r>
      <w:r w:rsidRPr="008E1EC9">
        <w:rPr>
          <w:sz w:val="24"/>
          <w:szCs w:val="24"/>
        </w:rPr>
        <w:t>(see XX below)</w:t>
      </w:r>
    </w:p>
    <w:p w:rsidR="008E1EC9" w:rsidRPr="008E1EC9" w:rsidP="008E1EC9" w14:paraId="78DC8F77" w14:textId="77777777">
      <w:pPr>
        <w:spacing w:after="0" w:line="240" w:lineRule="auto"/>
        <w:jc w:val="left"/>
        <w:rPr>
          <w:sz w:val="24"/>
          <w:szCs w:val="24"/>
        </w:rPr>
      </w:pPr>
      <w:r w:rsidRPr="008E1EC9">
        <w:rPr>
          <w:b/>
          <w:bCs/>
          <w:sz w:val="24"/>
          <w:szCs w:val="24"/>
        </w:rPr>
        <w:t>Original Appeal</w:t>
      </w:r>
      <w:r w:rsidRPr="008E1EC9">
        <w:rPr>
          <w:sz w:val="24"/>
          <w:szCs w:val="24"/>
        </w:rPr>
        <w:t xml:space="preserve"> </w:t>
      </w:r>
    </w:p>
    <w:p w:rsidR="008E1EC9" w:rsidRPr="008E1EC9" w:rsidP="008E1EC9" w14:paraId="4078C7AF" w14:textId="77777777">
      <w:pPr>
        <w:spacing w:after="0" w:line="240" w:lineRule="auto"/>
        <w:jc w:val="left"/>
        <w:rPr>
          <w:b/>
          <w:bCs/>
          <w:sz w:val="24"/>
          <w:szCs w:val="24"/>
        </w:rPr>
      </w:pPr>
      <w:r w:rsidRPr="008E1EC9">
        <w:rPr>
          <w:b/>
          <w:bCs/>
          <w:sz w:val="24"/>
          <w:szCs w:val="24"/>
        </w:rPr>
        <w:t>Original Proceeding</w:t>
      </w:r>
    </w:p>
    <w:p w:rsidR="008E1EC9" w:rsidRPr="008E1EC9" w:rsidP="008E1EC9" w14:paraId="74915D5D" w14:textId="77777777">
      <w:pPr>
        <w:spacing w:after="0" w:line="240" w:lineRule="auto"/>
        <w:jc w:val="left"/>
        <w:rPr>
          <w:sz w:val="24"/>
          <w:szCs w:val="24"/>
        </w:rPr>
      </w:pPr>
      <w:r w:rsidRPr="008E1EC9">
        <w:rPr>
          <w:b/>
          <w:bCs/>
          <w:sz w:val="24"/>
          <w:szCs w:val="24"/>
        </w:rPr>
        <w:t>Review Granted</w:t>
      </w:r>
      <w:r w:rsidRPr="008E1EC9">
        <w:rPr>
          <w:sz w:val="24"/>
          <w:szCs w:val="24"/>
        </w:rPr>
        <w:t xml:space="preserve"> </w:t>
      </w:r>
      <w:r w:rsidRPr="008E1EC9">
        <w:rPr>
          <w:b/>
          <w:bCs/>
          <w:sz w:val="24"/>
          <w:szCs w:val="24"/>
        </w:rPr>
        <w:t xml:space="preserve">(published) </w:t>
      </w:r>
      <w:r w:rsidRPr="008E1EC9">
        <w:rPr>
          <w:sz w:val="24"/>
          <w:szCs w:val="24"/>
        </w:rPr>
        <w:t>XX 80 Cal.App.5th 453</w:t>
      </w:r>
    </w:p>
    <w:p w:rsidR="008E1EC9" w:rsidRPr="008E1EC9" w:rsidP="008E1EC9" w14:paraId="07B79BFE" w14:textId="77777777">
      <w:pPr>
        <w:spacing w:after="0" w:line="240" w:lineRule="auto"/>
        <w:jc w:val="left"/>
        <w:rPr>
          <w:sz w:val="24"/>
          <w:szCs w:val="24"/>
        </w:rPr>
      </w:pPr>
      <w:r w:rsidRPr="008E1EC9">
        <w:rPr>
          <w:b/>
          <w:bCs/>
          <w:sz w:val="24"/>
          <w:szCs w:val="24"/>
        </w:rPr>
        <w:t xml:space="preserve">Review Granted (unpublished) </w:t>
      </w:r>
    </w:p>
    <w:p w:rsidR="008E1EC9" w:rsidRPr="008E1EC9" w:rsidP="008E1EC9" w14:paraId="29E825A2" w14:textId="77777777">
      <w:pPr>
        <w:spacing w:after="0" w:line="240" w:lineRule="auto"/>
        <w:jc w:val="left"/>
        <w:rPr>
          <w:b/>
          <w:bCs/>
          <w:sz w:val="24"/>
          <w:szCs w:val="24"/>
        </w:rPr>
      </w:pPr>
      <w:r w:rsidRPr="008E1EC9">
        <w:rPr>
          <w:b/>
          <w:bCs/>
          <w:sz w:val="24"/>
          <w:szCs w:val="24"/>
        </w:rPr>
        <w:t>Rehearing Granted</w:t>
      </w:r>
    </w:p>
    <w:p w:rsidR="008E1EC9" w:rsidRPr="008E1EC9" w:rsidP="008E1EC9" w14:paraId="49F880D5" w14:textId="77777777">
      <w:pPr>
        <w:spacing w:after="0" w:line="240" w:lineRule="auto"/>
        <w:jc w:val="left"/>
        <w:rPr>
          <w:b/>
          <w:sz w:val="24"/>
          <w:szCs w:val="24"/>
        </w:rPr>
      </w:pPr>
      <w:r w:rsidRPr="008E1EC9">
        <w:rPr>
          <w:b/>
          <w:sz w:val="24"/>
          <w:szCs w:val="24"/>
        </w:rPr>
        <w:t xml:space="preserve">__________________________________________________________ </w:t>
      </w:r>
    </w:p>
    <w:p w:rsidR="008E1EC9" w:rsidRPr="008E1EC9" w:rsidP="008E1EC9" w14:paraId="5D734212" w14:textId="77777777">
      <w:pPr>
        <w:spacing w:after="0" w:line="240" w:lineRule="auto"/>
        <w:jc w:val="left"/>
        <w:rPr>
          <w:b/>
          <w:sz w:val="24"/>
          <w:szCs w:val="24"/>
        </w:rPr>
      </w:pPr>
    </w:p>
    <w:p w:rsidR="008E1EC9" w:rsidRPr="008E1EC9" w:rsidP="008E1EC9" w14:paraId="29BA8C73" w14:textId="77777777">
      <w:pPr>
        <w:spacing w:after="0" w:line="240" w:lineRule="auto"/>
        <w:jc w:val="left"/>
        <w:rPr>
          <w:bCs/>
          <w:sz w:val="24"/>
          <w:szCs w:val="24"/>
        </w:rPr>
      </w:pPr>
      <w:r w:rsidRPr="008E1EC9">
        <w:rPr>
          <w:b/>
          <w:sz w:val="24"/>
          <w:szCs w:val="24"/>
        </w:rPr>
        <w:t>Opinion No.</w:t>
      </w:r>
      <w:r w:rsidRPr="008E1EC9">
        <w:rPr>
          <w:sz w:val="24"/>
          <w:szCs w:val="24"/>
        </w:rPr>
        <w:t xml:space="preserve"> S275788</w:t>
      </w:r>
    </w:p>
    <w:p w:rsidR="008E1EC9" w:rsidRPr="008E1EC9" w:rsidP="008E1EC9" w14:paraId="74AADE6F" w14:textId="77777777">
      <w:pPr>
        <w:spacing w:after="0" w:line="240" w:lineRule="auto"/>
        <w:jc w:val="left"/>
        <w:rPr>
          <w:bCs/>
          <w:sz w:val="24"/>
          <w:szCs w:val="24"/>
        </w:rPr>
      </w:pPr>
      <w:r w:rsidRPr="008E1EC9">
        <w:rPr>
          <w:b/>
          <w:sz w:val="24"/>
          <w:szCs w:val="24"/>
        </w:rPr>
        <w:t>Date Filed:</w:t>
      </w:r>
      <w:r w:rsidRPr="008E1EC9">
        <w:rPr>
          <w:sz w:val="24"/>
          <w:szCs w:val="24"/>
        </w:rPr>
        <w:t xml:space="preserve">  November 20, 2023</w:t>
      </w:r>
    </w:p>
    <w:p w:rsidR="008E1EC9" w:rsidRPr="008E1EC9" w:rsidP="008E1EC9" w14:paraId="5A242D2D" w14:textId="77777777">
      <w:pPr>
        <w:spacing w:after="0" w:line="240" w:lineRule="auto"/>
        <w:jc w:val="left"/>
        <w:rPr>
          <w:b/>
          <w:sz w:val="24"/>
          <w:szCs w:val="24"/>
        </w:rPr>
      </w:pPr>
      <w:r w:rsidRPr="008E1EC9">
        <w:rPr>
          <w:b/>
          <w:sz w:val="24"/>
          <w:szCs w:val="24"/>
        </w:rPr>
        <w:t xml:space="preserve">__________________________________________________________ </w:t>
      </w:r>
    </w:p>
    <w:p w:rsidR="008E1EC9" w:rsidRPr="008E1EC9" w:rsidP="008E1EC9" w14:paraId="38E60412" w14:textId="77777777">
      <w:pPr>
        <w:spacing w:after="0" w:line="240" w:lineRule="auto"/>
        <w:jc w:val="left"/>
        <w:rPr>
          <w:b/>
          <w:sz w:val="24"/>
          <w:szCs w:val="24"/>
        </w:rPr>
      </w:pPr>
    </w:p>
    <w:p w:rsidR="008E1EC9" w:rsidRPr="008E1EC9" w:rsidP="008E1EC9" w14:paraId="6B36EF84" w14:textId="77777777">
      <w:pPr>
        <w:spacing w:after="0" w:line="240" w:lineRule="auto"/>
        <w:jc w:val="left"/>
        <w:rPr>
          <w:bCs/>
          <w:sz w:val="24"/>
          <w:szCs w:val="24"/>
        </w:rPr>
      </w:pPr>
      <w:r w:rsidRPr="008E1EC9">
        <w:rPr>
          <w:b/>
          <w:sz w:val="24"/>
          <w:szCs w:val="24"/>
        </w:rPr>
        <w:t xml:space="preserve">Court:  </w:t>
      </w:r>
      <w:r w:rsidRPr="008E1EC9">
        <w:rPr>
          <w:bCs/>
          <w:sz w:val="24"/>
          <w:szCs w:val="24"/>
        </w:rPr>
        <w:t>Superior</w:t>
      </w:r>
      <w:r w:rsidRPr="008E1EC9">
        <w:rPr>
          <w:b/>
          <w:sz w:val="24"/>
          <w:szCs w:val="24"/>
        </w:rPr>
        <w:t xml:space="preserve"> </w:t>
      </w:r>
    </w:p>
    <w:p w:rsidR="008E1EC9" w:rsidRPr="008E1EC9" w:rsidP="008E1EC9" w14:paraId="358F9802" w14:textId="77777777">
      <w:pPr>
        <w:spacing w:after="0" w:line="240" w:lineRule="auto"/>
        <w:jc w:val="left"/>
        <w:rPr>
          <w:bCs/>
          <w:sz w:val="24"/>
          <w:szCs w:val="24"/>
        </w:rPr>
      </w:pPr>
      <w:r w:rsidRPr="008E1EC9">
        <w:rPr>
          <w:b/>
          <w:sz w:val="24"/>
          <w:szCs w:val="24"/>
        </w:rPr>
        <w:t xml:space="preserve">County:  </w:t>
      </w:r>
      <w:r w:rsidRPr="008E1EC9">
        <w:rPr>
          <w:bCs/>
          <w:sz w:val="24"/>
          <w:szCs w:val="24"/>
        </w:rPr>
        <w:t>Ventura</w:t>
      </w:r>
    </w:p>
    <w:p w:rsidR="008E1EC9" w:rsidRPr="008E1EC9" w:rsidP="008E1EC9" w14:paraId="60C764B5" w14:textId="77777777">
      <w:pPr>
        <w:spacing w:after="0" w:line="240" w:lineRule="auto"/>
        <w:ind w:left="720" w:hanging="720"/>
        <w:jc w:val="left"/>
        <w:rPr>
          <w:bCs/>
          <w:sz w:val="24"/>
          <w:szCs w:val="24"/>
        </w:rPr>
      </w:pPr>
      <w:r w:rsidRPr="008E1EC9">
        <w:rPr>
          <w:b/>
          <w:sz w:val="24"/>
          <w:szCs w:val="24"/>
        </w:rPr>
        <w:t xml:space="preserve">Judge: </w:t>
      </w:r>
      <w:r w:rsidRPr="008E1EC9">
        <w:rPr>
          <w:bCs/>
          <w:sz w:val="24"/>
          <w:szCs w:val="24"/>
        </w:rPr>
        <w:t xml:space="preserve"> Anthony J. Sabo</w:t>
      </w:r>
    </w:p>
    <w:p w:rsidR="008E1EC9" w:rsidRPr="008E1EC9" w:rsidP="008E1EC9" w14:paraId="5C6F67BE" w14:textId="77777777">
      <w:pPr>
        <w:spacing w:after="0" w:line="240" w:lineRule="auto"/>
        <w:jc w:val="left"/>
        <w:rPr>
          <w:b/>
          <w:sz w:val="24"/>
          <w:szCs w:val="24"/>
        </w:rPr>
      </w:pPr>
      <w:r w:rsidRPr="008E1EC9">
        <w:rPr>
          <w:b/>
          <w:sz w:val="24"/>
          <w:szCs w:val="24"/>
        </w:rPr>
        <w:t xml:space="preserve">__________________________________________________________  </w:t>
      </w:r>
    </w:p>
    <w:p w:rsidR="008E1EC9" w:rsidRPr="008E1EC9" w:rsidP="008E1EC9" w14:paraId="38EBC4C2" w14:textId="77777777">
      <w:pPr>
        <w:spacing w:after="0" w:line="240" w:lineRule="auto"/>
        <w:jc w:val="left"/>
        <w:rPr>
          <w:b/>
          <w:sz w:val="24"/>
          <w:szCs w:val="24"/>
        </w:rPr>
      </w:pPr>
    </w:p>
    <w:p w:rsidR="008E1EC9" w:rsidRPr="008E1EC9" w:rsidP="008E1EC9" w14:paraId="47E80D0F" w14:textId="77777777">
      <w:pPr>
        <w:spacing w:after="0" w:line="240" w:lineRule="auto"/>
        <w:jc w:val="left"/>
        <w:rPr>
          <w:b/>
          <w:sz w:val="24"/>
          <w:szCs w:val="24"/>
        </w:rPr>
      </w:pPr>
      <w:r w:rsidRPr="008E1EC9">
        <w:rPr>
          <w:b/>
          <w:sz w:val="24"/>
          <w:szCs w:val="24"/>
        </w:rPr>
        <w:t>Counsel:</w:t>
      </w:r>
    </w:p>
    <w:p w:rsidR="008E1EC9" w:rsidRPr="008E1EC9" w:rsidP="008E1EC9" w14:paraId="2C49D656" w14:textId="77777777">
      <w:pPr>
        <w:spacing w:after="0" w:line="240" w:lineRule="auto"/>
        <w:jc w:val="left"/>
        <w:rPr>
          <w:b/>
          <w:sz w:val="24"/>
          <w:szCs w:val="24"/>
        </w:rPr>
      </w:pPr>
    </w:p>
    <w:p w:rsidR="008E1EC9" w:rsidRPr="008E1EC9" w:rsidP="008E1EC9" w14:paraId="27B06B93" w14:textId="77777777">
      <w:pPr>
        <w:spacing w:after="0" w:line="240" w:lineRule="auto"/>
        <w:jc w:val="left"/>
        <w:rPr>
          <w:color w:val="212121"/>
          <w:sz w:val="24"/>
          <w:szCs w:val="24"/>
          <w:shd w:val="clear" w:color="auto" w:fill="FFFFFF"/>
        </w:rPr>
      </w:pPr>
      <w:r w:rsidRPr="008E1EC9">
        <w:rPr>
          <w:color w:val="212121"/>
          <w:sz w:val="24"/>
          <w:szCs w:val="24"/>
          <w:shd w:val="clear" w:color="auto" w:fill="FFFFFF"/>
        </w:rPr>
        <w:t>Arielle Bases, under appointment by the Supreme Court, for Defendant and Appellant.</w:t>
      </w:r>
    </w:p>
    <w:p w:rsidR="008E1EC9" w:rsidRPr="008E1EC9" w:rsidP="008E1EC9" w14:paraId="361BA112" w14:textId="77777777">
      <w:pPr>
        <w:spacing w:after="0" w:line="240" w:lineRule="auto"/>
        <w:jc w:val="left"/>
        <w:rPr>
          <w:color w:val="212121"/>
          <w:sz w:val="24"/>
          <w:szCs w:val="24"/>
          <w:shd w:val="clear" w:color="auto" w:fill="FFFFFF"/>
        </w:rPr>
      </w:pPr>
    </w:p>
    <w:p w:rsidR="008E1EC9" w:rsidRPr="008E1EC9" w:rsidP="008E1EC9" w14:paraId="5CFF11FE" w14:textId="77777777">
      <w:pPr>
        <w:spacing w:after="0" w:line="240" w:lineRule="auto"/>
        <w:jc w:val="left"/>
        <w:rPr>
          <w:color w:val="212121"/>
          <w:sz w:val="24"/>
          <w:szCs w:val="24"/>
          <w:shd w:val="clear" w:color="auto" w:fill="FFFFFF"/>
        </w:rPr>
      </w:pPr>
      <w:r w:rsidRPr="008E1EC9">
        <w:rPr>
          <w:color w:val="212121"/>
          <w:sz w:val="24"/>
          <w:szCs w:val="24"/>
          <w:shd w:val="clear" w:color="auto" w:fill="FFFFFF"/>
        </w:rPr>
        <w:t>Rob Bonta, Attorney General, Lance E. Winters, Chief Assistant Attorney General, Susan Sullivan Pithey, Assistant Attorney General, Chung L. Mar, Steven D. Matthews and David F. Glassman, Deputy Attorneys General, for Plaintiff and Respondent.</w:t>
      </w:r>
      <w:r w:rsidRPr="008E1EC9">
        <w:rPr>
          <w:color w:val="212121"/>
          <w:sz w:val="24"/>
          <w:szCs w:val="24"/>
          <w:shd w:val="clear" w:color="auto" w:fill="FFFFFF"/>
        </w:rPr>
        <w:br w:type="page"/>
      </w:r>
      <w:r w:rsidRPr="008E1EC9">
        <w:rPr>
          <w:b/>
          <w:sz w:val="24"/>
          <w:szCs w:val="24"/>
        </w:rPr>
        <w:t xml:space="preserve">Counsel who argued in Supreme Court (not intended for publication with opinion): </w:t>
      </w:r>
    </w:p>
    <w:p w:rsidR="008E1EC9" w:rsidRPr="008E1EC9" w:rsidP="008E1EC9" w14:paraId="4062310A" w14:textId="77777777">
      <w:pPr>
        <w:spacing w:after="0" w:line="240" w:lineRule="auto"/>
        <w:jc w:val="left"/>
        <w:rPr>
          <w:sz w:val="24"/>
          <w:szCs w:val="24"/>
        </w:rPr>
      </w:pPr>
    </w:p>
    <w:p w:rsidR="008E1EC9" w:rsidRPr="008E1EC9" w:rsidP="008E1EC9" w14:paraId="12001877" w14:textId="77777777">
      <w:pPr>
        <w:spacing w:after="0" w:line="240" w:lineRule="auto"/>
        <w:jc w:val="left"/>
        <w:rPr>
          <w:color w:val="212121"/>
          <w:sz w:val="24"/>
          <w:szCs w:val="24"/>
          <w:shd w:val="clear" w:color="auto" w:fill="FFFFFF"/>
        </w:rPr>
      </w:pPr>
      <w:r w:rsidRPr="008E1EC9">
        <w:rPr>
          <w:color w:val="212121"/>
          <w:sz w:val="24"/>
          <w:szCs w:val="24"/>
          <w:shd w:val="clear" w:color="auto" w:fill="FFFFFF"/>
        </w:rPr>
        <w:t>Arielle Bases</w:t>
      </w:r>
    </w:p>
    <w:p w:rsidR="008E1EC9" w:rsidRPr="008E1EC9" w:rsidP="008E1EC9" w14:paraId="28B739D1" w14:textId="77777777">
      <w:pPr>
        <w:spacing w:after="0" w:line="240" w:lineRule="auto"/>
        <w:jc w:val="left"/>
        <w:rPr>
          <w:color w:val="212121"/>
          <w:sz w:val="24"/>
          <w:szCs w:val="24"/>
          <w:shd w:val="clear" w:color="auto" w:fill="FFFFFF"/>
        </w:rPr>
      </w:pPr>
      <w:r w:rsidRPr="008E1EC9">
        <w:rPr>
          <w:color w:val="212121"/>
          <w:sz w:val="24"/>
          <w:szCs w:val="24"/>
          <w:shd w:val="clear" w:color="auto" w:fill="FFFFFF"/>
        </w:rPr>
        <w:t>Bases &amp; Bases, APC</w:t>
      </w:r>
    </w:p>
    <w:p w:rsidR="008E1EC9" w:rsidRPr="008E1EC9" w:rsidP="008E1EC9" w14:paraId="1831BD54" w14:textId="77777777">
      <w:pPr>
        <w:spacing w:after="0" w:line="240" w:lineRule="auto"/>
        <w:jc w:val="left"/>
        <w:rPr>
          <w:sz w:val="24"/>
          <w:szCs w:val="24"/>
        </w:rPr>
      </w:pPr>
      <w:r w:rsidRPr="008E1EC9">
        <w:rPr>
          <w:sz w:val="24"/>
          <w:szCs w:val="24"/>
        </w:rPr>
        <w:t>16633 Ventura Boulevard, Suite 500</w:t>
      </w:r>
    </w:p>
    <w:p w:rsidR="008E1EC9" w:rsidRPr="008E1EC9" w:rsidP="008E1EC9" w14:paraId="4738EE0C" w14:textId="77777777">
      <w:pPr>
        <w:spacing w:after="0" w:line="240" w:lineRule="auto"/>
        <w:jc w:val="left"/>
        <w:rPr>
          <w:sz w:val="24"/>
          <w:szCs w:val="24"/>
        </w:rPr>
      </w:pPr>
      <w:r w:rsidRPr="008E1EC9">
        <w:rPr>
          <w:sz w:val="24"/>
          <w:szCs w:val="24"/>
        </w:rPr>
        <w:t>Encino, CA 91436</w:t>
      </w:r>
    </w:p>
    <w:p w:rsidR="008E1EC9" w:rsidRPr="008E1EC9" w:rsidP="008E1EC9" w14:paraId="6E11147A" w14:textId="77777777">
      <w:pPr>
        <w:spacing w:after="0" w:line="240" w:lineRule="auto"/>
        <w:jc w:val="left"/>
        <w:rPr>
          <w:sz w:val="24"/>
          <w:szCs w:val="24"/>
        </w:rPr>
      </w:pPr>
      <w:r w:rsidRPr="008E1EC9">
        <w:rPr>
          <w:sz w:val="24"/>
          <w:szCs w:val="24"/>
        </w:rPr>
        <w:t>(818) 905-1144</w:t>
      </w:r>
    </w:p>
    <w:p w:rsidR="008E1EC9" w:rsidRPr="008E1EC9" w:rsidP="008E1EC9" w14:paraId="204B8F86" w14:textId="77777777">
      <w:pPr>
        <w:spacing w:after="0" w:line="240" w:lineRule="auto"/>
        <w:jc w:val="left"/>
        <w:rPr>
          <w:sz w:val="24"/>
          <w:szCs w:val="24"/>
        </w:rPr>
      </w:pPr>
    </w:p>
    <w:p w:rsidR="008E1EC9" w:rsidRPr="008E1EC9" w:rsidP="008E1EC9" w14:paraId="0DCDBD42" w14:textId="77777777">
      <w:pPr>
        <w:spacing w:after="0" w:line="240" w:lineRule="auto"/>
        <w:jc w:val="left"/>
        <w:rPr>
          <w:color w:val="212121"/>
          <w:sz w:val="24"/>
          <w:szCs w:val="24"/>
          <w:shd w:val="clear" w:color="auto" w:fill="FFFFFF"/>
        </w:rPr>
      </w:pPr>
      <w:r w:rsidRPr="008E1EC9">
        <w:rPr>
          <w:color w:val="212121"/>
          <w:sz w:val="24"/>
          <w:szCs w:val="24"/>
          <w:shd w:val="clear" w:color="auto" w:fill="FFFFFF"/>
        </w:rPr>
        <w:t>David F. Glassman</w:t>
      </w:r>
    </w:p>
    <w:p w:rsidR="008E1EC9" w:rsidRPr="008E1EC9" w:rsidP="008E1EC9" w14:paraId="28E23B95" w14:textId="77777777">
      <w:pPr>
        <w:spacing w:after="0" w:line="240" w:lineRule="auto"/>
        <w:jc w:val="left"/>
        <w:rPr>
          <w:color w:val="212121"/>
          <w:sz w:val="24"/>
          <w:szCs w:val="24"/>
          <w:shd w:val="clear" w:color="auto" w:fill="FFFFFF"/>
        </w:rPr>
      </w:pPr>
      <w:r w:rsidRPr="008E1EC9">
        <w:rPr>
          <w:color w:val="212121"/>
          <w:sz w:val="24"/>
          <w:szCs w:val="24"/>
          <w:shd w:val="clear" w:color="auto" w:fill="FFFFFF"/>
        </w:rPr>
        <w:t>Deputy Attorney General</w:t>
      </w:r>
    </w:p>
    <w:p w:rsidR="008E1EC9" w:rsidRPr="008E1EC9" w:rsidP="008E1EC9" w14:paraId="0A149C39" w14:textId="77777777">
      <w:pPr>
        <w:spacing w:after="0" w:line="240" w:lineRule="auto"/>
        <w:jc w:val="left"/>
        <w:rPr>
          <w:sz w:val="24"/>
          <w:szCs w:val="24"/>
        </w:rPr>
      </w:pPr>
      <w:r w:rsidRPr="008E1EC9">
        <w:rPr>
          <w:sz w:val="24"/>
          <w:szCs w:val="24"/>
        </w:rPr>
        <w:t xml:space="preserve">300 South Spring Street </w:t>
      </w:r>
    </w:p>
    <w:p w:rsidR="008E1EC9" w:rsidRPr="008E1EC9" w:rsidP="008E1EC9" w14:paraId="53B9E90F" w14:textId="77777777">
      <w:pPr>
        <w:spacing w:after="0" w:line="240" w:lineRule="auto"/>
        <w:jc w:val="left"/>
        <w:rPr>
          <w:sz w:val="24"/>
          <w:szCs w:val="24"/>
        </w:rPr>
      </w:pPr>
      <w:r w:rsidRPr="008E1EC9">
        <w:rPr>
          <w:sz w:val="24"/>
          <w:szCs w:val="24"/>
        </w:rPr>
        <w:t xml:space="preserve">Los Angeles, CA 90013 </w:t>
      </w:r>
    </w:p>
    <w:p w:rsidR="008E1EC9" w:rsidRPr="008E1EC9" w:rsidP="008E1EC9" w14:paraId="1E2EC0B0" w14:textId="77777777">
      <w:pPr>
        <w:spacing w:after="0" w:line="240" w:lineRule="auto"/>
        <w:jc w:val="left"/>
        <w:rPr>
          <w:sz w:val="24"/>
          <w:szCs w:val="24"/>
        </w:rPr>
      </w:pPr>
      <w:r w:rsidRPr="008E1EC9">
        <w:rPr>
          <w:sz w:val="24"/>
          <w:szCs w:val="24"/>
        </w:rPr>
        <w:t>(213) 269-6207</w:t>
      </w:r>
    </w:p>
    <w:p w:rsidR="008E1EC9" w:rsidRPr="008E1EC9" w:rsidP="008E1EC9" w14:paraId="02A2EA6C" w14:textId="77777777">
      <w:pPr>
        <w:spacing w:after="0" w:line="240" w:lineRule="auto"/>
        <w:jc w:val="left"/>
        <w:rPr>
          <w:sz w:val="24"/>
          <w:szCs w:val="24"/>
        </w:rPr>
      </w:pPr>
    </w:p>
    <w:p w:rsidR="005119B8" w:rsidRPr="00A43D3A" w:rsidP="0016368E" w14:paraId="0CABFA83" w14:textId="77777777">
      <w:pPr>
        <w:tabs>
          <w:tab w:val="right" w:pos="7200"/>
        </w:tabs>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3FB" w14:paraId="0CABFA8A"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D3A" w14:paraId="0CABFA8B"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1EC9" w:rsidRPr="008E1EC9" w:rsidP="008E1EC9" w14:paraId="49BB2AA9" w14:textId="2C608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0C1D" w14:paraId="0CABFA84" w14:textId="77777777">
      <w:r>
        <w:separator/>
      </w:r>
    </w:p>
  </w:footnote>
  <w:footnote w:type="continuationSeparator" w:id="1">
    <w:p w:rsidR="00B10C1D" w14:paraId="0CABFA85" w14:textId="77777777">
      <w:pPr>
        <w:rPr>
          <w:sz w:val="22"/>
        </w:rPr>
      </w:pPr>
      <w:r>
        <w:continuationSeparator/>
      </w:r>
    </w:p>
  </w:footnote>
  <w:footnote w:type="continuationNotice" w:id="2">
    <w:p w:rsidR="00B10C1D" w14:paraId="0CABFA86" w14:textId="77777777">
      <w:pPr>
        <w:jc w:val="right"/>
        <w:rPr>
          <w:i/>
          <w:sz w:val="20"/>
        </w:rPr>
      </w:pPr>
    </w:p>
  </w:footnote>
  <w:footnote w:id="3">
    <w:p w:rsidR="00FE2A06" w:rsidP="00A43D3A" w14:paraId="0CABFA8C" w14:textId="77777777">
      <w:pPr>
        <w:pStyle w:val="FootnoteText"/>
      </w:pPr>
      <w:r>
        <w:rPr>
          <w:rStyle w:val="FootnoteReference"/>
        </w:rPr>
        <w:footnoteRef/>
      </w:r>
      <w:r>
        <w:t xml:space="preserve"> </w:t>
      </w:r>
      <w:r>
        <w:tab/>
      </w:r>
      <w:r w:rsidR="00F70426">
        <w:t>Undesignated s</w:t>
      </w:r>
      <w:r>
        <w:t>tatutory references are to the Penal Code.</w:t>
      </w:r>
    </w:p>
  </w:footnote>
  <w:footnote w:id="4">
    <w:p w:rsidR="00214889" w:rsidP="00A43D3A" w14:paraId="0CABFA8D" w14:textId="77777777">
      <w:pPr>
        <w:pStyle w:val="FootnoteText"/>
      </w:pPr>
      <w:r>
        <w:rPr>
          <w:rStyle w:val="FootnoteReference"/>
        </w:rPr>
        <w:footnoteRef/>
      </w:r>
      <w:r>
        <w:t xml:space="preserve"> </w:t>
      </w:r>
      <w:r>
        <w:tab/>
      </w:r>
      <w:r w:rsidR="0022667A">
        <w:t xml:space="preserve">The decision to grant a stay in this context </w:t>
      </w:r>
      <w:r w:rsidR="00172B78">
        <w:t xml:space="preserve">is contingent upon </w:t>
      </w:r>
      <w:r>
        <w:t xml:space="preserve">section 654, </w:t>
      </w:r>
      <w:r w:rsidR="0022667A">
        <w:t xml:space="preserve">which </w:t>
      </w:r>
      <w:r>
        <w:t xml:space="preserve">generally </w:t>
      </w:r>
      <w:r w:rsidR="00172B78">
        <w:t>prohibits a defendant from being</w:t>
      </w:r>
      <w:r>
        <w:t xml:space="preserve"> punished for “</w:t>
      </w:r>
      <w:r w:rsidRPr="00A75C7F">
        <w:t>multiple offenses based on the same course of conduct.</w:t>
      </w:r>
      <w:r>
        <w:t xml:space="preserve">” </w:t>
      </w:r>
      <w:r w:rsidRPr="00A75C7F">
        <w:t xml:space="preserve"> (</w:t>
      </w:r>
      <w:r w:rsidRPr="00A75C7F">
        <w:rPr>
          <w:i/>
          <w:iCs/>
        </w:rPr>
        <w:t>People v. Lopez</w:t>
      </w:r>
      <w:r w:rsidRPr="00A75C7F">
        <w:t xml:space="preserve"> (2020) 9</w:t>
      </w:r>
      <w:r w:rsidR="00195FC8">
        <w:t> </w:t>
      </w:r>
      <w:r w:rsidRPr="00A75C7F">
        <w:t>Cal.5th 254, 268</w:t>
      </w:r>
      <w:r w:rsidR="00195FC8">
        <w:t>, fn</w:t>
      </w:r>
      <w:r w:rsidR="00E92E44">
        <w:t>.</w:t>
      </w:r>
      <w:r w:rsidR="00195FC8">
        <w:t xml:space="preserve"> 5</w:t>
      </w:r>
      <w:r w:rsidRPr="00A75C7F">
        <w:t>.)</w:t>
      </w:r>
      <w:r>
        <w:t xml:space="preserve">  </w:t>
      </w:r>
      <w:r w:rsidR="0022718D">
        <w:t>The</w:t>
      </w:r>
      <w:r>
        <w:t xml:space="preserve"> decision to impose a consecutive or concurrent sentence </w:t>
      </w:r>
      <w:r w:rsidR="0022718D">
        <w:t xml:space="preserve">similarly </w:t>
      </w:r>
      <w:r>
        <w:t xml:space="preserve">takes into account whether </w:t>
      </w:r>
      <w:r w:rsidR="0022667A">
        <w:t xml:space="preserve">the </w:t>
      </w:r>
      <w:r w:rsidR="00D31160">
        <w:t xml:space="preserve">offenses involved </w:t>
      </w:r>
      <w:r w:rsidR="00606565">
        <w:t xml:space="preserve">the same or </w:t>
      </w:r>
      <w:r w:rsidR="00D31160">
        <w:t>separate conduct</w:t>
      </w:r>
      <w:r w:rsidR="0022667A">
        <w:t>.  (See Cal. Rules of Court, rule 4.425.)</w:t>
      </w:r>
    </w:p>
  </w:footnote>
  <w:footnote w:id="5">
    <w:p w:rsidR="00CF7434" w:rsidP="00A43D3A" w14:paraId="0CABFA8E" w14:textId="77777777">
      <w:pPr>
        <w:pStyle w:val="FootnoteText"/>
      </w:pPr>
      <w:r>
        <w:rPr>
          <w:rStyle w:val="FootnoteReference"/>
        </w:rPr>
        <w:footnoteRef/>
      </w:r>
      <w:r>
        <w:t xml:space="preserve"> </w:t>
      </w:r>
      <w:r>
        <w:tab/>
        <w:t xml:space="preserve">Senate Bill 567 </w:t>
      </w:r>
      <w:r w:rsidR="007C196F">
        <w:t xml:space="preserve">and Assembly Bill No. 124 </w:t>
      </w:r>
      <w:r w:rsidR="00F70426">
        <w:t xml:space="preserve">(2021–2022 Reg. Sess.) </w:t>
      </w:r>
      <w:r w:rsidRPr="008E32E8" w:rsidR="007C196F">
        <w:rPr>
          <w:bCs/>
        </w:rPr>
        <w:t>(</w:t>
      </w:r>
      <w:r w:rsidR="00F70426">
        <w:rPr>
          <w:bCs/>
        </w:rPr>
        <w:t>S</w:t>
      </w:r>
      <w:r w:rsidRPr="008E32E8" w:rsidR="007C196F">
        <w:rPr>
          <w:bCs/>
        </w:rPr>
        <w:t>tats. 2021, ch. 695)</w:t>
      </w:r>
      <w:r w:rsidR="007C196F">
        <w:rPr>
          <w:bCs/>
        </w:rPr>
        <w:t xml:space="preserve"> </w:t>
      </w:r>
      <w:r w:rsidR="00AF7D3F">
        <w:t xml:space="preserve">both concerned amendments to section 1170 and </w:t>
      </w:r>
      <w:r w:rsidR="007C196F">
        <w:t xml:space="preserve">were both </w:t>
      </w:r>
      <w:r w:rsidRPr="00FC0A63">
        <w:t xml:space="preserve">passed by the Legislature in September 2021 and approved by the Governor and filed with the Secretary of State on October 8, 2021. </w:t>
      </w:r>
      <w:r>
        <w:t xml:space="preserve"> </w:t>
      </w:r>
      <w:r w:rsidRPr="00FC0A63">
        <w:t xml:space="preserve">Senate Bill 567 </w:t>
      </w:r>
      <w:r w:rsidR="007C196F">
        <w:t xml:space="preserve">expressly incorporated Assembly Bill 124 and </w:t>
      </w:r>
      <w:r w:rsidRPr="00FC0A63">
        <w:t xml:space="preserve">bears the highest chapter number and </w:t>
      </w:r>
      <w:r w:rsidR="007C196F">
        <w:t xml:space="preserve">so </w:t>
      </w:r>
      <w:r w:rsidRPr="00FC0A63">
        <w:t xml:space="preserve">is presumed to be the last of the </w:t>
      </w:r>
      <w:r>
        <w:t>two</w:t>
      </w:r>
      <w:r w:rsidRPr="00FC0A63">
        <w:t xml:space="preserve"> approved by the Governor.  (Gov. Code, §</w:t>
      </w:r>
      <w:r>
        <w:t> </w:t>
      </w:r>
      <w:r w:rsidRPr="00FC0A63">
        <w:t>9510.)</w:t>
      </w:r>
    </w:p>
  </w:footnote>
  <w:footnote w:id="6">
    <w:p w:rsidR="00361F88" w:rsidP="00A43D3A" w14:paraId="0CABFA8F" w14:textId="77777777">
      <w:pPr>
        <w:pStyle w:val="FootnoteText"/>
      </w:pPr>
      <w:r>
        <w:rPr>
          <w:rStyle w:val="FootnoteReference"/>
        </w:rPr>
        <w:footnoteRef/>
      </w:r>
      <w:r>
        <w:t xml:space="preserve"> </w:t>
      </w:r>
      <w:r>
        <w:tab/>
      </w:r>
      <w:r w:rsidRPr="00361F88">
        <w:t xml:space="preserve">The Court of Appeal further found that our court’s order in </w:t>
      </w:r>
      <w:r w:rsidRPr="00361F88">
        <w:rPr>
          <w:i/>
          <w:iCs/>
        </w:rPr>
        <w:t>People v. Flores</w:t>
      </w:r>
      <w:r w:rsidRPr="00361F88">
        <w:t xml:space="preserve"> (2022) 75 Cal.App.5th 495, “denying the request for depublication and review is a cue that </w:t>
      </w:r>
      <w:r w:rsidRPr="00361F88">
        <w:rPr>
          <w:i/>
          <w:iCs/>
        </w:rPr>
        <w:t>Flores</w:t>
      </w:r>
      <w:r w:rsidRPr="00361F88">
        <w:t xml:space="preserve"> is the standard governing appellate review.”  (</w:t>
      </w:r>
      <w:r w:rsidRPr="00361F88">
        <w:rPr>
          <w:i/>
          <w:iCs/>
        </w:rPr>
        <w:t>Salazar</w:t>
      </w:r>
      <w:r w:rsidRPr="0016368E">
        <w:t>,</w:t>
      </w:r>
      <w:r w:rsidRPr="007630E5">
        <w:rPr>
          <w:i/>
          <w:iCs/>
        </w:rPr>
        <w:t xml:space="preserve"> supra</w:t>
      </w:r>
      <w:r>
        <w:t xml:space="preserve">, </w:t>
      </w:r>
      <w:r w:rsidRPr="00361F88">
        <w:t xml:space="preserve">80 Cal.App.5th </w:t>
      </w:r>
      <w:r>
        <w:t>at p.</w:t>
      </w:r>
      <w:r w:rsidR="00667AF6">
        <w:t> </w:t>
      </w:r>
      <w:r w:rsidRPr="00361F88">
        <w:t>465</w:t>
      </w:r>
      <w:r>
        <w:t xml:space="preserve">.)  </w:t>
      </w:r>
      <w:r w:rsidR="00DB0CA5">
        <w:t>To the contrary, and as we have reiterated, a</w:t>
      </w:r>
      <w:r w:rsidR="00A15002">
        <w:t>n</w:t>
      </w:r>
      <w:r>
        <w:t xml:space="preserve"> order granting or denying a petition for review or granting or denying a request for depublication is not an expression of opinion on the merits of the case.  (See </w:t>
      </w:r>
      <w:r w:rsidRPr="00533913">
        <w:rPr>
          <w:i/>
          <w:iCs/>
        </w:rPr>
        <w:t>Camper v. Workers’ Comp. Appeals Bd</w:t>
      </w:r>
      <w:r>
        <w:t>. (1992) 3</w:t>
      </w:r>
      <w:r w:rsidR="00667AF6">
        <w:t> </w:t>
      </w:r>
      <w:r>
        <w:t xml:space="preserve">Cal.4th 679, 689, fn. 8; Cal. Rules of Court, rule </w:t>
      </w:r>
      <w:r w:rsidRPr="00C5285D">
        <w:t>8.1125(d)</w:t>
      </w:r>
      <w:r>
        <w:t>.)</w:t>
      </w:r>
    </w:p>
    <w:p w:rsidR="00B10886" w14:paraId="0CABFA90" w14:textId="77777777">
      <w:pPr>
        <w:pStyle w:val="FootnoteText"/>
      </w:pPr>
    </w:p>
  </w:footnote>
  <w:footnote w:id="7">
    <w:p w:rsidR="004E3039" w:rsidP="00A43D3A" w14:paraId="0CABFA91" w14:textId="77777777">
      <w:pPr>
        <w:pStyle w:val="FootnoteText"/>
      </w:pPr>
      <w:r>
        <w:rPr>
          <w:rStyle w:val="FootnoteReference"/>
        </w:rPr>
        <w:footnoteRef/>
      </w:r>
      <w:r>
        <w:t xml:space="preserve"> </w:t>
      </w:r>
      <w:r>
        <w:tab/>
        <w:t xml:space="preserve">The Attorney General argues that </w:t>
      </w:r>
      <w:r w:rsidRPr="00B94A84">
        <w:t>drug addiction</w:t>
      </w:r>
      <w:r>
        <w:t xml:space="preserve">, </w:t>
      </w:r>
      <w:r w:rsidRPr="00B94A84">
        <w:t>mental health issues</w:t>
      </w:r>
      <w:r>
        <w:t>, or death of a parent may</w:t>
      </w:r>
      <w:r w:rsidRPr="00B94A84">
        <w:t xml:space="preserve"> not</w:t>
      </w:r>
      <w:r>
        <w:t xml:space="preserve"> qualify as </w:t>
      </w:r>
      <w:r w:rsidRPr="00B94A84">
        <w:t>“trauma</w:t>
      </w:r>
      <w:r>
        <w:t>” within the meaning of the current section 1170, subdivision (b)(6)(A).  The Attorney General also argues that, given the thorough presentation that was already made in this case, Salazar</w:t>
      </w:r>
      <w:r w:rsidRPr="007D4F69">
        <w:t xml:space="preserve"> would </w:t>
      </w:r>
      <w:r>
        <w:t>likely not have presented</w:t>
      </w:r>
      <w:r w:rsidRPr="007D4F69">
        <w:t xml:space="preserve"> further evidence </w:t>
      </w:r>
      <w:r>
        <w:t>of qualifying trauma</w:t>
      </w:r>
      <w:r w:rsidRPr="007D4F69">
        <w:t xml:space="preserve"> </w:t>
      </w:r>
      <w:r>
        <w:t>if</w:t>
      </w:r>
      <w:r w:rsidRPr="007D4F69">
        <w:t xml:space="preserve"> the</w:t>
      </w:r>
      <w:r>
        <w:t xml:space="preserve"> </w:t>
      </w:r>
      <w:r w:rsidRPr="007D4F69">
        <w:t xml:space="preserve">amended statute </w:t>
      </w:r>
      <w:r w:rsidR="00D90A2F">
        <w:t xml:space="preserve">had </w:t>
      </w:r>
      <w:r w:rsidRPr="007D4F69">
        <w:t>been in effect at the time of his sentencing.</w:t>
      </w:r>
      <w:r>
        <w:t xml:space="preserve">  We do not reach these issues here because the Attorney General concedes there is at least an affirmative indication in the record that Salazar</w:t>
      </w:r>
      <w:r w:rsidR="009D2947">
        <w:t xml:space="preserve"> may have suffered a qualifying trauma and that such</w:t>
      </w:r>
      <w:r>
        <w:t xml:space="preserve"> qualifying trauma </w:t>
      </w:r>
      <w:r w:rsidR="009D2947">
        <w:t xml:space="preserve">may have been </w:t>
      </w:r>
      <w:r>
        <w:t>a contributing factor to the offense.</w:t>
      </w:r>
    </w:p>
    <w:p w:rsidR="004E3039" w:rsidP="004E3039" w14:paraId="0CABFA92" w14:textId="77777777">
      <w:pPr>
        <w:pStyle w:val="FootnoteText"/>
      </w:pPr>
    </w:p>
  </w:footnote>
  <w:footnote w:id="8">
    <w:p w:rsidR="00A06F18" w:rsidRPr="004670ED" w:rsidP="00A43D3A" w14:paraId="0CABFA93" w14:textId="77777777">
      <w:pPr>
        <w:pStyle w:val="FootnoteText"/>
        <w:rPr>
          <w:b/>
          <w:bCs/>
        </w:rPr>
      </w:pPr>
      <w:r>
        <w:rPr>
          <w:rStyle w:val="FootnoteReference"/>
        </w:rPr>
        <w:footnoteRef/>
      </w:r>
      <w:r>
        <w:t xml:space="preserve"> </w:t>
      </w:r>
      <w:r>
        <w:tab/>
      </w:r>
      <w:r w:rsidR="00BB3B5F">
        <w:t>Furthermore, the court</w:t>
      </w:r>
      <w:r w:rsidR="003B08E5">
        <w:t xml:space="preserve">’s reference to “20 hours” was </w:t>
      </w:r>
      <w:r w:rsidR="00532787">
        <w:t>not even made in reference to determining</w:t>
      </w:r>
      <w:r w:rsidR="00264A49">
        <w:t xml:space="preserve"> which term to impose</w:t>
      </w:r>
      <w:r w:rsidR="008A5B37">
        <w:t>.</w:t>
      </w:r>
      <w:r w:rsidR="00532787">
        <w:t xml:space="preserve">   Instead, the comment was </w:t>
      </w:r>
      <w:r w:rsidR="003B08E5">
        <w:t xml:space="preserve">made in connection with Salazar’s request </w:t>
      </w:r>
      <w:r w:rsidR="00BB3B5F">
        <w:t>to</w:t>
      </w:r>
      <w:r>
        <w:t xml:space="preserve"> stay </w:t>
      </w:r>
      <w:r w:rsidR="00BB3B5F">
        <w:t>his</w:t>
      </w:r>
      <w:r>
        <w:t xml:space="preserve"> false imprisonment conviction</w:t>
      </w:r>
      <w:r w:rsidR="00532787">
        <w:t>.</w:t>
      </w:r>
    </w:p>
  </w:footnote>
  <w:footnote w:id="9">
    <w:p w:rsidR="00A51837" w:rsidP="00A43D3A" w14:paraId="0CABFA94" w14:textId="77777777">
      <w:pPr>
        <w:pStyle w:val="FootnoteText"/>
      </w:pPr>
      <w:r>
        <w:rPr>
          <w:rStyle w:val="FootnoteReference"/>
        </w:rPr>
        <w:footnoteRef/>
      </w:r>
      <w:r>
        <w:t xml:space="preserve"> </w:t>
      </w:r>
      <w:r>
        <w:tab/>
        <w:t>We have granted</w:t>
      </w:r>
      <w:r w:rsidRPr="006A6DBC">
        <w:t xml:space="preserve"> review in </w:t>
      </w:r>
      <w:r w:rsidRPr="006A6DBC">
        <w:rPr>
          <w:i/>
          <w:iCs/>
        </w:rPr>
        <w:t>People v. Lynch</w:t>
      </w:r>
      <w:r w:rsidR="00EE493A">
        <w:rPr>
          <w:i/>
          <w:iCs/>
        </w:rPr>
        <w:t xml:space="preserve"> </w:t>
      </w:r>
      <w:r w:rsidR="00EE493A">
        <w:rPr>
          <w:rStyle w:val="ui-provider"/>
        </w:rPr>
        <w:t>(May 27, 2022, C094174) (nonpub. opn.)</w:t>
      </w:r>
      <w:r w:rsidRPr="006A6DBC">
        <w:t xml:space="preserve">, </w:t>
      </w:r>
      <w:r w:rsidR="00DF27E1">
        <w:t xml:space="preserve">review granted August 10, 2022, </w:t>
      </w:r>
      <w:r w:rsidRPr="006A6DBC">
        <w:t>S274942</w:t>
      </w:r>
      <w:r w:rsidR="00DF27E1">
        <w:t>,</w:t>
      </w:r>
      <w:r w:rsidRPr="006A6DBC">
        <w:t xml:space="preserve"> to decide what prejudice standard applies on appeal when determining whether a case</w:t>
      </w:r>
      <w:r>
        <w:t xml:space="preserve"> with an upper term sentence</w:t>
      </w:r>
      <w:r w:rsidRPr="006A6DBC">
        <w:t xml:space="preserve"> should be remanded for resentencing under </w:t>
      </w:r>
      <w:r w:rsidRPr="00342178">
        <w:t>Senate Bill 567</w:t>
      </w:r>
      <w:r>
        <w:t>.  We do not address that issue here.</w:t>
      </w:r>
    </w:p>
    <w:p w:rsidR="00A51837" w:rsidP="00A51837" w14:paraId="0CABFA95" w14:textId="77777777">
      <w:pPr>
        <w:pStyle w:val="FootnoteText"/>
      </w:pPr>
    </w:p>
  </w:footnote>
  <w:footnote w:id="10">
    <w:p w:rsidR="003C5993" w:rsidP="00A43D3A" w14:paraId="0CABFA96" w14:textId="77777777">
      <w:pPr>
        <w:pStyle w:val="FootnoteText"/>
      </w:pPr>
      <w:r>
        <w:rPr>
          <w:rStyle w:val="FootnoteReference"/>
        </w:rPr>
        <w:footnoteRef/>
      </w:r>
      <w:r>
        <w:t xml:space="preserve"> </w:t>
      </w:r>
      <w:r>
        <w:tab/>
        <w:t xml:space="preserve">The Court of Appeal concluded that </w:t>
      </w:r>
      <w:r w:rsidRPr="003C5993">
        <w:t>“</w:t>
      </w:r>
      <w:r>
        <w:t>[a]</w:t>
      </w:r>
      <w:r w:rsidRPr="00374234">
        <w:t>s a matter of law</w:t>
      </w:r>
      <w:r w:rsidRPr="003C5993">
        <w:t xml:space="preserve">, (1) the aggravating circumstances are overwhelming and outweigh any theoretical mitigating circumstances, and (2) selection of the low term would be </w:t>
      </w:r>
      <w:r>
        <w:t>‘</w:t>
      </w:r>
      <w:r w:rsidRPr="003C5993">
        <w:t>contrary to the interests of justice.’ ”  (</w:t>
      </w:r>
      <w:r w:rsidRPr="003C5993">
        <w:rPr>
          <w:i/>
          <w:iCs/>
        </w:rPr>
        <w:t>Salazar</w:t>
      </w:r>
      <w:r w:rsidRPr="0016368E">
        <w:t>,</w:t>
      </w:r>
      <w:r w:rsidRPr="003C5993">
        <w:rPr>
          <w:i/>
          <w:iCs/>
        </w:rPr>
        <w:t xml:space="preserve"> supra</w:t>
      </w:r>
      <w:r w:rsidRPr="003C5993">
        <w:t>, 80 Cal.App.5th at p. 464</w:t>
      </w:r>
      <w:r>
        <w:t xml:space="preserve">.) </w:t>
      </w:r>
      <w:r w:rsidR="00B6410E">
        <w:t xml:space="preserve"> Discretionary sentencing decisions</w:t>
      </w:r>
      <w:r w:rsidR="005D28DF">
        <w:t>, such as</w:t>
      </w:r>
      <w:r w:rsidRPr="005D28DF" w:rsidR="005D28DF">
        <w:rPr>
          <w:szCs w:val="26"/>
        </w:rPr>
        <w:t xml:space="preserve"> </w:t>
      </w:r>
      <w:r w:rsidR="005D28DF">
        <w:rPr>
          <w:szCs w:val="26"/>
        </w:rPr>
        <w:t>whether “</w:t>
      </w:r>
      <w:r w:rsidRPr="005D28DF" w:rsidR="005D28DF">
        <w:t xml:space="preserve">the aggravating circumstances outweigh the mitigating circumstances [so] that imposition of the lower term would be contrary to the interests of justice” (§ 1170, subd. (b)(6)) </w:t>
      </w:r>
      <w:r w:rsidR="00B6410E">
        <w:t xml:space="preserve">are reviewed for an abuse of discretion.  (See, e.g., </w:t>
      </w:r>
      <w:r w:rsidRPr="00CB2654" w:rsidR="005D28DF">
        <w:rPr>
          <w:i/>
          <w:iCs/>
        </w:rPr>
        <w:t>People v. Sandoval</w:t>
      </w:r>
      <w:r w:rsidR="005D28DF">
        <w:t xml:space="preserve"> (2007) 41</w:t>
      </w:r>
      <w:r w:rsidR="00347A14">
        <w:t> </w:t>
      </w:r>
      <w:r w:rsidR="005D28DF">
        <w:t xml:space="preserve">Cal.4th 825, 847; </w:t>
      </w:r>
      <w:r w:rsidRPr="00CB2654" w:rsidR="00B6410E">
        <w:rPr>
          <w:i/>
          <w:iCs/>
        </w:rPr>
        <w:t>People v. Williams</w:t>
      </w:r>
      <w:r w:rsidR="00B6410E">
        <w:t xml:space="preserve"> (1998) 17</w:t>
      </w:r>
      <w:r w:rsidR="00347A14">
        <w:t> </w:t>
      </w:r>
      <w:r w:rsidR="00B6410E">
        <w:t>Cal.4th 148, 162</w:t>
      </w:r>
      <w:r w:rsidR="00347A14">
        <w:t xml:space="preserve"> (</w:t>
      </w:r>
      <w:r w:rsidR="00347A14">
        <w:rPr>
          <w:i/>
          <w:iCs/>
        </w:rPr>
        <w:t>Williams</w:t>
      </w:r>
      <w:r w:rsidR="00347A14">
        <w:t>)</w:t>
      </w:r>
      <w:r w:rsidR="005D28DF">
        <w:t xml:space="preserve">.)  </w:t>
      </w:r>
      <w:r w:rsidR="000F39A5">
        <w:t xml:space="preserve">For the reasons </w:t>
      </w:r>
      <w:r w:rsidR="00064D5C">
        <w:t xml:space="preserve">detailed </w:t>
      </w:r>
      <w:r w:rsidR="000F39A5">
        <w:t>above</w:t>
      </w:r>
      <w:r w:rsidR="005D28DF">
        <w:t>,</w:t>
      </w:r>
      <w:r>
        <w:t xml:space="preserve"> </w:t>
      </w:r>
      <w:r w:rsidRPr="006D454C">
        <w:t xml:space="preserve">it would </w:t>
      </w:r>
      <w:r w:rsidR="00DE75F9">
        <w:t>not</w:t>
      </w:r>
      <w:r w:rsidRPr="006D454C" w:rsidR="00DE75F9">
        <w:t xml:space="preserve"> </w:t>
      </w:r>
      <w:r w:rsidRPr="006D454C">
        <w:t xml:space="preserve">be an abuse of a trial court’s broad sentencing discretion to leave Salazar’s sentence unchanged, </w:t>
      </w:r>
      <w:r>
        <w:t>nor</w:t>
      </w:r>
      <w:r w:rsidRPr="006D454C">
        <w:t xml:space="preserve"> for it to grant Salazar the benefit of the recent ameliorative legislation</w:t>
      </w:r>
      <w:r>
        <w:t xml:space="preserve">. </w:t>
      </w:r>
      <w:r w:rsidR="005C2FA2">
        <w:rPr>
          <w:szCs w:val="26"/>
        </w:rPr>
        <w:t xml:space="preserve">  </w:t>
      </w:r>
    </w:p>
  </w:footnote>
  <w:footnote w:id="11">
    <w:p w:rsidR="00AB6F51" w:rsidRPr="0052504E" w:rsidP="00A43D3A" w14:paraId="0CABFA97" w14:textId="77777777">
      <w:pPr>
        <w:pStyle w:val="FootnoteText"/>
        <w:rPr>
          <w:szCs w:val="26"/>
        </w:rPr>
      </w:pPr>
      <w:r>
        <w:rPr>
          <w:rStyle w:val="FootnoteReference"/>
        </w:rPr>
        <w:footnoteRef/>
      </w:r>
      <w:r>
        <w:t xml:space="preserve"> </w:t>
      </w:r>
      <w:r>
        <w:tab/>
      </w:r>
      <w:r>
        <w:rPr>
          <w:szCs w:val="26"/>
        </w:rPr>
        <w:t>In finding a clear indication of the sentencing court’s intent, the Court of Appeal also relied upon the facts that the</w:t>
      </w:r>
      <w:r w:rsidRPr="00B956BA">
        <w:rPr>
          <w:szCs w:val="26"/>
        </w:rPr>
        <w:t xml:space="preserve"> </w:t>
      </w:r>
      <w:r w:rsidR="00370070">
        <w:rPr>
          <w:szCs w:val="26"/>
        </w:rPr>
        <w:t>sentencing</w:t>
      </w:r>
      <w:r w:rsidRPr="00B956BA" w:rsidR="00370070">
        <w:rPr>
          <w:szCs w:val="26"/>
        </w:rPr>
        <w:t xml:space="preserve"> </w:t>
      </w:r>
      <w:r w:rsidRPr="00B956BA">
        <w:rPr>
          <w:szCs w:val="26"/>
        </w:rPr>
        <w:t xml:space="preserve">court imposed a criminal protective order against </w:t>
      </w:r>
      <w:r>
        <w:rPr>
          <w:szCs w:val="26"/>
        </w:rPr>
        <w:t>Salazar</w:t>
      </w:r>
      <w:r w:rsidRPr="00B956BA">
        <w:rPr>
          <w:szCs w:val="26"/>
        </w:rPr>
        <w:t xml:space="preserve"> </w:t>
      </w:r>
      <w:r>
        <w:rPr>
          <w:szCs w:val="26"/>
        </w:rPr>
        <w:t>and the probation report indicated he</w:t>
      </w:r>
      <w:r w:rsidRPr="00B956BA">
        <w:rPr>
          <w:szCs w:val="26"/>
        </w:rPr>
        <w:t xml:space="preserve"> had a record of violence against other women.</w:t>
      </w:r>
      <w:r>
        <w:t xml:space="preserve">  </w:t>
      </w:r>
      <w:r>
        <w:rPr>
          <w:szCs w:val="26"/>
        </w:rPr>
        <w:t>However, t</w:t>
      </w:r>
      <w:r w:rsidRPr="00AB6F51">
        <w:rPr>
          <w:szCs w:val="26"/>
        </w:rPr>
        <w:t>he A</w:t>
      </w:r>
      <w:r>
        <w:rPr>
          <w:szCs w:val="26"/>
        </w:rPr>
        <w:t xml:space="preserve">ttorney General </w:t>
      </w:r>
      <w:r w:rsidRPr="00AB6F51">
        <w:rPr>
          <w:szCs w:val="26"/>
        </w:rPr>
        <w:t xml:space="preserve">does not </w:t>
      </w:r>
      <w:r>
        <w:rPr>
          <w:szCs w:val="26"/>
        </w:rPr>
        <w:t>rely upon these facts</w:t>
      </w:r>
      <w:r w:rsidR="00A636A2">
        <w:rPr>
          <w:szCs w:val="26"/>
        </w:rPr>
        <w:t>, and for good reason.</w:t>
      </w:r>
      <w:r w:rsidR="0052504E">
        <w:rPr>
          <w:szCs w:val="26"/>
        </w:rPr>
        <w:t xml:space="preserve"> </w:t>
      </w:r>
      <w:r w:rsidRPr="00AB6F51">
        <w:rPr>
          <w:szCs w:val="26"/>
        </w:rPr>
        <w:t xml:space="preserve"> </w:t>
      </w:r>
      <w:r w:rsidR="00A636A2">
        <w:rPr>
          <w:szCs w:val="26"/>
        </w:rPr>
        <w:t>The</w:t>
      </w:r>
      <w:r w:rsidRPr="00AB6F51">
        <w:rPr>
          <w:szCs w:val="26"/>
        </w:rPr>
        <w:t xml:space="preserve"> sentencing court </w:t>
      </w:r>
      <w:r w:rsidR="008A460B">
        <w:rPr>
          <w:szCs w:val="26"/>
        </w:rPr>
        <w:t xml:space="preserve">made no mention </w:t>
      </w:r>
      <w:r w:rsidR="009C1C5A">
        <w:rPr>
          <w:szCs w:val="26"/>
        </w:rPr>
        <w:t xml:space="preserve">whatsoever </w:t>
      </w:r>
      <w:r w:rsidR="008A460B">
        <w:rPr>
          <w:szCs w:val="26"/>
        </w:rPr>
        <w:t>of the</w:t>
      </w:r>
      <w:r w:rsidRPr="00AB6F51" w:rsidR="008A460B">
        <w:rPr>
          <w:szCs w:val="26"/>
        </w:rPr>
        <w:t xml:space="preserve"> </w:t>
      </w:r>
      <w:r w:rsidR="008A460B">
        <w:rPr>
          <w:szCs w:val="26"/>
        </w:rPr>
        <w:t>record</w:t>
      </w:r>
      <w:r w:rsidRPr="00AB6F51" w:rsidR="008A460B">
        <w:rPr>
          <w:szCs w:val="26"/>
        </w:rPr>
        <w:t xml:space="preserve"> of violence against women </w:t>
      </w:r>
      <w:r w:rsidRPr="009C1C5A" w:rsidR="009C1C5A">
        <w:rPr>
          <w:szCs w:val="26"/>
        </w:rPr>
        <w:t>and the court merely recited the terms of the protective order without any explanation as to why a protective order was being imposed</w:t>
      </w:r>
      <w:r w:rsidR="009C1C5A">
        <w:rPr>
          <w:szCs w:val="26"/>
        </w:rPr>
        <w:t>.</w:t>
      </w:r>
      <w:r w:rsidR="00175B76">
        <w:rPr>
          <w:szCs w:val="26"/>
        </w:rPr>
        <w:t xml:space="preserve"> </w:t>
      </w:r>
      <w:r w:rsidR="008A460B">
        <w:rPr>
          <w:szCs w:val="26"/>
        </w:rPr>
        <w:t xml:space="preserve"> T</w:t>
      </w:r>
      <w:r w:rsidR="00A636A2">
        <w:rPr>
          <w:szCs w:val="26"/>
        </w:rPr>
        <w:t xml:space="preserve">hese facts do little to impart a clear indication from the </w:t>
      </w:r>
      <w:r w:rsidR="00370070">
        <w:rPr>
          <w:szCs w:val="26"/>
        </w:rPr>
        <w:t xml:space="preserve">sentencing </w:t>
      </w:r>
      <w:r w:rsidR="00A636A2">
        <w:rPr>
          <w:szCs w:val="26"/>
        </w:rPr>
        <w:t>court.</w:t>
      </w:r>
      <w:r w:rsidR="00361F88">
        <w:rPr>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D3A" w14:paraId="0CABFA87" w14:textId="77777777">
    <w:pPr>
      <w:pStyle w:val="Header"/>
    </w:pPr>
    <w:r>
      <w:t>PEOPLE v. SALAZAR</w:t>
    </w:r>
  </w:p>
  <w:p w:rsidR="00A43D3A" w14:paraId="0CABFA88" w14:textId="77777777">
    <w:pPr>
      <w:pStyle w:val="Header"/>
    </w:pPr>
    <w:r>
      <w:t>Opinion of the Court by Groban, J.</w:t>
    </w:r>
  </w:p>
  <w:p w:rsidR="00A43D3A" w14:paraId="0CABFA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1EC9" w14:paraId="50F3E6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48484E"/>
    <w:multiLevelType w:val="hybridMultilevel"/>
    <w:tmpl w:val="3DC2BD6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7A38CF"/>
    <w:multiLevelType w:val="hybridMultilevel"/>
    <w:tmpl w:val="43CAECFC"/>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A3"/>
    <w:rsid w:val="000022C1"/>
    <w:rsid w:val="00002CE4"/>
    <w:rsid w:val="00004A39"/>
    <w:rsid w:val="00010F2B"/>
    <w:rsid w:val="000127C7"/>
    <w:rsid w:val="00016D1F"/>
    <w:rsid w:val="0002178E"/>
    <w:rsid w:val="00022F7F"/>
    <w:rsid w:val="0002404F"/>
    <w:rsid w:val="00024290"/>
    <w:rsid w:val="0003499D"/>
    <w:rsid w:val="00034F1F"/>
    <w:rsid w:val="00036090"/>
    <w:rsid w:val="000415A3"/>
    <w:rsid w:val="00043285"/>
    <w:rsid w:val="00046FE8"/>
    <w:rsid w:val="000473E4"/>
    <w:rsid w:val="00052449"/>
    <w:rsid w:val="000541D3"/>
    <w:rsid w:val="0005696A"/>
    <w:rsid w:val="0006223A"/>
    <w:rsid w:val="00063C02"/>
    <w:rsid w:val="00064D5C"/>
    <w:rsid w:val="00064F91"/>
    <w:rsid w:val="00065DBD"/>
    <w:rsid w:val="00066470"/>
    <w:rsid w:val="000665C1"/>
    <w:rsid w:val="00074A0C"/>
    <w:rsid w:val="00075FCB"/>
    <w:rsid w:val="00076706"/>
    <w:rsid w:val="0008106A"/>
    <w:rsid w:val="0008263E"/>
    <w:rsid w:val="00092CF3"/>
    <w:rsid w:val="00093574"/>
    <w:rsid w:val="00097317"/>
    <w:rsid w:val="00097AC4"/>
    <w:rsid w:val="000B32F6"/>
    <w:rsid w:val="000B3B7A"/>
    <w:rsid w:val="000B6F3F"/>
    <w:rsid w:val="000C067B"/>
    <w:rsid w:val="000C48CB"/>
    <w:rsid w:val="000C4DA0"/>
    <w:rsid w:val="000C5860"/>
    <w:rsid w:val="000D18DB"/>
    <w:rsid w:val="000D1EE0"/>
    <w:rsid w:val="000E43CA"/>
    <w:rsid w:val="000E5D90"/>
    <w:rsid w:val="000F0AD2"/>
    <w:rsid w:val="000F127B"/>
    <w:rsid w:val="000F39A5"/>
    <w:rsid w:val="00102CEA"/>
    <w:rsid w:val="00104C2B"/>
    <w:rsid w:val="001115EA"/>
    <w:rsid w:val="001125A3"/>
    <w:rsid w:val="001226EF"/>
    <w:rsid w:val="00123C3B"/>
    <w:rsid w:val="001259F1"/>
    <w:rsid w:val="001261B4"/>
    <w:rsid w:val="001275B2"/>
    <w:rsid w:val="00127B35"/>
    <w:rsid w:val="00134297"/>
    <w:rsid w:val="00135D60"/>
    <w:rsid w:val="0014042A"/>
    <w:rsid w:val="00143837"/>
    <w:rsid w:val="001475EC"/>
    <w:rsid w:val="0015594D"/>
    <w:rsid w:val="001618FD"/>
    <w:rsid w:val="00162962"/>
    <w:rsid w:val="0016368E"/>
    <w:rsid w:val="0016662C"/>
    <w:rsid w:val="00166B08"/>
    <w:rsid w:val="00166EA6"/>
    <w:rsid w:val="00172B78"/>
    <w:rsid w:val="00175B76"/>
    <w:rsid w:val="0017652D"/>
    <w:rsid w:val="00182B6D"/>
    <w:rsid w:val="0018678B"/>
    <w:rsid w:val="00195FC8"/>
    <w:rsid w:val="00196E4D"/>
    <w:rsid w:val="001A08A0"/>
    <w:rsid w:val="001A1703"/>
    <w:rsid w:val="001A1917"/>
    <w:rsid w:val="001A4055"/>
    <w:rsid w:val="001A435F"/>
    <w:rsid w:val="001B0699"/>
    <w:rsid w:val="001B0C54"/>
    <w:rsid w:val="001B4DDC"/>
    <w:rsid w:val="001C479D"/>
    <w:rsid w:val="001D6980"/>
    <w:rsid w:val="001E1E0F"/>
    <w:rsid w:val="001E7DE5"/>
    <w:rsid w:val="001F0771"/>
    <w:rsid w:val="001F0E88"/>
    <w:rsid w:val="001F1BF2"/>
    <w:rsid w:val="001F5591"/>
    <w:rsid w:val="001F7E7B"/>
    <w:rsid w:val="002014AF"/>
    <w:rsid w:val="00205625"/>
    <w:rsid w:val="00205628"/>
    <w:rsid w:val="00206D05"/>
    <w:rsid w:val="0021003D"/>
    <w:rsid w:val="00214889"/>
    <w:rsid w:val="00215548"/>
    <w:rsid w:val="00220D9F"/>
    <w:rsid w:val="002239AB"/>
    <w:rsid w:val="0022667A"/>
    <w:rsid w:val="0022718D"/>
    <w:rsid w:val="002276B9"/>
    <w:rsid w:val="00230D5D"/>
    <w:rsid w:val="00231D86"/>
    <w:rsid w:val="00233BCF"/>
    <w:rsid w:val="00234103"/>
    <w:rsid w:val="00234A31"/>
    <w:rsid w:val="002350A2"/>
    <w:rsid w:val="00235534"/>
    <w:rsid w:val="00237650"/>
    <w:rsid w:val="002408E1"/>
    <w:rsid w:val="00247FFC"/>
    <w:rsid w:val="00254406"/>
    <w:rsid w:val="00260EDC"/>
    <w:rsid w:val="002642B8"/>
    <w:rsid w:val="00264A49"/>
    <w:rsid w:val="00266CE3"/>
    <w:rsid w:val="002670FB"/>
    <w:rsid w:val="002706F1"/>
    <w:rsid w:val="00271250"/>
    <w:rsid w:val="00283EDA"/>
    <w:rsid w:val="00285DE7"/>
    <w:rsid w:val="00286BC3"/>
    <w:rsid w:val="00286EAD"/>
    <w:rsid w:val="0029755B"/>
    <w:rsid w:val="00297EA5"/>
    <w:rsid w:val="002A7276"/>
    <w:rsid w:val="002B032B"/>
    <w:rsid w:val="002B4D46"/>
    <w:rsid w:val="002C4099"/>
    <w:rsid w:val="002C7D3A"/>
    <w:rsid w:val="002D2F46"/>
    <w:rsid w:val="002E0B42"/>
    <w:rsid w:val="002E292B"/>
    <w:rsid w:val="002E6E6C"/>
    <w:rsid w:val="002F06C4"/>
    <w:rsid w:val="002F50F3"/>
    <w:rsid w:val="002F5A4F"/>
    <w:rsid w:val="002F6BB0"/>
    <w:rsid w:val="00302D9B"/>
    <w:rsid w:val="00302F08"/>
    <w:rsid w:val="00310B74"/>
    <w:rsid w:val="003126BA"/>
    <w:rsid w:val="003208D4"/>
    <w:rsid w:val="00320B24"/>
    <w:rsid w:val="00321670"/>
    <w:rsid w:val="00321691"/>
    <w:rsid w:val="00323A26"/>
    <w:rsid w:val="00333128"/>
    <w:rsid w:val="00334E6D"/>
    <w:rsid w:val="003358D9"/>
    <w:rsid w:val="00342178"/>
    <w:rsid w:val="00347A14"/>
    <w:rsid w:val="003524C9"/>
    <w:rsid w:val="00361F88"/>
    <w:rsid w:val="0036289E"/>
    <w:rsid w:val="0036576E"/>
    <w:rsid w:val="003678B3"/>
    <w:rsid w:val="00370070"/>
    <w:rsid w:val="003706A3"/>
    <w:rsid w:val="003715A5"/>
    <w:rsid w:val="003736A0"/>
    <w:rsid w:val="00374234"/>
    <w:rsid w:val="00375B0E"/>
    <w:rsid w:val="00375B99"/>
    <w:rsid w:val="00380AD7"/>
    <w:rsid w:val="00384D04"/>
    <w:rsid w:val="0038523B"/>
    <w:rsid w:val="003903B0"/>
    <w:rsid w:val="00395FA4"/>
    <w:rsid w:val="003A3601"/>
    <w:rsid w:val="003A443E"/>
    <w:rsid w:val="003A49C8"/>
    <w:rsid w:val="003A521A"/>
    <w:rsid w:val="003A5C3A"/>
    <w:rsid w:val="003B08E5"/>
    <w:rsid w:val="003B0D90"/>
    <w:rsid w:val="003B51A4"/>
    <w:rsid w:val="003B57F1"/>
    <w:rsid w:val="003B671B"/>
    <w:rsid w:val="003C5993"/>
    <w:rsid w:val="003C6E23"/>
    <w:rsid w:val="003C7631"/>
    <w:rsid w:val="003D265B"/>
    <w:rsid w:val="003E104B"/>
    <w:rsid w:val="003F6808"/>
    <w:rsid w:val="00400AC8"/>
    <w:rsid w:val="00401704"/>
    <w:rsid w:val="00402A87"/>
    <w:rsid w:val="00416150"/>
    <w:rsid w:val="0041638D"/>
    <w:rsid w:val="0041647B"/>
    <w:rsid w:val="00424D6E"/>
    <w:rsid w:val="00426D23"/>
    <w:rsid w:val="0043184D"/>
    <w:rsid w:val="004400EE"/>
    <w:rsid w:val="00457085"/>
    <w:rsid w:val="004576BB"/>
    <w:rsid w:val="00462D78"/>
    <w:rsid w:val="00463566"/>
    <w:rsid w:val="004642B8"/>
    <w:rsid w:val="00464BED"/>
    <w:rsid w:val="004670ED"/>
    <w:rsid w:val="00471E69"/>
    <w:rsid w:val="00475BD2"/>
    <w:rsid w:val="0048564D"/>
    <w:rsid w:val="004921C1"/>
    <w:rsid w:val="00492BAD"/>
    <w:rsid w:val="00494E7D"/>
    <w:rsid w:val="00496080"/>
    <w:rsid w:val="00496865"/>
    <w:rsid w:val="004B1B23"/>
    <w:rsid w:val="004B32F4"/>
    <w:rsid w:val="004B4208"/>
    <w:rsid w:val="004C141A"/>
    <w:rsid w:val="004C5E99"/>
    <w:rsid w:val="004C6CC5"/>
    <w:rsid w:val="004C7122"/>
    <w:rsid w:val="004D2545"/>
    <w:rsid w:val="004D7DE7"/>
    <w:rsid w:val="004E26F6"/>
    <w:rsid w:val="004E3039"/>
    <w:rsid w:val="004E4CDD"/>
    <w:rsid w:val="004E5A55"/>
    <w:rsid w:val="004E6743"/>
    <w:rsid w:val="005046BA"/>
    <w:rsid w:val="00505C8D"/>
    <w:rsid w:val="0050606D"/>
    <w:rsid w:val="00510C24"/>
    <w:rsid w:val="005119B8"/>
    <w:rsid w:val="00521D49"/>
    <w:rsid w:val="0052422A"/>
    <w:rsid w:val="005247DC"/>
    <w:rsid w:val="00524D5B"/>
    <w:rsid w:val="0052504E"/>
    <w:rsid w:val="00532787"/>
    <w:rsid w:val="00533913"/>
    <w:rsid w:val="0053494C"/>
    <w:rsid w:val="00536F6F"/>
    <w:rsid w:val="00541DE0"/>
    <w:rsid w:val="00542125"/>
    <w:rsid w:val="0054401E"/>
    <w:rsid w:val="00547804"/>
    <w:rsid w:val="00547FEB"/>
    <w:rsid w:val="005517F9"/>
    <w:rsid w:val="00555247"/>
    <w:rsid w:val="00555CFB"/>
    <w:rsid w:val="00560E38"/>
    <w:rsid w:val="00561049"/>
    <w:rsid w:val="005638B2"/>
    <w:rsid w:val="00564CBB"/>
    <w:rsid w:val="00572AA9"/>
    <w:rsid w:val="0057513D"/>
    <w:rsid w:val="00575156"/>
    <w:rsid w:val="00575ADD"/>
    <w:rsid w:val="005776BF"/>
    <w:rsid w:val="00577811"/>
    <w:rsid w:val="00581A2E"/>
    <w:rsid w:val="00581F9A"/>
    <w:rsid w:val="00587435"/>
    <w:rsid w:val="00592795"/>
    <w:rsid w:val="005975DB"/>
    <w:rsid w:val="005A0216"/>
    <w:rsid w:val="005A3BFF"/>
    <w:rsid w:val="005A612C"/>
    <w:rsid w:val="005B28F3"/>
    <w:rsid w:val="005B4AEC"/>
    <w:rsid w:val="005C2C6B"/>
    <w:rsid w:val="005C2FA2"/>
    <w:rsid w:val="005C5A01"/>
    <w:rsid w:val="005C79F7"/>
    <w:rsid w:val="005D28DF"/>
    <w:rsid w:val="005D389D"/>
    <w:rsid w:val="005D48E8"/>
    <w:rsid w:val="005D623C"/>
    <w:rsid w:val="005D6466"/>
    <w:rsid w:val="005D68B5"/>
    <w:rsid w:val="005E3632"/>
    <w:rsid w:val="005E3E31"/>
    <w:rsid w:val="005E4AEF"/>
    <w:rsid w:val="005E7F11"/>
    <w:rsid w:val="005F4A3D"/>
    <w:rsid w:val="005F537A"/>
    <w:rsid w:val="005F56A6"/>
    <w:rsid w:val="005F7244"/>
    <w:rsid w:val="00602A3F"/>
    <w:rsid w:val="00603869"/>
    <w:rsid w:val="00606565"/>
    <w:rsid w:val="00607DB4"/>
    <w:rsid w:val="0061218D"/>
    <w:rsid w:val="00612F47"/>
    <w:rsid w:val="006161FD"/>
    <w:rsid w:val="006177AD"/>
    <w:rsid w:val="006220AF"/>
    <w:rsid w:val="006224AD"/>
    <w:rsid w:val="00623D42"/>
    <w:rsid w:val="006322B9"/>
    <w:rsid w:val="00637CB2"/>
    <w:rsid w:val="006407BA"/>
    <w:rsid w:val="00642C52"/>
    <w:rsid w:val="006454A5"/>
    <w:rsid w:val="00652A9F"/>
    <w:rsid w:val="00653D2C"/>
    <w:rsid w:val="0065458E"/>
    <w:rsid w:val="00654849"/>
    <w:rsid w:val="00660E72"/>
    <w:rsid w:val="006622EE"/>
    <w:rsid w:val="00665314"/>
    <w:rsid w:val="00665BD5"/>
    <w:rsid w:val="00666DBD"/>
    <w:rsid w:val="00667AF6"/>
    <w:rsid w:val="00667B37"/>
    <w:rsid w:val="00670481"/>
    <w:rsid w:val="00672A1A"/>
    <w:rsid w:val="00673442"/>
    <w:rsid w:val="00675CD9"/>
    <w:rsid w:val="0067610D"/>
    <w:rsid w:val="00676E06"/>
    <w:rsid w:val="00677B62"/>
    <w:rsid w:val="0068284A"/>
    <w:rsid w:val="00683AF0"/>
    <w:rsid w:val="006906C6"/>
    <w:rsid w:val="006936A2"/>
    <w:rsid w:val="00695819"/>
    <w:rsid w:val="0069623E"/>
    <w:rsid w:val="006A26E8"/>
    <w:rsid w:val="006A6DBC"/>
    <w:rsid w:val="006A73EF"/>
    <w:rsid w:val="006B1AA3"/>
    <w:rsid w:val="006B542C"/>
    <w:rsid w:val="006B759E"/>
    <w:rsid w:val="006C0F4D"/>
    <w:rsid w:val="006C3E17"/>
    <w:rsid w:val="006C4203"/>
    <w:rsid w:val="006D454C"/>
    <w:rsid w:val="006D5D20"/>
    <w:rsid w:val="006D6205"/>
    <w:rsid w:val="006D6345"/>
    <w:rsid w:val="006D71DD"/>
    <w:rsid w:val="006E0583"/>
    <w:rsid w:val="006E6EF0"/>
    <w:rsid w:val="006F2098"/>
    <w:rsid w:val="006F222C"/>
    <w:rsid w:val="006F34A1"/>
    <w:rsid w:val="006F4CF8"/>
    <w:rsid w:val="006F70C0"/>
    <w:rsid w:val="0070114A"/>
    <w:rsid w:val="007022C3"/>
    <w:rsid w:val="00702EB1"/>
    <w:rsid w:val="00704E03"/>
    <w:rsid w:val="007052E6"/>
    <w:rsid w:val="00706CC1"/>
    <w:rsid w:val="00710A09"/>
    <w:rsid w:val="00710EF3"/>
    <w:rsid w:val="00716B51"/>
    <w:rsid w:val="0072089C"/>
    <w:rsid w:val="00727FFC"/>
    <w:rsid w:val="00730C74"/>
    <w:rsid w:val="00732876"/>
    <w:rsid w:val="00736C73"/>
    <w:rsid w:val="007371F9"/>
    <w:rsid w:val="007400AA"/>
    <w:rsid w:val="00742D84"/>
    <w:rsid w:val="00744C9F"/>
    <w:rsid w:val="00746A0A"/>
    <w:rsid w:val="00752F45"/>
    <w:rsid w:val="0075494A"/>
    <w:rsid w:val="0075539E"/>
    <w:rsid w:val="00756869"/>
    <w:rsid w:val="00762E4B"/>
    <w:rsid w:val="007630E5"/>
    <w:rsid w:val="00765340"/>
    <w:rsid w:val="00771C4B"/>
    <w:rsid w:val="007746BD"/>
    <w:rsid w:val="007753DD"/>
    <w:rsid w:val="0077671A"/>
    <w:rsid w:val="00776B6F"/>
    <w:rsid w:val="007920B7"/>
    <w:rsid w:val="0079356E"/>
    <w:rsid w:val="007A7E0B"/>
    <w:rsid w:val="007B049F"/>
    <w:rsid w:val="007B139F"/>
    <w:rsid w:val="007B34CE"/>
    <w:rsid w:val="007B615F"/>
    <w:rsid w:val="007B64CA"/>
    <w:rsid w:val="007B6A74"/>
    <w:rsid w:val="007B732D"/>
    <w:rsid w:val="007B78BF"/>
    <w:rsid w:val="007C137C"/>
    <w:rsid w:val="007C196F"/>
    <w:rsid w:val="007C3F84"/>
    <w:rsid w:val="007D23F0"/>
    <w:rsid w:val="007D2F1D"/>
    <w:rsid w:val="007D4F69"/>
    <w:rsid w:val="007E2F99"/>
    <w:rsid w:val="007F4B06"/>
    <w:rsid w:val="00801BB9"/>
    <w:rsid w:val="0080312B"/>
    <w:rsid w:val="0080384D"/>
    <w:rsid w:val="00806A5F"/>
    <w:rsid w:val="00806F28"/>
    <w:rsid w:val="008108C7"/>
    <w:rsid w:val="00815221"/>
    <w:rsid w:val="008166AB"/>
    <w:rsid w:val="00820369"/>
    <w:rsid w:val="00821D4A"/>
    <w:rsid w:val="0082268D"/>
    <w:rsid w:val="00823357"/>
    <w:rsid w:val="00827774"/>
    <w:rsid w:val="008309EC"/>
    <w:rsid w:val="008314AB"/>
    <w:rsid w:val="0083508E"/>
    <w:rsid w:val="008350DB"/>
    <w:rsid w:val="00837DCC"/>
    <w:rsid w:val="008411FE"/>
    <w:rsid w:val="008423CD"/>
    <w:rsid w:val="0084289D"/>
    <w:rsid w:val="0084403E"/>
    <w:rsid w:val="00846C42"/>
    <w:rsid w:val="00847689"/>
    <w:rsid w:val="00850546"/>
    <w:rsid w:val="00851590"/>
    <w:rsid w:val="008565BC"/>
    <w:rsid w:val="008600EF"/>
    <w:rsid w:val="00860567"/>
    <w:rsid w:val="0087669D"/>
    <w:rsid w:val="008770DD"/>
    <w:rsid w:val="00881034"/>
    <w:rsid w:val="008862F0"/>
    <w:rsid w:val="00891662"/>
    <w:rsid w:val="00894A6E"/>
    <w:rsid w:val="0089724F"/>
    <w:rsid w:val="008A11AD"/>
    <w:rsid w:val="008A460B"/>
    <w:rsid w:val="008A5B37"/>
    <w:rsid w:val="008A5ED1"/>
    <w:rsid w:val="008B16FC"/>
    <w:rsid w:val="008B2C58"/>
    <w:rsid w:val="008B2E8B"/>
    <w:rsid w:val="008B5736"/>
    <w:rsid w:val="008C4415"/>
    <w:rsid w:val="008D02C4"/>
    <w:rsid w:val="008D4696"/>
    <w:rsid w:val="008E13A7"/>
    <w:rsid w:val="008E1D0D"/>
    <w:rsid w:val="008E1EC9"/>
    <w:rsid w:val="008E32E8"/>
    <w:rsid w:val="008E342F"/>
    <w:rsid w:val="008E607B"/>
    <w:rsid w:val="008E61E1"/>
    <w:rsid w:val="008E64EF"/>
    <w:rsid w:val="008F08F7"/>
    <w:rsid w:val="008F16D2"/>
    <w:rsid w:val="008F1B97"/>
    <w:rsid w:val="008F290F"/>
    <w:rsid w:val="008F3CF0"/>
    <w:rsid w:val="008F7A3C"/>
    <w:rsid w:val="00904D60"/>
    <w:rsid w:val="00904E35"/>
    <w:rsid w:val="00905EDF"/>
    <w:rsid w:val="00911AD5"/>
    <w:rsid w:val="00913572"/>
    <w:rsid w:val="00917745"/>
    <w:rsid w:val="009212F1"/>
    <w:rsid w:val="0092320B"/>
    <w:rsid w:val="00923BA3"/>
    <w:rsid w:val="00927D30"/>
    <w:rsid w:val="00930DA7"/>
    <w:rsid w:val="0093167F"/>
    <w:rsid w:val="0093652C"/>
    <w:rsid w:val="00941EF4"/>
    <w:rsid w:val="00945C8A"/>
    <w:rsid w:val="00945D88"/>
    <w:rsid w:val="0095407B"/>
    <w:rsid w:val="009563E4"/>
    <w:rsid w:val="00956608"/>
    <w:rsid w:val="00976F93"/>
    <w:rsid w:val="00985889"/>
    <w:rsid w:val="00991FD6"/>
    <w:rsid w:val="009954E6"/>
    <w:rsid w:val="00997C73"/>
    <w:rsid w:val="009A068C"/>
    <w:rsid w:val="009A2BE9"/>
    <w:rsid w:val="009A5154"/>
    <w:rsid w:val="009A6EE7"/>
    <w:rsid w:val="009B4D56"/>
    <w:rsid w:val="009B7BF3"/>
    <w:rsid w:val="009C0625"/>
    <w:rsid w:val="009C08F6"/>
    <w:rsid w:val="009C1C5A"/>
    <w:rsid w:val="009C2938"/>
    <w:rsid w:val="009C480C"/>
    <w:rsid w:val="009C4988"/>
    <w:rsid w:val="009C5F71"/>
    <w:rsid w:val="009D0B86"/>
    <w:rsid w:val="009D2947"/>
    <w:rsid w:val="009D5CBE"/>
    <w:rsid w:val="009E1404"/>
    <w:rsid w:val="009E427B"/>
    <w:rsid w:val="009E4450"/>
    <w:rsid w:val="009E45D4"/>
    <w:rsid w:val="009E5224"/>
    <w:rsid w:val="009E6A15"/>
    <w:rsid w:val="009E7DF1"/>
    <w:rsid w:val="009F499A"/>
    <w:rsid w:val="009F7B6D"/>
    <w:rsid w:val="00A008A8"/>
    <w:rsid w:val="00A0372E"/>
    <w:rsid w:val="00A060FA"/>
    <w:rsid w:val="00A06A56"/>
    <w:rsid w:val="00A06F18"/>
    <w:rsid w:val="00A15002"/>
    <w:rsid w:val="00A20544"/>
    <w:rsid w:val="00A248B4"/>
    <w:rsid w:val="00A25420"/>
    <w:rsid w:val="00A26D9D"/>
    <w:rsid w:val="00A3241D"/>
    <w:rsid w:val="00A33DB8"/>
    <w:rsid w:val="00A34F52"/>
    <w:rsid w:val="00A35663"/>
    <w:rsid w:val="00A368C7"/>
    <w:rsid w:val="00A43D3A"/>
    <w:rsid w:val="00A4478F"/>
    <w:rsid w:val="00A51837"/>
    <w:rsid w:val="00A53CAD"/>
    <w:rsid w:val="00A548CE"/>
    <w:rsid w:val="00A54DFC"/>
    <w:rsid w:val="00A607CF"/>
    <w:rsid w:val="00A636A2"/>
    <w:rsid w:val="00A63B48"/>
    <w:rsid w:val="00A6709F"/>
    <w:rsid w:val="00A711F6"/>
    <w:rsid w:val="00A75C7F"/>
    <w:rsid w:val="00A75E09"/>
    <w:rsid w:val="00A80F74"/>
    <w:rsid w:val="00A8660B"/>
    <w:rsid w:val="00A87532"/>
    <w:rsid w:val="00A92B2F"/>
    <w:rsid w:val="00A92EF4"/>
    <w:rsid w:val="00A93E78"/>
    <w:rsid w:val="00A94C00"/>
    <w:rsid w:val="00A976C5"/>
    <w:rsid w:val="00AA5F57"/>
    <w:rsid w:val="00AB5271"/>
    <w:rsid w:val="00AB6F51"/>
    <w:rsid w:val="00AB79D8"/>
    <w:rsid w:val="00AC1748"/>
    <w:rsid w:val="00AC2B8E"/>
    <w:rsid w:val="00AC3D5E"/>
    <w:rsid w:val="00AD2F07"/>
    <w:rsid w:val="00AD723B"/>
    <w:rsid w:val="00AE02F4"/>
    <w:rsid w:val="00AE2516"/>
    <w:rsid w:val="00AE36B5"/>
    <w:rsid w:val="00AE514B"/>
    <w:rsid w:val="00AF1280"/>
    <w:rsid w:val="00AF7D3F"/>
    <w:rsid w:val="00B00C05"/>
    <w:rsid w:val="00B0255E"/>
    <w:rsid w:val="00B05C8E"/>
    <w:rsid w:val="00B061EA"/>
    <w:rsid w:val="00B10886"/>
    <w:rsid w:val="00B10C1D"/>
    <w:rsid w:val="00B10C3C"/>
    <w:rsid w:val="00B155EB"/>
    <w:rsid w:val="00B20F39"/>
    <w:rsid w:val="00B21066"/>
    <w:rsid w:val="00B2154F"/>
    <w:rsid w:val="00B248D7"/>
    <w:rsid w:val="00B25630"/>
    <w:rsid w:val="00B30AEF"/>
    <w:rsid w:val="00B314E7"/>
    <w:rsid w:val="00B3155E"/>
    <w:rsid w:val="00B42484"/>
    <w:rsid w:val="00B43653"/>
    <w:rsid w:val="00B474FB"/>
    <w:rsid w:val="00B47F7E"/>
    <w:rsid w:val="00B554C2"/>
    <w:rsid w:val="00B6118F"/>
    <w:rsid w:val="00B6410E"/>
    <w:rsid w:val="00B667C1"/>
    <w:rsid w:val="00B82FBA"/>
    <w:rsid w:val="00B84A7F"/>
    <w:rsid w:val="00B866BA"/>
    <w:rsid w:val="00B94A84"/>
    <w:rsid w:val="00B956BA"/>
    <w:rsid w:val="00BA17AB"/>
    <w:rsid w:val="00BA1C45"/>
    <w:rsid w:val="00BA5D29"/>
    <w:rsid w:val="00BB0A7C"/>
    <w:rsid w:val="00BB0FFE"/>
    <w:rsid w:val="00BB2B3C"/>
    <w:rsid w:val="00BB2E43"/>
    <w:rsid w:val="00BB3B5F"/>
    <w:rsid w:val="00BC0966"/>
    <w:rsid w:val="00BC117A"/>
    <w:rsid w:val="00BC3FC4"/>
    <w:rsid w:val="00BC43AB"/>
    <w:rsid w:val="00BE2F01"/>
    <w:rsid w:val="00BE3271"/>
    <w:rsid w:val="00BE4449"/>
    <w:rsid w:val="00BE5787"/>
    <w:rsid w:val="00BF5909"/>
    <w:rsid w:val="00BF745F"/>
    <w:rsid w:val="00C03CDD"/>
    <w:rsid w:val="00C07518"/>
    <w:rsid w:val="00C147C4"/>
    <w:rsid w:val="00C15196"/>
    <w:rsid w:val="00C157CD"/>
    <w:rsid w:val="00C17CCC"/>
    <w:rsid w:val="00C202C9"/>
    <w:rsid w:val="00C21380"/>
    <w:rsid w:val="00C44697"/>
    <w:rsid w:val="00C50487"/>
    <w:rsid w:val="00C5285D"/>
    <w:rsid w:val="00C54463"/>
    <w:rsid w:val="00C55892"/>
    <w:rsid w:val="00C55910"/>
    <w:rsid w:val="00C5643F"/>
    <w:rsid w:val="00C57311"/>
    <w:rsid w:val="00C602E6"/>
    <w:rsid w:val="00C638BA"/>
    <w:rsid w:val="00C64A8E"/>
    <w:rsid w:val="00C7076C"/>
    <w:rsid w:val="00C71750"/>
    <w:rsid w:val="00C72D53"/>
    <w:rsid w:val="00C74127"/>
    <w:rsid w:val="00C75B56"/>
    <w:rsid w:val="00C76C38"/>
    <w:rsid w:val="00C81615"/>
    <w:rsid w:val="00C81EAC"/>
    <w:rsid w:val="00C927E8"/>
    <w:rsid w:val="00C93BCA"/>
    <w:rsid w:val="00C948EB"/>
    <w:rsid w:val="00C94EE6"/>
    <w:rsid w:val="00C95867"/>
    <w:rsid w:val="00C966F3"/>
    <w:rsid w:val="00CA0F80"/>
    <w:rsid w:val="00CA1471"/>
    <w:rsid w:val="00CA54B9"/>
    <w:rsid w:val="00CA73B4"/>
    <w:rsid w:val="00CB2654"/>
    <w:rsid w:val="00CB447D"/>
    <w:rsid w:val="00CB4AF6"/>
    <w:rsid w:val="00CB57D9"/>
    <w:rsid w:val="00CC6004"/>
    <w:rsid w:val="00CD1DDE"/>
    <w:rsid w:val="00CD3308"/>
    <w:rsid w:val="00CD457C"/>
    <w:rsid w:val="00CE122C"/>
    <w:rsid w:val="00CE3BF6"/>
    <w:rsid w:val="00CE6047"/>
    <w:rsid w:val="00CE6D76"/>
    <w:rsid w:val="00CF0DCF"/>
    <w:rsid w:val="00CF22E6"/>
    <w:rsid w:val="00CF3379"/>
    <w:rsid w:val="00CF3845"/>
    <w:rsid w:val="00CF56BF"/>
    <w:rsid w:val="00CF57F0"/>
    <w:rsid w:val="00CF6BF0"/>
    <w:rsid w:val="00CF7434"/>
    <w:rsid w:val="00CF784F"/>
    <w:rsid w:val="00D04ECD"/>
    <w:rsid w:val="00D10689"/>
    <w:rsid w:val="00D10AFA"/>
    <w:rsid w:val="00D13DD0"/>
    <w:rsid w:val="00D20F6C"/>
    <w:rsid w:val="00D248CA"/>
    <w:rsid w:val="00D249F0"/>
    <w:rsid w:val="00D2604C"/>
    <w:rsid w:val="00D27CB6"/>
    <w:rsid w:val="00D27E55"/>
    <w:rsid w:val="00D31160"/>
    <w:rsid w:val="00D33DDD"/>
    <w:rsid w:val="00D42958"/>
    <w:rsid w:val="00D461A3"/>
    <w:rsid w:val="00D476FE"/>
    <w:rsid w:val="00D513FA"/>
    <w:rsid w:val="00D54EFF"/>
    <w:rsid w:val="00D56C16"/>
    <w:rsid w:val="00D613FB"/>
    <w:rsid w:val="00D61F6B"/>
    <w:rsid w:val="00D7266D"/>
    <w:rsid w:val="00D740B8"/>
    <w:rsid w:val="00D76D60"/>
    <w:rsid w:val="00D77185"/>
    <w:rsid w:val="00D77F66"/>
    <w:rsid w:val="00D8577B"/>
    <w:rsid w:val="00D85945"/>
    <w:rsid w:val="00D87823"/>
    <w:rsid w:val="00D90A2F"/>
    <w:rsid w:val="00D97B6A"/>
    <w:rsid w:val="00DA4B2E"/>
    <w:rsid w:val="00DA5D8C"/>
    <w:rsid w:val="00DA6105"/>
    <w:rsid w:val="00DA7853"/>
    <w:rsid w:val="00DA7CAA"/>
    <w:rsid w:val="00DB0CA5"/>
    <w:rsid w:val="00DB1901"/>
    <w:rsid w:val="00DB36AC"/>
    <w:rsid w:val="00DB608D"/>
    <w:rsid w:val="00DB6D09"/>
    <w:rsid w:val="00DC0D7C"/>
    <w:rsid w:val="00DC1F15"/>
    <w:rsid w:val="00DC20CE"/>
    <w:rsid w:val="00DC23C2"/>
    <w:rsid w:val="00DC2686"/>
    <w:rsid w:val="00DC627F"/>
    <w:rsid w:val="00DD2F50"/>
    <w:rsid w:val="00DD3577"/>
    <w:rsid w:val="00DD4264"/>
    <w:rsid w:val="00DE0DDA"/>
    <w:rsid w:val="00DE21DC"/>
    <w:rsid w:val="00DE23BA"/>
    <w:rsid w:val="00DE2CA8"/>
    <w:rsid w:val="00DE75F9"/>
    <w:rsid w:val="00DF27E1"/>
    <w:rsid w:val="00DF7532"/>
    <w:rsid w:val="00E01E8A"/>
    <w:rsid w:val="00E023B3"/>
    <w:rsid w:val="00E026F3"/>
    <w:rsid w:val="00E20DCB"/>
    <w:rsid w:val="00E355D5"/>
    <w:rsid w:val="00E3753F"/>
    <w:rsid w:val="00E439D1"/>
    <w:rsid w:val="00E5739E"/>
    <w:rsid w:val="00E6220D"/>
    <w:rsid w:val="00E62E6A"/>
    <w:rsid w:val="00E70106"/>
    <w:rsid w:val="00E72AB8"/>
    <w:rsid w:val="00E77B5D"/>
    <w:rsid w:val="00E77C0A"/>
    <w:rsid w:val="00E8008B"/>
    <w:rsid w:val="00E81E60"/>
    <w:rsid w:val="00E823C0"/>
    <w:rsid w:val="00E82B9E"/>
    <w:rsid w:val="00E858CA"/>
    <w:rsid w:val="00E92E44"/>
    <w:rsid w:val="00E95874"/>
    <w:rsid w:val="00E9618C"/>
    <w:rsid w:val="00E9731D"/>
    <w:rsid w:val="00EA0E7B"/>
    <w:rsid w:val="00EA1ACF"/>
    <w:rsid w:val="00EA394A"/>
    <w:rsid w:val="00EA3EB4"/>
    <w:rsid w:val="00EA49A5"/>
    <w:rsid w:val="00EA57FF"/>
    <w:rsid w:val="00EC2981"/>
    <w:rsid w:val="00EC3647"/>
    <w:rsid w:val="00EC5A7F"/>
    <w:rsid w:val="00ED52F9"/>
    <w:rsid w:val="00ED7632"/>
    <w:rsid w:val="00EE4239"/>
    <w:rsid w:val="00EE493A"/>
    <w:rsid w:val="00EE5544"/>
    <w:rsid w:val="00EF1FA1"/>
    <w:rsid w:val="00EF285C"/>
    <w:rsid w:val="00EF371C"/>
    <w:rsid w:val="00F01055"/>
    <w:rsid w:val="00F0125A"/>
    <w:rsid w:val="00F135E8"/>
    <w:rsid w:val="00F3600D"/>
    <w:rsid w:val="00F3606F"/>
    <w:rsid w:val="00F420A7"/>
    <w:rsid w:val="00F43242"/>
    <w:rsid w:val="00F46394"/>
    <w:rsid w:val="00F47A00"/>
    <w:rsid w:val="00F512C6"/>
    <w:rsid w:val="00F518E4"/>
    <w:rsid w:val="00F52AA8"/>
    <w:rsid w:val="00F573FB"/>
    <w:rsid w:val="00F6148C"/>
    <w:rsid w:val="00F66687"/>
    <w:rsid w:val="00F70426"/>
    <w:rsid w:val="00F705CE"/>
    <w:rsid w:val="00F76051"/>
    <w:rsid w:val="00F91B31"/>
    <w:rsid w:val="00F930A7"/>
    <w:rsid w:val="00F95A20"/>
    <w:rsid w:val="00F97601"/>
    <w:rsid w:val="00FA061A"/>
    <w:rsid w:val="00FA15DA"/>
    <w:rsid w:val="00FA2507"/>
    <w:rsid w:val="00FB3CC1"/>
    <w:rsid w:val="00FC0A63"/>
    <w:rsid w:val="00FC22B7"/>
    <w:rsid w:val="00FC725F"/>
    <w:rsid w:val="00FD0A71"/>
    <w:rsid w:val="00FD199C"/>
    <w:rsid w:val="00FD4D47"/>
    <w:rsid w:val="00FD655F"/>
    <w:rsid w:val="00FE2854"/>
    <w:rsid w:val="00FE2A06"/>
    <w:rsid w:val="00FE54FF"/>
    <w:rsid w:val="00FE65D3"/>
    <w:rsid w:val="00FF1D5C"/>
    <w:rsid w:val="00FF29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3A"/>
    <w:pPr>
      <w:spacing w:after="100" w:line="400" w:lineRule="exact"/>
      <w:jc w:val="both"/>
    </w:pPr>
    <w:rPr>
      <w:rFonts w:ascii="Century Schoolbook" w:hAnsi="Century Schoolbook"/>
      <w:sz w:val="27"/>
    </w:rPr>
  </w:style>
  <w:style w:type="paragraph" w:styleId="Heading1">
    <w:name w:val="heading 1"/>
    <w:basedOn w:val="Normal"/>
    <w:next w:val="Normal"/>
    <w:qFormat/>
    <w:rsid w:val="00A43D3A"/>
    <w:pPr>
      <w:keepNext/>
      <w:spacing w:before="140" w:line="240" w:lineRule="atLeast"/>
      <w:jc w:val="center"/>
      <w:outlineLvl w:val="0"/>
    </w:pPr>
    <w:rPr>
      <w:b/>
      <w:smallCaps/>
    </w:rPr>
  </w:style>
  <w:style w:type="paragraph" w:styleId="Heading2">
    <w:name w:val="heading 2"/>
    <w:basedOn w:val="Normal"/>
    <w:next w:val="Normal"/>
    <w:qFormat/>
    <w:rsid w:val="00A43D3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43D3A"/>
    <w:pPr>
      <w:keepNext/>
      <w:tabs>
        <w:tab w:val="left" w:pos="1584"/>
      </w:tabs>
      <w:spacing w:before="140" w:line="240" w:lineRule="atLeast"/>
      <w:ind w:left="1584" w:hanging="432"/>
      <w:jc w:val="left"/>
      <w:outlineLvl w:val="2"/>
    </w:pPr>
    <w:rPr>
      <w:i/>
    </w:rPr>
  </w:style>
  <w:style w:type="paragraph" w:styleId="Heading4">
    <w:name w:val="heading 4"/>
    <w:basedOn w:val="Normal"/>
    <w:rsid w:val="00A43D3A"/>
    <w:pPr>
      <w:keepNext/>
      <w:tabs>
        <w:tab w:val="left" w:pos="2016"/>
      </w:tabs>
      <w:spacing w:before="140" w:line="240" w:lineRule="atLeast"/>
      <w:ind w:left="2016" w:hanging="432"/>
      <w:jc w:val="left"/>
      <w:outlineLvl w:val="3"/>
    </w:pPr>
    <w:rPr>
      <w:i/>
    </w:rPr>
  </w:style>
  <w:style w:type="paragraph" w:styleId="Heading5">
    <w:name w:val="heading 5"/>
    <w:basedOn w:val="Normal"/>
    <w:rsid w:val="00A43D3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43D3A"/>
    <w:pPr>
      <w:ind w:left="720"/>
    </w:pPr>
  </w:style>
  <w:style w:type="paragraph" w:styleId="Footer">
    <w:name w:val="footer"/>
    <w:basedOn w:val="Normal"/>
    <w:qFormat/>
    <w:rsid w:val="00A43D3A"/>
    <w:pPr>
      <w:tabs>
        <w:tab w:val="center" w:pos="3960"/>
        <w:tab w:val="right" w:pos="10080"/>
      </w:tabs>
      <w:spacing w:after="0" w:line="240" w:lineRule="auto"/>
      <w:jc w:val="center"/>
    </w:pPr>
    <w:rPr>
      <w:sz w:val="22"/>
    </w:rPr>
  </w:style>
  <w:style w:type="paragraph" w:styleId="Header">
    <w:name w:val="header"/>
    <w:basedOn w:val="Normal"/>
    <w:qFormat/>
    <w:rsid w:val="00A43D3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43D3A"/>
    <w:rPr>
      <w:rFonts w:ascii="Century Schoolbook" w:hAnsi="Century Schoolbook"/>
      <w:b/>
      <w:i w:val="0"/>
      <w:position w:val="4"/>
      <w:sz w:val="27"/>
      <w:vertAlign w:val="superscript"/>
    </w:rPr>
  </w:style>
  <w:style w:type="paragraph" w:styleId="FootnoteText">
    <w:name w:val="footnote text"/>
    <w:basedOn w:val="Normal"/>
    <w:link w:val="FootnoteTextChar"/>
    <w:rsid w:val="00A43D3A"/>
    <w:pPr>
      <w:spacing w:line="300" w:lineRule="exact"/>
    </w:pPr>
  </w:style>
  <w:style w:type="paragraph" w:customStyle="1" w:styleId="Title1">
    <w:name w:val="Title1"/>
    <w:basedOn w:val="Normal"/>
    <w:rsid w:val="00A43D3A"/>
    <w:pPr>
      <w:tabs>
        <w:tab w:val="left" w:pos="5760"/>
        <w:tab w:val="left" w:pos="6480"/>
      </w:tabs>
      <w:spacing w:line="240" w:lineRule="atLeast"/>
    </w:pPr>
  </w:style>
  <w:style w:type="paragraph" w:customStyle="1" w:styleId="Recommend">
    <w:name w:val="Recommend"/>
    <w:basedOn w:val="Normal"/>
    <w:rsid w:val="00A43D3A"/>
  </w:style>
  <w:style w:type="paragraph" w:customStyle="1" w:styleId="Summary">
    <w:name w:val="Summary"/>
    <w:basedOn w:val="Normal"/>
    <w:rsid w:val="00A43D3A"/>
    <w:pPr>
      <w:ind w:left="2160" w:hanging="2160"/>
    </w:pPr>
  </w:style>
  <w:style w:type="paragraph" w:customStyle="1" w:styleId="Text">
    <w:name w:val="Text"/>
    <w:basedOn w:val="Normal"/>
    <w:link w:val="TextChar"/>
    <w:rsid w:val="00A43D3A"/>
    <w:pPr>
      <w:tabs>
        <w:tab w:val="left" w:pos="720"/>
        <w:tab w:val="left" w:pos="1440"/>
        <w:tab w:val="left" w:pos="2160"/>
        <w:tab w:val="center" w:pos="4320"/>
      </w:tabs>
      <w:spacing w:line="480" w:lineRule="atLeast"/>
      <w:ind w:firstLine="540"/>
    </w:pPr>
  </w:style>
  <w:style w:type="paragraph" w:styleId="Date">
    <w:name w:val="Date"/>
    <w:basedOn w:val="Normal"/>
    <w:semiHidden/>
    <w:rsid w:val="00A43D3A"/>
    <w:pPr>
      <w:jc w:val="right"/>
    </w:pPr>
  </w:style>
  <w:style w:type="character" w:styleId="PageNumber">
    <w:name w:val="page number"/>
    <w:basedOn w:val="DefaultParagraphFont"/>
    <w:semiHidden/>
    <w:rsid w:val="00A43D3A"/>
  </w:style>
  <w:style w:type="paragraph" w:customStyle="1" w:styleId="subject">
    <w:name w:val="subject"/>
    <w:basedOn w:val="Normal"/>
    <w:rsid w:val="00A43D3A"/>
    <w:pPr>
      <w:tabs>
        <w:tab w:val="left" w:pos="1008"/>
      </w:tabs>
      <w:ind w:left="990" w:hanging="990"/>
    </w:pPr>
    <w:rPr>
      <w:b/>
    </w:rPr>
  </w:style>
  <w:style w:type="paragraph" w:customStyle="1" w:styleId="Titles">
    <w:name w:val="Titles"/>
    <w:basedOn w:val="Normal"/>
    <w:rsid w:val="00A43D3A"/>
    <w:pPr>
      <w:tabs>
        <w:tab w:val="left" w:pos="2160"/>
      </w:tabs>
      <w:ind w:left="2160" w:hanging="2160"/>
    </w:pPr>
    <w:rPr>
      <w:b/>
    </w:rPr>
  </w:style>
  <w:style w:type="paragraph" w:styleId="TOAHeading">
    <w:name w:val="toa heading"/>
    <w:basedOn w:val="Normal"/>
    <w:next w:val="Normal"/>
    <w:semiHidden/>
    <w:rsid w:val="00A43D3A"/>
    <w:pPr>
      <w:spacing w:before="120"/>
    </w:pPr>
    <w:rPr>
      <w:b/>
    </w:rPr>
  </w:style>
  <w:style w:type="paragraph" w:styleId="TOC1">
    <w:name w:val="toc 1"/>
    <w:basedOn w:val="Normal"/>
    <w:next w:val="Normal"/>
    <w:autoRedefine/>
    <w:semiHidden/>
    <w:rsid w:val="00A43D3A"/>
  </w:style>
  <w:style w:type="paragraph" w:styleId="TOC2">
    <w:name w:val="toc 2"/>
    <w:basedOn w:val="Normal"/>
    <w:next w:val="Normal"/>
    <w:autoRedefine/>
    <w:semiHidden/>
    <w:rsid w:val="00A43D3A"/>
    <w:pPr>
      <w:ind w:left="259"/>
    </w:pPr>
  </w:style>
  <w:style w:type="paragraph" w:styleId="TOC3">
    <w:name w:val="toc 3"/>
    <w:basedOn w:val="Normal"/>
    <w:next w:val="Normal"/>
    <w:autoRedefine/>
    <w:semiHidden/>
    <w:rsid w:val="00A43D3A"/>
    <w:pPr>
      <w:ind w:left="520"/>
    </w:pPr>
  </w:style>
  <w:style w:type="paragraph" w:styleId="TOC4">
    <w:name w:val="toc 4"/>
    <w:basedOn w:val="Normal"/>
    <w:next w:val="Normal"/>
    <w:autoRedefine/>
    <w:semiHidden/>
    <w:rsid w:val="00A43D3A"/>
    <w:pPr>
      <w:ind w:left="780"/>
    </w:pPr>
  </w:style>
  <w:style w:type="paragraph" w:styleId="TOC5">
    <w:name w:val="toc 5"/>
    <w:basedOn w:val="Normal"/>
    <w:next w:val="Normal"/>
    <w:autoRedefine/>
    <w:semiHidden/>
    <w:rsid w:val="00A43D3A"/>
    <w:pPr>
      <w:ind w:left="1040"/>
    </w:pPr>
  </w:style>
  <w:style w:type="paragraph" w:styleId="TOC6">
    <w:name w:val="toc 6"/>
    <w:basedOn w:val="Normal"/>
    <w:next w:val="Normal"/>
    <w:autoRedefine/>
    <w:semiHidden/>
    <w:rsid w:val="00A43D3A"/>
    <w:pPr>
      <w:ind w:left="1300"/>
    </w:pPr>
  </w:style>
  <w:style w:type="paragraph" w:styleId="TOC7">
    <w:name w:val="toc 7"/>
    <w:basedOn w:val="Normal"/>
    <w:next w:val="Normal"/>
    <w:autoRedefine/>
    <w:semiHidden/>
    <w:rsid w:val="00A43D3A"/>
    <w:pPr>
      <w:ind w:left="1560"/>
    </w:pPr>
  </w:style>
  <w:style w:type="paragraph" w:styleId="TOC8">
    <w:name w:val="toc 8"/>
    <w:basedOn w:val="Normal"/>
    <w:next w:val="Normal"/>
    <w:autoRedefine/>
    <w:semiHidden/>
    <w:rsid w:val="00A43D3A"/>
    <w:pPr>
      <w:ind w:left="1820"/>
    </w:pPr>
  </w:style>
  <w:style w:type="paragraph" w:styleId="TOC9">
    <w:name w:val="toc 9"/>
    <w:basedOn w:val="Normal"/>
    <w:next w:val="Normal"/>
    <w:autoRedefine/>
    <w:semiHidden/>
    <w:rsid w:val="00A43D3A"/>
    <w:pPr>
      <w:ind w:left="2080"/>
    </w:pPr>
  </w:style>
  <w:style w:type="paragraph" w:customStyle="1" w:styleId="Contents">
    <w:name w:val="Contents"/>
    <w:basedOn w:val="Normal"/>
    <w:rsid w:val="00A43D3A"/>
    <w:pPr>
      <w:jc w:val="center"/>
    </w:pPr>
    <w:rPr>
      <w:b/>
      <w:spacing w:val="100"/>
    </w:rPr>
  </w:style>
  <w:style w:type="paragraph" w:styleId="ListParagraph">
    <w:name w:val="List Paragraph"/>
    <w:basedOn w:val="Normal"/>
    <w:uiPriority w:val="34"/>
    <w:qFormat/>
    <w:rsid w:val="00DD2F50"/>
    <w:pPr>
      <w:ind w:left="720"/>
      <w:contextualSpacing/>
    </w:pPr>
  </w:style>
  <w:style w:type="character" w:styleId="Hyperlink">
    <w:name w:val="Hyperlink"/>
    <w:basedOn w:val="DefaultParagraphFont"/>
    <w:uiPriority w:val="99"/>
    <w:unhideWhenUsed/>
    <w:rsid w:val="004C6CC5"/>
    <w:rPr>
      <w:color w:val="0000FF" w:themeColor="hyperlink"/>
      <w:u w:val="single"/>
    </w:rPr>
  </w:style>
  <w:style w:type="character" w:customStyle="1" w:styleId="UnresolvedMention1">
    <w:name w:val="Unresolved Mention1"/>
    <w:basedOn w:val="DefaultParagraphFont"/>
    <w:uiPriority w:val="99"/>
    <w:semiHidden/>
    <w:unhideWhenUsed/>
    <w:rsid w:val="004C6CC5"/>
    <w:rPr>
      <w:color w:val="605E5C"/>
      <w:shd w:val="clear" w:color="auto" w:fill="E1DFDD"/>
    </w:rPr>
  </w:style>
  <w:style w:type="character" w:styleId="CommentReference">
    <w:name w:val="annotation reference"/>
    <w:basedOn w:val="DefaultParagraphFont"/>
    <w:uiPriority w:val="99"/>
    <w:semiHidden/>
    <w:unhideWhenUsed/>
    <w:rsid w:val="00230D5D"/>
    <w:rPr>
      <w:sz w:val="16"/>
      <w:szCs w:val="16"/>
    </w:rPr>
  </w:style>
  <w:style w:type="paragraph" w:styleId="CommentText">
    <w:name w:val="annotation text"/>
    <w:basedOn w:val="Normal"/>
    <w:link w:val="CommentTextChar"/>
    <w:uiPriority w:val="99"/>
    <w:unhideWhenUsed/>
    <w:rsid w:val="00230D5D"/>
    <w:rPr>
      <w:sz w:val="20"/>
    </w:rPr>
  </w:style>
  <w:style w:type="character" w:customStyle="1" w:styleId="CommentTextChar">
    <w:name w:val="Comment Text Char"/>
    <w:basedOn w:val="DefaultParagraphFont"/>
    <w:link w:val="CommentText"/>
    <w:uiPriority w:val="99"/>
    <w:rsid w:val="00230D5D"/>
  </w:style>
  <w:style w:type="paragraph" w:styleId="CommentSubject">
    <w:name w:val="annotation subject"/>
    <w:basedOn w:val="CommentText"/>
    <w:next w:val="CommentText"/>
    <w:link w:val="CommentSubjectChar"/>
    <w:uiPriority w:val="99"/>
    <w:semiHidden/>
    <w:unhideWhenUsed/>
    <w:rsid w:val="00230D5D"/>
    <w:rPr>
      <w:b/>
      <w:bCs/>
    </w:rPr>
  </w:style>
  <w:style w:type="character" w:customStyle="1" w:styleId="CommentSubjectChar">
    <w:name w:val="Comment Subject Char"/>
    <w:basedOn w:val="CommentTextChar"/>
    <w:link w:val="CommentSubject"/>
    <w:uiPriority w:val="99"/>
    <w:semiHidden/>
    <w:rsid w:val="00230D5D"/>
    <w:rPr>
      <w:b/>
      <w:bCs/>
    </w:rPr>
  </w:style>
  <w:style w:type="paragraph" w:styleId="Revision">
    <w:name w:val="Revision"/>
    <w:hidden/>
    <w:uiPriority w:val="99"/>
    <w:semiHidden/>
    <w:rsid w:val="00230D5D"/>
    <w:rPr>
      <w:sz w:val="26"/>
    </w:rPr>
  </w:style>
  <w:style w:type="paragraph" w:styleId="NormalWeb">
    <w:name w:val="Normal (Web)"/>
    <w:basedOn w:val="Normal"/>
    <w:uiPriority w:val="99"/>
    <w:semiHidden/>
    <w:unhideWhenUsed/>
    <w:rsid w:val="00891662"/>
    <w:rPr>
      <w:sz w:val="24"/>
      <w:szCs w:val="24"/>
    </w:rPr>
  </w:style>
  <w:style w:type="paragraph" w:styleId="BodyText">
    <w:name w:val="Body Text"/>
    <w:basedOn w:val="Normal"/>
    <w:link w:val="BodyTextChar"/>
    <w:qFormat/>
    <w:rsid w:val="00A43D3A"/>
  </w:style>
  <w:style w:type="character" w:customStyle="1" w:styleId="BodyTextChar">
    <w:name w:val="Body Text Char"/>
    <w:basedOn w:val="DefaultParagraphFont"/>
    <w:link w:val="BodyText"/>
    <w:rsid w:val="00A43D3A"/>
    <w:rPr>
      <w:rFonts w:ascii="Century Schoolbook" w:hAnsi="Century Schoolbook"/>
      <w:sz w:val="27"/>
    </w:rPr>
  </w:style>
  <w:style w:type="character" w:customStyle="1" w:styleId="FootnoteTextChar">
    <w:name w:val="Footnote Text Char"/>
    <w:basedOn w:val="DefaultParagraphFont"/>
    <w:link w:val="FootnoteText"/>
    <w:rsid w:val="003C6E23"/>
    <w:rPr>
      <w:rFonts w:ascii="Century Schoolbook" w:hAnsi="Century Schoolbook"/>
      <w:sz w:val="27"/>
    </w:rPr>
  </w:style>
  <w:style w:type="character" w:customStyle="1" w:styleId="ui-provider">
    <w:name w:val="ui-provider"/>
    <w:basedOn w:val="DefaultParagraphFont"/>
    <w:rsid w:val="00D461A3"/>
  </w:style>
  <w:style w:type="character" w:customStyle="1" w:styleId="TextChar">
    <w:name w:val="Text Char"/>
    <w:basedOn w:val="DefaultParagraphFont"/>
    <w:link w:val="Text"/>
    <w:locked/>
    <w:rsid w:val="007400AA"/>
    <w:rPr>
      <w:rFonts w:ascii="Century Schoolbook" w:hAnsi="Century Schoolbook"/>
      <w:sz w:val="27"/>
    </w:rPr>
  </w:style>
  <w:style w:type="character" w:customStyle="1" w:styleId="normaltextrun">
    <w:name w:val="normaltextrun"/>
    <w:basedOn w:val="DefaultParagraphFont"/>
    <w:rsid w:val="0074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5B46-DF7D-4B8B-B196-F3129381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5870</Words>
  <Characters>33460</Characters>
  <Application>Microsoft Office Word</Application>
  <DocSecurity>0</DocSecurity>
  <Lines>278</Lines>
  <Paragraphs>78</Paragraphs>
  <ScaleCrop>false</ScaleCrop>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2023-11-20T17:49:59Z</dcterms:created>
  <dcterms:modified xsi:type="dcterms:W3CDTF">2023-11-20T17:49:59Z</dcterms:modified>
</cp:coreProperties>
</file>