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77C01" w:rsidP="00572D1D" w14:paraId="163A976D" w14:textId="77777777">
      <w:pPr>
        <w:tabs>
          <w:tab w:val="left" w:pos="1440"/>
          <w:tab w:val="left" w:pos="4680"/>
          <w:tab w:val="center" w:pos="7200"/>
        </w:tabs>
        <w:spacing w:after="0"/>
        <w:jc w:val="center"/>
        <w:rPr>
          <w:sz w:val="36"/>
        </w:rPr>
      </w:pPr>
      <w:r>
        <w:rPr>
          <w:b/>
          <w:sz w:val="36"/>
        </w:rPr>
        <w:t>IN THE SUPREME COURT OF CALIFORNIA</w:t>
      </w:r>
    </w:p>
    <w:p w:rsidR="00572D1D" w:rsidP="00572D1D" w14:paraId="163A976E" w14:textId="77777777">
      <w:pPr>
        <w:tabs>
          <w:tab w:val="left" w:pos="1440"/>
          <w:tab w:val="left" w:pos="4680"/>
          <w:tab w:val="center" w:pos="7200"/>
        </w:tabs>
        <w:spacing w:after="0"/>
        <w:jc w:val="center"/>
      </w:pPr>
    </w:p>
    <w:p w:rsidR="00572D1D" w:rsidP="00572D1D" w14:paraId="163A976F" w14:textId="77777777">
      <w:pPr>
        <w:tabs>
          <w:tab w:val="left" w:pos="1440"/>
          <w:tab w:val="left" w:pos="4680"/>
          <w:tab w:val="center" w:pos="7200"/>
        </w:tabs>
        <w:spacing w:after="0"/>
        <w:jc w:val="center"/>
      </w:pPr>
      <w:r>
        <w:t>THE PEOPLE</w:t>
      </w:r>
      <w:r w:rsidR="009001A0">
        <w:t>,</w:t>
      </w:r>
    </w:p>
    <w:p w:rsidR="00572D1D" w:rsidP="00572D1D" w14:paraId="163A9770" w14:textId="77777777">
      <w:pPr>
        <w:tabs>
          <w:tab w:val="left" w:pos="1440"/>
          <w:tab w:val="left" w:pos="4680"/>
          <w:tab w:val="center" w:pos="7200"/>
        </w:tabs>
        <w:spacing w:after="0"/>
        <w:jc w:val="center"/>
      </w:pPr>
      <w:r>
        <w:t>Plaintiff and Respondent</w:t>
      </w:r>
      <w:r w:rsidR="009001A0">
        <w:t>,</w:t>
      </w:r>
    </w:p>
    <w:p w:rsidR="00572D1D" w:rsidP="00572D1D" w14:paraId="163A9771" w14:textId="77777777">
      <w:pPr>
        <w:tabs>
          <w:tab w:val="left" w:pos="1440"/>
          <w:tab w:val="left" w:pos="4680"/>
          <w:tab w:val="center" w:pos="7200"/>
        </w:tabs>
        <w:spacing w:after="0"/>
        <w:jc w:val="center"/>
      </w:pPr>
      <w:r>
        <w:t>v.</w:t>
      </w:r>
    </w:p>
    <w:p w:rsidR="00572D1D" w:rsidP="00572D1D" w14:paraId="163A9772" w14:textId="77777777">
      <w:pPr>
        <w:tabs>
          <w:tab w:val="left" w:pos="1440"/>
          <w:tab w:val="left" w:pos="4680"/>
          <w:tab w:val="center" w:pos="7200"/>
        </w:tabs>
        <w:spacing w:after="0"/>
        <w:jc w:val="center"/>
      </w:pPr>
      <w:r>
        <w:t>FERNANDO ROJAS</w:t>
      </w:r>
      <w:r w:rsidR="00012020">
        <w:t>,</w:t>
      </w:r>
    </w:p>
    <w:p w:rsidR="00572D1D" w:rsidP="00572D1D" w14:paraId="163A9773" w14:textId="77777777">
      <w:pPr>
        <w:tabs>
          <w:tab w:val="left" w:pos="1440"/>
          <w:tab w:val="left" w:pos="4680"/>
          <w:tab w:val="center" w:pos="7200"/>
        </w:tabs>
        <w:spacing w:after="0"/>
        <w:jc w:val="center"/>
      </w:pPr>
      <w:r>
        <w:t>Defendant and Appellant.</w:t>
      </w:r>
    </w:p>
    <w:p w:rsidR="00572D1D" w:rsidP="00572D1D" w14:paraId="163A9774" w14:textId="77777777">
      <w:pPr>
        <w:tabs>
          <w:tab w:val="left" w:pos="1440"/>
          <w:tab w:val="left" w:pos="4680"/>
          <w:tab w:val="center" w:pos="7200"/>
        </w:tabs>
        <w:spacing w:after="0"/>
        <w:jc w:val="center"/>
      </w:pPr>
    </w:p>
    <w:p w:rsidR="00572D1D" w:rsidP="00572D1D" w14:paraId="163A9775" w14:textId="77777777">
      <w:pPr>
        <w:tabs>
          <w:tab w:val="left" w:pos="1440"/>
          <w:tab w:val="left" w:pos="4680"/>
          <w:tab w:val="center" w:pos="7200"/>
        </w:tabs>
        <w:spacing w:after="0"/>
        <w:jc w:val="center"/>
      </w:pPr>
      <w:r>
        <w:t>S275835</w:t>
      </w:r>
    </w:p>
    <w:p w:rsidR="00572D1D" w:rsidP="00572D1D" w14:paraId="163A9776" w14:textId="77777777">
      <w:pPr>
        <w:tabs>
          <w:tab w:val="left" w:pos="1440"/>
          <w:tab w:val="left" w:pos="4680"/>
          <w:tab w:val="center" w:pos="7200"/>
        </w:tabs>
        <w:spacing w:after="0"/>
        <w:jc w:val="center"/>
      </w:pPr>
    </w:p>
    <w:p w:rsidR="00572D1D" w:rsidP="00572D1D" w14:paraId="163A9777" w14:textId="77777777">
      <w:pPr>
        <w:tabs>
          <w:tab w:val="left" w:pos="1440"/>
          <w:tab w:val="left" w:pos="4680"/>
          <w:tab w:val="center" w:pos="7200"/>
        </w:tabs>
        <w:spacing w:after="0"/>
        <w:jc w:val="center"/>
      </w:pPr>
      <w:r>
        <w:t>Fifth Appellate District</w:t>
      </w:r>
    </w:p>
    <w:p w:rsidR="00572D1D" w:rsidP="00572D1D" w14:paraId="163A9778" w14:textId="77777777">
      <w:pPr>
        <w:tabs>
          <w:tab w:val="left" w:pos="1440"/>
          <w:tab w:val="left" w:pos="4680"/>
          <w:tab w:val="center" w:pos="7200"/>
        </w:tabs>
        <w:spacing w:after="0"/>
        <w:jc w:val="center"/>
      </w:pPr>
      <w:r>
        <w:t>F080361</w:t>
      </w:r>
    </w:p>
    <w:p w:rsidR="00572D1D" w:rsidP="00572D1D" w14:paraId="163A9779" w14:textId="77777777">
      <w:pPr>
        <w:tabs>
          <w:tab w:val="left" w:pos="1440"/>
          <w:tab w:val="left" w:pos="4680"/>
          <w:tab w:val="center" w:pos="7200"/>
        </w:tabs>
        <w:spacing w:after="0"/>
        <w:jc w:val="center"/>
      </w:pPr>
    </w:p>
    <w:p w:rsidR="00572D1D" w:rsidP="00572D1D" w14:paraId="163A977A" w14:textId="77777777">
      <w:pPr>
        <w:tabs>
          <w:tab w:val="left" w:pos="1440"/>
          <w:tab w:val="left" w:pos="4680"/>
          <w:tab w:val="center" w:pos="7200"/>
        </w:tabs>
        <w:spacing w:after="0"/>
        <w:jc w:val="center"/>
      </w:pPr>
      <w:r>
        <w:t>Kern County</w:t>
      </w:r>
      <w:r w:rsidR="00012020">
        <w:t xml:space="preserve"> Superior Court</w:t>
      </w:r>
    </w:p>
    <w:p w:rsidR="00572D1D" w:rsidP="00572D1D" w14:paraId="163A977B" w14:textId="77777777">
      <w:pPr>
        <w:tabs>
          <w:tab w:val="left" w:pos="1440"/>
          <w:tab w:val="left" w:pos="4680"/>
          <w:tab w:val="center" w:pos="7200"/>
        </w:tabs>
        <w:spacing w:after="0"/>
        <w:jc w:val="center"/>
      </w:pPr>
      <w:r>
        <w:t>BF171239B</w:t>
      </w:r>
    </w:p>
    <w:p w:rsidR="00572D1D" w:rsidP="00572D1D" w14:paraId="163A977C" w14:textId="77777777">
      <w:pPr>
        <w:pBdr>
          <w:bottom w:val="single" w:sz="4" w:space="1" w:color="auto"/>
        </w:pBdr>
        <w:tabs>
          <w:tab w:val="left" w:pos="1440"/>
          <w:tab w:val="left" w:pos="4680"/>
          <w:tab w:val="center" w:pos="7200"/>
        </w:tabs>
        <w:spacing w:after="0"/>
        <w:jc w:val="center"/>
      </w:pPr>
    </w:p>
    <w:p w:rsidR="00572D1D" w:rsidP="00572D1D" w14:paraId="163A977D" w14:textId="77777777">
      <w:pPr>
        <w:tabs>
          <w:tab w:val="left" w:pos="1440"/>
          <w:tab w:val="left" w:pos="4680"/>
          <w:tab w:val="center" w:pos="7200"/>
        </w:tabs>
        <w:spacing w:after="0"/>
        <w:jc w:val="center"/>
      </w:pPr>
    </w:p>
    <w:p w:rsidR="00D366CE" w:rsidRPr="00C6797F" w:rsidP="00D366CE" w14:paraId="163A977E" w14:textId="77777777">
      <w:pPr>
        <w:tabs>
          <w:tab w:val="left" w:pos="1440"/>
        </w:tabs>
        <w:spacing w:after="0"/>
        <w:jc w:val="center"/>
        <w:rPr>
          <w:szCs w:val="26"/>
        </w:rPr>
      </w:pPr>
      <w:r>
        <w:rPr>
          <w:szCs w:val="26"/>
        </w:rPr>
        <w:t>December 18</w:t>
      </w:r>
      <w:r w:rsidRPr="00C6797F">
        <w:rPr>
          <w:szCs w:val="26"/>
        </w:rPr>
        <w:t>, 2023</w:t>
      </w:r>
    </w:p>
    <w:p w:rsidR="00D366CE" w:rsidP="00D366CE" w14:paraId="163A977F" w14:textId="77777777">
      <w:pPr>
        <w:tabs>
          <w:tab w:val="left" w:pos="1440"/>
        </w:tabs>
        <w:spacing w:after="0"/>
        <w:jc w:val="center"/>
        <w:rPr>
          <w:caps/>
          <w:szCs w:val="26"/>
        </w:rPr>
      </w:pPr>
    </w:p>
    <w:p w:rsidR="00572D1D" w:rsidRPr="00D366CE" w:rsidP="00D366CE" w14:paraId="163A9780" w14:textId="77777777">
      <w:pPr>
        <w:tabs>
          <w:tab w:val="left" w:pos="1440"/>
        </w:tabs>
        <w:spacing w:after="0"/>
        <w:jc w:val="left"/>
        <w:rPr>
          <w:szCs w:val="26"/>
        </w:rPr>
      </w:pPr>
      <w:r w:rsidRPr="00C6797F">
        <w:rPr>
          <w:szCs w:val="26"/>
        </w:rPr>
        <w:t xml:space="preserve">Justice Liu authored the opinion of the Court, in which </w:t>
      </w:r>
      <w:r w:rsidRPr="000413AA" w:rsidR="00267986">
        <w:t>Chief Justice Guerrero and Justices Corrigan, Kruger, Groban, Jenkins, and Evans</w:t>
      </w:r>
      <w:r w:rsidRPr="00C6797F">
        <w:rPr>
          <w:szCs w:val="26"/>
        </w:rPr>
        <w:t xml:space="preserve"> concurred. </w:t>
      </w:r>
      <w:bookmarkStart w:id="0" w:name="Return"/>
      <w:bookmarkEnd w:id="0"/>
    </w:p>
    <w:p w:rsidR="00572D1D" w:rsidRPr="00572D1D" w:rsidP="00572D1D" w14:paraId="163A9781" w14:textId="77777777">
      <w:pPr>
        <w:pBdr>
          <w:bottom w:val="single" w:sz="4" w:space="1" w:color="auto"/>
        </w:pBdr>
        <w:tabs>
          <w:tab w:val="left" w:pos="1440"/>
          <w:tab w:val="left" w:pos="4680"/>
          <w:tab w:val="center" w:pos="7200"/>
        </w:tabs>
        <w:spacing w:line="480" w:lineRule="atLeast"/>
        <w:jc w:val="left"/>
      </w:pPr>
    </w:p>
    <w:p w:rsidR="00572D1D" w14:paraId="163A9782" w14:textId="77777777">
      <w:pPr>
        <w:tabs>
          <w:tab w:val="left" w:pos="1440"/>
          <w:tab w:val="left" w:pos="4680"/>
          <w:tab w:val="center" w:pos="7200"/>
        </w:tabs>
        <w:spacing w:line="480" w:lineRule="atLeast"/>
        <w:sectPr w:rsidSect="00572D1D">
          <w:headerReference w:type="default" r:id="rId5"/>
          <w:footerReference w:type="default" r:id="rId6"/>
          <w:pgSz w:w="12240" w:h="15840"/>
          <w:pgMar w:top="1800" w:right="2160" w:bottom="1440" w:left="2160" w:header="720" w:footer="720" w:gutter="0"/>
          <w:cols w:space="720"/>
          <w:titlePg/>
          <w:docGrid w:linePitch="367"/>
        </w:sectPr>
      </w:pPr>
    </w:p>
    <w:p w:rsidR="00572D1D" w:rsidP="00572D1D" w14:paraId="163A9783" w14:textId="77777777">
      <w:pPr>
        <w:tabs>
          <w:tab w:val="left" w:pos="1440"/>
          <w:tab w:val="left" w:pos="4680"/>
          <w:tab w:val="center" w:pos="7200"/>
        </w:tabs>
        <w:jc w:val="center"/>
      </w:pPr>
      <w:r>
        <w:t>PEOPLE v. ROJAS</w:t>
      </w:r>
    </w:p>
    <w:p w:rsidR="00572D1D" w:rsidP="00572D1D" w14:paraId="163A9784" w14:textId="77777777">
      <w:pPr>
        <w:tabs>
          <w:tab w:val="left" w:pos="1440"/>
          <w:tab w:val="left" w:pos="4680"/>
          <w:tab w:val="center" w:pos="7200"/>
        </w:tabs>
        <w:jc w:val="center"/>
      </w:pPr>
      <w:r>
        <w:t>S275835</w:t>
      </w:r>
    </w:p>
    <w:p w:rsidR="00572D1D" w:rsidP="00572D1D" w14:paraId="163A9785" w14:textId="77777777">
      <w:pPr>
        <w:tabs>
          <w:tab w:val="left" w:pos="1440"/>
          <w:tab w:val="left" w:pos="4680"/>
          <w:tab w:val="center" w:pos="7200"/>
        </w:tabs>
        <w:jc w:val="center"/>
      </w:pPr>
    </w:p>
    <w:p w:rsidR="00572D1D" w:rsidP="00572D1D" w14:paraId="163A9786" w14:textId="77777777">
      <w:pPr>
        <w:tabs>
          <w:tab w:val="left" w:pos="1440"/>
          <w:tab w:val="left" w:pos="4680"/>
          <w:tab w:val="center" w:pos="7200"/>
        </w:tabs>
        <w:jc w:val="center"/>
      </w:pPr>
      <w:r>
        <w:t>Opinion of the Court by Liu, J.</w:t>
      </w:r>
    </w:p>
    <w:p w:rsidR="00572D1D" w:rsidRPr="00572D1D" w:rsidP="00572D1D" w14:paraId="163A9787" w14:textId="77777777">
      <w:pPr>
        <w:tabs>
          <w:tab w:val="left" w:pos="1440"/>
          <w:tab w:val="left" w:pos="4680"/>
          <w:tab w:val="center" w:pos="7200"/>
        </w:tabs>
        <w:jc w:val="center"/>
      </w:pPr>
    </w:p>
    <w:p w:rsidR="000466F1" w:rsidRPr="00572D1D" w:rsidP="00572D1D" w14:paraId="163A9788" w14:textId="77777777">
      <w:pPr>
        <w:tabs>
          <w:tab w:val="left" w:pos="1440"/>
        </w:tabs>
        <w:ind w:firstLine="720"/>
      </w:pPr>
      <w:r w:rsidRPr="00572D1D">
        <w:t>In 2000, California voters adopted Proposition 21, the Gang Violence and Juvenile Crime Prevention Act of 1998 (Proposition 21).  Proposition 21 added the gang-murder special circumstance</w:t>
      </w:r>
      <w:r w:rsidRPr="00572D1D" w:rsidR="009F3365">
        <w:t xml:space="preserve">, </w:t>
      </w:r>
      <w:r w:rsidRPr="00572D1D">
        <w:t>codified at Penal Code section 190.2, subdivision (a)(22)</w:t>
      </w:r>
      <w:r w:rsidRPr="00572D1D" w:rsidR="00952399">
        <w:t xml:space="preserve"> (</w:t>
      </w:r>
      <w:r w:rsidR="003549B9">
        <w:t>section</w:t>
      </w:r>
      <w:r w:rsidR="009257AA">
        <w:t> </w:t>
      </w:r>
      <w:r w:rsidRPr="00572D1D" w:rsidR="00952399">
        <w:t>190.2(a)(22))</w:t>
      </w:r>
      <w:r w:rsidRPr="00572D1D">
        <w:t xml:space="preserve">.  </w:t>
      </w:r>
      <w:r w:rsidRPr="00572D1D" w:rsidR="00793215">
        <w:t>(</w:t>
      </w:r>
      <w:r w:rsidRPr="00572D1D" w:rsidR="00952399">
        <w:t>A</w:t>
      </w:r>
      <w:r w:rsidRPr="00572D1D" w:rsidR="008473DA">
        <w:t xml:space="preserve">ll undesignated statutory references are to the Penal Code.)  </w:t>
      </w:r>
      <w:r w:rsidRPr="00572D1D" w:rsidR="009F3365">
        <w:t>Under this provision, a person</w:t>
      </w:r>
      <w:r w:rsidRPr="00572D1D">
        <w:t xml:space="preserve"> convicted of first</w:t>
      </w:r>
      <w:r w:rsidRPr="00572D1D" w:rsidR="00B3210B">
        <w:t xml:space="preserve"> </w:t>
      </w:r>
      <w:r w:rsidRPr="00572D1D">
        <w:t xml:space="preserve">degree murder is subject to the death penalty or life imprisonment without the possibility of parole if the jury finds “[t]he defendant intentionally killed the victim while the defendant was an active participant in </w:t>
      </w:r>
      <w:r w:rsidRPr="00572D1D">
        <w:rPr>
          <w:i/>
          <w:iCs/>
        </w:rPr>
        <w:t>a criminal street gang, as defined in subdivision (f) of Section 186.22</w:t>
      </w:r>
      <w:r w:rsidRPr="00572D1D">
        <w:t>, and the murder was carried out to further the activities of the criminal street gang.”  (</w:t>
      </w:r>
      <w:r w:rsidR="009257AA">
        <w:t>§ </w:t>
      </w:r>
      <w:r w:rsidRPr="00572D1D" w:rsidR="009C1A09">
        <w:t>190.2(a)(22)</w:t>
      </w:r>
      <w:r w:rsidRPr="00572D1D" w:rsidR="0060196F">
        <w:t>, italics added</w:t>
      </w:r>
      <w:r w:rsidRPr="00572D1D" w:rsidR="009C1A09">
        <w:t>.</w:t>
      </w:r>
      <w:r w:rsidRPr="00572D1D">
        <w:t xml:space="preserve">)  </w:t>
      </w:r>
      <w:r w:rsidRPr="00572D1D" w:rsidR="00F3608D">
        <w:t xml:space="preserve">Proposition 21 does not permit amendment </w:t>
      </w:r>
      <w:r w:rsidRPr="00572D1D" w:rsidR="009F3365">
        <w:t xml:space="preserve">of its provisions </w:t>
      </w:r>
      <w:r w:rsidRPr="00572D1D" w:rsidR="00F3608D">
        <w:t xml:space="preserve">except by the voters or by legislative amendment </w:t>
      </w:r>
      <w:r w:rsidRPr="00572D1D">
        <w:t xml:space="preserve">passed with a two-thirds </w:t>
      </w:r>
      <w:r w:rsidRPr="00572D1D" w:rsidR="00952399">
        <w:t xml:space="preserve">majority </w:t>
      </w:r>
      <w:r w:rsidRPr="00572D1D">
        <w:t>of each house.  (</w:t>
      </w:r>
      <w:r w:rsidR="003549B9">
        <w:t>Voter Information Guide</w:t>
      </w:r>
      <w:r w:rsidRPr="00572D1D">
        <w:t>, Primary Ele</w:t>
      </w:r>
      <w:r w:rsidRPr="00572D1D" w:rsidR="00690B67">
        <w:t>c. </w:t>
      </w:r>
      <w:r w:rsidRPr="00572D1D">
        <w:t xml:space="preserve">(Mar. 7, 2000) text of Prop. 21, </w:t>
      </w:r>
      <w:r w:rsidR="009257AA">
        <w:t>§ </w:t>
      </w:r>
      <w:r w:rsidRPr="00572D1D">
        <w:t>39,</w:t>
      </w:r>
      <w:r w:rsidR="009257AA">
        <w:t xml:space="preserve"> p. </w:t>
      </w:r>
      <w:r w:rsidRPr="00572D1D">
        <w:t>131.)</w:t>
      </w:r>
    </w:p>
    <w:p w:rsidR="00CC2949" w:rsidRPr="00572D1D" w:rsidP="00572D1D" w14:paraId="163A9789" w14:textId="77777777">
      <w:pPr>
        <w:tabs>
          <w:tab w:val="left" w:pos="1440"/>
        </w:tabs>
        <w:ind w:firstLine="720"/>
        <w:rPr>
          <w:iCs/>
          <w:szCs w:val="26"/>
        </w:rPr>
      </w:pPr>
      <w:r w:rsidRPr="00572D1D">
        <w:t>The definition of a “criminal street gang” in section 186.22, subdivision (f) (</w:t>
      </w:r>
      <w:r w:rsidR="002E4BEB">
        <w:t>section</w:t>
      </w:r>
      <w:r w:rsidR="009257AA">
        <w:t> </w:t>
      </w:r>
      <w:r w:rsidRPr="00572D1D">
        <w:t xml:space="preserve">186.22(f)) was first enacted in 1988 as part of </w:t>
      </w:r>
      <w:r w:rsidRPr="00572D1D">
        <w:rPr>
          <w:iCs/>
          <w:szCs w:val="26"/>
        </w:rPr>
        <w:t xml:space="preserve">the </w:t>
      </w:r>
      <w:r w:rsidR="003549B9">
        <w:rPr>
          <w:iCs/>
          <w:szCs w:val="26"/>
        </w:rPr>
        <w:t xml:space="preserve">California </w:t>
      </w:r>
      <w:r w:rsidRPr="00572D1D">
        <w:rPr>
          <w:iCs/>
          <w:szCs w:val="26"/>
        </w:rPr>
        <w:t>Street Terrorism Enforcement and Prevention Act (STEP Act)</w:t>
      </w:r>
      <w:r w:rsidR="003549B9">
        <w:rPr>
          <w:iCs/>
          <w:szCs w:val="26"/>
        </w:rPr>
        <w:t xml:space="preserve"> (</w:t>
      </w:r>
      <w:r w:rsidR="003549B9">
        <w:t>§ </w:t>
      </w:r>
      <w:r w:rsidRPr="00572D1D" w:rsidR="003549B9">
        <w:t>186.2</w:t>
      </w:r>
      <w:r w:rsidR="002E4BEB">
        <w:t>0</w:t>
      </w:r>
      <w:r w:rsidR="003549B9">
        <w:t xml:space="preserve"> et seq.)</w:t>
      </w:r>
      <w:r w:rsidRPr="00572D1D" w:rsidR="0060196F">
        <w:rPr>
          <w:iCs/>
          <w:szCs w:val="26"/>
        </w:rPr>
        <w:t>, which created the offense of active participation in a gang and introduced sentencing enhancements for gang-related felonies</w:t>
      </w:r>
      <w:r w:rsidRPr="00572D1D">
        <w:rPr>
          <w:iCs/>
          <w:szCs w:val="26"/>
        </w:rPr>
        <w:t xml:space="preserve">.  </w:t>
      </w:r>
      <w:r w:rsidRPr="00572D1D">
        <w:t>(Stats. 1988,</w:t>
      </w:r>
      <w:r w:rsidR="009257AA">
        <w:t xml:space="preserve"> ch. </w:t>
      </w:r>
      <w:r w:rsidRPr="00572D1D">
        <w:t xml:space="preserve">1256, </w:t>
      </w:r>
      <w:r w:rsidR="009257AA">
        <w:t>§ </w:t>
      </w:r>
      <w:r w:rsidRPr="00572D1D" w:rsidR="00495598">
        <w:t>1</w:t>
      </w:r>
      <w:r w:rsidR="003549B9">
        <w:t xml:space="preserve">, p. </w:t>
      </w:r>
      <w:r w:rsidR="00557D0D">
        <w:t>4179</w:t>
      </w:r>
      <w:r w:rsidRPr="00572D1D" w:rsidR="007F69EF">
        <w:t>; see Pen</w:t>
      </w:r>
      <w:r w:rsidR="00F67968">
        <w:t>.</w:t>
      </w:r>
      <w:r w:rsidRPr="00572D1D" w:rsidR="007F69EF">
        <w:t xml:space="preserve"> Code,</w:t>
      </w:r>
      <w:r w:rsidRPr="00572D1D" w:rsidR="00B91047">
        <w:t xml:space="preserve"> </w:t>
      </w:r>
      <w:r w:rsidR="009257AA">
        <w:t>§ </w:t>
      </w:r>
      <w:r w:rsidRPr="00572D1D" w:rsidR="00054461">
        <w:t>186.22, subds. (a)</w:t>
      </w:r>
      <w:r w:rsidRPr="00572D1D" w:rsidR="007F69EF">
        <w:t>, (b)(2)</w:t>
      </w:r>
      <w:r w:rsidRPr="00572D1D">
        <w:t xml:space="preserve">.)  </w:t>
      </w:r>
      <w:r w:rsidRPr="00572D1D" w:rsidR="00685C15">
        <w:t xml:space="preserve">The Legislature has amended the definition </w:t>
      </w:r>
      <w:r w:rsidRPr="00572D1D" w:rsidR="0060196F">
        <w:t xml:space="preserve">of “criminal street gang” </w:t>
      </w:r>
      <w:r w:rsidRPr="00572D1D" w:rsidR="00685C15">
        <w:t>a few times over the years, generally expanding its scope.  But i</w:t>
      </w:r>
      <w:r w:rsidRPr="00572D1D" w:rsidR="00770D10">
        <w:t xml:space="preserve">n 2021, the Legislature substantially narrowed </w:t>
      </w:r>
      <w:r w:rsidRPr="00572D1D" w:rsidR="00685C15">
        <w:t xml:space="preserve">section 186.22(f)’s </w:t>
      </w:r>
      <w:r w:rsidRPr="00572D1D" w:rsidR="00770D10">
        <w:t>definition of “criminal street gang” and</w:t>
      </w:r>
      <w:r w:rsidRPr="00572D1D" w:rsidR="00E16830">
        <w:t xml:space="preserve">, by extension, what it means </w:t>
      </w:r>
      <w:r w:rsidRPr="00572D1D" w:rsidR="00770D10">
        <w:t>to “further the activities of the criminal street gang”</w:t>
      </w:r>
      <w:r w:rsidRPr="00572D1D" w:rsidR="00E16830">
        <w:t xml:space="preserve"> for purposes of the special circumstance</w:t>
      </w:r>
      <w:r w:rsidR="002E4BEB">
        <w:t xml:space="preserve"> in section </w:t>
      </w:r>
      <w:r w:rsidRPr="00572D1D" w:rsidR="002E4BEB">
        <w:t>190.2(a)(22)</w:t>
      </w:r>
      <w:r w:rsidRPr="00572D1D" w:rsidR="00E16830">
        <w:t xml:space="preserve">.  </w:t>
      </w:r>
      <w:r w:rsidRPr="00572D1D" w:rsidR="00685C15">
        <w:t xml:space="preserve">(See </w:t>
      </w:r>
      <w:r w:rsidRPr="00572D1D" w:rsidR="00685C15">
        <w:rPr>
          <w:iCs/>
          <w:szCs w:val="26"/>
        </w:rPr>
        <w:t>Assembly Bill</w:t>
      </w:r>
      <w:r w:rsidR="009257AA">
        <w:rPr>
          <w:iCs/>
          <w:szCs w:val="26"/>
        </w:rPr>
        <w:t xml:space="preserve"> </w:t>
      </w:r>
      <w:r w:rsidR="00F67968">
        <w:rPr>
          <w:iCs/>
          <w:szCs w:val="26"/>
        </w:rPr>
        <w:t>N</w:t>
      </w:r>
      <w:r w:rsidR="009257AA">
        <w:rPr>
          <w:iCs/>
          <w:szCs w:val="26"/>
        </w:rPr>
        <w:t>o. </w:t>
      </w:r>
      <w:r w:rsidRPr="00572D1D" w:rsidR="00685C15">
        <w:rPr>
          <w:iCs/>
          <w:szCs w:val="26"/>
        </w:rPr>
        <w:t>333 (2021–2022 Reg. Sess.) (Assembly Bill 333).)</w:t>
      </w:r>
    </w:p>
    <w:p w:rsidR="007D4DFB" w:rsidRPr="00572D1D" w:rsidP="00572D1D" w14:paraId="163A978A" w14:textId="77777777">
      <w:pPr>
        <w:tabs>
          <w:tab w:val="left" w:pos="1440"/>
        </w:tabs>
        <w:ind w:firstLine="720"/>
      </w:pPr>
      <w:r w:rsidRPr="00572D1D">
        <w:t xml:space="preserve">The </w:t>
      </w:r>
      <w:r w:rsidRPr="00572D1D" w:rsidR="00E16830">
        <w:t>issue before us</w:t>
      </w:r>
      <w:r w:rsidRPr="00572D1D">
        <w:t xml:space="preserve"> is whether applying </w:t>
      </w:r>
      <w:r w:rsidRPr="00572D1D" w:rsidR="00685C15">
        <w:t xml:space="preserve">this recent legislative enactment, </w:t>
      </w:r>
      <w:r w:rsidRPr="00572D1D" w:rsidR="00C94ADF">
        <w:t>Assembly Bill 333</w:t>
      </w:r>
      <w:r w:rsidRPr="00572D1D" w:rsidR="00685C15">
        <w:t>,</w:t>
      </w:r>
      <w:r w:rsidRPr="00572D1D">
        <w:t xml:space="preserve"> to the gang-murder special circumstance in section 190.2(a)(22) constitutes an </w:t>
      </w:r>
      <w:r w:rsidRPr="00572D1D" w:rsidR="00685C15">
        <w:t xml:space="preserve">unlawful </w:t>
      </w:r>
      <w:r w:rsidRPr="00572D1D">
        <w:t xml:space="preserve">amendment of Proposition 21.  </w:t>
      </w:r>
      <w:r w:rsidRPr="00572D1D" w:rsidR="00685C15">
        <w:t>The issue has divided the Courts of Appeal</w:t>
      </w:r>
      <w:r w:rsidRPr="00572D1D" w:rsidR="00685C15">
        <w:rPr>
          <w:iCs/>
          <w:szCs w:val="26"/>
        </w:rPr>
        <w:t xml:space="preserve">.  </w:t>
      </w:r>
      <w:r w:rsidRPr="00572D1D" w:rsidR="007D145D">
        <w:rPr>
          <w:iCs/>
          <w:szCs w:val="26"/>
        </w:rPr>
        <w:t xml:space="preserve">(Compare </w:t>
      </w:r>
      <w:r w:rsidRPr="00572D1D" w:rsidR="007D145D">
        <w:rPr>
          <w:i/>
          <w:iCs/>
          <w:szCs w:val="26"/>
        </w:rPr>
        <w:t>People v. Rojas</w:t>
      </w:r>
      <w:r w:rsidRPr="00572D1D" w:rsidR="007D145D">
        <w:rPr>
          <w:iCs/>
          <w:szCs w:val="26"/>
        </w:rPr>
        <w:t xml:space="preserve"> (2022) 80 Cal.App.5th 542, 557 [Assembly Bill 333’s amendments to </w:t>
      </w:r>
      <w:r w:rsidR="003549B9">
        <w:t>§</w:t>
      </w:r>
      <w:r w:rsidR="000F5585">
        <w:rPr>
          <w:iCs/>
          <w:szCs w:val="26"/>
        </w:rPr>
        <w:t> </w:t>
      </w:r>
      <w:r w:rsidRPr="00572D1D" w:rsidR="007D145D">
        <w:rPr>
          <w:iCs/>
          <w:szCs w:val="26"/>
        </w:rPr>
        <w:t xml:space="preserve">186.22 </w:t>
      </w:r>
      <w:r w:rsidRPr="00572D1D" w:rsidR="0060196F">
        <w:rPr>
          <w:iCs/>
          <w:szCs w:val="26"/>
        </w:rPr>
        <w:t>can</w:t>
      </w:r>
      <w:r w:rsidRPr="00572D1D" w:rsidR="007D145D">
        <w:rPr>
          <w:iCs/>
          <w:szCs w:val="26"/>
        </w:rPr>
        <w:t xml:space="preserve">not be applied to the gang-murder special circumstance without taking away from the scope of conduct made punishable under Proposition 21] with </w:t>
      </w:r>
      <w:bookmarkStart w:id="1" w:name="_Hlk125542367"/>
      <w:r w:rsidRPr="00572D1D" w:rsidR="007D145D">
        <w:rPr>
          <w:i/>
          <w:iCs/>
          <w:szCs w:val="26"/>
        </w:rPr>
        <w:t xml:space="preserve">People v. </w:t>
      </w:r>
      <w:bookmarkEnd w:id="1"/>
      <w:r w:rsidRPr="00572D1D" w:rsidR="007D145D">
        <w:rPr>
          <w:i/>
          <w:iCs/>
          <w:szCs w:val="26"/>
        </w:rPr>
        <w:t xml:space="preserve">Lee </w:t>
      </w:r>
      <w:r w:rsidRPr="00572D1D" w:rsidR="007D145D">
        <w:rPr>
          <w:iCs/>
          <w:szCs w:val="26"/>
        </w:rPr>
        <w:t>(2022) 81</w:t>
      </w:r>
      <w:r w:rsidRPr="00572D1D" w:rsidR="005B768A">
        <w:rPr>
          <w:iCs/>
          <w:szCs w:val="26"/>
        </w:rPr>
        <w:t> </w:t>
      </w:r>
      <w:r w:rsidRPr="00572D1D" w:rsidR="007D145D">
        <w:rPr>
          <w:iCs/>
          <w:szCs w:val="26"/>
        </w:rPr>
        <w:t xml:space="preserve">Cal.App.5th 232, 245, review granted and briefing deferred Oct. 19, 2022, S275449 </w:t>
      </w:r>
      <w:r w:rsidR="00C52817">
        <w:rPr>
          <w:iCs/>
          <w:szCs w:val="26"/>
        </w:rPr>
        <w:t>(</w:t>
      </w:r>
      <w:r w:rsidR="00C52817">
        <w:rPr>
          <w:i/>
          <w:szCs w:val="26"/>
        </w:rPr>
        <w:t>Lee</w:t>
      </w:r>
      <w:r w:rsidR="00C52817">
        <w:rPr>
          <w:iCs/>
          <w:szCs w:val="26"/>
        </w:rPr>
        <w:t xml:space="preserve">) </w:t>
      </w:r>
      <w:r w:rsidRPr="00572D1D" w:rsidR="007D145D">
        <w:rPr>
          <w:iCs/>
          <w:szCs w:val="26"/>
        </w:rPr>
        <w:t xml:space="preserve">[Assembly Bill 333 did not amend Proposition 21, which was intended to track any subsequent changes to </w:t>
      </w:r>
      <w:r w:rsidR="003549B9">
        <w:t>§</w:t>
      </w:r>
      <w:r w:rsidR="000F5585">
        <w:rPr>
          <w:iCs/>
          <w:szCs w:val="26"/>
        </w:rPr>
        <w:t> </w:t>
      </w:r>
      <w:r w:rsidRPr="00572D1D" w:rsidR="007D145D">
        <w:rPr>
          <w:iCs/>
          <w:szCs w:val="26"/>
        </w:rPr>
        <w:t>186.22]</w:t>
      </w:r>
      <w:r w:rsidRPr="00572D1D" w:rsidR="00AF74DA">
        <w:rPr>
          <w:iCs/>
          <w:szCs w:val="26"/>
        </w:rPr>
        <w:t xml:space="preserve"> and </w:t>
      </w:r>
      <w:r w:rsidRPr="00572D1D" w:rsidR="002F6EE6">
        <w:rPr>
          <w:i/>
          <w:iCs/>
        </w:rPr>
        <w:t>People v. Oliva</w:t>
      </w:r>
      <w:r w:rsidRPr="00572D1D" w:rsidR="002F6EE6">
        <w:t xml:space="preserve"> (2023) 89 Cal.App.5th 76, 90, review granted and briefing deferred May 17, 2023, S279485 [same]</w:t>
      </w:r>
      <w:r w:rsidRPr="00572D1D" w:rsidR="007D145D">
        <w:rPr>
          <w:iCs/>
          <w:szCs w:val="26"/>
        </w:rPr>
        <w:t>.)</w:t>
      </w:r>
      <w:r w:rsidRPr="00572D1D" w:rsidR="00CC2949">
        <w:rPr>
          <w:iCs/>
          <w:szCs w:val="26"/>
        </w:rPr>
        <w:t xml:space="preserve">  </w:t>
      </w:r>
      <w:r w:rsidR="00F67968">
        <w:t>W</w:t>
      </w:r>
      <w:r w:rsidRPr="00572D1D" w:rsidR="00655A1D">
        <w:t xml:space="preserve">e </w:t>
      </w:r>
      <w:r w:rsidRPr="00572D1D" w:rsidR="005B6B88">
        <w:t xml:space="preserve">hold that </w:t>
      </w:r>
      <w:r w:rsidRPr="00572D1D" w:rsidR="00952399">
        <w:t xml:space="preserve">the application of </w:t>
      </w:r>
      <w:r w:rsidRPr="00572D1D" w:rsidR="00C94ADF">
        <w:t>Assembly Bill 333</w:t>
      </w:r>
      <w:r w:rsidRPr="00572D1D" w:rsidR="005B6B88">
        <w:t xml:space="preserve"> </w:t>
      </w:r>
      <w:r w:rsidRPr="00572D1D" w:rsidR="00E16830">
        <w:t xml:space="preserve">to the gang-murder special circumstance </w:t>
      </w:r>
      <w:r w:rsidRPr="00572D1D" w:rsidR="00952399">
        <w:t xml:space="preserve">does not </w:t>
      </w:r>
      <w:r w:rsidRPr="00572D1D" w:rsidR="002C2F6F">
        <w:t>violat</w:t>
      </w:r>
      <w:r w:rsidRPr="00572D1D" w:rsidR="00952399">
        <w:t>e</w:t>
      </w:r>
      <w:r w:rsidRPr="00572D1D" w:rsidR="002C2F6F">
        <w:t xml:space="preserve"> the limitation on legislative amendment in</w:t>
      </w:r>
      <w:r w:rsidRPr="00572D1D" w:rsidR="005B6B88">
        <w:t xml:space="preserve"> Proposition 21.</w:t>
      </w:r>
    </w:p>
    <w:p w:rsidR="006D4FC1" w:rsidRPr="00572D1D" w:rsidP="00572D1D" w14:paraId="163A978B" w14:textId="77777777">
      <w:pPr>
        <w:pStyle w:val="Heading1"/>
      </w:pPr>
      <w:r w:rsidRPr="00572D1D">
        <w:t>I.</w:t>
      </w:r>
    </w:p>
    <w:p w:rsidR="008D04B2" w:rsidRPr="00572D1D" w:rsidP="00572D1D" w14:paraId="163A978C" w14:textId="77777777">
      <w:pPr>
        <w:pStyle w:val="Body"/>
        <w:spacing w:line="400" w:lineRule="exact"/>
      </w:pPr>
      <w:r w:rsidRPr="00572D1D">
        <w:t>In 2019, Fernando Rojas and his codefendant Vi</w:t>
      </w:r>
      <w:r w:rsidRPr="00572D1D" w:rsidR="0016489F">
        <w:t>c</w:t>
      </w:r>
      <w:r w:rsidRPr="00572D1D">
        <w:t xml:space="preserve">tor Nunez were found guilty </w:t>
      </w:r>
      <w:r w:rsidRPr="00572D1D" w:rsidR="009F07E2">
        <w:t>of deliberate</w:t>
      </w:r>
      <w:r w:rsidRPr="00572D1D" w:rsidR="007D3A9C">
        <w:t>, premeditated murder (</w:t>
      </w:r>
      <w:r w:rsidR="009257AA">
        <w:t>§ </w:t>
      </w:r>
      <w:r w:rsidRPr="00572D1D" w:rsidR="007D3A9C">
        <w:t>187, subd. (a)) with true findings o</w:t>
      </w:r>
      <w:r w:rsidR="00F67968">
        <w:t>n</w:t>
      </w:r>
      <w:r w:rsidRPr="00572D1D" w:rsidR="007D3A9C">
        <w:t xml:space="preserve"> the gang-murder special circumstance (</w:t>
      </w:r>
      <w:r w:rsidR="009257AA">
        <w:t>§ </w:t>
      </w:r>
      <w:r w:rsidRPr="00572D1D" w:rsidR="007D3A9C">
        <w:t>190.2(a)(22)), a gang enhancement (</w:t>
      </w:r>
      <w:r w:rsidR="009257AA">
        <w:t>§</w:t>
      </w:r>
      <w:r w:rsidR="000F5585">
        <w:t> </w:t>
      </w:r>
      <w:r w:rsidRPr="00572D1D" w:rsidR="007D3A9C">
        <w:t>186.22, subd.</w:t>
      </w:r>
      <w:r w:rsidR="0076298B">
        <w:t> </w:t>
      </w:r>
      <w:r w:rsidRPr="00572D1D" w:rsidR="007D3A9C">
        <w:t>(b)(1)), and various firearm allegations (</w:t>
      </w:r>
      <w:r w:rsidR="00793933">
        <w:t>§</w:t>
      </w:r>
      <w:r w:rsidR="009257AA">
        <w:t>§</w:t>
      </w:r>
      <w:r w:rsidR="000F5585">
        <w:t> </w:t>
      </w:r>
      <w:r w:rsidRPr="00572D1D" w:rsidR="007D3A9C">
        <w:t>12022, subd.</w:t>
      </w:r>
      <w:r w:rsidR="000F5585">
        <w:t> </w:t>
      </w:r>
      <w:r w:rsidRPr="00572D1D" w:rsidR="007D3A9C">
        <w:t>(d)</w:t>
      </w:r>
      <w:r w:rsidR="00793933">
        <w:t>,</w:t>
      </w:r>
      <w:r w:rsidRPr="00572D1D" w:rsidR="007D3A9C">
        <w:t xml:space="preserve"> </w:t>
      </w:r>
      <w:r w:rsidR="009257AA">
        <w:t> </w:t>
      </w:r>
      <w:r w:rsidRPr="00572D1D" w:rsidR="007D3A9C">
        <w:t>12022.53, subds.</w:t>
      </w:r>
      <w:r w:rsidR="000F5585">
        <w:t> </w:t>
      </w:r>
      <w:r w:rsidRPr="00572D1D" w:rsidR="007D3A9C">
        <w:t>(d)</w:t>
      </w:r>
      <w:r w:rsidRPr="00572D1D" w:rsidR="00BD7C1D">
        <w:t xml:space="preserve"> </w:t>
      </w:r>
      <w:r w:rsidRPr="00572D1D" w:rsidR="007D3A9C">
        <w:t>&amp;</w:t>
      </w:r>
      <w:r w:rsidRPr="00572D1D" w:rsidR="00F44346">
        <w:t xml:space="preserve"> </w:t>
      </w:r>
      <w:r w:rsidRPr="00572D1D" w:rsidR="007D3A9C">
        <w:t xml:space="preserve">(e)).  </w:t>
      </w:r>
      <w:r w:rsidRPr="00572D1D" w:rsidR="00CD59D5">
        <w:t>Nunez</w:t>
      </w:r>
      <w:r w:rsidR="00F67968">
        <w:t>,</w:t>
      </w:r>
      <w:r w:rsidRPr="00572D1D" w:rsidR="006769D9">
        <w:t xml:space="preserve"> </w:t>
      </w:r>
      <w:r w:rsidRPr="00572D1D" w:rsidR="0020243D">
        <w:t>a fellow gang member</w:t>
      </w:r>
      <w:r w:rsidR="00F67968">
        <w:t>,</w:t>
      </w:r>
      <w:r w:rsidRPr="00572D1D" w:rsidR="00CD59D5">
        <w:t xml:space="preserve"> “shot and killed an individual with whom [Rojas] had an altercation moments </w:t>
      </w:r>
      <w:r w:rsidR="00685196">
        <w:t>prior</w:t>
      </w:r>
      <w:r w:rsidRPr="00572D1D" w:rsidR="00CD59D5">
        <w:t>.”  (</w:t>
      </w:r>
      <w:r w:rsidRPr="00572D1D" w:rsidR="00CD59D5">
        <w:rPr>
          <w:i/>
          <w:iCs/>
        </w:rPr>
        <w:t>Rojas</w:t>
      </w:r>
      <w:r w:rsidRPr="00572D1D" w:rsidR="00CD59D5">
        <w:t xml:space="preserve">, </w:t>
      </w:r>
      <w:r w:rsidRPr="00572D1D" w:rsidR="00CD59D5">
        <w:rPr>
          <w:i/>
          <w:iCs/>
        </w:rPr>
        <w:t>supra</w:t>
      </w:r>
      <w:r w:rsidRPr="00572D1D" w:rsidR="00CD59D5">
        <w:t>, 80 Cal.App.5th at</w:t>
      </w:r>
      <w:r w:rsidR="009257AA">
        <w:t xml:space="preserve"> p. </w:t>
      </w:r>
      <w:r w:rsidRPr="00572D1D" w:rsidR="00CD59D5">
        <w:t xml:space="preserve">546.)  </w:t>
      </w:r>
      <w:r w:rsidRPr="00572D1D" w:rsidR="007D3A9C">
        <w:t>Rojas and Nunez were also found guilty of active participation in a criminal street gang.  (</w:t>
      </w:r>
      <w:r w:rsidR="009257AA">
        <w:t>§ </w:t>
      </w:r>
      <w:r w:rsidRPr="00572D1D" w:rsidR="007D3A9C">
        <w:t>186.22, subd. (a)</w:t>
      </w:r>
      <w:r w:rsidR="00EF54C7">
        <w:t>.</w:t>
      </w:r>
      <w:r w:rsidRPr="00572D1D" w:rsidR="007D3A9C">
        <w:t>)  Based on the special circumstance finding, the trial court sentenced Rojas to life imprisonment without the possibility of parole, plus 25 years</w:t>
      </w:r>
      <w:r w:rsidRPr="00572D1D" w:rsidR="00530D4E">
        <w:t xml:space="preserve"> </w:t>
      </w:r>
      <w:r w:rsidRPr="00572D1D" w:rsidR="00432B75">
        <w:t xml:space="preserve">to life </w:t>
      </w:r>
      <w:r w:rsidRPr="00572D1D" w:rsidR="00530D4E">
        <w:t xml:space="preserve">for the firearm </w:t>
      </w:r>
      <w:r w:rsidRPr="00572D1D" w:rsidR="00E754BD">
        <w:t xml:space="preserve">enhancement.  </w:t>
      </w:r>
    </w:p>
    <w:p w:rsidR="00B54EC5" w:rsidRPr="008851AB" w:rsidP="00572D1D" w14:paraId="163A978D" w14:textId="77777777">
      <w:pPr>
        <w:pStyle w:val="Body"/>
        <w:spacing w:line="400" w:lineRule="exact"/>
        <w:rPr>
          <w:iCs/>
          <w:szCs w:val="26"/>
        </w:rPr>
      </w:pPr>
      <w:r w:rsidRPr="008851AB">
        <w:rPr>
          <w:iCs/>
          <w:szCs w:val="26"/>
        </w:rPr>
        <w:t xml:space="preserve">In 2021, </w:t>
      </w:r>
      <w:r w:rsidRPr="008851AB" w:rsidR="005C2749">
        <w:rPr>
          <w:iCs/>
          <w:szCs w:val="26"/>
        </w:rPr>
        <w:t xml:space="preserve">while Rojas’s appeal was pending, </w:t>
      </w:r>
      <w:r w:rsidRPr="008851AB">
        <w:rPr>
          <w:iCs/>
          <w:szCs w:val="26"/>
        </w:rPr>
        <w:t xml:space="preserve">the Legislature passed Assembly Bill 333, </w:t>
      </w:r>
      <w:r w:rsidRPr="008851AB" w:rsidR="00C5268D">
        <w:rPr>
          <w:iCs/>
          <w:szCs w:val="26"/>
        </w:rPr>
        <w:t>enacting the STEP Forward Act of 2021</w:t>
      </w:r>
      <w:r w:rsidRPr="008851AB">
        <w:rPr>
          <w:iCs/>
          <w:szCs w:val="26"/>
        </w:rPr>
        <w:t xml:space="preserve">.  </w:t>
      </w:r>
      <w:r w:rsidRPr="008851AB" w:rsidR="00104A31">
        <w:rPr>
          <w:iCs/>
          <w:szCs w:val="26"/>
        </w:rPr>
        <w:t>(Stats. 2021,</w:t>
      </w:r>
      <w:r w:rsidRPr="008851AB" w:rsidR="009257AA">
        <w:rPr>
          <w:iCs/>
          <w:szCs w:val="26"/>
        </w:rPr>
        <w:t xml:space="preserve"> ch. </w:t>
      </w:r>
      <w:r w:rsidRPr="008851AB" w:rsidR="0072144A">
        <w:rPr>
          <w:iCs/>
          <w:szCs w:val="26"/>
        </w:rPr>
        <w:t xml:space="preserve">699, </w:t>
      </w:r>
      <w:r w:rsidRPr="008851AB" w:rsidR="009257AA">
        <w:rPr>
          <w:iCs/>
          <w:szCs w:val="26"/>
        </w:rPr>
        <w:t>§ </w:t>
      </w:r>
      <w:r w:rsidRPr="008851AB" w:rsidR="00C5268D">
        <w:rPr>
          <w:iCs/>
          <w:szCs w:val="26"/>
        </w:rPr>
        <w:t>1.)</w:t>
      </w:r>
      <w:r w:rsidRPr="008851AB" w:rsidR="005B7CE1">
        <w:rPr>
          <w:b/>
          <w:bCs/>
          <w:position w:val="6"/>
          <w:szCs w:val="26"/>
        </w:rPr>
        <w:t xml:space="preserve"> </w:t>
      </w:r>
      <w:r w:rsidRPr="008851AB" w:rsidR="00BB407C">
        <w:rPr>
          <w:iCs/>
          <w:szCs w:val="26"/>
        </w:rPr>
        <w:t xml:space="preserve">  </w:t>
      </w:r>
      <w:r w:rsidRPr="008851AB" w:rsidR="00614E01">
        <w:rPr>
          <w:iCs/>
          <w:szCs w:val="26"/>
        </w:rPr>
        <w:t>“</w:t>
      </w:r>
      <w:r w:rsidRPr="00535F10" w:rsidR="00614E01">
        <w:rPr>
          <w:szCs w:val="26"/>
          <w:shd w:val="clear" w:color="auto" w:fill="FFFFFF"/>
        </w:rPr>
        <w:t xml:space="preserve">Assembly Bill 333 made the following changes to the law on gang enhancements:  First, it narrowed the definition of a ‘criminal street gang’ to require that any gang be an ‘ongoing, </w:t>
      </w:r>
      <w:r w:rsidRPr="00535F10" w:rsidR="00614E01">
        <w:rPr>
          <w:rStyle w:val="Emphasis"/>
          <w:szCs w:val="26"/>
          <w:bdr w:val="none" w:sz="0" w:space="0" w:color="auto" w:frame="1"/>
          <w:shd w:val="clear" w:color="auto" w:fill="FFFFFF"/>
        </w:rPr>
        <w:t>organized</w:t>
      </w:r>
      <w:r w:rsidRPr="00535F10" w:rsidR="00614E01">
        <w:rPr>
          <w:szCs w:val="26"/>
          <w:shd w:val="clear" w:color="auto" w:fill="FFFFFF"/>
        </w:rPr>
        <w:t xml:space="preserve"> association or group of three or more persons.’  (</w:t>
      </w:r>
      <w:r w:rsidRPr="008851AB" w:rsidR="009257AA">
        <w:t>§ </w:t>
      </w:r>
      <w:r w:rsidRPr="008851AB" w:rsidR="00D95D32">
        <w:t>186.22, subd. (f)</w:t>
      </w:r>
      <w:r w:rsidRPr="00535F10" w:rsidR="00614E01">
        <w:rPr>
          <w:szCs w:val="26"/>
          <w:shd w:val="clear" w:color="auto" w:fill="FFFFFF"/>
        </w:rPr>
        <w:t xml:space="preserve">, italics added.) </w:t>
      </w:r>
      <w:r w:rsidRPr="00535F10" w:rsidR="001D266F">
        <w:rPr>
          <w:szCs w:val="26"/>
          <w:shd w:val="clear" w:color="auto" w:fill="FFFFFF"/>
        </w:rPr>
        <w:t xml:space="preserve"> </w:t>
      </w:r>
      <w:r w:rsidRPr="00535F10" w:rsidR="00614E01">
        <w:rPr>
          <w:szCs w:val="26"/>
          <w:shd w:val="clear" w:color="auto" w:fill="FFFFFF"/>
        </w:rPr>
        <w:t>Second, whereas </w:t>
      </w:r>
      <w:r w:rsidRPr="008851AB" w:rsidR="00D95D32">
        <w:t>section 186.22</w:t>
      </w:r>
      <w:r w:rsidRPr="00535F10" w:rsidR="00614E01">
        <w:rPr>
          <w:szCs w:val="26"/>
          <w:shd w:val="clear" w:color="auto" w:fill="FFFFFF"/>
        </w:rPr>
        <w:t>, former subdivision (f) required only that a gang’s members ‘individually </w:t>
      </w:r>
      <w:r w:rsidRPr="00535F10" w:rsidR="00614E01">
        <w:rPr>
          <w:rStyle w:val="Emphasis"/>
          <w:szCs w:val="26"/>
          <w:bdr w:val="none" w:sz="0" w:space="0" w:color="auto" w:frame="1"/>
          <w:shd w:val="clear" w:color="auto" w:fill="FFFFFF"/>
        </w:rPr>
        <w:t>or</w:t>
      </w:r>
      <w:r w:rsidRPr="00535F10" w:rsidR="00614E01">
        <w:rPr>
          <w:szCs w:val="26"/>
          <w:shd w:val="clear" w:color="auto" w:fill="FFFFFF"/>
        </w:rPr>
        <w:t> collectively engage in’ a pattern of criminal activity in order to constitute a ‘criminal street gang,’ Assembly Bill 333 requires that any such pattern have been ‘</w:t>
      </w:r>
      <w:r w:rsidRPr="00535F10" w:rsidR="00614E01">
        <w:rPr>
          <w:rStyle w:val="Emphasis"/>
          <w:szCs w:val="26"/>
          <w:bdr w:val="none" w:sz="0" w:space="0" w:color="auto" w:frame="1"/>
          <w:shd w:val="clear" w:color="auto" w:fill="FFFFFF"/>
        </w:rPr>
        <w:t>collectively</w:t>
      </w:r>
      <w:r w:rsidRPr="00535F10" w:rsidR="00614E01">
        <w:rPr>
          <w:szCs w:val="26"/>
          <w:shd w:val="clear" w:color="auto" w:fill="FFFFFF"/>
        </w:rPr>
        <w:t xml:space="preserve"> engage[d] in’ by members of the gang. </w:t>
      </w:r>
      <w:r w:rsidRPr="00535F10" w:rsidR="00E63612">
        <w:rPr>
          <w:szCs w:val="26"/>
          <w:shd w:val="clear" w:color="auto" w:fill="FFFFFF"/>
        </w:rPr>
        <w:t xml:space="preserve"> </w:t>
      </w:r>
      <w:r w:rsidRPr="00535F10" w:rsidR="00614E01">
        <w:rPr>
          <w:szCs w:val="26"/>
          <w:shd w:val="clear" w:color="auto" w:fill="FFFFFF"/>
        </w:rPr>
        <w:t>(</w:t>
      </w:r>
      <w:r w:rsidRPr="008851AB" w:rsidR="009257AA">
        <w:t>§ </w:t>
      </w:r>
      <w:r w:rsidRPr="008851AB" w:rsidR="00D95D32">
        <w:t>186.22, subd. (f)</w:t>
      </w:r>
      <w:r w:rsidRPr="00535F10" w:rsidR="00614E01">
        <w:rPr>
          <w:szCs w:val="26"/>
          <w:shd w:val="clear" w:color="auto" w:fill="FFFFFF"/>
        </w:rPr>
        <w:t>, italics added.)  Third, Assembly Bill 333 also narrowed the definition of a ‘pattern of criminal activity’ by requiring that (1) the last offense used to show a pattern of criminal gang activity occurred within three years of the date that the currently charged offense is alleged to have been committed; (2) the offenses were committed by two or more gang ‘members,’ as opposed to just ‘persons’; (3) the offenses commonly benefitted a criminal street gang; and (4) the offenses establishing a pattern of gang activity must be ones other than the currently charged offense.  (</w:t>
      </w:r>
      <w:r w:rsidRPr="008851AB" w:rsidR="009257AA">
        <w:t>§ </w:t>
      </w:r>
      <w:r w:rsidRPr="008851AB" w:rsidR="00D95D32">
        <w:t>186.22, subd.</w:t>
      </w:r>
      <w:r w:rsidR="0076298B">
        <w:t> </w:t>
      </w:r>
      <w:r w:rsidRPr="008851AB" w:rsidR="00D95D32">
        <w:t>(e)(1), (2)</w:t>
      </w:r>
      <w:r w:rsidRPr="00535F10" w:rsidR="00614E01">
        <w:rPr>
          <w:szCs w:val="26"/>
          <w:shd w:val="clear" w:color="auto" w:fill="FFFFFF"/>
        </w:rPr>
        <w:t>.)  Fourth, Assembly Bill 333 narrowed what it means for an offense to have commonly benefitted a street gang, requiring that any ‘common benefit’ be ‘more than reputational.’  (</w:t>
      </w:r>
      <w:r w:rsidRPr="008851AB" w:rsidR="009257AA">
        <w:t>§ </w:t>
      </w:r>
      <w:r w:rsidRPr="008851AB" w:rsidR="00D95D32">
        <w:t>186.22, subd. (g)</w:t>
      </w:r>
      <w:r w:rsidRPr="00535F10" w:rsidR="00614E01">
        <w:rPr>
          <w:szCs w:val="26"/>
          <w:shd w:val="clear" w:color="auto" w:fill="FFFFFF"/>
        </w:rPr>
        <w:t>.)”</w:t>
      </w:r>
      <w:r w:rsidRPr="008851AB" w:rsidR="00614E01">
        <w:rPr>
          <w:iCs/>
          <w:szCs w:val="26"/>
        </w:rPr>
        <w:t xml:space="preserve"> </w:t>
      </w:r>
      <w:r w:rsidRPr="008851AB">
        <w:rPr>
          <w:iCs/>
          <w:szCs w:val="26"/>
        </w:rPr>
        <w:t xml:space="preserve"> (</w:t>
      </w:r>
      <w:r w:rsidRPr="008851AB" w:rsidR="000601F6">
        <w:rPr>
          <w:i/>
          <w:szCs w:val="26"/>
        </w:rPr>
        <w:t xml:space="preserve">People v. </w:t>
      </w:r>
      <w:r w:rsidRPr="008851AB" w:rsidR="000601F6">
        <w:rPr>
          <w:i/>
          <w:iCs/>
          <w:szCs w:val="26"/>
        </w:rPr>
        <w:t>Tran</w:t>
      </w:r>
      <w:r w:rsidRPr="008851AB" w:rsidR="000601F6">
        <w:rPr>
          <w:szCs w:val="26"/>
        </w:rPr>
        <w:t xml:space="preserve"> (2022) </w:t>
      </w:r>
      <w:r w:rsidRPr="008851AB" w:rsidR="000601F6">
        <w:rPr>
          <w:iCs/>
          <w:szCs w:val="26"/>
        </w:rPr>
        <w:t>13 Cal.5th 1169, 1206 (</w:t>
      </w:r>
      <w:r w:rsidRPr="008851AB" w:rsidR="000601F6">
        <w:rPr>
          <w:i/>
          <w:szCs w:val="26"/>
        </w:rPr>
        <w:t>Tran</w:t>
      </w:r>
      <w:r w:rsidRPr="008851AB" w:rsidR="000601F6">
        <w:rPr>
          <w:iCs/>
          <w:szCs w:val="26"/>
        </w:rPr>
        <w:t>)</w:t>
      </w:r>
      <w:r w:rsidRPr="008851AB" w:rsidR="00113944">
        <w:rPr>
          <w:iCs/>
          <w:szCs w:val="26"/>
        </w:rPr>
        <w:t xml:space="preserve">; see </w:t>
      </w:r>
      <w:r w:rsidRPr="008851AB" w:rsidR="008348CE">
        <w:rPr>
          <w:i/>
          <w:szCs w:val="26"/>
        </w:rPr>
        <w:t>People v. Cooper</w:t>
      </w:r>
      <w:r w:rsidRPr="008851AB" w:rsidR="008348CE">
        <w:rPr>
          <w:iCs/>
          <w:szCs w:val="26"/>
        </w:rPr>
        <w:t xml:space="preserve"> (2023) 14 Cal.5th 735, 738</w:t>
      </w:r>
      <w:r w:rsidRPr="008851AB" w:rsidR="00396805">
        <w:rPr>
          <w:iCs/>
          <w:szCs w:val="26"/>
        </w:rPr>
        <w:t xml:space="preserve"> [same]</w:t>
      </w:r>
      <w:r w:rsidRPr="008851AB" w:rsidR="000601F6">
        <w:rPr>
          <w:iCs/>
          <w:szCs w:val="26"/>
        </w:rPr>
        <w:t>.)</w:t>
      </w:r>
    </w:p>
    <w:p w:rsidR="00A400CE" w:rsidRPr="00572D1D" w:rsidP="00572D1D" w14:paraId="163A978E" w14:textId="77777777">
      <w:pPr>
        <w:pStyle w:val="Body"/>
        <w:spacing w:line="400" w:lineRule="exact"/>
      </w:pPr>
      <w:r w:rsidRPr="00572D1D">
        <w:t xml:space="preserve">In </w:t>
      </w:r>
      <w:r w:rsidRPr="00572D1D">
        <w:rPr>
          <w:i/>
          <w:iCs/>
        </w:rPr>
        <w:t>Tran</w:t>
      </w:r>
      <w:r w:rsidRPr="00572D1D">
        <w:t xml:space="preserve">, </w:t>
      </w:r>
      <w:r w:rsidRPr="00572D1D" w:rsidR="00AF17E7">
        <w:t>we held that</w:t>
      </w:r>
      <w:r w:rsidRPr="00572D1D" w:rsidR="00D04125">
        <w:t xml:space="preserve"> Assembly Bill 333</w:t>
      </w:r>
      <w:r w:rsidRPr="00572D1D" w:rsidR="00396805">
        <w:t>’s amendments to section 186.22 apply</w:t>
      </w:r>
      <w:r w:rsidRPr="00572D1D" w:rsidR="00D04125">
        <w:t xml:space="preserve"> retroactively to cases pending on appeal </w:t>
      </w:r>
      <w:r w:rsidRPr="00572D1D" w:rsidR="00AF17E7">
        <w:t xml:space="preserve">under the rule of </w:t>
      </w:r>
      <w:r w:rsidRPr="00572D1D" w:rsidR="00AF17E7">
        <w:rPr>
          <w:i/>
          <w:iCs/>
        </w:rPr>
        <w:t xml:space="preserve">In re Estrada </w:t>
      </w:r>
      <w:r w:rsidRPr="00572D1D" w:rsidR="00AF17E7">
        <w:t xml:space="preserve">(1965) 63 Cal.2d 740.  </w:t>
      </w:r>
      <w:r w:rsidRPr="00572D1D" w:rsidR="00262AEE">
        <w:t>(</w:t>
      </w:r>
      <w:r w:rsidRPr="00572D1D" w:rsidR="00262AEE">
        <w:rPr>
          <w:i/>
          <w:iCs/>
        </w:rPr>
        <w:t>Tran</w:t>
      </w:r>
      <w:r w:rsidRPr="00572D1D" w:rsidR="00262AEE">
        <w:t xml:space="preserve">, </w:t>
      </w:r>
      <w:r w:rsidRPr="00572D1D" w:rsidR="00262AEE">
        <w:rPr>
          <w:i/>
          <w:iCs/>
        </w:rPr>
        <w:t>supra</w:t>
      </w:r>
      <w:r w:rsidRPr="00572D1D" w:rsidR="00262AEE">
        <w:t>, 13 Cal.5th at</w:t>
      </w:r>
      <w:r w:rsidR="009257AA">
        <w:t xml:space="preserve"> pp. </w:t>
      </w:r>
      <w:r w:rsidRPr="00572D1D" w:rsidR="00262AEE">
        <w:t>1206–1207.)</w:t>
      </w:r>
      <w:r w:rsidRPr="00572D1D" w:rsidR="0029491B">
        <w:t xml:space="preserve">  </w:t>
      </w:r>
      <w:r w:rsidRPr="00572D1D" w:rsidR="00E16C30">
        <w:t xml:space="preserve">In light of </w:t>
      </w:r>
      <w:r w:rsidRPr="00572D1D" w:rsidR="00E16C30">
        <w:rPr>
          <w:i/>
          <w:iCs/>
        </w:rPr>
        <w:t>Tran</w:t>
      </w:r>
      <w:r w:rsidRPr="00572D1D" w:rsidR="00E16C30">
        <w:t>, the Attorney General conceded below that Assembly Bill</w:t>
      </w:r>
      <w:r w:rsidRPr="00572D1D" w:rsidR="005547F4">
        <w:t xml:space="preserve"> </w:t>
      </w:r>
      <w:r w:rsidRPr="00572D1D" w:rsidR="005C14F6">
        <w:t>333 applie</w:t>
      </w:r>
      <w:r w:rsidRPr="00572D1D" w:rsidR="00E16C30">
        <w:t xml:space="preserve">s here and </w:t>
      </w:r>
      <w:r w:rsidR="00AE0A28">
        <w:t xml:space="preserve">that </w:t>
      </w:r>
      <w:r w:rsidRPr="00572D1D" w:rsidR="005A4A6F">
        <w:t>b</w:t>
      </w:r>
      <w:r w:rsidRPr="00572D1D" w:rsidR="005C14F6">
        <w:t>ecause a reasonable jury could conclude that the common benefit of the murder was based only on reputational evidence</w:t>
      </w:r>
      <w:r w:rsidR="00AE0A28">
        <w:t xml:space="preserve">, </w:t>
      </w:r>
      <w:r w:rsidRPr="00572D1D" w:rsidR="00AE0A28">
        <w:t>all the gang-based findings</w:t>
      </w:r>
      <w:r w:rsidR="00AE0A28">
        <w:t xml:space="preserve"> must be vacated</w:t>
      </w:r>
      <w:r w:rsidRPr="00572D1D" w:rsidR="00AE0A28">
        <w:t>, except for the gang-murder special circumstance</w:t>
      </w:r>
      <w:r w:rsidRPr="00572D1D" w:rsidR="005C14F6">
        <w:t xml:space="preserve">.  </w:t>
      </w:r>
      <w:r w:rsidRPr="00572D1D" w:rsidR="000B525B">
        <w:t>(</w:t>
      </w:r>
      <w:r w:rsidRPr="00572D1D" w:rsidR="001F4BFF">
        <w:rPr>
          <w:i/>
          <w:iCs/>
        </w:rPr>
        <w:t>Rojas</w:t>
      </w:r>
      <w:r w:rsidRPr="00572D1D" w:rsidR="001F4BFF">
        <w:t xml:space="preserve">, </w:t>
      </w:r>
      <w:r w:rsidRPr="00572D1D" w:rsidR="001F4BFF">
        <w:rPr>
          <w:i/>
          <w:iCs/>
        </w:rPr>
        <w:t>supra</w:t>
      </w:r>
      <w:r w:rsidRPr="00572D1D" w:rsidR="001F4BFF">
        <w:t>, 80 Cal.App.5th at</w:t>
      </w:r>
      <w:r w:rsidR="009257AA">
        <w:t xml:space="preserve"> p. </w:t>
      </w:r>
      <w:r w:rsidRPr="00572D1D" w:rsidR="001F4BFF">
        <w:t xml:space="preserve">546.)  </w:t>
      </w:r>
      <w:r w:rsidRPr="00572D1D" w:rsidR="00FA011B">
        <w:t xml:space="preserve">Accepting this concession, the </w:t>
      </w:r>
      <w:r w:rsidRPr="00572D1D" w:rsidR="000A5320">
        <w:t>Court of Appeal reversed the</w:t>
      </w:r>
      <w:r w:rsidRPr="00572D1D" w:rsidR="005C14F6">
        <w:t xml:space="preserve"> gang enhancement and vicarious firearm findings on </w:t>
      </w:r>
      <w:r w:rsidRPr="00572D1D" w:rsidR="000A5320">
        <w:t>Rojas’s</w:t>
      </w:r>
      <w:r w:rsidRPr="00572D1D" w:rsidR="006C2634">
        <w:t xml:space="preserve"> </w:t>
      </w:r>
      <w:r w:rsidRPr="00572D1D" w:rsidR="005C14F6">
        <w:t>murder conviction and his conviction of active gang participation</w:t>
      </w:r>
      <w:r w:rsidRPr="00572D1D" w:rsidR="000A5320">
        <w:t xml:space="preserve">.  </w:t>
      </w:r>
      <w:r w:rsidRPr="00572D1D" w:rsidR="001C0918">
        <w:t>(</w:t>
      </w:r>
      <w:r w:rsidRPr="00572D1D" w:rsidR="001F4BFF">
        <w:rPr>
          <w:i/>
          <w:iCs/>
        </w:rPr>
        <w:t>Ibid.</w:t>
      </w:r>
      <w:r w:rsidRPr="00572D1D" w:rsidR="001C0918">
        <w:t xml:space="preserve">)  </w:t>
      </w:r>
      <w:r w:rsidRPr="00572D1D" w:rsidR="000A5320">
        <w:t xml:space="preserve">But the </w:t>
      </w:r>
      <w:r w:rsidRPr="00572D1D">
        <w:t xml:space="preserve">court also </w:t>
      </w:r>
      <w:r w:rsidRPr="00572D1D" w:rsidR="0016485A">
        <w:t xml:space="preserve">agreed with the Attorney General </w:t>
      </w:r>
      <w:r w:rsidRPr="00572D1D" w:rsidR="005C14F6">
        <w:t xml:space="preserve">that </w:t>
      </w:r>
      <w:r w:rsidRPr="00572D1D" w:rsidR="00C94ADF">
        <w:t>Assembly Bill 333</w:t>
      </w:r>
      <w:r w:rsidRPr="00572D1D" w:rsidR="00600C60">
        <w:t xml:space="preserve"> </w:t>
      </w:r>
      <w:r w:rsidRPr="00572D1D" w:rsidR="0044582F">
        <w:t>could not be applied to the gang-murder special circumstance</w:t>
      </w:r>
      <w:r w:rsidRPr="00572D1D" w:rsidR="005C14F6">
        <w:t xml:space="preserve">. </w:t>
      </w:r>
      <w:r w:rsidRPr="00572D1D" w:rsidR="0044582F">
        <w:t xml:space="preserve"> </w:t>
      </w:r>
      <w:r w:rsidRPr="00572D1D" w:rsidR="005C14F6">
        <w:t>(</w:t>
      </w:r>
      <w:r w:rsidRPr="00572D1D" w:rsidR="00133AC1">
        <w:rPr>
          <w:i/>
          <w:iCs/>
        </w:rPr>
        <w:t>Rojas</w:t>
      </w:r>
      <w:r w:rsidRPr="00572D1D" w:rsidR="00133AC1">
        <w:t>,</w:t>
      </w:r>
      <w:r w:rsidRPr="00572D1D" w:rsidR="00FE76EA">
        <w:t xml:space="preserve"> at</w:t>
      </w:r>
      <w:r w:rsidR="009257AA">
        <w:t xml:space="preserve"> pp. </w:t>
      </w:r>
      <w:r w:rsidRPr="00572D1D" w:rsidR="005C14F6">
        <w:t>550</w:t>
      </w:r>
      <w:r w:rsidRPr="00572D1D" w:rsidR="0044582F">
        <w:t>–</w:t>
      </w:r>
      <w:r w:rsidRPr="00572D1D" w:rsidR="005C14F6">
        <w:t>558.)</w:t>
      </w:r>
    </w:p>
    <w:p w:rsidR="00665C09" w:rsidRPr="00572D1D" w:rsidP="00572D1D" w14:paraId="163A978F" w14:textId="77777777">
      <w:pPr>
        <w:pStyle w:val="Body"/>
        <w:spacing w:line="400" w:lineRule="exact"/>
      </w:pPr>
      <w:r w:rsidRPr="00572D1D">
        <w:t>T</w:t>
      </w:r>
      <w:r w:rsidRPr="00572D1D" w:rsidR="00BA5BD1">
        <w:t xml:space="preserve">he </w:t>
      </w:r>
      <w:r w:rsidRPr="00572D1D" w:rsidR="00A400CE">
        <w:t>Court of Appeal</w:t>
      </w:r>
      <w:r w:rsidRPr="00572D1D">
        <w:t xml:space="preserve"> </w:t>
      </w:r>
      <w:r w:rsidRPr="00572D1D" w:rsidR="00A263FC">
        <w:t>reasoned</w:t>
      </w:r>
      <w:r w:rsidRPr="00572D1D">
        <w:t xml:space="preserve"> that</w:t>
      </w:r>
      <w:r w:rsidRPr="00572D1D" w:rsidR="00BA5BD1">
        <w:t xml:space="preserve"> </w:t>
      </w:r>
      <w:r w:rsidRPr="00572D1D" w:rsidR="00641B75">
        <w:t xml:space="preserve">Assembly Bill </w:t>
      </w:r>
      <w:r w:rsidRPr="00572D1D" w:rsidR="00BA5BD1">
        <w:t>333</w:t>
      </w:r>
      <w:r w:rsidRPr="00572D1D">
        <w:t>, as applied</w:t>
      </w:r>
      <w:r w:rsidRPr="00572D1D" w:rsidR="00BA5BD1">
        <w:t xml:space="preserve"> to the gang-murder special circumstance</w:t>
      </w:r>
      <w:r w:rsidRPr="00572D1D">
        <w:t>,</w:t>
      </w:r>
      <w:r w:rsidRPr="00572D1D" w:rsidR="00BA5BD1">
        <w:t xml:space="preserve"> </w:t>
      </w:r>
      <w:r w:rsidRPr="00572D1D">
        <w:t xml:space="preserve">is unconstitutional because it </w:t>
      </w:r>
      <w:r w:rsidRPr="00572D1D" w:rsidR="00FE76EA">
        <w:t>would “</w:t>
      </w:r>
      <w:r w:rsidRPr="00572D1D" w:rsidR="00BA5BD1">
        <w:t> </w:t>
      </w:r>
      <w:r w:rsidRPr="00572D1D" w:rsidR="00FE76EA">
        <w:t>‘take[] away’ from the scope of conduct that Proposition 21</w:t>
      </w:r>
      <w:r w:rsidRPr="00572D1D" w:rsidR="00BA5BD1">
        <w:t xml:space="preserve"> </w:t>
      </w:r>
      <w:r w:rsidRPr="00572D1D" w:rsidR="00FE76EA">
        <w:t>made punishable under section 190.2” and was not</w:t>
      </w:r>
      <w:r w:rsidRPr="00572D1D" w:rsidR="00BA5BD1">
        <w:t xml:space="preserve"> </w:t>
      </w:r>
      <w:r w:rsidRPr="00572D1D" w:rsidR="00FE76EA">
        <w:t xml:space="preserve">passed by a supermajority vote. </w:t>
      </w:r>
      <w:r w:rsidRPr="00572D1D" w:rsidR="001C2F03">
        <w:t xml:space="preserve"> </w:t>
      </w:r>
      <w:r w:rsidRPr="00572D1D" w:rsidR="00FE76EA">
        <w:t>(</w:t>
      </w:r>
      <w:r w:rsidRPr="00572D1D" w:rsidR="001C2F03">
        <w:rPr>
          <w:i/>
          <w:iCs/>
        </w:rPr>
        <w:t>Rojas</w:t>
      </w:r>
      <w:r w:rsidRPr="00572D1D" w:rsidR="001C2F03">
        <w:t>,</w:t>
      </w:r>
      <w:r w:rsidRPr="00572D1D">
        <w:t xml:space="preserve"> </w:t>
      </w:r>
      <w:r w:rsidRPr="00572D1D">
        <w:rPr>
          <w:i/>
          <w:iCs/>
        </w:rPr>
        <w:t>supra</w:t>
      </w:r>
      <w:r w:rsidRPr="00572D1D">
        <w:t>, 80 Cal.App</w:t>
      </w:r>
      <w:r w:rsidR="00730810">
        <w:t>.</w:t>
      </w:r>
      <w:r w:rsidRPr="00572D1D">
        <w:t>5th</w:t>
      </w:r>
      <w:r w:rsidRPr="00572D1D" w:rsidR="001C2F03">
        <w:t xml:space="preserve"> at</w:t>
      </w:r>
      <w:r w:rsidR="009257AA">
        <w:t xml:space="preserve"> p. </w:t>
      </w:r>
      <w:r w:rsidRPr="00572D1D" w:rsidR="001C2F03">
        <w:t>555.)</w:t>
      </w:r>
      <w:r w:rsidRPr="00572D1D" w:rsidR="00C029D3">
        <w:t xml:space="preserve">  The </w:t>
      </w:r>
      <w:r w:rsidRPr="00572D1D" w:rsidR="00A400CE">
        <w:t xml:space="preserve">court </w:t>
      </w:r>
      <w:r w:rsidRPr="00572D1D" w:rsidR="00C029D3">
        <w:t xml:space="preserve">further </w:t>
      </w:r>
      <w:r w:rsidRPr="00572D1D" w:rsidR="00A263FC">
        <w:t xml:space="preserve">explained </w:t>
      </w:r>
      <w:r w:rsidRPr="00572D1D" w:rsidR="00C029D3">
        <w:t>that Proposition 21’s increase in the punishment for certain gang-related murders was “definitionally and conceptually inseparable” from the gang conduct defined in section 186.22</w:t>
      </w:r>
      <w:r w:rsidRPr="00572D1D" w:rsidR="001C713D">
        <w:t>.</w:t>
      </w:r>
      <w:r w:rsidRPr="00572D1D" w:rsidR="00C029D3">
        <w:t xml:space="preserve"> </w:t>
      </w:r>
      <w:r w:rsidRPr="00572D1D" w:rsidR="001C713D">
        <w:t xml:space="preserve"> </w:t>
      </w:r>
      <w:r w:rsidRPr="00572D1D" w:rsidR="002E4507">
        <w:t>(</w:t>
      </w:r>
      <w:r w:rsidRPr="00572D1D" w:rsidR="002E4507">
        <w:rPr>
          <w:i/>
          <w:iCs/>
        </w:rPr>
        <w:t>Rojas</w:t>
      </w:r>
      <w:r w:rsidRPr="00572D1D" w:rsidR="002E4507">
        <w:t>, at</w:t>
      </w:r>
      <w:r w:rsidR="002E4507">
        <w:t xml:space="preserve"> p. </w:t>
      </w:r>
      <w:r w:rsidRPr="00572D1D" w:rsidR="002E4507">
        <w:t>556.)</w:t>
      </w:r>
      <w:r w:rsidR="002E4507">
        <w:t xml:space="preserve">  </w:t>
      </w:r>
      <w:r w:rsidRPr="00572D1D" w:rsidR="001C713D">
        <w:t>T</w:t>
      </w:r>
      <w:r w:rsidRPr="00572D1D" w:rsidR="00C029D3">
        <w:t>herefore</w:t>
      </w:r>
      <w:r w:rsidRPr="00572D1D" w:rsidR="001C713D">
        <w:t>,</w:t>
      </w:r>
      <w:r w:rsidRPr="00572D1D" w:rsidR="00C029D3">
        <w:t xml:space="preserve"> applying </w:t>
      </w:r>
      <w:r w:rsidRPr="00572D1D" w:rsidR="00641B75">
        <w:t xml:space="preserve">Assembly Bill </w:t>
      </w:r>
      <w:r w:rsidRPr="00572D1D" w:rsidR="00C029D3">
        <w:t>333’s</w:t>
      </w:r>
      <w:r w:rsidRPr="00572D1D" w:rsidR="005A4A6F">
        <w:t xml:space="preserve"> </w:t>
      </w:r>
      <w:r w:rsidRPr="00572D1D" w:rsidR="001C713D">
        <w:t>revised</w:t>
      </w:r>
      <w:r w:rsidRPr="00572D1D" w:rsidR="00C029D3">
        <w:t xml:space="preserve"> definition of a criminal street gang to the gang-murder special circumstance would be unconstitutional</w:t>
      </w:r>
      <w:r w:rsidRPr="00572D1D" w:rsidR="005A4A6F">
        <w:t>,</w:t>
      </w:r>
      <w:r w:rsidRPr="00572D1D" w:rsidR="00C029D3">
        <w:t xml:space="preserve"> even though </w:t>
      </w:r>
      <w:r w:rsidRPr="00572D1D" w:rsidR="00641B75">
        <w:t xml:space="preserve">Assembly Bill </w:t>
      </w:r>
      <w:r w:rsidRPr="00572D1D" w:rsidR="00C029D3">
        <w:t>333 did not reduce the penalty established by Proposition 21’s gang-murder special circumstance.  (</w:t>
      </w:r>
      <w:r w:rsidRPr="00572D1D" w:rsidR="006C6E8A">
        <w:rPr>
          <w:i/>
          <w:iCs/>
        </w:rPr>
        <w:t>Rojas</w:t>
      </w:r>
      <w:r w:rsidRPr="00572D1D" w:rsidR="006C6E8A">
        <w:t>, at</w:t>
      </w:r>
      <w:r w:rsidR="009257AA">
        <w:t xml:space="preserve"> p. </w:t>
      </w:r>
      <w:r w:rsidRPr="00572D1D" w:rsidR="006C6E8A">
        <w:t>556</w:t>
      </w:r>
      <w:r w:rsidRPr="00572D1D" w:rsidR="00C029D3">
        <w:t>.)</w:t>
      </w:r>
      <w:r w:rsidRPr="00572D1D" w:rsidR="00EC36A8">
        <w:t xml:space="preserve">  The </w:t>
      </w:r>
      <w:r w:rsidRPr="00572D1D" w:rsidR="00A400CE">
        <w:t xml:space="preserve">court </w:t>
      </w:r>
      <w:r w:rsidRPr="00572D1D" w:rsidR="00EC36A8">
        <w:t xml:space="preserve">concluded that </w:t>
      </w:r>
      <w:r w:rsidRPr="00572D1D" w:rsidR="00070293">
        <w:t>“[t]he appropriate remedy is not to void Assembly Bill 333 in its entirety, but rather to disallow this unconstitutional application of Assembly Bill 333.</w:t>
      </w:r>
      <w:r w:rsidRPr="00572D1D" w:rsidR="008F1975">
        <w:t>”</w:t>
      </w:r>
      <w:r w:rsidRPr="00572D1D" w:rsidR="00070293">
        <w:t xml:space="preserve">  (</w:t>
      </w:r>
      <w:r w:rsidRPr="00572D1D" w:rsidR="00A400CE">
        <w:rPr>
          <w:i/>
          <w:iCs/>
        </w:rPr>
        <w:t>Id.</w:t>
      </w:r>
      <w:r w:rsidRPr="00572D1D" w:rsidR="00070293">
        <w:t xml:space="preserve"> at</w:t>
      </w:r>
      <w:r w:rsidR="009257AA">
        <w:t xml:space="preserve"> p. </w:t>
      </w:r>
      <w:r w:rsidRPr="00572D1D" w:rsidR="00070293">
        <w:t>557</w:t>
      </w:r>
      <w:r w:rsidRPr="00572D1D" w:rsidR="00D94F7B">
        <w:t xml:space="preserve">.)  </w:t>
      </w:r>
    </w:p>
    <w:p w:rsidR="002F749A" w:rsidRPr="00572D1D" w:rsidP="00572D1D" w14:paraId="163A9790" w14:textId="77777777">
      <w:pPr>
        <w:pStyle w:val="Body"/>
        <w:spacing w:line="400" w:lineRule="exact"/>
      </w:pPr>
      <w:r w:rsidRPr="00572D1D">
        <w:t>Justice Snauffer dissented</w:t>
      </w:r>
      <w:r w:rsidRPr="00572D1D" w:rsidR="00627946">
        <w:t xml:space="preserve"> on this issue</w:t>
      </w:r>
      <w:r w:rsidRPr="00572D1D" w:rsidR="00665C09">
        <w:t xml:space="preserve">, </w:t>
      </w:r>
      <w:r w:rsidRPr="00572D1D" w:rsidR="00A263FC">
        <w:t xml:space="preserve">observing </w:t>
      </w:r>
      <w:r w:rsidRPr="00572D1D" w:rsidR="00665C09">
        <w:t>that the voters who passed Proposition 21 were concerned only with “increasing the punishment for certain gang-related murders</w:t>
      </w:r>
      <w:r w:rsidR="00F41BC4">
        <w:t>,</w:t>
      </w:r>
      <w:r w:rsidRPr="00572D1D" w:rsidR="00665C09">
        <w:t>” not with the underlying definition of any crime</w:t>
      </w:r>
      <w:r w:rsidRPr="00572D1D" w:rsidR="00965250">
        <w:t xml:space="preserve">.  </w:t>
      </w:r>
      <w:r w:rsidRPr="00572D1D">
        <w:t>(</w:t>
      </w:r>
      <w:r w:rsidRPr="00572D1D" w:rsidR="00677404">
        <w:rPr>
          <w:i/>
          <w:iCs/>
        </w:rPr>
        <w:t>Rojas</w:t>
      </w:r>
      <w:r w:rsidRPr="00572D1D" w:rsidR="00677404">
        <w:t xml:space="preserve">, </w:t>
      </w:r>
      <w:r w:rsidRPr="00572D1D" w:rsidR="00677404">
        <w:rPr>
          <w:i/>
          <w:iCs/>
        </w:rPr>
        <w:t>supra</w:t>
      </w:r>
      <w:r w:rsidRPr="00572D1D" w:rsidR="00677404">
        <w:t>, 80 Cal.App.5th at</w:t>
      </w:r>
      <w:r w:rsidR="009257AA">
        <w:t xml:space="preserve"> p. </w:t>
      </w:r>
      <w:r w:rsidRPr="00572D1D" w:rsidR="00677404">
        <w:t>561</w:t>
      </w:r>
      <w:r w:rsidRPr="00572D1D" w:rsidR="00502C49">
        <w:t xml:space="preserve"> </w:t>
      </w:r>
      <w:r w:rsidRPr="00572D1D">
        <w:t>(con</w:t>
      </w:r>
      <w:r w:rsidRPr="00572D1D" w:rsidR="00690B67">
        <w:t>c. </w:t>
      </w:r>
      <w:r w:rsidRPr="00572D1D">
        <w:t>&amp; dis. opn. of Snauffer, J.).)</w:t>
      </w:r>
      <w:r w:rsidRPr="00572D1D" w:rsidR="00965250">
        <w:t xml:space="preserve">  </w:t>
      </w:r>
      <w:r w:rsidRPr="00572D1D">
        <w:t xml:space="preserve">In </w:t>
      </w:r>
      <w:r w:rsidR="00AE0A28">
        <w:t>his</w:t>
      </w:r>
      <w:r w:rsidRPr="00572D1D">
        <w:t xml:space="preserve"> view, Proposition 21’s voters “</w:t>
      </w:r>
      <w:r w:rsidRPr="00572D1D" w:rsidR="00502C49">
        <w:t> </w:t>
      </w:r>
      <w:r w:rsidRPr="00572D1D">
        <w:t>‘got, and still have, precisely what they enacted</w:t>
      </w:r>
      <w:r w:rsidR="00AE0A28">
        <w:t xml:space="preserve"> — </w:t>
      </w:r>
      <w:r w:rsidRPr="00572D1D">
        <w:t>stronger sentences for persons convicted of [gang-related special</w:t>
      </w:r>
      <w:r w:rsidR="00C52817">
        <w:t>-</w:t>
      </w:r>
      <w:r w:rsidRPr="00572D1D">
        <w:t>circumstance] murder</w:t>
      </w:r>
      <w:r w:rsidRPr="00572D1D" w:rsidR="0012516D">
        <w:t>.</w:t>
      </w:r>
      <w:r w:rsidRPr="00572D1D">
        <w:t>’</w:t>
      </w:r>
      <w:r w:rsidR="00F41BC4">
        <w:t> </w:t>
      </w:r>
      <w:r w:rsidRPr="00572D1D">
        <w:t xml:space="preserve">” </w:t>
      </w:r>
      <w:r w:rsidRPr="00572D1D" w:rsidR="00DF5F93">
        <w:t xml:space="preserve"> </w:t>
      </w:r>
      <w:r w:rsidRPr="00572D1D" w:rsidR="004117DD">
        <w:t>(</w:t>
      </w:r>
      <w:bookmarkStart w:id="2" w:name="_Hlk136515794"/>
      <w:r w:rsidR="00B66850">
        <w:rPr>
          <w:i/>
          <w:iCs/>
        </w:rPr>
        <w:t>Rojas</w:t>
      </w:r>
      <w:r w:rsidR="00B66850">
        <w:t>,</w:t>
      </w:r>
      <w:r w:rsidRPr="00572D1D" w:rsidR="0012516D">
        <w:t xml:space="preserve"> at</w:t>
      </w:r>
      <w:r w:rsidR="009257AA">
        <w:t xml:space="preserve"> p. </w:t>
      </w:r>
      <w:r w:rsidRPr="00572D1D" w:rsidR="0012516D">
        <w:t>56</w:t>
      </w:r>
      <w:bookmarkEnd w:id="2"/>
      <w:r w:rsidRPr="00572D1D" w:rsidR="0012516D">
        <w:t>0</w:t>
      </w:r>
      <w:r w:rsidR="00B66850">
        <w:t xml:space="preserve">, quoting </w:t>
      </w:r>
      <w:r w:rsidRPr="00572D1D" w:rsidR="00B66850">
        <w:rPr>
          <w:i/>
          <w:iCs/>
        </w:rPr>
        <w:t>People v. Superior Court (Gooden)</w:t>
      </w:r>
      <w:r w:rsidRPr="00572D1D" w:rsidR="00B66850">
        <w:t xml:space="preserve"> 42 Cal.App.5th 270, 289</w:t>
      </w:r>
      <w:r w:rsidR="00B66850">
        <w:t xml:space="preserve"> (</w:t>
      </w:r>
      <w:r w:rsidR="00B66850">
        <w:rPr>
          <w:i/>
          <w:iCs/>
        </w:rPr>
        <w:t>Gooden</w:t>
      </w:r>
      <w:r w:rsidR="00B66850">
        <w:t>)</w:t>
      </w:r>
      <w:r w:rsidRPr="00572D1D" w:rsidR="0012516D">
        <w:t>.</w:t>
      </w:r>
      <w:r w:rsidRPr="00572D1D" w:rsidR="004117DD">
        <w:t>)</w:t>
      </w:r>
    </w:p>
    <w:p w:rsidR="005C14F6" w:rsidRPr="00572D1D" w:rsidP="00572D1D" w14:paraId="163A9791" w14:textId="77777777">
      <w:pPr>
        <w:pStyle w:val="Body"/>
        <w:spacing w:line="400" w:lineRule="exact"/>
      </w:pPr>
      <w:r w:rsidRPr="00572D1D">
        <w:t>We granted review</w:t>
      </w:r>
      <w:r w:rsidR="006F153C">
        <w:t xml:space="preserve"> to decide</w:t>
      </w:r>
      <w:r w:rsidRPr="00572D1D">
        <w:t xml:space="preserve"> whether </w:t>
      </w:r>
      <w:r w:rsidRPr="00572D1D" w:rsidR="00C94ADF">
        <w:t>Assembly Bill 333</w:t>
      </w:r>
      <w:r w:rsidRPr="00572D1D" w:rsidR="00B7780C">
        <w:t>’s application to the gang-murder special circumstance</w:t>
      </w:r>
      <w:r w:rsidRPr="00572D1D">
        <w:t xml:space="preserve"> unconstitutionally amends Proposition 21.</w:t>
      </w:r>
    </w:p>
    <w:p w:rsidR="008D04B2" w:rsidRPr="00572D1D" w:rsidP="00572D1D" w14:paraId="163A9792" w14:textId="77777777">
      <w:pPr>
        <w:pStyle w:val="Heading1"/>
      </w:pPr>
      <w:r w:rsidRPr="00572D1D">
        <w:t>II.</w:t>
      </w:r>
    </w:p>
    <w:p w:rsidR="00AF7428" w:rsidRPr="00572D1D" w:rsidP="00572D1D" w14:paraId="163A9793" w14:textId="77777777">
      <w:pPr>
        <w:pStyle w:val="Body"/>
        <w:spacing w:line="400" w:lineRule="exact"/>
        <w:rPr>
          <w:iCs/>
          <w:szCs w:val="26"/>
        </w:rPr>
      </w:pPr>
      <w:r w:rsidRPr="00572D1D">
        <w:rPr>
          <w:iCs/>
          <w:szCs w:val="26"/>
        </w:rPr>
        <w:t>“The Legislature may not amend an initiative statute without subsequent voter approval unless the initiative permits such amendment, ‘and then only upon whatever conditions the voters attached to the Legislature’s amendatory powers.’ ”  (</w:t>
      </w:r>
      <w:r w:rsidRPr="00572D1D">
        <w:rPr>
          <w:i/>
          <w:iCs/>
          <w:szCs w:val="26"/>
        </w:rPr>
        <w:t xml:space="preserve">People v. Superior Court </w:t>
      </w:r>
      <w:r w:rsidRPr="00535F10">
        <w:rPr>
          <w:szCs w:val="26"/>
        </w:rPr>
        <w:t>(</w:t>
      </w:r>
      <w:r w:rsidRPr="00572D1D">
        <w:rPr>
          <w:i/>
          <w:iCs/>
          <w:szCs w:val="26"/>
        </w:rPr>
        <w:t>Pearson</w:t>
      </w:r>
      <w:r w:rsidRPr="00535F10">
        <w:rPr>
          <w:szCs w:val="26"/>
        </w:rPr>
        <w:t>)</w:t>
      </w:r>
      <w:r w:rsidRPr="00572D1D">
        <w:rPr>
          <w:iCs/>
          <w:szCs w:val="26"/>
        </w:rPr>
        <w:t> (2010) 48 Cal.4th 564, 568 (</w:t>
      </w:r>
      <w:r w:rsidRPr="00572D1D">
        <w:rPr>
          <w:i/>
          <w:iCs/>
          <w:szCs w:val="26"/>
        </w:rPr>
        <w:t>Pearson</w:t>
      </w:r>
      <w:r w:rsidRPr="00572D1D">
        <w:rPr>
          <w:iCs/>
          <w:szCs w:val="26"/>
        </w:rPr>
        <w:t xml:space="preserve">); see Cal. Const., art. II, </w:t>
      </w:r>
      <w:r w:rsidR="009257AA">
        <w:rPr>
          <w:iCs/>
          <w:szCs w:val="26"/>
        </w:rPr>
        <w:t>§ </w:t>
      </w:r>
      <w:r w:rsidRPr="00572D1D">
        <w:rPr>
          <w:iCs/>
          <w:szCs w:val="26"/>
        </w:rPr>
        <w:t>10, subd. (c).)  “The purpose of California</w:t>
      </w:r>
      <w:r w:rsidRPr="00572D1D" w:rsidR="001A4F6D">
        <w:rPr>
          <w:iCs/>
          <w:szCs w:val="26"/>
        </w:rPr>
        <w:t>’</w:t>
      </w:r>
      <w:r w:rsidRPr="00572D1D">
        <w:rPr>
          <w:iCs/>
          <w:szCs w:val="26"/>
        </w:rPr>
        <w:t>s constitutional limitation on the Legislature’s power to amend initiative statutes is to ‘protect the people’s initiative powers by precluding the Legislature from undoing what the people have done, without the electorate’s consent.’ ”  (</w:t>
      </w:r>
      <w:r w:rsidRPr="00572D1D">
        <w:rPr>
          <w:i/>
          <w:iCs/>
          <w:szCs w:val="26"/>
        </w:rPr>
        <w:t xml:space="preserve">Proposition 103 Enforcement Project v. Quackenbush </w:t>
      </w:r>
      <w:r w:rsidRPr="00572D1D">
        <w:rPr>
          <w:szCs w:val="26"/>
        </w:rPr>
        <w:t xml:space="preserve">(1998) 64 Cal.App.4th 1473, </w:t>
      </w:r>
      <w:r w:rsidRPr="00572D1D">
        <w:rPr>
          <w:iCs/>
          <w:szCs w:val="26"/>
        </w:rPr>
        <w:t>1484.)</w:t>
      </w:r>
    </w:p>
    <w:p w:rsidR="00AF7428" w:rsidRPr="00572D1D" w:rsidP="00572D1D" w14:paraId="163A9794" w14:textId="77777777">
      <w:pPr>
        <w:pStyle w:val="Body"/>
        <w:spacing w:line="400" w:lineRule="exact"/>
        <w:rPr>
          <w:iCs/>
          <w:szCs w:val="26"/>
        </w:rPr>
      </w:pPr>
      <w:r w:rsidRPr="00572D1D">
        <w:rPr>
          <w:iCs/>
          <w:szCs w:val="26"/>
        </w:rPr>
        <w:t xml:space="preserve">“We have described an amendment as ‘a legislative act designed to change an existing initiative statute by adding or taking from it some particular provision.’  </w:t>
      </w:r>
      <w:r w:rsidR="006F153C">
        <w:rPr>
          <w:iCs/>
          <w:szCs w:val="26"/>
        </w:rPr>
        <w:t>[Citation.]</w:t>
      </w:r>
      <w:r w:rsidRPr="00572D1D">
        <w:rPr>
          <w:iCs/>
          <w:szCs w:val="26"/>
        </w:rPr>
        <w:t xml:space="preserve">  But this does not mean that any legislation that concerns the same subject matter as an initiative, or even augments an initiative’s provisions, is necessarily an amendment for these purposes.  ‘The Legislature remains free to address a “ ‘related but distinct area’ ” [citations] or a matter that an initiative measure “does not specifically authorize </w:t>
      </w:r>
      <w:r w:rsidRPr="00572D1D">
        <w:rPr>
          <w:i/>
          <w:iCs/>
          <w:szCs w:val="26"/>
        </w:rPr>
        <w:t xml:space="preserve">or </w:t>
      </w:r>
      <w:r w:rsidRPr="00572D1D">
        <w:rPr>
          <w:iCs/>
          <w:szCs w:val="26"/>
        </w:rPr>
        <w:t>prohibit.” ’</w:t>
      </w:r>
      <w:r w:rsidR="006F153C">
        <w:rPr>
          <w:iCs/>
          <w:szCs w:val="26"/>
        </w:rPr>
        <w:t> </w:t>
      </w:r>
      <w:r w:rsidRPr="00572D1D">
        <w:rPr>
          <w:iCs/>
          <w:szCs w:val="26"/>
        </w:rPr>
        <w:t>”  (</w:t>
      </w:r>
      <w:r w:rsidRPr="00572D1D">
        <w:rPr>
          <w:i/>
          <w:iCs/>
          <w:szCs w:val="26"/>
        </w:rPr>
        <w:t>Pearson</w:t>
      </w:r>
      <w:r w:rsidRPr="00572D1D">
        <w:rPr>
          <w:iCs/>
          <w:szCs w:val="26"/>
        </w:rPr>
        <w:t xml:space="preserve">, </w:t>
      </w:r>
      <w:r w:rsidRPr="00572D1D">
        <w:rPr>
          <w:i/>
          <w:iCs/>
          <w:szCs w:val="26"/>
        </w:rPr>
        <w:t>supra</w:t>
      </w:r>
      <w:r w:rsidRPr="00572D1D">
        <w:rPr>
          <w:iCs/>
          <w:szCs w:val="26"/>
        </w:rPr>
        <w:t>, 48 Cal.4th at</w:t>
      </w:r>
      <w:r w:rsidR="009257AA">
        <w:rPr>
          <w:iCs/>
          <w:szCs w:val="26"/>
        </w:rPr>
        <w:t xml:space="preserve"> p. </w:t>
      </w:r>
      <w:r w:rsidRPr="00572D1D">
        <w:rPr>
          <w:iCs/>
          <w:szCs w:val="26"/>
        </w:rPr>
        <w:t>571.)</w:t>
      </w:r>
    </w:p>
    <w:p w:rsidR="00AF7428" w:rsidRPr="00572D1D" w:rsidP="00572D1D" w14:paraId="163A9795" w14:textId="77777777">
      <w:pPr>
        <w:pStyle w:val="Body"/>
        <w:spacing w:line="400" w:lineRule="exact"/>
        <w:rPr>
          <w:iCs/>
          <w:szCs w:val="26"/>
        </w:rPr>
      </w:pPr>
      <w:r w:rsidRPr="00572D1D">
        <w:rPr>
          <w:iCs/>
          <w:szCs w:val="26"/>
        </w:rPr>
        <w:t>“When we interpret an initiative, we apply the same principles governing statutory construction.  We first consider the initiative’s language, giving the words their ordinary meaning and construing this language in the context of the statute and initiative as a whole.  If the language is not ambiguous, we presume the voters intended the meaning apparent from that language, and we may not add to the statute or rewrite it to conform to some assumed intent not apparent from that language.  If the language is ambiguous, courts may consider ballot summaries and arguments in determining the voters’ intent and understanding of a ballot measure.”  (</w:t>
      </w:r>
      <w:r w:rsidRPr="00572D1D">
        <w:rPr>
          <w:i/>
          <w:iCs/>
          <w:szCs w:val="26"/>
        </w:rPr>
        <w:t>Pearson</w:t>
      </w:r>
      <w:r w:rsidRPr="00572D1D">
        <w:rPr>
          <w:szCs w:val="26"/>
        </w:rPr>
        <w:t xml:space="preserve">, </w:t>
      </w:r>
      <w:r w:rsidRPr="00572D1D">
        <w:rPr>
          <w:i/>
          <w:iCs/>
          <w:szCs w:val="26"/>
        </w:rPr>
        <w:t>supra</w:t>
      </w:r>
      <w:r w:rsidRPr="00572D1D">
        <w:rPr>
          <w:szCs w:val="26"/>
        </w:rPr>
        <w:t>, 48 Cal.4th at</w:t>
      </w:r>
      <w:r w:rsidR="009257AA">
        <w:rPr>
          <w:szCs w:val="26"/>
        </w:rPr>
        <w:t xml:space="preserve"> p. </w:t>
      </w:r>
      <w:r w:rsidRPr="00572D1D">
        <w:rPr>
          <w:szCs w:val="26"/>
        </w:rPr>
        <w:t>571</w:t>
      </w:r>
      <w:r w:rsidRPr="00572D1D">
        <w:rPr>
          <w:i/>
          <w:iCs/>
          <w:szCs w:val="26"/>
        </w:rPr>
        <w:t>.</w:t>
      </w:r>
      <w:r w:rsidRPr="00572D1D">
        <w:rPr>
          <w:iCs/>
          <w:szCs w:val="26"/>
        </w:rPr>
        <w:t>)</w:t>
      </w:r>
    </w:p>
    <w:p w:rsidR="00641B75" w:rsidRPr="00572D1D" w:rsidP="00F3496B" w14:paraId="163A9796" w14:textId="77777777">
      <w:pPr>
        <w:pStyle w:val="Heading2"/>
        <w:ind w:left="0" w:firstLine="0"/>
        <w:jc w:val="center"/>
      </w:pPr>
      <w:r w:rsidRPr="00572D1D">
        <w:t>A.</w:t>
      </w:r>
    </w:p>
    <w:p w:rsidR="00641B75" w:rsidRPr="00572D1D" w:rsidP="00572D1D" w14:paraId="163A9797" w14:textId="77777777">
      <w:pPr>
        <w:ind w:firstLine="720"/>
        <w:rPr>
          <w:iCs/>
          <w:szCs w:val="26"/>
        </w:rPr>
      </w:pPr>
      <w:r w:rsidRPr="00572D1D">
        <w:rPr>
          <w:iCs/>
          <w:szCs w:val="26"/>
        </w:rPr>
        <w:t xml:space="preserve">California </w:t>
      </w:r>
      <w:r w:rsidRPr="00572D1D" w:rsidR="00A57DF6">
        <w:rPr>
          <w:iCs/>
          <w:szCs w:val="26"/>
        </w:rPr>
        <w:t>voters enacted Proposition 21</w:t>
      </w:r>
      <w:r w:rsidR="002C57E9">
        <w:rPr>
          <w:iCs/>
          <w:szCs w:val="26"/>
        </w:rPr>
        <w:t xml:space="preserve"> in 2000</w:t>
      </w:r>
      <w:r w:rsidRPr="00572D1D" w:rsidR="00A57DF6">
        <w:rPr>
          <w:iCs/>
          <w:szCs w:val="26"/>
        </w:rPr>
        <w:t xml:space="preserve">, </w:t>
      </w:r>
      <w:r w:rsidRPr="00572D1D" w:rsidR="00DA0F5A">
        <w:rPr>
          <w:iCs/>
          <w:szCs w:val="26"/>
        </w:rPr>
        <w:t>increas</w:t>
      </w:r>
      <w:r w:rsidR="002C57E9">
        <w:rPr>
          <w:iCs/>
          <w:szCs w:val="26"/>
        </w:rPr>
        <w:t>ing</w:t>
      </w:r>
      <w:r w:rsidRPr="00572D1D" w:rsidR="00DA0F5A">
        <w:rPr>
          <w:iCs/>
          <w:szCs w:val="26"/>
        </w:rPr>
        <w:t xml:space="preserve"> the penalties for certain gang-related felonies.  As relevant here, Proposition 21</w:t>
      </w:r>
      <w:r w:rsidRPr="00572D1D" w:rsidR="00CA463C">
        <w:rPr>
          <w:iCs/>
          <w:szCs w:val="26"/>
        </w:rPr>
        <w:t xml:space="preserve"> </w:t>
      </w:r>
      <w:r w:rsidRPr="00572D1D">
        <w:rPr>
          <w:iCs/>
          <w:szCs w:val="26"/>
        </w:rPr>
        <w:t>creat</w:t>
      </w:r>
      <w:r w:rsidRPr="00572D1D" w:rsidR="00CA463C">
        <w:rPr>
          <w:iCs/>
          <w:szCs w:val="26"/>
        </w:rPr>
        <w:t>ed t</w:t>
      </w:r>
      <w:r w:rsidRPr="00572D1D" w:rsidR="003C32EA">
        <w:rPr>
          <w:iCs/>
          <w:szCs w:val="26"/>
        </w:rPr>
        <w:t>he</w:t>
      </w:r>
      <w:r w:rsidRPr="00572D1D" w:rsidR="00AC5080">
        <w:rPr>
          <w:iCs/>
          <w:szCs w:val="26"/>
        </w:rPr>
        <w:t xml:space="preserve"> gang-murder special circumstance, codified at section 190.2(a)(22</w:t>
      </w:r>
      <w:r w:rsidRPr="00572D1D" w:rsidR="00CA463C">
        <w:rPr>
          <w:iCs/>
          <w:szCs w:val="26"/>
        </w:rPr>
        <w:t>)</w:t>
      </w:r>
      <w:r w:rsidRPr="00572D1D" w:rsidR="00AC5080">
        <w:rPr>
          <w:iCs/>
          <w:szCs w:val="26"/>
        </w:rPr>
        <w:t>.  (</w:t>
      </w:r>
      <w:r w:rsidRPr="00572D1D" w:rsidR="00AC5080">
        <w:rPr>
          <w:i/>
          <w:iCs/>
          <w:szCs w:val="26"/>
        </w:rPr>
        <w:t>People v. Shabazz</w:t>
      </w:r>
      <w:r w:rsidRPr="00572D1D" w:rsidR="00AC5080">
        <w:rPr>
          <w:iCs/>
          <w:szCs w:val="26"/>
        </w:rPr>
        <w:t xml:space="preserve"> (2006) 38</w:t>
      </w:r>
      <w:r w:rsidRPr="00572D1D" w:rsidR="004348F7">
        <w:rPr>
          <w:iCs/>
          <w:szCs w:val="26"/>
        </w:rPr>
        <w:t> </w:t>
      </w:r>
      <w:r w:rsidRPr="00572D1D" w:rsidR="00AC5080">
        <w:rPr>
          <w:iCs/>
          <w:szCs w:val="26"/>
        </w:rPr>
        <w:t xml:space="preserve">Cal.4th 55, 65.)  </w:t>
      </w:r>
      <w:r w:rsidRPr="00572D1D" w:rsidR="00AF7428">
        <w:rPr>
          <w:iCs/>
          <w:szCs w:val="26"/>
        </w:rPr>
        <w:t>Section 190.2(a)</w:t>
      </w:r>
      <w:r w:rsidR="00F86788">
        <w:rPr>
          <w:iCs/>
          <w:szCs w:val="26"/>
        </w:rPr>
        <w:t>(22)</w:t>
      </w:r>
      <w:r w:rsidRPr="00572D1D" w:rsidR="00AF7428">
        <w:rPr>
          <w:iCs/>
          <w:szCs w:val="26"/>
        </w:rPr>
        <w:t xml:space="preserve"> provides:  “The penalty for a defendant who is found guilty of murder in the first degree is death or imprisonment in the state prison for life without the possibility of parole if one or more of the following special circumstances has been found under Section 190.4 to be true:</w:t>
      </w:r>
      <w:r w:rsidR="00F41BC4">
        <w:rPr>
          <w:iCs/>
          <w:szCs w:val="26"/>
        </w:rPr>
        <w:t xml:space="preserve"> </w:t>
      </w:r>
      <w:bookmarkStart w:id="3" w:name="_Hlk59458163"/>
      <w:r w:rsidR="00793933">
        <w:rPr>
          <w:color w:val="000000"/>
        </w:rPr>
        <w:t>[¶]</w:t>
      </w:r>
      <w:r w:rsidRPr="00B34638" w:rsidR="00793933">
        <w:rPr>
          <w:rFonts w:asciiTheme="majorHAnsi" w:hAnsiTheme="majorHAnsi" w:cstheme="majorHAnsi"/>
          <w:szCs w:val="27"/>
        </w:rPr>
        <w:t> </w:t>
      </w:r>
      <w:bookmarkEnd w:id="3"/>
      <w:r w:rsidRPr="00572D1D" w:rsidR="00AF7428">
        <w:rPr>
          <w:iCs/>
          <w:szCs w:val="26"/>
        </w:rPr>
        <w:t>. . .</w:t>
      </w:r>
      <w:r w:rsidR="00F41BC4">
        <w:rPr>
          <w:iCs/>
          <w:szCs w:val="26"/>
        </w:rPr>
        <w:t xml:space="preserve"> </w:t>
      </w:r>
      <w:r w:rsidR="00793933">
        <w:rPr>
          <w:color w:val="000000"/>
        </w:rPr>
        <w:t>[¶]</w:t>
      </w:r>
      <w:r w:rsidRPr="00B34638" w:rsidR="00793933">
        <w:rPr>
          <w:rFonts w:asciiTheme="majorHAnsi" w:hAnsiTheme="majorHAnsi" w:cstheme="majorHAnsi"/>
          <w:szCs w:val="27"/>
        </w:rPr>
        <w:t> </w:t>
      </w:r>
      <w:r w:rsidRPr="00572D1D" w:rsidR="00AF7428">
        <w:rPr>
          <w:iCs/>
          <w:szCs w:val="26"/>
        </w:rPr>
        <w:t>(22)</w:t>
      </w:r>
      <w:r w:rsidR="00F41BC4">
        <w:rPr>
          <w:iCs/>
          <w:szCs w:val="26"/>
        </w:rPr>
        <w:t> </w:t>
      </w:r>
      <w:r w:rsidRPr="00572D1D" w:rsidR="00AF7428">
        <w:rPr>
          <w:iCs/>
          <w:szCs w:val="26"/>
        </w:rPr>
        <w:t xml:space="preserve">The defendant intentionally killed the victim while the defendant was an active participant in a criminal street gang, as defined in subdivision (f) of Section 186.22, and the murder was carried out to further the activities of the criminal street gang.”  By its terms, Proposition 21 established a new penalty for murder committed by an active participant in a criminal street </w:t>
      </w:r>
      <w:r w:rsidRPr="00572D1D" w:rsidR="007030EF">
        <w:rPr>
          <w:iCs/>
          <w:szCs w:val="26"/>
        </w:rPr>
        <w:t xml:space="preserve">gang </w:t>
      </w:r>
      <w:r w:rsidRPr="00572D1D" w:rsidR="002B1C22">
        <w:rPr>
          <w:iCs/>
          <w:szCs w:val="26"/>
        </w:rPr>
        <w:t xml:space="preserve">in </w:t>
      </w:r>
      <w:r w:rsidRPr="00572D1D" w:rsidR="00AF7428">
        <w:rPr>
          <w:iCs/>
          <w:szCs w:val="26"/>
        </w:rPr>
        <w:t>further</w:t>
      </w:r>
      <w:r w:rsidRPr="00572D1D" w:rsidR="002B1C22">
        <w:rPr>
          <w:iCs/>
          <w:szCs w:val="26"/>
        </w:rPr>
        <w:t>ance of</w:t>
      </w:r>
      <w:r w:rsidRPr="00572D1D" w:rsidR="00AF7428">
        <w:rPr>
          <w:iCs/>
          <w:szCs w:val="26"/>
        </w:rPr>
        <w:t xml:space="preserve"> the </w:t>
      </w:r>
      <w:r w:rsidRPr="00572D1D" w:rsidR="002B1C22">
        <w:rPr>
          <w:iCs/>
          <w:szCs w:val="26"/>
        </w:rPr>
        <w:t xml:space="preserve">gang’s </w:t>
      </w:r>
      <w:r w:rsidRPr="00572D1D" w:rsidR="00AF7428">
        <w:rPr>
          <w:iCs/>
          <w:szCs w:val="26"/>
        </w:rPr>
        <w:t>activities, while relying on an existing statutory provision — section 186.22(f) — to define “criminal street gang.”</w:t>
      </w:r>
      <w:r w:rsidRPr="00572D1D" w:rsidR="0071286A">
        <w:rPr>
          <w:iCs/>
          <w:szCs w:val="26"/>
        </w:rPr>
        <w:t xml:space="preserve">  </w:t>
      </w:r>
    </w:p>
    <w:p w:rsidR="00AF7428" w:rsidRPr="00572D1D" w:rsidP="00572D1D" w14:paraId="163A9798" w14:textId="77777777">
      <w:pPr>
        <w:pStyle w:val="Body"/>
        <w:spacing w:line="400" w:lineRule="exact"/>
        <w:rPr>
          <w:iCs/>
          <w:szCs w:val="26"/>
        </w:rPr>
      </w:pPr>
      <w:r w:rsidRPr="00572D1D">
        <w:rPr>
          <w:iCs/>
          <w:szCs w:val="26"/>
        </w:rPr>
        <w:t>An uncodified provision of Proposition 21 states that the provisions of the initiative “shall not be amended by the Legislature except by a statute passed in each house by rollcall vote entered in the journal, two-thirds of the membership of each house concurring, or by a statute that becomes effective only when approved by the voters.”  (</w:t>
      </w:r>
      <w:r w:rsidR="00DD1245">
        <w:t>Voter Information Guide</w:t>
      </w:r>
      <w:r w:rsidRPr="00572D1D" w:rsidR="00DD1245">
        <w:t>, Primary Elec.</w:t>
      </w:r>
      <w:r w:rsidR="00DD1245">
        <w:t xml:space="preserve">, </w:t>
      </w:r>
      <w:r w:rsidR="00DD1245">
        <w:rPr>
          <w:i/>
          <w:iCs/>
        </w:rPr>
        <w:t>supra</w:t>
      </w:r>
      <w:r w:rsidR="00DD1245">
        <w:t>,</w:t>
      </w:r>
      <w:r w:rsidRPr="00572D1D" w:rsidR="00DD1245">
        <w:t xml:space="preserve"> text of </w:t>
      </w:r>
      <w:r w:rsidRPr="00572D1D">
        <w:rPr>
          <w:iCs/>
          <w:szCs w:val="26"/>
        </w:rPr>
        <w:t xml:space="preserve">Prop. 21, </w:t>
      </w:r>
      <w:r w:rsidR="009257AA">
        <w:rPr>
          <w:iCs/>
          <w:szCs w:val="26"/>
        </w:rPr>
        <w:t>§ </w:t>
      </w:r>
      <w:r w:rsidRPr="00572D1D">
        <w:rPr>
          <w:iCs/>
          <w:szCs w:val="26"/>
        </w:rPr>
        <w:t>39</w:t>
      </w:r>
      <w:r w:rsidR="00DD1245">
        <w:rPr>
          <w:iCs/>
          <w:szCs w:val="26"/>
        </w:rPr>
        <w:t>, p. 131</w:t>
      </w:r>
      <w:r w:rsidRPr="00572D1D">
        <w:rPr>
          <w:iCs/>
          <w:szCs w:val="26"/>
        </w:rPr>
        <w:t xml:space="preserve">.)  Assembly Bill 333 did not receive two-thirds support in either house </w:t>
      </w:r>
      <w:bookmarkStart w:id="4" w:name="_Hlk150441111"/>
      <w:r w:rsidRPr="00572D1D">
        <w:rPr>
          <w:iCs/>
          <w:szCs w:val="26"/>
        </w:rPr>
        <w:t xml:space="preserve">(Sen. </w:t>
      </w:r>
      <w:r w:rsidR="00DD1245">
        <w:rPr>
          <w:iCs/>
          <w:szCs w:val="26"/>
        </w:rPr>
        <w:t xml:space="preserve">Daily </w:t>
      </w:r>
      <w:r w:rsidRPr="00572D1D">
        <w:rPr>
          <w:iCs/>
          <w:szCs w:val="26"/>
        </w:rPr>
        <w:t>J. (</w:t>
      </w:r>
      <w:r w:rsidR="00DD1245">
        <w:rPr>
          <w:iCs/>
          <w:szCs w:val="26"/>
        </w:rPr>
        <w:t>Sept. 1, 2021</w:t>
      </w:r>
      <w:bookmarkEnd w:id="4"/>
      <w:r w:rsidRPr="00572D1D">
        <w:rPr>
          <w:iCs/>
          <w:szCs w:val="26"/>
        </w:rPr>
        <w:t>)</w:t>
      </w:r>
      <w:r w:rsidR="009257AA">
        <w:rPr>
          <w:iCs/>
          <w:szCs w:val="26"/>
        </w:rPr>
        <w:t xml:space="preserve"> p. </w:t>
      </w:r>
      <w:r w:rsidRPr="00572D1D">
        <w:rPr>
          <w:iCs/>
          <w:szCs w:val="26"/>
        </w:rPr>
        <w:t xml:space="preserve">2284 [25 of 40 members voted in favor]; Assem. </w:t>
      </w:r>
      <w:r w:rsidR="00DD1245">
        <w:rPr>
          <w:iCs/>
          <w:szCs w:val="26"/>
        </w:rPr>
        <w:t xml:space="preserve">Daily </w:t>
      </w:r>
      <w:r w:rsidRPr="00572D1D">
        <w:rPr>
          <w:iCs/>
          <w:szCs w:val="26"/>
        </w:rPr>
        <w:t>J. (</w:t>
      </w:r>
      <w:r w:rsidR="00DD1245">
        <w:rPr>
          <w:iCs/>
          <w:szCs w:val="26"/>
        </w:rPr>
        <w:t>Sept. 8, 2021</w:t>
      </w:r>
      <w:r w:rsidRPr="00572D1D">
        <w:rPr>
          <w:iCs/>
          <w:szCs w:val="26"/>
        </w:rPr>
        <w:t>.)</w:t>
      </w:r>
      <w:r w:rsidR="009257AA">
        <w:rPr>
          <w:iCs/>
          <w:szCs w:val="26"/>
        </w:rPr>
        <w:t xml:space="preserve"> p. </w:t>
      </w:r>
      <w:r w:rsidRPr="00572D1D">
        <w:rPr>
          <w:iCs/>
          <w:szCs w:val="26"/>
        </w:rPr>
        <w:t>2927 [41 of 80 members voted in favor]; see Cal. Const., art</w:t>
      </w:r>
      <w:r w:rsidR="00751057">
        <w:rPr>
          <w:iCs/>
          <w:szCs w:val="26"/>
        </w:rPr>
        <w:t>.</w:t>
      </w:r>
      <w:r w:rsidRPr="00572D1D">
        <w:rPr>
          <w:iCs/>
          <w:szCs w:val="26"/>
        </w:rPr>
        <w:t xml:space="preserve"> IV, </w:t>
      </w:r>
      <w:r w:rsidR="009257AA">
        <w:rPr>
          <w:iCs/>
          <w:szCs w:val="26"/>
        </w:rPr>
        <w:t>§ </w:t>
      </w:r>
      <w:r w:rsidRPr="00572D1D">
        <w:rPr>
          <w:iCs/>
          <w:szCs w:val="26"/>
        </w:rPr>
        <w:t>2, subd. (a)(1)–(2)), nor was the bill submitted to the voters for approval.</w:t>
      </w:r>
      <w:r w:rsidRPr="00572D1D" w:rsidR="00B7780C">
        <w:rPr>
          <w:iCs/>
          <w:szCs w:val="26"/>
        </w:rPr>
        <w:t xml:space="preserve">  T</w:t>
      </w:r>
      <w:r w:rsidRPr="00572D1D" w:rsidR="005E2EF3">
        <w:rPr>
          <w:iCs/>
          <w:szCs w:val="26"/>
        </w:rPr>
        <w:t xml:space="preserve">he Attorney General </w:t>
      </w:r>
      <w:r w:rsidRPr="00572D1D">
        <w:rPr>
          <w:iCs/>
          <w:szCs w:val="26"/>
        </w:rPr>
        <w:t xml:space="preserve">argues that Assembly Bill 333’s amendment of section 186.22, incorporated by reference into section 190.2(a)(22), </w:t>
      </w:r>
      <w:r w:rsidRPr="00572D1D" w:rsidR="00B7780C">
        <w:rPr>
          <w:iCs/>
          <w:szCs w:val="26"/>
        </w:rPr>
        <w:t xml:space="preserve">unconstitutionally </w:t>
      </w:r>
      <w:r w:rsidRPr="00572D1D">
        <w:rPr>
          <w:iCs/>
          <w:szCs w:val="26"/>
        </w:rPr>
        <w:t xml:space="preserve">amends Proposition 21 because the voters intended the enhanced punishment of death or life without parole to apply to gang murders as defined at the time Proposition 21 was enacted.  </w:t>
      </w:r>
    </w:p>
    <w:p w:rsidR="00611F09" w:rsidRPr="00572D1D" w:rsidP="00572D1D" w14:paraId="163A9799" w14:textId="77777777">
      <w:pPr>
        <w:pStyle w:val="Body"/>
        <w:spacing w:line="400" w:lineRule="exact"/>
        <w:rPr>
          <w:color w:val="000000"/>
          <w:szCs w:val="26"/>
        </w:rPr>
      </w:pPr>
      <w:r w:rsidRPr="00572D1D">
        <w:rPr>
          <w:szCs w:val="26"/>
        </w:rPr>
        <w:t xml:space="preserve">Although Proposition 21 amended section 186.22 </w:t>
      </w:r>
      <w:r w:rsidR="006F153C">
        <w:rPr>
          <w:szCs w:val="26"/>
        </w:rPr>
        <w:t>by</w:t>
      </w:r>
      <w:r w:rsidRPr="00572D1D">
        <w:rPr>
          <w:szCs w:val="26"/>
        </w:rPr>
        <w:t xml:space="preserve"> increasing the punishment of certain enhancements (</w:t>
      </w:r>
      <w:r w:rsidR="009257AA">
        <w:rPr>
          <w:szCs w:val="26"/>
        </w:rPr>
        <w:t>§ </w:t>
      </w:r>
      <w:r w:rsidRPr="00572D1D">
        <w:rPr>
          <w:szCs w:val="26"/>
        </w:rPr>
        <w:t>186.22, subds.</w:t>
      </w:r>
      <w:r w:rsidR="006F153C">
        <w:rPr>
          <w:szCs w:val="26"/>
        </w:rPr>
        <w:t> </w:t>
      </w:r>
      <w:r w:rsidRPr="00572D1D">
        <w:rPr>
          <w:szCs w:val="26"/>
        </w:rPr>
        <w:t>(b), (c), (d)) and adding predicate offenses in determining “a pattern of criminal gang activity” (</w:t>
      </w:r>
      <w:r w:rsidRPr="00572D1D">
        <w:rPr>
          <w:i/>
          <w:iCs/>
          <w:szCs w:val="26"/>
        </w:rPr>
        <w:t>id</w:t>
      </w:r>
      <w:r w:rsidRPr="00572D1D">
        <w:rPr>
          <w:szCs w:val="26"/>
        </w:rPr>
        <w:t>., subd.</w:t>
      </w:r>
      <w:r w:rsidR="006F153C">
        <w:rPr>
          <w:szCs w:val="26"/>
        </w:rPr>
        <w:t> </w:t>
      </w:r>
      <w:r w:rsidRPr="00572D1D">
        <w:rPr>
          <w:szCs w:val="26"/>
        </w:rPr>
        <w:t>(e))</w:t>
      </w:r>
      <w:r w:rsidR="006F153C">
        <w:rPr>
          <w:szCs w:val="26"/>
        </w:rPr>
        <w:t xml:space="preserve">, </w:t>
      </w:r>
      <w:r w:rsidRPr="00572D1D">
        <w:rPr>
          <w:szCs w:val="26"/>
        </w:rPr>
        <w:t xml:space="preserve">the 2000 initiative did not amend section 186.22(f)’s definition of “criminal street gang” </w:t>
      </w:r>
      <w:r w:rsidR="006F153C">
        <w:rPr>
          <w:szCs w:val="26"/>
        </w:rPr>
        <w:t xml:space="preserve">and instead </w:t>
      </w:r>
      <w:r w:rsidRPr="00572D1D" w:rsidR="006F153C">
        <w:rPr>
          <w:szCs w:val="26"/>
        </w:rPr>
        <w:t xml:space="preserve">technically reenacted </w:t>
      </w:r>
      <w:r w:rsidR="006F153C">
        <w:rPr>
          <w:szCs w:val="26"/>
        </w:rPr>
        <w:t xml:space="preserve">it </w:t>
      </w:r>
      <w:r w:rsidRPr="00572D1D">
        <w:rPr>
          <w:szCs w:val="26"/>
        </w:rPr>
        <w:t xml:space="preserve">without substantive change.  (See </w:t>
      </w:r>
      <w:r w:rsidRPr="00572D1D">
        <w:rPr>
          <w:i/>
          <w:iCs/>
          <w:szCs w:val="26"/>
        </w:rPr>
        <w:t>County of San Diego v. Commission on State Mandates</w:t>
      </w:r>
      <w:r w:rsidRPr="00572D1D">
        <w:rPr>
          <w:szCs w:val="26"/>
        </w:rPr>
        <w:t xml:space="preserve"> (2018) 6 Cal.5th 196, </w:t>
      </w:r>
      <w:r w:rsidR="0012225E">
        <w:rPr>
          <w:szCs w:val="26"/>
        </w:rPr>
        <w:t>209–210</w:t>
      </w:r>
      <w:r w:rsidRPr="00572D1D" w:rsidR="0012225E">
        <w:rPr>
          <w:szCs w:val="26"/>
        </w:rPr>
        <w:t xml:space="preserve"> </w:t>
      </w:r>
      <w:r w:rsidRPr="00572D1D">
        <w:rPr>
          <w:szCs w:val="26"/>
        </w:rPr>
        <w:t>[“</w:t>
      </w:r>
      <w:r w:rsidR="0012225E">
        <w:rPr>
          <w:szCs w:val="26"/>
        </w:rPr>
        <w:t>S</w:t>
      </w:r>
      <w:r w:rsidRPr="00572D1D">
        <w:rPr>
          <w:szCs w:val="26"/>
        </w:rPr>
        <w:t>tatutory provisions that are not actually reenacted and are instead considered to ‘</w:t>
      </w:r>
      <w:r w:rsidR="005B729F">
        <w:rPr>
          <w:szCs w:val="26"/>
        </w:rPr>
        <w:t> </w:t>
      </w:r>
      <w:r w:rsidRPr="00572D1D">
        <w:rPr>
          <w:szCs w:val="26"/>
        </w:rPr>
        <w:t>“have been the law all along”</w:t>
      </w:r>
      <w:r w:rsidR="005B729F">
        <w:rPr>
          <w:szCs w:val="26"/>
        </w:rPr>
        <w:t> </w:t>
      </w:r>
      <w:r w:rsidRPr="00572D1D">
        <w:rPr>
          <w:szCs w:val="26"/>
        </w:rPr>
        <w:t xml:space="preserve">’ [citation] cannot fairly be said to be part of a ballot measure”]; Gov. Code, </w:t>
      </w:r>
      <w:r w:rsidR="009257AA">
        <w:rPr>
          <w:szCs w:val="26"/>
        </w:rPr>
        <w:t>§ </w:t>
      </w:r>
      <w:r w:rsidRPr="00572D1D">
        <w:rPr>
          <w:szCs w:val="26"/>
        </w:rPr>
        <w:t xml:space="preserve">9605.)  </w:t>
      </w:r>
      <w:r w:rsidR="00361A09">
        <w:rPr>
          <w:szCs w:val="26"/>
        </w:rPr>
        <w:t xml:space="preserve">It follows that </w:t>
      </w:r>
      <w:r w:rsidR="00932C01">
        <w:rPr>
          <w:szCs w:val="26"/>
        </w:rPr>
        <w:t xml:space="preserve">the Legislature </w:t>
      </w:r>
      <w:r>
        <w:rPr>
          <w:szCs w:val="26"/>
        </w:rPr>
        <w:t>is</w:t>
      </w:r>
      <w:r w:rsidR="00932C01">
        <w:rPr>
          <w:szCs w:val="26"/>
        </w:rPr>
        <w:t xml:space="preserve"> </w:t>
      </w:r>
      <w:r w:rsidRPr="00572D1D">
        <w:rPr>
          <w:szCs w:val="26"/>
        </w:rPr>
        <w:t xml:space="preserve">free to revise section 186.22(f) </w:t>
      </w:r>
      <w:r>
        <w:rPr>
          <w:color w:val="000000"/>
          <w:szCs w:val="26"/>
        </w:rPr>
        <w:t>independent</w:t>
      </w:r>
      <w:r w:rsidRPr="00572D1D" w:rsidR="00932C01">
        <w:rPr>
          <w:color w:val="000000"/>
          <w:szCs w:val="26"/>
        </w:rPr>
        <w:t xml:space="preserve"> of the supermajority requirement in Proposition 21 itself</w:t>
      </w:r>
      <w:r w:rsidR="008D7B5F">
        <w:rPr>
          <w:color w:val="000000"/>
          <w:szCs w:val="26"/>
        </w:rPr>
        <w:t xml:space="preserve"> </w:t>
      </w:r>
      <w:r w:rsidRPr="008D7B5F" w:rsidR="008D7B5F">
        <w:rPr>
          <w:color w:val="000000"/>
          <w:szCs w:val="26"/>
        </w:rPr>
        <w:t>unless</w:t>
      </w:r>
      <w:r w:rsidR="00331CFA">
        <w:rPr>
          <w:color w:val="000000"/>
          <w:szCs w:val="26"/>
        </w:rPr>
        <w:t xml:space="preserve"> the reenacted provision “is integra</w:t>
      </w:r>
      <w:r w:rsidRPr="008D7B5F" w:rsidR="008D7B5F">
        <w:rPr>
          <w:color w:val="000000"/>
          <w:szCs w:val="26"/>
        </w:rPr>
        <w:t>l to accomplishing the electorate</w:t>
      </w:r>
      <w:r w:rsidR="00331CFA">
        <w:rPr>
          <w:color w:val="000000"/>
          <w:szCs w:val="26"/>
        </w:rPr>
        <w:t>’</w:t>
      </w:r>
      <w:r w:rsidRPr="008D7B5F" w:rsidR="008D7B5F">
        <w:rPr>
          <w:color w:val="000000"/>
          <w:szCs w:val="26"/>
        </w:rPr>
        <w:t>s goals in enacting the initiative or other indicia support the conclusion that voters reasonably intended to limit the Legislature</w:t>
      </w:r>
      <w:r w:rsidR="00331CFA">
        <w:rPr>
          <w:color w:val="000000"/>
          <w:szCs w:val="26"/>
        </w:rPr>
        <w:t>’</w:t>
      </w:r>
      <w:r w:rsidRPr="008D7B5F" w:rsidR="008D7B5F">
        <w:rPr>
          <w:color w:val="000000"/>
          <w:szCs w:val="26"/>
        </w:rPr>
        <w:t>s ability to amend that part of the statute</w:t>
      </w:r>
      <w:r w:rsidRPr="00572D1D">
        <w:rPr>
          <w:szCs w:val="26"/>
        </w:rPr>
        <w:t>.</w:t>
      </w:r>
      <w:r w:rsidR="00331CFA">
        <w:rPr>
          <w:szCs w:val="26"/>
        </w:rPr>
        <w:t>”</w:t>
      </w:r>
      <w:r w:rsidRPr="00572D1D">
        <w:rPr>
          <w:szCs w:val="26"/>
        </w:rPr>
        <w:t xml:space="preserve">  (</w:t>
      </w:r>
      <w:r w:rsidRPr="00572D1D">
        <w:rPr>
          <w:i/>
          <w:iCs/>
          <w:szCs w:val="26"/>
        </w:rPr>
        <w:t>County of San Diego</w:t>
      </w:r>
      <w:r w:rsidR="00B3732A">
        <w:rPr>
          <w:i/>
          <w:iCs/>
          <w:szCs w:val="26"/>
        </w:rPr>
        <w:t xml:space="preserve">, </w:t>
      </w:r>
      <w:r w:rsidRPr="00572D1D">
        <w:rPr>
          <w:szCs w:val="26"/>
        </w:rPr>
        <w:t>at</w:t>
      </w:r>
      <w:r w:rsidR="009257AA">
        <w:rPr>
          <w:szCs w:val="26"/>
        </w:rPr>
        <w:t xml:space="preserve"> p. </w:t>
      </w:r>
      <w:r w:rsidRPr="00572D1D">
        <w:rPr>
          <w:szCs w:val="26"/>
        </w:rPr>
        <w:t xml:space="preserve">214; see also </w:t>
      </w:r>
      <w:r w:rsidRPr="00572D1D">
        <w:rPr>
          <w:i/>
          <w:iCs/>
          <w:szCs w:val="26"/>
        </w:rPr>
        <w:t>Lee</w:t>
      </w:r>
      <w:r w:rsidR="003549B9">
        <w:rPr>
          <w:szCs w:val="26"/>
        </w:rPr>
        <w:t xml:space="preserve">, </w:t>
      </w:r>
      <w:r w:rsidR="003549B9">
        <w:rPr>
          <w:i/>
          <w:iCs/>
          <w:szCs w:val="26"/>
        </w:rPr>
        <w:t>supra</w:t>
      </w:r>
      <w:r w:rsidR="003549B9">
        <w:rPr>
          <w:szCs w:val="26"/>
        </w:rPr>
        <w:t>,</w:t>
      </w:r>
      <w:r w:rsidRPr="00572D1D">
        <w:rPr>
          <w:szCs w:val="26"/>
        </w:rPr>
        <w:t xml:space="preserve"> 81 Cal.App.5th </w:t>
      </w:r>
      <w:r w:rsidR="000F5585">
        <w:rPr>
          <w:szCs w:val="26"/>
        </w:rPr>
        <w:t>at p. </w:t>
      </w:r>
      <w:r w:rsidRPr="00572D1D">
        <w:rPr>
          <w:szCs w:val="26"/>
        </w:rPr>
        <w:t>242</w:t>
      </w:r>
      <w:r w:rsidR="00F73027">
        <w:rPr>
          <w:szCs w:val="26"/>
        </w:rPr>
        <w:t>, rev.gr</w:t>
      </w:r>
      <w:r w:rsidR="00AE30C4">
        <w:rPr>
          <w:szCs w:val="26"/>
        </w:rPr>
        <w:t>.</w:t>
      </w:r>
      <w:r w:rsidRPr="00572D1D">
        <w:rPr>
          <w:szCs w:val="26"/>
        </w:rPr>
        <w:t xml:space="preserve">; cf. Cal. Const., art. II, </w:t>
      </w:r>
      <w:r w:rsidR="009257AA">
        <w:rPr>
          <w:szCs w:val="26"/>
        </w:rPr>
        <w:t>§ </w:t>
      </w:r>
      <w:r w:rsidRPr="00572D1D">
        <w:rPr>
          <w:szCs w:val="26"/>
        </w:rPr>
        <w:t xml:space="preserve">10, subd. (c); </w:t>
      </w:r>
      <w:r w:rsidR="003549B9">
        <w:t>Voter Information Guide</w:t>
      </w:r>
      <w:r w:rsidRPr="00572D1D">
        <w:rPr>
          <w:color w:val="000000"/>
          <w:szCs w:val="26"/>
        </w:rPr>
        <w:t>, Primary Elec.</w:t>
      </w:r>
      <w:r w:rsidR="003549B9">
        <w:rPr>
          <w:color w:val="000000"/>
          <w:szCs w:val="26"/>
        </w:rPr>
        <w:t xml:space="preserve">, </w:t>
      </w:r>
      <w:r w:rsidR="003549B9">
        <w:rPr>
          <w:i/>
          <w:iCs/>
          <w:color w:val="000000"/>
          <w:szCs w:val="26"/>
        </w:rPr>
        <w:t>supra</w:t>
      </w:r>
      <w:r w:rsidR="003549B9">
        <w:rPr>
          <w:color w:val="000000"/>
          <w:szCs w:val="26"/>
        </w:rPr>
        <w:t>,</w:t>
      </w:r>
      <w:r w:rsidRPr="00572D1D">
        <w:rPr>
          <w:color w:val="000000"/>
          <w:szCs w:val="26"/>
        </w:rPr>
        <w:t xml:space="preserve"> text of Prop. 21, </w:t>
      </w:r>
      <w:r w:rsidR="009257AA">
        <w:rPr>
          <w:color w:val="000000"/>
          <w:szCs w:val="26"/>
        </w:rPr>
        <w:t>§ </w:t>
      </w:r>
      <w:r w:rsidRPr="00572D1D">
        <w:rPr>
          <w:color w:val="000000"/>
          <w:szCs w:val="26"/>
        </w:rPr>
        <w:t>39,</w:t>
      </w:r>
      <w:r w:rsidR="009257AA">
        <w:rPr>
          <w:color w:val="000000"/>
          <w:szCs w:val="26"/>
        </w:rPr>
        <w:t xml:space="preserve"> p. </w:t>
      </w:r>
      <w:r w:rsidRPr="00572D1D">
        <w:rPr>
          <w:color w:val="000000"/>
          <w:szCs w:val="26"/>
        </w:rPr>
        <w:t>131.)</w:t>
      </w:r>
    </w:p>
    <w:p w:rsidR="00611F09" w:rsidRPr="00611F09" w:rsidP="00611F09" w14:paraId="163A979A" w14:textId="77777777">
      <w:pPr>
        <w:pStyle w:val="Body"/>
        <w:spacing w:line="400" w:lineRule="exact"/>
      </w:pPr>
      <w:r>
        <w:rPr>
          <w:color w:val="000000"/>
          <w:szCs w:val="26"/>
        </w:rPr>
        <w:t>T</w:t>
      </w:r>
      <w:r w:rsidRPr="00960F24" w:rsidR="00960F24">
        <w:rPr>
          <w:szCs w:val="26"/>
        </w:rPr>
        <w:t>he</w:t>
      </w:r>
      <w:r w:rsidRPr="00572D1D" w:rsidR="00960F24">
        <w:rPr>
          <w:iCs/>
          <w:szCs w:val="26"/>
        </w:rPr>
        <w:t xml:space="preserve"> </w:t>
      </w:r>
      <w:r w:rsidRPr="00572D1D" w:rsidR="00BD3BD8">
        <w:rPr>
          <w:iCs/>
          <w:szCs w:val="26"/>
        </w:rPr>
        <w:t xml:space="preserve">Attorney General argues that </w:t>
      </w:r>
      <w:r w:rsidR="001609A7">
        <w:rPr>
          <w:iCs/>
          <w:szCs w:val="26"/>
        </w:rPr>
        <w:t xml:space="preserve">applying </w:t>
      </w:r>
      <w:r w:rsidR="00B0339E">
        <w:rPr>
          <w:iCs/>
          <w:szCs w:val="26"/>
        </w:rPr>
        <w:t xml:space="preserve">Assembly Bill 333’s amendment to section 186.22(f) to a special circumstance allegation </w:t>
      </w:r>
      <w:r>
        <w:rPr>
          <w:iCs/>
          <w:szCs w:val="26"/>
        </w:rPr>
        <w:t xml:space="preserve">would </w:t>
      </w:r>
      <w:r w:rsidR="00100408">
        <w:rPr>
          <w:iCs/>
          <w:szCs w:val="26"/>
        </w:rPr>
        <w:t xml:space="preserve">frustrate the voters’ intent to </w:t>
      </w:r>
      <w:r w:rsidR="00982D2D">
        <w:rPr>
          <w:iCs/>
          <w:szCs w:val="26"/>
        </w:rPr>
        <w:t xml:space="preserve">“lock in” the definition of </w:t>
      </w:r>
      <w:r w:rsidR="00A30A13">
        <w:rPr>
          <w:iCs/>
          <w:szCs w:val="26"/>
        </w:rPr>
        <w:t xml:space="preserve">“criminal street gang” as it existed at the time </w:t>
      </w:r>
      <w:r w:rsidR="009A4EBF">
        <w:rPr>
          <w:iCs/>
          <w:szCs w:val="26"/>
        </w:rPr>
        <w:t>of the 2000 election</w:t>
      </w:r>
      <w:r w:rsidR="00993AFF">
        <w:rPr>
          <w:iCs/>
          <w:szCs w:val="26"/>
        </w:rPr>
        <w:t xml:space="preserve"> and </w:t>
      </w:r>
      <w:r>
        <w:rPr>
          <w:iCs/>
          <w:szCs w:val="26"/>
        </w:rPr>
        <w:t>would</w:t>
      </w:r>
      <w:r w:rsidR="00993AFF">
        <w:rPr>
          <w:iCs/>
          <w:szCs w:val="26"/>
        </w:rPr>
        <w:t xml:space="preserve"> “take away” from the purpose of Proposition 21.  We address these arguments in turn</w:t>
      </w:r>
      <w:r w:rsidR="008711F4">
        <w:rPr>
          <w:iCs/>
          <w:szCs w:val="26"/>
        </w:rPr>
        <w:t>.</w:t>
      </w:r>
    </w:p>
    <w:p w:rsidR="00F71ECF" w:rsidRPr="00572D1D" w:rsidP="00836CED" w14:paraId="163A979B" w14:textId="77777777">
      <w:pPr>
        <w:pStyle w:val="Heading2"/>
        <w:ind w:left="0" w:firstLine="0"/>
        <w:jc w:val="center"/>
      </w:pPr>
      <w:r>
        <w:t>B.</w:t>
      </w:r>
    </w:p>
    <w:p w:rsidR="0007520A" w:rsidRPr="00572D1D" w:rsidP="00572D1D" w14:paraId="163A979C" w14:textId="77777777">
      <w:pPr>
        <w:pStyle w:val="PRComments"/>
        <w:spacing w:line="400" w:lineRule="exact"/>
        <w:ind w:right="0" w:firstLine="720"/>
      </w:pPr>
      <w:r>
        <w:rPr>
          <w:iCs/>
          <w:szCs w:val="26"/>
        </w:rPr>
        <w:t>We begin with the text of the</w:t>
      </w:r>
      <w:r w:rsidR="00BA3CAB">
        <w:rPr>
          <w:iCs/>
          <w:szCs w:val="26"/>
        </w:rPr>
        <w:t xml:space="preserve"> initiative statute</w:t>
      </w:r>
      <w:r>
        <w:rPr>
          <w:iCs/>
          <w:szCs w:val="26"/>
        </w:rPr>
        <w:t xml:space="preserve">.  </w:t>
      </w:r>
      <w:r w:rsidRPr="00572D1D" w:rsidR="0047630C">
        <w:rPr>
          <w:iCs/>
          <w:szCs w:val="26"/>
        </w:rPr>
        <w:t xml:space="preserve">We have said that </w:t>
      </w:r>
      <w:r w:rsidRPr="00572D1D" w:rsidR="000A2BD0">
        <w:rPr>
          <w:iCs/>
          <w:szCs w:val="26"/>
        </w:rPr>
        <w:t>“ ‘</w:t>
      </w:r>
      <w:r w:rsidRPr="00572D1D" w:rsidR="00AF7428">
        <w:rPr>
          <w:iCs/>
          <w:szCs w:val="26"/>
        </w:rPr>
        <w:t>where a statute adopts by specific reference the provisions of another statute, regulation, or ordinance, such provisions are incorporated in the form in which they exist at the time of the reference and not as subsequently modified, and that the repeal of the provisions referred to does not affect the adopting statute, in the absence of a clearly expressed intention to the contrary.</w:t>
      </w:r>
      <w:r w:rsidRPr="00572D1D" w:rsidR="00F352D1">
        <w:rPr>
          <w:iCs/>
          <w:szCs w:val="26"/>
        </w:rPr>
        <w:t>’ </w:t>
      </w:r>
      <w:r w:rsidRPr="00572D1D" w:rsidR="00AF7428">
        <w:rPr>
          <w:iCs/>
          <w:szCs w:val="26"/>
        </w:rPr>
        <w:t>”  (</w:t>
      </w:r>
      <w:r w:rsidRPr="00572D1D" w:rsidR="00AF7428">
        <w:rPr>
          <w:i/>
          <w:iCs/>
          <w:szCs w:val="26"/>
        </w:rPr>
        <w:t>Palermo v. Stockton Theatres</w:t>
      </w:r>
      <w:r w:rsidRPr="00572D1D" w:rsidR="00AF7428">
        <w:rPr>
          <w:iCs/>
          <w:szCs w:val="26"/>
        </w:rPr>
        <w:t> (1948) 32 Cal.2d 53, 58–59 (</w:t>
      </w:r>
      <w:r w:rsidRPr="00572D1D" w:rsidR="00AF7428">
        <w:rPr>
          <w:i/>
          <w:iCs/>
          <w:szCs w:val="26"/>
        </w:rPr>
        <w:t>Palermo</w:t>
      </w:r>
      <w:r w:rsidRPr="00572D1D" w:rsidR="00AF7428">
        <w:rPr>
          <w:iCs/>
          <w:szCs w:val="26"/>
        </w:rPr>
        <w:t>)</w:t>
      </w:r>
      <w:r w:rsidRPr="00572D1D" w:rsidR="00F6350F">
        <w:rPr>
          <w:iCs/>
          <w:szCs w:val="26"/>
        </w:rPr>
        <w:t xml:space="preserve">; </w:t>
      </w:r>
      <w:r w:rsidRPr="00572D1D" w:rsidR="00AC018A">
        <w:t xml:space="preserve">see generally </w:t>
      </w:r>
      <w:r w:rsidRPr="00572D1D" w:rsidR="00AC018A">
        <w:rPr>
          <w:i/>
          <w:iCs/>
        </w:rPr>
        <w:t>Jam v. Intern</w:t>
      </w:r>
      <w:r w:rsidR="00793933">
        <w:rPr>
          <w:i/>
          <w:iCs/>
        </w:rPr>
        <w:t>ational</w:t>
      </w:r>
      <w:r w:rsidRPr="00572D1D" w:rsidR="00AC018A">
        <w:rPr>
          <w:i/>
          <w:iCs/>
        </w:rPr>
        <w:t xml:space="preserve"> Finance Corp.</w:t>
      </w:r>
      <w:r w:rsidRPr="00572D1D" w:rsidR="00AC018A">
        <w:t xml:space="preserve"> (2019) </w:t>
      </w:r>
      <w:r w:rsidR="004E198A">
        <w:t>586</w:t>
      </w:r>
      <w:r w:rsidRPr="00572D1D" w:rsidR="00AC018A">
        <w:t xml:space="preserve"> U.S. __</w:t>
      </w:r>
      <w:r w:rsidR="004E198A">
        <w:t>, __</w:t>
      </w:r>
      <w:r w:rsidRPr="00572D1D" w:rsidR="00AC018A">
        <w:t xml:space="preserve"> [139 S.Ct. 759, 769] [referring to this principle of statutory construction as the “ ‘reference’ canon”]</w:t>
      </w:r>
      <w:r w:rsidRPr="00572D1D" w:rsidR="00AF7428">
        <w:rPr>
          <w:iCs/>
          <w:szCs w:val="26"/>
        </w:rPr>
        <w:t xml:space="preserve">.)  </w:t>
      </w:r>
      <w:r w:rsidRPr="00572D1D" w:rsidR="00AB1E85">
        <w:rPr>
          <w:iCs/>
          <w:szCs w:val="26"/>
        </w:rPr>
        <w:t>At the same time, “ ‘there is a cognate rule . . . to the effect</w:t>
      </w:r>
      <w:r w:rsidRPr="00572D1D" w:rsidR="00CE3C85">
        <w:rPr>
          <w:iCs/>
          <w:szCs w:val="26"/>
        </w:rPr>
        <w:t xml:space="preserve"> that </w:t>
      </w:r>
      <w:r w:rsidRPr="00572D1D" w:rsidR="00AF7428">
        <w:rPr>
          <w:iCs/>
          <w:szCs w:val="26"/>
        </w:rPr>
        <w:t>where the reference is general instead of specific, such as a reference to a system or body of laws or to the general law relating to the subject in hand, the referring statute takes the law or laws referred to not only in their contemporary form, but also as they may be changed from time to time</w:t>
      </w:r>
      <w:r w:rsidRPr="00572D1D" w:rsidR="00575381">
        <w:rPr>
          <w:iCs/>
          <w:szCs w:val="26"/>
        </w:rPr>
        <w:t> . . . </w:t>
      </w:r>
      <w:r w:rsidRPr="00572D1D" w:rsidR="00AF7428">
        <w:rPr>
          <w:iCs/>
          <w:szCs w:val="26"/>
        </w:rPr>
        <w:t>.</w:t>
      </w:r>
      <w:r w:rsidRPr="00572D1D" w:rsidR="00CE3C85">
        <w:rPr>
          <w:iCs/>
          <w:szCs w:val="26"/>
        </w:rPr>
        <w:t>’ </w:t>
      </w:r>
      <w:r w:rsidRPr="00572D1D" w:rsidR="00AF7428">
        <w:rPr>
          <w:iCs/>
          <w:szCs w:val="26"/>
        </w:rPr>
        <w:t>”  (</w:t>
      </w:r>
      <w:r w:rsidR="00AB19AB">
        <w:rPr>
          <w:i/>
          <w:iCs/>
          <w:szCs w:val="26"/>
        </w:rPr>
        <w:t>Palermo</w:t>
      </w:r>
      <w:r w:rsidR="00AB19AB">
        <w:rPr>
          <w:szCs w:val="26"/>
        </w:rPr>
        <w:t>,</w:t>
      </w:r>
      <w:r w:rsidRPr="00572D1D" w:rsidR="00AF7428">
        <w:rPr>
          <w:iCs/>
          <w:szCs w:val="26"/>
        </w:rPr>
        <w:t xml:space="preserve"> at</w:t>
      </w:r>
      <w:r w:rsidR="009257AA">
        <w:rPr>
          <w:iCs/>
          <w:szCs w:val="26"/>
        </w:rPr>
        <w:t xml:space="preserve"> p. </w:t>
      </w:r>
      <w:r w:rsidRPr="00572D1D" w:rsidR="00AF7428">
        <w:rPr>
          <w:iCs/>
          <w:szCs w:val="26"/>
        </w:rPr>
        <w:t>59.)</w:t>
      </w:r>
    </w:p>
    <w:p w:rsidR="00E606EC" w:rsidRPr="00572D1D" w:rsidP="00572D1D" w14:paraId="163A979D" w14:textId="77777777">
      <w:pPr>
        <w:pStyle w:val="PRComments"/>
        <w:spacing w:line="400" w:lineRule="exact"/>
        <w:ind w:right="0" w:firstLine="720"/>
        <w:rPr>
          <w:iCs/>
          <w:szCs w:val="26"/>
        </w:rPr>
      </w:pPr>
      <w:r w:rsidRPr="00572D1D">
        <w:t xml:space="preserve">While </w:t>
      </w:r>
      <w:r w:rsidRPr="00572D1D">
        <w:rPr>
          <w:i/>
          <w:iCs/>
        </w:rPr>
        <w:t xml:space="preserve">Palermo </w:t>
      </w:r>
      <w:r w:rsidRPr="00572D1D">
        <w:t>sets forth the general rule above</w:t>
      </w:r>
      <w:r w:rsidRPr="00572D1D" w:rsidR="002D4C5D">
        <w:t xml:space="preserve">, it also makes clear that the presence or absence of language </w:t>
      </w:r>
      <w:r w:rsidR="004E198A">
        <w:t xml:space="preserve">referring specifically to a statutory or regulatory provision </w:t>
      </w:r>
      <w:r w:rsidRPr="00572D1D" w:rsidR="002D4C5D">
        <w:t>is not necessarily dispositive</w:t>
      </w:r>
      <w:r w:rsidRPr="00572D1D" w:rsidR="009C5FBB">
        <w:t xml:space="preserve">.  </w:t>
      </w:r>
      <w:r w:rsidRPr="00572D1D" w:rsidR="0007520A">
        <w:t xml:space="preserve">At issue in </w:t>
      </w:r>
      <w:r w:rsidRPr="00572D1D" w:rsidR="003A3416">
        <w:rPr>
          <w:i/>
          <w:iCs/>
        </w:rPr>
        <w:t>Palermo</w:t>
      </w:r>
      <w:r w:rsidRPr="00572D1D" w:rsidR="003A3416">
        <w:t xml:space="preserve"> </w:t>
      </w:r>
      <w:r w:rsidRPr="00572D1D" w:rsidR="0007520A">
        <w:t>was</w:t>
      </w:r>
      <w:r w:rsidRPr="00572D1D" w:rsidR="003A3416">
        <w:t xml:space="preserve"> the </w:t>
      </w:r>
      <w:r w:rsidR="005B729F">
        <w:t xml:space="preserve">California </w:t>
      </w:r>
      <w:r w:rsidRPr="00572D1D" w:rsidR="003A3416">
        <w:t>Alien Land Act</w:t>
      </w:r>
      <w:r w:rsidR="005B729F">
        <w:t xml:space="preserve"> </w:t>
      </w:r>
      <w:r w:rsidR="007809A0">
        <w:t>(</w:t>
      </w:r>
      <w:r w:rsidRPr="007809A0" w:rsidR="007809A0">
        <w:t>Stats. 1921, p. lxxxiii, as amended</w:t>
      </w:r>
      <w:r w:rsidR="00E55FD9">
        <w:t xml:space="preserve"> by </w:t>
      </w:r>
      <w:r w:rsidRPr="00E55FD9" w:rsidR="00E55FD9">
        <w:t>Stats. 1923, p. 1021</w:t>
      </w:r>
      <w:r w:rsidR="007809A0">
        <w:t>)</w:t>
      </w:r>
      <w:r w:rsidRPr="00572D1D" w:rsidR="0007520A">
        <w:t xml:space="preserve">, which </w:t>
      </w:r>
      <w:r w:rsidRPr="00572D1D" w:rsidR="003A3416">
        <w:t>referred to “ ‘ “any treaty now existing” ’ ” at the time of the act’s enactment by the electorate</w:t>
      </w:r>
      <w:r w:rsidRPr="00572D1D" w:rsidR="003C0471">
        <w:t>.</w:t>
      </w:r>
      <w:r w:rsidRPr="00572D1D" w:rsidR="003A3416">
        <w:t xml:space="preserve"> </w:t>
      </w:r>
      <w:r w:rsidRPr="00572D1D" w:rsidR="003C0471">
        <w:t xml:space="preserve"> </w:t>
      </w:r>
      <w:r w:rsidRPr="00572D1D" w:rsidR="003A3416">
        <w:t>(</w:t>
      </w:r>
      <w:r w:rsidRPr="00572D1D" w:rsidR="003A3416">
        <w:rPr>
          <w:i/>
          <w:iCs/>
        </w:rPr>
        <w:t>Palermo, supra,</w:t>
      </w:r>
      <w:r w:rsidRPr="00572D1D" w:rsidR="003A3416">
        <w:t xml:space="preserve"> 32 Cal.2d at</w:t>
      </w:r>
      <w:r w:rsidR="009257AA">
        <w:t xml:space="preserve"> p. </w:t>
      </w:r>
      <w:r w:rsidRPr="00572D1D" w:rsidR="003A3416">
        <w:t>59</w:t>
      </w:r>
      <w:r w:rsidRPr="00572D1D" w:rsidR="003C0471">
        <w:t>.</w:t>
      </w:r>
      <w:r w:rsidRPr="00572D1D" w:rsidR="003A3416">
        <w:t>)</w:t>
      </w:r>
      <w:r w:rsidRPr="00572D1D" w:rsidR="003C0471">
        <w:t xml:space="preserve">  </w:t>
      </w:r>
      <w:r w:rsidRPr="00572D1D" w:rsidR="00DC41B0">
        <w:rPr>
          <w:i/>
          <w:iCs/>
        </w:rPr>
        <w:t xml:space="preserve">Palermo </w:t>
      </w:r>
      <w:r w:rsidRPr="00572D1D" w:rsidR="009C5FBB">
        <w:t>reasoned</w:t>
      </w:r>
      <w:r w:rsidRPr="00572D1D" w:rsidR="00DC41B0">
        <w:t xml:space="preserve"> that</w:t>
      </w:r>
      <w:r w:rsidRPr="00572D1D" w:rsidR="003A3416">
        <w:t xml:space="preserve"> “in view of the fact that there is grave doubt whether our Legislature could constitutionally delegate to the treaty-making authority of the United States the right and power thus directly to control our local legislation with respect to future acts [citations], we are constrained to hold that the reference is specific and not general’ ” (</w:t>
      </w:r>
      <w:r w:rsidR="004E198A">
        <w:rPr>
          <w:i/>
          <w:iCs/>
        </w:rPr>
        <w:t>i</w:t>
      </w:r>
      <w:r w:rsidRPr="00572D1D" w:rsidR="003A3416">
        <w:rPr>
          <w:i/>
          <w:iCs/>
        </w:rPr>
        <w:t>d</w:t>
      </w:r>
      <w:r w:rsidRPr="00572D1D" w:rsidR="003A3416">
        <w:t>. at</w:t>
      </w:r>
      <w:r w:rsidR="009257AA">
        <w:t xml:space="preserve"> pp. </w:t>
      </w:r>
      <w:r w:rsidRPr="00572D1D" w:rsidR="003A3416">
        <w:t>59–60)</w:t>
      </w:r>
      <w:r w:rsidR="004E198A">
        <w:t>, even though the act did not refer to any specific treaty.</w:t>
      </w:r>
      <w:r w:rsidRPr="00572D1D" w:rsidR="003A3416">
        <w:t xml:space="preserve">  </w:t>
      </w:r>
      <w:r w:rsidRPr="00572D1D" w:rsidR="00FD0B9A">
        <w:t>W</w:t>
      </w:r>
      <w:r w:rsidRPr="00572D1D" w:rsidR="003A3416">
        <w:t xml:space="preserve">e have observed that “[s]everal modern decisions have applied the </w:t>
      </w:r>
      <w:r w:rsidRPr="00572D1D" w:rsidR="003A3416">
        <w:rPr>
          <w:i/>
          <w:iCs/>
        </w:rPr>
        <w:t>Palermo</w:t>
      </w:r>
      <w:r w:rsidRPr="00572D1D" w:rsidR="003A3416">
        <w:t xml:space="preserve"> rule, but none have done so without regard to other indicia of legislative intent.”  (</w:t>
      </w:r>
      <w:r w:rsidRPr="00572D1D" w:rsidR="003A3416">
        <w:rPr>
          <w:i/>
          <w:iCs/>
        </w:rPr>
        <w:t>In re Jovan B.</w:t>
      </w:r>
      <w:r w:rsidRPr="00572D1D" w:rsidR="003A3416">
        <w:t xml:space="preserve"> (1993) 6 Cal.4th 801, 816, fn. 10</w:t>
      </w:r>
      <w:r w:rsidR="00F7062F">
        <w:t xml:space="preserve"> (</w:t>
      </w:r>
      <w:r w:rsidR="00F7062F">
        <w:rPr>
          <w:i/>
          <w:iCs/>
        </w:rPr>
        <w:t>Jovan B.</w:t>
      </w:r>
      <w:r w:rsidR="00F7062F">
        <w:t>)</w:t>
      </w:r>
      <w:r w:rsidR="004E198A">
        <w:t xml:space="preserve">; see </w:t>
      </w:r>
      <w:r w:rsidR="004E198A">
        <w:rPr>
          <w:i/>
          <w:iCs/>
        </w:rPr>
        <w:t>id.</w:t>
      </w:r>
      <w:r w:rsidR="004E198A">
        <w:t xml:space="preserve"> at p. 816 [</w:t>
      </w:r>
      <w:r w:rsidRPr="00572D1D" w:rsidR="00B61D10">
        <w:t>“</w:t>
      </w:r>
      <w:r w:rsidR="005B729F">
        <w:rPr>
          <w:iCs/>
          <w:szCs w:val="26"/>
        </w:rPr>
        <w:t> </w:t>
      </w:r>
      <w:r w:rsidRPr="00572D1D" w:rsidR="00AF7428">
        <w:rPr>
          <w:iCs/>
          <w:szCs w:val="26"/>
        </w:rPr>
        <w:t>‘the determining factor will be . . . legislative intent’ ”</w:t>
      </w:r>
      <w:r w:rsidR="004E198A">
        <w:rPr>
          <w:iCs/>
          <w:szCs w:val="26"/>
        </w:rPr>
        <w:t>]</w:t>
      </w:r>
      <w:r w:rsidRPr="00572D1D" w:rsidR="00AF7428">
        <w:rPr>
          <w:iCs/>
          <w:szCs w:val="26"/>
        </w:rPr>
        <w:t>.)</w:t>
      </w:r>
    </w:p>
    <w:p w:rsidR="00AF7428" w:rsidRPr="00572D1D" w:rsidP="00572D1D" w14:paraId="163A979E" w14:textId="77777777">
      <w:pPr>
        <w:pStyle w:val="Body"/>
        <w:spacing w:line="400" w:lineRule="exact"/>
        <w:rPr>
          <w:iCs/>
        </w:rPr>
      </w:pPr>
      <w:r w:rsidRPr="00572D1D">
        <w:rPr>
          <w:iCs/>
          <w:szCs w:val="26"/>
        </w:rPr>
        <w:t xml:space="preserve">Our application of the </w:t>
      </w:r>
      <w:r w:rsidRPr="00572D1D" w:rsidR="008E4747">
        <w:rPr>
          <w:i/>
          <w:szCs w:val="26"/>
        </w:rPr>
        <w:t>Palermo</w:t>
      </w:r>
      <w:r w:rsidRPr="00572D1D">
        <w:rPr>
          <w:iCs/>
          <w:szCs w:val="26"/>
        </w:rPr>
        <w:t xml:space="preserve"> </w:t>
      </w:r>
      <w:r w:rsidRPr="00572D1D" w:rsidR="00C35788">
        <w:rPr>
          <w:iCs/>
          <w:szCs w:val="26"/>
        </w:rPr>
        <w:t xml:space="preserve">rule </w:t>
      </w:r>
      <w:r w:rsidRPr="00572D1D" w:rsidR="00D95D32">
        <w:rPr>
          <w:iCs/>
          <w:szCs w:val="26"/>
        </w:rPr>
        <w:t xml:space="preserve">in </w:t>
      </w:r>
      <w:r w:rsidRPr="00572D1D" w:rsidR="00D95D32">
        <w:rPr>
          <w:i/>
          <w:szCs w:val="26"/>
        </w:rPr>
        <w:t xml:space="preserve">Jovan B. </w:t>
      </w:r>
      <w:r w:rsidRPr="00572D1D" w:rsidR="008E4747">
        <w:rPr>
          <w:iCs/>
          <w:szCs w:val="26"/>
        </w:rPr>
        <w:t>is instructive</w:t>
      </w:r>
      <w:r w:rsidRPr="00572D1D" w:rsidR="00261AFC">
        <w:rPr>
          <w:iCs/>
          <w:szCs w:val="26"/>
        </w:rPr>
        <w:t xml:space="preserve">.  </w:t>
      </w:r>
      <w:r w:rsidRPr="00572D1D">
        <w:rPr>
          <w:iCs/>
          <w:szCs w:val="26"/>
        </w:rPr>
        <w:t>In</w:t>
      </w:r>
      <w:r w:rsidRPr="00572D1D" w:rsidR="00D95D32">
        <w:rPr>
          <w:iCs/>
          <w:szCs w:val="26"/>
        </w:rPr>
        <w:t xml:space="preserve"> that case</w:t>
      </w:r>
      <w:r w:rsidRPr="00572D1D">
        <w:rPr>
          <w:iCs/>
          <w:szCs w:val="26"/>
        </w:rPr>
        <w:t xml:space="preserve">, </w:t>
      </w:r>
      <w:r w:rsidR="00BB53B0">
        <w:rPr>
          <w:iCs/>
          <w:szCs w:val="26"/>
        </w:rPr>
        <w:t xml:space="preserve">we considered </w:t>
      </w:r>
      <w:r w:rsidR="00CB0AE5">
        <w:rPr>
          <w:iCs/>
          <w:szCs w:val="26"/>
        </w:rPr>
        <w:t>legislation that</w:t>
      </w:r>
      <w:r w:rsidRPr="00572D1D">
        <w:rPr>
          <w:iCs/>
          <w:szCs w:val="26"/>
        </w:rPr>
        <w:t xml:space="preserve"> incorporated </w:t>
      </w:r>
      <w:r w:rsidRPr="00572D1D" w:rsidR="00C4710B">
        <w:rPr>
          <w:iCs/>
          <w:szCs w:val="26"/>
        </w:rPr>
        <w:t xml:space="preserve">by reference </w:t>
      </w:r>
      <w:r w:rsidR="009A4FAE">
        <w:rPr>
          <w:iCs/>
          <w:szCs w:val="26"/>
        </w:rPr>
        <w:t xml:space="preserve">a provision of </w:t>
      </w:r>
      <w:r w:rsidRPr="00572D1D" w:rsidR="009A4FAE">
        <w:rPr>
          <w:iCs/>
          <w:szCs w:val="26"/>
        </w:rPr>
        <w:t xml:space="preserve">the </w:t>
      </w:r>
      <w:r w:rsidRPr="0052065B" w:rsidR="009A4FAE">
        <w:rPr>
          <w:iCs/>
          <w:szCs w:val="26"/>
        </w:rPr>
        <w:t>Uniform Determinate Sentencing Act </w:t>
      </w:r>
      <w:r w:rsidR="009A4FAE">
        <w:rPr>
          <w:iCs/>
          <w:szCs w:val="26"/>
        </w:rPr>
        <w:t>(</w:t>
      </w:r>
      <w:r w:rsidRPr="003E01FC" w:rsidR="009A4FAE">
        <w:rPr>
          <w:iCs/>
          <w:szCs w:val="26"/>
        </w:rPr>
        <w:t>§</w:t>
      </w:r>
      <w:r w:rsidR="009A4FAE">
        <w:rPr>
          <w:iCs/>
          <w:szCs w:val="26"/>
        </w:rPr>
        <w:t xml:space="preserve"> 1170 et seq.), commonly referred to as the determinate sentencing law (DSL), </w:t>
      </w:r>
      <w:r w:rsidRPr="00572D1D">
        <w:rPr>
          <w:iCs/>
          <w:szCs w:val="26"/>
        </w:rPr>
        <w:t>into section 726 of the Welfare and Institutions Code as a basis for calculating a juvenile’s maximum time of confinement or commitment</w:t>
      </w:r>
      <w:r w:rsidRPr="00572D1D" w:rsidR="00D95D32">
        <w:rPr>
          <w:iCs/>
          <w:szCs w:val="26"/>
        </w:rPr>
        <w:t>.  T</w:t>
      </w:r>
      <w:r w:rsidRPr="00572D1D">
        <w:rPr>
          <w:iCs/>
          <w:szCs w:val="26"/>
        </w:rPr>
        <w:t xml:space="preserve">he question was whether the Legislature intended to lock in the provisions of the </w:t>
      </w:r>
      <w:r w:rsidRPr="00572D1D" w:rsidR="00C43CA8">
        <w:rPr>
          <w:iCs/>
          <w:szCs w:val="26"/>
        </w:rPr>
        <w:t>DS</w:t>
      </w:r>
      <w:r w:rsidR="00C43CA8">
        <w:rPr>
          <w:iCs/>
          <w:szCs w:val="26"/>
        </w:rPr>
        <w:t>L</w:t>
      </w:r>
      <w:r w:rsidRPr="00572D1D" w:rsidR="00C43CA8">
        <w:rPr>
          <w:iCs/>
          <w:szCs w:val="26"/>
        </w:rPr>
        <w:t xml:space="preserve"> </w:t>
      </w:r>
      <w:r w:rsidRPr="00572D1D">
        <w:rPr>
          <w:iCs/>
          <w:szCs w:val="26"/>
        </w:rPr>
        <w:t>in effect at the time</w:t>
      </w:r>
      <w:r w:rsidRPr="00572D1D" w:rsidR="00D95D32">
        <w:rPr>
          <w:iCs/>
          <w:szCs w:val="26"/>
        </w:rPr>
        <w:t xml:space="preserve">.  </w:t>
      </w:r>
      <w:r w:rsidRPr="00572D1D">
        <w:rPr>
          <w:iCs/>
          <w:szCs w:val="26"/>
        </w:rPr>
        <w:t>(</w:t>
      </w:r>
      <w:r w:rsidRPr="00572D1D">
        <w:rPr>
          <w:i/>
          <w:iCs/>
          <w:szCs w:val="26"/>
        </w:rPr>
        <w:t>Jovan B.</w:t>
      </w:r>
      <w:r w:rsidRPr="00572D1D">
        <w:rPr>
          <w:iCs/>
          <w:szCs w:val="26"/>
        </w:rPr>
        <w:t xml:space="preserve">, </w:t>
      </w:r>
      <w:r w:rsidRPr="00572D1D">
        <w:rPr>
          <w:i/>
          <w:iCs/>
          <w:szCs w:val="26"/>
        </w:rPr>
        <w:t>supra</w:t>
      </w:r>
      <w:r w:rsidRPr="00572D1D">
        <w:rPr>
          <w:iCs/>
          <w:szCs w:val="26"/>
        </w:rPr>
        <w:t>, 6 Cal.4th at</w:t>
      </w:r>
      <w:r w:rsidR="009257AA">
        <w:rPr>
          <w:iCs/>
          <w:szCs w:val="26"/>
        </w:rPr>
        <w:t xml:space="preserve"> pp. </w:t>
      </w:r>
      <w:r w:rsidRPr="00572D1D">
        <w:rPr>
          <w:iCs/>
          <w:szCs w:val="26"/>
        </w:rPr>
        <w:t>815–816.)  We concluded that it did not</w:t>
      </w:r>
      <w:r w:rsidRPr="00572D1D" w:rsidR="00D95D32">
        <w:rPr>
          <w:iCs/>
          <w:szCs w:val="26"/>
        </w:rPr>
        <w:t xml:space="preserve"> and held that a juvenile’s maximum time of confinement or commitment takes into account enhanced penalties incorporated into the </w:t>
      </w:r>
      <w:r w:rsidRPr="00572D1D" w:rsidR="00C43CA8">
        <w:rPr>
          <w:iCs/>
          <w:szCs w:val="26"/>
        </w:rPr>
        <w:t>DS</w:t>
      </w:r>
      <w:r w:rsidR="00C43CA8">
        <w:rPr>
          <w:iCs/>
          <w:szCs w:val="26"/>
        </w:rPr>
        <w:t>L</w:t>
      </w:r>
      <w:r w:rsidRPr="00572D1D" w:rsidR="00C43CA8">
        <w:rPr>
          <w:iCs/>
          <w:szCs w:val="26"/>
        </w:rPr>
        <w:t xml:space="preserve"> </w:t>
      </w:r>
      <w:r w:rsidRPr="00572D1D" w:rsidR="00D95D32">
        <w:rPr>
          <w:iCs/>
          <w:szCs w:val="26"/>
        </w:rPr>
        <w:t xml:space="preserve">after </w:t>
      </w:r>
      <w:r w:rsidR="00F7062F">
        <w:rPr>
          <w:iCs/>
          <w:szCs w:val="26"/>
        </w:rPr>
        <w:t xml:space="preserve">Welfare and Institutions Code </w:t>
      </w:r>
      <w:r w:rsidRPr="00572D1D" w:rsidR="00D95D32">
        <w:rPr>
          <w:iCs/>
          <w:szCs w:val="26"/>
        </w:rPr>
        <w:t>section 726 was enacted</w:t>
      </w:r>
      <w:r w:rsidRPr="00572D1D">
        <w:rPr>
          <w:iCs/>
          <w:szCs w:val="26"/>
        </w:rPr>
        <w:t>.</w:t>
      </w:r>
      <w:r w:rsidRPr="00572D1D" w:rsidR="00D95D32">
        <w:rPr>
          <w:iCs/>
          <w:szCs w:val="26"/>
        </w:rPr>
        <w:t xml:space="preserve">  (</w:t>
      </w:r>
      <w:r w:rsidRPr="00572D1D" w:rsidR="00D95D32">
        <w:rPr>
          <w:i/>
          <w:szCs w:val="26"/>
        </w:rPr>
        <w:t>Jovan B.</w:t>
      </w:r>
      <w:r w:rsidRPr="00572D1D" w:rsidR="00D95D32">
        <w:rPr>
          <w:iCs/>
          <w:szCs w:val="26"/>
        </w:rPr>
        <w:t>, at</w:t>
      </w:r>
      <w:r w:rsidR="009257AA">
        <w:rPr>
          <w:iCs/>
          <w:szCs w:val="26"/>
        </w:rPr>
        <w:t xml:space="preserve"> pp. </w:t>
      </w:r>
      <w:r w:rsidRPr="00572D1D" w:rsidR="00454D19">
        <w:rPr>
          <w:iCs/>
          <w:szCs w:val="26"/>
        </w:rPr>
        <w:t>816, 820</w:t>
      </w:r>
      <w:r w:rsidRPr="00572D1D" w:rsidR="00D95D32">
        <w:rPr>
          <w:iCs/>
          <w:szCs w:val="26"/>
        </w:rPr>
        <w:t>.)</w:t>
      </w:r>
      <w:r w:rsidRPr="00572D1D">
        <w:rPr>
          <w:iCs/>
          <w:szCs w:val="26"/>
        </w:rPr>
        <w:t xml:space="preserve">  We explained that </w:t>
      </w:r>
      <w:r w:rsidRPr="00572D1D" w:rsidR="00DF5110">
        <w:rPr>
          <w:iCs/>
          <w:szCs w:val="26"/>
        </w:rPr>
        <w:t>al</w:t>
      </w:r>
      <w:r w:rsidRPr="00572D1D">
        <w:rPr>
          <w:iCs/>
          <w:szCs w:val="26"/>
        </w:rPr>
        <w:t xml:space="preserve">though </w:t>
      </w:r>
      <w:r w:rsidR="00F7062F">
        <w:rPr>
          <w:iCs/>
          <w:szCs w:val="26"/>
        </w:rPr>
        <w:t>the statute</w:t>
      </w:r>
      <w:r w:rsidRPr="00572D1D">
        <w:rPr>
          <w:iCs/>
          <w:szCs w:val="26"/>
        </w:rPr>
        <w:t xml:space="preserve"> referred to two specific provisions of the </w:t>
      </w:r>
      <w:r w:rsidRPr="00572D1D" w:rsidR="00C43CA8">
        <w:rPr>
          <w:iCs/>
          <w:szCs w:val="26"/>
        </w:rPr>
        <w:t>DS</w:t>
      </w:r>
      <w:r w:rsidR="00C43CA8">
        <w:rPr>
          <w:iCs/>
          <w:szCs w:val="26"/>
        </w:rPr>
        <w:t>L</w:t>
      </w:r>
      <w:r w:rsidRPr="00572D1D" w:rsidR="00C43CA8">
        <w:rPr>
          <w:iCs/>
          <w:szCs w:val="26"/>
        </w:rPr>
        <w:t xml:space="preserve"> </w:t>
      </w:r>
      <w:r w:rsidR="001609A7">
        <w:rPr>
          <w:iCs/>
          <w:szCs w:val="26"/>
        </w:rPr>
        <w:t>(</w:t>
      </w:r>
      <w:r w:rsidR="00793933">
        <w:rPr>
          <w:szCs w:val="26"/>
        </w:rPr>
        <w:t>§</w:t>
      </w:r>
      <w:r w:rsidRPr="00572D1D">
        <w:rPr>
          <w:iCs/>
          <w:szCs w:val="26"/>
        </w:rPr>
        <w:t xml:space="preserve"> 1170, subd</w:t>
      </w:r>
      <w:r w:rsidR="00793933">
        <w:rPr>
          <w:iCs/>
          <w:szCs w:val="26"/>
        </w:rPr>
        <w:t>.</w:t>
      </w:r>
      <w:r w:rsidRPr="00572D1D">
        <w:rPr>
          <w:iCs/>
          <w:szCs w:val="26"/>
        </w:rPr>
        <w:t xml:space="preserve"> (a)(2) and </w:t>
      </w:r>
      <w:r w:rsidR="00793933">
        <w:rPr>
          <w:szCs w:val="26"/>
        </w:rPr>
        <w:t>§</w:t>
      </w:r>
      <w:r w:rsidRPr="00572D1D" w:rsidR="00DF5110">
        <w:rPr>
          <w:iCs/>
          <w:szCs w:val="26"/>
        </w:rPr>
        <w:t xml:space="preserve"> </w:t>
      </w:r>
      <w:r w:rsidRPr="00572D1D">
        <w:rPr>
          <w:iCs/>
          <w:szCs w:val="26"/>
        </w:rPr>
        <w:t>1170.1, subd</w:t>
      </w:r>
      <w:r w:rsidR="00793933">
        <w:rPr>
          <w:iCs/>
          <w:szCs w:val="26"/>
        </w:rPr>
        <w:t>.</w:t>
      </w:r>
      <w:r w:rsidRPr="00572D1D">
        <w:rPr>
          <w:iCs/>
          <w:szCs w:val="26"/>
        </w:rPr>
        <w:t xml:space="preserve"> (a)</w:t>
      </w:r>
      <w:r w:rsidR="001609A7">
        <w:rPr>
          <w:iCs/>
          <w:szCs w:val="26"/>
        </w:rPr>
        <w:t>)</w:t>
      </w:r>
      <w:r w:rsidRPr="00572D1D">
        <w:rPr>
          <w:iCs/>
          <w:szCs w:val="26"/>
        </w:rPr>
        <w:t xml:space="preserve"> those provisions merely “stated the general rule that when sentencing a felon to prison, the court must impose either the upper, middle, or lower term provided for the offense at issue, plus ‘any other . . . additional term’ required or permitted by law in the individual case.”  (</w:t>
      </w:r>
      <w:r w:rsidRPr="00572D1D">
        <w:rPr>
          <w:i/>
          <w:iCs/>
          <w:szCs w:val="26"/>
        </w:rPr>
        <w:t>Jovan B.</w:t>
      </w:r>
      <w:r w:rsidRPr="00572D1D">
        <w:rPr>
          <w:iCs/>
          <w:szCs w:val="26"/>
        </w:rPr>
        <w:t>, at</w:t>
      </w:r>
      <w:r w:rsidR="009257AA">
        <w:rPr>
          <w:iCs/>
          <w:szCs w:val="26"/>
        </w:rPr>
        <w:t xml:space="preserve"> p. </w:t>
      </w:r>
      <w:r w:rsidRPr="00572D1D">
        <w:rPr>
          <w:iCs/>
          <w:szCs w:val="26"/>
        </w:rPr>
        <w:t>818.)  “Thus, in the language of </w:t>
      </w:r>
      <w:r w:rsidRPr="00572D1D">
        <w:rPr>
          <w:i/>
          <w:iCs/>
          <w:szCs w:val="26"/>
        </w:rPr>
        <w:t>Palermo</w:t>
      </w:r>
      <w:r w:rsidRPr="00572D1D">
        <w:rPr>
          <w:iCs/>
          <w:szCs w:val="26"/>
        </w:rPr>
        <w:t>, </w:t>
      </w:r>
      <w:r w:rsidRPr="00572D1D">
        <w:rPr>
          <w:i/>
          <w:iCs/>
          <w:szCs w:val="26"/>
        </w:rPr>
        <w:t>supra</w:t>
      </w:r>
      <w:r w:rsidRPr="00572D1D">
        <w:rPr>
          <w:iCs/>
          <w:szCs w:val="26"/>
        </w:rPr>
        <w:t xml:space="preserve">, 32 Cal.2d 53, 58–59, Welfare </w:t>
      </w:r>
      <w:r w:rsidR="00793933">
        <w:rPr>
          <w:iCs/>
          <w:szCs w:val="26"/>
        </w:rPr>
        <w:t>and</w:t>
      </w:r>
      <w:r w:rsidRPr="00572D1D">
        <w:rPr>
          <w:iCs/>
          <w:szCs w:val="26"/>
        </w:rPr>
        <w:t xml:space="preserve"> Institutions Code section 726’s reference to Penal Code sections 1170, subdivision (a)(2) and 1170.1, subdivision (</w:t>
      </w:r>
      <w:r w:rsidRPr="00572D1D" w:rsidR="007030EF">
        <w:rPr>
          <w:iCs/>
          <w:szCs w:val="26"/>
        </w:rPr>
        <w:t>a</w:t>
      </w:r>
      <w:r w:rsidRPr="00572D1D">
        <w:rPr>
          <w:iCs/>
          <w:szCs w:val="26"/>
        </w:rPr>
        <w:t>) is not a ‘specific reference [to] the provisions of another statute,’ but rather is a ‘general’ reference ‘to a system or body of laws.’ ”  (</w:t>
      </w:r>
      <w:r w:rsidRPr="00572D1D">
        <w:rPr>
          <w:i/>
          <w:iCs/>
          <w:szCs w:val="26"/>
        </w:rPr>
        <w:t>Jovan B.</w:t>
      </w:r>
      <w:r w:rsidRPr="00572D1D">
        <w:rPr>
          <w:iCs/>
          <w:szCs w:val="26"/>
        </w:rPr>
        <w:t>, at</w:t>
      </w:r>
      <w:r w:rsidR="009257AA">
        <w:rPr>
          <w:iCs/>
          <w:szCs w:val="26"/>
        </w:rPr>
        <w:t xml:space="preserve"> p. </w:t>
      </w:r>
      <w:r w:rsidRPr="00572D1D">
        <w:rPr>
          <w:iCs/>
          <w:szCs w:val="26"/>
        </w:rPr>
        <w:t>819.)</w:t>
      </w:r>
    </w:p>
    <w:p w:rsidR="00A95A7B" w:rsidRPr="00572D1D" w:rsidP="00572D1D" w14:paraId="163A979F" w14:textId="77777777">
      <w:pPr>
        <w:pStyle w:val="Body"/>
        <w:spacing w:line="400" w:lineRule="exact"/>
        <w:rPr>
          <w:iCs/>
          <w:szCs w:val="26"/>
        </w:rPr>
      </w:pPr>
      <w:r w:rsidRPr="00572D1D">
        <w:rPr>
          <w:i/>
          <w:iCs/>
          <w:szCs w:val="26"/>
        </w:rPr>
        <w:t>Jovan B.</w:t>
      </w:r>
      <w:r w:rsidRPr="00572D1D">
        <w:rPr>
          <w:iCs/>
          <w:szCs w:val="26"/>
        </w:rPr>
        <w:t xml:space="preserve"> went on to consider the purpose of the amendment of Welfare and Institutions Code section 726, which “states a broad general rule that the ‘maximum term of imprisonment’ for juvenile confinement purposes includes ‘enhancements’ if they are pled and proven.”  (</w:t>
      </w:r>
      <w:r w:rsidRPr="00572D1D">
        <w:rPr>
          <w:i/>
          <w:iCs/>
          <w:szCs w:val="26"/>
        </w:rPr>
        <w:t>Jovan B.</w:t>
      </w:r>
      <w:r w:rsidRPr="00572D1D">
        <w:rPr>
          <w:iCs/>
          <w:szCs w:val="26"/>
        </w:rPr>
        <w:t xml:space="preserve">, </w:t>
      </w:r>
      <w:r w:rsidRPr="00572D1D">
        <w:rPr>
          <w:i/>
          <w:iCs/>
          <w:szCs w:val="26"/>
        </w:rPr>
        <w:t>supra</w:t>
      </w:r>
      <w:r w:rsidRPr="00572D1D">
        <w:rPr>
          <w:iCs/>
          <w:szCs w:val="26"/>
        </w:rPr>
        <w:t>, 6 Cal.4th at</w:t>
      </w:r>
      <w:r w:rsidR="009257AA">
        <w:rPr>
          <w:iCs/>
          <w:szCs w:val="26"/>
        </w:rPr>
        <w:t xml:space="preserve"> p. </w:t>
      </w:r>
      <w:r w:rsidRPr="00572D1D">
        <w:rPr>
          <w:iCs/>
          <w:szCs w:val="26"/>
        </w:rPr>
        <w:t>819.)  “The obvious purpose . . . was ‘to treat adult and juvenile offenders on equal footing as far as the [maximum] duration of their incarceration is concerned’ [citation], whatever that period might be at the moment.”  (</w:t>
      </w:r>
      <w:r w:rsidRPr="00572D1D">
        <w:rPr>
          <w:i/>
          <w:iCs/>
          <w:szCs w:val="26"/>
        </w:rPr>
        <w:t>Ibid.</w:t>
      </w:r>
      <w:r w:rsidRPr="00572D1D">
        <w:rPr>
          <w:iCs/>
          <w:szCs w:val="26"/>
        </w:rPr>
        <w:t>)  We concluded:  “The Legislature cannot have anticipated that in order to preserve this equality over time, it would be forced to amend section 726 each and every time it altered the DSA.”  (</w:t>
      </w:r>
      <w:r w:rsidR="005B729F">
        <w:rPr>
          <w:i/>
          <w:szCs w:val="26"/>
        </w:rPr>
        <w:t>Ibid</w:t>
      </w:r>
      <w:r w:rsidRPr="00572D1D">
        <w:rPr>
          <w:iCs/>
          <w:szCs w:val="26"/>
        </w:rPr>
        <w:t>.)</w:t>
      </w:r>
      <w:r w:rsidRPr="00572D1D" w:rsidR="00C46AE6">
        <w:rPr>
          <w:iCs/>
          <w:szCs w:val="26"/>
        </w:rPr>
        <w:t xml:space="preserve">  </w:t>
      </w:r>
      <w:r w:rsidRPr="00572D1D" w:rsidR="00D95D32">
        <w:rPr>
          <w:iCs/>
          <w:szCs w:val="26"/>
        </w:rPr>
        <w:t xml:space="preserve">In light of </w:t>
      </w:r>
      <w:r w:rsidRPr="00572D1D" w:rsidR="00F14D1A">
        <w:rPr>
          <w:iCs/>
          <w:szCs w:val="26"/>
        </w:rPr>
        <w:t xml:space="preserve">this </w:t>
      </w:r>
      <w:r w:rsidRPr="00572D1D" w:rsidR="00D95D32">
        <w:rPr>
          <w:iCs/>
          <w:szCs w:val="26"/>
        </w:rPr>
        <w:t>determination</w:t>
      </w:r>
      <w:r w:rsidRPr="00572D1D" w:rsidR="00F14D1A">
        <w:rPr>
          <w:iCs/>
          <w:szCs w:val="26"/>
        </w:rPr>
        <w:t>, we held that the juvenile was subject to the special allegation under Penal Code section 12022.1 that he had committed the offense in question while out of custody pending trial on a prior petition</w:t>
      </w:r>
      <w:r w:rsidRPr="00572D1D" w:rsidR="00D95D32">
        <w:rPr>
          <w:iCs/>
          <w:szCs w:val="26"/>
        </w:rPr>
        <w:t>,</w:t>
      </w:r>
      <w:r w:rsidRPr="00572D1D" w:rsidR="00552AD3">
        <w:rPr>
          <w:iCs/>
          <w:szCs w:val="26"/>
        </w:rPr>
        <w:t xml:space="preserve"> even though </w:t>
      </w:r>
      <w:r w:rsidRPr="00572D1D" w:rsidR="00F60C65">
        <w:rPr>
          <w:iCs/>
          <w:szCs w:val="26"/>
        </w:rPr>
        <w:t xml:space="preserve">that </w:t>
      </w:r>
      <w:r w:rsidRPr="00572D1D" w:rsidR="00197FC2">
        <w:rPr>
          <w:iCs/>
          <w:szCs w:val="26"/>
        </w:rPr>
        <w:t>provision of the Penal Code</w:t>
      </w:r>
      <w:r w:rsidRPr="00572D1D" w:rsidR="00F60C65">
        <w:rPr>
          <w:iCs/>
          <w:szCs w:val="26"/>
        </w:rPr>
        <w:t xml:space="preserve"> was enacted </w:t>
      </w:r>
      <w:r w:rsidRPr="00572D1D" w:rsidR="00BD420C">
        <w:rPr>
          <w:iCs/>
          <w:szCs w:val="26"/>
        </w:rPr>
        <w:t xml:space="preserve">five years after </w:t>
      </w:r>
      <w:r w:rsidRPr="00572D1D" w:rsidR="005B729F">
        <w:rPr>
          <w:iCs/>
          <w:szCs w:val="26"/>
        </w:rPr>
        <w:t xml:space="preserve">Welfare and Institutions Code </w:t>
      </w:r>
      <w:r w:rsidRPr="00572D1D" w:rsidR="00197FC2">
        <w:rPr>
          <w:iCs/>
          <w:szCs w:val="26"/>
        </w:rPr>
        <w:t>section 726.</w:t>
      </w:r>
      <w:r w:rsidRPr="00572D1D" w:rsidR="00F14D1A">
        <w:rPr>
          <w:iCs/>
          <w:szCs w:val="26"/>
        </w:rPr>
        <w:t xml:space="preserve">  (</w:t>
      </w:r>
      <w:r w:rsidRPr="00572D1D" w:rsidR="00F14D1A">
        <w:rPr>
          <w:i/>
          <w:szCs w:val="26"/>
        </w:rPr>
        <w:t>Jovan B.</w:t>
      </w:r>
      <w:r w:rsidRPr="00572D1D" w:rsidR="00F14D1A">
        <w:rPr>
          <w:iCs/>
          <w:szCs w:val="26"/>
        </w:rPr>
        <w:t xml:space="preserve">, </w:t>
      </w:r>
      <w:r w:rsidRPr="00572D1D" w:rsidR="00601718">
        <w:rPr>
          <w:iCs/>
          <w:szCs w:val="26"/>
        </w:rPr>
        <w:t>at</w:t>
      </w:r>
      <w:r w:rsidR="009257AA">
        <w:rPr>
          <w:iCs/>
          <w:szCs w:val="26"/>
        </w:rPr>
        <w:t xml:space="preserve"> pp. </w:t>
      </w:r>
      <w:r w:rsidRPr="00572D1D" w:rsidR="00F14D1A">
        <w:rPr>
          <w:iCs/>
          <w:szCs w:val="26"/>
        </w:rPr>
        <w:t>807–808</w:t>
      </w:r>
      <w:r w:rsidRPr="00572D1D" w:rsidR="00D565B4">
        <w:rPr>
          <w:iCs/>
          <w:szCs w:val="26"/>
        </w:rPr>
        <w:t>, 815</w:t>
      </w:r>
      <w:r w:rsidRPr="00572D1D" w:rsidR="00F14D1A">
        <w:rPr>
          <w:iCs/>
          <w:szCs w:val="26"/>
        </w:rPr>
        <w:t xml:space="preserve">.) </w:t>
      </w:r>
    </w:p>
    <w:p w:rsidR="00AF7428" w:rsidRPr="00572D1D" w:rsidP="00572D1D" w14:paraId="163A97A0" w14:textId="77777777">
      <w:pPr>
        <w:pStyle w:val="Body"/>
        <w:spacing w:line="400" w:lineRule="exact"/>
        <w:rPr>
          <w:iCs/>
          <w:szCs w:val="26"/>
        </w:rPr>
      </w:pPr>
      <w:r w:rsidRPr="00572D1D">
        <w:rPr>
          <w:iCs/>
          <w:szCs w:val="26"/>
        </w:rPr>
        <w:t xml:space="preserve">Here, as in </w:t>
      </w:r>
      <w:r w:rsidRPr="00572D1D">
        <w:rPr>
          <w:i/>
          <w:iCs/>
          <w:szCs w:val="26"/>
        </w:rPr>
        <w:t>Jovan B.</w:t>
      </w:r>
      <w:r w:rsidRPr="00572D1D">
        <w:rPr>
          <w:iCs/>
          <w:szCs w:val="26"/>
        </w:rPr>
        <w:t>, the words of the incorporating statute “do not make clear whether it contemplates only a time-specific incorporation.”  (</w:t>
      </w:r>
      <w:r w:rsidRPr="00572D1D">
        <w:rPr>
          <w:i/>
          <w:iCs/>
          <w:szCs w:val="26"/>
        </w:rPr>
        <w:t>Jovan B.</w:t>
      </w:r>
      <w:r w:rsidRPr="00572D1D">
        <w:rPr>
          <w:iCs/>
          <w:szCs w:val="26"/>
        </w:rPr>
        <w:t xml:space="preserve">, </w:t>
      </w:r>
      <w:r w:rsidRPr="00572D1D">
        <w:rPr>
          <w:i/>
          <w:szCs w:val="26"/>
        </w:rPr>
        <w:t>supra</w:t>
      </w:r>
      <w:r w:rsidRPr="00572D1D">
        <w:rPr>
          <w:iCs/>
          <w:szCs w:val="26"/>
        </w:rPr>
        <w:t>, 6 Cal.4th at</w:t>
      </w:r>
      <w:r w:rsidR="009257AA">
        <w:rPr>
          <w:iCs/>
          <w:szCs w:val="26"/>
        </w:rPr>
        <w:t xml:space="preserve"> p. </w:t>
      </w:r>
      <w:r w:rsidRPr="00572D1D">
        <w:rPr>
          <w:iCs/>
          <w:szCs w:val="26"/>
        </w:rPr>
        <w:t>816.)  The initiative’s uncodified findings and declarations state:  “Gang-related crimes pose a unique threat to the public because of gang members’ organization and solidarity.  Gang-related felonies should result in severe penalties.  Life without the possibility of parole or death should be available for murderers who kill as part of any gang-related activity.”  (</w:t>
      </w:r>
      <w:r w:rsidR="005B729F">
        <w:t>Voter Information Guide</w:t>
      </w:r>
      <w:r w:rsidRPr="00572D1D" w:rsidR="005B729F">
        <w:rPr>
          <w:color w:val="000000"/>
          <w:szCs w:val="26"/>
        </w:rPr>
        <w:t>, Primary Elec.</w:t>
      </w:r>
      <w:r w:rsidR="005B729F">
        <w:rPr>
          <w:color w:val="000000"/>
          <w:szCs w:val="26"/>
        </w:rPr>
        <w:t xml:space="preserve">, </w:t>
      </w:r>
      <w:r w:rsidR="005B729F">
        <w:rPr>
          <w:i/>
          <w:iCs/>
          <w:color w:val="000000"/>
          <w:szCs w:val="26"/>
        </w:rPr>
        <w:t>supra</w:t>
      </w:r>
      <w:r w:rsidR="005B729F">
        <w:rPr>
          <w:color w:val="000000"/>
          <w:szCs w:val="26"/>
        </w:rPr>
        <w:t>,</w:t>
      </w:r>
      <w:r w:rsidRPr="00572D1D" w:rsidR="005B729F">
        <w:rPr>
          <w:color w:val="000000"/>
          <w:szCs w:val="26"/>
        </w:rPr>
        <w:t xml:space="preserve"> text of </w:t>
      </w:r>
      <w:r w:rsidRPr="00572D1D">
        <w:rPr>
          <w:iCs/>
          <w:szCs w:val="26"/>
        </w:rPr>
        <w:t xml:space="preserve">Prop. 21, </w:t>
      </w:r>
      <w:r w:rsidR="009257AA">
        <w:rPr>
          <w:iCs/>
          <w:szCs w:val="26"/>
        </w:rPr>
        <w:t>§ </w:t>
      </w:r>
      <w:r w:rsidRPr="00572D1D">
        <w:rPr>
          <w:iCs/>
          <w:szCs w:val="26"/>
        </w:rPr>
        <w:t>2, subd. (h)</w:t>
      </w:r>
      <w:r w:rsidR="005B729F">
        <w:rPr>
          <w:iCs/>
          <w:szCs w:val="26"/>
        </w:rPr>
        <w:t>, p. 119</w:t>
      </w:r>
      <w:r w:rsidRPr="00572D1D">
        <w:rPr>
          <w:iCs/>
          <w:szCs w:val="26"/>
        </w:rPr>
        <w:t xml:space="preserve">.)  To that end, the electorate chose to impose a specific punishment for gang-related murder </w:t>
      </w:r>
      <w:r w:rsidRPr="00572D1D" w:rsidR="00214FAF">
        <w:rPr>
          <w:iCs/>
          <w:szCs w:val="26"/>
        </w:rPr>
        <w:t>while</w:t>
      </w:r>
      <w:r w:rsidRPr="00572D1D">
        <w:rPr>
          <w:iCs/>
          <w:szCs w:val="26"/>
        </w:rPr>
        <w:t xml:space="preserve"> rely</w:t>
      </w:r>
      <w:r w:rsidRPr="00572D1D" w:rsidR="00214FAF">
        <w:rPr>
          <w:iCs/>
          <w:szCs w:val="26"/>
        </w:rPr>
        <w:t>ing</w:t>
      </w:r>
      <w:r w:rsidRPr="00572D1D">
        <w:rPr>
          <w:iCs/>
          <w:szCs w:val="26"/>
        </w:rPr>
        <w:t xml:space="preserve"> on the generally applicable definition of “criminal street gang” in section 186.22(f).  </w:t>
      </w:r>
      <w:r w:rsidRPr="00572D1D" w:rsidR="0047630C">
        <w:rPr>
          <w:iCs/>
          <w:szCs w:val="26"/>
        </w:rPr>
        <w:t xml:space="preserve">The voters gave no indication in the statute that they intended to adopt the definition of “criminal street gang” in effect at the time.  </w:t>
      </w:r>
      <w:r w:rsidRPr="00572D1D">
        <w:rPr>
          <w:iCs/>
          <w:szCs w:val="26"/>
        </w:rPr>
        <w:t xml:space="preserve">Like the statutory references in </w:t>
      </w:r>
      <w:r w:rsidRPr="00572D1D">
        <w:rPr>
          <w:i/>
          <w:szCs w:val="26"/>
        </w:rPr>
        <w:t>Jovan B.</w:t>
      </w:r>
      <w:r w:rsidRPr="00572D1D">
        <w:rPr>
          <w:iCs/>
          <w:szCs w:val="26"/>
        </w:rPr>
        <w:t>, the reference to section 186.22(f)’s definition of “criminal street gang” in Proposition 21 is readily understood as a reference “to the general law relating to the subject in hand,” and as such, “the referring statute takes the law . . . referred to not only in [its] contemporary form, but also as [it] may be changed from time to time.”  (</w:t>
      </w:r>
      <w:r w:rsidRPr="00572D1D">
        <w:rPr>
          <w:i/>
          <w:szCs w:val="26"/>
        </w:rPr>
        <w:t>Palermo</w:t>
      </w:r>
      <w:r w:rsidRPr="00572D1D">
        <w:rPr>
          <w:iCs/>
          <w:szCs w:val="26"/>
        </w:rPr>
        <w:t xml:space="preserve">, </w:t>
      </w:r>
      <w:r w:rsidRPr="00572D1D">
        <w:rPr>
          <w:i/>
          <w:szCs w:val="26"/>
        </w:rPr>
        <w:t>supra</w:t>
      </w:r>
      <w:r w:rsidRPr="00572D1D">
        <w:rPr>
          <w:iCs/>
          <w:szCs w:val="26"/>
        </w:rPr>
        <w:t>, 32 Cal.2d at</w:t>
      </w:r>
      <w:r w:rsidR="009257AA">
        <w:rPr>
          <w:iCs/>
          <w:szCs w:val="26"/>
        </w:rPr>
        <w:t xml:space="preserve"> p. </w:t>
      </w:r>
      <w:r w:rsidRPr="00572D1D">
        <w:rPr>
          <w:iCs/>
          <w:szCs w:val="26"/>
        </w:rPr>
        <w:t>59.)</w:t>
      </w:r>
    </w:p>
    <w:p w:rsidR="00742B7D" w:rsidP="00572D1D" w14:paraId="163A97A1" w14:textId="77777777">
      <w:pPr>
        <w:pStyle w:val="Body"/>
        <w:spacing w:line="400" w:lineRule="exact"/>
        <w:rPr>
          <w:iCs/>
          <w:szCs w:val="26"/>
        </w:rPr>
      </w:pPr>
      <w:r w:rsidRPr="00572D1D">
        <w:rPr>
          <w:iCs/>
          <w:szCs w:val="26"/>
        </w:rPr>
        <w:t>The Attorney General argues</w:t>
      </w:r>
      <w:r w:rsidRPr="00572D1D">
        <w:t xml:space="preserve"> that </w:t>
      </w:r>
      <w:r w:rsidRPr="00572D1D" w:rsidR="00887D57">
        <w:t xml:space="preserve">the provisions at issue in </w:t>
      </w:r>
      <w:r w:rsidRPr="00572D1D" w:rsidR="00887D57">
        <w:rPr>
          <w:i/>
          <w:iCs/>
        </w:rPr>
        <w:t>Jovan B.</w:t>
      </w:r>
      <w:r w:rsidRPr="00572D1D" w:rsidR="00887D57">
        <w:t xml:space="preserve"> are “materially different” from those </w:t>
      </w:r>
      <w:r w:rsidRPr="00572D1D" w:rsidR="005004CC">
        <w:t xml:space="preserve">at issue here because </w:t>
      </w:r>
      <w:r w:rsidR="0051754A">
        <w:t>Proposition 21</w:t>
      </w:r>
      <w:r w:rsidRPr="00572D1D" w:rsidR="005004CC">
        <w:t xml:space="preserve"> refers “to a specific code section and subdivision defining a particular term” in contrast to the “general incorporation of an entire body or system of laws as in </w:t>
      </w:r>
      <w:r w:rsidRPr="00572D1D" w:rsidR="005004CC">
        <w:rPr>
          <w:i/>
          <w:iCs/>
        </w:rPr>
        <w:t>Jovan B</w:t>
      </w:r>
      <w:r w:rsidRPr="00572D1D" w:rsidR="005004CC">
        <w:t xml:space="preserve">.”  </w:t>
      </w:r>
      <w:r w:rsidRPr="00572D1D" w:rsidR="00175688">
        <w:t xml:space="preserve">But </w:t>
      </w:r>
      <w:r w:rsidRPr="00572D1D" w:rsidR="00FE0385">
        <w:t>section 186.22(f) sets for</w:t>
      </w:r>
      <w:r w:rsidRPr="00572D1D" w:rsidR="002648D1">
        <w:t>th</w:t>
      </w:r>
      <w:r w:rsidRPr="00572D1D" w:rsidR="00FE0385">
        <w:t xml:space="preserve"> the </w:t>
      </w:r>
      <w:r w:rsidRPr="00572D1D" w:rsidR="002648D1">
        <w:t xml:space="preserve">definition of “criminal street gang” that is applied throughout the STEP Act </w:t>
      </w:r>
      <w:r w:rsidRPr="00572D1D" w:rsidR="00D95D32">
        <w:t>and</w:t>
      </w:r>
      <w:r w:rsidRPr="00572D1D" w:rsidR="002648D1">
        <w:t xml:space="preserve"> other </w:t>
      </w:r>
      <w:r w:rsidRPr="00572D1D" w:rsidR="00D95D32">
        <w:t xml:space="preserve">parts </w:t>
      </w:r>
      <w:r w:rsidRPr="00572D1D" w:rsidR="002648D1">
        <w:t xml:space="preserve">of the Penal Code.  </w:t>
      </w:r>
      <w:r w:rsidRPr="00572D1D" w:rsidR="00933681">
        <w:t xml:space="preserve">For example, </w:t>
      </w:r>
      <w:r w:rsidRPr="00572D1D" w:rsidR="009C57CD">
        <w:t>the general definition of “</w:t>
      </w:r>
      <w:r w:rsidR="002A5A7F">
        <w:t> ‘[</w:t>
      </w:r>
      <w:r w:rsidRPr="00572D1D" w:rsidR="009C57CD">
        <w:t>o</w:t>
      </w:r>
      <w:r w:rsidR="002A5A7F">
        <w:t>]</w:t>
      </w:r>
      <w:r w:rsidRPr="00572D1D" w:rsidR="009C57CD">
        <w:t>rganized crime</w:t>
      </w:r>
      <w:r w:rsidR="002A5A7F">
        <w:t>’ </w:t>
      </w:r>
      <w:r w:rsidRPr="00572D1D" w:rsidR="009C57CD">
        <w:t xml:space="preserve">” in </w:t>
      </w:r>
      <w:r w:rsidRPr="00572D1D" w:rsidR="00933681">
        <w:t xml:space="preserve">section </w:t>
      </w:r>
      <w:r w:rsidRPr="00572D1D" w:rsidR="00BF4D38">
        <w:t xml:space="preserve">186.2, subdivision (d) </w:t>
      </w:r>
      <w:r w:rsidRPr="00572D1D" w:rsidR="009C57CD">
        <w:t xml:space="preserve">was amended in 1996 to </w:t>
      </w:r>
      <w:r w:rsidRPr="00572D1D" w:rsidR="00225029">
        <w:t>“also mean[] crime committed by a criminal street gang, as defined in</w:t>
      </w:r>
      <w:r w:rsidRPr="00572D1D" w:rsidR="00B564FF">
        <w:t>” section 186.22(f).  (Stats.</w:t>
      </w:r>
      <w:r w:rsidRPr="00572D1D" w:rsidR="009E6622">
        <w:t xml:space="preserve"> </w:t>
      </w:r>
      <w:r w:rsidRPr="00572D1D" w:rsidR="00D95D32">
        <w:t>1996,</w:t>
      </w:r>
      <w:r w:rsidR="009257AA">
        <w:t xml:space="preserve"> ch. </w:t>
      </w:r>
      <w:r w:rsidRPr="00572D1D" w:rsidR="001C4A09">
        <w:rPr>
          <w:szCs w:val="26"/>
        </w:rPr>
        <w:t>844</w:t>
      </w:r>
      <w:r w:rsidR="00793933">
        <w:rPr>
          <w:szCs w:val="26"/>
        </w:rPr>
        <w:t>,</w:t>
      </w:r>
      <w:r w:rsidRPr="00572D1D" w:rsidR="001C4A09">
        <w:rPr>
          <w:szCs w:val="26"/>
        </w:rPr>
        <w:t xml:space="preserve"> </w:t>
      </w:r>
      <w:r w:rsidR="009257AA">
        <w:rPr>
          <w:szCs w:val="26"/>
        </w:rPr>
        <w:t>§ </w:t>
      </w:r>
      <w:r w:rsidRPr="00572D1D" w:rsidR="001C4A09">
        <w:rPr>
          <w:szCs w:val="26"/>
        </w:rPr>
        <w:t>1</w:t>
      </w:r>
      <w:r w:rsidR="00793933">
        <w:rPr>
          <w:szCs w:val="26"/>
        </w:rPr>
        <w:t>, p.</w:t>
      </w:r>
      <w:r w:rsidR="002A5A7F">
        <w:rPr>
          <w:szCs w:val="26"/>
        </w:rPr>
        <w:t xml:space="preserve"> 4465</w:t>
      </w:r>
      <w:r w:rsidRPr="00572D1D" w:rsidR="001C4A09">
        <w:rPr>
          <w:szCs w:val="26"/>
        </w:rPr>
        <w:t>.)</w:t>
      </w:r>
      <w:r w:rsidRPr="00572D1D" w:rsidR="001C4A09">
        <w:t xml:space="preserve">  </w:t>
      </w:r>
      <w:r w:rsidRPr="00572D1D" w:rsidR="008B575D">
        <w:t>The penalty for knowingly supplying, selling, or giving possession or control of a firearm</w:t>
      </w:r>
      <w:r w:rsidRPr="00572D1D" w:rsidR="005F0124">
        <w:t xml:space="preserve"> with the knowledge that the person will use it to commit a felony for the benefit of a gang</w:t>
      </w:r>
      <w:r w:rsidRPr="00572D1D" w:rsidR="00A85862">
        <w:t>, enacted in 1992, also relies on the definition of “criminal street gang” in section 186.22(f).  (</w:t>
      </w:r>
      <w:r w:rsidRPr="00907A7B" w:rsidR="00B95D10">
        <w:t>§</w:t>
      </w:r>
      <w:r w:rsidR="00B95D10">
        <w:t> 186.28</w:t>
      </w:r>
      <w:r w:rsidR="00FA5B45">
        <w:t>, subd. (a)(1)</w:t>
      </w:r>
      <w:r w:rsidR="00B60D61">
        <w:t xml:space="preserve">; see </w:t>
      </w:r>
      <w:r w:rsidRPr="00572D1D" w:rsidR="00476658">
        <w:t>Stats.</w:t>
      </w:r>
      <w:r w:rsidRPr="00572D1D" w:rsidR="009E6622">
        <w:t xml:space="preserve"> </w:t>
      </w:r>
      <w:r w:rsidRPr="00572D1D" w:rsidR="00476658">
        <w:t>1992,</w:t>
      </w:r>
      <w:r w:rsidR="009257AA">
        <w:t xml:space="preserve"> ch. </w:t>
      </w:r>
      <w:r w:rsidRPr="00572D1D" w:rsidR="00476658">
        <w:t xml:space="preserve">370, </w:t>
      </w:r>
      <w:r w:rsidR="009257AA">
        <w:t>§ </w:t>
      </w:r>
      <w:r w:rsidRPr="00572D1D" w:rsidR="00476658">
        <w:t>1</w:t>
      </w:r>
      <w:r w:rsidR="00793933">
        <w:t xml:space="preserve">, p. </w:t>
      </w:r>
      <w:r w:rsidR="00A120D9">
        <w:t>1405</w:t>
      </w:r>
      <w:r w:rsidRPr="00572D1D" w:rsidR="00A85862">
        <w:t>.)</w:t>
      </w:r>
      <w:r w:rsidRPr="00572D1D" w:rsidR="00BA4539">
        <w:t xml:space="preserve">  </w:t>
      </w:r>
      <w:r w:rsidRPr="00572D1D" w:rsidR="00501C4E">
        <w:t>So, too, does the</w:t>
      </w:r>
      <w:r w:rsidRPr="00572D1D" w:rsidR="00BA4539">
        <w:t xml:space="preserve"> provision for </w:t>
      </w:r>
      <w:r w:rsidRPr="00572D1D" w:rsidR="00335981">
        <w:t xml:space="preserve">motor vehicle </w:t>
      </w:r>
      <w:r w:rsidRPr="00572D1D" w:rsidR="00BA4539">
        <w:t xml:space="preserve">forfeiture </w:t>
      </w:r>
      <w:r w:rsidRPr="00572D1D" w:rsidR="00335981">
        <w:t xml:space="preserve">when </w:t>
      </w:r>
      <w:r w:rsidRPr="00572D1D" w:rsidR="00501C4E">
        <w:t>a member of a criminal street gang is convicted of the unlawful possession of a firearm while present in a vehicle</w:t>
      </w:r>
      <w:r w:rsidRPr="00572D1D" w:rsidR="007F4B1D">
        <w:t>, as amended in 1993.  (</w:t>
      </w:r>
      <w:r w:rsidRPr="00907A7B" w:rsidR="0020078A">
        <w:t>§</w:t>
      </w:r>
      <w:r w:rsidR="0020078A">
        <w:t xml:space="preserve"> 246.1, subd. (a); see </w:t>
      </w:r>
      <w:r w:rsidRPr="00572D1D" w:rsidR="007F4B1D">
        <w:t>Stats.</w:t>
      </w:r>
      <w:r w:rsidRPr="00572D1D" w:rsidR="009E6622">
        <w:t xml:space="preserve"> </w:t>
      </w:r>
      <w:r w:rsidRPr="00572D1D" w:rsidR="00286E1E">
        <w:t>19</w:t>
      </w:r>
      <w:r w:rsidRPr="00572D1D" w:rsidR="007F4B1D">
        <w:t>94, 1</w:t>
      </w:r>
      <w:r w:rsidRPr="00572D1D" w:rsidR="00032C56">
        <w:t>st</w:t>
      </w:r>
      <w:r w:rsidRPr="00572D1D" w:rsidR="007F4B1D">
        <w:t xml:space="preserve"> Ex.</w:t>
      </w:r>
      <w:r w:rsidRPr="00572D1D" w:rsidR="00FB49EF">
        <w:t xml:space="preserve"> </w:t>
      </w:r>
      <w:r w:rsidRPr="00572D1D" w:rsidR="007F4B1D">
        <w:t>Sess.,</w:t>
      </w:r>
      <w:r w:rsidR="009257AA">
        <w:t xml:space="preserve"> ch. </w:t>
      </w:r>
      <w:r w:rsidRPr="00572D1D" w:rsidR="007F4B1D">
        <w:t xml:space="preserve">33, </w:t>
      </w:r>
      <w:r w:rsidR="009257AA">
        <w:t>§ </w:t>
      </w:r>
      <w:r w:rsidRPr="00572D1D" w:rsidR="007F4B1D">
        <w:t>1</w:t>
      </w:r>
      <w:r w:rsidR="00793933">
        <w:t xml:space="preserve">, p. </w:t>
      </w:r>
      <w:r w:rsidR="00962CB9">
        <w:t>8</w:t>
      </w:r>
      <w:r w:rsidR="00E87D44">
        <w:t>659</w:t>
      </w:r>
      <w:r w:rsidRPr="00572D1D" w:rsidR="007F4B1D">
        <w:t>.)</w:t>
      </w:r>
      <w:r w:rsidRPr="00572D1D" w:rsidR="009E249F">
        <w:t xml:space="preserve">  </w:t>
      </w:r>
      <w:r w:rsidRPr="00572D1D" w:rsidR="00286E1E">
        <w:t>Since 1994, t</w:t>
      </w:r>
      <w:r w:rsidRPr="00572D1D">
        <w:t xml:space="preserve">he Welfare and Institutions Code </w:t>
      </w:r>
      <w:r w:rsidRPr="00572D1D" w:rsidR="00680F76">
        <w:t xml:space="preserve">has </w:t>
      </w:r>
      <w:r w:rsidRPr="00572D1D" w:rsidR="00286E1E">
        <w:t xml:space="preserve">also </w:t>
      </w:r>
      <w:r w:rsidRPr="00572D1D" w:rsidR="00680F76">
        <w:t>relied</w:t>
      </w:r>
      <w:r w:rsidRPr="00572D1D" w:rsidR="00D825EE">
        <w:t xml:space="preserve"> on section </w:t>
      </w:r>
      <w:r w:rsidRPr="004E2251" w:rsidR="00D825EE">
        <w:t>186.22</w:t>
      </w:r>
      <w:r w:rsidRPr="00572D1D" w:rsidR="00D825EE">
        <w:t xml:space="preserve"> to define “criminal street gang” in </w:t>
      </w:r>
      <w:r w:rsidRPr="00572D1D" w:rsidR="00CE56C1">
        <w:t>providing for information</w:t>
      </w:r>
      <w:r w:rsidRPr="00572D1D" w:rsidR="00286E1E">
        <w:t>-</w:t>
      </w:r>
      <w:r w:rsidRPr="00572D1D" w:rsidR="00CE56C1">
        <w:t>sharing among “members of a juvenile justice multidisciplinary team engaged in the prevention, identification, and control of crime</w:t>
      </w:r>
      <w:r w:rsidR="0046799B">
        <w:t>,</w:t>
      </w:r>
      <w:r w:rsidRPr="00572D1D" w:rsidR="00FA697B">
        <w:t xml:space="preserve"> including, but not limited to criminal street gang activity.”  (Welf. &amp; Inst. Code, </w:t>
      </w:r>
      <w:r w:rsidRPr="004E2251" w:rsidR="009257AA">
        <w:t>§ </w:t>
      </w:r>
      <w:r w:rsidRPr="004E2251" w:rsidR="00FA697B">
        <w:t>830.1</w:t>
      </w:r>
      <w:r w:rsidRPr="00572D1D" w:rsidR="00FA697B">
        <w:t xml:space="preserve">; see </w:t>
      </w:r>
      <w:r w:rsidRPr="00572D1D" w:rsidR="00CE56C1">
        <w:t xml:space="preserve"> </w:t>
      </w:r>
      <w:r w:rsidRPr="00572D1D">
        <w:t>Stats.</w:t>
      </w:r>
      <w:r w:rsidRPr="00572D1D" w:rsidR="000D5963">
        <w:t xml:space="preserve"> </w:t>
      </w:r>
      <w:r w:rsidRPr="00572D1D" w:rsidR="00680F76">
        <w:t>19</w:t>
      </w:r>
      <w:r w:rsidRPr="00572D1D">
        <w:t>94, 1st Ex.</w:t>
      </w:r>
      <w:r w:rsidRPr="00572D1D" w:rsidR="00027428">
        <w:t xml:space="preserve"> </w:t>
      </w:r>
      <w:r w:rsidRPr="00572D1D">
        <w:t>Sess.,</w:t>
      </w:r>
      <w:r w:rsidR="009257AA">
        <w:t xml:space="preserve"> ch. </w:t>
      </w:r>
      <w:r w:rsidRPr="00572D1D">
        <w:t xml:space="preserve">24, </w:t>
      </w:r>
      <w:r w:rsidR="009257AA">
        <w:t>§ </w:t>
      </w:r>
      <w:r w:rsidRPr="00572D1D">
        <w:t>1</w:t>
      </w:r>
      <w:r w:rsidR="00793933">
        <w:t xml:space="preserve">, p. </w:t>
      </w:r>
      <w:r w:rsidR="004E2251">
        <w:t>8597</w:t>
      </w:r>
      <w:r w:rsidRPr="00572D1D" w:rsidR="00680F76">
        <w:t xml:space="preserve">.)  Each of these provisions was in place </w:t>
      </w:r>
      <w:r w:rsidRPr="00572D1D" w:rsidR="00A167E5">
        <w:t>prior to the enact</w:t>
      </w:r>
      <w:r w:rsidRPr="00572D1D" w:rsidR="008C1F16">
        <w:t>ment of</w:t>
      </w:r>
      <w:r w:rsidRPr="00572D1D" w:rsidR="00A167E5">
        <w:t xml:space="preserve"> Proposition 21, </w:t>
      </w:r>
      <w:r w:rsidRPr="00572D1D" w:rsidR="008C1F16">
        <w:t xml:space="preserve">and we presume the voters were aware of </w:t>
      </w:r>
      <w:r w:rsidRPr="00572D1D" w:rsidR="00A167E5">
        <w:t>the general</w:t>
      </w:r>
      <w:r w:rsidRPr="00572D1D" w:rsidR="008C1F16">
        <w:t>ly applicable</w:t>
      </w:r>
      <w:r w:rsidRPr="00572D1D" w:rsidR="00A167E5">
        <w:t xml:space="preserve"> nature of section 186.22(f)’s definition of “criminal street gang” when </w:t>
      </w:r>
      <w:r w:rsidRPr="00572D1D" w:rsidR="008C1F16">
        <w:t>they</w:t>
      </w:r>
      <w:r w:rsidRPr="00572D1D" w:rsidR="006B5D8A">
        <w:t xml:space="preserve"> enacted Proposition 21</w:t>
      </w:r>
      <w:r w:rsidRPr="00572D1D" w:rsidR="00A167E5">
        <w:t>.</w:t>
      </w:r>
      <w:r w:rsidRPr="00572D1D" w:rsidR="008C1F16">
        <w:t xml:space="preserve">  </w:t>
      </w:r>
      <w:r w:rsidRPr="00572D1D" w:rsidR="00254361">
        <w:rPr>
          <w:iCs/>
          <w:szCs w:val="26"/>
        </w:rPr>
        <w:t>(</w:t>
      </w:r>
      <w:r w:rsidRPr="0044287B" w:rsidR="00254361">
        <w:rPr>
          <w:i/>
          <w:iCs/>
          <w:szCs w:val="26"/>
        </w:rPr>
        <w:t>Professional Engineers</w:t>
      </w:r>
      <w:r w:rsidRPr="00572D1D" w:rsidR="00254361">
        <w:rPr>
          <w:i/>
          <w:iCs/>
          <w:szCs w:val="26"/>
        </w:rPr>
        <w:t xml:space="preserve"> in California Government v. Kempton</w:t>
      </w:r>
      <w:r w:rsidRPr="00572D1D" w:rsidR="00254361">
        <w:rPr>
          <w:iCs/>
          <w:szCs w:val="26"/>
        </w:rPr>
        <w:t xml:space="preserve"> (2007) 40 Cal.4th 1016, 1048 (</w:t>
      </w:r>
      <w:r w:rsidRPr="00572D1D" w:rsidR="00254361">
        <w:rPr>
          <w:i/>
          <w:szCs w:val="26"/>
        </w:rPr>
        <w:t>Professional Engineers</w:t>
      </w:r>
      <w:r w:rsidRPr="00572D1D" w:rsidR="00254361">
        <w:rPr>
          <w:iCs/>
          <w:szCs w:val="26"/>
        </w:rPr>
        <w:t>) [“The voters are presumed to have been aware of existing laws at the time the initiative was enacted.”].)</w:t>
      </w:r>
    </w:p>
    <w:p w:rsidR="00EF5D80" w:rsidRPr="00572D1D" w:rsidP="00572D1D" w14:paraId="163A97A2" w14:textId="77777777">
      <w:pPr>
        <w:pStyle w:val="Body"/>
        <w:spacing w:line="400" w:lineRule="exact"/>
        <w:rPr>
          <w:iCs/>
          <w:szCs w:val="26"/>
        </w:rPr>
      </w:pPr>
      <w:r w:rsidRPr="00572D1D">
        <w:rPr>
          <w:iCs/>
          <w:szCs w:val="26"/>
        </w:rPr>
        <w:t xml:space="preserve">Of course, it is the </w:t>
      </w:r>
      <w:r w:rsidRPr="00572D1D" w:rsidR="00DF5110">
        <w:rPr>
          <w:iCs/>
          <w:szCs w:val="26"/>
        </w:rPr>
        <w:t xml:space="preserve">electorate’s </w:t>
      </w:r>
      <w:r w:rsidRPr="00572D1D">
        <w:rPr>
          <w:iCs/>
          <w:szCs w:val="26"/>
        </w:rPr>
        <w:t>prerogative to give the term “criminal street gang” a fixed meaning</w:t>
      </w:r>
      <w:r w:rsidRPr="00572D1D" w:rsidR="00DF5110">
        <w:rPr>
          <w:iCs/>
          <w:szCs w:val="26"/>
        </w:rPr>
        <w:t xml:space="preserve"> if it chooses</w:t>
      </w:r>
      <w:r w:rsidRPr="00572D1D">
        <w:rPr>
          <w:iCs/>
          <w:szCs w:val="26"/>
        </w:rPr>
        <w:t xml:space="preserve">, regardless of how the Legislature may subsequently define the term.  But the voters who enacted Proposition 21 did not </w:t>
      </w:r>
      <w:r w:rsidRPr="00572D1D" w:rsidR="00D749A2">
        <w:rPr>
          <w:iCs/>
          <w:szCs w:val="26"/>
        </w:rPr>
        <w:t>specify that the cross-reference to section 186.22</w:t>
      </w:r>
      <w:r w:rsidRPr="00572D1D" w:rsidR="00484A95">
        <w:rPr>
          <w:iCs/>
          <w:szCs w:val="26"/>
        </w:rPr>
        <w:t>(f)</w:t>
      </w:r>
      <w:r w:rsidRPr="00572D1D" w:rsidR="00D749A2">
        <w:rPr>
          <w:iCs/>
          <w:szCs w:val="26"/>
        </w:rPr>
        <w:t xml:space="preserve"> was intended to lock</w:t>
      </w:r>
      <w:r w:rsidRPr="00572D1D" w:rsidR="00D452DB">
        <w:rPr>
          <w:iCs/>
          <w:szCs w:val="26"/>
        </w:rPr>
        <w:t xml:space="preserve"> </w:t>
      </w:r>
      <w:r w:rsidRPr="00572D1D" w:rsidR="00D749A2">
        <w:rPr>
          <w:iCs/>
          <w:szCs w:val="26"/>
        </w:rPr>
        <w:t>in the contemporary definition</w:t>
      </w:r>
      <w:r w:rsidRPr="00572D1D" w:rsidR="00DF5110">
        <w:rPr>
          <w:iCs/>
          <w:szCs w:val="26"/>
        </w:rPr>
        <w:t>, and this omission is particular</w:t>
      </w:r>
      <w:r w:rsidR="00793933">
        <w:rPr>
          <w:iCs/>
          <w:szCs w:val="26"/>
        </w:rPr>
        <w:t>ly</w:t>
      </w:r>
      <w:r w:rsidRPr="00572D1D" w:rsidR="00DF5110">
        <w:rPr>
          <w:iCs/>
          <w:szCs w:val="26"/>
        </w:rPr>
        <w:t xml:space="preserve"> salient in light of </w:t>
      </w:r>
      <w:r w:rsidRPr="00572D1D" w:rsidR="00D749A2">
        <w:rPr>
          <w:iCs/>
          <w:szCs w:val="26"/>
        </w:rPr>
        <w:t xml:space="preserve">other aspects of </w:t>
      </w:r>
      <w:r w:rsidRPr="00572D1D" w:rsidR="0008523E">
        <w:rPr>
          <w:iCs/>
          <w:szCs w:val="26"/>
        </w:rPr>
        <w:t xml:space="preserve">the same enactment </w:t>
      </w:r>
      <w:r w:rsidRPr="00572D1D" w:rsidR="00DF5110">
        <w:rPr>
          <w:iCs/>
          <w:szCs w:val="26"/>
        </w:rPr>
        <w:t xml:space="preserve">that </w:t>
      </w:r>
      <w:r w:rsidRPr="00572D1D" w:rsidR="00D749A2">
        <w:rPr>
          <w:iCs/>
          <w:szCs w:val="26"/>
        </w:rPr>
        <w:t>did just that</w:t>
      </w:r>
      <w:r w:rsidRPr="00572D1D" w:rsidR="00CD5F6E">
        <w:rPr>
          <w:iCs/>
          <w:szCs w:val="26"/>
        </w:rPr>
        <w:t>.</w:t>
      </w:r>
      <w:r w:rsidRPr="00572D1D" w:rsidR="0008523E">
        <w:rPr>
          <w:iCs/>
          <w:szCs w:val="26"/>
        </w:rPr>
        <w:t xml:space="preserve">  </w:t>
      </w:r>
    </w:p>
    <w:p w:rsidR="007E4CBF" w:rsidRPr="00572D1D" w:rsidP="00572D1D" w14:paraId="163A97A3" w14:textId="77777777">
      <w:pPr>
        <w:pStyle w:val="Body"/>
        <w:spacing w:line="400" w:lineRule="exact"/>
        <w:rPr>
          <w:color w:val="000000"/>
          <w:szCs w:val="26"/>
        </w:rPr>
      </w:pPr>
      <w:r w:rsidRPr="00572D1D">
        <w:rPr>
          <w:iCs/>
          <w:szCs w:val="26"/>
        </w:rPr>
        <w:t>S</w:t>
      </w:r>
      <w:r w:rsidRPr="00572D1D" w:rsidR="005C59A6">
        <w:rPr>
          <w:iCs/>
          <w:szCs w:val="26"/>
        </w:rPr>
        <w:t>ections 14 and 16</w:t>
      </w:r>
      <w:r w:rsidRPr="00572D1D">
        <w:rPr>
          <w:iCs/>
          <w:szCs w:val="26"/>
        </w:rPr>
        <w:t xml:space="preserve"> of Proposition 21</w:t>
      </w:r>
      <w:r w:rsidRPr="00572D1D" w:rsidR="005C59A6">
        <w:rPr>
          <w:iCs/>
          <w:szCs w:val="26"/>
        </w:rPr>
        <w:t xml:space="preserve"> amended portions of the existing “Three Strikes Law</w:t>
      </w:r>
      <w:r w:rsidR="001730F9">
        <w:rPr>
          <w:iCs/>
          <w:szCs w:val="26"/>
        </w:rPr>
        <w:t>.</w:t>
      </w:r>
      <w:r w:rsidRPr="00572D1D" w:rsidR="005C59A6">
        <w:rPr>
          <w:iCs/>
          <w:szCs w:val="26"/>
        </w:rPr>
        <w:t xml:space="preserve">”  </w:t>
      </w:r>
      <w:r w:rsidRPr="00572D1D" w:rsidR="008E2C02">
        <w:rPr>
          <w:iCs/>
          <w:szCs w:val="26"/>
        </w:rPr>
        <w:t>S</w:t>
      </w:r>
      <w:r w:rsidRPr="00572D1D" w:rsidR="00EF5D80">
        <w:rPr>
          <w:iCs/>
          <w:szCs w:val="26"/>
        </w:rPr>
        <w:t xml:space="preserve">ection 14 </w:t>
      </w:r>
      <w:r w:rsidRPr="00572D1D" w:rsidR="008E2C02">
        <w:rPr>
          <w:iCs/>
          <w:szCs w:val="26"/>
        </w:rPr>
        <w:t>added s</w:t>
      </w:r>
      <w:r w:rsidRPr="00572D1D" w:rsidR="00EF5D80">
        <w:rPr>
          <w:color w:val="000000"/>
          <w:szCs w:val="26"/>
        </w:rPr>
        <w:t>ection 667.1 to the Penal Code</w:t>
      </w:r>
      <w:r w:rsidRPr="00572D1D" w:rsidR="008E2C02">
        <w:rPr>
          <w:color w:val="000000"/>
          <w:szCs w:val="26"/>
        </w:rPr>
        <w:t>:  “</w:t>
      </w:r>
      <w:r w:rsidRPr="00572D1D" w:rsidR="00EF5D80">
        <w:rPr>
          <w:color w:val="000000"/>
          <w:szCs w:val="26"/>
        </w:rPr>
        <w:t>Notwithstanding subdivision (h) of Section 667, for all offenses committed on or after the effective date of this act, all references to existing statutes in subdivisions (c) to (g), inclusive, of Section 667, are to those statutes as they existed on the effective date of this act, including amendments made to those statutes by this act.</w:t>
      </w:r>
      <w:r w:rsidRPr="00572D1D" w:rsidR="00EF5D80">
        <w:rPr>
          <w:szCs w:val="26"/>
        </w:rPr>
        <w:t>”</w:t>
      </w:r>
      <w:r w:rsidRPr="00572D1D" w:rsidR="00EF5D80">
        <w:rPr>
          <w:iCs/>
          <w:szCs w:val="26"/>
        </w:rPr>
        <w:t xml:space="preserve">  </w:t>
      </w:r>
      <w:r w:rsidRPr="00572D1D" w:rsidR="00A26A2F">
        <w:rPr>
          <w:iCs/>
          <w:szCs w:val="26"/>
        </w:rPr>
        <w:t>(</w:t>
      </w:r>
      <w:r w:rsidR="00DF75AA">
        <w:t>Voter Information Guide</w:t>
      </w:r>
      <w:r w:rsidRPr="00572D1D" w:rsidR="00DF75AA">
        <w:rPr>
          <w:color w:val="000000"/>
          <w:szCs w:val="26"/>
        </w:rPr>
        <w:t>, Primary Elec.</w:t>
      </w:r>
      <w:r w:rsidR="00DF75AA">
        <w:rPr>
          <w:color w:val="000000"/>
          <w:szCs w:val="26"/>
        </w:rPr>
        <w:t xml:space="preserve">, </w:t>
      </w:r>
      <w:r w:rsidR="00DF75AA">
        <w:rPr>
          <w:i/>
          <w:iCs/>
          <w:color w:val="000000"/>
          <w:szCs w:val="26"/>
        </w:rPr>
        <w:t>supra</w:t>
      </w:r>
      <w:r w:rsidR="00DF75AA">
        <w:rPr>
          <w:color w:val="000000"/>
          <w:szCs w:val="26"/>
        </w:rPr>
        <w:t>,</w:t>
      </w:r>
      <w:r w:rsidRPr="00572D1D" w:rsidR="00DF75AA">
        <w:rPr>
          <w:color w:val="000000"/>
          <w:szCs w:val="26"/>
        </w:rPr>
        <w:t xml:space="preserve"> text of Prop. 21, </w:t>
      </w:r>
      <w:r w:rsidR="00DF75AA">
        <w:rPr>
          <w:color w:val="000000"/>
          <w:szCs w:val="26"/>
        </w:rPr>
        <w:t>§ 14</w:t>
      </w:r>
      <w:r w:rsidRPr="00572D1D" w:rsidR="00DF75AA">
        <w:rPr>
          <w:color w:val="000000"/>
          <w:szCs w:val="26"/>
        </w:rPr>
        <w:t>,</w:t>
      </w:r>
      <w:r w:rsidR="00DF75AA">
        <w:rPr>
          <w:color w:val="000000"/>
          <w:szCs w:val="26"/>
        </w:rPr>
        <w:t xml:space="preserve"> p. </w:t>
      </w:r>
      <w:r w:rsidRPr="00572D1D" w:rsidR="00DF75AA">
        <w:rPr>
          <w:color w:val="000000"/>
          <w:szCs w:val="26"/>
        </w:rPr>
        <w:t>1</w:t>
      </w:r>
      <w:r w:rsidR="00DF75AA">
        <w:rPr>
          <w:color w:val="000000"/>
          <w:szCs w:val="26"/>
        </w:rPr>
        <w:t xml:space="preserve">23, </w:t>
      </w:r>
      <w:r w:rsidR="00DF75AA">
        <w:rPr>
          <w:iCs/>
          <w:szCs w:val="26"/>
        </w:rPr>
        <w:t>i</w:t>
      </w:r>
      <w:r w:rsidRPr="00572D1D" w:rsidR="00A26A2F">
        <w:rPr>
          <w:iCs/>
          <w:szCs w:val="26"/>
        </w:rPr>
        <w:t xml:space="preserve">talics omitted.)  </w:t>
      </w:r>
      <w:r w:rsidRPr="00572D1D" w:rsidR="00EF5D80">
        <w:rPr>
          <w:iCs/>
          <w:szCs w:val="26"/>
        </w:rPr>
        <w:t xml:space="preserve">Similarly, section 16 </w:t>
      </w:r>
      <w:r w:rsidRPr="00572D1D" w:rsidR="008E2C02">
        <w:rPr>
          <w:iCs/>
          <w:szCs w:val="26"/>
        </w:rPr>
        <w:t>added s</w:t>
      </w:r>
      <w:r w:rsidRPr="00572D1D" w:rsidR="00EF5D80">
        <w:rPr>
          <w:color w:val="000000"/>
          <w:szCs w:val="26"/>
        </w:rPr>
        <w:t xml:space="preserve">ection 1170.125 to the Penal Code:  </w:t>
      </w:r>
      <w:r w:rsidRPr="00572D1D" w:rsidR="008E2C02">
        <w:rPr>
          <w:color w:val="000000"/>
          <w:szCs w:val="26"/>
        </w:rPr>
        <w:t>“</w:t>
      </w:r>
      <w:r w:rsidRPr="00572D1D" w:rsidR="00EF5D80">
        <w:rPr>
          <w:color w:val="000000"/>
          <w:szCs w:val="26"/>
        </w:rPr>
        <w:t>Notwithstanding Section 2 of Proposition 184, as adopted at the November 8, 1994 General Election, for all offenses committed on or after the effective date of this act, all references to existing statutes in Section 1170.12 are to those statutes as they existed on the effective date of this act, including amendments made to those statutes by this act.”</w:t>
      </w:r>
      <w:r w:rsidRPr="00572D1D" w:rsidR="00BD3584">
        <w:rPr>
          <w:color w:val="000000"/>
          <w:szCs w:val="26"/>
        </w:rPr>
        <w:t xml:space="preserve">  (</w:t>
      </w:r>
      <w:r w:rsidR="00DF75AA">
        <w:t>Voter Information Guide</w:t>
      </w:r>
      <w:r w:rsidRPr="00572D1D" w:rsidR="00DF75AA">
        <w:rPr>
          <w:color w:val="000000"/>
          <w:szCs w:val="26"/>
        </w:rPr>
        <w:t>, Primary Elec.</w:t>
      </w:r>
      <w:r w:rsidR="00DF75AA">
        <w:rPr>
          <w:color w:val="000000"/>
          <w:szCs w:val="26"/>
        </w:rPr>
        <w:t xml:space="preserve">, </w:t>
      </w:r>
      <w:r w:rsidR="00DF75AA">
        <w:rPr>
          <w:i/>
          <w:iCs/>
          <w:color w:val="000000"/>
          <w:szCs w:val="26"/>
        </w:rPr>
        <w:t>supra</w:t>
      </w:r>
      <w:r w:rsidR="00DF75AA">
        <w:rPr>
          <w:color w:val="000000"/>
          <w:szCs w:val="26"/>
        </w:rPr>
        <w:t>,</w:t>
      </w:r>
      <w:r w:rsidRPr="00572D1D" w:rsidR="00DF75AA">
        <w:rPr>
          <w:color w:val="000000"/>
          <w:szCs w:val="26"/>
        </w:rPr>
        <w:t xml:space="preserve"> text of Prop. 21, </w:t>
      </w:r>
      <w:r w:rsidR="00DF75AA">
        <w:rPr>
          <w:color w:val="000000"/>
          <w:szCs w:val="26"/>
        </w:rPr>
        <w:t>§ 16</w:t>
      </w:r>
      <w:r w:rsidRPr="00572D1D" w:rsidR="00DF75AA">
        <w:rPr>
          <w:color w:val="000000"/>
          <w:szCs w:val="26"/>
        </w:rPr>
        <w:t>,</w:t>
      </w:r>
      <w:r w:rsidR="00DF75AA">
        <w:rPr>
          <w:color w:val="000000"/>
          <w:szCs w:val="26"/>
        </w:rPr>
        <w:t xml:space="preserve"> p. </w:t>
      </w:r>
      <w:r w:rsidRPr="00572D1D" w:rsidR="00DF75AA">
        <w:rPr>
          <w:color w:val="000000"/>
          <w:szCs w:val="26"/>
        </w:rPr>
        <w:t>1</w:t>
      </w:r>
      <w:r w:rsidR="00DF75AA">
        <w:rPr>
          <w:color w:val="000000"/>
          <w:szCs w:val="26"/>
        </w:rPr>
        <w:t xml:space="preserve">24, </w:t>
      </w:r>
      <w:r w:rsidR="00DF75AA">
        <w:rPr>
          <w:iCs/>
          <w:szCs w:val="26"/>
        </w:rPr>
        <w:t>i</w:t>
      </w:r>
      <w:r w:rsidRPr="00572D1D" w:rsidR="00BD3584">
        <w:rPr>
          <w:iCs/>
          <w:szCs w:val="26"/>
        </w:rPr>
        <w:t xml:space="preserve">talics omitted.)  </w:t>
      </w:r>
    </w:p>
    <w:p w:rsidR="00CE7A2A" w:rsidP="00572D1D" w14:paraId="163A97A4" w14:textId="77777777">
      <w:pPr>
        <w:pStyle w:val="Body"/>
        <w:spacing w:line="400" w:lineRule="exact"/>
        <w:rPr>
          <w:iCs/>
          <w:szCs w:val="26"/>
        </w:rPr>
      </w:pPr>
      <w:r w:rsidRPr="00572D1D">
        <w:t>Sections 14 and 16</w:t>
      </w:r>
      <w:r w:rsidR="00836BD1">
        <w:t>, by their terms,</w:t>
      </w:r>
      <w:r w:rsidRPr="00572D1D">
        <w:t xml:space="preserve"> </w:t>
      </w:r>
      <w:r w:rsidRPr="00572D1D" w:rsidR="008F19E3">
        <w:t>“</w:t>
      </w:r>
      <w:r w:rsidRPr="00572D1D" w:rsidR="0081347A">
        <w:t>change</w:t>
      </w:r>
      <w:r w:rsidRPr="00572D1D" w:rsidR="005C59A6">
        <w:t>[d]</w:t>
      </w:r>
      <w:r w:rsidRPr="00572D1D" w:rsidR="0081347A">
        <w:t xml:space="preserve"> the ‘lock-in’ date for determining the existence of qualifying offenses (such as violent or serious felonies) under the Three Strikes law.  Thus, before the passage of Proposition 21, references to existing statutes, such as the law defining violent felonies, in Penal Code section 667 were ‘to statutes as they existed on June 30, 1993.’  </w:t>
      </w:r>
      <w:r w:rsidR="0044287B">
        <w:t>(</w:t>
      </w:r>
      <w:r w:rsidR="009257AA">
        <w:t>§ </w:t>
      </w:r>
      <w:r w:rsidRPr="00572D1D" w:rsidR="0081347A">
        <w:t>667, subd. (h).</w:t>
      </w:r>
      <w:r w:rsidR="0044287B">
        <w:t>)</w:t>
      </w:r>
      <w:r w:rsidRPr="00572D1D" w:rsidR="0081347A">
        <w:t xml:space="preserve">  Section 14 of Proposition 21 provides that references to existing statutes in Penal Code section 667, for all offenses committed on or after the effective date of the initiative, are to those statutes as they existed on the effective date of Proposition 21 (March 8, 2000), including, but not limited to, amendments made to those statutes by this initiative.  </w:t>
      </w:r>
      <w:r w:rsidR="0044287B">
        <w:t>(</w:t>
      </w:r>
      <w:r w:rsidR="009257AA">
        <w:t>§ </w:t>
      </w:r>
      <w:r w:rsidRPr="00572D1D" w:rsidR="0081347A">
        <w:t>667.1.</w:t>
      </w:r>
      <w:r w:rsidR="0044287B">
        <w:t>)</w:t>
      </w:r>
      <w:r w:rsidRPr="00572D1D" w:rsidR="0081347A">
        <w:t xml:space="preserve">  Section 16 of the initiative makes a corresponding change to the lock-in date for statutes referenced in Penal Code section 1170.12.  </w:t>
      </w:r>
      <w:r w:rsidR="0044287B">
        <w:t>(</w:t>
      </w:r>
      <w:r w:rsidR="009257AA">
        <w:t>§ </w:t>
      </w:r>
      <w:r w:rsidRPr="00572D1D" w:rsidR="0081347A">
        <w:t>1170.125.</w:t>
      </w:r>
      <w:r w:rsidR="0044287B">
        <w:t>)</w:t>
      </w:r>
      <w:r w:rsidRPr="00572D1D" w:rsidR="0081347A">
        <w:t>”  (</w:t>
      </w:r>
      <w:r w:rsidRPr="0044287B" w:rsidR="0081347A">
        <w:rPr>
          <w:i/>
        </w:rPr>
        <w:t>Manduley v. Superior</w:t>
      </w:r>
      <w:r w:rsidRPr="00572D1D" w:rsidR="0081347A">
        <w:rPr>
          <w:i/>
        </w:rPr>
        <w:t xml:space="preserve"> Court</w:t>
      </w:r>
      <w:r w:rsidRPr="00572D1D" w:rsidR="0081347A">
        <w:t> (2002) 27 Cal.4th 537, 574–575.)</w:t>
      </w:r>
    </w:p>
    <w:p w:rsidR="009A6930" w:rsidRPr="00572D1D" w:rsidP="00572D1D" w14:paraId="163A97A5" w14:textId="77777777">
      <w:pPr>
        <w:pStyle w:val="Body"/>
        <w:spacing w:line="400" w:lineRule="exact"/>
        <w:rPr>
          <w:iCs/>
          <w:szCs w:val="26"/>
        </w:rPr>
      </w:pPr>
      <w:r w:rsidRPr="00572D1D">
        <w:rPr>
          <w:iCs/>
          <w:szCs w:val="26"/>
        </w:rPr>
        <w:t xml:space="preserve">The Attorney General </w:t>
      </w:r>
      <w:r w:rsidRPr="00572D1D" w:rsidR="00A263FC">
        <w:rPr>
          <w:iCs/>
          <w:szCs w:val="26"/>
        </w:rPr>
        <w:t>says</w:t>
      </w:r>
      <w:r w:rsidRPr="00572D1D">
        <w:rPr>
          <w:iCs/>
          <w:szCs w:val="26"/>
        </w:rPr>
        <w:t xml:space="preserve"> these provisions “were necessary to convey the electorate’s intent that sections 667 and 1170.12, which Proposition 21 did not directly amend, were to implement the initiative’s amendments to </w:t>
      </w:r>
      <w:r w:rsidRPr="00572D1D">
        <w:rPr>
          <w:i/>
          <w:szCs w:val="26"/>
        </w:rPr>
        <w:t xml:space="preserve">other </w:t>
      </w:r>
      <w:r w:rsidRPr="00572D1D">
        <w:rPr>
          <w:iCs/>
          <w:szCs w:val="26"/>
        </w:rPr>
        <w:t xml:space="preserve">statutes that sections 667 and 1170.12 referenced and which Proposition 21 did amend.”  </w:t>
      </w:r>
      <w:r w:rsidRPr="00572D1D" w:rsidR="007E4CBF">
        <w:rPr>
          <w:iCs/>
          <w:szCs w:val="26"/>
        </w:rPr>
        <w:t>But i</w:t>
      </w:r>
      <w:r w:rsidRPr="00572D1D" w:rsidR="005D17A2">
        <w:rPr>
          <w:iCs/>
          <w:szCs w:val="26"/>
        </w:rPr>
        <w:t xml:space="preserve">f </w:t>
      </w:r>
      <w:r w:rsidRPr="00572D1D" w:rsidR="007E4CBF">
        <w:rPr>
          <w:iCs/>
          <w:szCs w:val="26"/>
        </w:rPr>
        <w:t>the</w:t>
      </w:r>
      <w:r w:rsidRPr="00572D1D" w:rsidR="005D17A2">
        <w:rPr>
          <w:iCs/>
          <w:szCs w:val="26"/>
        </w:rPr>
        <w:t xml:space="preserve"> voters’ intent</w:t>
      </w:r>
      <w:r w:rsidRPr="00572D1D" w:rsidR="00573E33">
        <w:rPr>
          <w:iCs/>
          <w:szCs w:val="26"/>
        </w:rPr>
        <w:t xml:space="preserve"> </w:t>
      </w:r>
      <w:r w:rsidRPr="00572D1D" w:rsidR="00771103">
        <w:rPr>
          <w:iCs/>
          <w:szCs w:val="26"/>
        </w:rPr>
        <w:t xml:space="preserve">was </w:t>
      </w:r>
      <w:r w:rsidRPr="00572D1D" w:rsidR="007E4CBF">
        <w:rPr>
          <w:iCs/>
          <w:szCs w:val="26"/>
        </w:rPr>
        <w:t xml:space="preserve">simply </w:t>
      </w:r>
      <w:r w:rsidRPr="00572D1D" w:rsidR="00771103">
        <w:rPr>
          <w:iCs/>
          <w:szCs w:val="26"/>
        </w:rPr>
        <w:t xml:space="preserve">to ensure that the cross-referenced list of violent felonies included those updated by Proposition 21, </w:t>
      </w:r>
      <w:r w:rsidRPr="00572D1D" w:rsidR="005F34D9">
        <w:rPr>
          <w:iCs/>
          <w:szCs w:val="26"/>
        </w:rPr>
        <w:t xml:space="preserve">then the </w:t>
      </w:r>
      <w:r w:rsidRPr="00572D1D" w:rsidR="007E4CBF">
        <w:rPr>
          <w:iCs/>
          <w:szCs w:val="26"/>
        </w:rPr>
        <w:t>phrase</w:t>
      </w:r>
      <w:r w:rsidRPr="00572D1D" w:rsidR="001B0A88">
        <w:rPr>
          <w:iCs/>
          <w:szCs w:val="26"/>
        </w:rPr>
        <w:t xml:space="preserve"> “including amendments made to those statutes by this act” </w:t>
      </w:r>
      <w:r w:rsidRPr="00572D1D" w:rsidR="00771103">
        <w:rPr>
          <w:iCs/>
          <w:szCs w:val="26"/>
        </w:rPr>
        <w:t xml:space="preserve">in both section 14 and section 16 </w:t>
      </w:r>
      <w:r w:rsidRPr="00572D1D" w:rsidR="001B0A88">
        <w:rPr>
          <w:iCs/>
          <w:szCs w:val="26"/>
        </w:rPr>
        <w:t>would have sufficed</w:t>
      </w:r>
      <w:r w:rsidRPr="00572D1D" w:rsidR="008614B5">
        <w:rPr>
          <w:iCs/>
          <w:szCs w:val="26"/>
        </w:rPr>
        <w:t xml:space="preserve">.  </w:t>
      </w:r>
      <w:r w:rsidRPr="00572D1D" w:rsidR="00815377">
        <w:rPr>
          <w:iCs/>
          <w:szCs w:val="26"/>
        </w:rPr>
        <w:t xml:space="preserve">Instead, </w:t>
      </w:r>
      <w:r w:rsidRPr="00572D1D" w:rsidR="00F749AE">
        <w:rPr>
          <w:iCs/>
          <w:szCs w:val="26"/>
        </w:rPr>
        <w:t xml:space="preserve">the voters coupled that directive with a reference to </w:t>
      </w:r>
      <w:r w:rsidRPr="00572D1D" w:rsidR="00913112">
        <w:rPr>
          <w:iCs/>
          <w:szCs w:val="26"/>
        </w:rPr>
        <w:t>“</w:t>
      </w:r>
      <w:r w:rsidRPr="00572D1D" w:rsidR="00F749AE">
        <w:rPr>
          <w:color w:val="000000"/>
          <w:szCs w:val="26"/>
        </w:rPr>
        <w:t>those statutes as they existed on the effective date of this act</w:t>
      </w:r>
      <w:r w:rsidRPr="00572D1D" w:rsidR="00913112">
        <w:rPr>
          <w:iCs/>
          <w:szCs w:val="26"/>
        </w:rPr>
        <w:t xml:space="preserve">,” thus ensuring that future offenses would be classified in accordance with the scheme then existing.  </w:t>
      </w:r>
      <w:r w:rsidRPr="00572D1D" w:rsidR="00DF7519">
        <w:rPr>
          <w:iCs/>
          <w:szCs w:val="26"/>
        </w:rPr>
        <w:t>The Attorney General’s explanation of sections 14 and 16 does not account for why those provisions are written as they are</w:t>
      </w:r>
      <w:r w:rsidRPr="00572D1D" w:rsidR="007E4CBF">
        <w:rPr>
          <w:iCs/>
          <w:szCs w:val="26"/>
        </w:rPr>
        <w:t>.</w:t>
      </w:r>
    </w:p>
    <w:p w:rsidR="00AD3257" w:rsidP="00572D1D" w14:paraId="163A97A6" w14:textId="77777777">
      <w:pPr>
        <w:pStyle w:val="Body"/>
        <w:spacing w:line="400" w:lineRule="exact"/>
      </w:pPr>
      <w:r>
        <w:t>I</w:t>
      </w:r>
      <w:r w:rsidRPr="00572D1D" w:rsidR="00D54D17">
        <w:t xml:space="preserve">n </w:t>
      </w:r>
      <w:r w:rsidRPr="00572D1D" w:rsidR="009E2D9A">
        <w:rPr>
          <w:i/>
          <w:iCs/>
        </w:rPr>
        <w:t>People v. Fletcher</w:t>
      </w:r>
      <w:r>
        <w:t xml:space="preserve"> (2023) 92 Cal.App.5th 1374, </w:t>
      </w:r>
      <w:r w:rsidRPr="00572D1D">
        <w:t xml:space="preserve">1379–1382, </w:t>
      </w:r>
      <w:r w:rsidRPr="00572D1D">
        <w:rPr>
          <w:iCs/>
          <w:szCs w:val="26"/>
        </w:rPr>
        <w:t>review granted Sept</w:t>
      </w:r>
      <w:r w:rsidR="000A5DEA">
        <w:rPr>
          <w:iCs/>
          <w:szCs w:val="26"/>
        </w:rPr>
        <w:t>ember</w:t>
      </w:r>
      <w:r w:rsidRPr="00572D1D">
        <w:rPr>
          <w:iCs/>
          <w:szCs w:val="26"/>
        </w:rPr>
        <w:t xml:space="preserve"> 20, 2023, S281282</w:t>
      </w:r>
      <w:r w:rsidRPr="00572D1D" w:rsidR="009622C1">
        <w:t xml:space="preserve">, </w:t>
      </w:r>
      <w:r w:rsidRPr="00572D1D" w:rsidR="00D54D17">
        <w:t xml:space="preserve">the Court of Appeal held that </w:t>
      </w:r>
      <w:r>
        <w:t xml:space="preserve">the </w:t>
      </w:r>
      <w:r w:rsidRPr="00572D1D" w:rsidR="00FE7FA2">
        <w:t xml:space="preserve">narrower definition of “criminal street gang” in Assembly Bill 333 cannot be applied to determine what constitutes a serious </w:t>
      </w:r>
      <w:r w:rsidRPr="00572D1D" w:rsidR="008F5A26">
        <w:t>felony</w:t>
      </w:r>
      <w:r w:rsidRPr="00572D1D" w:rsidR="00FE7FA2">
        <w:t xml:space="preserve"> for purposes of the </w:t>
      </w:r>
      <w:r w:rsidRPr="00572D1D" w:rsidR="008F5A26">
        <w:t>Three</w:t>
      </w:r>
      <w:r w:rsidRPr="00572D1D" w:rsidR="00FE7FA2">
        <w:t xml:space="preserve"> Strikes Law without running afoul of </w:t>
      </w:r>
      <w:r w:rsidRPr="00572D1D" w:rsidR="00B029EA">
        <w:t xml:space="preserve">the limits on legislative amendment set forth in </w:t>
      </w:r>
      <w:r w:rsidRPr="00572D1D" w:rsidR="00FE7FA2">
        <w:t xml:space="preserve">both Proposition 21 and </w:t>
      </w:r>
      <w:r>
        <w:t xml:space="preserve">a </w:t>
      </w:r>
      <w:r w:rsidRPr="00572D1D" w:rsidR="00B029EA">
        <w:t xml:space="preserve">2012 </w:t>
      </w:r>
      <w:r>
        <w:t xml:space="preserve">initiative, </w:t>
      </w:r>
      <w:r w:rsidRPr="00572D1D" w:rsidR="00B029EA">
        <w:t xml:space="preserve">Proposition </w:t>
      </w:r>
      <w:r w:rsidR="000F352A">
        <w:t>3</w:t>
      </w:r>
      <w:r w:rsidRPr="00572D1D" w:rsidR="00B029EA">
        <w:t>6</w:t>
      </w:r>
      <w:r w:rsidR="002C6D28">
        <w:t xml:space="preserve"> (</w:t>
      </w:r>
      <w:r w:rsidR="0078293B">
        <w:rPr>
          <w:iCs/>
          <w:szCs w:val="26"/>
        </w:rPr>
        <w:t xml:space="preserve">Prop. </w:t>
      </w:r>
      <w:r w:rsidR="00B4388A">
        <w:rPr>
          <w:iCs/>
          <w:szCs w:val="26"/>
        </w:rPr>
        <w:t>36</w:t>
      </w:r>
      <w:r w:rsidR="0078293B">
        <w:rPr>
          <w:iCs/>
          <w:szCs w:val="26"/>
        </w:rPr>
        <w:t xml:space="preserve">, as approved by voters, </w:t>
      </w:r>
      <w:r w:rsidRPr="0082735A" w:rsidR="0078293B">
        <w:rPr>
          <w:iCs/>
          <w:szCs w:val="26"/>
        </w:rPr>
        <w:t xml:space="preserve">Gen. Elec. (Nov. </w:t>
      </w:r>
      <w:r w:rsidR="005C102F">
        <w:rPr>
          <w:iCs/>
          <w:szCs w:val="26"/>
        </w:rPr>
        <w:t>6, 2012</w:t>
      </w:r>
      <w:r w:rsidRPr="0082735A" w:rsidR="0078293B">
        <w:rPr>
          <w:iCs/>
          <w:szCs w:val="26"/>
        </w:rPr>
        <w:t>)</w:t>
      </w:r>
      <w:r w:rsidR="0078293B">
        <w:rPr>
          <w:iCs/>
          <w:szCs w:val="26"/>
        </w:rPr>
        <w:t>)</w:t>
      </w:r>
      <w:r w:rsidRPr="00572D1D" w:rsidR="00D54D17">
        <w:t>.</w:t>
      </w:r>
      <w:r w:rsidRPr="00572D1D" w:rsidR="007304B4">
        <w:rPr>
          <w:iCs/>
          <w:szCs w:val="26"/>
        </w:rPr>
        <w:t xml:space="preserve">  </w:t>
      </w:r>
      <w:r w:rsidRPr="00572D1D" w:rsidR="00D54D17">
        <w:t xml:space="preserve">We </w:t>
      </w:r>
      <w:r>
        <w:t>do not decide that issue here</w:t>
      </w:r>
      <w:r w:rsidRPr="00572D1D" w:rsidR="00D54D17">
        <w:t xml:space="preserve">.  </w:t>
      </w:r>
      <w:r>
        <w:t xml:space="preserve">We simply observe </w:t>
      </w:r>
      <w:r w:rsidRPr="00572D1D" w:rsidR="00D54D17">
        <w:t xml:space="preserve">that </w:t>
      </w:r>
      <w:r w:rsidRPr="00572D1D" w:rsidR="00D54D17">
        <w:rPr>
          <w:iCs/>
          <w:szCs w:val="26"/>
        </w:rPr>
        <w:t>t</w:t>
      </w:r>
      <w:r w:rsidRPr="00572D1D" w:rsidR="007E4CBF">
        <w:rPr>
          <w:iCs/>
          <w:szCs w:val="26"/>
        </w:rPr>
        <w:t xml:space="preserve">he text of </w:t>
      </w:r>
      <w:r w:rsidRPr="00572D1D" w:rsidR="00DF7519">
        <w:rPr>
          <w:iCs/>
          <w:szCs w:val="26"/>
        </w:rPr>
        <w:t xml:space="preserve">Proposition 21 </w:t>
      </w:r>
      <w:r w:rsidRPr="00572D1D" w:rsidR="007E4CBF">
        <w:rPr>
          <w:iCs/>
          <w:szCs w:val="26"/>
        </w:rPr>
        <w:t>shows the voters understood that cross-referenced statutes may evolve</w:t>
      </w:r>
      <w:r w:rsidR="00EA08F8">
        <w:rPr>
          <w:iCs/>
          <w:szCs w:val="26"/>
        </w:rPr>
        <w:t>,</w:t>
      </w:r>
      <w:r w:rsidRPr="00572D1D" w:rsidR="007E4CBF">
        <w:rPr>
          <w:iCs/>
          <w:szCs w:val="26"/>
        </w:rPr>
        <w:t xml:space="preserve"> and they </w:t>
      </w:r>
      <w:r w:rsidRPr="00572D1D" w:rsidR="009A5F55">
        <w:rPr>
          <w:iCs/>
          <w:szCs w:val="26"/>
        </w:rPr>
        <w:t xml:space="preserve">knew how to </w:t>
      </w:r>
      <w:r>
        <w:rPr>
          <w:iCs/>
          <w:szCs w:val="26"/>
        </w:rPr>
        <w:t>lock in the meaning of a cross-referenced statute</w:t>
      </w:r>
      <w:r w:rsidRPr="00572D1D" w:rsidR="007E4CBF">
        <w:rPr>
          <w:iCs/>
          <w:szCs w:val="26"/>
        </w:rPr>
        <w:t xml:space="preserve">. </w:t>
      </w:r>
      <w:r w:rsidRPr="00572D1D" w:rsidR="009A5F55">
        <w:rPr>
          <w:iCs/>
          <w:szCs w:val="26"/>
        </w:rPr>
        <w:t xml:space="preserve"> </w:t>
      </w:r>
      <w:r w:rsidRPr="00572D1D" w:rsidR="007E4CBF">
        <w:rPr>
          <w:iCs/>
          <w:szCs w:val="26"/>
        </w:rPr>
        <w:t>Y</w:t>
      </w:r>
      <w:r w:rsidRPr="00572D1D" w:rsidR="009A5F55">
        <w:rPr>
          <w:iCs/>
          <w:szCs w:val="26"/>
        </w:rPr>
        <w:t xml:space="preserve">et </w:t>
      </w:r>
      <w:r w:rsidRPr="00572D1D" w:rsidR="007E4CBF">
        <w:rPr>
          <w:iCs/>
          <w:szCs w:val="26"/>
        </w:rPr>
        <w:t xml:space="preserve">the voters </w:t>
      </w:r>
      <w:r w:rsidRPr="00572D1D" w:rsidR="009A5F55">
        <w:rPr>
          <w:iCs/>
          <w:szCs w:val="26"/>
        </w:rPr>
        <w:t>chose not to do so with respect to the gang-murder special circumstance</w:t>
      </w:r>
      <w:r w:rsidRPr="00572D1D" w:rsidR="00590853">
        <w:rPr>
          <w:iCs/>
          <w:szCs w:val="26"/>
        </w:rPr>
        <w:t>.</w:t>
      </w:r>
      <w:r w:rsidRPr="00572D1D" w:rsidR="00160D45">
        <w:rPr>
          <w:iCs/>
          <w:szCs w:val="26"/>
        </w:rPr>
        <w:t xml:space="preserve">  (</w:t>
      </w:r>
      <w:r w:rsidRPr="00572D1D" w:rsidR="001F695B">
        <w:t xml:space="preserve">Cf. </w:t>
      </w:r>
      <w:r w:rsidRPr="0044287B" w:rsidR="001F695B">
        <w:rPr>
          <w:i/>
          <w:iCs/>
        </w:rPr>
        <w:t>Pasadena Police Officers Assn</w:t>
      </w:r>
      <w:r w:rsidRPr="00572D1D" w:rsidR="001F695B">
        <w:rPr>
          <w:i/>
          <w:iCs/>
        </w:rPr>
        <w:t>. v. City of Pasadena</w:t>
      </w:r>
      <w:r w:rsidRPr="00572D1D" w:rsidR="001F695B">
        <w:t xml:space="preserve"> (1990) 51 Cal.3d 564, 576 [“When the Legislature ‘has employed a term or phrase in one place and excluded it in another, it should not be implied where excluded</w:t>
      </w:r>
      <w:r>
        <w:t>.</w:t>
      </w:r>
      <w:r w:rsidRPr="00572D1D" w:rsidR="001F695B">
        <w:t xml:space="preserve">’ ”].)  </w:t>
      </w:r>
    </w:p>
    <w:p w:rsidR="006A0403" w:rsidRPr="00572D1D" w:rsidP="00F3496B" w14:paraId="163A97A7" w14:textId="77777777">
      <w:pPr>
        <w:pStyle w:val="Heading2"/>
        <w:ind w:left="0" w:firstLine="0"/>
        <w:jc w:val="center"/>
      </w:pPr>
      <w:r>
        <w:t>C</w:t>
      </w:r>
      <w:r w:rsidRPr="00572D1D">
        <w:t>.</w:t>
      </w:r>
    </w:p>
    <w:p w:rsidR="00050847" w:rsidP="001411E7" w14:paraId="163A97A8" w14:textId="77777777">
      <w:pPr>
        <w:pStyle w:val="Body"/>
        <w:spacing w:line="400" w:lineRule="exact"/>
        <w:rPr>
          <w:iCs/>
          <w:szCs w:val="26"/>
        </w:rPr>
      </w:pPr>
      <w:r w:rsidRPr="00572D1D">
        <w:rPr>
          <w:iCs/>
          <w:szCs w:val="26"/>
        </w:rPr>
        <w:t>The Attorney General’s primary argument is that application of A</w:t>
      </w:r>
      <w:r w:rsidRPr="00572D1D" w:rsidR="00BB13BA">
        <w:rPr>
          <w:iCs/>
          <w:szCs w:val="26"/>
        </w:rPr>
        <w:t xml:space="preserve">ssembly </w:t>
      </w:r>
      <w:r w:rsidRPr="00572D1D">
        <w:rPr>
          <w:iCs/>
          <w:szCs w:val="26"/>
        </w:rPr>
        <w:t>B</w:t>
      </w:r>
      <w:r w:rsidRPr="00572D1D" w:rsidR="00BB13BA">
        <w:rPr>
          <w:iCs/>
          <w:szCs w:val="26"/>
        </w:rPr>
        <w:t>ill</w:t>
      </w:r>
      <w:r w:rsidRPr="00572D1D">
        <w:rPr>
          <w:iCs/>
          <w:szCs w:val="26"/>
        </w:rPr>
        <w:t xml:space="preserve"> 333 </w:t>
      </w:r>
      <w:r w:rsidR="001411E7">
        <w:rPr>
          <w:iCs/>
          <w:szCs w:val="26"/>
        </w:rPr>
        <w:t xml:space="preserve">would </w:t>
      </w:r>
      <w:r w:rsidR="000B0CB8">
        <w:rPr>
          <w:iCs/>
          <w:szCs w:val="26"/>
        </w:rPr>
        <w:t>frustrate the voters’ intent</w:t>
      </w:r>
      <w:r w:rsidRPr="00572D1D" w:rsidR="000B0CB8">
        <w:rPr>
          <w:iCs/>
          <w:szCs w:val="26"/>
        </w:rPr>
        <w:t xml:space="preserve"> </w:t>
      </w:r>
      <w:r w:rsidRPr="00572D1D">
        <w:rPr>
          <w:iCs/>
          <w:szCs w:val="26"/>
        </w:rPr>
        <w:t>by narrowing the scope of conduct covered by the gang-murder special circumstance</w:t>
      </w:r>
      <w:r w:rsidR="001411E7">
        <w:rPr>
          <w:iCs/>
          <w:szCs w:val="26"/>
        </w:rPr>
        <w:t>,</w:t>
      </w:r>
      <w:r w:rsidR="0033598C">
        <w:rPr>
          <w:iCs/>
          <w:szCs w:val="26"/>
        </w:rPr>
        <w:t xml:space="preserve"> thereby “taking away” from Proposition 21</w:t>
      </w:r>
      <w:r w:rsidRPr="00572D1D">
        <w:rPr>
          <w:iCs/>
          <w:szCs w:val="26"/>
        </w:rPr>
        <w:t>.</w:t>
      </w:r>
      <w:r w:rsidR="001411E7">
        <w:rPr>
          <w:iCs/>
          <w:szCs w:val="26"/>
        </w:rPr>
        <w:t xml:space="preserve">  </w:t>
      </w:r>
      <w:r w:rsidR="000D2C1A">
        <w:rPr>
          <w:iCs/>
          <w:szCs w:val="26"/>
        </w:rPr>
        <w:t>In this context, we</w:t>
      </w:r>
      <w:r w:rsidRPr="000D2C1A" w:rsidR="000D2C1A">
        <w:rPr>
          <w:iCs/>
          <w:szCs w:val="26"/>
        </w:rPr>
        <w:t xml:space="preserve"> have described an amendment as “a legislative act designed to change an existing initiative statute by adding or taking from it some particular provision.” (</w:t>
      </w:r>
      <w:r w:rsidRPr="0044287B" w:rsidR="000D2C1A">
        <w:rPr>
          <w:i/>
          <w:iCs/>
          <w:szCs w:val="26"/>
        </w:rPr>
        <w:t>People v. Cooper</w:t>
      </w:r>
      <w:r w:rsidRPr="0044287B" w:rsidR="000D2C1A">
        <w:rPr>
          <w:iCs/>
          <w:szCs w:val="26"/>
        </w:rPr>
        <w:t xml:space="preserve"> (2002)</w:t>
      </w:r>
      <w:r w:rsidRPr="000D2C1A" w:rsidR="000D2C1A">
        <w:rPr>
          <w:iCs/>
          <w:szCs w:val="26"/>
        </w:rPr>
        <w:t xml:space="preserve"> 27 Cal.4th 38, 44</w:t>
      </w:r>
      <w:r w:rsidR="007F6975">
        <w:rPr>
          <w:iCs/>
          <w:szCs w:val="26"/>
        </w:rPr>
        <w:t>.)  To determine whether Assembly Bill 333 impermissibl</w:t>
      </w:r>
      <w:r w:rsidR="001411E7">
        <w:rPr>
          <w:iCs/>
          <w:szCs w:val="26"/>
        </w:rPr>
        <w:t>y</w:t>
      </w:r>
      <w:r w:rsidR="007F6975">
        <w:rPr>
          <w:iCs/>
          <w:szCs w:val="26"/>
        </w:rPr>
        <w:t xml:space="preserve"> takes away from Proposition 21, </w:t>
      </w:r>
      <w:r>
        <w:rPr>
          <w:iCs/>
          <w:szCs w:val="26"/>
        </w:rPr>
        <w:t xml:space="preserve">“we must </w:t>
      </w:r>
      <w:r w:rsidRPr="00050847">
        <w:rPr>
          <w:iCs/>
          <w:szCs w:val="26"/>
        </w:rPr>
        <w:t>decide what the voters contemplated.</w:t>
      </w:r>
      <w:r>
        <w:rPr>
          <w:iCs/>
          <w:szCs w:val="26"/>
        </w:rPr>
        <w:t>”  (</w:t>
      </w:r>
      <w:r w:rsidRPr="0044287B">
        <w:rPr>
          <w:i/>
          <w:iCs/>
          <w:szCs w:val="26"/>
        </w:rPr>
        <w:t>Pearson</w:t>
      </w:r>
      <w:r w:rsidRPr="0044287B" w:rsidR="00AF130E">
        <w:rPr>
          <w:iCs/>
          <w:szCs w:val="26"/>
        </w:rPr>
        <w:t xml:space="preserve">, </w:t>
      </w:r>
      <w:r w:rsidRPr="0044287B" w:rsidR="00AF130E">
        <w:rPr>
          <w:i/>
          <w:szCs w:val="26"/>
        </w:rPr>
        <w:t>supra</w:t>
      </w:r>
      <w:r w:rsidRPr="0044287B" w:rsidR="00AF130E">
        <w:rPr>
          <w:iCs/>
          <w:szCs w:val="26"/>
        </w:rPr>
        <w:t xml:space="preserve">, </w:t>
      </w:r>
      <w:r w:rsidRPr="0044287B">
        <w:rPr>
          <w:iCs/>
          <w:szCs w:val="26"/>
        </w:rPr>
        <w:t>48</w:t>
      </w:r>
      <w:r w:rsidRPr="00050847">
        <w:rPr>
          <w:iCs/>
          <w:szCs w:val="26"/>
        </w:rPr>
        <w:t xml:space="preserve"> Cal.4th </w:t>
      </w:r>
      <w:r w:rsidR="00AF130E">
        <w:rPr>
          <w:iCs/>
          <w:szCs w:val="26"/>
        </w:rPr>
        <w:t>at p. </w:t>
      </w:r>
      <w:r w:rsidRPr="00050847">
        <w:rPr>
          <w:iCs/>
          <w:szCs w:val="26"/>
        </w:rPr>
        <w:t>571</w:t>
      </w:r>
      <w:r w:rsidR="001411E7">
        <w:rPr>
          <w:iCs/>
          <w:szCs w:val="26"/>
        </w:rPr>
        <w:t xml:space="preserve">; see </w:t>
      </w:r>
      <w:r w:rsidRPr="0044287B" w:rsidR="001411E7">
        <w:rPr>
          <w:i/>
          <w:iCs/>
          <w:szCs w:val="26"/>
        </w:rPr>
        <w:t>Hodges v. Supe</w:t>
      </w:r>
      <w:r w:rsidRPr="00050847" w:rsidR="001411E7">
        <w:rPr>
          <w:i/>
          <w:iCs/>
          <w:szCs w:val="26"/>
        </w:rPr>
        <w:t>rior Court</w:t>
      </w:r>
      <w:r w:rsidRPr="00050847" w:rsidR="001411E7">
        <w:rPr>
          <w:iCs/>
          <w:szCs w:val="26"/>
        </w:rPr>
        <w:t xml:space="preserve"> (1999) 21 Cal.4th 109, 114</w:t>
      </w:r>
      <w:r w:rsidR="001411E7">
        <w:rPr>
          <w:iCs/>
          <w:szCs w:val="26"/>
        </w:rPr>
        <w:t xml:space="preserve"> [</w:t>
      </w:r>
      <w:r>
        <w:rPr>
          <w:iCs/>
          <w:szCs w:val="26"/>
        </w:rPr>
        <w:t>“t</w:t>
      </w:r>
      <w:r w:rsidRPr="00050847">
        <w:rPr>
          <w:iCs/>
          <w:szCs w:val="26"/>
        </w:rPr>
        <w:t>he voters should get what they enacted, not more and not less”</w:t>
      </w:r>
      <w:r w:rsidR="001411E7">
        <w:rPr>
          <w:iCs/>
          <w:szCs w:val="26"/>
        </w:rPr>
        <w:t>]</w:t>
      </w:r>
      <w:r w:rsidRPr="00050847">
        <w:rPr>
          <w:iCs/>
          <w:szCs w:val="26"/>
        </w:rPr>
        <w:t>.)</w:t>
      </w:r>
    </w:p>
    <w:p w:rsidR="00457482" w:rsidRPr="00572D1D" w:rsidP="001411E7" w14:paraId="163A97A9" w14:textId="77777777">
      <w:pPr>
        <w:pStyle w:val="Body"/>
        <w:spacing w:line="400" w:lineRule="exact"/>
        <w:rPr>
          <w:iCs/>
          <w:szCs w:val="26"/>
        </w:rPr>
      </w:pPr>
      <w:r>
        <w:rPr>
          <w:iCs/>
          <w:szCs w:val="26"/>
        </w:rPr>
        <w:t>The Attorney General says</w:t>
      </w:r>
      <w:r w:rsidRPr="00572D1D" w:rsidR="008B3D8A">
        <w:rPr>
          <w:iCs/>
          <w:szCs w:val="26"/>
        </w:rPr>
        <w:t xml:space="preserve"> application of A</w:t>
      </w:r>
      <w:r w:rsidRPr="00572D1D" w:rsidR="00BB13BA">
        <w:rPr>
          <w:iCs/>
          <w:szCs w:val="26"/>
        </w:rPr>
        <w:t xml:space="preserve">ssembly </w:t>
      </w:r>
      <w:r w:rsidRPr="00572D1D" w:rsidR="008B3D8A">
        <w:rPr>
          <w:iCs/>
          <w:szCs w:val="26"/>
        </w:rPr>
        <w:t>B</w:t>
      </w:r>
      <w:r w:rsidRPr="00572D1D" w:rsidR="00BB13BA">
        <w:rPr>
          <w:iCs/>
          <w:szCs w:val="26"/>
        </w:rPr>
        <w:t>ill</w:t>
      </w:r>
      <w:r w:rsidRPr="00572D1D" w:rsidR="008B3D8A">
        <w:rPr>
          <w:iCs/>
          <w:szCs w:val="26"/>
        </w:rPr>
        <w:t xml:space="preserve"> 333 here </w:t>
      </w:r>
      <w:r w:rsidRPr="00572D1D" w:rsidR="00F823BA">
        <w:rPr>
          <w:iCs/>
          <w:szCs w:val="26"/>
        </w:rPr>
        <w:t>conflicts “</w:t>
      </w:r>
      <w:r w:rsidRPr="00572D1D" w:rsidR="008B3D8A">
        <w:rPr>
          <w:iCs/>
          <w:szCs w:val="26"/>
        </w:rPr>
        <w:t>with the electorate’s manifest intent to substantially augment</w:t>
      </w:r>
      <w:r w:rsidRPr="00572D1D" w:rsidR="00F823BA">
        <w:rPr>
          <w:iCs/>
          <w:szCs w:val="26"/>
        </w:rPr>
        <w:t xml:space="preserve"> </w:t>
      </w:r>
      <w:r w:rsidRPr="00572D1D" w:rsidR="008B3D8A">
        <w:rPr>
          <w:iCs/>
          <w:szCs w:val="26"/>
        </w:rPr>
        <w:t>protections against violent gang crime, including by punishing</w:t>
      </w:r>
      <w:r w:rsidRPr="00572D1D" w:rsidR="00F823BA">
        <w:rPr>
          <w:iCs/>
          <w:szCs w:val="26"/>
        </w:rPr>
        <w:t xml:space="preserve"> </w:t>
      </w:r>
      <w:r w:rsidRPr="00572D1D" w:rsidR="008B3D8A">
        <w:rPr>
          <w:iCs/>
          <w:szCs w:val="26"/>
        </w:rPr>
        <w:t xml:space="preserve">more harshly </w:t>
      </w:r>
      <w:r w:rsidRPr="00572D1D" w:rsidR="00F823BA">
        <w:rPr>
          <w:iCs/>
          <w:szCs w:val="26"/>
        </w:rPr>
        <w:t>‘</w:t>
      </w:r>
      <w:r w:rsidRPr="00572D1D" w:rsidR="008B3D8A">
        <w:rPr>
          <w:iCs/>
          <w:szCs w:val="26"/>
        </w:rPr>
        <w:t>murderers who kill as part of any gang-related</w:t>
      </w:r>
      <w:r w:rsidRPr="00572D1D" w:rsidR="00F823BA">
        <w:rPr>
          <w:iCs/>
          <w:szCs w:val="26"/>
        </w:rPr>
        <w:t xml:space="preserve"> </w:t>
      </w:r>
      <w:r w:rsidRPr="00572D1D" w:rsidR="008B3D8A">
        <w:rPr>
          <w:iCs/>
          <w:szCs w:val="26"/>
        </w:rPr>
        <w:t>activity</w:t>
      </w:r>
      <w:r w:rsidRPr="00572D1D" w:rsidR="00F823BA">
        <w:rPr>
          <w:iCs/>
          <w:szCs w:val="26"/>
        </w:rPr>
        <w:t>’ [</w:t>
      </w:r>
      <w:r w:rsidR="0044287B">
        <w:rPr>
          <w:iCs/>
          <w:szCs w:val="26"/>
        </w:rPr>
        <w:t>(</w:t>
      </w:r>
      <w:r w:rsidRPr="00572D1D" w:rsidR="008B3D8A">
        <w:rPr>
          <w:iCs/>
          <w:szCs w:val="26"/>
        </w:rPr>
        <w:t xml:space="preserve">Prop. 21, </w:t>
      </w:r>
      <w:r w:rsidR="009257AA">
        <w:rPr>
          <w:iCs/>
          <w:szCs w:val="26"/>
        </w:rPr>
        <w:t>§ </w:t>
      </w:r>
      <w:r w:rsidRPr="00572D1D" w:rsidR="008B3D8A">
        <w:rPr>
          <w:iCs/>
          <w:szCs w:val="26"/>
        </w:rPr>
        <w:t>2, subd. (h)</w:t>
      </w:r>
      <w:r w:rsidR="0044287B">
        <w:rPr>
          <w:iCs/>
          <w:szCs w:val="26"/>
        </w:rPr>
        <w:t>)</w:t>
      </w:r>
      <w:r w:rsidRPr="00572D1D" w:rsidR="00F823BA">
        <w:rPr>
          <w:iCs/>
          <w:szCs w:val="26"/>
        </w:rPr>
        <w:t>]</w:t>
      </w:r>
      <w:r w:rsidRPr="00572D1D" w:rsidR="00B96EBC">
        <w:rPr>
          <w:iCs/>
          <w:szCs w:val="26"/>
        </w:rPr>
        <w:t>.”  He adds, “</w:t>
      </w:r>
      <w:r w:rsidRPr="00572D1D" w:rsidR="008B3D8A">
        <w:rPr>
          <w:iCs/>
          <w:szCs w:val="26"/>
        </w:rPr>
        <w:t>It would be</w:t>
      </w:r>
      <w:r w:rsidRPr="00572D1D" w:rsidR="00B96EBC">
        <w:rPr>
          <w:iCs/>
          <w:szCs w:val="26"/>
        </w:rPr>
        <w:t xml:space="preserve"> </w:t>
      </w:r>
      <w:r w:rsidRPr="00572D1D" w:rsidR="008B3D8A">
        <w:rPr>
          <w:iCs/>
          <w:szCs w:val="26"/>
        </w:rPr>
        <w:t>strange, in light of that intent, to conclude that the electorate</w:t>
      </w:r>
      <w:r w:rsidRPr="00572D1D" w:rsidR="00B96EBC">
        <w:rPr>
          <w:iCs/>
          <w:szCs w:val="26"/>
        </w:rPr>
        <w:t xml:space="preserve"> </w:t>
      </w:r>
      <w:r w:rsidRPr="00572D1D" w:rsidR="008B3D8A">
        <w:rPr>
          <w:iCs/>
          <w:szCs w:val="26"/>
        </w:rPr>
        <w:t>also understood that the Legislature was free to narrow</w:t>
      </w:r>
      <w:r w:rsidRPr="00572D1D" w:rsidR="00B96EBC">
        <w:rPr>
          <w:iCs/>
          <w:szCs w:val="26"/>
        </w:rPr>
        <w:t> </w:t>
      </w:r>
      <w:r w:rsidRPr="00572D1D" w:rsidR="008B3D8A">
        <w:rPr>
          <w:iCs/>
          <w:szCs w:val="26"/>
        </w:rPr>
        <w:t>—</w:t>
      </w:r>
      <w:r w:rsidRPr="00572D1D" w:rsidR="00B96EBC">
        <w:rPr>
          <w:iCs/>
          <w:szCs w:val="26"/>
        </w:rPr>
        <w:t xml:space="preserve"> </w:t>
      </w:r>
      <w:r w:rsidRPr="00572D1D" w:rsidR="008B3D8A">
        <w:rPr>
          <w:iCs/>
          <w:szCs w:val="26"/>
        </w:rPr>
        <w:t>in</w:t>
      </w:r>
      <w:r w:rsidRPr="00572D1D" w:rsidR="00B96EBC">
        <w:rPr>
          <w:iCs/>
          <w:szCs w:val="26"/>
        </w:rPr>
        <w:t xml:space="preserve"> </w:t>
      </w:r>
      <w:r w:rsidRPr="00572D1D" w:rsidR="008B3D8A">
        <w:rPr>
          <w:iCs/>
          <w:szCs w:val="26"/>
        </w:rPr>
        <w:t>potentially significant ways</w:t>
      </w:r>
      <w:r w:rsidRPr="00572D1D" w:rsidR="00B96EBC">
        <w:rPr>
          <w:iCs/>
          <w:szCs w:val="26"/>
        </w:rPr>
        <w:t> </w:t>
      </w:r>
      <w:r w:rsidRPr="00572D1D" w:rsidR="008B3D8A">
        <w:rPr>
          <w:iCs/>
          <w:szCs w:val="26"/>
        </w:rPr>
        <w:t>—</w:t>
      </w:r>
      <w:r w:rsidRPr="00572D1D" w:rsidR="00B96EBC">
        <w:rPr>
          <w:iCs/>
          <w:szCs w:val="26"/>
        </w:rPr>
        <w:t xml:space="preserve"> </w:t>
      </w:r>
      <w:r w:rsidRPr="00572D1D" w:rsidR="008B3D8A">
        <w:rPr>
          <w:iCs/>
          <w:szCs w:val="26"/>
        </w:rPr>
        <w:t>the scope of the protections that</w:t>
      </w:r>
      <w:r w:rsidRPr="00572D1D" w:rsidR="00B96EBC">
        <w:rPr>
          <w:iCs/>
          <w:szCs w:val="26"/>
        </w:rPr>
        <w:t xml:space="preserve"> </w:t>
      </w:r>
      <w:r w:rsidRPr="00572D1D" w:rsidR="008B3D8A">
        <w:rPr>
          <w:iCs/>
          <w:szCs w:val="26"/>
        </w:rPr>
        <w:t>Proposition 21 established.</w:t>
      </w:r>
      <w:r w:rsidRPr="00572D1D" w:rsidR="00D90585">
        <w:rPr>
          <w:iCs/>
          <w:szCs w:val="26"/>
        </w:rPr>
        <w:t>”</w:t>
      </w:r>
      <w:r>
        <w:rPr>
          <w:iCs/>
          <w:szCs w:val="26"/>
        </w:rPr>
        <w:t xml:space="preserve">  </w:t>
      </w:r>
      <w:r w:rsidRPr="00572D1D" w:rsidR="00092139">
        <w:rPr>
          <w:iCs/>
          <w:szCs w:val="26"/>
        </w:rPr>
        <w:t>But t</w:t>
      </w:r>
      <w:r w:rsidRPr="00572D1D" w:rsidR="003E0618">
        <w:rPr>
          <w:iCs/>
          <w:szCs w:val="26"/>
        </w:rPr>
        <w:t>he</w:t>
      </w:r>
      <w:r w:rsidRPr="00572D1D" w:rsidR="00773B6E">
        <w:t xml:space="preserve"> phrase “any gang-related activity” </w:t>
      </w:r>
      <w:r w:rsidRPr="00572D1D" w:rsidR="003E0618">
        <w:t xml:space="preserve">in Proposition 21 </w:t>
      </w:r>
      <w:r w:rsidRPr="00572D1D" w:rsidR="00773B6E">
        <w:t xml:space="preserve">simply begs the question of what the voters </w:t>
      </w:r>
      <w:r w:rsidRPr="00572D1D" w:rsidR="00254361">
        <w:t xml:space="preserve">intended </w:t>
      </w:r>
      <w:r w:rsidRPr="00572D1D" w:rsidR="00773B6E">
        <w:t xml:space="preserve">“gang-related activity” </w:t>
      </w:r>
      <w:r w:rsidRPr="00572D1D" w:rsidR="00254361">
        <w:t xml:space="preserve">to </w:t>
      </w:r>
      <w:r w:rsidRPr="00572D1D" w:rsidR="00773B6E">
        <w:t>mean; it does not indicate that the voters wanted to lock in the then-current definition</w:t>
      </w:r>
      <w:r w:rsidRPr="00572D1D" w:rsidR="00D64A29">
        <w:t xml:space="preserve">.  </w:t>
      </w:r>
      <w:r w:rsidRPr="00572D1D" w:rsidR="00000FA2">
        <w:t xml:space="preserve">The voters chose to </w:t>
      </w:r>
      <w:r w:rsidRPr="00572D1D" w:rsidR="00D64A29">
        <w:t>defin</w:t>
      </w:r>
      <w:r w:rsidRPr="00572D1D" w:rsidR="00000FA2">
        <w:t>e</w:t>
      </w:r>
      <w:r w:rsidRPr="00572D1D" w:rsidR="00D64A29">
        <w:t xml:space="preserve"> the term </w:t>
      </w:r>
      <w:r w:rsidRPr="00572D1D" w:rsidR="00000FA2">
        <w:t xml:space="preserve">“criminal street gang” </w:t>
      </w:r>
      <w:r w:rsidRPr="00572D1D" w:rsidR="00815377">
        <w:t xml:space="preserve">by </w:t>
      </w:r>
      <w:r w:rsidRPr="00572D1D" w:rsidR="00D64A29">
        <w:t>reference to the existing statute,</w:t>
      </w:r>
      <w:r w:rsidRPr="00572D1D" w:rsidR="00000FA2">
        <w:t xml:space="preserve"> section 186.22(f),</w:t>
      </w:r>
      <w:r w:rsidRPr="00572D1D" w:rsidR="00D64A29">
        <w:t xml:space="preserve"> which had been amended several times </w:t>
      </w:r>
      <w:r w:rsidRPr="00572D1D" w:rsidR="00B8165F">
        <w:t xml:space="preserve">by the Legislature </w:t>
      </w:r>
      <w:r w:rsidRPr="00572D1D" w:rsidR="00D64A29">
        <w:t>before Proposition 21</w:t>
      </w:r>
      <w:r w:rsidRPr="00572D1D" w:rsidR="00000FA2">
        <w:t>.  In so doing,</w:t>
      </w:r>
      <w:r w:rsidRPr="00572D1D" w:rsidR="00D64A29">
        <w:t xml:space="preserve"> the voters </w:t>
      </w:r>
      <w:r w:rsidRPr="00572D1D" w:rsidR="00B8165F">
        <w:t>incorporate</w:t>
      </w:r>
      <w:r w:rsidRPr="00572D1D" w:rsidR="00000FA2">
        <w:t>d</w:t>
      </w:r>
      <w:r w:rsidRPr="00572D1D" w:rsidR="00B8165F">
        <w:t xml:space="preserve"> a definition that they knew was </w:t>
      </w:r>
      <w:r w:rsidRPr="00572D1D" w:rsidR="007F4946">
        <w:t xml:space="preserve">both </w:t>
      </w:r>
      <w:r w:rsidRPr="00572D1D" w:rsidR="00B8165F">
        <w:t xml:space="preserve">changeable </w:t>
      </w:r>
      <w:r w:rsidRPr="00572D1D" w:rsidR="007F4946">
        <w:t>and had been repeatedly subject to change.</w:t>
      </w:r>
    </w:p>
    <w:p w:rsidR="00670880" w:rsidRPr="00572D1D" w:rsidP="00572D1D" w14:paraId="163A97AA" w14:textId="77777777">
      <w:pPr>
        <w:pStyle w:val="Body"/>
        <w:spacing w:line="400" w:lineRule="exact"/>
      </w:pPr>
      <w:r w:rsidRPr="00572D1D">
        <w:t>As originally enacted, t</w:t>
      </w:r>
      <w:r w:rsidRPr="00572D1D" w:rsidR="008277EA">
        <w:t>he STEP Act defined “criminal street gang” to mean “</w:t>
      </w:r>
      <w:r w:rsidRPr="00572D1D" w:rsidR="00643952">
        <w:t>any ongoing organization, association, or group of three or more persons, whether formal or informal, having as one of its primary activities the commission of one or more of the criminal acts enumerated in paragraphs (1) to (7), inclusive, of subdivision (c), which has a common name or common identifying sign or symbol, whose members individually or collectively engage in or have engaged in a pattern of criminal gang activity.”  (</w:t>
      </w:r>
      <w:r w:rsidR="0044287B">
        <w:t>F</w:t>
      </w:r>
      <w:r w:rsidRPr="00572D1D" w:rsidR="0044287B">
        <w:t xml:space="preserve">ormer </w:t>
      </w:r>
      <w:r w:rsidR="0044287B">
        <w:t>§ </w:t>
      </w:r>
      <w:r w:rsidRPr="00572D1D" w:rsidR="0044287B">
        <w:t>186.22, subd. (d)</w:t>
      </w:r>
      <w:r w:rsidR="0044287B">
        <w:t xml:space="preserve">, added by </w:t>
      </w:r>
      <w:r w:rsidRPr="00572D1D" w:rsidR="00643952">
        <w:t>Stats. 1988,</w:t>
      </w:r>
      <w:r w:rsidR="009257AA">
        <w:t xml:space="preserve"> ch. </w:t>
      </w:r>
      <w:r w:rsidRPr="00572D1D" w:rsidR="00643952">
        <w:t xml:space="preserve">1256, </w:t>
      </w:r>
      <w:r w:rsidR="009257AA">
        <w:t>§ </w:t>
      </w:r>
      <w:r w:rsidRPr="00572D1D" w:rsidR="00643952">
        <w:t>1</w:t>
      </w:r>
      <w:r w:rsidR="00793933">
        <w:t>, p.</w:t>
      </w:r>
      <w:r w:rsidR="000F5585">
        <w:t> </w:t>
      </w:r>
      <w:r w:rsidR="0044287B">
        <w:t>4181</w:t>
      </w:r>
      <w:r w:rsidRPr="00572D1D" w:rsidR="00643952">
        <w:t xml:space="preserve">.)  That definition has been amended </w:t>
      </w:r>
      <w:r w:rsidR="001411E7">
        <w:t>over</w:t>
      </w:r>
      <w:r w:rsidRPr="00572D1D" w:rsidR="001411E7">
        <w:t xml:space="preserve"> </w:t>
      </w:r>
      <w:r w:rsidRPr="00572D1D" w:rsidR="00643952">
        <w:t>the years</w:t>
      </w:r>
      <w:r w:rsidRPr="00572D1D">
        <w:t>, both before and after the enactment of Proposition 21.</w:t>
      </w:r>
      <w:r w:rsidRPr="00572D1D" w:rsidR="00FA0750">
        <w:t xml:space="preserve">  After being recodified in 1991 at </w:t>
      </w:r>
      <w:r w:rsidRPr="00572D1D" w:rsidR="00254361">
        <w:t xml:space="preserve">section </w:t>
      </w:r>
      <w:r w:rsidRPr="00572D1D" w:rsidR="00FA0750">
        <w:t>186.22(f), the definition of “criminal street gang” was expanded in 1993</w:t>
      </w:r>
      <w:r w:rsidRPr="00572D1D" w:rsidR="00B4773E">
        <w:t xml:space="preserve"> and 1994 to incorporate </w:t>
      </w:r>
      <w:r w:rsidRPr="00572D1D" w:rsidR="00254361">
        <w:t>additional</w:t>
      </w:r>
      <w:r w:rsidRPr="00572D1D" w:rsidR="00B4773E">
        <w:t xml:space="preserve"> enumerated predicate offenses.  (See </w:t>
      </w:r>
      <w:r w:rsidRPr="00572D1D" w:rsidR="008C540F">
        <w:t>Stats.</w:t>
      </w:r>
      <w:r w:rsidRPr="00572D1D" w:rsidR="00B831FC">
        <w:t xml:space="preserve"> </w:t>
      </w:r>
      <w:r w:rsidRPr="00572D1D" w:rsidR="008C540F">
        <w:t>1993,</w:t>
      </w:r>
      <w:r w:rsidR="009257AA">
        <w:t xml:space="preserve"> ch. </w:t>
      </w:r>
      <w:r w:rsidRPr="00572D1D" w:rsidR="008C540F">
        <w:t xml:space="preserve">601, </w:t>
      </w:r>
      <w:r w:rsidR="009257AA">
        <w:t>§ </w:t>
      </w:r>
      <w:r w:rsidRPr="00572D1D" w:rsidR="008C540F">
        <w:t>1</w:t>
      </w:r>
      <w:r w:rsidR="00793933">
        <w:t>, p.</w:t>
      </w:r>
      <w:r w:rsidR="000F5585">
        <w:t> </w:t>
      </w:r>
      <w:r w:rsidR="00985E40">
        <w:t>31</w:t>
      </w:r>
      <w:r w:rsidR="00812587">
        <w:t>61</w:t>
      </w:r>
      <w:r w:rsidRPr="00572D1D" w:rsidR="00CF36CD">
        <w:t>; Stats.</w:t>
      </w:r>
      <w:r w:rsidRPr="00572D1D" w:rsidR="00B831FC">
        <w:t xml:space="preserve"> </w:t>
      </w:r>
      <w:r w:rsidRPr="00572D1D" w:rsidR="00CF36CD">
        <w:t>1993,</w:t>
      </w:r>
      <w:r w:rsidR="009257AA">
        <w:t xml:space="preserve"> ch. </w:t>
      </w:r>
      <w:r w:rsidRPr="00572D1D" w:rsidR="00CF36CD">
        <w:t xml:space="preserve">1125, </w:t>
      </w:r>
      <w:r w:rsidR="009257AA">
        <w:t>§ </w:t>
      </w:r>
      <w:r w:rsidRPr="00572D1D" w:rsidR="00CF36CD">
        <w:t>3</w:t>
      </w:r>
      <w:r w:rsidR="00793933">
        <w:t>, p.</w:t>
      </w:r>
      <w:r w:rsidR="000F5585">
        <w:t> </w:t>
      </w:r>
      <w:r w:rsidR="00A870C8">
        <w:t>6291</w:t>
      </w:r>
      <w:r w:rsidRPr="00572D1D" w:rsidR="00572554">
        <w:t>; Stats.</w:t>
      </w:r>
      <w:r w:rsidRPr="00572D1D" w:rsidR="00B831FC">
        <w:t xml:space="preserve"> </w:t>
      </w:r>
      <w:r w:rsidRPr="00572D1D" w:rsidR="00572554">
        <w:t>1994,</w:t>
      </w:r>
      <w:r w:rsidR="009257AA">
        <w:t xml:space="preserve"> ch. </w:t>
      </w:r>
      <w:r w:rsidRPr="00572D1D" w:rsidR="00572554">
        <w:t xml:space="preserve">47, </w:t>
      </w:r>
      <w:r w:rsidR="009257AA">
        <w:t>§ </w:t>
      </w:r>
      <w:r w:rsidRPr="00572D1D" w:rsidR="00572554">
        <w:t xml:space="preserve">1, </w:t>
      </w:r>
      <w:r w:rsidR="00793933">
        <w:t>p.</w:t>
      </w:r>
      <w:r w:rsidR="000F5585">
        <w:t> </w:t>
      </w:r>
      <w:r w:rsidR="00D74CD4">
        <w:t>390</w:t>
      </w:r>
      <w:r w:rsidR="00793933">
        <w:t xml:space="preserve">, </w:t>
      </w:r>
      <w:r w:rsidRPr="00572D1D" w:rsidR="00572554">
        <w:t>eff. Apr</w:t>
      </w:r>
      <w:r w:rsidR="0044287B">
        <w:t>.</w:t>
      </w:r>
      <w:r w:rsidRPr="00572D1D" w:rsidR="00572554">
        <w:t xml:space="preserve"> 19, 1994.)  Similarly, Proposition 21 </w:t>
      </w:r>
      <w:r w:rsidRPr="00572D1D" w:rsidR="001A4377">
        <w:t xml:space="preserve">added </w:t>
      </w:r>
      <w:r w:rsidRPr="00572D1D" w:rsidR="00195488">
        <w:t>two crimes to the list of predicate offenses and incorporated those into the definition of “criminal street gang</w:t>
      </w:r>
      <w:r w:rsidRPr="00572D1D" w:rsidR="00254361">
        <w:t>.</w:t>
      </w:r>
      <w:r w:rsidRPr="00572D1D" w:rsidR="00195488">
        <w:t xml:space="preserve">”  (Prop. 21, </w:t>
      </w:r>
      <w:r w:rsidR="009257AA">
        <w:t>§ </w:t>
      </w:r>
      <w:r w:rsidRPr="00572D1D" w:rsidR="00195488">
        <w:t>4 [</w:t>
      </w:r>
      <w:r w:rsidR="001411E7">
        <w:t>amending</w:t>
      </w:r>
      <w:r w:rsidRPr="00572D1D" w:rsidR="00195488">
        <w:t xml:space="preserve"> </w:t>
      </w:r>
      <w:r w:rsidR="009257AA">
        <w:t>§ </w:t>
      </w:r>
      <w:r w:rsidRPr="00572D1D" w:rsidR="00195488">
        <w:t>186.22, subds. (e), (f)].)</w:t>
      </w:r>
      <w:r w:rsidRPr="00572D1D" w:rsidR="003A73C2">
        <w:t xml:space="preserve">  The definition of “criminal street gang” has continued to evolve after Proposition 21, in ways that </w:t>
      </w:r>
      <w:r w:rsidRPr="00572D1D" w:rsidR="00B233C2">
        <w:t>both expand</w:t>
      </w:r>
      <w:r w:rsidRPr="00572D1D" w:rsidR="003A73C2">
        <w:t xml:space="preserve"> (see </w:t>
      </w:r>
      <w:r w:rsidRPr="00572D1D" w:rsidR="00B233C2">
        <w:t>Stats.</w:t>
      </w:r>
      <w:r w:rsidRPr="00572D1D" w:rsidR="00B831FC">
        <w:t xml:space="preserve"> </w:t>
      </w:r>
      <w:r w:rsidRPr="00572D1D" w:rsidR="00B233C2">
        <w:t>2006,</w:t>
      </w:r>
      <w:r w:rsidR="009257AA">
        <w:t xml:space="preserve"> ch. </w:t>
      </w:r>
      <w:r w:rsidRPr="00572D1D" w:rsidR="00B233C2">
        <w:t xml:space="preserve">596, </w:t>
      </w:r>
      <w:r w:rsidR="009257AA">
        <w:t>§ </w:t>
      </w:r>
      <w:r w:rsidRPr="00572D1D" w:rsidR="00B233C2">
        <w:t>1</w:t>
      </w:r>
      <w:r w:rsidR="00793933">
        <w:t xml:space="preserve">, p. </w:t>
      </w:r>
      <w:r w:rsidR="000341F7">
        <w:t>4932</w:t>
      </w:r>
      <w:r w:rsidRPr="00572D1D" w:rsidR="00B233C2">
        <w:t xml:space="preserve"> [amend</w:t>
      </w:r>
      <w:r w:rsidR="001411E7">
        <w:t>ing</w:t>
      </w:r>
      <w:r w:rsidRPr="00572D1D" w:rsidR="00B233C2">
        <w:t xml:space="preserve"> </w:t>
      </w:r>
      <w:r w:rsidR="009257AA">
        <w:t>§ </w:t>
      </w:r>
      <w:r w:rsidRPr="00572D1D" w:rsidR="00B233C2">
        <w:t>186.22(f) to incorporate an expanded list of enumerated offenses]) and contract (see A</w:t>
      </w:r>
      <w:r w:rsidRPr="00572D1D" w:rsidR="00BB13BA">
        <w:t>ssem</w:t>
      </w:r>
      <w:r w:rsidR="003549B9">
        <w:t>.</w:t>
      </w:r>
      <w:r w:rsidRPr="00572D1D" w:rsidR="00BB13BA">
        <w:t xml:space="preserve"> </w:t>
      </w:r>
      <w:r w:rsidRPr="00572D1D" w:rsidR="00B233C2">
        <w:t>B</w:t>
      </w:r>
      <w:r w:rsidRPr="00572D1D" w:rsidR="00BB13BA">
        <w:t>ill</w:t>
      </w:r>
      <w:r w:rsidRPr="00572D1D" w:rsidR="00B233C2">
        <w:t xml:space="preserve"> 333) that definition.</w:t>
      </w:r>
      <w:r w:rsidRPr="00572D1D" w:rsidR="003422FF">
        <w:t xml:space="preserve">  </w:t>
      </w:r>
      <w:r w:rsidRPr="00572D1D" w:rsidR="00254361">
        <w:t xml:space="preserve">The </w:t>
      </w:r>
      <w:r w:rsidRPr="00572D1D" w:rsidR="003422FF">
        <w:t xml:space="preserve">voters </w:t>
      </w:r>
      <w:r w:rsidRPr="00572D1D" w:rsidR="00254361">
        <w:t xml:space="preserve">who enacted Proposition 21 knew that </w:t>
      </w:r>
      <w:r w:rsidRPr="00572D1D" w:rsidR="003422FF">
        <w:t xml:space="preserve">the </w:t>
      </w:r>
      <w:r w:rsidRPr="00572D1D" w:rsidR="00675324">
        <w:t>definition of “criminal street gang”</w:t>
      </w:r>
      <w:r w:rsidRPr="00572D1D" w:rsidR="00254361">
        <w:t xml:space="preserve"> was changeable</w:t>
      </w:r>
      <w:r w:rsidRPr="00572D1D" w:rsidR="008326E6">
        <w:t xml:space="preserve"> </w:t>
      </w:r>
      <w:r w:rsidRPr="00572D1D" w:rsidR="008326E6">
        <w:rPr>
          <w:iCs/>
          <w:szCs w:val="26"/>
        </w:rPr>
        <w:t xml:space="preserve">(see </w:t>
      </w:r>
      <w:r w:rsidRPr="00572D1D" w:rsidR="008326E6">
        <w:rPr>
          <w:i/>
          <w:iCs/>
          <w:szCs w:val="26"/>
        </w:rPr>
        <w:t>Professional Engineers</w:t>
      </w:r>
      <w:r w:rsidRPr="00572D1D" w:rsidR="008326E6">
        <w:rPr>
          <w:szCs w:val="26"/>
        </w:rPr>
        <w:t xml:space="preserve">, </w:t>
      </w:r>
      <w:r w:rsidRPr="00572D1D" w:rsidR="008326E6">
        <w:rPr>
          <w:i/>
          <w:iCs/>
          <w:szCs w:val="26"/>
        </w:rPr>
        <w:t>supra</w:t>
      </w:r>
      <w:r w:rsidRPr="00572D1D" w:rsidR="008326E6">
        <w:rPr>
          <w:szCs w:val="26"/>
        </w:rPr>
        <w:t xml:space="preserve">, </w:t>
      </w:r>
      <w:r w:rsidRPr="00572D1D" w:rsidR="008326E6">
        <w:rPr>
          <w:iCs/>
          <w:szCs w:val="26"/>
        </w:rPr>
        <w:t>40 Cal.4th at</w:t>
      </w:r>
      <w:r w:rsidR="009257AA">
        <w:rPr>
          <w:iCs/>
          <w:szCs w:val="26"/>
        </w:rPr>
        <w:t xml:space="preserve"> p. </w:t>
      </w:r>
      <w:r w:rsidRPr="00572D1D" w:rsidR="008326E6">
        <w:rPr>
          <w:iCs/>
          <w:szCs w:val="26"/>
        </w:rPr>
        <w:t>1048 [we presume voters are “aware of existing laws at the time the initiative was enacted”])</w:t>
      </w:r>
      <w:r w:rsidRPr="00572D1D" w:rsidR="00254361">
        <w:t xml:space="preserve">, and there is no indication </w:t>
      </w:r>
      <w:r w:rsidRPr="00572D1D" w:rsidR="00675324">
        <w:t xml:space="preserve">they intended to foreclose future </w:t>
      </w:r>
      <w:r w:rsidRPr="00572D1D" w:rsidR="008326E6">
        <w:t xml:space="preserve">changes to the definition or to allow only </w:t>
      </w:r>
      <w:r w:rsidRPr="00572D1D" w:rsidR="00254361">
        <w:t xml:space="preserve">expansion </w:t>
      </w:r>
      <w:r w:rsidRPr="00572D1D" w:rsidR="008326E6">
        <w:t xml:space="preserve">and not </w:t>
      </w:r>
      <w:r w:rsidRPr="00572D1D" w:rsidR="00675324">
        <w:t>contraction of th</w:t>
      </w:r>
      <w:r w:rsidRPr="00572D1D" w:rsidR="008326E6">
        <w:t>e</w:t>
      </w:r>
      <w:r w:rsidRPr="00572D1D" w:rsidR="00675324">
        <w:t xml:space="preserve"> definition.</w:t>
      </w:r>
    </w:p>
    <w:p w:rsidR="00BF7FE7" w:rsidRPr="00572D1D" w:rsidP="00572D1D" w14:paraId="163A97AB" w14:textId="77777777">
      <w:pPr>
        <w:tabs>
          <w:tab w:val="left" w:pos="1440"/>
        </w:tabs>
        <w:ind w:firstLine="720"/>
        <w:rPr>
          <w:iCs/>
          <w:szCs w:val="26"/>
        </w:rPr>
      </w:pPr>
      <w:r w:rsidRPr="00572D1D">
        <w:t>Rather, w</w:t>
      </w:r>
      <w:r w:rsidRPr="00572D1D" w:rsidR="00BF058C">
        <w:t>hen the voters adopted</w:t>
      </w:r>
      <w:r w:rsidRPr="00572D1D" w:rsidR="002C461B">
        <w:t xml:space="preserve"> </w:t>
      </w:r>
      <w:r w:rsidRPr="00572D1D" w:rsidR="002C461B">
        <w:rPr>
          <w:iCs/>
          <w:szCs w:val="26"/>
        </w:rPr>
        <w:t xml:space="preserve">Proposition 21 </w:t>
      </w:r>
      <w:r w:rsidRPr="00572D1D" w:rsidR="00BF058C">
        <w:rPr>
          <w:iCs/>
          <w:szCs w:val="26"/>
        </w:rPr>
        <w:t xml:space="preserve">twelve years after the STEP Act was first enacted, they made </w:t>
      </w:r>
      <w:r w:rsidRPr="00572D1D" w:rsidR="002C461B">
        <w:rPr>
          <w:iCs/>
          <w:szCs w:val="26"/>
        </w:rPr>
        <w:t xml:space="preserve">clear that </w:t>
      </w:r>
      <w:r w:rsidRPr="00572D1D" w:rsidR="0071172C">
        <w:rPr>
          <w:iCs/>
          <w:szCs w:val="26"/>
        </w:rPr>
        <w:t xml:space="preserve">their </w:t>
      </w:r>
      <w:r w:rsidRPr="00572D1D" w:rsidR="002C461B">
        <w:rPr>
          <w:iCs/>
          <w:szCs w:val="26"/>
        </w:rPr>
        <w:t xml:space="preserve">purpose </w:t>
      </w:r>
      <w:r w:rsidRPr="00572D1D" w:rsidR="0071172C">
        <w:rPr>
          <w:iCs/>
          <w:szCs w:val="26"/>
        </w:rPr>
        <w:t xml:space="preserve">was </w:t>
      </w:r>
      <w:r w:rsidRPr="00572D1D" w:rsidR="002C461B">
        <w:rPr>
          <w:iCs/>
          <w:szCs w:val="26"/>
        </w:rPr>
        <w:t xml:space="preserve">to more severely punish crimes that are gang-related as opposed to crimes that are not gang-related.  </w:t>
      </w:r>
      <w:r w:rsidRPr="00572D1D" w:rsidR="00254361">
        <w:rPr>
          <w:iCs/>
          <w:szCs w:val="26"/>
        </w:rPr>
        <w:t>As noted, t</w:t>
      </w:r>
      <w:r w:rsidRPr="00572D1D" w:rsidR="00E80377">
        <w:rPr>
          <w:iCs/>
          <w:szCs w:val="26"/>
        </w:rPr>
        <w:t>he text declare</w:t>
      </w:r>
      <w:r w:rsidRPr="00572D1D" w:rsidR="00D34435">
        <w:rPr>
          <w:iCs/>
          <w:szCs w:val="26"/>
        </w:rPr>
        <w:t>s</w:t>
      </w:r>
      <w:r w:rsidRPr="00572D1D" w:rsidR="00E80377">
        <w:rPr>
          <w:iCs/>
          <w:szCs w:val="26"/>
        </w:rPr>
        <w:t xml:space="preserve"> in relevant part that “[g]ang-related felonies should result in severe penalties.  Life without the possibility of parole or death should be available for murderers who kill as part of any gang-related activity.”  (</w:t>
      </w:r>
      <w:r w:rsidR="003549B9">
        <w:t>Voter Information Guide</w:t>
      </w:r>
      <w:r w:rsidRPr="00572D1D" w:rsidR="004776B7">
        <w:rPr>
          <w:iCs/>
          <w:szCs w:val="26"/>
        </w:rPr>
        <w:t xml:space="preserve">, </w:t>
      </w:r>
      <w:r w:rsidRPr="00572D1D" w:rsidR="000466F1">
        <w:rPr>
          <w:i/>
          <w:szCs w:val="26"/>
        </w:rPr>
        <w:t>supra</w:t>
      </w:r>
      <w:r w:rsidRPr="00572D1D" w:rsidR="000466F1">
        <w:rPr>
          <w:iCs/>
          <w:szCs w:val="26"/>
        </w:rPr>
        <w:t xml:space="preserve">, </w:t>
      </w:r>
      <w:r w:rsidRPr="00572D1D" w:rsidR="00E80377">
        <w:rPr>
          <w:iCs/>
          <w:szCs w:val="26"/>
        </w:rPr>
        <w:t xml:space="preserve">text of Prop. 21, </w:t>
      </w:r>
      <w:r w:rsidR="009257AA">
        <w:rPr>
          <w:iCs/>
          <w:szCs w:val="26"/>
        </w:rPr>
        <w:t>§ </w:t>
      </w:r>
      <w:r w:rsidRPr="00572D1D" w:rsidR="00E80377">
        <w:rPr>
          <w:iCs/>
          <w:szCs w:val="26"/>
        </w:rPr>
        <w:t>2, subd. (h),</w:t>
      </w:r>
      <w:r w:rsidR="009257AA">
        <w:rPr>
          <w:iCs/>
          <w:szCs w:val="26"/>
        </w:rPr>
        <w:t xml:space="preserve"> p. </w:t>
      </w:r>
      <w:r w:rsidRPr="00572D1D" w:rsidR="00E80377">
        <w:rPr>
          <w:iCs/>
          <w:szCs w:val="26"/>
        </w:rPr>
        <w:t>119.)</w:t>
      </w:r>
      <w:r w:rsidRPr="00572D1D" w:rsidR="006E2C14">
        <w:rPr>
          <w:iCs/>
          <w:szCs w:val="26"/>
        </w:rPr>
        <w:t xml:space="preserve">  The proponents of Proposition 21 emphasized its focus on stronger penalties for criminal activity by gangs and gang</w:t>
      </w:r>
      <w:r w:rsidRPr="00572D1D" w:rsidR="008C1631">
        <w:rPr>
          <w:iCs/>
          <w:szCs w:val="26"/>
        </w:rPr>
        <w:t xml:space="preserve"> members</w:t>
      </w:r>
      <w:r w:rsidRPr="00572D1D" w:rsidR="00997386">
        <w:rPr>
          <w:iCs/>
          <w:szCs w:val="26"/>
        </w:rPr>
        <w:t xml:space="preserve">, explaining that current law “must be strengthened to require serious consequences” in order to protect </w:t>
      </w:r>
      <w:r w:rsidRPr="00572D1D" w:rsidR="00D34435">
        <w:rPr>
          <w:iCs/>
          <w:szCs w:val="26"/>
        </w:rPr>
        <w:t xml:space="preserve">people </w:t>
      </w:r>
      <w:r w:rsidRPr="00572D1D" w:rsidR="00997386">
        <w:rPr>
          <w:iCs/>
          <w:szCs w:val="26"/>
        </w:rPr>
        <w:t xml:space="preserve">“from the most violent juvenile criminals and gang offenders.”  </w:t>
      </w:r>
      <w:r w:rsidRPr="00572D1D" w:rsidR="00711DAD">
        <w:rPr>
          <w:iCs/>
          <w:szCs w:val="26"/>
        </w:rPr>
        <w:t>(</w:t>
      </w:r>
      <w:r w:rsidR="003549B9">
        <w:t>Voter Information Guide</w:t>
      </w:r>
      <w:r w:rsidRPr="00572D1D" w:rsidR="00711DAD">
        <w:rPr>
          <w:iCs/>
          <w:szCs w:val="26"/>
        </w:rPr>
        <w:t>, arg</w:t>
      </w:r>
      <w:r w:rsidRPr="00572D1D" w:rsidR="002648A9">
        <w:rPr>
          <w:iCs/>
          <w:szCs w:val="26"/>
        </w:rPr>
        <w:t>ument</w:t>
      </w:r>
      <w:r w:rsidRPr="00572D1D" w:rsidR="00711DAD">
        <w:rPr>
          <w:iCs/>
          <w:szCs w:val="26"/>
        </w:rPr>
        <w:t xml:space="preserve"> in favor of Prop. 21,</w:t>
      </w:r>
      <w:r w:rsidR="009257AA">
        <w:rPr>
          <w:iCs/>
          <w:szCs w:val="26"/>
        </w:rPr>
        <w:t xml:space="preserve"> p. </w:t>
      </w:r>
      <w:r w:rsidRPr="00572D1D" w:rsidR="00711DAD">
        <w:rPr>
          <w:iCs/>
          <w:szCs w:val="26"/>
        </w:rPr>
        <w:t>48</w:t>
      </w:r>
      <w:r w:rsidR="0044287B">
        <w:rPr>
          <w:iCs/>
          <w:szCs w:val="26"/>
        </w:rPr>
        <w:t>, italics omitted</w:t>
      </w:r>
      <w:r w:rsidRPr="00572D1D" w:rsidR="00711DAD">
        <w:rPr>
          <w:iCs/>
          <w:szCs w:val="26"/>
        </w:rPr>
        <w:t>.)</w:t>
      </w:r>
      <w:r w:rsidRPr="00572D1D" w:rsidR="00672066">
        <w:rPr>
          <w:iCs/>
          <w:szCs w:val="26"/>
        </w:rPr>
        <w:t xml:space="preserve">  Proponents further argued that “Proposition 21 ends the ‘slap on the wrist’ of current law by imposing real consequences for GANG MEMBERS, RAPISTS AND MURDERERS who cannot be reached through prevention or education.”  (</w:t>
      </w:r>
      <w:r w:rsidRPr="00572D1D" w:rsidR="00E7214D">
        <w:rPr>
          <w:i/>
          <w:szCs w:val="26"/>
        </w:rPr>
        <w:t>Ibid.</w:t>
      </w:r>
      <w:r w:rsidRPr="00572D1D" w:rsidR="00E7214D">
        <w:rPr>
          <w:iCs/>
          <w:szCs w:val="26"/>
        </w:rPr>
        <w:t xml:space="preserve">)  Nowhere do the arguments in favor of the initiative suggest that the </w:t>
      </w:r>
      <w:r w:rsidR="0044287B">
        <w:rPr>
          <w:iCs/>
          <w:szCs w:val="26"/>
        </w:rPr>
        <w:t>a</w:t>
      </w:r>
      <w:r w:rsidRPr="00572D1D" w:rsidR="00E7214D">
        <w:rPr>
          <w:iCs/>
          <w:szCs w:val="26"/>
        </w:rPr>
        <w:t xml:space="preserve">ct would redefine </w:t>
      </w:r>
      <w:r w:rsidRPr="00572D1D" w:rsidR="006B54AF">
        <w:rPr>
          <w:iCs/>
          <w:szCs w:val="26"/>
        </w:rPr>
        <w:t>or lock</w:t>
      </w:r>
      <w:r w:rsidRPr="00572D1D" w:rsidR="00D34435">
        <w:rPr>
          <w:iCs/>
          <w:szCs w:val="26"/>
        </w:rPr>
        <w:t xml:space="preserve"> </w:t>
      </w:r>
      <w:r w:rsidRPr="00572D1D" w:rsidR="006B54AF">
        <w:rPr>
          <w:iCs/>
          <w:szCs w:val="26"/>
        </w:rPr>
        <w:t xml:space="preserve">in the </w:t>
      </w:r>
      <w:r w:rsidRPr="00572D1D" w:rsidR="00D34435">
        <w:rPr>
          <w:iCs/>
          <w:szCs w:val="26"/>
        </w:rPr>
        <w:t>then-</w:t>
      </w:r>
      <w:r w:rsidRPr="00572D1D" w:rsidR="006B54AF">
        <w:rPr>
          <w:iCs/>
          <w:szCs w:val="26"/>
        </w:rPr>
        <w:t xml:space="preserve">existing definition of “criminal street gang” </w:t>
      </w:r>
      <w:r w:rsidRPr="00572D1D" w:rsidR="0071172C">
        <w:rPr>
          <w:iCs/>
          <w:szCs w:val="26"/>
        </w:rPr>
        <w:t xml:space="preserve">rather than incorporate </w:t>
      </w:r>
      <w:r w:rsidR="000C2A35">
        <w:rPr>
          <w:iCs/>
          <w:szCs w:val="26"/>
        </w:rPr>
        <w:t>a</w:t>
      </w:r>
      <w:r w:rsidRPr="00572D1D" w:rsidR="000C2A35">
        <w:rPr>
          <w:iCs/>
          <w:szCs w:val="26"/>
        </w:rPr>
        <w:t xml:space="preserve"> </w:t>
      </w:r>
      <w:r w:rsidRPr="00572D1D" w:rsidR="001844A2">
        <w:rPr>
          <w:iCs/>
          <w:szCs w:val="26"/>
        </w:rPr>
        <w:t>definition</w:t>
      </w:r>
      <w:r w:rsidRPr="00572D1D" w:rsidR="008326E6">
        <w:rPr>
          <w:iCs/>
          <w:szCs w:val="26"/>
        </w:rPr>
        <w:t xml:space="preserve"> that had been and continued to be subject to change</w:t>
      </w:r>
      <w:r w:rsidRPr="00572D1D" w:rsidR="001844A2">
        <w:rPr>
          <w:iCs/>
          <w:szCs w:val="26"/>
        </w:rPr>
        <w:t>.</w:t>
      </w:r>
    </w:p>
    <w:p w:rsidR="009B7AB3" w:rsidRPr="00572D1D" w:rsidP="00075BFD" w14:paraId="163A97AC" w14:textId="77777777">
      <w:pPr>
        <w:tabs>
          <w:tab w:val="left" w:pos="1440"/>
        </w:tabs>
        <w:ind w:firstLine="720"/>
        <w:rPr>
          <w:iCs/>
          <w:szCs w:val="26"/>
        </w:rPr>
      </w:pPr>
      <w:r>
        <w:t>T</w:t>
      </w:r>
      <w:r w:rsidR="00F42730">
        <w:t xml:space="preserve">he </w:t>
      </w:r>
      <w:r w:rsidR="00075BFD">
        <w:t>purpose of</w:t>
      </w:r>
      <w:r w:rsidR="00F42730">
        <w:t xml:space="preserve"> Assembly Bill 333 further confirms th</w:t>
      </w:r>
      <w:r>
        <w:t>at its application here poses no inconsistency with the voters’ intent in enacting Proposition 21</w:t>
      </w:r>
      <w:r w:rsidR="00160636">
        <w:t xml:space="preserve">.  </w:t>
      </w:r>
      <w:r w:rsidRPr="00572D1D" w:rsidR="00517C16">
        <w:t xml:space="preserve">By the time the Legislature </w:t>
      </w:r>
      <w:r w:rsidRPr="00572D1D" w:rsidR="004E1151">
        <w:t>took up</w:t>
      </w:r>
      <w:r w:rsidRPr="00572D1D" w:rsidR="00517C16">
        <w:t xml:space="preserve"> Assembly Bill 333 in 2021, </w:t>
      </w:r>
      <w:r w:rsidRPr="00572D1D" w:rsidR="008140F0">
        <w:t>California</w:t>
      </w:r>
      <w:r w:rsidRPr="00572D1D" w:rsidR="004E1151">
        <w:t xml:space="preserve"> had more than </w:t>
      </w:r>
      <w:r w:rsidRPr="00572D1D" w:rsidR="00092139">
        <w:t xml:space="preserve">three </w:t>
      </w:r>
      <w:r w:rsidRPr="00572D1D" w:rsidR="004E1151">
        <w:t xml:space="preserve">decades of experience </w:t>
      </w:r>
      <w:r w:rsidRPr="00572D1D" w:rsidR="002D61F4">
        <w:t>under the STEP Act</w:t>
      </w:r>
      <w:r w:rsidRPr="00572D1D" w:rsidR="005C5DE2">
        <w:t xml:space="preserve">.  </w:t>
      </w:r>
      <w:r w:rsidR="00075BFD">
        <w:t>T</w:t>
      </w:r>
      <w:r w:rsidRPr="00572D1D" w:rsidR="00C44FEF">
        <w:t>he Legislat</w:t>
      </w:r>
      <w:r w:rsidR="00075BFD">
        <w:t>ur</w:t>
      </w:r>
      <w:r w:rsidRPr="00572D1D" w:rsidR="00C44FEF">
        <w:t xml:space="preserve">e was motivated by </w:t>
      </w:r>
      <w:r w:rsidRPr="00572D1D" w:rsidR="00967792">
        <w:t xml:space="preserve">that experience to narrow the definition of criminal street gang in order to focus </w:t>
      </w:r>
      <w:r w:rsidR="00075BFD">
        <w:t>on “true gang-related crimes</w:t>
      </w:r>
      <w:r w:rsidR="000F5585">
        <w:t>,</w:t>
      </w:r>
      <w:r w:rsidR="00075BFD">
        <w:t>”</w:t>
      </w:r>
      <w:r w:rsidR="00372C1E">
        <w:t xml:space="preserve"> having determined that</w:t>
      </w:r>
      <w:r w:rsidR="00075BFD">
        <w:t xml:space="preserve"> </w:t>
      </w:r>
      <w:r w:rsidRPr="00572D1D" w:rsidR="006420BA">
        <w:rPr>
          <w:iCs/>
          <w:szCs w:val="26"/>
        </w:rPr>
        <w:t>“</w:t>
      </w:r>
      <w:r w:rsidR="00372C1E">
        <w:rPr>
          <w:iCs/>
          <w:szCs w:val="26"/>
        </w:rPr>
        <w:t>i</w:t>
      </w:r>
      <w:r w:rsidRPr="00572D1D" w:rsidR="006420BA">
        <w:rPr>
          <w:iCs/>
          <w:szCs w:val="26"/>
        </w:rPr>
        <w:t>n practice the original definition of a criminal street gang was not narrowly focused on punishing true gang-related crimes.</w:t>
      </w:r>
      <w:r w:rsidR="00372C1E">
        <w:rPr>
          <w:iCs/>
          <w:szCs w:val="26"/>
        </w:rPr>
        <w:t xml:space="preserve">”  </w:t>
      </w:r>
      <w:r w:rsidRPr="00572D1D" w:rsidR="00372C1E">
        <w:rPr>
          <w:iCs/>
          <w:szCs w:val="26"/>
        </w:rPr>
        <w:t>(</w:t>
      </w:r>
      <w:r w:rsidRPr="00572D1D" w:rsidR="00372C1E">
        <w:rPr>
          <w:i/>
          <w:iCs/>
          <w:szCs w:val="26"/>
        </w:rPr>
        <w:t>Lee</w:t>
      </w:r>
      <w:r w:rsidRPr="00572D1D" w:rsidR="00372C1E">
        <w:rPr>
          <w:iCs/>
          <w:szCs w:val="26"/>
        </w:rPr>
        <w:t xml:space="preserve">, </w:t>
      </w:r>
      <w:r w:rsidRPr="00572D1D" w:rsidR="00372C1E">
        <w:rPr>
          <w:i/>
          <w:iCs/>
          <w:szCs w:val="26"/>
        </w:rPr>
        <w:t>supra</w:t>
      </w:r>
      <w:r w:rsidRPr="00572D1D" w:rsidR="00372C1E">
        <w:rPr>
          <w:iCs/>
          <w:szCs w:val="26"/>
        </w:rPr>
        <w:t>, 81 Cal.App.5th at</w:t>
      </w:r>
      <w:r w:rsidR="00372C1E">
        <w:rPr>
          <w:iCs/>
          <w:szCs w:val="26"/>
        </w:rPr>
        <w:t xml:space="preserve"> p. </w:t>
      </w:r>
      <w:r w:rsidRPr="00572D1D" w:rsidR="00372C1E">
        <w:rPr>
          <w:iCs/>
          <w:szCs w:val="26"/>
        </w:rPr>
        <w:t>245</w:t>
      </w:r>
      <w:r w:rsidR="00AE30C4">
        <w:rPr>
          <w:iCs/>
          <w:szCs w:val="26"/>
        </w:rPr>
        <w:t xml:space="preserve">, </w:t>
      </w:r>
      <w:r w:rsidR="00AE30C4">
        <w:rPr>
          <w:szCs w:val="26"/>
        </w:rPr>
        <w:t>rev.gr</w:t>
      </w:r>
      <w:r w:rsidRPr="00572D1D" w:rsidR="00372C1E">
        <w:rPr>
          <w:iCs/>
          <w:szCs w:val="26"/>
        </w:rPr>
        <w:t>.)</w:t>
      </w:r>
      <w:r w:rsidRPr="00572D1D" w:rsidR="00372C1E">
        <w:t xml:space="preserve"> </w:t>
      </w:r>
      <w:r w:rsidR="00372C1E">
        <w:t xml:space="preserve"> </w:t>
      </w:r>
      <w:r w:rsidRPr="00572D1D" w:rsidR="00BC6FFF">
        <w:t xml:space="preserve">Assembly Bill 333 did not change the punishment associated with gang </w:t>
      </w:r>
      <w:r w:rsidRPr="00572D1D" w:rsidR="00531FE9">
        <w:t>crimes</w:t>
      </w:r>
      <w:r w:rsidRPr="00572D1D" w:rsidR="000D71F7">
        <w:t xml:space="preserve">, </w:t>
      </w:r>
      <w:r w:rsidRPr="00572D1D" w:rsidR="00F405DC">
        <w:t xml:space="preserve">including </w:t>
      </w:r>
      <w:r w:rsidRPr="00572D1D" w:rsidR="000D71F7">
        <w:t xml:space="preserve">the punishment </w:t>
      </w:r>
      <w:r w:rsidRPr="00572D1D" w:rsidR="006420BA">
        <w:t>of death or life without the possibility of parole for individuals convicted of the gang-murder special circumstance.</w:t>
      </w:r>
      <w:r w:rsidRPr="00572D1D" w:rsidR="00547E6F">
        <w:t xml:space="preserve">  </w:t>
      </w:r>
      <w:r w:rsidR="00075BFD">
        <w:t>Instead</w:t>
      </w:r>
      <w:r w:rsidRPr="00572D1D" w:rsidR="00547E6F">
        <w:t xml:space="preserve">, consistent with the </w:t>
      </w:r>
      <w:r w:rsidRPr="00572D1D" w:rsidR="00356BE1">
        <w:t>intent of Proposition 21 to severely punish gang-related crimes, the Legislature in Assembly Bill 333 “</w:t>
      </w:r>
      <w:r w:rsidRPr="00572D1D" w:rsidR="007A063A">
        <w:rPr>
          <w:iCs/>
          <w:szCs w:val="26"/>
        </w:rPr>
        <w:t>redefined the term ‘criminal street gang’ so as to truly target the population of criminals for which an enhanced punishment is warranted.”  (</w:t>
      </w:r>
      <w:r w:rsidRPr="00572D1D" w:rsidR="007A063A">
        <w:rPr>
          <w:i/>
          <w:iCs/>
          <w:szCs w:val="26"/>
        </w:rPr>
        <w:t>Lee</w:t>
      </w:r>
      <w:r w:rsidRPr="00572D1D" w:rsidR="007A063A">
        <w:rPr>
          <w:iCs/>
          <w:szCs w:val="26"/>
        </w:rPr>
        <w:t>, at</w:t>
      </w:r>
      <w:r w:rsidR="009257AA">
        <w:rPr>
          <w:iCs/>
          <w:szCs w:val="26"/>
        </w:rPr>
        <w:t xml:space="preserve"> p. </w:t>
      </w:r>
      <w:r w:rsidRPr="00572D1D" w:rsidR="007A063A">
        <w:rPr>
          <w:iCs/>
          <w:szCs w:val="26"/>
        </w:rPr>
        <w:t>245</w:t>
      </w:r>
      <w:r w:rsidR="00075BFD">
        <w:rPr>
          <w:iCs/>
          <w:szCs w:val="26"/>
        </w:rPr>
        <w:t xml:space="preserve">; see </w:t>
      </w:r>
      <w:r w:rsidRPr="00572D1D" w:rsidR="00075BFD">
        <w:rPr>
          <w:iCs/>
          <w:szCs w:val="26"/>
        </w:rPr>
        <w:t>Assem. Com. on Public Safety, Analysis of Assem</w:t>
      </w:r>
      <w:r w:rsidR="003549B9">
        <w:rPr>
          <w:iCs/>
          <w:szCs w:val="26"/>
        </w:rPr>
        <w:t>.</w:t>
      </w:r>
      <w:r w:rsidRPr="00572D1D" w:rsidR="00075BFD">
        <w:rPr>
          <w:iCs/>
          <w:szCs w:val="26"/>
        </w:rPr>
        <w:t xml:space="preserve"> Bill 333, as amended Mar. 30, 2021,</w:t>
      </w:r>
      <w:r w:rsidR="00075BFD">
        <w:rPr>
          <w:iCs/>
          <w:szCs w:val="26"/>
        </w:rPr>
        <w:t xml:space="preserve"> p. </w:t>
      </w:r>
      <w:r w:rsidRPr="00572D1D" w:rsidR="00075BFD">
        <w:rPr>
          <w:iCs/>
          <w:szCs w:val="26"/>
        </w:rPr>
        <w:t>4 [Assembly Bill 333 “ ‘ensur[es] gang enhancements are only used when necessary and fair’ ”]</w:t>
      </w:r>
      <w:r w:rsidRPr="00572D1D" w:rsidR="007A063A">
        <w:rPr>
          <w:iCs/>
          <w:szCs w:val="26"/>
        </w:rPr>
        <w:t xml:space="preserve">.)  </w:t>
      </w:r>
    </w:p>
    <w:p w:rsidR="002B129B" w:rsidRPr="00572D1D" w:rsidP="00572D1D" w14:paraId="163A97AD" w14:textId="77777777">
      <w:pPr>
        <w:tabs>
          <w:tab w:val="left" w:pos="1440"/>
        </w:tabs>
        <w:ind w:firstLine="720"/>
        <w:rPr>
          <w:iCs/>
          <w:szCs w:val="26"/>
        </w:rPr>
      </w:pPr>
      <w:r w:rsidRPr="00572D1D">
        <w:rPr>
          <w:iCs/>
          <w:szCs w:val="26"/>
        </w:rPr>
        <w:t xml:space="preserve">The Attorney General argues that this case is similar to </w:t>
      </w:r>
      <w:r w:rsidRPr="00572D1D" w:rsidR="00D003E0">
        <w:rPr>
          <w:i/>
          <w:iCs/>
          <w:szCs w:val="26"/>
        </w:rPr>
        <w:t>People v. Kelly</w:t>
      </w:r>
      <w:r w:rsidR="00F94D1C">
        <w:rPr>
          <w:iCs/>
          <w:szCs w:val="26"/>
        </w:rPr>
        <w:t xml:space="preserve"> </w:t>
      </w:r>
      <w:r w:rsidRPr="00572D1D" w:rsidR="00D003E0">
        <w:rPr>
          <w:iCs/>
          <w:szCs w:val="26"/>
        </w:rPr>
        <w:t>(2010) 47 Cal.4th 100</w:t>
      </w:r>
      <w:r w:rsidR="0044287B">
        <w:rPr>
          <w:iCs/>
          <w:szCs w:val="26"/>
        </w:rPr>
        <w:t>8</w:t>
      </w:r>
      <w:r w:rsidR="00F94D1C">
        <w:rPr>
          <w:iCs/>
          <w:szCs w:val="26"/>
        </w:rPr>
        <w:t xml:space="preserve">, where </w:t>
      </w:r>
      <w:r w:rsidRPr="00572D1D">
        <w:rPr>
          <w:iCs/>
          <w:szCs w:val="26"/>
        </w:rPr>
        <w:t>we considered whether an aspect of the legislatively</w:t>
      </w:r>
      <w:r w:rsidRPr="00572D1D" w:rsidR="00D1258E">
        <w:rPr>
          <w:iCs/>
          <w:szCs w:val="26"/>
        </w:rPr>
        <w:t xml:space="preserve"> </w:t>
      </w:r>
      <w:r w:rsidRPr="00572D1D">
        <w:rPr>
          <w:iCs/>
          <w:szCs w:val="26"/>
        </w:rPr>
        <w:t xml:space="preserve">enacted Medical Marijuana Program </w:t>
      </w:r>
      <w:r w:rsidR="0044287B">
        <w:rPr>
          <w:iCs/>
          <w:szCs w:val="26"/>
        </w:rPr>
        <w:t xml:space="preserve">(MMP) </w:t>
      </w:r>
      <w:r w:rsidRPr="00572D1D">
        <w:rPr>
          <w:iCs/>
          <w:szCs w:val="26"/>
        </w:rPr>
        <w:t>impermissibly amended the Compassionate Use Act</w:t>
      </w:r>
      <w:r w:rsidRPr="00572D1D" w:rsidR="00D1258E">
        <w:rPr>
          <w:iCs/>
          <w:szCs w:val="26"/>
        </w:rPr>
        <w:t xml:space="preserve"> enacted by the voters</w:t>
      </w:r>
      <w:r w:rsidRPr="00572D1D">
        <w:rPr>
          <w:iCs/>
          <w:szCs w:val="26"/>
        </w:rPr>
        <w:t xml:space="preserve">.  The Compassionate Use Act </w:t>
      </w:r>
      <w:r w:rsidR="0044287B">
        <w:rPr>
          <w:iCs/>
          <w:szCs w:val="26"/>
        </w:rPr>
        <w:t xml:space="preserve">of 1996 </w:t>
      </w:r>
      <w:r w:rsidRPr="00572D1D" w:rsidR="0044287B">
        <w:rPr>
          <w:iCs/>
          <w:szCs w:val="26"/>
        </w:rPr>
        <w:t xml:space="preserve">(Health &amp; Saf. Code, </w:t>
      </w:r>
      <w:r w:rsidR="0044287B">
        <w:rPr>
          <w:iCs/>
          <w:szCs w:val="26"/>
        </w:rPr>
        <w:t>§ </w:t>
      </w:r>
      <w:r w:rsidRPr="00572D1D" w:rsidR="0044287B">
        <w:rPr>
          <w:iCs/>
          <w:szCs w:val="26"/>
        </w:rPr>
        <w:t>11362.5</w:t>
      </w:r>
      <w:r w:rsidR="0044287B">
        <w:rPr>
          <w:iCs/>
          <w:szCs w:val="26"/>
        </w:rPr>
        <w:t xml:space="preserve"> et seq.) </w:t>
      </w:r>
      <w:r w:rsidRPr="00572D1D">
        <w:rPr>
          <w:iCs/>
          <w:szCs w:val="26"/>
        </w:rPr>
        <w:t>permitted individuals to possess and cultivate limited quantities of marijuana reasonably for “personal medical purposes” (</w:t>
      </w:r>
      <w:r w:rsidR="00E63A80">
        <w:rPr>
          <w:i/>
          <w:szCs w:val="26"/>
        </w:rPr>
        <w:t>id</w:t>
      </w:r>
      <w:r w:rsidR="0044287B">
        <w:rPr>
          <w:i/>
          <w:szCs w:val="26"/>
        </w:rPr>
        <w:t>.</w:t>
      </w:r>
      <w:r w:rsidRPr="00572D1D">
        <w:rPr>
          <w:iCs/>
          <w:szCs w:val="26"/>
        </w:rPr>
        <w:t xml:space="preserve">, </w:t>
      </w:r>
      <w:r w:rsidR="009257AA">
        <w:rPr>
          <w:iCs/>
          <w:szCs w:val="26"/>
        </w:rPr>
        <w:t>§ </w:t>
      </w:r>
      <w:r w:rsidRPr="00572D1D">
        <w:rPr>
          <w:iCs/>
          <w:szCs w:val="26"/>
        </w:rPr>
        <w:t>11362.5, subd.</w:t>
      </w:r>
      <w:r w:rsidRPr="00572D1D" w:rsidR="00D1258E">
        <w:rPr>
          <w:iCs/>
          <w:szCs w:val="26"/>
        </w:rPr>
        <w:t> </w:t>
      </w:r>
      <w:r w:rsidRPr="00572D1D">
        <w:rPr>
          <w:iCs/>
          <w:szCs w:val="26"/>
        </w:rPr>
        <w:t>(d)) and provided a corresponding affirmative defense to criminal prosecution, but it did not impose specific quantity limits.  (</w:t>
      </w:r>
      <w:r w:rsidRPr="00572D1D">
        <w:rPr>
          <w:i/>
          <w:szCs w:val="26"/>
        </w:rPr>
        <w:t>Kelly</w:t>
      </w:r>
      <w:r w:rsidRPr="00572D1D">
        <w:rPr>
          <w:iCs/>
          <w:szCs w:val="26"/>
        </w:rPr>
        <w:t>, at</w:t>
      </w:r>
      <w:r w:rsidR="009257AA">
        <w:rPr>
          <w:iCs/>
          <w:szCs w:val="26"/>
        </w:rPr>
        <w:t xml:space="preserve"> p. </w:t>
      </w:r>
      <w:r w:rsidRPr="00572D1D">
        <w:rPr>
          <w:iCs/>
          <w:szCs w:val="26"/>
        </w:rPr>
        <w:t xml:space="preserve">1013.)  The </w:t>
      </w:r>
      <w:r w:rsidR="0044287B">
        <w:rPr>
          <w:iCs/>
          <w:szCs w:val="26"/>
        </w:rPr>
        <w:t>MMP</w:t>
      </w:r>
      <w:r w:rsidRPr="00572D1D">
        <w:rPr>
          <w:iCs/>
          <w:szCs w:val="26"/>
        </w:rPr>
        <w:t xml:space="preserve"> did not amend the specific statutes enacted by the voters, but it </w:t>
      </w:r>
      <w:r w:rsidRPr="00572D1D" w:rsidR="00D1258E">
        <w:rPr>
          <w:iCs/>
          <w:szCs w:val="26"/>
        </w:rPr>
        <w:t xml:space="preserve">did </w:t>
      </w:r>
      <w:r w:rsidRPr="00572D1D">
        <w:rPr>
          <w:iCs/>
          <w:szCs w:val="26"/>
        </w:rPr>
        <w:t>impose other restrictions</w:t>
      </w:r>
      <w:r w:rsidRPr="00572D1D" w:rsidR="00D1258E">
        <w:rPr>
          <w:iCs/>
          <w:szCs w:val="26"/>
        </w:rPr>
        <w:t>,</w:t>
      </w:r>
      <w:r w:rsidRPr="00572D1D">
        <w:rPr>
          <w:iCs/>
          <w:szCs w:val="26"/>
        </w:rPr>
        <w:t xml:space="preserve"> including quantity limits on the affirmative defense.  </w:t>
      </w:r>
      <w:r w:rsidRPr="00572D1D" w:rsidR="00D1258E">
        <w:rPr>
          <w:iCs/>
          <w:szCs w:val="26"/>
        </w:rPr>
        <w:t>We found this to be</w:t>
      </w:r>
      <w:r w:rsidRPr="00572D1D">
        <w:rPr>
          <w:iCs/>
          <w:szCs w:val="26"/>
        </w:rPr>
        <w:t xml:space="preserve"> an unconstitutional amendment of the voter initiative because the </w:t>
      </w:r>
      <w:r w:rsidRPr="00572D1D" w:rsidR="00D1258E">
        <w:rPr>
          <w:iCs/>
          <w:szCs w:val="26"/>
        </w:rPr>
        <w:t>L</w:t>
      </w:r>
      <w:r w:rsidRPr="00572D1D">
        <w:rPr>
          <w:iCs/>
          <w:szCs w:val="26"/>
        </w:rPr>
        <w:t xml:space="preserve">egislature would “take[] away from rights granted by the initiative statute,” which “guarantee[d] that a qualified patient may possess and cultivate </w:t>
      </w:r>
      <w:r w:rsidRPr="00572D1D">
        <w:rPr>
          <w:i/>
          <w:szCs w:val="26"/>
        </w:rPr>
        <w:t>any amount of marijuana reasonably necessary for his or her current medical condition</w:t>
      </w:r>
      <w:r w:rsidRPr="00572D1D">
        <w:rPr>
          <w:iCs/>
          <w:szCs w:val="26"/>
        </w:rPr>
        <w:t>.</w:t>
      </w:r>
      <w:r w:rsidRPr="00572D1D" w:rsidR="00D1258E">
        <w:rPr>
          <w:iCs/>
          <w:szCs w:val="26"/>
        </w:rPr>
        <w:t>”</w:t>
      </w:r>
      <w:r w:rsidRPr="00572D1D">
        <w:rPr>
          <w:iCs/>
          <w:szCs w:val="26"/>
        </w:rPr>
        <w:t xml:space="preserve">  (</w:t>
      </w:r>
      <w:r w:rsidRPr="00572D1D">
        <w:rPr>
          <w:i/>
          <w:szCs w:val="26"/>
        </w:rPr>
        <w:t>Kelly</w:t>
      </w:r>
      <w:r w:rsidRPr="00572D1D">
        <w:rPr>
          <w:iCs/>
          <w:szCs w:val="26"/>
        </w:rPr>
        <w:t>, at</w:t>
      </w:r>
      <w:r w:rsidR="009257AA">
        <w:rPr>
          <w:iCs/>
          <w:szCs w:val="26"/>
        </w:rPr>
        <w:t xml:space="preserve"> p. </w:t>
      </w:r>
      <w:r w:rsidRPr="00572D1D">
        <w:rPr>
          <w:iCs/>
          <w:szCs w:val="26"/>
        </w:rPr>
        <w:t>1043.)</w:t>
      </w:r>
    </w:p>
    <w:p w:rsidR="00D17F8E" w:rsidRPr="00572D1D" w:rsidP="00572D1D" w14:paraId="163A97AE" w14:textId="77777777">
      <w:pPr>
        <w:ind w:firstLine="720"/>
      </w:pPr>
      <w:r>
        <w:rPr>
          <w:iCs/>
          <w:szCs w:val="26"/>
        </w:rPr>
        <w:t>U</w:t>
      </w:r>
      <w:r w:rsidRPr="00572D1D" w:rsidR="00311409">
        <w:rPr>
          <w:iCs/>
          <w:szCs w:val="26"/>
        </w:rPr>
        <w:t xml:space="preserve">nlike the </w:t>
      </w:r>
      <w:r w:rsidRPr="00572D1D" w:rsidR="002211B6">
        <w:rPr>
          <w:iCs/>
          <w:szCs w:val="26"/>
        </w:rPr>
        <w:t>legislation</w:t>
      </w:r>
      <w:r w:rsidRPr="00572D1D" w:rsidR="00311409">
        <w:rPr>
          <w:iCs/>
          <w:szCs w:val="26"/>
        </w:rPr>
        <w:t xml:space="preserve"> at issue in </w:t>
      </w:r>
      <w:r w:rsidRPr="00572D1D" w:rsidR="00311409">
        <w:rPr>
          <w:i/>
          <w:szCs w:val="26"/>
        </w:rPr>
        <w:t>Kelly</w:t>
      </w:r>
      <w:r w:rsidRPr="00572D1D" w:rsidR="00311409">
        <w:rPr>
          <w:iCs/>
          <w:szCs w:val="26"/>
        </w:rPr>
        <w:t xml:space="preserve">, </w:t>
      </w:r>
      <w:r w:rsidRPr="00572D1D" w:rsidR="002211B6">
        <w:rPr>
          <w:iCs/>
          <w:szCs w:val="26"/>
        </w:rPr>
        <w:t>Assembly Bill 333</w:t>
      </w:r>
      <w:r w:rsidRPr="00572D1D" w:rsidR="00311409">
        <w:rPr>
          <w:iCs/>
          <w:szCs w:val="26"/>
        </w:rPr>
        <w:t xml:space="preserve"> does not </w:t>
      </w:r>
      <w:r w:rsidRPr="00572D1D" w:rsidR="002211B6">
        <w:rPr>
          <w:iCs/>
          <w:szCs w:val="26"/>
        </w:rPr>
        <w:t xml:space="preserve">intrude upon the </w:t>
      </w:r>
      <w:r w:rsidRPr="00572D1D" w:rsidR="002B129B">
        <w:rPr>
          <w:iCs/>
          <w:szCs w:val="26"/>
        </w:rPr>
        <w:t>purpose of Proposition 21.</w:t>
      </w:r>
      <w:r w:rsidRPr="00572D1D" w:rsidR="00CB535B">
        <w:rPr>
          <w:iCs/>
          <w:szCs w:val="26"/>
        </w:rPr>
        <w:t xml:space="preserve">  </w:t>
      </w:r>
      <w:r w:rsidRPr="00572D1D" w:rsidR="002B129B">
        <w:rPr>
          <w:iCs/>
          <w:szCs w:val="26"/>
        </w:rPr>
        <w:t xml:space="preserve">The purpose of Proposition 21 was to </w:t>
      </w:r>
      <w:r w:rsidRPr="00572D1D" w:rsidR="007D5860">
        <w:rPr>
          <w:iCs/>
          <w:szCs w:val="26"/>
        </w:rPr>
        <w:t xml:space="preserve">heighten the penalties for gang activity and other violent crimes.  </w:t>
      </w:r>
      <w:r w:rsidR="00F94D1C">
        <w:rPr>
          <w:iCs/>
          <w:szCs w:val="26"/>
        </w:rPr>
        <w:t>W</w:t>
      </w:r>
      <w:r w:rsidR="00F84870">
        <w:rPr>
          <w:iCs/>
          <w:szCs w:val="26"/>
        </w:rPr>
        <w:t>hile</w:t>
      </w:r>
      <w:r w:rsidRPr="00572D1D" w:rsidR="00916C61">
        <w:rPr>
          <w:iCs/>
          <w:szCs w:val="26"/>
        </w:rPr>
        <w:t xml:space="preserve"> narrow</w:t>
      </w:r>
      <w:r w:rsidR="00F94D1C">
        <w:rPr>
          <w:iCs/>
          <w:szCs w:val="26"/>
        </w:rPr>
        <w:t>ing</w:t>
      </w:r>
      <w:r w:rsidRPr="00572D1D" w:rsidR="00916C61">
        <w:rPr>
          <w:iCs/>
          <w:szCs w:val="26"/>
        </w:rPr>
        <w:t xml:space="preserve"> the definition of “criminal street gang</w:t>
      </w:r>
      <w:r w:rsidR="00F84870">
        <w:rPr>
          <w:iCs/>
          <w:szCs w:val="26"/>
        </w:rPr>
        <w:t>,</w:t>
      </w:r>
      <w:r w:rsidRPr="00572D1D" w:rsidR="00916C61">
        <w:rPr>
          <w:iCs/>
          <w:szCs w:val="26"/>
        </w:rPr>
        <w:t xml:space="preserve">” </w:t>
      </w:r>
      <w:r w:rsidRPr="00572D1D" w:rsidR="00F94D1C">
        <w:rPr>
          <w:iCs/>
          <w:szCs w:val="26"/>
        </w:rPr>
        <w:t xml:space="preserve">Assembly Bill 333 </w:t>
      </w:r>
      <w:r w:rsidRPr="00572D1D" w:rsidR="00D765D6">
        <w:t xml:space="preserve">does not change the punishment for those convicted of </w:t>
      </w:r>
      <w:r w:rsidR="00F94D1C">
        <w:t xml:space="preserve">the </w:t>
      </w:r>
      <w:r w:rsidRPr="00572D1D" w:rsidR="00D765D6">
        <w:t>gang-murder special circumstance</w:t>
      </w:r>
      <w:r w:rsidRPr="00572D1D" w:rsidR="00D765D6">
        <w:rPr>
          <w:iCs/>
          <w:szCs w:val="26"/>
        </w:rPr>
        <w:t>.  (</w:t>
      </w:r>
      <w:r w:rsidRPr="00572D1D" w:rsidR="00677E3D">
        <w:t xml:space="preserve">See </w:t>
      </w:r>
      <w:r w:rsidRPr="00572D1D" w:rsidR="00677E3D">
        <w:rPr>
          <w:i/>
          <w:iCs/>
        </w:rPr>
        <w:t>Lee</w:t>
      </w:r>
      <w:r w:rsidRPr="00572D1D" w:rsidR="00677E3D">
        <w:t xml:space="preserve">, </w:t>
      </w:r>
      <w:r w:rsidRPr="00572D1D" w:rsidR="00677E3D">
        <w:rPr>
          <w:i/>
          <w:iCs/>
        </w:rPr>
        <w:t>supra</w:t>
      </w:r>
      <w:r w:rsidRPr="00572D1D" w:rsidR="00677E3D">
        <w:t>, 81 Cal.App.5th at</w:t>
      </w:r>
      <w:r w:rsidR="009257AA">
        <w:t xml:space="preserve"> p. </w:t>
      </w:r>
      <w:r w:rsidRPr="00572D1D" w:rsidR="00677E3D">
        <w:t>244</w:t>
      </w:r>
      <w:r w:rsidR="00512154">
        <w:rPr>
          <w:iCs/>
          <w:szCs w:val="26"/>
        </w:rPr>
        <w:t xml:space="preserve">, </w:t>
      </w:r>
      <w:r w:rsidR="00512154">
        <w:rPr>
          <w:szCs w:val="26"/>
        </w:rPr>
        <w:t>rev.gr.</w:t>
      </w:r>
      <w:r w:rsidRPr="00572D1D" w:rsidR="00677E3D">
        <w:t xml:space="preserve"> [applying Assembly Bill 333 </w:t>
      </w:r>
      <w:r w:rsidR="00F94D1C">
        <w:t>here “</w:t>
      </w:r>
      <w:r w:rsidRPr="00572D1D" w:rsidR="00677E3D">
        <w:t xml:space="preserve">does not change the punishment for ‘murderers who kill as part of any gang-related activity,’ the relevant purpose of Proposition 21”].)  </w:t>
      </w:r>
    </w:p>
    <w:p w:rsidR="00A7095E" w:rsidRPr="00572D1D" w:rsidP="0003407D" w14:paraId="163A97AF" w14:textId="77777777">
      <w:pPr>
        <w:rPr>
          <w:iCs/>
          <w:szCs w:val="26"/>
        </w:rPr>
      </w:pPr>
      <w:r w:rsidRPr="00572D1D">
        <w:tab/>
      </w:r>
      <w:r w:rsidRPr="00572D1D" w:rsidR="00D17F8E">
        <w:rPr>
          <w:i/>
          <w:iCs/>
          <w:szCs w:val="26"/>
        </w:rPr>
        <w:t>Gooden</w:t>
      </w:r>
      <w:r w:rsidRPr="00572D1D" w:rsidR="00D17F8E">
        <w:rPr>
          <w:szCs w:val="26"/>
        </w:rPr>
        <w:t xml:space="preserve">, </w:t>
      </w:r>
      <w:r w:rsidRPr="00572D1D" w:rsidR="00D17F8E">
        <w:rPr>
          <w:i/>
          <w:iCs/>
          <w:szCs w:val="26"/>
        </w:rPr>
        <w:t>supra</w:t>
      </w:r>
      <w:r w:rsidRPr="00572D1D" w:rsidR="00D17F8E">
        <w:rPr>
          <w:szCs w:val="26"/>
        </w:rPr>
        <w:t xml:space="preserve">, </w:t>
      </w:r>
      <w:r w:rsidRPr="00572D1D" w:rsidR="00D17F8E">
        <w:rPr>
          <w:iCs/>
          <w:szCs w:val="26"/>
        </w:rPr>
        <w:t>42 Cal.App.5th 270</w:t>
      </w:r>
      <w:r w:rsidR="00F94D1C">
        <w:rPr>
          <w:iCs/>
          <w:szCs w:val="26"/>
        </w:rPr>
        <w:t>,</w:t>
      </w:r>
      <w:r w:rsidRPr="00572D1D" w:rsidR="00D17F8E">
        <w:rPr>
          <w:iCs/>
          <w:szCs w:val="26"/>
        </w:rPr>
        <w:t> is instructive</w:t>
      </w:r>
      <w:r w:rsidR="000142B3">
        <w:rPr>
          <w:iCs/>
          <w:szCs w:val="26"/>
        </w:rPr>
        <w:t xml:space="preserve"> on this point</w:t>
      </w:r>
      <w:r w:rsidRPr="00572D1D" w:rsidR="00D17F8E">
        <w:rPr>
          <w:iCs/>
          <w:szCs w:val="26"/>
        </w:rPr>
        <w:t xml:space="preserve">.  </w:t>
      </w:r>
      <w:r w:rsidR="00F94D1C">
        <w:rPr>
          <w:iCs/>
          <w:szCs w:val="26"/>
        </w:rPr>
        <w:t>There</w:t>
      </w:r>
      <w:r w:rsidRPr="00572D1D" w:rsidR="00D17F8E">
        <w:rPr>
          <w:iCs/>
          <w:szCs w:val="26"/>
        </w:rPr>
        <w:t>, the Court of Appeal held that Senate Bill</w:t>
      </w:r>
      <w:r w:rsidR="009257AA">
        <w:rPr>
          <w:iCs/>
          <w:szCs w:val="26"/>
        </w:rPr>
        <w:t xml:space="preserve"> </w:t>
      </w:r>
      <w:r w:rsidR="00F94D1C">
        <w:rPr>
          <w:iCs/>
          <w:szCs w:val="26"/>
        </w:rPr>
        <w:t>N</w:t>
      </w:r>
      <w:r w:rsidR="009257AA">
        <w:rPr>
          <w:iCs/>
          <w:szCs w:val="26"/>
        </w:rPr>
        <w:t>o. </w:t>
      </w:r>
      <w:r w:rsidRPr="00572D1D" w:rsidR="00D17F8E">
        <w:rPr>
          <w:iCs/>
          <w:szCs w:val="26"/>
        </w:rPr>
        <w:t>1437 (2017–2018 Reg. Sess.) (Senate Bill 1437), which amended the mens rea for murder was not an impermissible amendment of Proposition 7</w:t>
      </w:r>
      <w:r w:rsidR="0082735A">
        <w:rPr>
          <w:iCs/>
          <w:szCs w:val="26"/>
        </w:rPr>
        <w:t xml:space="preserve"> (</w:t>
      </w:r>
      <w:r w:rsidR="002C6D28">
        <w:rPr>
          <w:iCs/>
          <w:szCs w:val="26"/>
        </w:rPr>
        <w:t xml:space="preserve">Prop. 7, as </w:t>
      </w:r>
      <w:r w:rsidR="0078293B">
        <w:rPr>
          <w:iCs/>
          <w:szCs w:val="26"/>
        </w:rPr>
        <w:t>approved by voters,</w:t>
      </w:r>
      <w:r w:rsidR="002C6D28">
        <w:rPr>
          <w:iCs/>
          <w:szCs w:val="26"/>
        </w:rPr>
        <w:t xml:space="preserve"> </w:t>
      </w:r>
      <w:r w:rsidRPr="0082735A" w:rsidR="0082735A">
        <w:rPr>
          <w:iCs/>
          <w:szCs w:val="26"/>
        </w:rPr>
        <w:t>Gen. Elec. (Nov. 7, 1978)</w:t>
      </w:r>
      <w:r w:rsidR="0082735A">
        <w:rPr>
          <w:iCs/>
          <w:szCs w:val="26"/>
        </w:rPr>
        <w:t>)</w:t>
      </w:r>
      <w:r w:rsidR="003C26D8">
        <w:rPr>
          <w:iCs/>
          <w:szCs w:val="26"/>
        </w:rPr>
        <w:t xml:space="preserve"> (Proposition 7)</w:t>
      </w:r>
      <w:r w:rsidRPr="00572D1D" w:rsidR="00D17F8E">
        <w:rPr>
          <w:iCs/>
          <w:szCs w:val="26"/>
        </w:rPr>
        <w:t>, which increased the punishment for murder, or Proposition 115</w:t>
      </w:r>
      <w:r w:rsidR="00A7496E">
        <w:rPr>
          <w:iCs/>
          <w:szCs w:val="26"/>
        </w:rPr>
        <w:t xml:space="preserve"> (</w:t>
      </w:r>
      <w:r w:rsidR="0078293B">
        <w:rPr>
          <w:iCs/>
          <w:szCs w:val="26"/>
        </w:rPr>
        <w:t xml:space="preserve">Prop. 115, as approved by voters, </w:t>
      </w:r>
      <w:r w:rsidRPr="00A7496E" w:rsidR="00A7496E">
        <w:rPr>
          <w:iCs/>
          <w:szCs w:val="26"/>
        </w:rPr>
        <w:t>Primary Elec. (June 5, 1990)</w:t>
      </w:r>
      <w:r w:rsidR="00A7496E">
        <w:rPr>
          <w:iCs/>
          <w:szCs w:val="26"/>
        </w:rPr>
        <w:t>)</w:t>
      </w:r>
      <w:r w:rsidRPr="00572D1D" w:rsidR="00D17F8E">
        <w:rPr>
          <w:iCs/>
          <w:szCs w:val="26"/>
        </w:rPr>
        <w:t xml:space="preserve">, which </w:t>
      </w:r>
      <w:r w:rsidR="00F94D1C">
        <w:rPr>
          <w:iCs/>
          <w:szCs w:val="26"/>
        </w:rPr>
        <w:t>expanded</w:t>
      </w:r>
      <w:r w:rsidRPr="00572D1D" w:rsidR="00D17F8E">
        <w:rPr>
          <w:iCs/>
          <w:szCs w:val="26"/>
        </w:rPr>
        <w:t xml:space="preserve"> the list of predicate offenses for the felony-murder rule.  </w:t>
      </w:r>
      <w:r w:rsidRPr="00572D1D" w:rsidR="00D17F8E">
        <w:rPr>
          <w:i/>
          <w:iCs/>
          <w:szCs w:val="26"/>
        </w:rPr>
        <w:t>Gooden</w:t>
      </w:r>
      <w:r w:rsidRPr="00572D1D" w:rsidR="00D17F8E">
        <w:rPr>
          <w:iCs/>
          <w:szCs w:val="26"/>
        </w:rPr>
        <w:t xml:space="preserve"> rejected the Attorney General’s argument that Senate Bill 1437 amended Proposition 7 by taking away from the scope of conduct that constitutes murder punishable by the increased punishments specified in the initiative.  (</w:t>
      </w:r>
      <w:r w:rsidRPr="00572D1D" w:rsidR="00D17F8E">
        <w:rPr>
          <w:i/>
          <w:iCs/>
          <w:szCs w:val="26"/>
        </w:rPr>
        <w:t>Gooden</w:t>
      </w:r>
      <w:r w:rsidRPr="00572D1D" w:rsidR="00D17F8E">
        <w:rPr>
          <w:iCs/>
          <w:szCs w:val="26"/>
        </w:rPr>
        <w:t>, at</w:t>
      </w:r>
      <w:r w:rsidR="009257AA">
        <w:rPr>
          <w:iCs/>
          <w:szCs w:val="26"/>
        </w:rPr>
        <w:t xml:space="preserve"> p. </w:t>
      </w:r>
      <w:r w:rsidRPr="00572D1D" w:rsidR="00D17F8E">
        <w:rPr>
          <w:iCs/>
          <w:szCs w:val="26"/>
        </w:rPr>
        <w:t>281.)  The court emphasized that “the elements of an offense and the punishment for an offense plainly are not synonymous.”  (</w:t>
      </w:r>
      <w:r w:rsidRPr="00572D1D" w:rsidR="00D17F8E">
        <w:rPr>
          <w:i/>
          <w:iCs/>
          <w:szCs w:val="26"/>
        </w:rPr>
        <w:t>Ibid</w:t>
      </w:r>
      <w:r w:rsidRPr="00572D1D" w:rsidR="00D17F8E">
        <w:rPr>
          <w:iCs/>
          <w:szCs w:val="26"/>
        </w:rPr>
        <w:t xml:space="preserve">.)  </w:t>
      </w:r>
      <w:r w:rsidR="00F94D1C">
        <w:rPr>
          <w:iCs/>
          <w:szCs w:val="26"/>
        </w:rPr>
        <w:t>W</w:t>
      </w:r>
      <w:r w:rsidRPr="00572D1D" w:rsidR="00D17F8E">
        <w:rPr>
          <w:iCs/>
          <w:szCs w:val="26"/>
        </w:rPr>
        <w:t xml:space="preserve">hereas Proposition 7 addressed the </w:t>
      </w:r>
      <w:r w:rsidRPr="00BD2E5C" w:rsidR="00D17F8E">
        <w:rPr>
          <w:szCs w:val="26"/>
        </w:rPr>
        <w:t>punishment</w:t>
      </w:r>
      <w:r w:rsidRPr="00572D1D" w:rsidR="00D17F8E">
        <w:rPr>
          <w:iCs/>
          <w:szCs w:val="26"/>
        </w:rPr>
        <w:t xml:space="preserve"> for murder, Senate Bill 1437 addressed only the </w:t>
      </w:r>
      <w:r w:rsidRPr="00BD2E5C" w:rsidR="00D17F8E">
        <w:rPr>
          <w:szCs w:val="26"/>
        </w:rPr>
        <w:t>mental state</w:t>
      </w:r>
      <w:r w:rsidRPr="00572D1D" w:rsidR="00D17F8E">
        <w:rPr>
          <w:iCs/>
          <w:szCs w:val="26"/>
        </w:rPr>
        <w:t xml:space="preserve"> required to commit murder.  (</w:t>
      </w:r>
      <w:r w:rsidRPr="00572D1D" w:rsidR="00D17F8E">
        <w:rPr>
          <w:i/>
          <w:iCs/>
          <w:szCs w:val="26"/>
        </w:rPr>
        <w:t>Gooden</w:t>
      </w:r>
      <w:r w:rsidRPr="00572D1D" w:rsidR="00D17F8E">
        <w:rPr>
          <w:iCs/>
          <w:szCs w:val="26"/>
        </w:rPr>
        <w:t>, at</w:t>
      </w:r>
      <w:r w:rsidR="009257AA">
        <w:rPr>
          <w:iCs/>
          <w:szCs w:val="26"/>
        </w:rPr>
        <w:t xml:space="preserve"> p. </w:t>
      </w:r>
      <w:r w:rsidRPr="00572D1D" w:rsidR="00D17F8E">
        <w:rPr>
          <w:iCs/>
          <w:szCs w:val="26"/>
        </w:rPr>
        <w:t>282.)  “Senate Bill 1437 did not address the same subject matter” as Proposition 7; rather, it “presents a classic example of legislation that addresses a subject related to, but distinct from, an area addressed by an initiative.”  (</w:t>
      </w:r>
      <w:r w:rsidRPr="00572D1D" w:rsidR="00D17F8E">
        <w:rPr>
          <w:i/>
          <w:iCs/>
          <w:szCs w:val="26"/>
        </w:rPr>
        <w:t>Gooden</w:t>
      </w:r>
      <w:r w:rsidRPr="00572D1D" w:rsidR="00D17F8E">
        <w:rPr>
          <w:iCs/>
          <w:szCs w:val="26"/>
        </w:rPr>
        <w:t>, at</w:t>
      </w:r>
      <w:r w:rsidR="009257AA">
        <w:rPr>
          <w:iCs/>
          <w:szCs w:val="26"/>
        </w:rPr>
        <w:t xml:space="preserve"> p. </w:t>
      </w:r>
      <w:r w:rsidRPr="00572D1D" w:rsidR="00D17F8E">
        <w:rPr>
          <w:iCs/>
          <w:szCs w:val="26"/>
        </w:rPr>
        <w:t>282</w:t>
      </w:r>
      <w:r w:rsidR="00F94D1C">
        <w:rPr>
          <w:iCs/>
          <w:szCs w:val="26"/>
        </w:rPr>
        <w:t xml:space="preserve">; accord, </w:t>
      </w:r>
      <w:r w:rsidRPr="0003407D" w:rsidR="0003407D">
        <w:rPr>
          <w:i/>
          <w:iCs/>
        </w:rPr>
        <w:t>People v. Nash</w:t>
      </w:r>
      <w:r w:rsidRPr="00BF53FB" w:rsidR="0003407D">
        <w:t xml:space="preserve"> (2020) 52 Cal.App.5th 1041, 1059</w:t>
      </w:r>
      <w:r w:rsidRPr="00572D1D" w:rsidR="00F94D1C">
        <w:t xml:space="preserve"> [“While the class of individuals standing convicted of murder may be reduced in light of Sen</w:t>
      </w:r>
      <w:r w:rsidR="00BF71E0">
        <w:t>ate</w:t>
      </w:r>
      <w:r w:rsidRPr="00572D1D" w:rsidR="00F94D1C">
        <w:t xml:space="preserve"> Bill</w:t>
      </w:r>
      <w:r w:rsidR="00F94D1C">
        <w:t xml:space="preserve"> </w:t>
      </w:r>
      <w:r w:rsidR="0044287B">
        <w:t>N</w:t>
      </w:r>
      <w:r w:rsidR="00F94D1C">
        <w:t>o. </w:t>
      </w:r>
      <w:r w:rsidRPr="00572D1D" w:rsidR="00F94D1C">
        <w:t>1437</w:t>
      </w:r>
      <w:r w:rsidR="0044287B">
        <w:t xml:space="preserve">’s </w:t>
      </w:r>
      <w:r w:rsidRPr="00572D1D" w:rsidR="0044287B">
        <w:t>changes</w:t>
      </w:r>
      <w:r w:rsidRPr="00572D1D" w:rsidR="00F94D1C">
        <w:t xml:space="preserve"> to the felony-murder rule and the natural and probable consequences doctrine, the legislation does not change or take away from the sentences those convicted of murder are subject to, which is the mandate of Prop</w:t>
      </w:r>
      <w:r w:rsidR="00A05BF6">
        <w:t>osition</w:t>
      </w:r>
      <w:r w:rsidRPr="00572D1D" w:rsidR="00F94D1C">
        <w:t xml:space="preserve"> 7</w:t>
      </w:r>
      <w:r w:rsidR="00A05BF6">
        <w:t>.</w:t>
      </w:r>
      <w:r w:rsidRPr="00572D1D" w:rsidR="00F94D1C">
        <w:t>”]</w:t>
      </w:r>
      <w:r w:rsidRPr="00572D1D" w:rsidR="00D17F8E">
        <w:rPr>
          <w:iCs/>
          <w:szCs w:val="26"/>
        </w:rPr>
        <w:t>.)</w:t>
      </w:r>
    </w:p>
    <w:p w:rsidR="00D64E24" w:rsidRPr="00572D1D" w:rsidP="00572D1D" w14:paraId="163A97B0" w14:textId="77777777">
      <w:pPr>
        <w:ind w:firstLine="720"/>
        <w:rPr>
          <w:iCs/>
          <w:szCs w:val="26"/>
        </w:rPr>
      </w:pPr>
      <w:r w:rsidRPr="00572D1D">
        <w:rPr>
          <w:i/>
          <w:szCs w:val="26"/>
        </w:rPr>
        <w:t>Gooden</w:t>
      </w:r>
      <w:r w:rsidRPr="00572D1D">
        <w:rPr>
          <w:iCs/>
          <w:szCs w:val="26"/>
        </w:rPr>
        <w:t>’s distinction between the electorate’s focus on punishment and the Legislature’s focus on the substantive elements of an offense appli</w:t>
      </w:r>
      <w:r w:rsidR="00F94D1C">
        <w:rPr>
          <w:iCs/>
          <w:szCs w:val="26"/>
        </w:rPr>
        <w:t xml:space="preserve">es </w:t>
      </w:r>
      <w:r w:rsidRPr="00572D1D">
        <w:rPr>
          <w:iCs/>
          <w:szCs w:val="26"/>
        </w:rPr>
        <w:t xml:space="preserve">here.  </w:t>
      </w:r>
      <w:r w:rsidRPr="00572D1D" w:rsidR="00677E3D">
        <w:rPr>
          <w:iCs/>
          <w:szCs w:val="26"/>
        </w:rPr>
        <w:t>T</w:t>
      </w:r>
      <w:r w:rsidRPr="00572D1D" w:rsidR="0094715C">
        <w:rPr>
          <w:iCs/>
          <w:szCs w:val="26"/>
        </w:rPr>
        <w:t xml:space="preserve">he voters </w:t>
      </w:r>
      <w:r w:rsidRPr="00572D1D" w:rsidR="008326E6">
        <w:rPr>
          <w:iCs/>
          <w:szCs w:val="26"/>
        </w:rPr>
        <w:t xml:space="preserve">who enacted Proposition 21 </w:t>
      </w:r>
      <w:r w:rsidRPr="00572D1D" w:rsidR="0094715C">
        <w:rPr>
          <w:iCs/>
          <w:szCs w:val="26"/>
        </w:rPr>
        <w:t xml:space="preserve">wanted to harshly punish </w:t>
      </w:r>
      <w:r w:rsidRPr="00572D1D" w:rsidR="008326E6">
        <w:rPr>
          <w:iCs/>
          <w:szCs w:val="26"/>
        </w:rPr>
        <w:t xml:space="preserve">the members and activities of a </w:t>
      </w:r>
      <w:r w:rsidRPr="00572D1D" w:rsidR="0094715C">
        <w:rPr>
          <w:iCs/>
          <w:szCs w:val="26"/>
        </w:rPr>
        <w:t>“</w:t>
      </w:r>
      <w:r w:rsidRPr="00572D1D" w:rsidR="008326E6">
        <w:rPr>
          <w:iCs/>
          <w:szCs w:val="26"/>
        </w:rPr>
        <w:t xml:space="preserve">criminal street </w:t>
      </w:r>
      <w:r w:rsidRPr="00572D1D" w:rsidR="0094715C">
        <w:rPr>
          <w:iCs/>
          <w:szCs w:val="26"/>
        </w:rPr>
        <w:t>gang</w:t>
      </w:r>
      <w:r w:rsidRPr="00572D1D" w:rsidR="008326E6">
        <w:rPr>
          <w:iCs/>
          <w:szCs w:val="26"/>
        </w:rPr>
        <w:t>,</w:t>
      </w:r>
      <w:r w:rsidRPr="00572D1D" w:rsidR="0094715C">
        <w:rPr>
          <w:iCs/>
          <w:szCs w:val="26"/>
        </w:rPr>
        <w:t xml:space="preserve">” </w:t>
      </w:r>
      <w:r w:rsidRPr="00572D1D" w:rsidR="00677E3D">
        <w:rPr>
          <w:iCs/>
          <w:szCs w:val="26"/>
        </w:rPr>
        <w:t xml:space="preserve">but </w:t>
      </w:r>
      <w:r w:rsidRPr="00572D1D" w:rsidR="0094715C">
        <w:rPr>
          <w:iCs/>
          <w:szCs w:val="26"/>
        </w:rPr>
        <w:t xml:space="preserve">there is no indication that the voters had in mind a fixed meaning of the term.  </w:t>
      </w:r>
      <w:r w:rsidRPr="00572D1D" w:rsidR="00A740E0">
        <w:rPr>
          <w:iCs/>
          <w:szCs w:val="26"/>
        </w:rPr>
        <w:t xml:space="preserve">Murder committed </w:t>
      </w:r>
      <w:r w:rsidRPr="00572D1D" w:rsidR="006C2639">
        <w:rPr>
          <w:iCs/>
          <w:szCs w:val="26"/>
        </w:rPr>
        <w:t xml:space="preserve">by “an active participant in a criminal street gang” </w:t>
      </w:r>
      <w:r w:rsidRPr="00572D1D" w:rsidR="007564E3">
        <w:rPr>
          <w:iCs/>
          <w:szCs w:val="26"/>
        </w:rPr>
        <w:t>in order to “further the activities of the criminal street gang” (</w:t>
      </w:r>
      <w:r w:rsidR="009257AA">
        <w:rPr>
          <w:iCs/>
          <w:szCs w:val="26"/>
        </w:rPr>
        <w:t>§ </w:t>
      </w:r>
      <w:r w:rsidRPr="00572D1D" w:rsidR="007564E3">
        <w:rPr>
          <w:iCs/>
          <w:szCs w:val="26"/>
        </w:rPr>
        <w:t>190.2(a)(22)) i</w:t>
      </w:r>
      <w:r w:rsidRPr="00572D1D" w:rsidR="00A740E0">
        <w:rPr>
          <w:iCs/>
          <w:szCs w:val="26"/>
        </w:rPr>
        <w:t xml:space="preserve">s still </w:t>
      </w:r>
      <w:r w:rsidRPr="00572D1D" w:rsidR="00DB3DCC">
        <w:rPr>
          <w:iCs/>
          <w:szCs w:val="26"/>
        </w:rPr>
        <w:t>punishable by death or life imprisonment without the possibility of parole, as provided by Proposition 21</w:t>
      </w:r>
      <w:r w:rsidRPr="00572D1D" w:rsidR="0008416E">
        <w:rPr>
          <w:iCs/>
          <w:szCs w:val="26"/>
        </w:rPr>
        <w:t>.  The statutory amendments enacted by Assembly Bill 333 ensure that punishment is not imposed in other circumstances.</w:t>
      </w:r>
    </w:p>
    <w:p w:rsidR="0079717D" w:rsidP="001871A6" w14:paraId="163A97B1" w14:textId="77777777">
      <w:pPr>
        <w:ind w:firstLine="720"/>
        <w:rPr>
          <w:iCs/>
          <w:szCs w:val="26"/>
        </w:rPr>
      </w:pPr>
      <w:r>
        <w:rPr>
          <w:iCs/>
          <w:szCs w:val="26"/>
        </w:rPr>
        <w:t>T</w:t>
      </w:r>
      <w:r w:rsidRPr="00572D1D" w:rsidR="00D64E24">
        <w:rPr>
          <w:iCs/>
          <w:szCs w:val="26"/>
        </w:rPr>
        <w:t xml:space="preserve">he Attorney General </w:t>
      </w:r>
      <w:r>
        <w:rPr>
          <w:iCs/>
          <w:szCs w:val="26"/>
        </w:rPr>
        <w:t xml:space="preserve">further </w:t>
      </w:r>
      <w:r w:rsidR="0083447F">
        <w:rPr>
          <w:iCs/>
          <w:szCs w:val="26"/>
        </w:rPr>
        <w:t>notes</w:t>
      </w:r>
      <w:r w:rsidRPr="00572D1D" w:rsidR="00D64E24">
        <w:rPr>
          <w:iCs/>
          <w:szCs w:val="26"/>
        </w:rPr>
        <w:t xml:space="preserve"> that on several prior occasions </w:t>
      </w:r>
      <w:r w:rsidR="00B76A1D">
        <w:rPr>
          <w:iCs/>
          <w:szCs w:val="26"/>
        </w:rPr>
        <w:t>in</w:t>
      </w:r>
      <w:r w:rsidRPr="00572D1D" w:rsidR="00D64E24">
        <w:rPr>
          <w:iCs/>
          <w:szCs w:val="26"/>
        </w:rPr>
        <w:t xml:space="preserve"> which the Legislature amended portions of section 186.22, the Legislative Counsel advised that the amendment required approval by two-thirds of each house.  (</w:t>
      </w:r>
      <w:r w:rsidR="00F94D1C">
        <w:rPr>
          <w:iCs/>
          <w:szCs w:val="26"/>
        </w:rPr>
        <w:t>See</w:t>
      </w:r>
      <w:r w:rsidRPr="00572D1D" w:rsidR="00D64E24">
        <w:rPr>
          <w:iCs/>
          <w:szCs w:val="26"/>
        </w:rPr>
        <w:t xml:space="preserve"> Legis. Counsel’s Dig., Sen. Bill</w:t>
      </w:r>
      <w:r w:rsidR="009257AA">
        <w:rPr>
          <w:iCs/>
          <w:szCs w:val="26"/>
        </w:rPr>
        <w:t xml:space="preserve"> </w:t>
      </w:r>
      <w:r w:rsidR="00F94D1C">
        <w:rPr>
          <w:iCs/>
          <w:szCs w:val="26"/>
        </w:rPr>
        <w:t>N</w:t>
      </w:r>
      <w:r w:rsidR="009257AA">
        <w:rPr>
          <w:iCs/>
          <w:szCs w:val="26"/>
        </w:rPr>
        <w:t>o. </w:t>
      </w:r>
      <w:r w:rsidRPr="00572D1D" w:rsidR="00D64E24">
        <w:rPr>
          <w:iCs/>
          <w:szCs w:val="26"/>
        </w:rPr>
        <w:t>444 (2005</w:t>
      </w:r>
      <w:r w:rsidR="00E26F80">
        <w:rPr>
          <w:iCs/>
          <w:szCs w:val="26"/>
        </w:rPr>
        <w:t>–</w:t>
      </w:r>
      <w:r w:rsidRPr="00572D1D" w:rsidR="00D64E24">
        <w:rPr>
          <w:iCs/>
          <w:szCs w:val="26"/>
        </w:rPr>
        <w:t xml:space="preserve">2006 Reg. Sess.) </w:t>
      </w:r>
      <w:r w:rsidR="0044287B">
        <w:rPr>
          <w:iCs/>
          <w:szCs w:val="26"/>
        </w:rPr>
        <w:t xml:space="preserve">4 </w:t>
      </w:r>
      <w:r w:rsidRPr="00572D1D" w:rsidR="00D64E24">
        <w:rPr>
          <w:iCs/>
          <w:szCs w:val="26"/>
        </w:rPr>
        <w:t>Stats. 2005,</w:t>
      </w:r>
      <w:r w:rsidR="009257AA">
        <w:rPr>
          <w:iCs/>
          <w:szCs w:val="26"/>
        </w:rPr>
        <w:t xml:space="preserve"> ch. </w:t>
      </w:r>
      <w:r w:rsidRPr="00572D1D" w:rsidR="00D64E24">
        <w:rPr>
          <w:iCs/>
          <w:szCs w:val="26"/>
        </w:rPr>
        <w:t>482</w:t>
      </w:r>
      <w:r w:rsidR="0044287B">
        <w:rPr>
          <w:iCs/>
          <w:szCs w:val="26"/>
        </w:rPr>
        <w:t>, Summary Dig., p. 235</w:t>
      </w:r>
      <w:r w:rsidRPr="00572D1D" w:rsidR="00D64E24">
        <w:rPr>
          <w:iCs/>
          <w:szCs w:val="26"/>
        </w:rPr>
        <w:t xml:space="preserve"> [“Existing law authorizes the Legislature to amend these provisions with a 2/3 vote of each house</w:t>
      </w:r>
      <w:r w:rsidR="00712C69">
        <w:rPr>
          <w:iCs/>
          <w:szCs w:val="26"/>
        </w:rPr>
        <w:t>.</w:t>
      </w:r>
      <w:r w:rsidRPr="00572D1D" w:rsidR="00D64E24">
        <w:rPr>
          <w:iCs/>
          <w:szCs w:val="26"/>
        </w:rPr>
        <w:t>”]; Legis. Counsel’s Dig., Sen. Bill</w:t>
      </w:r>
      <w:r w:rsidR="009257AA">
        <w:rPr>
          <w:iCs/>
          <w:szCs w:val="26"/>
        </w:rPr>
        <w:t xml:space="preserve"> </w:t>
      </w:r>
      <w:r w:rsidR="00F94D1C">
        <w:rPr>
          <w:iCs/>
          <w:szCs w:val="26"/>
        </w:rPr>
        <w:t>N</w:t>
      </w:r>
      <w:r w:rsidR="009257AA">
        <w:rPr>
          <w:iCs/>
          <w:szCs w:val="26"/>
        </w:rPr>
        <w:t>o. </w:t>
      </w:r>
      <w:r w:rsidRPr="00572D1D" w:rsidR="00D64E24">
        <w:rPr>
          <w:iCs/>
          <w:szCs w:val="26"/>
        </w:rPr>
        <w:t>1222 (2005</w:t>
      </w:r>
      <w:r w:rsidR="00E26F80">
        <w:rPr>
          <w:iCs/>
          <w:szCs w:val="26"/>
        </w:rPr>
        <w:t>–</w:t>
      </w:r>
      <w:r w:rsidRPr="00572D1D" w:rsidR="00D64E24">
        <w:rPr>
          <w:iCs/>
          <w:szCs w:val="26"/>
        </w:rPr>
        <w:t xml:space="preserve">2006 Reg. Sess.) </w:t>
      </w:r>
      <w:r w:rsidR="0044287B">
        <w:rPr>
          <w:iCs/>
          <w:szCs w:val="26"/>
        </w:rPr>
        <w:t xml:space="preserve">6 </w:t>
      </w:r>
      <w:r w:rsidRPr="00572D1D" w:rsidR="00D64E24">
        <w:rPr>
          <w:iCs/>
          <w:szCs w:val="26"/>
        </w:rPr>
        <w:t>Stats. 2006,</w:t>
      </w:r>
      <w:r w:rsidR="009257AA">
        <w:rPr>
          <w:iCs/>
          <w:szCs w:val="26"/>
        </w:rPr>
        <w:t xml:space="preserve"> ch. </w:t>
      </w:r>
      <w:r w:rsidRPr="00572D1D" w:rsidR="00D64E24">
        <w:rPr>
          <w:iCs/>
          <w:szCs w:val="26"/>
        </w:rPr>
        <w:t>596</w:t>
      </w:r>
      <w:r w:rsidR="0044287B">
        <w:rPr>
          <w:iCs/>
          <w:szCs w:val="26"/>
        </w:rPr>
        <w:t>, Summary Dig., p. 333</w:t>
      </w:r>
      <w:r w:rsidRPr="00572D1D" w:rsidR="00D64E24">
        <w:rPr>
          <w:iCs/>
          <w:szCs w:val="26"/>
        </w:rPr>
        <w:t xml:space="preserve"> [same].)  </w:t>
      </w:r>
      <w:r>
        <w:rPr>
          <w:iCs/>
          <w:szCs w:val="26"/>
        </w:rPr>
        <w:t>But</w:t>
      </w:r>
      <w:r w:rsidRPr="00572D1D" w:rsidR="00FA0488">
        <w:rPr>
          <w:iCs/>
          <w:szCs w:val="26"/>
        </w:rPr>
        <w:t xml:space="preserve"> </w:t>
      </w:r>
      <w:r w:rsidRPr="00572D1D" w:rsidR="00D61599">
        <w:rPr>
          <w:iCs/>
          <w:szCs w:val="26"/>
        </w:rPr>
        <w:t>“</w:t>
      </w:r>
      <w:r w:rsidRPr="00572D1D" w:rsidR="00D64E24">
        <w:rPr>
          <w:iCs/>
          <w:szCs w:val="26"/>
        </w:rPr>
        <w:t>the Legislature’s views regarding the legality of its enactments are not binding on the judiciary.</w:t>
      </w:r>
      <w:r w:rsidRPr="00572D1D" w:rsidR="00D61599">
        <w:rPr>
          <w:iCs/>
          <w:szCs w:val="26"/>
        </w:rPr>
        <w:t>”</w:t>
      </w:r>
      <w:r w:rsidRPr="00572D1D" w:rsidR="004C4314">
        <w:rPr>
          <w:i/>
          <w:iCs/>
          <w:szCs w:val="26"/>
        </w:rPr>
        <w:t xml:space="preserve">  </w:t>
      </w:r>
      <w:r w:rsidRPr="00572D1D" w:rsidR="004C4314">
        <w:rPr>
          <w:szCs w:val="26"/>
        </w:rPr>
        <w:t>(</w:t>
      </w:r>
      <w:r w:rsidRPr="001871A6" w:rsidR="001871A6">
        <w:rPr>
          <w:i/>
          <w:iCs/>
          <w:szCs w:val="26"/>
        </w:rPr>
        <w:t xml:space="preserve">People v. Lopez </w:t>
      </w:r>
      <w:r w:rsidRPr="001871A6" w:rsidR="001871A6">
        <w:rPr>
          <w:szCs w:val="26"/>
        </w:rPr>
        <w:t>(2022) 82 Cal.App.5th 1,</w:t>
      </w:r>
      <w:r w:rsidR="009257AA">
        <w:rPr>
          <w:iCs/>
          <w:szCs w:val="26"/>
        </w:rPr>
        <w:t> </w:t>
      </w:r>
      <w:r w:rsidRPr="00572D1D" w:rsidR="004C4314">
        <w:rPr>
          <w:iCs/>
          <w:szCs w:val="26"/>
        </w:rPr>
        <w:t xml:space="preserve">21, fn. 5; see </w:t>
      </w:r>
      <w:r w:rsidRPr="00572D1D" w:rsidR="00FF0507">
        <w:rPr>
          <w:i/>
          <w:szCs w:val="26"/>
        </w:rPr>
        <w:t>Western Security Bank v. Superior Court</w:t>
      </w:r>
      <w:r w:rsidRPr="00572D1D" w:rsidR="00FF0507">
        <w:rPr>
          <w:iCs/>
          <w:szCs w:val="26"/>
        </w:rPr>
        <w:t xml:space="preserve"> (1997) 15 Cal.4th 232, 244</w:t>
      </w:r>
      <w:r w:rsidRPr="00572D1D" w:rsidR="004C4314">
        <w:rPr>
          <w:iCs/>
          <w:szCs w:val="26"/>
        </w:rPr>
        <w:t>.)</w:t>
      </w:r>
      <w:r w:rsidRPr="00572D1D" w:rsidR="0084234C">
        <w:rPr>
          <w:iCs/>
          <w:szCs w:val="26"/>
        </w:rPr>
        <w:t xml:space="preserve">  </w:t>
      </w:r>
      <w:r w:rsidR="00A05BF6">
        <w:rPr>
          <w:iCs/>
          <w:szCs w:val="26"/>
        </w:rPr>
        <w:t>I</w:t>
      </w:r>
      <w:r>
        <w:rPr>
          <w:iCs/>
          <w:szCs w:val="26"/>
        </w:rPr>
        <w:t xml:space="preserve">n any event, </w:t>
      </w:r>
      <w:r w:rsidRPr="00572D1D" w:rsidR="0084234C">
        <w:rPr>
          <w:iCs/>
          <w:szCs w:val="26"/>
        </w:rPr>
        <w:t>“</w:t>
      </w:r>
      <w:r w:rsidR="000142B3">
        <w:rPr>
          <w:iCs/>
          <w:szCs w:val="26"/>
        </w:rPr>
        <w:t> ‘</w:t>
      </w:r>
      <w:r>
        <w:rPr>
          <w:iCs/>
          <w:szCs w:val="26"/>
        </w:rPr>
        <w:t>[t]</w:t>
      </w:r>
      <w:r w:rsidRPr="00572D1D" w:rsidR="0084234C">
        <w:rPr>
          <w:iCs/>
          <w:szCs w:val="26"/>
        </w:rPr>
        <w:t xml:space="preserve">he Legislature remains free to address a </w:t>
      </w:r>
      <w:r w:rsidR="000142B3">
        <w:rPr>
          <w:iCs/>
          <w:szCs w:val="26"/>
        </w:rPr>
        <w:t>“ </w:t>
      </w:r>
      <w:r w:rsidRPr="00572D1D" w:rsidR="0084234C">
        <w:rPr>
          <w:iCs/>
          <w:szCs w:val="26"/>
        </w:rPr>
        <w:t>‘related but distinct area’</w:t>
      </w:r>
      <w:r w:rsidR="000142B3">
        <w:rPr>
          <w:iCs/>
          <w:szCs w:val="26"/>
        </w:rPr>
        <w:t> ”</w:t>
      </w:r>
      <w:r w:rsidRPr="00572D1D" w:rsidR="0084234C">
        <w:rPr>
          <w:iCs/>
          <w:szCs w:val="26"/>
        </w:rPr>
        <w:t xml:space="preserve"> [citations] or a matter that an initiative measure </w:t>
      </w:r>
      <w:r w:rsidR="000142B3">
        <w:rPr>
          <w:iCs/>
          <w:szCs w:val="26"/>
        </w:rPr>
        <w:t>“</w:t>
      </w:r>
      <w:r w:rsidRPr="00572D1D" w:rsidR="0084234C">
        <w:rPr>
          <w:iCs/>
          <w:szCs w:val="26"/>
        </w:rPr>
        <w:t xml:space="preserve">does not specifically authorize </w:t>
      </w:r>
      <w:r w:rsidRPr="00572D1D" w:rsidR="0084234C">
        <w:rPr>
          <w:i/>
          <w:iCs/>
          <w:szCs w:val="26"/>
        </w:rPr>
        <w:t xml:space="preserve">or </w:t>
      </w:r>
      <w:r w:rsidRPr="00572D1D" w:rsidR="0084234C">
        <w:rPr>
          <w:iCs/>
          <w:szCs w:val="26"/>
        </w:rPr>
        <w:t>prohibit.</w:t>
      </w:r>
      <w:r w:rsidR="000142B3">
        <w:rPr>
          <w:iCs/>
          <w:szCs w:val="26"/>
        </w:rPr>
        <w:t>” </w:t>
      </w:r>
      <w:r w:rsidRPr="00572D1D" w:rsidR="0084234C">
        <w:rPr>
          <w:iCs/>
          <w:szCs w:val="26"/>
        </w:rPr>
        <w:t>’</w:t>
      </w:r>
      <w:r w:rsidR="00B66850">
        <w:rPr>
          <w:iCs/>
          <w:szCs w:val="26"/>
        </w:rPr>
        <w:t> </w:t>
      </w:r>
      <w:r w:rsidRPr="00572D1D" w:rsidR="0084234C">
        <w:rPr>
          <w:iCs/>
          <w:szCs w:val="26"/>
        </w:rPr>
        <w:t>”  (</w:t>
      </w:r>
      <w:r w:rsidRPr="00572D1D">
        <w:rPr>
          <w:i/>
          <w:iCs/>
          <w:szCs w:val="26"/>
        </w:rPr>
        <w:t>Pearson</w:t>
      </w:r>
      <w:r w:rsidRPr="00572D1D">
        <w:rPr>
          <w:szCs w:val="26"/>
        </w:rPr>
        <w:t xml:space="preserve">, </w:t>
      </w:r>
      <w:r w:rsidRPr="00572D1D">
        <w:rPr>
          <w:i/>
          <w:iCs/>
          <w:szCs w:val="26"/>
        </w:rPr>
        <w:t>supra</w:t>
      </w:r>
      <w:r w:rsidRPr="00572D1D">
        <w:rPr>
          <w:szCs w:val="26"/>
        </w:rPr>
        <w:t>, 48 Cal.4th at</w:t>
      </w:r>
      <w:r>
        <w:rPr>
          <w:szCs w:val="26"/>
        </w:rPr>
        <w:t xml:space="preserve"> p. </w:t>
      </w:r>
      <w:r w:rsidRPr="00572D1D">
        <w:rPr>
          <w:szCs w:val="26"/>
        </w:rPr>
        <w:t>571</w:t>
      </w:r>
      <w:r w:rsidRPr="00572D1D" w:rsidR="0084234C">
        <w:rPr>
          <w:iCs/>
          <w:szCs w:val="26"/>
        </w:rPr>
        <w:t>.)</w:t>
      </w:r>
      <w:r w:rsidRPr="00572D1D" w:rsidR="00D64E24">
        <w:rPr>
          <w:iCs/>
          <w:szCs w:val="26"/>
        </w:rPr>
        <w:t xml:space="preserve"> </w:t>
      </w:r>
    </w:p>
    <w:p w:rsidR="00E9014C" w:rsidRPr="00E9014C" w:rsidP="00E9014C" w14:paraId="163A97B2" w14:textId="77777777">
      <w:pPr>
        <w:ind w:firstLine="720"/>
        <w:rPr>
          <w:iCs/>
          <w:szCs w:val="26"/>
        </w:rPr>
      </w:pPr>
      <w:r>
        <w:rPr>
          <w:iCs/>
          <w:szCs w:val="26"/>
        </w:rPr>
        <w:t>Finally, we observe that t</w:t>
      </w:r>
      <w:r w:rsidRPr="00E9014C">
        <w:rPr>
          <w:iCs/>
          <w:szCs w:val="26"/>
        </w:rPr>
        <w:t xml:space="preserve">he Attorney General does not argue against application of the amended definition of “criminal street gang” in all contexts, but only when applied to the gang-murder special circumstance. </w:t>
      </w:r>
      <w:r w:rsidR="0081663F">
        <w:rPr>
          <w:iCs/>
          <w:szCs w:val="26"/>
        </w:rPr>
        <w:t xml:space="preserve"> </w:t>
      </w:r>
      <w:r>
        <w:rPr>
          <w:iCs/>
          <w:szCs w:val="26"/>
        </w:rPr>
        <w:t>On this view</w:t>
      </w:r>
      <w:r w:rsidRPr="00E9014C">
        <w:rPr>
          <w:iCs/>
          <w:szCs w:val="26"/>
        </w:rPr>
        <w:t xml:space="preserve">, the narrower definition of Assembly Bill 333 would apply in all other circumstances, effectively making it easier to prove gang allegations for the purposes of imposing the death penalty or life imprisonment without the possibility of parole, and more difficult to impose the less serious consequences that flow from violations of section 186.22 itself. </w:t>
      </w:r>
      <w:r w:rsidR="0081663F">
        <w:rPr>
          <w:iCs/>
          <w:szCs w:val="26"/>
        </w:rPr>
        <w:t xml:space="preserve"> </w:t>
      </w:r>
      <w:r w:rsidRPr="00E9014C">
        <w:rPr>
          <w:iCs/>
          <w:szCs w:val="26"/>
        </w:rPr>
        <w:t xml:space="preserve">As one court has observed, “[i]t is difficult to discern a rational reason for such an anomalous choice.” </w:t>
      </w:r>
      <w:r w:rsidR="0081663F">
        <w:rPr>
          <w:iCs/>
          <w:szCs w:val="26"/>
        </w:rPr>
        <w:t xml:space="preserve"> </w:t>
      </w:r>
      <w:r w:rsidRPr="00E9014C">
        <w:rPr>
          <w:iCs/>
          <w:szCs w:val="26"/>
        </w:rPr>
        <w:t>(</w:t>
      </w:r>
      <w:r w:rsidRPr="00E9014C">
        <w:rPr>
          <w:i/>
          <w:iCs/>
          <w:szCs w:val="26"/>
        </w:rPr>
        <w:t>Lee</w:t>
      </w:r>
      <w:r w:rsidRPr="00E9014C">
        <w:rPr>
          <w:iCs/>
          <w:szCs w:val="26"/>
        </w:rPr>
        <w:t xml:space="preserve">, </w:t>
      </w:r>
      <w:r w:rsidRPr="00E9014C">
        <w:rPr>
          <w:i/>
          <w:iCs/>
          <w:szCs w:val="26"/>
        </w:rPr>
        <w:t>supra</w:t>
      </w:r>
      <w:r w:rsidRPr="00E9014C">
        <w:rPr>
          <w:iCs/>
          <w:szCs w:val="26"/>
        </w:rPr>
        <w:t>, 81 Cal.App.5th at p. 242</w:t>
      </w:r>
      <w:r w:rsidR="00512154">
        <w:rPr>
          <w:iCs/>
          <w:szCs w:val="26"/>
        </w:rPr>
        <w:t xml:space="preserve">, </w:t>
      </w:r>
      <w:r w:rsidR="00512154">
        <w:rPr>
          <w:szCs w:val="26"/>
        </w:rPr>
        <w:t>rev.gr</w:t>
      </w:r>
      <w:r w:rsidRPr="00E9014C">
        <w:rPr>
          <w:iCs/>
          <w:szCs w:val="26"/>
        </w:rPr>
        <w:t>.)</w:t>
      </w:r>
    </w:p>
    <w:p w:rsidR="00F1310F" w:rsidRPr="00572D1D" w:rsidP="00F3496B" w14:paraId="163A97B3" w14:textId="77777777">
      <w:pPr>
        <w:pStyle w:val="Heading2"/>
        <w:ind w:left="0" w:firstLine="0"/>
        <w:jc w:val="center"/>
      </w:pPr>
      <w:r>
        <w:t>D</w:t>
      </w:r>
      <w:r w:rsidRPr="00572D1D">
        <w:t>.</w:t>
      </w:r>
    </w:p>
    <w:p w:rsidR="00423356" w:rsidRPr="00572D1D" w:rsidP="00A05BF6" w14:paraId="163A97B4" w14:textId="77777777">
      <w:pPr>
        <w:tabs>
          <w:tab w:val="left" w:pos="1440"/>
        </w:tabs>
        <w:ind w:firstLine="720"/>
        <w:rPr>
          <w:iCs/>
          <w:szCs w:val="26"/>
        </w:rPr>
      </w:pPr>
      <w:r w:rsidRPr="00572D1D">
        <w:rPr>
          <w:iCs/>
          <w:szCs w:val="26"/>
        </w:rPr>
        <w:t>The Attorney General relies</w:t>
      </w:r>
      <w:r w:rsidRPr="00572D1D" w:rsidR="00DF3B6A">
        <w:rPr>
          <w:iCs/>
          <w:szCs w:val="26"/>
        </w:rPr>
        <w:t xml:space="preserve"> on </w:t>
      </w:r>
      <w:r w:rsidRPr="00572D1D" w:rsidR="00313162">
        <w:rPr>
          <w:iCs/>
          <w:szCs w:val="26"/>
        </w:rPr>
        <w:t xml:space="preserve">three </w:t>
      </w:r>
      <w:r w:rsidRPr="00572D1D" w:rsidR="002A0CC4">
        <w:rPr>
          <w:iCs/>
          <w:szCs w:val="26"/>
        </w:rPr>
        <w:t xml:space="preserve">cases applying the </w:t>
      </w:r>
      <w:r w:rsidRPr="00572D1D" w:rsidR="002A0CC4">
        <w:rPr>
          <w:i/>
          <w:szCs w:val="26"/>
        </w:rPr>
        <w:t xml:space="preserve">Palermo </w:t>
      </w:r>
      <w:r w:rsidRPr="00572D1D" w:rsidR="002A0CC4">
        <w:rPr>
          <w:iCs/>
          <w:szCs w:val="26"/>
        </w:rPr>
        <w:t xml:space="preserve">rule, </w:t>
      </w:r>
      <w:r w:rsidR="00110A74">
        <w:rPr>
          <w:iCs/>
          <w:szCs w:val="26"/>
        </w:rPr>
        <w:t xml:space="preserve">but </w:t>
      </w:r>
      <w:r w:rsidRPr="00572D1D" w:rsidR="00313162">
        <w:rPr>
          <w:iCs/>
          <w:szCs w:val="26"/>
        </w:rPr>
        <w:t xml:space="preserve">none </w:t>
      </w:r>
      <w:r w:rsidRPr="00572D1D" w:rsidR="008326E6">
        <w:rPr>
          <w:iCs/>
          <w:szCs w:val="26"/>
        </w:rPr>
        <w:t>supports</w:t>
      </w:r>
      <w:r w:rsidRPr="00572D1D" w:rsidR="002A0CC4">
        <w:rPr>
          <w:iCs/>
          <w:szCs w:val="26"/>
        </w:rPr>
        <w:t xml:space="preserve"> a different result</w:t>
      </w:r>
      <w:r w:rsidRPr="00572D1D" w:rsidR="008326E6">
        <w:rPr>
          <w:iCs/>
          <w:szCs w:val="26"/>
        </w:rPr>
        <w:t xml:space="preserve"> here</w:t>
      </w:r>
      <w:r w:rsidRPr="00572D1D" w:rsidR="002A0CC4">
        <w:rPr>
          <w:iCs/>
          <w:szCs w:val="26"/>
        </w:rPr>
        <w:t>.</w:t>
      </w:r>
      <w:r w:rsidR="00A05BF6">
        <w:rPr>
          <w:iCs/>
          <w:szCs w:val="26"/>
        </w:rPr>
        <w:t xml:space="preserve">  </w:t>
      </w:r>
      <w:r w:rsidRPr="00572D1D" w:rsidR="002A0CC4">
        <w:rPr>
          <w:iCs/>
          <w:szCs w:val="26"/>
        </w:rPr>
        <w:t xml:space="preserve">First, the Attorney General </w:t>
      </w:r>
      <w:r w:rsidRPr="00572D1D" w:rsidR="008326E6">
        <w:rPr>
          <w:iCs/>
          <w:szCs w:val="26"/>
        </w:rPr>
        <w:t xml:space="preserve">says </w:t>
      </w:r>
      <w:r w:rsidRPr="00572D1D" w:rsidR="002A0CC4">
        <w:rPr>
          <w:iCs/>
          <w:szCs w:val="26"/>
        </w:rPr>
        <w:t>the specific reference in Proposition 21 to section 186.22</w:t>
      </w:r>
      <w:r w:rsidRPr="00572D1D" w:rsidR="008326E6">
        <w:rPr>
          <w:iCs/>
          <w:szCs w:val="26"/>
        </w:rPr>
        <w:t>(f)</w:t>
      </w:r>
      <w:r w:rsidRPr="00572D1D" w:rsidR="002A0CC4">
        <w:rPr>
          <w:iCs/>
          <w:szCs w:val="26"/>
        </w:rPr>
        <w:t xml:space="preserve"> </w:t>
      </w:r>
      <w:r w:rsidRPr="00572D1D" w:rsidR="008326E6">
        <w:rPr>
          <w:iCs/>
          <w:szCs w:val="26"/>
        </w:rPr>
        <w:t xml:space="preserve">is comparable </w:t>
      </w:r>
      <w:r w:rsidRPr="00572D1D" w:rsidR="002A0CC4">
        <w:rPr>
          <w:iCs/>
          <w:szCs w:val="26"/>
        </w:rPr>
        <w:t xml:space="preserve">to the </w:t>
      </w:r>
      <w:r w:rsidRPr="00572D1D" w:rsidR="008A237E">
        <w:rPr>
          <w:iCs/>
          <w:szCs w:val="26"/>
        </w:rPr>
        <w:t xml:space="preserve">specific reference </w:t>
      </w:r>
      <w:r w:rsidRPr="00572D1D" w:rsidR="005545C5">
        <w:rPr>
          <w:iCs/>
          <w:szCs w:val="26"/>
        </w:rPr>
        <w:t>in</w:t>
      </w:r>
      <w:r w:rsidRPr="00572D1D" w:rsidR="008A237E">
        <w:rPr>
          <w:iCs/>
          <w:szCs w:val="26"/>
        </w:rPr>
        <w:t xml:space="preserve"> Vehicle Code </w:t>
      </w:r>
      <w:r w:rsidRPr="00572D1D" w:rsidR="005545C5">
        <w:rPr>
          <w:iCs/>
          <w:szCs w:val="26"/>
        </w:rPr>
        <w:t xml:space="preserve">section 23152 </w:t>
      </w:r>
      <w:r w:rsidRPr="00572D1D" w:rsidR="00987C45">
        <w:rPr>
          <w:iCs/>
          <w:szCs w:val="26"/>
        </w:rPr>
        <w:t xml:space="preserve">to subdivisions (a) through (f) of section 835.6 of the Penal Code, which were held to be time-specific in </w:t>
      </w:r>
      <w:r w:rsidRPr="00572D1D" w:rsidR="00987C45">
        <w:rPr>
          <w:i/>
          <w:szCs w:val="26"/>
        </w:rPr>
        <w:t>People v. Domagalski</w:t>
      </w:r>
      <w:r w:rsidRPr="00572D1D" w:rsidR="00987C45">
        <w:rPr>
          <w:iCs/>
          <w:szCs w:val="26"/>
        </w:rPr>
        <w:t xml:space="preserve"> (1989) 214 Cal.App.3d 1380</w:t>
      </w:r>
      <w:r w:rsidRPr="00572D1D" w:rsidR="008B6933">
        <w:rPr>
          <w:iCs/>
          <w:szCs w:val="26"/>
        </w:rPr>
        <w:t xml:space="preserve"> (</w:t>
      </w:r>
      <w:r w:rsidRPr="00572D1D" w:rsidR="008B6933">
        <w:rPr>
          <w:i/>
          <w:szCs w:val="26"/>
        </w:rPr>
        <w:t>Domagalski</w:t>
      </w:r>
      <w:r w:rsidRPr="00572D1D" w:rsidR="008B6933">
        <w:rPr>
          <w:iCs/>
          <w:szCs w:val="26"/>
        </w:rPr>
        <w:t>)</w:t>
      </w:r>
      <w:r w:rsidRPr="00572D1D" w:rsidR="00987C45">
        <w:rPr>
          <w:iCs/>
          <w:szCs w:val="26"/>
        </w:rPr>
        <w:t xml:space="preserve">.  </w:t>
      </w:r>
      <w:r w:rsidR="00A05BF6">
        <w:rPr>
          <w:iCs/>
          <w:szCs w:val="26"/>
        </w:rPr>
        <w:t>T</w:t>
      </w:r>
      <w:r w:rsidRPr="00572D1D" w:rsidR="001377DB">
        <w:rPr>
          <w:iCs/>
          <w:szCs w:val="26"/>
        </w:rPr>
        <w:t xml:space="preserve">he Attorney General notes that </w:t>
      </w:r>
      <w:r w:rsidRPr="00572D1D" w:rsidR="00987C45">
        <w:rPr>
          <w:i/>
          <w:szCs w:val="26"/>
        </w:rPr>
        <w:t xml:space="preserve">Domagalski </w:t>
      </w:r>
      <w:r w:rsidRPr="00572D1D" w:rsidR="00987C45">
        <w:rPr>
          <w:iCs/>
          <w:szCs w:val="26"/>
        </w:rPr>
        <w:t xml:space="preserve">synthesized the following rule from intervening cases applying </w:t>
      </w:r>
      <w:r w:rsidRPr="00572D1D" w:rsidR="00987C45">
        <w:rPr>
          <w:i/>
          <w:szCs w:val="26"/>
        </w:rPr>
        <w:t>Palermo</w:t>
      </w:r>
      <w:r w:rsidRPr="00572D1D" w:rsidR="00987C45">
        <w:rPr>
          <w:iCs/>
          <w:szCs w:val="26"/>
        </w:rPr>
        <w:t xml:space="preserve">:  </w:t>
      </w:r>
      <w:r w:rsidRPr="00572D1D" w:rsidR="008854A1">
        <w:rPr>
          <w:iCs/>
          <w:szCs w:val="26"/>
        </w:rPr>
        <w:t>“</w:t>
      </w:r>
      <w:r w:rsidR="0044287B">
        <w:rPr>
          <w:iCs/>
          <w:szCs w:val="26"/>
        </w:rPr>
        <w:t> ‘</w:t>
      </w:r>
      <w:r w:rsidRPr="00572D1D" w:rsidR="008854A1">
        <w:rPr>
          <w:iCs/>
          <w:szCs w:val="26"/>
        </w:rPr>
        <w:t>Without exception, in each case where a statute, or some portion of it, was incorporated by reference to its section designation, the court found the reference to be specific and the effect was the same as if the adopted statute had been set out verbatim in the adopting statute, so that repeal or subsequent modification of the statute referred to</w:t>
      </w:r>
      <w:r w:rsidRPr="00572D1D" w:rsidR="00594569">
        <w:rPr>
          <w:iCs/>
          <w:szCs w:val="26"/>
        </w:rPr>
        <w:t xml:space="preserve"> [and] </w:t>
      </w:r>
      <w:r w:rsidRPr="00572D1D" w:rsidR="008854A1">
        <w:rPr>
          <w:iCs/>
          <w:szCs w:val="26"/>
        </w:rPr>
        <w:t>did not affect the adopting statute.</w:t>
      </w:r>
      <w:r w:rsidRPr="00572D1D" w:rsidR="008854A1">
        <w:rPr>
          <w:iCs/>
          <w:szCs w:val="26"/>
          <w:vertAlign w:val="superscript"/>
        </w:rPr>
        <w:t xml:space="preserve"> </w:t>
      </w:r>
      <w:r w:rsidRPr="00572D1D" w:rsidR="008854A1">
        <w:rPr>
          <w:iCs/>
          <w:szCs w:val="26"/>
        </w:rPr>
        <w:t xml:space="preserve"> Only in those cases where an entire body of law relating to a particular subject was adopted by reference did the court find the reference to be general so that subsequent amendments to the incorporated statute affected the adopting statute.</w:t>
      </w:r>
      <w:r w:rsidR="0044287B">
        <w:rPr>
          <w:iCs/>
          <w:szCs w:val="26"/>
        </w:rPr>
        <w:t>’ </w:t>
      </w:r>
      <w:r w:rsidRPr="00572D1D" w:rsidR="00594569">
        <w:rPr>
          <w:iCs/>
          <w:szCs w:val="26"/>
        </w:rPr>
        <w:t>”  (</w:t>
      </w:r>
      <w:bookmarkStart w:id="5" w:name="_Hlk141781329"/>
      <w:r w:rsidRPr="00572D1D" w:rsidR="00594569">
        <w:rPr>
          <w:i/>
          <w:szCs w:val="26"/>
        </w:rPr>
        <w:t>Domagalski</w:t>
      </w:r>
      <w:bookmarkEnd w:id="5"/>
      <w:r w:rsidRPr="00572D1D" w:rsidR="00594569">
        <w:rPr>
          <w:iCs/>
          <w:szCs w:val="26"/>
        </w:rPr>
        <w:t>, at</w:t>
      </w:r>
      <w:r w:rsidR="009257AA">
        <w:rPr>
          <w:iCs/>
          <w:szCs w:val="26"/>
        </w:rPr>
        <w:t xml:space="preserve"> pp. </w:t>
      </w:r>
      <w:r w:rsidRPr="00572D1D" w:rsidR="008854A1">
        <w:rPr>
          <w:iCs/>
          <w:szCs w:val="26"/>
        </w:rPr>
        <w:t>1385–1386</w:t>
      </w:r>
      <w:r w:rsidR="0044287B">
        <w:rPr>
          <w:iCs/>
          <w:szCs w:val="26"/>
        </w:rPr>
        <w:t>, fn. omitted</w:t>
      </w:r>
      <w:r w:rsidRPr="00572D1D" w:rsidR="00594569">
        <w:rPr>
          <w:iCs/>
          <w:szCs w:val="26"/>
        </w:rPr>
        <w:t xml:space="preserve">.)  </w:t>
      </w:r>
    </w:p>
    <w:p w:rsidR="0099292A" w:rsidRPr="00572D1D" w:rsidP="00572D1D" w14:paraId="163A97B5" w14:textId="77777777">
      <w:pPr>
        <w:tabs>
          <w:tab w:val="left" w:pos="1440"/>
        </w:tabs>
        <w:ind w:firstLine="720"/>
      </w:pPr>
      <w:r w:rsidRPr="00572D1D">
        <w:rPr>
          <w:iCs/>
          <w:szCs w:val="26"/>
        </w:rPr>
        <w:t xml:space="preserve">It is true that Proposition 21, like the statute at issue in </w:t>
      </w:r>
      <w:r w:rsidRPr="00572D1D">
        <w:rPr>
          <w:i/>
          <w:szCs w:val="26"/>
        </w:rPr>
        <w:t>Domagalski</w:t>
      </w:r>
      <w:r w:rsidRPr="00572D1D">
        <w:rPr>
          <w:iCs/>
          <w:szCs w:val="26"/>
        </w:rPr>
        <w:t xml:space="preserve">, refers to a specific subdivision of section 186.22 to define “criminal street gang.”  </w:t>
      </w:r>
      <w:r w:rsidRPr="00572D1D" w:rsidR="00087CC3">
        <w:rPr>
          <w:iCs/>
          <w:szCs w:val="26"/>
        </w:rPr>
        <w:t xml:space="preserve">That subdivision, however, contains the </w:t>
      </w:r>
      <w:r w:rsidRPr="00572D1D" w:rsidR="00087CC3">
        <w:rPr>
          <w:i/>
          <w:szCs w:val="26"/>
        </w:rPr>
        <w:t>entirety</w:t>
      </w:r>
      <w:r w:rsidRPr="00572D1D" w:rsidR="00087CC3">
        <w:rPr>
          <w:iCs/>
          <w:szCs w:val="26"/>
        </w:rPr>
        <w:t xml:space="preserve"> of the Penal Code’s definition of “criminal street gang,” whereas the referenced subdivision</w:t>
      </w:r>
      <w:r w:rsidRPr="00572D1D" w:rsidR="00C052E2">
        <w:rPr>
          <w:iCs/>
          <w:szCs w:val="26"/>
        </w:rPr>
        <w:t>s</w:t>
      </w:r>
      <w:r w:rsidRPr="00572D1D" w:rsidR="00087CC3">
        <w:rPr>
          <w:iCs/>
          <w:szCs w:val="26"/>
        </w:rPr>
        <w:t xml:space="preserve"> of </w:t>
      </w:r>
      <w:r w:rsidRPr="00572D1D" w:rsidR="00AD4EF0">
        <w:rPr>
          <w:iCs/>
          <w:szCs w:val="26"/>
        </w:rPr>
        <w:t xml:space="preserve">section 835.6 contain only a portion of the potentially relevant </w:t>
      </w:r>
      <w:r w:rsidRPr="00572D1D" w:rsidR="00C052E2">
        <w:rPr>
          <w:iCs/>
          <w:szCs w:val="26"/>
        </w:rPr>
        <w:t xml:space="preserve">misdemeanor procedures that the </w:t>
      </w:r>
      <w:r w:rsidRPr="00572D1D" w:rsidR="008326E6">
        <w:rPr>
          <w:iCs/>
          <w:szCs w:val="26"/>
        </w:rPr>
        <w:t>L</w:t>
      </w:r>
      <w:r w:rsidRPr="00572D1D" w:rsidR="00C052E2">
        <w:rPr>
          <w:iCs/>
          <w:szCs w:val="26"/>
        </w:rPr>
        <w:t xml:space="preserve">egislature could have chosen to incorporate into Vehicle Code section 23152 but did not.  </w:t>
      </w:r>
      <w:r w:rsidRPr="00572D1D" w:rsidR="00DC10BC">
        <w:rPr>
          <w:i/>
          <w:szCs w:val="26"/>
        </w:rPr>
        <w:t>Domagalski</w:t>
      </w:r>
      <w:r w:rsidRPr="00572D1D" w:rsidR="006C26B6">
        <w:rPr>
          <w:iCs/>
          <w:szCs w:val="26"/>
        </w:rPr>
        <w:t xml:space="preserve"> also</w:t>
      </w:r>
      <w:r w:rsidRPr="00572D1D" w:rsidR="00087CC3">
        <w:rPr>
          <w:iCs/>
          <w:szCs w:val="26"/>
        </w:rPr>
        <w:t xml:space="preserve"> </w:t>
      </w:r>
      <w:r w:rsidRPr="00572D1D" w:rsidR="00DC10BC">
        <w:rPr>
          <w:iCs/>
          <w:szCs w:val="26"/>
        </w:rPr>
        <w:t>confirms that “the determining factor will be the legislative intent behi</w:t>
      </w:r>
      <w:r w:rsidRPr="00572D1D" w:rsidR="00921585">
        <w:rPr>
          <w:iCs/>
          <w:szCs w:val="26"/>
        </w:rPr>
        <w:t>nd the incorporating statute,” which may be assessed through the legislative history.  (</w:t>
      </w:r>
      <w:r w:rsidRPr="00572D1D" w:rsidR="00885C1E">
        <w:rPr>
          <w:i/>
          <w:szCs w:val="26"/>
        </w:rPr>
        <w:t>Domagalski</w:t>
      </w:r>
      <w:r w:rsidRPr="00572D1D" w:rsidR="00E8739E">
        <w:rPr>
          <w:iCs/>
          <w:szCs w:val="26"/>
        </w:rPr>
        <w:t xml:space="preserve">, </w:t>
      </w:r>
      <w:r w:rsidRPr="00572D1D" w:rsidR="00E8739E">
        <w:rPr>
          <w:i/>
          <w:szCs w:val="26"/>
        </w:rPr>
        <w:t>supra</w:t>
      </w:r>
      <w:r w:rsidRPr="00572D1D" w:rsidR="00E8739E">
        <w:rPr>
          <w:iCs/>
          <w:szCs w:val="26"/>
        </w:rPr>
        <w:t>,</w:t>
      </w:r>
      <w:r w:rsidRPr="00572D1D" w:rsidR="00921585">
        <w:rPr>
          <w:iCs/>
          <w:szCs w:val="26"/>
        </w:rPr>
        <w:t xml:space="preserve"> </w:t>
      </w:r>
      <w:r w:rsidRPr="00572D1D" w:rsidR="00EE1639">
        <w:rPr>
          <w:iCs/>
          <w:szCs w:val="26"/>
        </w:rPr>
        <w:t xml:space="preserve">214 Cal.App.3d </w:t>
      </w:r>
      <w:r w:rsidRPr="00572D1D" w:rsidR="00921585">
        <w:t>at</w:t>
      </w:r>
      <w:r w:rsidR="009257AA">
        <w:t xml:space="preserve"> p. </w:t>
      </w:r>
      <w:r w:rsidRPr="00572D1D" w:rsidR="00921585">
        <w:t>1386.)</w:t>
      </w:r>
      <w:r w:rsidRPr="00572D1D" w:rsidR="00991123">
        <w:t xml:space="preserve">  We endorsed the latter point in </w:t>
      </w:r>
      <w:r w:rsidRPr="00572D1D" w:rsidR="00991123">
        <w:rPr>
          <w:i/>
          <w:iCs/>
        </w:rPr>
        <w:t>Jovan B.</w:t>
      </w:r>
      <w:r w:rsidRPr="00572D1D" w:rsidR="00991123">
        <w:t xml:space="preserve">, </w:t>
      </w:r>
      <w:r w:rsidRPr="00572D1D" w:rsidR="00A765DE">
        <w:t xml:space="preserve">including </w:t>
      </w:r>
      <w:r w:rsidRPr="00572D1D" w:rsidR="00A765DE">
        <w:rPr>
          <w:i/>
          <w:iCs/>
        </w:rPr>
        <w:t xml:space="preserve">Domagalski </w:t>
      </w:r>
      <w:r w:rsidRPr="00572D1D" w:rsidR="00A765DE">
        <w:t>among other “modern decisions</w:t>
      </w:r>
      <w:r w:rsidRPr="00572D1D">
        <w:t xml:space="preserve">” that “have applied the </w:t>
      </w:r>
      <w:r w:rsidRPr="00572D1D">
        <w:rPr>
          <w:i/>
          <w:iCs/>
        </w:rPr>
        <w:t>Palermo</w:t>
      </w:r>
      <w:r w:rsidRPr="00572D1D">
        <w:t xml:space="preserve"> rule</w:t>
      </w:r>
      <w:r w:rsidR="00D237F4">
        <w:t>” while noting that</w:t>
      </w:r>
      <w:r w:rsidRPr="00572D1D">
        <w:t xml:space="preserve"> </w:t>
      </w:r>
      <w:r w:rsidR="00D237F4">
        <w:t>“</w:t>
      </w:r>
      <w:r w:rsidRPr="00572D1D">
        <w:t>none have done so without regard to other indicia of legislative intent.”  (</w:t>
      </w:r>
      <w:r w:rsidRPr="00572D1D">
        <w:rPr>
          <w:i/>
          <w:iCs/>
        </w:rPr>
        <w:t>Jovan B.</w:t>
      </w:r>
      <w:r w:rsidRPr="00572D1D">
        <w:t xml:space="preserve">, </w:t>
      </w:r>
      <w:r w:rsidRPr="00572D1D">
        <w:rPr>
          <w:i/>
          <w:iCs/>
        </w:rPr>
        <w:t>supra</w:t>
      </w:r>
      <w:r w:rsidRPr="00572D1D">
        <w:t>, 6 Cal.4th at</w:t>
      </w:r>
      <w:r w:rsidR="009257AA">
        <w:t xml:space="preserve"> p. </w:t>
      </w:r>
      <w:r w:rsidRPr="00572D1D">
        <w:t xml:space="preserve">816, fn. 10.)  </w:t>
      </w:r>
      <w:r w:rsidRPr="00572D1D" w:rsidR="00B15C39">
        <w:rPr>
          <w:i/>
          <w:iCs/>
        </w:rPr>
        <w:t>Domagalski</w:t>
      </w:r>
      <w:r w:rsidRPr="00572D1D" w:rsidR="00B15C39">
        <w:t xml:space="preserve"> is consistent with </w:t>
      </w:r>
      <w:r w:rsidRPr="00572D1D" w:rsidR="006C26B6">
        <w:t>our</w:t>
      </w:r>
      <w:r w:rsidRPr="00572D1D" w:rsidR="00B15C39">
        <w:t xml:space="preserve"> analysis above</w:t>
      </w:r>
      <w:r w:rsidRPr="00572D1D" w:rsidR="00832757">
        <w:t>.</w:t>
      </w:r>
    </w:p>
    <w:p w:rsidR="0003508D" w:rsidRPr="00572D1D" w:rsidP="00572D1D" w14:paraId="163A97B6" w14:textId="77777777">
      <w:pPr>
        <w:tabs>
          <w:tab w:val="left" w:pos="1440"/>
        </w:tabs>
        <w:ind w:firstLine="720"/>
      </w:pPr>
      <w:r w:rsidRPr="00572D1D">
        <w:t xml:space="preserve">The same is true </w:t>
      </w:r>
      <w:r w:rsidR="00D237F4">
        <w:t>of</w:t>
      </w:r>
      <w:r w:rsidRPr="00572D1D" w:rsidR="00991123">
        <w:t xml:space="preserve"> </w:t>
      </w:r>
      <w:r w:rsidRPr="00572D1D">
        <w:rPr>
          <w:i/>
          <w:iCs/>
        </w:rPr>
        <w:t xml:space="preserve">In re Oluwa </w:t>
      </w:r>
      <w:r w:rsidRPr="00572D1D">
        <w:t>(1989) 207 Cal.App.3d 439</w:t>
      </w:r>
      <w:r w:rsidR="00793933">
        <w:t xml:space="preserve"> (</w:t>
      </w:r>
      <w:r w:rsidR="00793933">
        <w:rPr>
          <w:i/>
          <w:iCs/>
        </w:rPr>
        <w:t>Oluwa</w:t>
      </w:r>
      <w:r w:rsidR="00793933">
        <w:t>)</w:t>
      </w:r>
      <w:r w:rsidRPr="00572D1D">
        <w:t xml:space="preserve">, in which the Court of Appeal considered whether </w:t>
      </w:r>
      <w:r w:rsidRPr="00572D1D" w:rsidR="004457DF">
        <w:t>an inmate was subject to the custody credit calculation established by the voters through Proposition 7 or whether he was entitled to invoke more generous credit provisions later enacted by the Legislature.</w:t>
      </w:r>
      <w:r w:rsidRPr="00572D1D" w:rsidR="00A45B62">
        <w:t xml:space="preserve">  Proposition 7 contained a statement that </w:t>
      </w:r>
      <w:r w:rsidRPr="00747800" w:rsidR="00A45B62">
        <w:t>“</w:t>
      </w:r>
      <w:r w:rsidRPr="00747800" w:rsidR="003C26D8">
        <w:t> ‘</w:t>
      </w:r>
      <w:r w:rsidRPr="00747800" w:rsidR="00A45B62">
        <w:t>[t]he provisions of Article 2.5 (commencing with Section 2930) of Chapter 7 of Title 1 of Part 3 of the Penal Code [article 2.5] shall apply</w:t>
      </w:r>
      <w:r w:rsidRPr="00747800" w:rsidR="003C26D8">
        <w:t>’ </w:t>
      </w:r>
      <w:r w:rsidRPr="00747800" w:rsidR="00A45B62">
        <w:t xml:space="preserve">” in calculating custody credit for sentences like the inmate’s in </w:t>
      </w:r>
      <w:r w:rsidRPr="00747800" w:rsidR="00A45B62">
        <w:rPr>
          <w:i/>
          <w:iCs/>
        </w:rPr>
        <w:t>Oluwa</w:t>
      </w:r>
      <w:r w:rsidRPr="00747800" w:rsidR="00A45B62">
        <w:t>.</w:t>
      </w:r>
      <w:r w:rsidRPr="00747800" w:rsidR="00947939">
        <w:t xml:space="preserve">  </w:t>
      </w:r>
      <w:r w:rsidRPr="00747800" w:rsidR="00697945">
        <w:t>(</w:t>
      </w:r>
      <w:r w:rsidRPr="00747800" w:rsidR="00697945">
        <w:rPr>
          <w:i/>
          <w:iCs/>
        </w:rPr>
        <w:t>Oluwa</w:t>
      </w:r>
      <w:r w:rsidRPr="00747800" w:rsidR="00697945">
        <w:t>, at</w:t>
      </w:r>
      <w:r w:rsidRPr="00747800" w:rsidR="009257AA">
        <w:t xml:space="preserve"> p. </w:t>
      </w:r>
      <w:r w:rsidRPr="00747800" w:rsidR="00697945">
        <w:t>44</w:t>
      </w:r>
      <w:r w:rsidRPr="00747800" w:rsidR="00C1707F">
        <w:t>2</w:t>
      </w:r>
      <w:r w:rsidRPr="00747800" w:rsidR="00697945">
        <w:t>.)</w:t>
      </w:r>
      <w:r w:rsidRPr="00572D1D" w:rsidR="00697945">
        <w:t xml:space="preserve">  </w:t>
      </w:r>
      <w:r w:rsidRPr="00572D1D" w:rsidR="00947939">
        <w:t xml:space="preserve">As described in </w:t>
      </w:r>
      <w:r w:rsidRPr="00572D1D" w:rsidR="00947939">
        <w:rPr>
          <w:i/>
          <w:iCs/>
        </w:rPr>
        <w:t>Oluwa</w:t>
      </w:r>
      <w:r w:rsidRPr="00572D1D" w:rsidR="00947939">
        <w:t>, article 2.5 contained three sections governing custody credit calculation at the time Proposition 7 was passed</w:t>
      </w:r>
      <w:r w:rsidRPr="00572D1D" w:rsidR="000E3B62">
        <w:t xml:space="preserve">; the custody credits at issue were enacted as separate sections of </w:t>
      </w:r>
      <w:r w:rsidR="003C26D8">
        <w:t>a</w:t>
      </w:r>
      <w:r w:rsidRPr="00572D1D" w:rsidR="000E3B62">
        <w:t xml:space="preserve">rticle 2.5.  </w:t>
      </w:r>
      <w:r w:rsidRPr="00572D1D" w:rsidR="005C4D7A">
        <w:t>(</w:t>
      </w:r>
      <w:r w:rsidRPr="00572D1D" w:rsidR="005C4D7A">
        <w:rPr>
          <w:i/>
          <w:iCs/>
        </w:rPr>
        <w:t>Oluwa</w:t>
      </w:r>
      <w:r w:rsidRPr="00572D1D" w:rsidR="005C4D7A">
        <w:t>, at</w:t>
      </w:r>
      <w:r w:rsidR="009257AA">
        <w:t xml:space="preserve"> p. </w:t>
      </w:r>
      <w:r w:rsidRPr="00572D1D" w:rsidR="005C4D7A">
        <w:t>443.)</w:t>
      </w:r>
    </w:p>
    <w:p w:rsidR="002A0CC4" w:rsidRPr="00572D1D" w:rsidP="00572D1D" w14:paraId="163A97B7" w14:textId="77777777">
      <w:pPr>
        <w:tabs>
          <w:tab w:val="left" w:pos="1440"/>
        </w:tabs>
        <w:ind w:firstLine="720"/>
      </w:pPr>
      <w:r w:rsidRPr="00572D1D">
        <w:t xml:space="preserve">The Attorney General points to </w:t>
      </w:r>
      <w:r w:rsidRPr="00572D1D">
        <w:rPr>
          <w:i/>
          <w:iCs/>
        </w:rPr>
        <w:t>Oluwa</w:t>
      </w:r>
      <w:r w:rsidRPr="00572D1D">
        <w:t xml:space="preserve">’s </w:t>
      </w:r>
      <w:r w:rsidRPr="00572D1D" w:rsidR="00ED6E74">
        <w:t xml:space="preserve">statement that Proposition 7 </w:t>
      </w:r>
      <w:r w:rsidRPr="00572D1D" w:rsidR="00010DA0">
        <w:t>was “not a reference to a system or body of laws or to the</w:t>
      </w:r>
      <w:r w:rsidRPr="00572D1D" w:rsidR="00017FB2">
        <w:t xml:space="preserve"> </w:t>
      </w:r>
      <w:r w:rsidRPr="00572D1D" w:rsidR="00010DA0">
        <w:t>general law relating to the subject at hand,” but rather was “a</w:t>
      </w:r>
      <w:r w:rsidRPr="00572D1D" w:rsidR="00017FB2">
        <w:t xml:space="preserve"> </w:t>
      </w:r>
      <w:r w:rsidRPr="00572D1D" w:rsidR="00010DA0">
        <w:t>specific and pointed reference to an article of the Penal Code</w:t>
      </w:r>
      <w:r w:rsidRPr="00572D1D" w:rsidR="00017FB2">
        <w:t xml:space="preserve"> .</w:t>
      </w:r>
      <w:r w:rsidRPr="00572D1D" w:rsidR="005E5EA1">
        <w:t> </w:t>
      </w:r>
      <w:r w:rsidRPr="00572D1D" w:rsidR="00017FB2">
        <w:t>.</w:t>
      </w:r>
      <w:r w:rsidRPr="00572D1D" w:rsidR="005E5EA1">
        <w:t> </w:t>
      </w:r>
      <w:r w:rsidRPr="00572D1D" w:rsidR="00017FB2">
        <w:t xml:space="preserve">. </w:t>
      </w:r>
      <w:r w:rsidRPr="00572D1D" w:rsidR="00010DA0">
        <w:t>at the time</w:t>
      </w:r>
      <w:r w:rsidRPr="00572D1D" w:rsidR="00017FB2">
        <w:t xml:space="preserve"> </w:t>
      </w:r>
      <w:r w:rsidRPr="00572D1D" w:rsidR="00010DA0">
        <w:t xml:space="preserve">Proposition 7 incorporated article 2.5 into section 190.” </w:t>
      </w:r>
      <w:r w:rsidRPr="00572D1D" w:rsidR="00043D06">
        <w:t xml:space="preserve"> </w:t>
      </w:r>
      <w:r w:rsidRPr="00572D1D" w:rsidR="00010DA0">
        <w:t>(</w:t>
      </w:r>
      <w:r w:rsidRPr="00572D1D" w:rsidR="00010DA0">
        <w:rPr>
          <w:i/>
          <w:iCs/>
        </w:rPr>
        <w:t>Oluwa</w:t>
      </w:r>
      <w:r w:rsidRPr="00572D1D" w:rsidR="00010DA0">
        <w:t>,</w:t>
      </w:r>
      <w:r w:rsidRPr="00572D1D" w:rsidR="00017FB2">
        <w:t xml:space="preserve"> </w:t>
      </w:r>
      <w:r w:rsidRPr="00572D1D" w:rsidR="00BC7221">
        <w:rPr>
          <w:i/>
          <w:iCs/>
        </w:rPr>
        <w:t>supra</w:t>
      </w:r>
      <w:r w:rsidRPr="00572D1D" w:rsidR="00BC7221">
        <w:t xml:space="preserve">, </w:t>
      </w:r>
      <w:r w:rsidRPr="00572D1D" w:rsidR="000775B5">
        <w:t xml:space="preserve">207 Cal.App.3d </w:t>
      </w:r>
      <w:r w:rsidRPr="00572D1D" w:rsidR="00010DA0">
        <w:t>at</w:t>
      </w:r>
      <w:r w:rsidR="009257AA">
        <w:t xml:space="preserve"> p. </w:t>
      </w:r>
      <w:r w:rsidRPr="00572D1D" w:rsidR="00010DA0">
        <w:t>445.)</w:t>
      </w:r>
      <w:r w:rsidRPr="00572D1D" w:rsidR="00043D06">
        <w:t xml:space="preserve">  </w:t>
      </w:r>
      <w:r w:rsidRPr="00572D1D" w:rsidR="006C26B6">
        <w:t xml:space="preserve">But </w:t>
      </w:r>
      <w:r w:rsidRPr="00572D1D" w:rsidR="00043D06">
        <w:rPr>
          <w:i/>
          <w:iCs/>
        </w:rPr>
        <w:t>Oluwa</w:t>
      </w:r>
      <w:r w:rsidRPr="00572D1D" w:rsidR="00043D06">
        <w:t xml:space="preserve"> did not rest on </w:t>
      </w:r>
      <w:r w:rsidRPr="00572D1D" w:rsidR="006C26B6">
        <w:t xml:space="preserve">a </w:t>
      </w:r>
      <w:r w:rsidRPr="00572D1D" w:rsidR="00B028FF">
        <w:t xml:space="preserve">specific reference to </w:t>
      </w:r>
      <w:r w:rsidR="003C26D8">
        <w:t>a</w:t>
      </w:r>
      <w:r w:rsidRPr="00572D1D" w:rsidR="00B028FF">
        <w:t>rticle 2.5</w:t>
      </w:r>
      <w:r w:rsidRPr="00572D1D" w:rsidR="006C26B6">
        <w:t>;</w:t>
      </w:r>
      <w:r w:rsidRPr="00572D1D" w:rsidR="00B028FF">
        <w:t xml:space="preserve"> rather</w:t>
      </w:r>
      <w:r w:rsidRPr="00572D1D" w:rsidR="006C26B6">
        <w:t>, the court</w:t>
      </w:r>
      <w:r w:rsidRPr="00572D1D" w:rsidR="00B028FF">
        <w:t xml:space="preserve"> emphasized</w:t>
      </w:r>
      <w:r w:rsidRPr="00572D1D" w:rsidR="00C568B3">
        <w:t xml:space="preserve"> that the accompanying legislative analysis </w:t>
      </w:r>
      <w:r w:rsidRPr="00572D1D" w:rsidR="00DB7E2B">
        <w:t>“</w:t>
      </w:r>
      <w:r w:rsidRPr="00572D1D" w:rsidR="00AE47AB">
        <w:t xml:space="preserve">advised voters that those persons sentenced to 15 years to life in prison would have to serve a minimum of 10 years before becoming eligible for parole” as provided in </w:t>
      </w:r>
      <w:r w:rsidR="003C26D8">
        <w:t>a</w:t>
      </w:r>
      <w:r w:rsidRPr="00572D1D" w:rsidR="00AE47AB">
        <w:t xml:space="preserve">rticle 2.5 at the time Proposition 7 was adopted.  </w:t>
      </w:r>
      <w:r w:rsidRPr="00572D1D" w:rsidR="001916AF">
        <w:t>(</w:t>
      </w:r>
      <w:r w:rsidRPr="00572D1D" w:rsidR="001916AF">
        <w:rPr>
          <w:i/>
          <w:iCs/>
        </w:rPr>
        <w:t>Oluwa</w:t>
      </w:r>
      <w:r w:rsidRPr="00572D1D" w:rsidR="001916AF">
        <w:t>, at</w:t>
      </w:r>
      <w:r w:rsidR="009257AA">
        <w:t xml:space="preserve"> p. </w:t>
      </w:r>
      <w:r w:rsidRPr="00572D1D" w:rsidR="001916AF">
        <w:t xml:space="preserve">445.) </w:t>
      </w:r>
      <w:r w:rsidRPr="00572D1D" w:rsidR="006C26B6">
        <w:t xml:space="preserve"> </w:t>
      </w:r>
      <w:r w:rsidRPr="00572D1D" w:rsidR="006C26B6">
        <w:rPr>
          <w:i/>
          <w:iCs/>
        </w:rPr>
        <w:t>Oluwa</w:t>
      </w:r>
      <w:r w:rsidRPr="00572D1D" w:rsidR="006C26B6">
        <w:t xml:space="preserve"> explained that</w:t>
      </w:r>
      <w:r w:rsidRPr="00572D1D" w:rsidR="001916AF">
        <w:t xml:space="preserve"> </w:t>
      </w:r>
      <w:r w:rsidRPr="00572D1D" w:rsidR="006C26B6">
        <w:t>a</w:t>
      </w:r>
      <w:r w:rsidRPr="00572D1D" w:rsidR="001916AF">
        <w:t xml:space="preserve">llowing inmates like Oluwa to </w:t>
      </w:r>
      <w:r w:rsidRPr="00572D1D" w:rsidR="00A02B42">
        <w:t>benefit from subsequent amendments that would reduce that minimum specifically presented to the voters would frustrate the voters’ intent and constitute an impermissible legislative amendment of the initiative.  (</w:t>
      </w:r>
      <w:r w:rsidRPr="00572D1D" w:rsidR="00AF6163">
        <w:rPr>
          <w:i/>
          <w:iCs/>
        </w:rPr>
        <w:t>Id.</w:t>
      </w:r>
      <w:r w:rsidRPr="00572D1D" w:rsidR="00A02B42">
        <w:t xml:space="preserve"> at</w:t>
      </w:r>
      <w:r w:rsidR="009257AA">
        <w:t xml:space="preserve"> p. </w:t>
      </w:r>
      <w:r w:rsidRPr="00572D1D" w:rsidR="002966F7">
        <w:t xml:space="preserve">446.)  </w:t>
      </w:r>
      <w:r w:rsidRPr="00572D1D" w:rsidR="006C26B6">
        <w:t xml:space="preserve">Here, by </w:t>
      </w:r>
      <w:r w:rsidRPr="00572D1D" w:rsidR="002966F7">
        <w:t xml:space="preserve">contrast, we have no similar representation in the ballot materials accompanying Proposition 21 </w:t>
      </w:r>
      <w:r w:rsidRPr="00572D1D" w:rsidR="006C26B6">
        <w:t xml:space="preserve">that applies or even mentions a </w:t>
      </w:r>
      <w:r w:rsidRPr="00572D1D" w:rsidR="002966F7">
        <w:t xml:space="preserve">specific definition </w:t>
      </w:r>
      <w:r w:rsidRPr="00572D1D" w:rsidR="002E00EC">
        <w:t>of “criminal street gang,” and thus no basis to infer that the voters intended to lock</w:t>
      </w:r>
      <w:r w:rsidRPr="00572D1D" w:rsidR="006C26B6">
        <w:t xml:space="preserve"> </w:t>
      </w:r>
      <w:r w:rsidRPr="00572D1D" w:rsidR="002E00EC">
        <w:t>in such a definition.</w:t>
      </w:r>
    </w:p>
    <w:p w:rsidR="00FF1D9A" w:rsidRPr="00572D1D" w:rsidP="00EB541E" w14:paraId="163A97B8" w14:textId="77777777">
      <w:pPr>
        <w:pStyle w:val="PRComments"/>
        <w:spacing w:line="400" w:lineRule="exact"/>
        <w:ind w:right="0" w:firstLine="720"/>
      </w:pPr>
      <w:r w:rsidRPr="00572D1D">
        <w:t>T</w:t>
      </w:r>
      <w:r w:rsidRPr="00572D1D" w:rsidR="009B0808">
        <w:t xml:space="preserve">he Attorney General </w:t>
      </w:r>
      <w:r w:rsidRPr="00572D1D">
        <w:t xml:space="preserve">also </w:t>
      </w:r>
      <w:r w:rsidR="00110A74">
        <w:t>cites</w:t>
      </w:r>
      <w:r w:rsidRPr="00572D1D" w:rsidR="00A56930">
        <w:t xml:space="preserve"> </w:t>
      </w:r>
      <w:r w:rsidRPr="00572D1D" w:rsidR="00200DE2">
        <w:rPr>
          <w:i/>
          <w:iCs/>
        </w:rPr>
        <w:t>People v. Anderson</w:t>
      </w:r>
      <w:r w:rsidRPr="00572D1D" w:rsidR="00200DE2">
        <w:t xml:space="preserve"> (2002) 28 Cal.4th 767, which concerned the proper interpretation of section 26, </w:t>
      </w:r>
      <w:r w:rsidR="00110A74">
        <w:t xml:space="preserve">a statute </w:t>
      </w:r>
      <w:r w:rsidRPr="00572D1D" w:rsidR="00200DE2">
        <w:t>preclud</w:t>
      </w:r>
      <w:r w:rsidR="00110A74">
        <w:t>ing</w:t>
      </w:r>
      <w:r w:rsidRPr="00572D1D" w:rsidR="00200DE2">
        <w:t xml:space="preserve"> duress as a defense to crimes “punishable with death.”  </w:t>
      </w:r>
      <w:r w:rsidRPr="00572D1D" w:rsidR="00D037E5">
        <w:t xml:space="preserve">When section 26’s predecessor was first enacted, this category </w:t>
      </w:r>
      <w:r w:rsidR="00110A74">
        <w:t xml:space="preserve">of crimes </w:t>
      </w:r>
      <w:r w:rsidRPr="00572D1D" w:rsidR="00D037E5">
        <w:t>included all forms of murder</w:t>
      </w:r>
      <w:r w:rsidR="00110A74">
        <w:t>.  T</w:t>
      </w:r>
      <w:r w:rsidRPr="00572D1D" w:rsidR="00D037E5">
        <w:t>he defendant argued that because only first degree murder with special circumstances is so punishable</w:t>
      </w:r>
      <w:r w:rsidR="00110A74">
        <w:t xml:space="preserve"> today</w:t>
      </w:r>
      <w:r w:rsidRPr="00572D1D" w:rsidR="00D037E5">
        <w:t xml:space="preserve">, duress should constitute a defense to all forms of murder </w:t>
      </w:r>
      <w:r w:rsidRPr="00EB541E" w:rsidR="00D037E5">
        <w:t>except</w:t>
      </w:r>
      <w:r w:rsidRPr="00572D1D" w:rsidR="00D037E5">
        <w:rPr>
          <w:i/>
          <w:iCs/>
        </w:rPr>
        <w:t xml:space="preserve"> </w:t>
      </w:r>
      <w:r w:rsidRPr="00572D1D" w:rsidR="00D037E5">
        <w:t>first degree murder with special circumstances.  (</w:t>
      </w:r>
      <w:r w:rsidRPr="00572D1D" w:rsidR="00D037E5">
        <w:rPr>
          <w:i/>
          <w:iCs/>
        </w:rPr>
        <w:t>Anderson</w:t>
      </w:r>
      <w:r w:rsidRPr="00572D1D" w:rsidR="00D037E5">
        <w:t>, at</w:t>
      </w:r>
      <w:r w:rsidR="009257AA">
        <w:t xml:space="preserve"> p. </w:t>
      </w:r>
      <w:r w:rsidRPr="00572D1D" w:rsidR="00D037E5">
        <w:t>773.)  In other words, the defendant argued that the reference to crimes “punishable with death” in section 26 was general and therefore evolve</w:t>
      </w:r>
      <w:r w:rsidR="00110A74">
        <w:t>s</w:t>
      </w:r>
      <w:r w:rsidRPr="00572D1D" w:rsidR="00D037E5">
        <w:t xml:space="preserve"> with the changing nature of what constitutes a capital offense.  </w:t>
      </w:r>
      <w:r w:rsidR="000857B8">
        <w:t>A</w:t>
      </w:r>
      <w:r w:rsidRPr="00572D1D" w:rsidR="000857B8">
        <w:t>fter considering various indicia of legislative intent and the “anomalous[]” and “random results” that would result from the defendant’s position</w:t>
      </w:r>
      <w:r w:rsidR="000857B8">
        <w:t>, w</w:t>
      </w:r>
      <w:r w:rsidRPr="00572D1D" w:rsidR="00D037E5">
        <w:t xml:space="preserve">e </w:t>
      </w:r>
      <w:r w:rsidR="000857B8">
        <w:t>held</w:t>
      </w:r>
      <w:r w:rsidRPr="00572D1D" w:rsidR="00D037E5">
        <w:t xml:space="preserve"> </w:t>
      </w:r>
      <w:r w:rsidR="000857B8">
        <w:t xml:space="preserve">that </w:t>
      </w:r>
      <w:r w:rsidRPr="00572D1D" w:rsidR="00D037E5">
        <w:t>duress is “not a defense to any form of murder” and that the reference in section 26 was specific</w:t>
      </w:r>
      <w:r w:rsidRPr="00572D1D" w:rsidR="00374139">
        <w:t>.  (</w:t>
      </w:r>
      <w:r w:rsidR="00793933">
        <w:rPr>
          <w:i/>
          <w:iCs/>
        </w:rPr>
        <w:t>Anderson</w:t>
      </w:r>
      <w:r w:rsidR="00A00623">
        <w:rPr>
          <w:i/>
          <w:iCs/>
        </w:rPr>
        <w:t xml:space="preserve">, </w:t>
      </w:r>
      <w:r w:rsidRPr="00747800" w:rsidR="00A00623">
        <w:t>at pp. 775, 780;</w:t>
      </w:r>
      <w:r w:rsidR="00A00623">
        <w:rPr>
          <w:i/>
          <w:iCs/>
        </w:rPr>
        <w:t xml:space="preserve"> </w:t>
      </w:r>
      <w:r w:rsidR="00A00623">
        <w:t xml:space="preserve">see </w:t>
      </w:r>
      <w:r w:rsidR="00A00623">
        <w:rPr>
          <w:i/>
          <w:iCs/>
        </w:rPr>
        <w:t>i</w:t>
      </w:r>
      <w:r w:rsidRPr="00EB541E" w:rsidR="00374139">
        <w:rPr>
          <w:i/>
          <w:iCs/>
        </w:rPr>
        <w:t>d.</w:t>
      </w:r>
      <w:r w:rsidRPr="00572D1D" w:rsidR="00374139">
        <w:t xml:space="preserve"> at</w:t>
      </w:r>
      <w:r w:rsidR="009257AA">
        <w:t xml:space="preserve"> pp. </w:t>
      </w:r>
      <w:r w:rsidRPr="00572D1D" w:rsidR="00374139">
        <w:t>774–778.)</w:t>
      </w:r>
      <w:r w:rsidRPr="00572D1D">
        <w:t xml:space="preserve">  </w:t>
      </w:r>
    </w:p>
    <w:p w:rsidR="009B0808" w:rsidRPr="00572D1D" w:rsidP="00EB541E" w14:paraId="163A97B9" w14:textId="77777777">
      <w:pPr>
        <w:pStyle w:val="PRComments"/>
        <w:spacing w:line="400" w:lineRule="exact"/>
        <w:ind w:right="0" w:firstLine="720"/>
        <w:rPr>
          <w:vertAlign w:val="subscript"/>
        </w:rPr>
      </w:pPr>
      <w:r w:rsidRPr="00572D1D">
        <w:t xml:space="preserve">The Attorney General </w:t>
      </w:r>
      <w:r w:rsidR="00110A74">
        <w:t>says</w:t>
      </w:r>
      <w:r w:rsidRPr="00572D1D">
        <w:t xml:space="preserve"> “the reference [in Proposition 21] is even more specific than the reference at issue in </w:t>
      </w:r>
      <w:r w:rsidRPr="00572D1D">
        <w:rPr>
          <w:i/>
          <w:iCs/>
        </w:rPr>
        <w:t>Anderson</w:t>
      </w:r>
      <w:r w:rsidRPr="00572D1D">
        <w:t xml:space="preserve">.”  This argument appears to draw the wrong lesson from </w:t>
      </w:r>
      <w:r w:rsidRPr="00572D1D">
        <w:rPr>
          <w:i/>
          <w:iCs/>
        </w:rPr>
        <w:t>Anderson</w:t>
      </w:r>
      <w:r w:rsidRPr="00572D1D">
        <w:t xml:space="preserve">.  </w:t>
      </w:r>
      <w:r w:rsidRPr="00572D1D">
        <w:rPr>
          <w:i/>
          <w:iCs/>
        </w:rPr>
        <w:t>Anderson</w:t>
      </w:r>
      <w:r w:rsidRPr="00572D1D">
        <w:t xml:space="preserve"> illustrates that a statutory reference that appears to be general can, upon inquiry into legislative intent, </w:t>
      </w:r>
      <w:r w:rsidR="000857B8">
        <w:t xml:space="preserve">turn out to be </w:t>
      </w:r>
      <w:r w:rsidRPr="00572D1D">
        <w:t xml:space="preserve">specific.  This case shows the reverse also </w:t>
      </w:r>
      <w:r w:rsidR="000857B8">
        <w:t xml:space="preserve">can </w:t>
      </w:r>
      <w:r w:rsidRPr="00572D1D">
        <w:t xml:space="preserve">be true:  the </w:t>
      </w:r>
      <w:r w:rsidR="000857B8">
        <w:t xml:space="preserve">statutory reference in </w:t>
      </w:r>
      <w:r w:rsidRPr="00572D1D">
        <w:t xml:space="preserve">section 190.2 may appear specific, but the relevant indicia of voter intent </w:t>
      </w:r>
      <w:r w:rsidR="00A05BF6">
        <w:t>show</w:t>
      </w:r>
      <w:r w:rsidRPr="00572D1D" w:rsidR="00A05BF6">
        <w:t xml:space="preserve"> </w:t>
      </w:r>
      <w:r w:rsidRPr="00572D1D">
        <w:t xml:space="preserve">that the reference </w:t>
      </w:r>
      <w:r w:rsidR="000857B8">
        <w:t xml:space="preserve">is </w:t>
      </w:r>
      <w:r w:rsidRPr="00572D1D">
        <w:t xml:space="preserve">general.  </w:t>
      </w:r>
    </w:p>
    <w:p w:rsidR="00AF7428" w:rsidRPr="00572D1D" w:rsidP="00572D1D" w14:paraId="163A97BA" w14:textId="77777777">
      <w:pPr>
        <w:pStyle w:val="Body"/>
        <w:spacing w:line="400" w:lineRule="exact"/>
        <w:rPr>
          <w:iCs/>
          <w:szCs w:val="26"/>
        </w:rPr>
      </w:pPr>
      <w:r>
        <w:rPr>
          <w:iCs/>
          <w:szCs w:val="26"/>
        </w:rPr>
        <w:t>W</w:t>
      </w:r>
      <w:r w:rsidRPr="00572D1D">
        <w:rPr>
          <w:iCs/>
          <w:szCs w:val="26"/>
        </w:rPr>
        <w:t xml:space="preserve">e conclude that applying Assembly Bill 333’s definition of “criminal street gang” to the gang-murder special circumstance does not unconstitutionally amend section 190.2(a)(22).  </w:t>
      </w:r>
      <w:r w:rsidRPr="00572D1D" w:rsidR="00544A44">
        <w:rPr>
          <w:iCs/>
          <w:szCs w:val="26"/>
        </w:rPr>
        <w:t>Accepting, as did the Court of Appeal</w:t>
      </w:r>
      <w:r w:rsidRPr="00572D1D" w:rsidR="00422CD2">
        <w:rPr>
          <w:iCs/>
          <w:szCs w:val="26"/>
        </w:rPr>
        <w:t>,</w:t>
      </w:r>
      <w:r w:rsidRPr="00572D1D" w:rsidR="00DB7830">
        <w:rPr>
          <w:iCs/>
          <w:szCs w:val="26"/>
        </w:rPr>
        <w:t xml:space="preserve"> the Attorney General’s concession below that the evidence </w:t>
      </w:r>
      <w:r w:rsidRPr="00572D1D" w:rsidR="007D5751">
        <w:rPr>
          <w:iCs/>
          <w:szCs w:val="26"/>
        </w:rPr>
        <w:t xml:space="preserve">presented </w:t>
      </w:r>
      <w:r w:rsidRPr="00572D1D" w:rsidR="00DB7830">
        <w:rPr>
          <w:iCs/>
          <w:szCs w:val="26"/>
        </w:rPr>
        <w:t xml:space="preserve">at trial is not sufficient to sustain the gang allegations under Assembly Bill 333, </w:t>
      </w:r>
      <w:r w:rsidR="000857B8">
        <w:rPr>
          <w:iCs/>
          <w:szCs w:val="26"/>
        </w:rPr>
        <w:t xml:space="preserve">we vacate </w:t>
      </w:r>
      <w:r w:rsidRPr="00572D1D" w:rsidR="00DB7830">
        <w:rPr>
          <w:iCs/>
          <w:szCs w:val="26"/>
        </w:rPr>
        <w:t xml:space="preserve">the </w:t>
      </w:r>
      <w:r w:rsidR="000857B8">
        <w:rPr>
          <w:iCs/>
          <w:szCs w:val="26"/>
        </w:rPr>
        <w:t xml:space="preserve">true finding on the </w:t>
      </w:r>
      <w:r w:rsidRPr="00572D1D" w:rsidR="00DB7830">
        <w:rPr>
          <w:iCs/>
          <w:szCs w:val="26"/>
        </w:rPr>
        <w:t>gang-murder special circumstance</w:t>
      </w:r>
      <w:r w:rsidR="000857B8">
        <w:rPr>
          <w:iCs/>
          <w:szCs w:val="26"/>
        </w:rPr>
        <w:t xml:space="preserve"> in this case</w:t>
      </w:r>
      <w:r w:rsidRPr="00572D1D" w:rsidR="00D654A4">
        <w:rPr>
          <w:iCs/>
          <w:szCs w:val="26"/>
        </w:rPr>
        <w:t>.</w:t>
      </w:r>
    </w:p>
    <w:p w:rsidR="00AF7428" w:rsidRPr="00572D1D" w:rsidP="00572D1D" w14:paraId="163A97BB" w14:textId="77777777">
      <w:pPr>
        <w:pStyle w:val="Heading1"/>
      </w:pPr>
      <w:r w:rsidRPr="00572D1D">
        <w:t>CONCLUSION</w:t>
      </w:r>
    </w:p>
    <w:p w:rsidR="00D91892" w:rsidRPr="00572D1D" w:rsidP="00572D1D" w14:paraId="163A97BC" w14:textId="77777777">
      <w:pPr>
        <w:pStyle w:val="Body"/>
        <w:spacing w:line="400" w:lineRule="exact"/>
        <w:rPr>
          <w:iCs/>
          <w:szCs w:val="26"/>
        </w:rPr>
      </w:pPr>
      <w:r>
        <w:rPr>
          <w:iCs/>
          <w:szCs w:val="26"/>
        </w:rPr>
        <w:t>W</w:t>
      </w:r>
      <w:r w:rsidRPr="00572D1D" w:rsidR="00840B34">
        <w:rPr>
          <w:iCs/>
          <w:szCs w:val="26"/>
        </w:rPr>
        <w:t xml:space="preserve">e reverse the </w:t>
      </w:r>
      <w:r w:rsidRPr="00572D1D" w:rsidR="00571102">
        <w:rPr>
          <w:iCs/>
          <w:szCs w:val="26"/>
        </w:rPr>
        <w:t>judgment</w:t>
      </w:r>
      <w:r w:rsidRPr="00572D1D" w:rsidR="00840B34">
        <w:rPr>
          <w:iCs/>
          <w:szCs w:val="26"/>
        </w:rPr>
        <w:t xml:space="preserve"> below and remand for further proceedings consistent with this opinion.</w:t>
      </w:r>
    </w:p>
    <w:p w:rsidR="007B3700" w:rsidRPr="00572D1D" w:rsidP="00572D1D" w14:paraId="163A97BD" w14:textId="77777777">
      <w:pPr>
        <w:rPr>
          <w:b/>
          <w:szCs w:val="26"/>
        </w:rPr>
      </w:pPr>
    </w:p>
    <w:p w:rsidR="007B3700" w:rsidRPr="00572D1D" w:rsidP="00572D1D" w14:paraId="163A97BE" w14:textId="77777777">
      <w:pPr>
        <w:ind w:left="4320" w:firstLine="720"/>
        <w:rPr>
          <w:b/>
          <w:szCs w:val="26"/>
        </w:rPr>
      </w:pPr>
      <w:r w:rsidRPr="00572D1D">
        <w:rPr>
          <w:b/>
          <w:szCs w:val="26"/>
        </w:rPr>
        <w:t>LIU, J.</w:t>
      </w:r>
    </w:p>
    <w:p w:rsidR="008B28A9" w:rsidP="008B28A9" w14:paraId="163A97BF" w14:textId="77777777">
      <w:pPr>
        <w:pStyle w:val="FootnoteText"/>
        <w:spacing w:line="400" w:lineRule="exact"/>
        <w:rPr>
          <w:b/>
          <w:szCs w:val="26"/>
        </w:rPr>
      </w:pPr>
    </w:p>
    <w:p w:rsidR="000D494A" w:rsidP="00426D74" w14:paraId="163A97C0" w14:textId="77777777">
      <w:pPr>
        <w:rPr>
          <w:b/>
        </w:rPr>
      </w:pPr>
      <w:r>
        <w:rPr>
          <w:b/>
        </w:rPr>
        <w:t>We Concur:</w:t>
      </w:r>
    </w:p>
    <w:p w:rsidR="000D494A" w:rsidRPr="000413AA" w:rsidP="000D494A" w14:paraId="163A97C1" w14:textId="563B9EC0">
      <w:pPr>
        <w:spacing w:after="0" w:line="240" w:lineRule="auto"/>
        <w:rPr>
          <w:rFonts w:ascii="Calibri" w:hAnsi="Calibri"/>
          <w:b/>
          <w:sz w:val="22"/>
          <w:lang w:val="it-IT"/>
        </w:rPr>
      </w:pPr>
      <w:r w:rsidRPr="000413AA">
        <w:rPr>
          <w:b/>
        </w:rPr>
        <w:t>GUERRERO</w:t>
      </w:r>
      <w:r w:rsidRPr="000413AA">
        <w:rPr>
          <w:b/>
          <w:lang w:val="it-IT"/>
        </w:rPr>
        <w:t>, C.</w:t>
      </w:r>
      <w:r w:rsidR="00B81542">
        <w:rPr>
          <w:b/>
          <w:lang w:val="it-IT"/>
        </w:rPr>
        <w:t> </w:t>
      </w:r>
      <w:r w:rsidRPr="000413AA">
        <w:rPr>
          <w:b/>
          <w:lang w:val="it-IT"/>
        </w:rPr>
        <w:t>J.</w:t>
      </w:r>
    </w:p>
    <w:p w:rsidR="000D494A" w:rsidRPr="000413AA" w:rsidP="000D494A" w14:paraId="163A97C2" w14:textId="77777777">
      <w:pPr>
        <w:spacing w:after="0" w:line="240" w:lineRule="auto"/>
        <w:rPr>
          <w:b/>
          <w:lang w:val="it-IT"/>
        </w:rPr>
      </w:pPr>
      <w:r w:rsidRPr="000413AA">
        <w:rPr>
          <w:b/>
          <w:lang w:val="it-IT"/>
        </w:rPr>
        <w:t>CORRIGAN, J.</w:t>
      </w:r>
    </w:p>
    <w:p w:rsidR="000D494A" w:rsidRPr="000413AA" w:rsidP="000D494A" w14:paraId="163A97C3" w14:textId="77777777">
      <w:pPr>
        <w:spacing w:after="0" w:line="240" w:lineRule="auto"/>
        <w:jc w:val="left"/>
        <w:rPr>
          <w:b/>
          <w:lang w:val="it-IT"/>
        </w:rPr>
      </w:pPr>
      <w:r w:rsidRPr="000413AA">
        <w:rPr>
          <w:b/>
          <w:lang w:val="it-IT"/>
        </w:rPr>
        <w:t>KRUGER, J.</w:t>
      </w:r>
    </w:p>
    <w:p w:rsidR="000D494A" w:rsidRPr="000413AA" w:rsidP="000D494A" w14:paraId="163A97C4" w14:textId="77777777">
      <w:pPr>
        <w:spacing w:after="0" w:line="240" w:lineRule="auto"/>
        <w:jc w:val="left"/>
        <w:rPr>
          <w:b/>
        </w:rPr>
      </w:pPr>
      <w:r w:rsidRPr="000413AA">
        <w:rPr>
          <w:b/>
        </w:rPr>
        <w:t>GROBAN, J.</w:t>
      </w:r>
    </w:p>
    <w:p w:rsidR="000D494A" w:rsidRPr="000413AA" w:rsidP="000D494A" w14:paraId="163A97C5" w14:textId="77777777">
      <w:pPr>
        <w:spacing w:after="0" w:line="240" w:lineRule="auto"/>
        <w:jc w:val="left"/>
        <w:rPr>
          <w:b/>
        </w:rPr>
      </w:pPr>
      <w:r w:rsidRPr="000413AA">
        <w:rPr>
          <w:b/>
        </w:rPr>
        <w:t>JENKINS, J.</w:t>
      </w:r>
    </w:p>
    <w:p w:rsidR="007F712B" w:rsidP="000D494A" w14:paraId="163A97C6" w14:textId="77777777">
      <w:pPr>
        <w:tabs>
          <w:tab w:val="right" w:pos="7200"/>
        </w:tabs>
        <w:rPr>
          <w:b/>
        </w:rPr>
      </w:pPr>
      <w:r w:rsidRPr="000413AA">
        <w:rPr>
          <w:b/>
        </w:rPr>
        <w:t>EVANS, J.</w:t>
      </w:r>
    </w:p>
    <w:p w:rsidR="00C2358A" w:rsidP="000D494A" w14:paraId="49653269" w14:textId="77777777">
      <w:pPr>
        <w:tabs>
          <w:tab w:val="right" w:pos="7200"/>
        </w:tabs>
        <w:rPr>
          <w:b/>
          <w:caps/>
        </w:rPr>
        <w:sectPr w:rsidSect="00221A01">
          <w:footerReference w:type="first" r:id="rId7"/>
          <w:pgSz w:w="12240" w:h="15840"/>
          <w:pgMar w:top="1800" w:right="2160" w:bottom="1440" w:left="2160" w:header="720" w:footer="720" w:gutter="0"/>
          <w:pgNumType w:start="1"/>
          <w:cols w:space="720"/>
          <w:titlePg/>
          <w:docGrid w:linePitch="367"/>
        </w:sectPr>
      </w:pPr>
    </w:p>
    <w:p w:rsidR="00C2358A" w:rsidRPr="00C2358A" w:rsidP="00C2358A" w14:paraId="12EE9A81" w14:textId="77777777">
      <w:pPr>
        <w:spacing w:after="0" w:line="240" w:lineRule="auto"/>
        <w:jc w:val="left"/>
        <w:rPr>
          <w:i/>
          <w:sz w:val="24"/>
          <w:szCs w:val="24"/>
        </w:rPr>
      </w:pPr>
      <w:r w:rsidRPr="00C2358A">
        <w:rPr>
          <w:i/>
          <w:sz w:val="24"/>
          <w:szCs w:val="24"/>
        </w:rPr>
        <w:t>See next page for addresses and telephone numbers for counsel who argued in Supreme Court.</w:t>
      </w:r>
    </w:p>
    <w:p w:rsidR="00C2358A" w:rsidRPr="00C2358A" w:rsidP="00C2358A" w14:paraId="66AA0520" w14:textId="77777777">
      <w:pPr>
        <w:spacing w:after="0" w:line="240" w:lineRule="auto"/>
        <w:jc w:val="left"/>
        <w:rPr>
          <w:i/>
          <w:sz w:val="24"/>
          <w:szCs w:val="24"/>
        </w:rPr>
      </w:pPr>
    </w:p>
    <w:p w:rsidR="00C2358A" w:rsidRPr="00C2358A" w:rsidP="00C2358A" w14:paraId="23939AA8" w14:textId="77777777">
      <w:pPr>
        <w:spacing w:after="0" w:line="240" w:lineRule="auto"/>
        <w:jc w:val="left"/>
        <w:rPr>
          <w:bCs/>
          <w:sz w:val="24"/>
          <w:szCs w:val="24"/>
        </w:rPr>
      </w:pPr>
      <w:r w:rsidRPr="00C2358A">
        <w:rPr>
          <w:b/>
          <w:sz w:val="24"/>
          <w:szCs w:val="24"/>
        </w:rPr>
        <w:t xml:space="preserve">Name of Opinion  </w:t>
      </w:r>
      <w:r w:rsidRPr="00C2358A">
        <w:rPr>
          <w:bCs/>
          <w:sz w:val="24"/>
          <w:szCs w:val="24"/>
        </w:rPr>
        <w:t>People v. Rojas</w:t>
      </w:r>
    </w:p>
    <w:p w:rsidR="00C2358A" w:rsidRPr="00C2358A" w:rsidP="00C2358A" w14:paraId="70A0E66F" w14:textId="77777777">
      <w:pPr>
        <w:spacing w:after="0" w:line="240" w:lineRule="auto"/>
        <w:jc w:val="left"/>
        <w:rPr>
          <w:b/>
          <w:sz w:val="24"/>
          <w:szCs w:val="24"/>
        </w:rPr>
      </w:pPr>
      <w:r w:rsidRPr="00C2358A">
        <w:rPr>
          <w:b/>
          <w:sz w:val="24"/>
          <w:szCs w:val="24"/>
        </w:rPr>
        <w:t xml:space="preserve">__________________________________________________________ </w:t>
      </w:r>
    </w:p>
    <w:p w:rsidR="00C2358A" w:rsidRPr="00C2358A" w:rsidP="00C2358A" w14:paraId="67B5347F" w14:textId="77777777">
      <w:pPr>
        <w:spacing w:after="0" w:line="240" w:lineRule="auto"/>
        <w:jc w:val="left"/>
        <w:rPr>
          <w:b/>
          <w:sz w:val="24"/>
          <w:szCs w:val="24"/>
        </w:rPr>
      </w:pPr>
    </w:p>
    <w:p w:rsidR="00C2358A" w:rsidRPr="00C2358A" w:rsidP="00C2358A" w14:paraId="2DABD5DD" w14:textId="77777777">
      <w:pPr>
        <w:spacing w:after="0" w:line="240" w:lineRule="auto"/>
        <w:jc w:val="left"/>
        <w:rPr>
          <w:sz w:val="24"/>
          <w:szCs w:val="24"/>
        </w:rPr>
      </w:pPr>
      <w:r w:rsidRPr="00C2358A">
        <w:rPr>
          <w:b/>
          <w:bCs/>
          <w:sz w:val="24"/>
          <w:szCs w:val="24"/>
          <w:u w:val="single"/>
        </w:rPr>
        <w:t>Procedural Posture</w:t>
      </w:r>
      <w:r w:rsidRPr="00C2358A">
        <w:rPr>
          <w:b/>
          <w:bCs/>
          <w:sz w:val="24"/>
          <w:szCs w:val="24"/>
        </w:rPr>
        <w:t xml:space="preserve"> </w:t>
      </w:r>
      <w:r w:rsidRPr="00C2358A">
        <w:rPr>
          <w:sz w:val="24"/>
          <w:szCs w:val="24"/>
        </w:rPr>
        <w:t>(see XX below)</w:t>
      </w:r>
    </w:p>
    <w:p w:rsidR="00C2358A" w:rsidRPr="00C2358A" w:rsidP="00C2358A" w14:paraId="34383E13" w14:textId="77777777">
      <w:pPr>
        <w:spacing w:after="0" w:line="240" w:lineRule="auto"/>
        <w:jc w:val="left"/>
        <w:rPr>
          <w:sz w:val="24"/>
          <w:szCs w:val="24"/>
        </w:rPr>
      </w:pPr>
      <w:r w:rsidRPr="00C2358A">
        <w:rPr>
          <w:b/>
          <w:bCs/>
          <w:sz w:val="24"/>
          <w:szCs w:val="24"/>
        </w:rPr>
        <w:t>Original Appeal</w:t>
      </w:r>
      <w:r w:rsidRPr="00C2358A">
        <w:rPr>
          <w:sz w:val="24"/>
          <w:szCs w:val="24"/>
        </w:rPr>
        <w:t xml:space="preserve"> </w:t>
      </w:r>
    </w:p>
    <w:p w:rsidR="00C2358A" w:rsidRPr="00C2358A" w:rsidP="00C2358A" w14:paraId="6CB240FB" w14:textId="77777777">
      <w:pPr>
        <w:spacing w:after="0" w:line="240" w:lineRule="auto"/>
        <w:jc w:val="left"/>
        <w:rPr>
          <w:b/>
          <w:bCs/>
          <w:sz w:val="24"/>
          <w:szCs w:val="24"/>
        </w:rPr>
      </w:pPr>
      <w:r w:rsidRPr="00C2358A">
        <w:rPr>
          <w:b/>
          <w:bCs/>
          <w:sz w:val="24"/>
          <w:szCs w:val="24"/>
        </w:rPr>
        <w:t>Original Proceeding</w:t>
      </w:r>
    </w:p>
    <w:p w:rsidR="00C2358A" w:rsidRPr="00C2358A" w:rsidP="00C2358A" w14:paraId="0D73D479" w14:textId="77777777">
      <w:pPr>
        <w:spacing w:after="0" w:line="240" w:lineRule="auto"/>
        <w:jc w:val="left"/>
        <w:rPr>
          <w:sz w:val="24"/>
          <w:szCs w:val="24"/>
        </w:rPr>
      </w:pPr>
      <w:r w:rsidRPr="00C2358A">
        <w:rPr>
          <w:b/>
          <w:bCs/>
          <w:sz w:val="24"/>
          <w:szCs w:val="24"/>
        </w:rPr>
        <w:t>Review Granted</w:t>
      </w:r>
      <w:r w:rsidRPr="00C2358A">
        <w:rPr>
          <w:sz w:val="24"/>
          <w:szCs w:val="24"/>
        </w:rPr>
        <w:t xml:space="preserve"> </w:t>
      </w:r>
      <w:r w:rsidRPr="00C2358A">
        <w:rPr>
          <w:b/>
          <w:bCs/>
          <w:sz w:val="24"/>
          <w:szCs w:val="24"/>
        </w:rPr>
        <w:t xml:space="preserve">(published) </w:t>
      </w:r>
      <w:r w:rsidRPr="00C2358A">
        <w:rPr>
          <w:sz w:val="24"/>
          <w:szCs w:val="24"/>
        </w:rPr>
        <w:t>XX 80 Cal.App.5th 542</w:t>
      </w:r>
    </w:p>
    <w:p w:rsidR="00C2358A" w:rsidRPr="00C2358A" w:rsidP="00C2358A" w14:paraId="2FAAE007" w14:textId="77777777">
      <w:pPr>
        <w:spacing w:after="0" w:line="240" w:lineRule="auto"/>
        <w:jc w:val="left"/>
        <w:rPr>
          <w:sz w:val="24"/>
          <w:szCs w:val="24"/>
        </w:rPr>
      </w:pPr>
      <w:r w:rsidRPr="00C2358A">
        <w:rPr>
          <w:b/>
          <w:bCs/>
          <w:sz w:val="24"/>
          <w:szCs w:val="24"/>
        </w:rPr>
        <w:t xml:space="preserve">Review Granted (unpublished) </w:t>
      </w:r>
    </w:p>
    <w:p w:rsidR="00C2358A" w:rsidRPr="00C2358A" w:rsidP="00C2358A" w14:paraId="49613D9D" w14:textId="77777777">
      <w:pPr>
        <w:spacing w:after="0" w:line="240" w:lineRule="auto"/>
        <w:jc w:val="left"/>
        <w:rPr>
          <w:b/>
          <w:bCs/>
          <w:sz w:val="24"/>
          <w:szCs w:val="24"/>
        </w:rPr>
      </w:pPr>
      <w:r w:rsidRPr="00C2358A">
        <w:rPr>
          <w:b/>
          <w:bCs/>
          <w:sz w:val="24"/>
          <w:szCs w:val="24"/>
        </w:rPr>
        <w:t>Rehearing Granted</w:t>
      </w:r>
    </w:p>
    <w:p w:rsidR="00C2358A" w:rsidRPr="00C2358A" w:rsidP="00C2358A" w14:paraId="32859E68" w14:textId="77777777">
      <w:pPr>
        <w:spacing w:after="0" w:line="240" w:lineRule="auto"/>
        <w:jc w:val="left"/>
        <w:rPr>
          <w:b/>
          <w:sz w:val="24"/>
          <w:szCs w:val="24"/>
        </w:rPr>
      </w:pPr>
      <w:r w:rsidRPr="00C2358A">
        <w:rPr>
          <w:b/>
          <w:sz w:val="24"/>
          <w:szCs w:val="24"/>
        </w:rPr>
        <w:t xml:space="preserve">__________________________________________________________ </w:t>
      </w:r>
    </w:p>
    <w:p w:rsidR="00C2358A" w:rsidRPr="00C2358A" w:rsidP="00C2358A" w14:paraId="4B1AC49C" w14:textId="77777777">
      <w:pPr>
        <w:spacing w:after="0" w:line="240" w:lineRule="auto"/>
        <w:jc w:val="left"/>
        <w:rPr>
          <w:b/>
          <w:sz w:val="24"/>
          <w:szCs w:val="24"/>
        </w:rPr>
      </w:pPr>
    </w:p>
    <w:p w:rsidR="00C2358A" w:rsidRPr="00C2358A" w:rsidP="00C2358A" w14:paraId="5CF583CA" w14:textId="77777777">
      <w:pPr>
        <w:spacing w:after="0" w:line="240" w:lineRule="auto"/>
        <w:jc w:val="left"/>
        <w:rPr>
          <w:bCs/>
          <w:sz w:val="24"/>
          <w:szCs w:val="24"/>
        </w:rPr>
      </w:pPr>
      <w:r w:rsidRPr="00C2358A">
        <w:rPr>
          <w:b/>
          <w:sz w:val="24"/>
          <w:szCs w:val="24"/>
        </w:rPr>
        <w:t>Opinion No.</w:t>
      </w:r>
      <w:r w:rsidRPr="00C2358A">
        <w:rPr>
          <w:sz w:val="24"/>
          <w:szCs w:val="24"/>
        </w:rPr>
        <w:t xml:space="preserve"> S275835</w:t>
      </w:r>
    </w:p>
    <w:p w:rsidR="00C2358A" w:rsidRPr="00C2358A" w:rsidP="00C2358A" w14:paraId="51CDC488" w14:textId="77777777">
      <w:pPr>
        <w:spacing w:after="0" w:line="240" w:lineRule="auto"/>
        <w:jc w:val="left"/>
        <w:rPr>
          <w:bCs/>
          <w:sz w:val="24"/>
          <w:szCs w:val="24"/>
        </w:rPr>
      </w:pPr>
      <w:r w:rsidRPr="00C2358A">
        <w:rPr>
          <w:b/>
          <w:sz w:val="24"/>
          <w:szCs w:val="24"/>
        </w:rPr>
        <w:t>Date Filed:</w:t>
      </w:r>
      <w:r w:rsidRPr="00C2358A">
        <w:rPr>
          <w:sz w:val="24"/>
          <w:szCs w:val="24"/>
        </w:rPr>
        <w:t xml:space="preserve">  December 18, 2023</w:t>
      </w:r>
    </w:p>
    <w:p w:rsidR="00C2358A" w:rsidRPr="00C2358A" w:rsidP="00C2358A" w14:paraId="5DF981AD" w14:textId="77777777">
      <w:pPr>
        <w:spacing w:after="0" w:line="240" w:lineRule="auto"/>
        <w:jc w:val="left"/>
        <w:rPr>
          <w:b/>
          <w:sz w:val="24"/>
          <w:szCs w:val="24"/>
        </w:rPr>
      </w:pPr>
      <w:r w:rsidRPr="00C2358A">
        <w:rPr>
          <w:b/>
          <w:sz w:val="24"/>
          <w:szCs w:val="24"/>
        </w:rPr>
        <w:t xml:space="preserve">__________________________________________________________ </w:t>
      </w:r>
    </w:p>
    <w:p w:rsidR="00C2358A" w:rsidRPr="00C2358A" w:rsidP="00C2358A" w14:paraId="47F0B5BF" w14:textId="77777777">
      <w:pPr>
        <w:spacing w:after="0" w:line="240" w:lineRule="auto"/>
        <w:jc w:val="left"/>
        <w:rPr>
          <w:b/>
          <w:sz w:val="24"/>
          <w:szCs w:val="24"/>
        </w:rPr>
      </w:pPr>
    </w:p>
    <w:p w:rsidR="00C2358A" w:rsidRPr="00C2358A" w:rsidP="00C2358A" w14:paraId="78792970" w14:textId="77777777">
      <w:pPr>
        <w:spacing w:after="0" w:line="240" w:lineRule="auto"/>
        <w:jc w:val="left"/>
        <w:rPr>
          <w:bCs/>
          <w:sz w:val="24"/>
          <w:szCs w:val="24"/>
        </w:rPr>
      </w:pPr>
      <w:r w:rsidRPr="00C2358A">
        <w:rPr>
          <w:b/>
          <w:sz w:val="24"/>
          <w:szCs w:val="24"/>
        </w:rPr>
        <w:t xml:space="preserve">Court:  </w:t>
      </w:r>
      <w:r w:rsidRPr="00C2358A">
        <w:rPr>
          <w:bCs/>
          <w:sz w:val="24"/>
          <w:szCs w:val="24"/>
        </w:rPr>
        <w:t>Superior</w:t>
      </w:r>
      <w:r w:rsidRPr="00C2358A">
        <w:rPr>
          <w:b/>
          <w:sz w:val="24"/>
          <w:szCs w:val="24"/>
        </w:rPr>
        <w:t xml:space="preserve"> </w:t>
      </w:r>
    </w:p>
    <w:p w:rsidR="00C2358A" w:rsidRPr="00C2358A" w:rsidP="00C2358A" w14:paraId="5B37B1B6" w14:textId="77777777">
      <w:pPr>
        <w:spacing w:after="0" w:line="240" w:lineRule="auto"/>
        <w:jc w:val="left"/>
        <w:rPr>
          <w:bCs/>
          <w:sz w:val="24"/>
          <w:szCs w:val="24"/>
        </w:rPr>
      </w:pPr>
      <w:r w:rsidRPr="00C2358A">
        <w:rPr>
          <w:b/>
          <w:sz w:val="24"/>
          <w:szCs w:val="24"/>
        </w:rPr>
        <w:t xml:space="preserve">County:  </w:t>
      </w:r>
      <w:r w:rsidRPr="00C2358A">
        <w:rPr>
          <w:bCs/>
          <w:sz w:val="24"/>
          <w:szCs w:val="24"/>
        </w:rPr>
        <w:t>Kern</w:t>
      </w:r>
    </w:p>
    <w:p w:rsidR="00C2358A" w:rsidRPr="00C2358A" w:rsidP="00C2358A" w14:paraId="02A96F0F" w14:textId="77777777">
      <w:pPr>
        <w:spacing w:after="0" w:line="240" w:lineRule="auto"/>
        <w:ind w:left="720" w:hanging="720"/>
        <w:jc w:val="left"/>
        <w:rPr>
          <w:bCs/>
          <w:sz w:val="24"/>
          <w:szCs w:val="24"/>
        </w:rPr>
      </w:pPr>
      <w:r w:rsidRPr="00C2358A">
        <w:rPr>
          <w:b/>
          <w:sz w:val="24"/>
          <w:szCs w:val="24"/>
        </w:rPr>
        <w:t xml:space="preserve">Judge: </w:t>
      </w:r>
      <w:r w:rsidRPr="00C2358A">
        <w:rPr>
          <w:bCs/>
          <w:sz w:val="24"/>
          <w:szCs w:val="24"/>
        </w:rPr>
        <w:t xml:space="preserve"> John W. Lua</w:t>
      </w:r>
    </w:p>
    <w:p w:rsidR="00C2358A" w:rsidRPr="00C2358A" w:rsidP="00C2358A" w14:paraId="3916410E" w14:textId="77777777">
      <w:pPr>
        <w:spacing w:after="0" w:line="240" w:lineRule="auto"/>
        <w:jc w:val="left"/>
        <w:rPr>
          <w:b/>
          <w:sz w:val="24"/>
          <w:szCs w:val="24"/>
        </w:rPr>
      </w:pPr>
      <w:r w:rsidRPr="00C2358A">
        <w:rPr>
          <w:b/>
          <w:sz w:val="24"/>
          <w:szCs w:val="24"/>
        </w:rPr>
        <w:t xml:space="preserve">__________________________________________________________  </w:t>
      </w:r>
    </w:p>
    <w:p w:rsidR="00C2358A" w:rsidRPr="00C2358A" w:rsidP="00C2358A" w14:paraId="25CA8F2E" w14:textId="77777777">
      <w:pPr>
        <w:spacing w:after="0" w:line="240" w:lineRule="auto"/>
        <w:jc w:val="left"/>
        <w:rPr>
          <w:b/>
          <w:sz w:val="24"/>
          <w:szCs w:val="24"/>
        </w:rPr>
      </w:pPr>
    </w:p>
    <w:p w:rsidR="00C2358A" w:rsidRPr="00C2358A" w:rsidP="00C2358A" w14:paraId="66E3A110" w14:textId="77777777">
      <w:pPr>
        <w:spacing w:after="0" w:line="240" w:lineRule="auto"/>
        <w:jc w:val="left"/>
        <w:rPr>
          <w:b/>
          <w:sz w:val="24"/>
          <w:szCs w:val="24"/>
        </w:rPr>
      </w:pPr>
      <w:r w:rsidRPr="00C2358A">
        <w:rPr>
          <w:b/>
          <w:sz w:val="24"/>
          <w:szCs w:val="24"/>
        </w:rPr>
        <w:t>Counsel:</w:t>
      </w:r>
    </w:p>
    <w:p w:rsidR="00C2358A" w:rsidRPr="00C2358A" w:rsidP="00C2358A" w14:paraId="45A6DC59" w14:textId="77777777">
      <w:pPr>
        <w:spacing w:after="0" w:line="240" w:lineRule="auto"/>
        <w:jc w:val="left"/>
        <w:rPr>
          <w:b/>
          <w:sz w:val="24"/>
          <w:szCs w:val="24"/>
        </w:rPr>
      </w:pPr>
    </w:p>
    <w:p w:rsidR="00C2358A" w:rsidRPr="00C2358A" w:rsidP="00C2358A" w14:paraId="2D600DA3"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Sharon G. Wrubel, under appointment by the Supreme Court, for Defendant and Appellant.</w:t>
      </w:r>
    </w:p>
    <w:p w:rsidR="00C2358A" w:rsidRPr="00C2358A" w:rsidP="00C2358A" w14:paraId="58F7EEBF" w14:textId="77777777">
      <w:pPr>
        <w:spacing w:after="0" w:line="240" w:lineRule="auto"/>
        <w:jc w:val="left"/>
        <w:rPr>
          <w:color w:val="212121"/>
          <w:sz w:val="24"/>
          <w:szCs w:val="24"/>
          <w:shd w:val="clear" w:color="auto" w:fill="FFFFFF"/>
        </w:rPr>
      </w:pPr>
    </w:p>
    <w:p w:rsidR="00C2358A" w:rsidRPr="00C2358A" w:rsidP="00C2358A" w14:paraId="3A8EE8A2"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Xavier Becerra and Rob Bonta, Attorneys General, Lance E. Winters, Chief Assistant Attorney General, Michael P. Farrell and Susan Sullivan Pithey, Assistant Attorneys General, Dana Muhammad Ali, Idan Ivri, Louis M. Vasquez, Daniel B. Bernstein, Robert Gezi, Amanda D. Cary, William K. Kim and Stacy S. Schwartz, Deputy Attorneys General, for Plaintiff and Respondent.</w:t>
      </w:r>
    </w:p>
    <w:p w:rsidR="00C2358A" w:rsidRPr="00C2358A" w:rsidP="00C2358A" w14:paraId="177F6120" w14:textId="77777777">
      <w:pPr>
        <w:spacing w:after="0" w:line="240" w:lineRule="auto"/>
        <w:jc w:val="left"/>
        <w:rPr>
          <w:color w:val="212121"/>
          <w:sz w:val="24"/>
          <w:szCs w:val="24"/>
          <w:shd w:val="clear" w:color="auto" w:fill="FFFFFF"/>
        </w:rPr>
      </w:pPr>
    </w:p>
    <w:p w:rsidR="00C2358A" w:rsidRPr="00C2358A" w:rsidP="00C2358A" w14:paraId="0CBDCD0A"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Kent S. Scheidegger and Kymberlee C. Stapleton for the Criminal Justice Legal Foundation as Amicus Curiae on behalf of Plaintiff and Respondent.</w:t>
      </w:r>
    </w:p>
    <w:p w:rsidR="00C2358A" w:rsidRPr="00C2358A" w:rsidP="00C2358A" w14:paraId="686FA5E3" w14:textId="77777777">
      <w:pPr>
        <w:spacing w:after="0" w:line="240" w:lineRule="auto"/>
        <w:jc w:val="left"/>
        <w:rPr>
          <w:color w:val="212121"/>
          <w:sz w:val="24"/>
          <w:szCs w:val="24"/>
          <w:shd w:val="clear" w:color="auto" w:fill="FFFFFF"/>
        </w:rPr>
      </w:pPr>
    </w:p>
    <w:p w:rsidR="00C2358A" w:rsidRPr="00C2358A" w:rsidP="00C2358A" w14:paraId="1E3BEA95"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Gregory D. Totten for the</w:t>
      </w:r>
      <w:r w:rsidRPr="00C2358A">
        <w:rPr>
          <w:rFonts w:ascii="Times New Roman" w:hAnsi="Times New Roman"/>
          <w:sz w:val="26"/>
        </w:rPr>
        <w:t xml:space="preserve"> </w:t>
      </w:r>
      <w:r w:rsidRPr="00C2358A">
        <w:rPr>
          <w:color w:val="212121"/>
          <w:sz w:val="24"/>
          <w:szCs w:val="24"/>
          <w:shd w:val="clear" w:color="auto" w:fill="FFFFFF"/>
        </w:rPr>
        <w:t>California District Attorneys Association as Amicus Curiae on behalf of Plaintiff and Respondent.</w:t>
      </w:r>
      <w:r w:rsidRPr="00C2358A">
        <w:rPr>
          <w:color w:val="212121"/>
          <w:sz w:val="24"/>
          <w:szCs w:val="24"/>
          <w:shd w:val="clear" w:color="auto" w:fill="FFFFFF"/>
        </w:rPr>
        <w:br w:type="page"/>
      </w:r>
      <w:r w:rsidRPr="00C2358A">
        <w:rPr>
          <w:b/>
          <w:sz w:val="24"/>
          <w:szCs w:val="24"/>
        </w:rPr>
        <w:t xml:space="preserve">Counsel who argued in Supreme Court (not intended for publication with opinion): </w:t>
      </w:r>
    </w:p>
    <w:p w:rsidR="00C2358A" w:rsidRPr="00C2358A" w:rsidP="00C2358A" w14:paraId="7BA305EE" w14:textId="77777777">
      <w:pPr>
        <w:spacing w:after="0" w:line="240" w:lineRule="auto"/>
        <w:jc w:val="left"/>
        <w:rPr>
          <w:sz w:val="24"/>
          <w:szCs w:val="24"/>
        </w:rPr>
      </w:pPr>
    </w:p>
    <w:p w:rsidR="00C2358A" w:rsidRPr="00C2358A" w:rsidP="00C2358A" w14:paraId="38277751"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Sharon G. Wrubel</w:t>
      </w:r>
    </w:p>
    <w:p w:rsidR="00C2358A" w:rsidRPr="00C2358A" w:rsidP="00C2358A" w14:paraId="5D194201"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Attorney at Law</w:t>
      </w:r>
    </w:p>
    <w:p w:rsidR="00C2358A" w:rsidRPr="00C2358A" w:rsidP="00C2358A" w14:paraId="2D060990"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P.O. Box 1240</w:t>
      </w:r>
    </w:p>
    <w:p w:rsidR="00C2358A" w:rsidRPr="00C2358A" w:rsidP="00C2358A" w14:paraId="5BA9B40D" w14:textId="77777777">
      <w:pPr>
        <w:spacing w:after="0" w:line="240" w:lineRule="auto"/>
        <w:jc w:val="left"/>
        <w:rPr>
          <w:sz w:val="24"/>
          <w:szCs w:val="24"/>
        </w:rPr>
      </w:pPr>
      <w:r w:rsidRPr="00C2358A">
        <w:rPr>
          <w:sz w:val="24"/>
          <w:szCs w:val="24"/>
        </w:rPr>
        <w:t xml:space="preserve">Pacific Palisades, CA 90272 </w:t>
      </w:r>
    </w:p>
    <w:p w:rsidR="00C2358A" w:rsidRPr="00C2358A" w:rsidP="00C2358A" w14:paraId="186D2F4A" w14:textId="77777777">
      <w:pPr>
        <w:spacing w:after="0" w:line="240" w:lineRule="auto"/>
        <w:jc w:val="left"/>
        <w:rPr>
          <w:sz w:val="24"/>
          <w:szCs w:val="24"/>
        </w:rPr>
      </w:pPr>
      <w:r w:rsidRPr="00C2358A">
        <w:rPr>
          <w:sz w:val="24"/>
          <w:szCs w:val="24"/>
        </w:rPr>
        <w:t>(310) 459-4689</w:t>
      </w:r>
    </w:p>
    <w:p w:rsidR="00C2358A" w:rsidRPr="00C2358A" w:rsidP="00C2358A" w14:paraId="2FBBF82F" w14:textId="77777777">
      <w:pPr>
        <w:spacing w:after="0" w:line="240" w:lineRule="auto"/>
        <w:jc w:val="left"/>
        <w:rPr>
          <w:sz w:val="24"/>
          <w:szCs w:val="24"/>
        </w:rPr>
      </w:pPr>
    </w:p>
    <w:p w:rsidR="00C2358A" w:rsidRPr="00C2358A" w:rsidP="00C2358A" w14:paraId="592CF5CB"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Stacy S. Schwartz</w:t>
      </w:r>
    </w:p>
    <w:p w:rsidR="00C2358A" w:rsidRPr="00C2358A" w:rsidP="00C2358A" w14:paraId="2CDE5AF8"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Deputy Attorney General</w:t>
      </w:r>
    </w:p>
    <w:p w:rsidR="00C2358A" w:rsidRPr="00C2358A" w:rsidP="00C2358A" w14:paraId="695496FC"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300 South Spring Street</w:t>
      </w:r>
    </w:p>
    <w:p w:rsidR="00C2358A" w:rsidRPr="00C2358A" w:rsidP="00C2358A" w14:paraId="6D3138E8" w14:textId="77777777">
      <w:pPr>
        <w:spacing w:after="0" w:line="240" w:lineRule="auto"/>
        <w:jc w:val="left"/>
        <w:rPr>
          <w:color w:val="212121"/>
          <w:sz w:val="24"/>
          <w:szCs w:val="24"/>
          <w:shd w:val="clear" w:color="auto" w:fill="FFFFFF"/>
        </w:rPr>
      </w:pPr>
      <w:r w:rsidRPr="00C2358A">
        <w:rPr>
          <w:color w:val="212121"/>
          <w:sz w:val="24"/>
          <w:szCs w:val="24"/>
          <w:shd w:val="clear" w:color="auto" w:fill="FFFFFF"/>
        </w:rPr>
        <w:t xml:space="preserve">Los Angeles, CA 90013 </w:t>
      </w:r>
    </w:p>
    <w:p w:rsidR="00C2358A" w:rsidRPr="00C2358A" w:rsidP="00C2358A" w14:paraId="146103AF" w14:textId="77777777">
      <w:pPr>
        <w:spacing w:after="0" w:line="240" w:lineRule="auto"/>
        <w:jc w:val="left"/>
        <w:rPr>
          <w:sz w:val="24"/>
          <w:szCs w:val="24"/>
        </w:rPr>
      </w:pPr>
      <w:r w:rsidRPr="00C2358A">
        <w:rPr>
          <w:color w:val="212121"/>
          <w:sz w:val="24"/>
          <w:szCs w:val="24"/>
          <w:shd w:val="clear" w:color="auto" w:fill="FFFFFF"/>
        </w:rPr>
        <w:t>(213) 269-6099</w:t>
      </w:r>
    </w:p>
    <w:p w:rsidR="00C2358A" w:rsidRPr="00572D1D" w:rsidP="000D494A" w14:paraId="041B5376" w14:textId="77777777">
      <w:pPr>
        <w:tabs>
          <w:tab w:val="right" w:pos="7200"/>
        </w:tabs>
        <w:rPr>
          <w:b/>
          <w:caps/>
        </w:rPr>
      </w:pPr>
    </w:p>
    <w:sectPr w:rsidSect="00EC2BB8">
      <w:headerReference w:type="default" r:id="rId8"/>
      <w:footerReference w:type="default" r:id="rId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C01" w14:paraId="163A97CA"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D1D" w14:paraId="163A97CB"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58A" w:rsidRPr="00C2358A" w:rsidP="00C2358A" w14:paraId="2E5AA43D" w14:textId="665B79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FEA" w14:paraId="163A97C7" w14:textId="77777777">
    <w:pPr>
      <w:pStyle w:val="Header"/>
    </w:pPr>
    <w:r>
      <w:t>PEOPLE v. ROJAS</w:t>
    </w:r>
  </w:p>
  <w:p w:rsidR="00572D1D" w14:paraId="163A97C8" w14:textId="77777777">
    <w:pPr>
      <w:pStyle w:val="Header"/>
    </w:pPr>
    <w:r>
      <w:t>Opinion of the Court by Liu, J.</w:t>
    </w:r>
  </w:p>
  <w:p w:rsidR="00572D1D" w14:paraId="163A97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58A" w:rsidRPr="00C2358A" w:rsidP="00C2358A" w14:paraId="17C9A6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31A69"/>
    <w:multiLevelType w:val="hybridMultilevel"/>
    <w:tmpl w:val="031E14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19731D"/>
    <w:multiLevelType w:val="hybridMultilevel"/>
    <w:tmpl w:val="02B08D7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E749FA"/>
    <w:multiLevelType w:val="hybridMultilevel"/>
    <w:tmpl w:val="124C6B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AFF6E8A"/>
    <w:multiLevelType w:val="hybridMultilevel"/>
    <w:tmpl w:val="467A1154"/>
    <w:lvl w:ilvl="0">
      <w:start w:val="1"/>
      <w:numFmt w:val="upperLetter"/>
      <w:suff w:val="nothing"/>
      <w:lvlText w:val="%1."/>
      <w:lvlJc w:val="left"/>
      <w:pPr>
        <w:ind w:left="0" w:firstLine="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04B2613"/>
    <w:multiLevelType w:val="hybridMultilevel"/>
    <w:tmpl w:val="5E5C60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F3B7271"/>
    <w:multiLevelType w:val="hybridMultilevel"/>
    <w:tmpl w:val="99E45D6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EBD69F8"/>
    <w:multiLevelType w:val="hybridMultilevel"/>
    <w:tmpl w:val="29002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4D"/>
    <w:rsid w:val="00000899"/>
    <w:rsid w:val="000008C2"/>
    <w:rsid w:val="00000FA2"/>
    <w:rsid w:val="0000106D"/>
    <w:rsid w:val="00010DA0"/>
    <w:rsid w:val="00012020"/>
    <w:rsid w:val="000142B3"/>
    <w:rsid w:val="00017FB2"/>
    <w:rsid w:val="00020C5E"/>
    <w:rsid w:val="00022646"/>
    <w:rsid w:val="00022E59"/>
    <w:rsid w:val="0002415A"/>
    <w:rsid w:val="00024A68"/>
    <w:rsid w:val="00025D49"/>
    <w:rsid w:val="00026770"/>
    <w:rsid w:val="00027428"/>
    <w:rsid w:val="00032C56"/>
    <w:rsid w:val="0003407D"/>
    <w:rsid w:val="000341F7"/>
    <w:rsid w:val="0003508D"/>
    <w:rsid w:val="0003785D"/>
    <w:rsid w:val="000413AA"/>
    <w:rsid w:val="00041EFD"/>
    <w:rsid w:val="00043D06"/>
    <w:rsid w:val="000462E3"/>
    <w:rsid w:val="000466F1"/>
    <w:rsid w:val="0004749C"/>
    <w:rsid w:val="00050847"/>
    <w:rsid w:val="000524DD"/>
    <w:rsid w:val="00053A67"/>
    <w:rsid w:val="00054461"/>
    <w:rsid w:val="000549A8"/>
    <w:rsid w:val="0005610C"/>
    <w:rsid w:val="000569FA"/>
    <w:rsid w:val="000601F6"/>
    <w:rsid w:val="0006189A"/>
    <w:rsid w:val="00064972"/>
    <w:rsid w:val="00070293"/>
    <w:rsid w:val="0007096E"/>
    <w:rsid w:val="00070F8A"/>
    <w:rsid w:val="00072495"/>
    <w:rsid w:val="00073DEA"/>
    <w:rsid w:val="00075035"/>
    <w:rsid w:val="0007520A"/>
    <w:rsid w:val="00075BFD"/>
    <w:rsid w:val="00075E32"/>
    <w:rsid w:val="00076B5F"/>
    <w:rsid w:val="000775B5"/>
    <w:rsid w:val="000820DE"/>
    <w:rsid w:val="0008408B"/>
    <w:rsid w:val="0008416E"/>
    <w:rsid w:val="00084A87"/>
    <w:rsid w:val="0008523E"/>
    <w:rsid w:val="000857B8"/>
    <w:rsid w:val="00086087"/>
    <w:rsid w:val="00086F94"/>
    <w:rsid w:val="00087CC3"/>
    <w:rsid w:val="000906A4"/>
    <w:rsid w:val="000909BC"/>
    <w:rsid w:val="00090FDC"/>
    <w:rsid w:val="00092139"/>
    <w:rsid w:val="000925B7"/>
    <w:rsid w:val="00094D0F"/>
    <w:rsid w:val="00095592"/>
    <w:rsid w:val="000A2BD0"/>
    <w:rsid w:val="000A416E"/>
    <w:rsid w:val="000A5320"/>
    <w:rsid w:val="000A5DEA"/>
    <w:rsid w:val="000B028C"/>
    <w:rsid w:val="000B0CB8"/>
    <w:rsid w:val="000B1711"/>
    <w:rsid w:val="000B230B"/>
    <w:rsid w:val="000B504A"/>
    <w:rsid w:val="000B525B"/>
    <w:rsid w:val="000C1BE5"/>
    <w:rsid w:val="000C246D"/>
    <w:rsid w:val="000C2A35"/>
    <w:rsid w:val="000C3282"/>
    <w:rsid w:val="000C46B1"/>
    <w:rsid w:val="000C6423"/>
    <w:rsid w:val="000C7C0A"/>
    <w:rsid w:val="000D1F0D"/>
    <w:rsid w:val="000D2C1A"/>
    <w:rsid w:val="000D46D4"/>
    <w:rsid w:val="000D494A"/>
    <w:rsid w:val="000D4DFB"/>
    <w:rsid w:val="000D5963"/>
    <w:rsid w:val="000D636C"/>
    <w:rsid w:val="000D71F7"/>
    <w:rsid w:val="000D76F7"/>
    <w:rsid w:val="000E0B86"/>
    <w:rsid w:val="000E1D25"/>
    <w:rsid w:val="000E211A"/>
    <w:rsid w:val="000E285B"/>
    <w:rsid w:val="000E3B62"/>
    <w:rsid w:val="000E4069"/>
    <w:rsid w:val="000E61AA"/>
    <w:rsid w:val="000E7260"/>
    <w:rsid w:val="000E7CAC"/>
    <w:rsid w:val="000F00E9"/>
    <w:rsid w:val="000F2F78"/>
    <w:rsid w:val="000F352A"/>
    <w:rsid w:val="000F5585"/>
    <w:rsid w:val="000F5B20"/>
    <w:rsid w:val="00100408"/>
    <w:rsid w:val="00100F78"/>
    <w:rsid w:val="00101AB5"/>
    <w:rsid w:val="0010396C"/>
    <w:rsid w:val="00104896"/>
    <w:rsid w:val="00104A31"/>
    <w:rsid w:val="00110A74"/>
    <w:rsid w:val="00113944"/>
    <w:rsid w:val="0012225E"/>
    <w:rsid w:val="0012516D"/>
    <w:rsid w:val="00126688"/>
    <w:rsid w:val="00131E39"/>
    <w:rsid w:val="00133AC1"/>
    <w:rsid w:val="001347FD"/>
    <w:rsid w:val="001377DB"/>
    <w:rsid w:val="001411E7"/>
    <w:rsid w:val="00141C38"/>
    <w:rsid w:val="00147B08"/>
    <w:rsid w:val="00150F8B"/>
    <w:rsid w:val="00152C2F"/>
    <w:rsid w:val="00154E89"/>
    <w:rsid w:val="00155AC7"/>
    <w:rsid w:val="00155ACF"/>
    <w:rsid w:val="00156697"/>
    <w:rsid w:val="00160554"/>
    <w:rsid w:val="00160636"/>
    <w:rsid w:val="001609A7"/>
    <w:rsid w:val="00160D45"/>
    <w:rsid w:val="001643CC"/>
    <w:rsid w:val="0016485A"/>
    <w:rsid w:val="0016489F"/>
    <w:rsid w:val="00171231"/>
    <w:rsid w:val="001730F9"/>
    <w:rsid w:val="001743E5"/>
    <w:rsid w:val="00174799"/>
    <w:rsid w:val="00175688"/>
    <w:rsid w:val="00181CF0"/>
    <w:rsid w:val="00183C19"/>
    <w:rsid w:val="001844A2"/>
    <w:rsid w:val="00184B89"/>
    <w:rsid w:val="00184D5E"/>
    <w:rsid w:val="001871A6"/>
    <w:rsid w:val="00191012"/>
    <w:rsid w:val="001916AF"/>
    <w:rsid w:val="0019199C"/>
    <w:rsid w:val="00193BD4"/>
    <w:rsid w:val="001947FC"/>
    <w:rsid w:val="00195488"/>
    <w:rsid w:val="00195599"/>
    <w:rsid w:val="00197FC2"/>
    <w:rsid w:val="001A071B"/>
    <w:rsid w:val="001A1624"/>
    <w:rsid w:val="001A36B2"/>
    <w:rsid w:val="001A4377"/>
    <w:rsid w:val="001A4F6D"/>
    <w:rsid w:val="001A729D"/>
    <w:rsid w:val="001B059D"/>
    <w:rsid w:val="001B0A88"/>
    <w:rsid w:val="001B3749"/>
    <w:rsid w:val="001B57FC"/>
    <w:rsid w:val="001B602E"/>
    <w:rsid w:val="001B78F7"/>
    <w:rsid w:val="001C0918"/>
    <w:rsid w:val="001C1432"/>
    <w:rsid w:val="001C1A74"/>
    <w:rsid w:val="001C2F03"/>
    <w:rsid w:val="001C446F"/>
    <w:rsid w:val="001C4A09"/>
    <w:rsid w:val="001C4FA0"/>
    <w:rsid w:val="001C6A89"/>
    <w:rsid w:val="001C713D"/>
    <w:rsid w:val="001D10E9"/>
    <w:rsid w:val="001D1E8C"/>
    <w:rsid w:val="001D266F"/>
    <w:rsid w:val="001D6DE9"/>
    <w:rsid w:val="001E2A5C"/>
    <w:rsid w:val="001E4325"/>
    <w:rsid w:val="001F02B5"/>
    <w:rsid w:val="001F0F1C"/>
    <w:rsid w:val="001F181A"/>
    <w:rsid w:val="001F1D73"/>
    <w:rsid w:val="001F241D"/>
    <w:rsid w:val="001F4BFF"/>
    <w:rsid w:val="001F63C8"/>
    <w:rsid w:val="001F695B"/>
    <w:rsid w:val="0020078A"/>
    <w:rsid w:val="00200DE2"/>
    <w:rsid w:val="0020243D"/>
    <w:rsid w:val="0020331B"/>
    <w:rsid w:val="0020452F"/>
    <w:rsid w:val="00205B32"/>
    <w:rsid w:val="00211EE7"/>
    <w:rsid w:val="00213B4E"/>
    <w:rsid w:val="00214FAF"/>
    <w:rsid w:val="002151AE"/>
    <w:rsid w:val="00216684"/>
    <w:rsid w:val="00216FFE"/>
    <w:rsid w:val="00217299"/>
    <w:rsid w:val="002211B6"/>
    <w:rsid w:val="00221A01"/>
    <w:rsid w:val="00221B2E"/>
    <w:rsid w:val="00221B69"/>
    <w:rsid w:val="00222BE2"/>
    <w:rsid w:val="002248A1"/>
    <w:rsid w:val="00225029"/>
    <w:rsid w:val="002256ED"/>
    <w:rsid w:val="00233AA1"/>
    <w:rsid w:val="00233EF1"/>
    <w:rsid w:val="00237270"/>
    <w:rsid w:val="00240B2C"/>
    <w:rsid w:val="00241AFB"/>
    <w:rsid w:val="00242DC3"/>
    <w:rsid w:val="00242FD4"/>
    <w:rsid w:val="00244A97"/>
    <w:rsid w:val="002514C7"/>
    <w:rsid w:val="002522B6"/>
    <w:rsid w:val="00252378"/>
    <w:rsid w:val="00254361"/>
    <w:rsid w:val="00254DAF"/>
    <w:rsid w:val="00261A8A"/>
    <w:rsid w:val="00261AFC"/>
    <w:rsid w:val="00262026"/>
    <w:rsid w:val="002624C7"/>
    <w:rsid w:val="0026286D"/>
    <w:rsid w:val="00262AEE"/>
    <w:rsid w:val="002648A9"/>
    <w:rsid w:val="002648D1"/>
    <w:rsid w:val="00265E64"/>
    <w:rsid w:val="00267986"/>
    <w:rsid w:val="00271F58"/>
    <w:rsid w:val="0027349C"/>
    <w:rsid w:val="00276438"/>
    <w:rsid w:val="00277813"/>
    <w:rsid w:val="0028392B"/>
    <w:rsid w:val="00286E1A"/>
    <w:rsid w:val="00286E1E"/>
    <w:rsid w:val="00290B15"/>
    <w:rsid w:val="0029491B"/>
    <w:rsid w:val="002966F7"/>
    <w:rsid w:val="002A0CC4"/>
    <w:rsid w:val="002A2FB1"/>
    <w:rsid w:val="002A2FE2"/>
    <w:rsid w:val="002A3CA8"/>
    <w:rsid w:val="002A50A2"/>
    <w:rsid w:val="002A5A7F"/>
    <w:rsid w:val="002A622C"/>
    <w:rsid w:val="002B129B"/>
    <w:rsid w:val="002B1C22"/>
    <w:rsid w:val="002B44CF"/>
    <w:rsid w:val="002C07F9"/>
    <w:rsid w:val="002C132B"/>
    <w:rsid w:val="002C2F6F"/>
    <w:rsid w:val="002C40D1"/>
    <w:rsid w:val="002C461B"/>
    <w:rsid w:val="002C57E9"/>
    <w:rsid w:val="002C6D28"/>
    <w:rsid w:val="002C6EEF"/>
    <w:rsid w:val="002D0B63"/>
    <w:rsid w:val="002D1ED7"/>
    <w:rsid w:val="002D4C5D"/>
    <w:rsid w:val="002D6169"/>
    <w:rsid w:val="002D61F4"/>
    <w:rsid w:val="002D6818"/>
    <w:rsid w:val="002E00EC"/>
    <w:rsid w:val="002E2F04"/>
    <w:rsid w:val="002E35C7"/>
    <w:rsid w:val="002E4507"/>
    <w:rsid w:val="002E4B46"/>
    <w:rsid w:val="002E4BEB"/>
    <w:rsid w:val="002E685C"/>
    <w:rsid w:val="002F0C3B"/>
    <w:rsid w:val="002F43B1"/>
    <w:rsid w:val="002F5032"/>
    <w:rsid w:val="002F6EE6"/>
    <w:rsid w:val="002F749A"/>
    <w:rsid w:val="002F75F2"/>
    <w:rsid w:val="00301C36"/>
    <w:rsid w:val="003026C1"/>
    <w:rsid w:val="0030453F"/>
    <w:rsid w:val="003056D4"/>
    <w:rsid w:val="003109CC"/>
    <w:rsid w:val="00311228"/>
    <w:rsid w:val="00311409"/>
    <w:rsid w:val="00313162"/>
    <w:rsid w:val="003137DB"/>
    <w:rsid w:val="00314EA8"/>
    <w:rsid w:val="00316FBD"/>
    <w:rsid w:val="00323B01"/>
    <w:rsid w:val="00323DFA"/>
    <w:rsid w:val="00327C09"/>
    <w:rsid w:val="00331CFA"/>
    <w:rsid w:val="00333C39"/>
    <w:rsid w:val="003345C1"/>
    <w:rsid w:val="00335981"/>
    <w:rsid w:val="0033598C"/>
    <w:rsid w:val="00337AA6"/>
    <w:rsid w:val="00340C31"/>
    <w:rsid w:val="00341E5A"/>
    <w:rsid w:val="003422FF"/>
    <w:rsid w:val="00342D18"/>
    <w:rsid w:val="00344400"/>
    <w:rsid w:val="003475BF"/>
    <w:rsid w:val="003501D3"/>
    <w:rsid w:val="003512CB"/>
    <w:rsid w:val="00353A2B"/>
    <w:rsid w:val="003549B9"/>
    <w:rsid w:val="00356BE1"/>
    <w:rsid w:val="00356D69"/>
    <w:rsid w:val="00360A3D"/>
    <w:rsid w:val="00361A09"/>
    <w:rsid w:val="003628D7"/>
    <w:rsid w:val="0036317B"/>
    <w:rsid w:val="0036551C"/>
    <w:rsid w:val="003704B9"/>
    <w:rsid w:val="003707AB"/>
    <w:rsid w:val="00372C1E"/>
    <w:rsid w:val="0037312A"/>
    <w:rsid w:val="00374139"/>
    <w:rsid w:val="00374DFD"/>
    <w:rsid w:val="00374F53"/>
    <w:rsid w:val="0037572E"/>
    <w:rsid w:val="0037642A"/>
    <w:rsid w:val="00376971"/>
    <w:rsid w:val="00386F57"/>
    <w:rsid w:val="00396805"/>
    <w:rsid w:val="003A294E"/>
    <w:rsid w:val="003A3416"/>
    <w:rsid w:val="003A630B"/>
    <w:rsid w:val="003A73C2"/>
    <w:rsid w:val="003B58EC"/>
    <w:rsid w:val="003B788C"/>
    <w:rsid w:val="003C0471"/>
    <w:rsid w:val="003C26D8"/>
    <w:rsid w:val="003C32EA"/>
    <w:rsid w:val="003D0031"/>
    <w:rsid w:val="003D029C"/>
    <w:rsid w:val="003D318B"/>
    <w:rsid w:val="003D32C6"/>
    <w:rsid w:val="003D35B0"/>
    <w:rsid w:val="003D7E1D"/>
    <w:rsid w:val="003E01FC"/>
    <w:rsid w:val="003E0618"/>
    <w:rsid w:val="003E37E2"/>
    <w:rsid w:val="003E3EAA"/>
    <w:rsid w:val="003F1DAC"/>
    <w:rsid w:val="003F4FBC"/>
    <w:rsid w:val="0040089B"/>
    <w:rsid w:val="004046DB"/>
    <w:rsid w:val="00407787"/>
    <w:rsid w:val="00411324"/>
    <w:rsid w:val="004117DD"/>
    <w:rsid w:val="00414212"/>
    <w:rsid w:val="00416737"/>
    <w:rsid w:val="00417505"/>
    <w:rsid w:val="00417BED"/>
    <w:rsid w:val="0042233A"/>
    <w:rsid w:val="00422CD2"/>
    <w:rsid w:val="00423356"/>
    <w:rsid w:val="00426D74"/>
    <w:rsid w:val="004306BF"/>
    <w:rsid w:val="0043243C"/>
    <w:rsid w:val="00432B75"/>
    <w:rsid w:val="0043469F"/>
    <w:rsid w:val="004348F7"/>
    <w:rsid w:val="00434A28"/>
    <w:rsid w:val="00437E8A"/>
    <w:rsid w:val="00440337"/>
    <w:rsid w:val="0044100A"/>
    <w:rsid w:val="0044287B"/>
    <w:rsid w:val="00443B90"/>
    <w:rsid w:val="0044482B"/>
    <w:rsid w:val="00444D4C"/>
    <w:rsid w:val="004457DF"/>
    <w:rsid w:val="0044582F"/>
    <w:rsid w:val="00454D19"/>
    <w:rsid w:val="00455900"/>
    <w:rsid w:val="004572EA"/>
    <w:rsid w:val="00457482"/>
    <w:rsid w:val="00461D6B"/>
    <w:rsid w:val="004637D1"/>
    <w:rsid w:val="0046799B"/>
    <w:rsid w:val="004702F3"/>
    <w:rsid w:val="00470ED8"/>
    <w:rsid w:val="004735B9"/>
    <w:rsid w:val="0047630C"/>
    <w:rsid w:val="00476658"/>
    <w:rsid w:val="004776B7"/>
    <w:rsid w:val="004828A9"/>
    <w:rsid w:val="00484A95"/>
    <w:rsid w:val="0048535C"/>
    <w:rsid w:val="0048584E"/>
    <w:rsid w:val="00486F33"/>
    <w:rsid w:val="00494CE1"/>
    <w:rsid w:val="00495598"/>
    <w:rsid w:val="004A0498"/>
    <w:rsid w:val="004A5AA5"/>
    <w:rsid w:val="004A6B86"/>
    <w:rsid w:val="004B0BB2"/>
    <w:rsid w:val="004B2EEF"/>
    <w:rsid w:val="004B7002"/>
    <w:rsid w:val="004B7143"/>
    <w:rsid w:val="004B7F2E"/>
    <w:rsid w:val="004C04F6"/>
    <w:rsid w:val="004C0C3E"/>
    <w:rsid w:val="004C23B9"/>
    <w:rsid w:val="004C35F8"/>
    <w:rsid w:val="004C41B0"/>
    <w:rsid w:val="004C4314"/>
    <w:rsid w:val="004C6607"/>
    <w:rsid w:val="004C6BAE"/>
    <w:rsid w:val="004D0D65"/>
    <w:rsid w:val="004D20A7"/>
    <w:rsid w:val="004D75DB"/>
    <w:rsid w:val="004E1151"/>
    <w:rsid w:val="004E198A"/>
    <w:rsid w:val="004E2251"/>
    <w:rsid w:val="004E474D"/>
    <w:rsid w:val="004E6E8B"/>
    <w:rsid w:val="004F03BA"/>
    <w:rsid w:val="004F21F4"/>
    <w:rsid w:val="004F5B7B"/>
    <w:rsid w:val="004F5FDB"/>
    <w:rsid w:val="005004CC"/>
    <w:rsid w:val="00500D3C"/>
    <w:rsid w:val="00500F08"/>
    <w:rsid w:val="00501B49"/>
    <w:rsid w:val="00501C4E"/>
    <w:rsid w:val="00502C49"/>
    <w:rsid w:val="00506188"/>
    <w:rsid w:val="005102DF"/>
    <w:rsid w:val="00511DE7"/>
    <w:rsid w:val="00512154"/>
    <w:rsid w:val="00512A6F"/>
    <w:rsid w:val="005138D7"/>
    <w:rsid w:val="00515457"/>
    <w:rsid w:val="00515505"/>
    <w:rsid w:val="00515B9B"/>
    <w:rsid w:val="00515C77"/>
    <w:rsid w:val="00516944"/>
    <w:rsid w:val="0051702B"/>
    <w:rsid w:val="0051754A"/>
    <w:rsid w:val="00517C16"/>
    <w:rsid w:val="0052065B"/>
    <w:rsid w:val="00521CB4"/>
    <w:rsid w:val="00524629"/>
    <w:rsid w:val="00526A92"/>
    <w:rsid w:val="00527D89"/>
    <w:rsid w:val="00530D4E"/>
    <w:rsid w:val="005319EA"/>
    <w:rsid w:val="00531FE9"/>
    <w:rsid w:val="00535B18"/>
    <w:rsid w:val="00535F10"/>
    <w:rsid w:val="00542207"/>
    <w:rsid w:val="005449D8"/>
    <w:rsid w:val="00544A44"/>
    <w:rsid w:val="0054625D"/>
    <w:rsid w:val="00547E6F"/>
    <w:rsid w:val="00552059"/>
    <w:rsid w:val="00552AD3"/>
    <w:rsid w:val="00552D98"/>
    <w:rsid w:val="005545C5"/>
    <w:rsid w:val="005547F4"/>
    <w:rsid w:val="00554B3C"/>
    <w:rsid w:val="005579EE"/>
    <w:rsid w:val="00557AE5"/>
    <w:rsid w:val="00557D0D"/>
    <w:rsid w:val="00563265"/>
    <w:rsid w:val="00570119"/>
    <w:rsid w:val="005703E2"/>
    <w:rsid w:val="00570C1C"/>
    <w:rsid w:val="00571102"/>
    <w:rsid w:val="00572554"/>
    <w:rsid w:val="00572D1D"/>
    <w:rsid w:val="00573E33"/>
    <w:rsid w:val="00575381"/>
    <w:rsid w:val="00584EFC"/>
    <w:rsid w:val="00586134"/>
    <w:rsid w:val="00590853"/>
    <w:rsid w:val="00594569"/>
    <w:rsid w:val="00596199"/>
    <w:rsid w:val="00597885"/>
    <w:rsid w:val="005A2850"/>
    <w:rsid w:val="005A4A6F"/>
    <w:rsid w:val="005A6539"/>
    <w:rsid w:val="005A674D"/>
    <w:rsid w:val="005A6A2F"/>
    <w:rsid w:val="005A7ABE"/>
    <w:rsid w:val="005B643F"/>
    <w:rsid w:val="005B6B88"/>
    <w:rsid w:val="005B729F"/>
    <w:rsid w:val="005B768A"/>
    <w:rsid w:val="005B7CE1"/>
    <w:rsid w:val="005B7D3B"/>
    <w:rsid w:val="005C0404"/>
    <w:rsid w:val="005C0D56"/>
    <w:rsid w:val="005C102F"/>
    <w:rsid w:val="005C14F6"/>
    <w:rsid w:val="005C2749"/>
    <w:rsid w:val="005C4D7A"/>
    <w:rsid w:val="005C59A6"/>
    <w:rsid w:val="005C5DE2"/>
    <w:rsid w:val="005C799C"/>
    <w:rsid w:val="005D03A7"/>
    <w:rsid w:val="005D17A2"/>
    <w:rsid w:val="005D69EB"/>
    <w:rsid w:val="005E004D"/>
    <w:rsid w:val="005E0D50"/>
    <w:rsid w:val="005E2EF3"/>
    <w:rsid w:val="005E4DC0"/>
    <w:rsid w:val="005E5EA1"/>
    <w:rsid w:val="005E6798"/>
    <w:rsid w:val="005E7BCE"/>
    <w:rsid w:val="005F0124"/>
    <w:rsid w:val="005F02A3"/>
    <w:rsid w:val="005F34D9"/>
    <w:rsid w:val="005F3914"/>
    <w:rsid w:val="005F6F92"/>
    <w:rsid w:val="00600C60"/>
    <w:rsid w:val="00601380"/>
    <w:rsid w:val="00601718"/>
    <w:rsid w:val="0060196F"/>
    <w:rsid w:val="00602399"/>
    <w:rsid w:val="00603088"/>
    <w:rsid w:val="0060334E"/>
    <w:rsid w:val="00603DBB"/>
    <w:rsid w:val="0060444E"/>
    <w:rsid w:val="006100AF"/>
    <w:rsid w:val="00611307"/>
    <w:rsid w:val="00611F09"/>
    <w:rsid w:val="00614E01"/>
    <w:rsid w:val="00620BD3"/>
    <w:rsid w:val="0062541B"/>
    <w:rsid w:val="00627663"/>
    <w:rsid w:val="00627946"/>
    <w:rsid w:val="00632D3E"/>
    <w:rsid w:val="00633EF9"/>
    <w:rsid w:val="00635C81"/>
    <w:rsid w:val="00637B1F"/>
    <w:rsid w:val="00641B75"/>
    <w:rsid w:val="006420BA"/>
    <w:rsid w:val="00643952"/>
    <w:rsid w:val="00643C2B"/>
    <w:rsid w:val="00644351"/>
    <w:rsid w:val="00644B30"/>
    <w:rsid w:val="00644E55"/>
    <w:rsid w:val="00647058"/>
    <w:rsid w:val="00653A56"/>
    <w:rsid w:val="00655A1D"/>
    <w:rsid w:val="00665C09"/>
    <w:rsid w:val="00667573"/>
    <w:rsid w:val="006701EF"/>
    <w:rsid w:val="00670880"/>
    <w:rsid w:val="00671835"/>
    <w:rsid w:val="00672066"/>
    <w:rsid w:val="00672A6B"/>
    <w:rsid w:val="006738A1"/>
    <w:rsid w:val="0067425B"/>
    <w:rsid w:val="00675324"/>
    <w:rsid w:val="0067698F"/>
    <w:rsid w:val="006769D9"/>
    <w:rsid w:val="00677404"/>
    <w:rsid w:val="006777CC"/>
    <w:rsid w:val="00677E3D"/>
    <w:rsid w:val="006801A0"/>
    <w:rsid w:val="00680F76"/>
    <w:rsid w:val="00681B2C"/>
    <w:rsid w:val="00685196"/>
    <w:rsid w:val="00685C15"/>
    <w:rsid w:val="00690B67"/>
    <w:rsid w:val="006910B3"/>
    <w:rsid w:val="00692E7A"/>
    <w:rsid w:val="006965ED"/>
    <w:rsid w:val="00697945"/>
    <w:rsid w:val="00697C8D"/>
    <w:rsid w:val="006A0403"/>
    <w:rsid w:val="006A2DCB"/>
    <w:rsid w:val="006A616F"/>
    <w:rsid w:val="006B0371"/>
    <w:rsid w:val="006B49F2"/>
    <w:rsid w:val="006B54AF"/>
    <w:rsid w:val="006B5D8A"/>
    <w:rsid w:val="006B7464"/>
    <w:rsid w:val="006C2634"/>
    <w:rsid w:val="006C2639"/>
    <w:rsid w:val="006C26B6"/>
    <w:rsid w:val="006C6E8A"/>
    <w:rsid w:val="006D0681"/>
    <w:rsid w:val="006D2CA7"/>
    <w:rsid w:val="006D4FC1"/>
    <w:rsid w:val="006D7334"/>
    <w:rsid w:val="006E28F0"/>
    <w:rsid w:val="006E2C14"/>
    <w:rsid w:val="006E41B8"/>
    <w:rsid w:val="006E79E5"/>
    <w:rsid w:val="006F10BF"/>
    <w:rsid w:val="006F153C"/>
    <w:rsid w:val="006F27F1"/>
    <w:rsid w:val="006F2FB2"/>
    <w:rsid w:val="006F770E"/>
    <w:rsid w:val="007011EA"/>
    <w:rsid w:val="007030EF"/>
    <w:rsid w:val="007044A4"/>
    <w:rsid w:val="00706C35"/>
    <w:rsid w:val="0071172C"/>
    <w:rsid w:val="00711DAD"/>
    <w:rsid w:val="0071215B"/>
    <w:rsid w:val="0071286A"/>
    <w:rsid w:val="00712C69"/>
    <w:rsid w:val="00713CE1"/>
    <w:rsid w:val="0071547F"/>
    <w:rsid w:val="00715EAD"/>
    <w:rsid w:val="0072144A"/>
    <w:rsid w:val="00725161"/>
    <w:rsid w:val="007256D6"/>
    <w:rsid w:val="007263DB"/>
    <w:rsid w:val="007304B4"/>
    <w:rsid w:val="00730810"/>
    <w:rsid w:val="0073165E"/>
    <w:rsid w:val="00736E4A"/>
    <w:rsid w:val="007376AF"/>
    <w:rsid w:val="00737C4A"/>
    <w:rsid w:val="00741038"/>
    <w:rsid w:val="00741679"/>
    <w:rsid w:val="00742B7D"/>
    <w:rsid w:val="00743501"/>
    <w:rsid w:val="00743B47"/>
    <w:rsid w:val="0074632D"/>
    <w:rsid w:val="00746626"/>
    <w:rsid w:val="00747800"/>
    <w:rsid w:val="00751057"/>
    <w:rsid w:val="007515C4"/>
    <w:rsid w:val="00755890"/>
    <w:rsid w:val="00755AD9"/>
    <w:rsid w:val="007564E3"/>
    <w:rsid w:val="00757141"/>
    <w:rsid w:val="00760092"/>
    <w:rsid w:val="0076298B"/>
    <w:rsid w:val="00762ADB"/>
    <w:rsid w:val="00763AB2"/>
    <w:rsid w:val="00763DB6"/>
    <w:rsid w:val="007641B9"/>
    <w:rsid w:val="00764BBC"/>
    <w:rsid w:val="007655AA"/>
    <w:rsid w:val="00766726"/>
    <w:rsid w:val="007675B8"/>
    <w:rsid w:val="00770D10"/>
    <w:rsid w:val="00771103"/>
    <w:rsid w:val="00771F9C"/>
    <w:rsid w:val="00773B6E"/>
    <w:rsid w:val="00776527"/>
    <w:rsid w:val="007809A0"/>
    <w:rsid w:val="00782642"/>
    <w:rsid w:val="0078293B"/>
    <w:rsid w:val="0079300D"/>
    <w:rsid w:val="00793215"/>
    <w:rsid w:val="00793933"/>
    <w:rsid w:val="007939B8"/>
    <w:rsid w:val="0079717D"/>
    <w:rsid w:val="007A063A"/>
    <w:rsid w:val="007A3D43"/>
    <w:rsid w:val="007B13BE"/>
    <w:rsid w:val="007B3700"/>
    <w:rsid w:val="007B6461"/>
    <w:rsid w:val="007C10B3"/>
    <w:rsid w:val="007C239C"/>
    <w:rsid w:val="007C4F69"/>
    <w:rsid w:val="007D145D"/>
    <w:rsid w:val="007D27EB"/>
    <w:rsid w:val="007D3A9C"/>
    <w:rsid w:val="007D4DFB"/>
    <w:rsid w:val="007D5751"/>
    <w:rsid w:val="007D5860"/>
    <w:rsid w:val="007D7837"/>
    <w:rsid w:val="007E2AE3"/>
    <w:rsid w:val="007E4CBF"/>
    <w:rsid w:val="007E5A46"/>
    <w:rsid w:val="007E6D9C"/>
    <w:rsid w:val="007F12C5"/>
    <w:rsid w:val="007F406F"/>
    <w:rsid w:val="007F4946"/>
    <w:rsid w:val="007F4B1D"/>
    <w:rsid w:val="007F5491"/>
    <w:rsid w:val="007F6975"/>
    <w:rsid w:val="007F69EF"/>
    <w:rsid w:val="007F712B"/>
    <w:rsid w:val="00800305"/>
    <w:rsid w:val="00801B96"/>
    <w:rsid w:val="00810392"/>
    <w:rsid w:val="008107E4"/>
    <w:rsid w:val="00812587"/>
    <w:rsid w:val="0081347A"/>
    <w:rsid w:val="008140F0"/>
    <w:rsid w:val="00815377"/>
    <w:rsid w:val="0081663F"/>
    <w:rsid w:val="00817E03"/>
    <w:rsid w:val="00823F77"/>
    <w:rsid w:val="00824977"/>
    <w:rsid w:val="0082735A"/>
    <w:rsid w:val="008277EA"/>
    <w:rsid w:val="00830FB2"/>
    <w:rsid w:val="00831F0B"/>
    <w:rsid w:val="008326E6"/>
    <w:rsid w:val="00832757"/>
    <w:rsid w:val="0083447F"/>
    <w:rsid w:val="008348CE"/>
    <w:rsid w:val="00835072"/>
    <w:rsid w:val="0083568F"/>
    <w:rsid w:val="008360A2"/>
    <w:rsid w:val="00836BD1"/>
    <w:rsid w:val="00836CED"/>
    <w:rsid w:val="00840B34"/>
    <w:rsid w:val="0084234C"/>
    <w:rsid w:val="00842824"/>
    <w:rsid w:val="008473DA"/>
    <w:rsid w:val="008478EB"/>
    <w:rsid w:val="00847D5C"/>
    <w:rsid w:val="00850FEA"/>
    <w:rsid w:val="008610A5"/>
    <w:rsid w:val="008614B5"/>
    <w:rsid w:val="0087026A"/>
    <w:rsid w:val="008711F4"/>
    <w:rsid w:val="00871200"/>
    <w:rsid w:val="00872407"/>
    <w:rsid w:val="00882E4C"/>
    <w:rsid w:val="008851AB"/>
    <w:rsid w:val="008854A1"/>
    <w:rsid w:val="00885C1E"/>
    <w:rsid w:val="00887D57"/>
    <w:rsid w:val="00891810"/>
    <w:rsid w:val="0089385F"/>
    <w:rsid w:val="00894307"/>
    <w:rsid w:val="008A1DBB"/>
    <w:rsid w:val="008A237E"/>
    <w:rsid w:val="008A256C"/>
    <w:rsid w:val="008A31C3"/>
    <w:rsid w:val="008A3BC8"/>
    <w:rsid w:val="008A4B44"/>
    <w:rsid w:val="008A67A9"/>
    <w:rsid w:val="008A6BA6"/>
    <w:rsid w:val="008B019B"/>
    <w:rsid w:val="008B01FD"/>
    <w:rsid w:val="008B2499"/>
    <w:rsid w:val="008B28A9"/>
    <w:rsid w:val="008B3D8A"/>
    <w:rsid w:val="008B575D"/>
    <w:rsid w:val="008B6933"/>
    <w:rsid w:val="008B69C5"/>
    <w:rsid w:val="008B6CE9"/>
    <w:rsid w:val="008C1631"/>
    <w:rsid w:val="008C1B3C"/>
    <w:rsid w:val="008C1F16"/>
    <w:rsid w:val="008C1F67"/>
    <w:rsid w:val="008C2100"/>
    <w:rsid w:val="008C540F"/>
    <w:rsid w:val="008C6194"/>
    <w:rsid w:val="008C6693"/>
    <w:rsid w:val="008D04B2"/>
    <w:rsid w:val="008D28BB"/>
    <w:rsid w:val="008D730F"/>
    <w:rsid w:val="008D7B5F"/>
    <w:rsid w:val="008E00A5"/>
    <w:rsid w:val="008E0A9B"/>
    <w:rsid w:val="008E172D"/>
    <w:rsid w:val="008E2001"/>
    <w:rsid w:val="008E2C02"/>
    <w:rsid w:val="008E4747"/>
    <w:rsid w:val="008E4BF7"/>
    <w:rsid w:val="008F184D"/>
    <w:rsid w:val="008F1975"/>
    <w:rsid w:val="008F19E3"/>
    <w:rsid w:val="008F33C5"/>
    <w:rsid w:val="008F4F1B"/>
    <w:rsid w:val="008F5A26"/>
    <w:rsid w:val="008F6DE2"/>
    <w:rsid w:val="008F7D13"/>
    <w:rsid w:val="009001A0"/>
    <w:rsid w:val="00903AA5"/>
    <w:rsid w:val="00906844"/>
    <w:rsid w:val="009075C5"/>
    <w:rsid w:val="00907A7B"/>
    <w:rsid w:val="00911076"/>
    <w:rsid w:val="00912B88"/>
    <w:rsid w:val="00913112"/>
    <w:rsid w:val="0091408A"/>
    <w:rsid w:val="00915A54"/>
    <w:rsid w:val="00916C43"/>
    <w:rsid w:val="00916C61"/>
    <w:rsid w:val="00921585"/>
    <w:rsid w:val="009244B6"/>
    <w:rsid w:val="009257AA"/>
    <w:rsid w:val="00930536"/>
    <w:rsid w:val="00930AEB"/>
    <w:rsid w:val="0093156C"/>
    <w:rsid w:val="00931913"/>
    <w:rsid w:val="00932C01"/>
    <w:rsid w:val="00933681"/>
    <w:rsid w:val="00941A59"/>
    <w:rsid w:val="00946392"/>
    <w:rsid w:val="0094715C"/>
    <w:rsid w:val="00947939"/>
    <w:rsid w:val="00947AB7"/>
    <w:rsid w:val="00952399"/>
    <w:rsid w:val="00952F85"/>
    <w:rsid w:val="00953323"/>
    <w:rsid w:val="00953E3B"/>
    <w:rsid w:val="00960F24"/>
    <w:rsid w:val="00961F86"/>
    <w:rsid w:val="009622C1"/>
    <w:rsid w:val="00962CB9"/>
    <w:rsid w:val="00965250"/>
    <w:rsid w:val="00967792"/>
    <w:rsid w:val="009722BB"/>
    <w:rsid w:val="00972B28"/>
    <w:rsid w:val="00980EB2"/>
    <w:rsid w:val="0098218B"/>
    <w:rsid w:val="00982D2D"/>
    <w:rsid w:val="00985E40"/>
    <w:rsid w:val="009861EA"/>
    <w:rsid w:val="00987C45"/>
    <w:rsid w:val="00991123"/>
    <w:rsid w:val="0099292A"/>
    <w:rsid w:val="00993AFF"/>
    <w:rsid w:val="00997386"/>
    <w:rsid w:val="009A29FF"/>
    <w:rsid w:val="009A3684"/>
    <w:rsid w:val="009A4EBF"/>
    <w:rsid w:val="009A4FAE"/>
    <w:rsid w:val="009A5F55"/>
    <w:rsid w:val="009A684C"/>
    <w:rsid w:val="009A6930"/>
    <w:rsid w:val="009A7590"/>
    <w:rsid w:val="009B0808"/>
    <w:rsid w:val="009B1092"/>
    <w:rsid w:val="009B1A61"/>
    <w:rsid w:val="009B23B6"/>
    <w:rsid w:val="009B6A2D"/>
    <w:rsid w:val="009B7247"/>
    <w:rsid w:val="009B7AB3"/>
    <w:rsid w:val="009C1A09"/>
    <w:rsid w:val="009C33AA"/>
    <w:rsid w:val="009C49CF"/>
    <w:rsid w:val="009C517E"/>
    <w:rsid w:val="009C57CD"/>
    <w:rsid w:val="009C5FBB"/>
    <w:rsid w:val="009D16EC"/>
    <w:rsid w:val="009D29CC"/>
    <w:rsid w:val="009D41AA"/>
    <w:rsid w:val="009D4BA1"/>
    <w:rsid w:val="009D54C4"/>
    <w:rsid w:val="009D5BC2"/>
    <w:rsid w:val="009D793A"/>
    <w:rsid w:val="009D7B8B"/>
    <w:rsid w:val="009E0F1F"/>
    <w:rsid w:val="009E1A99"/>
    <w:rsid w:val="009E249F"/>
    <w:rsid w:val="009E2D9A"/>
    <w:rsid w:val="009E33A3"/>
    <w:rsid w:val="009E3A95"/>
    <w:rsid w:val="009E5F57"/>
    <w:rsid w:val="009E6622"/>
    <w:rsid w:val="009F07E2"/>
    <w:rsid w:val="009F3365"/>
    <w:rsid w:val="009F50F7"/>
    <w:rsid w:val="00A00623"/>
    <w:rsid w:val="00A00CAA"/>
    <w:rsid w:val="00A02AB1"/>
    <w:rsid w:val="00A02B42"/>
    <w:rsid w:val="00A04D00"/>
    <w:rsid w:val="00A053D4"/>
    <w:rsid w:val="00A05BF6"/>
    <w:rsid w:val="00A06EC5"/>
    <w:rsid w:val="00A10BE8"/>
    <w:rsid w:val="00A1107B"/>
    <w:rsid w:val="00A120D9"/>
    <w:rsid w:val="00A12709"/>
    <w:rsid w:val="00A1397B"/>
    <w:rsid w:val="00A167E5"/>
    <w:rsid w:val="00A168BF"/>
    <w:rsid w:val="00A21476"/>
    <w:rsid w:val="00A215AA"/>
    <w:rsid w:val="00A2168F"/>
    <w:rsid w:val="00A246EC"/>
    <w:rsid w:val="00A263FC"/>
    <w:rsid w:val="00A26A2F"/>
    <w:rsid w:val="00A305F2"/>
    <w:rsid w:val="00A30A13"/>
    <w:rsid w:val="00A31FD3"/>
    <w:rsid w:val="00A34AAC"/>
    <w:rsid w:val="00A35E18"/>
    <w:rsid w:val="00A36D26"/>
    <w:rsid w:val="00A37283"/>
    <w:rsid w:val="00A37968"/>
    <w:rsid w:val="00A400CE"/>
    <w:rsid w:val="00A453DA"/>
    <w:rsid w:val="00A45B62"/>
    <w:rsid w:val="00A4624B"/>
    <w:rsid w:val="00A50984"/>
    <w:rsid w:val="00A50B34"/>
    <w:rsid w:val="00A53F8E"/>
    <w:rsid w:val="00A55373"/>
    <w:rsid w:val="00A56930"/>
    <w:rsid w:val="00A57CF3"/>
    <w:rsid w:val="00A57DA5"/>
    <w:rsid w:val="00A57DF6"/>
    <w:rsid w:val="00A63FB1"/>
    <w:rsid w:val="00A64025"/>
    <w:rsid w:val="00A6520C"/>
    <w:rsid w:val="00A66DD1"/>
    <w:rsid w:val="00A67515"/>
    <w:rsid w:val="00A7069C"/>
    <w:rsid w:val="00A70729"/>
    <w:rsid w:val="00A7095E"/>
    <w:rsid w:val="00A70F63"/>
    <w:rsid w:val="00A713F4"/>
    <w:rsid w:val="00A7392A"/>
    <w:rsid w:val="00A740E0"/>
    <w:rsid w:val="00A7496E"/>
    <w:rsid w:val="00A765DE"/>
    <w:rsid w:val="00A81649"/>
    <w:rsid w:val="00A820F6"/>
    <w:rsid w:val="00A83B4B"/>
    <w:rsid w:val="00A85252"/>
    <w:rsid w:val="00A856C3"/>
    <w:rsid w:val="00A85862"/>
    <w:rsid w:val="00A86827"/>
    <w:rsid w:val="00A86B9A"/>
    <w:rsid w:val="00A870C8"/>
    <w:rsid w:val="00A874AA"/>
    <w:rsid w:val="00A87573"/>
    <w:rsid w:val="00A95291"/>
    <w:rsid w:val="00A95A7B"/>
    <w:rsid w:val="00A95E00"/>
    <w:rsid w:val="00A96636"/>
    <w:rsid w:val="00AA1032"/>
    <w:rsid w:val="00AA38C5"/>
    <w:rsid w:val="00AA55DD"/>
    <w:rsid w:val="00AA7466"/>
    <w:rsid w:val="00AB19AB"/>
    <w:rsid w:val="00AB1E85"/>
    <w:rsid w:val="00AB4E87"/>
    <w:rsid w:val="00AB6ABD"/>
    <w:rsid w:val="00AB7096"/>
    <w:rsid w:val="00AC018A"/>
    <w:rsid w:val="00AC28DE"/>
    <w:rsid w:val="00AC2A17"/>
    <w:rsid w:val="00AC501F"/>
    <w:rsid w:val="00AC5080"/>
    <w:rsid w:val="00AC6C49"/>
    <w:rsid w:val="00AC744F"/>
    <w:rsid w:val="00AD0BE6"/>
    <w:rsid w:val="00AD23FB"/>
    <w:rsid w:val="00AD3257"/>
    <w:rsid w:val="00AD4EF0"/>
    <w:rsid w:val="00AD578E"/>
    <w:rsid w:val="00AE0A28"/>
    <w:rsid w:val="00AE30C4"/>
    <w:rsid w:val="00AE47AB"/>
    <w:rsid w:val="00AF0B4D"/>
    <w:rsid w:val="00AF130E"/>
    <w:rsid w:val="00AF17E7"/>
    <w:rsid w:val="00AF3E62"/>
    <w:rsid w:val="00AF5AB7"/>
    <w:rsid w:val="00AF6163"/>
    <w:rsid w:val="00AF6C87"/>
    <w:rsid w:val="00AF709B"/>
    <w:rsid w:val="00AF7428"/>
    <w:rsid w:val="00AF74DA"/>
    <w:rsid w:val="00B00A3F"/>
    <w:rsid w:val="00B028FF"/>
    <w:rsid w:val="00B029EA"/>
    <w:rsid w:val="00B0339E"/>
    <w:rsid w:val="00B03667"/>
    <w:rsid w:val="00B04537"/>
    <w:rsid w:val="00B04793"/>
    <w:rsid w:val="00B049A1"/>
    <w:rsid w:val="00B05BFF"/>
    <w:rsid w:val="00B117FA"/>
    <w:rsid w:val="00B11F41"/>
    <w:rsid w:val="00B1370F"/>
    <w:rsid w:val="00B13AEE"/>
    <w:rsid w:val="00B15C39"/>
    <w:rsid w:val="00B1675E"/>
    <w:rsid w:val="00B16E39"/>
    <w:rsid w:val="00B17B84"/>
    <w:rsid w:val="00B233C2"/>
    <w:rsid w:val="00B24716"/>
    <w:rsid w:val="00B260BB"/>
    <w:rsid w:val="00B3210B"/>
    <w:rsid w:val="00B34638"/>
    <w:rsid w:val="00B3732A"/>
    <w:rsid w:val="00B4388A"/>
    <w:rsid w:val="00B44B7B"/>
    <w:rsid w:val="00B4773E"/>
    <w:rsid w:val="00B53635"/>
    <w:rsid w:val="00B54BBA"/>
    <w:rsid w:val="00B54EC5"/>
    <w:rsid w:val="00B54FFA"/>
    <w:rsid w:val="00B564FF"/>
    <w:rsid w:val="00B56927"/>
    <w:rsid w:val="00B60D61"/>
    <w:rsid w:val="00B61707"/>
    <w:rsid w:val="00B61D10"/>
    <w:rsid w:val="00B63F7F"/>
    <w:rsid w:val="00B66850"/>
    <w:rsid w:val="00B70B93"/>
    <w:rsid w:val="00B76A1D"/>
    <w:rsid w:val="00B7780C"/>
    <w:rsid w:val="00B81542"/>
    <w:rsid w:val="00B8165F"/>
    <w:rsid w:val="00B831FC"/>
    <w:rsid w:val="00B834E3"/>
    <w:rsid w:val="00B87CB8"/>
    <w:rsid w:val="00B9092F"/>
    <w:rsid w:val="00B91047"/>
    <w:rsid w:val="00B91B64"/>
    <w:rsid w:val="00B936D5"/>
    <w:rsid w:val="00B950FE"/>
    <w:rsid w:val="00B95D10"/>
    <w:rsid w:val="00B96EBC"/>
    <w:rsid w:val="00B97CF5"/>
    <w:rsid w:val="00BA1F56"/>
    <w:rsid w:val="00BA3CAB"/>
    <w:rsid w:val="00BA3D63"/>
    <w:rsid w:val="00BA4539"/>
    <w:rsid w:val="00BA5A16"/>
    <w:rsid w:val="00BA5BD1"/>
    <w:rsid w:val="00BB00BC"/>
    <w:rsid w:val="00BB13BA"/>
    <w:rsid w:val="00BB1749"/>
    <w:rsid w:val="00BB2C80"/>
    <w:rsid w:val="00BB33DE"/>
    <w:rsid w:val="00BB407C"/>
    <w:rsid w:val="00BB53B0"/>
    <w:rsid w:val="00BB5E39"/>
    <w:rsid w:val="00BC0257"/>
    <w:rsid w:val="00BC200D"/>
    <w:rsid w:val="00BC3AB1"/>
    <w:rsid w:val="00BC4791"/>
    <w:rsid w:val="00BC520F"/>
    <w:rsid w:val="00BC6427"/>
    <w:rsid w:val="00BC6FFF"/>
    <w:rsid w:val="00BC7221"/>
    <w:rsid w:val="00BD0163"/>
    <w:rsid w:val="00BD2E5C"/>
    <w:rsid w:val="00BD3584"/>
    <w:rsid w:val="00BD3BD8"/>
    <w:rsid w:val="00BD3FF9"/>
    <w:rsid w:val="00BD420C"/>
    <w:rsid w:val="00BD5551"/>
    <w:rsid w:val="00BD7063"/>
    <w:rsid w:val="00BD7C1D"/>
    <w:rsid w:val="00BE0771"/>
    <w:rsid w:val="00BE24F2"/>
    <w:rsid w:val="00BE2774"/>
    <w:rsid w:val="00BE3559"/>
    <w:rsid w:val="00BE393D"/>
    <w:rsid w:val="00BE48EF"/>
    <w:rsid w:val="00BE4B9C"/>
    <w:rsid w:val="00BE697D"/>
    <w:rsid w:val="00BF0140"/>
    <w:rsid w:val="00BF058C"/>
    <w:rsid w:val="00BF354A"/>
    <w:rsid w:val="00BF4D38"/>
    <w:rsid w:val="00BF53FB"/>
    <w:rsid w:val="00BF71E0"/>
    <w:rsid w:val="00BF7FE7"/>
    <w:rsid w:val="00C01B32"/>
    <w:rsid w:val="00C01CB2"/>
    <w:rsid w:val="00C01FC1"/>
    <w:rsid w:val="00C029D3"/>
    <w:rsid w:val="00C033BF"/>
    <w:rsid w:val="00C03447"/>
    <w:rsid w:val="00C052E2"/>
    <w:rsid w:val="00C06D4A"/>
    <w:rsid w:val="00C125F1"/>
    <w:rsid w:val="00C1707F"/>
    <w:rsid w:val="00C170B4"/>
    <w:rsid w:val="00C2358A"/>
    <w:rsid w:val="00C236BF"/>
    <w:rsid w:val="00C26C28"/>
    <w:rsid w:val="00C31F41"/>
    <w:rsid w:val="00C328B9"/>
    <w:rsid w:val="00C333D2"/>
    <w:rsid w:val="00C34D59"/>
    <w:rsid w:val="00C35788"/>
    <w:rsid w:val="00C37FD1"/>
    <w:rsid w:val="00C40D7D"/>
    <w:rsid w:val="00C43CA8"/>
    <w:rsid w:val="00C44302"/>
    <w:rsid w:val="00C44FEF"/>
    <w:rsid w:val="00C4606B"/>
    <w:rsid w:val="00C46AE6"/>
    <w:rsid w:val="00C4710B"/>
    <w:rsid w:val="00C504ED"/>
    <w:rsid w:val="00C5268D"/>
    <w:rsid w:val="00C52732"/>
    <w:rsid w:val="00C52817"/>
    <w:rsid w:val="00C568B3"/>
    <w:rsid w:val="00C65CF6"/>
    <w:rsid w:val="00C66E74"/>
    <w:rsid w:val="00C6797F"/>
    <w:rsid w:val="00C67D3A"/>
    <w:rsid w:val="00C70040"/>
    <w:rsid w:val="00C72C91"/>
    <w:rsid w:val="00C76AF1"/>
    <w:rsid w:val="00C775DA"/>
    <w:rsid w:val="00C777F9"/>
    <w:rsid w:val="00C80EB8"/>
    <w:rsid w:val="00C81909"/>
    <w:rsid w:val="00C83A40"/>
    <w:rsid w:val="00C8449A"/>
    <w:rsid w:val="00C91823"/>
    <w:rsid w:val="00C91945"/>
    <w:rsid w:val="00C9323D"/>
    <w:rsid w:val="00C93327"/>
    <w:rsid w:val="00C938D8"/>
    <w:rsid w:val="00C94ADF"/>
    <w:rsid w:val="00C94E53"/>
    <w:rsid w:val="00CA0EF5"/>
    <w:rsid w:val="00CA3340"/>
    <w:rsid w:val="00CA463C"/>
    <w:rsid w:val="00CA4B31"/>
    <w:rsid w:val="00CA5327"/>
    <w:rsid w:val="00CA7C3B"/>
    <w:rsid w:val="00CB0AE5"/>
    <w:rsid w:val="00CB196D"/>
    <w:rsid w:val="00CB20FE"/>
    <w:rsid w:val="00CB535B"/>
    <w:rsid w:val="00CC056E"/>
    <w:rsid w:val="00CC1161"/>
    <w:rsid w:val="00CC2847"/>
    <w:rsid w:val="00CC2949"/>
    <w:rsid w:val="00CC3013"/>
    <w:rsid w:val="00CC3A01"/>
    <w:rsid w:val="00CD2794"/>
    <w:rsid w:val="00CD40B1"/>
    <w:rsid w:val="00CD59D5"/>
    <w:rsid w:val="00CD5F6E"/>
    <w:rsid w:val="00CD6E30"/>
    <w:rsid w:val="00CD7A99"/>
    <w:rsid w:val="00CE3C85"/>
    <w:rsid w:val="00CE507C"/>
    <w:rsid w:val="00CE5148"/>
    <w:rsid w:val="00CE56C1"/>
    <w:rsid w:val="00CE6870"/>
    <w:rsid w:val="00CE7A2A"/>
    <w:rsid w:val="00CF36CD"/>
    <w:rsid w:val="00CF5B05"/>
    <w:rsid w:val="00CF60D7"/>
    <w:rsid w:val="00D003E0"/>
    <w:rsid w:val="00D037E5"/>
    <w:rsid w:val="00D038B3"/>
    <w:rsid w:val="00D04125"/>
    <w:rsid w:val="00D05FB3"/>
    <w:rsid w:val="00D1258E"/>
    <w:rsid w:val="00D17F8E"/>
    <w:rsid w:val="00D237F4"/>
    <w:rsid w:val="00D307AB"/>
    <w:rsid w:val="00D34435"/>
    <w:rsid w:val="00D366CE"/>
    <w:rsid w:val="00D375A7"/>
    <w:rsid w:val="00D452DB"/>
    <w:rsid w:val="00D51D48"/>
    <w:rsid w:val="00D54D17"/>
    <w:rsid w:val="00D565B4"/>
    <w:rsid w:val="00D568E9"/>
    <w:rsid w:val="00D61599"/>
    <w:rsid w:val="00D615E1"/>
    <w:rsid w:val="00D62C54"/>
    <w:rsid w:val="00D64009"/>
    <w:rsid w:val="00D64A29"/>
    <w:rsid w:val="00D64E24"/>
    <w:rsid w:val="00D654A4"/>
    <w:rsid w:val="00D65B36"/>
    <w:rsid w:val="00D66A5E"/>
    <w:rsid w:val="00D66B28"/>
    <w:rsid w:val="00D71138"/>
    <w:rsid w:val="00D71424"/>
    <w:rsid w:val="00D74173"/>
    <w:rsid w:val="00D749A2"/>
    <w:rsid w:val="00D74CD4"/>
    <w:rsid w:val="00D74ED7"/>
    <w:rsid w:val="00D765D6"/>
    <w:rsid w:val="00D825EE"/>
    <w:rsid w:val="00D83903"/>
    <w:rsid w:val="00D87451"/>
    <w:rsid w:val="00D90585"/>
    <w:rsid w:val="00D91892"/>
    <w:rsid w:val="00D94F7B"/>
    <w:rsid w:val="00D95D32"/>
    <w:rsid w:val="00D9625A"/>
    <w:rsid w:val="00D966F1"/>
    <w:rsid w:val="00DA0F5A"/>
    <w:rsid w:val="00DA2B08"/>
    <w:rsid w:val="00DA5D99"/>
    <w:rsid w:val="00DB02CD"/>
    <w:rsid w:val="00DB29A4"/>
    <w:rsid w:val="00DB3475"/>
    <w:rsid w:val="00DB3AF0"/>
    <w:rsid w:val="00DB3DCC"/>
    <w:rsid w:val="00DB4489"/>
    <w:rsid w:val="00DB5EEC"/>
    <w:rsid w:val="00DB7830"/>
    <w:rsid w:val="00DB7E2B"/>
    <w:rsid w:val="00DC10BC"/>
    <w:rsid w:val="00DC1C23"/>
    <w:rsid w:val="00DC2316"/>
    <w:rsid w:val="00DC2E71"/>
    <w:rsid w:val="00DC41B0"/>
    <w:rsid w:val="00DC5D28"/>
    <w:rsid w:val="00DC6417"/>
    <w:rsid w:val="00DD1245"/>
    <w:rsid w:val="00DD3575"/>
    <w:rsid w:val="00DD6B09"/>
    <w:rsid w:val="00DD6BF5"/>
    <w:rsid w:val="00DE0FED"/>
    <w:rsid w:val="00DE1265"/>
    <w:rsid w:val="00DE1FD5"/>
    <w:rsid w:val="00DF3B6A"/>
    <w:rsid w:val="00DF413E"/>
    <w:rsid w:val="00DF5110"/>
    <w:rsid w:val="00DF59AF"/>
    <w:rsid w:val="00DF5F93"/>
    <w:rsid w:val="00DF7519"/>
    <w:rsid w:val="00DF75AA"/>
    <w:rsid w:val="00E01DB5"/>
    <w:rsid w:val="00E04760"/>
    <w:rsid w:val="00E12267"/>
    <w:rsid w:val="00E16830"/>
    <w:rsid w:val="00E16C30"/>
    <w:rsid w:val="00E16F80"/>
    <w:rsid w:val="00E2024D"/>
    <w:rsid w:val="00E20433"/>
    <w:rsid w:val="00E212A3"/>
    <w:rsid w:val="00E22F84"/>
    <w:rsid w:val="00E2428D"/>
    <w:rsid w:val="00E2498B"/>
    <w:rsid w:val="00E25452"/>
    <w:rsid w:val="00E260F9"/>
    <w:rsid w:val="00E261E5"/>
    <w:rsid w:val="00E26F80"/>
    <w:rsid w:val="00E33973"/>
    <w:rsid w:val="00E3397A"/>
    <w:rsid w:val="00E345F9"/>
    <w:rsid w:val="00E3467A"/>
    <w:rsid w:val="00E410AF"/>
    <w:rsid w:val="00E4325F"/>
    <w:rsid w:val="00E45D28"/>
    <w:rsid w:val="00E45F97"/>
    <w:rsid w:val="00E513FD"/>
    <w:rsid w:val="00E52323"/>
    <w:rsid w:val="00E55FD9"/>
    <w:rsid w:val="00E606EC"/>
    <w:rsid w:val="00E631CC"/>
    <w:rsid w:val="00E63612"/>
    <w:rsid w:val="00E63A80"/>
    <w:rsid w:val="00E65E12"/>
    <w:rsid w:val="00E67D7E"/>
    <w:rsid w:val="00E7213E"/>
    <w:rsid w:val="00E7214D"/>
    <w:rsid w:val="00E73E79"/>
    <w:rsid w:val="00E74B42"/>
    <w:rsid w:val="00E754BD"/>
    <w:rsid w:val="00E76577"/>
    <w:rsid w:val="00E77C01"/>
    <w:rsid w:val="00E80377"/>
    <w:rsid w:val="00E8049B"/>
    <w:rsid w:val="00E8245A"/>
    <w:rsid w:val="00E8739E"/>
    <w:rsid w:val="00E87D44"/>
    <w:rsid w:val="00E9014C"/>
    <w:rsid w:val="00E93B8B"/>
    <w:rsid w:val="00EA08F8"/>
    <w:rsid w:val="00EA4868"/>
    <w:rsid w:val="00EA795C"/>
    <w:rsid w:val="00EB3B5E"/>
    <w:rsid w:val="00EB3D13"/>
    <w:rsid w:val="00EB451E"/>
    <w:rsid w:val="00EB541E"/>
    <w:rsid w:val="00EB5680"/>
    <w:rsid w:val="00EB69C5"/>
    <w:rsid w:val="00EC1213"/>
    <w:rsid w:val="00EC274D"/>
    <w:rsid w:val="00EC36A8"/>
    <w:rsid w:val="00EC7909"/>
    <w:rsid w:val="00ED6E74"/>
    <w:rsid w:val="00ED6F85"/>
    <w:rsid w:val="00ED725F"/>
    <w:rsid w:val="00ED7460"/>
    <w:rsid w:val="00ED78EB"/>
    <w:rsid w:val="00ED7E1F"/>
    <w:rsid w:val="00EE1150"/>
    <w:rsid w:val="00EE1639"/>
    <w:rsid w:val="00EE4F8D"/>
    <w:rsid w:val="00EE60FE"/>
    <w:rsid w:val="00EE64D5"/>
    <w:rsid w:val="00EE66C3"/>
    <w:rsid w:val="00EE77AC"/>
    <w:rsid w:val="00EE78E3"/>
    <w:rsid w:val="00EF0126"/>
    <w:rsid w:val="00EF24D0"/>
    <w:rsid w:val="00EF2E15"/>
    <w:rsid w:val="00EF4336"/>
    <w:rsid w:val="00EF5361"/>
    <w:rsid w:val="00EF54C7"/>
    <w:rsid w:val="00EF595F"/>
    <w:rsid w:val="00EF5D80"/>
    <w:rsid w:val="00EF6EB5"/>
    <w:rsid w:val="00F00392"/>
    <w:rsid w:val="00F00D78"/>
    <w:rsid w:val="00F0302A"/>
    <w:rsid w:val="00F03B52"/>
    <w:rsid w:val="00F03BA2"/>
    <w:rsid w:val="00F045F2"/>
    <w:rsid w:val="00F04771"/>
    <w:rsid w:val="00F1310F"/>
    <w:rsid w:val="00F13CA0"/>
    <w:rsid w:val="00F14D1A"/>
    <w:rsid w:val="00F166AC"/>
    <w:rsid w:val="00F1765D"/>
    <w:rsid w:val="00F2397D"/>
    <w:rsid w:val="00F23B68"/>
    <w:rsid w:val="00F25353"/>
    <w:rsid w:val="00F27903"/>
    <w:rsid w:val="00F32DD0"/>
    <w:rsid w:val="00F33890"/>
    <w:rsid w:val="00F3496B"/>
    <w:rsid w:val="00F352D1"/>
    <w:rsid w:val="00F3608D"/>
    <w:rsid w:val="00F405DC"/>
    <w:rsid w:val="00F41304"/>
    <w:rsid w:val="00F415BF"/>
    <w:rsid w:val="00F41BC4"/>
    <w:rsid w:val="00F42730"/>
    <w:rsid w:val="00F42B28"/>
    <w:rsid w:val="00F42B7C"/>
    <w:rsid w:val="00F44346"/>
    <w:rsid w:val="00F50719"/>
    <w:rsid w:val="00F5320B"/>
    <w:rsid w:val="00F55B6A"/>
    <w:rsid w:val="00F55F4F"/>
    <w:rsid w:val="00F55FFF"/>
    <w:rsid w:val="00F60C65"/>
    <w:rsid w:val="00F6350F"/>
    <w:rsid w:val="00F63FCF"/>
    <w:rsid w:val="00F647EA"/>
    <w:rsid w:val="00F64EEA"/>
    <w:rsid w:val="00F675FA"/>
    <w:rsid w:val="00F67968"/>
    <w:rsid w:val="00F67C43"/>
    <w:rsid w:val="00F67F20"/>
    <w:rsid w:val="00F7062F"/>
    <w:rsid w:val="00F71ECF"/>
    <w:rsid w:val="00F72733"/>
    <w:rsid w:val="00F73027"/>
    <w:rsid w:val="00F749AE"/>
    <w:rsid w:val="00F751D8"/>
    <w:rsid w:val="00F77B91"/>
    <w:rsid w:val="00F80391"/>
    <w:rsid w:val="00F82051"/>
    <w:rsid w:val="00F823BA"/>
    <w:rsid w:val="00F839A7"/>
    <w:rsid w:val="00F83CF7"/>
    <w:rsid w:val="00F8403C"/>
    <w:rsid w:val="00F84870"/>
    <w:rsid w:val="00F86788"/>
    <w:rsid w:val="00F873C8"/>
    <w:rsid w:val="00F90C7F"/>
    <w:rsid w:val="00F90FBF"/>
    <w:rsid w:val="00F916BE"/>
    <w:rsid w:val="00F94D1C"/>
    <w:rsid w:val="00FA011B"/>
    <w:rsid w:val="00FA0488"/>
    <w:rsid w:val="00FA0750"/>
    <w:rsid w:val="00FA5B45"/>
    <w:rsid w:val="00FA697B"/>
    <w:rsid w:val="00FA6E15"/>
    <w:rsid w:val="00FB20D5"/>
    <w:rsid w:val="00FB49EF"/>
    <w:rsid w:val="00FB5537"/>
    <w:rsid w:val="00FB5793"/>
    <w:rsid w:val="00FB724E"/>
    <w:rsid w:val="00FC7750"/>
    <w:rsid w:val="00FD0B9A"/>
    <w:rsid w:val="00FD0D1E"/>
    <w:rsid w:val="00FD23C9"/>
    <w:rsid w:val="00FD41A3"/>
    <w:rsid w:val="00FE0385"/>
    <w:rsid w:val="00FE1A9F"/>
    <w:rsid w:val="00FE3FBE"/>
    <w:rsid w:val="00FE40FB"/>
    <w:rsid w:val="00FE4307"/>
    <w:rsid w:val="00FE76EA"/>
    <w:rsid w:val="00FE7D46"/>
    <w:rsid w:val="00FE7FA2"/>
    <w:rsid w:val="00FF0507"/>
    <w:rsid w:val="00FF168C"/>
    <w:rsid w:val="00FF1D9A"/>
    <w:rsid w:val="00FF69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1D"/>
    <w:pPr>
      <w:spacing w:after="100" w:line="400" w:lineRule="exact"/>
      <w:jc w:val="both"/>
    </w:pPr>
    <w:rPr>
      <w:rFonts w:ascii="Century Schoolbook" w:hAnsi="Century Schoolbook"/>
      <w:sz w:val="27"/>
    </w:rPr>
  </w:style>
  <w:style w:type="paragraph" w:styleId="Heading1">
    <w:name w:val="heading 1"/>
    <w:basedOn w:val="Normal"/>
    <w:next w:val="Normal"/>
    <w:qFormat/>
    <w:rsid w:val="00572D1D"/>
    <w:pPr>
      <w:keepNext/>
      <w:spacing w:before="140" w:line="240" w:lineRule="atLeast"/>
      <w:jc w:val="center"/>
      <w:outlineLvl w:val="0"/>
    </w:pPr>
    <w:rPr>
      <w:b/>
      <w:smallCaps/>
    </w:rPr>
  </w:style>
  <w:style w:type="paragraph" w:styleId="Heading2">
    <w:name w:val="heading 2"/>
    <w:basedOn w:val="Normal"/>
    <w:next w:val="Normal"/>
    <w:qFormat/>
    <w:rsid w:val="00572D1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72D1D"/>
    <w:pPr>
      <w:keepNext/>
      <w:tabs>
        <w:tab w:val="left" w:pos="1584"/>
      </w:tabs>
      <w:spacing w:before="140" w:line="240" w:lineRule="atLeast"/>
      <w:ind w:left="1584" w:hanging="432"/>
      <w:jc w:val="left"/>
      <w:outlineLvl w:val="2"/>
    </w:pPr>
    <w:rPr>
      <w:i/>
    </w:rPr>
  </w:style>
  <w:style w:type="paragraph" w:styleId="Heading4">
    <w:name w:val="heading 4"/>
    <w:basedOn w:val="Normal"/>
    <w:rsid w:val="00572D1D"/>
    <w:pPr>
      <w:keepNext/>
      <w:tabs>
        <w:tab w:val="left" w:pos="2016"/>
      </w:tabs>
      <w:spacing w:before="140" w:line="240" w:lineRule="atLeast"/>
      <w:ind w:left="2016" w:hanging="432"/>
      <w:jc w:val="left"/>
      <w:outlineLvl w:val="3"/>
    </w:pPr>
    <w:rPr>
      <w:i/>
    </w:rPr>
  </w:style>
  <w:style w:type="paragraph" w:styleId="Heading5">
    <w:name w:val="heading 5"/>
    <w:basedOn w:val="Normal"/>
    <w:rsid w:val="00572D1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72D1D"/>
    <w:pPr>
      <w:ind w:left="720"/>
    </w:pPr>
  </w:style>
  <w:style w:type="paragraph" w:styleId="Footer">
    <w:name w:val="footer"/>
    <w:basedOn w:val="Normal"/>
    <w:qFormat/>
    <w:rsid w:val="00572D1D"/>
    <w:pPr>
      <w:tabs>
        <w:tab w:val="center" w:pos="3960"/>
        <w:tab w:val="right" w:pos="10080"/>
      </w:tabs>
      <w:spacing w:after="0" w:line="240" w:lineRule="auto"/>
      <w:jc w:val="center"/>
    </w:pPr>
    <w:rPr>
      <w:sz w:val="22"/>
    </w:rPr>
  </w:style>
  <w:style w:type="paragraph" w:styleId="Header">
    <w:name w:val="header"/>
    <w:basedOn w:val="Normal"/>
    <w:qFormat/>
    <w:rsid w:val="00572D1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72D1D"/>
    <w:rPr>
      <w:rFonts w:ascii="Century Schoolbook" w:hAnsi="Century Schoolbook"/>
      <w:b/>
      <w:i w:val="0"/>
      <w:position w:val="4"/>
      <w:sz w:val="27"/>
      <w:vertAlign w:val="superscript"/>
    </w:rPr>
  </w:style>
  <w:style w:type="paragraph" w:styleId="FootnoteText">
    <w:name w:val="footnote text"/>
    <w:basedOn w:val="Normal"/>
    <w:link w:val="FootnoteTextChar"/>
    <w:rsid w:val="00572D1D"/>
    <w:pPr>
      <w:spacing w:line="300" w:lineRule="exact"/>
    </w:pPr>
  </w:style>
  <w:style w:type="paragraph" w:customStyle="1" w:styleId="Title1">
    <w:name w:val="Title1"/>
    <w:basedOn w:val="Normal"/>
    <w:rsid w:val="00572D1D"/>
    <w:pPr>
      <w:tabs>
        <w:tab w:val="left" w:pos="5760"/>
        <w:tab w:val="left" w:pos="6480"/>
      </w:tabs>
      <w:spacing w:line="240" w:lineRule="atLeast"/>
    </w:pPr>
  </w:style>
  <w:style w:type="paragraph" w:customStyle="1" w:styleId="Recommend">
    <w:name w:val="Recommend"/>
    <w:basedOn w:val="Normal"/>
    <w:rsid w:val="00572D1D"/>
  </w:style>
  <w:style w:type="paragraph" w:customStyle="1" w:styleId="Summary">
    <w:name w:val="Summary"/>
    <w:basedOn w:val="Normal"/>
    <w:rsid w:val="00572D1D"/>
    <w:pPr>
      <w:ind w:left="2160" w:hanging="2160"/>
    </w:pPr>
  </w:style>
  <w:style w:type="paragraph" w:customStyle="1" w:styleId="Text">
    <w:name w:val="Text"/>
    <w:basedOn w:val="Normal"/>
    <w:rsid w:val="00572D1D"/>
    <w:pPr>
      <w:tabs>
        <w:tab w:val="left" w:pos="720"/>
        <w:tab w:val="left" w:pos="1440"/>
        <w:tab w:val="left" w:pos="2160"/>
        <w:tab w:val="center" w:pos="4320"/>
      </w:tabs>
      <w:spacing w:line="480" w:lineRule="atLeast"/>
      <w:ind w:firstLine="540"/>
    </w:pPr>
  </w:style>
  <w:style w:type="paragraph" w:styleId="Date">
    <w:name w:val="Date"/>
    <w:basedOn w:val="Normal"/>
    <w:semiHidden/>
    <w:rsid w:val="00572D1D"/>
    <w:pPr>
      <w:jc w:val="right"/>
    </w:pPr>
  </w:style>
  <w:style w:type="character" w:styleId="PageNumber">
    <w:name w:val="page number"/>
    <w:basedOn w:val="DefaultParagraphFont"/>
    <w:semiHidden/>
    <w:rsid w:val="00572D1D"/>
  </w:style>
  <w:style w:type="paragraph" w:customStyle="1" w:styleId="subject">
    <w:name w:val="subject"/>
    <w:basedOn w:val="Normal"/>
    <w:rsid w:val="00572D1D"/>
    <w:pPr>
      <w:tabs>
        <w:tab w:val="left" w:pos="1008"/>
      </w:tabs>
      <w:ind w:left="990" w:hanging="990"/>
    </w:pPr>
    <w:rPr>
      <w:b/>
    </w:rPr>
  </w:style>
  <w:style w:type="paragraph" w:customStyle="1" w:styleId="Titles">
    <w:name w:val="Titles"/>
    <w:basedOn w:val="Normal"/>
    <w:rsid w:val="00572D1D"/>
    <w:pPr>
      <w:tabs>
        <w:tab w:val="left" w:pos="2160"/>
      </w:tabs>
      <w:ind w:left="2160" w:hanging="2160"/>
    </w:pPr>
    <w:rPr>
      <w:b/>
    </w:rPr>
  </w:style>
  <w:style w:type="paragraph" w:styleId="TOAHeading">
    <w:name w:val="toa heading"/>
    <w:basedOn w:val="Normal"/>
    <w:next w:val="Normal"/>
    <w:semiHidden/>
    <w:rsid w:val="00572D1D"/>
    <w:pPr>
      <w:spacing w:before="120"/>
    </w:pPr>
    <w:rPr>
      <w:b/>
    </w:rPr>
  </w:style>
  <w:style w:type="paragraph" w:styleId="TOC1">
    <w:name w:val="toc 1"/>
    <w:basedOn w:val="Normal"/>
    <w:next w:val="Normal"/>
    <w:autoRedefine/>
    <w:semiHidden/>
    <w:rsid w:val="00572D1D"/>
  </w:style>
  <w:style w:type="paragraph" w:styleId="TOC2">
    <w:name w:val="toc 2"/>
    <w:basedOn w:val="Normal"/>
    <w:next w:val="Normal"/>
    <w:autoRedefine/>
    <w:semiHidden/>
    <w:rsid w:val="00572D1D"/>
    <w:pPr>
      <w:ind w:left="259"/>
    </w:pPr>
  </w:style>
  <w:style w:type="paragraph" w:styleId="TOC3">
    <w:name w:val="toc 3"/>
    <w:basedOn w:val="Normal"/>
    <w:next w:val="Normal"/>
    <w:autoRedefine/>
    <w:semiHidden/>
    <w:rsid w:val="00572D1D"/>
    <w:pPr>
      <w:ind w:left="520"/>
    </w:pPr>
  </w:style>
  <w:style w:type="paragraph" w:styleId="TOC4">
    <w:name w:val="toc 4"/>
    <w:basedOn w:val="Normal"/>
    <w:next w:val="Normal"/>
    <w:autoRedefine/>
    <w:semiHidden/>
    <w:rsid w:val="00572D1D"/>
    <w:pPr>
      <w:ind w:left="780"/>
    </w:pPr>
  </w:style>
  <w:style w:type="paragraph" w:styleId="TOC5">
    <w:name w:val="toc 5"/>
    <w:basedOn w:val="Normal"/>
    <w:next w:val="Normal"/>
    <w:autoRedefine/>
    <w:semiHidden/>
    <w:rsid w:val="00572D1D"/>
    <w:pPr>
      <w:ind w:left="1040"/>
    </w:pPr>
  </w:style>
  <w:style w:type="paragraph" w:styleId="TOC6">
    <w:name w:val="toc 6"/>
    <w:basedOn w:val="Normal"/>
    <w:next w:val="Normal"/>
    <w:autoRedefine/>
    <w:semiHidden/>
    <w:rsid w:val="00572D1D"/>
    <w:pPr>
      <w:ind w:left="1300"/>
    </w:pPr>
  </w:style>
  <w:style w:type="paragraph" w:styleId="TOC7">
    <w:name w:val="toc 7"/>
    <w:basedOn w:val="Normal"/>
    <w:next w:val="Normal"/>
    <w:autoRedefine/>
    <w:semiHidden/>
    <w:rsid w:val="00572D1D"/>
    <w:pPr>
      <w:ind w:left="1560"/>
    </w:pPr>
  </w:style>
  <w:style w:type="paragraph" w:styleId="TOC8">
    <w:name w:val="toc 8"/>
    <w:basedOn w:val="Normal"/>
    <w:next w:val="Normal"/>
    <w:autoRedefine/>
    <w:semiHidden/>
    <w:rsid w:val="00572D1D"/>
    <w:pPr>
      <w:ind w:left="1820"/>
    </w:pPr>
  </w:style>
  <w:style w:type="paragraph" w:styleId="TOC9">
    <w:name w:val="toc 9"/>
    <w:basedOn w:val="Normal"/>
    <w:next w:val="Normal"/>
    <w:autoRedefine/>
    <w:semiHidden/>
    <w:rsid w:val="00572D1D"/>
    <w:pPr>
      <w:ind w:left="2080"/>
    </w:pPr>
  </w:style>
  <w:style w:type="paragraph" w:customStyle="1" w:styleId="Contents">
    <w:name w:val="Contents"/>
    <w:basedOn w:val="Normal"/>
    <w:rsid w:val="00572D1D"/>
    <w:pPr>
      <w:jc w:val="center"/>
    </w:pPr>
    <w:rPr>
      <w:b/>
      <w:spacing w:val="100"/>
    </w:rPr>
  </w:style>
  <w:style w:type="paragraph" w:customStyle="1" w:styleId="Body">
    <w:name w:val="Body"/>
    <w:basedOn w:val="Normal"/>
    <w:link w:val="BodyChar"/>
    <w:qFormat/>
    <w:rsid w:val="00AF7428"/>
    <w:pPr>
      <w:spacing w:line="480" w:lineRule="atLeast"/>
      <w:ind w:firstLine="720"/>
    </w:pPr>
  </w:style>
  <w:style w:type="character" w:customStyle="1" w:styleId="BodyChar">
    <w:name w:val="Body Char"/>
    <w:basedOn w:val="DefaultParagraphFont"/>
    <w:link w:val="Body"/>
    <w:rsid w:val="00AF7428"/>
    <w:rPr>
      <w:sz w:val="26"/>
    </w:rPr>
  </w:style>
  <w:style w:type="paragraph" w:styleId="NormalWeb">
    <w:name w:val="Normal (Web)"/>
    <w:basedOn w:val="Normal"/>
    <w:uiPriority w:val="99"/>
    <w:unhideWhenUsed/>
    <w:rsid w:val="00AF7428"/>
    <w:pPr>
      <w:spacing w:before="100" w:beforeAutospacing="1" w:afterAutospacing="1"/>
    </w:pPr>
    <w:rPr>
      <w:sz w:val="24"/>
      <w:szCs w:val="24"/>
    </w:rPr>
  </w:style>
  <w:style w:type="character" w:styleId="CommentReference">
    <w:name w:val="annotation reference"/>
    <w:basedOn w:val="DefaultParagraphFont"/>
    <w:uiPriority w:val="99"/>
    <w:semiHidden/>
    <w:unhideWhenUsed/>
    <w:rsid w:val="007256D6"/>
    <w:rPr>
      <w:sz w:val="16"/>
      <w:szCs w:val="16"/>
    </w:rPr>
  </w:style>
  <w:style w:type="paragraph" w:styleId="CommentText">
    <w:name w:val="annotation text"/>
    <w:basedOn w:val="Normal"/>
    <w:link w:val="CommentTextChar"/>
    <w:uiPriority w:val="99"/>
    <w:unhideWhenUsed/>
    <w:rsid w:val="007256D6"/>
    <w:rPr>
      <w:sz w:val="20"/>
    </w:rPr>
  </w:style>
  <w:style w:type="character" w:customStyle="1" w:styleId="CommentTextChar">
    <w:name w:val="Comment Text Char"/>
    <w:basedOn w:val="DefaultParagraphFont"/>
    <w:link w:val="CommentText"/>
    <w:uiPriority w:val="99"/>
    <w:rsid w:val="007256D6"/>
  </w:style>
  <w:style w:type="paragraph" w:styleId="CommentSubject">
    <w:name w:val="annotation subject"/>
    <w:basedOn w:val="CommentText"/>
    <w:next w:val="CommentText"/>
    <w:link w:val="CommentSubjectChar"/>
    <w:uiPriority w:val="99"/>
    <w:semiHidden/>
    <w:unhideWhenUsed/>
    <w:rsid w:val="007256D6"/>
    <w:rPr>
      <w:b/>
      <w:bCs/>
    </w:rPr>
  </w:style>
  <w:style w:type="character" w:customStyle="1" w:styleId="CommentSubjectChar">
    <w:name w:val="Comment Subject Char"/>
    <w:basedOn w:val="CommentTextChar"/>
    <w:link w:val="CommentSubject"/>
    <w:uiPriority w:val="99"/>
    <w:semiHidden/>
    <w:rsid w:val="007256D6"/>
    <w:rPr>
      <w:b/>
      <w:bCs/>
    </w:rPr>
  </w:style>
  <w:style w:type="paragraph" w:styleId="Revision">
    <w:name w:val="Revision"/>
    <w:hidden/>
    <w:uiPriority w:val="99"/>
    <w:semiHidden/>
    <w:rsid w:val="00337AA6"/>
    <w:rPr>
      <w:sz w:val="26"/>
    </w:rPr>
  </w:style>
  <w:style w:type="paragraph" w:styleId="ListParagraph">
    <w:name w:val="List Paragraph"/>
    <w:basedOn w:val="Normal"/>
    <w:uiPriority w:val="34"/>
    <w:qFormat/>
    <w:rsid w:val="009075C5"/>
    <w:pPr>
      <w:ind w:left="720"/>
      <w:contextualSpacing/>
    </w:pPr>
  </w:style>
  <w:style w:type="character" w:styleId="Emphasis">
    <w:name w:val="Emphasis"/>
    <w:basedOn w:val="DefaultParagraphFont"/>
    <w:uiPriority w:val="20"/>
    <w:qFormat/>
    <w:rsid w:val="00614E01"/>
    <w:rPr>
      <w:i/>
      <w:iCs/>
    </w:rPr>
  </w:style>
  <w:style w:type="character" w:styleId="Hyperlink">
    <w:name w:val="Hyperlink"/>
    <w:basedOn w:val="DefaultParagraphFont"/>
    <w:uiPriority w:val="99"/>
    <w:unhideWhenUsed/>
    <w:rsid w:val="00614E01"/>
    <w:rPr>
      <w:color w:val="0000FF"/>
      <w:u w:val="single"/>
    </w:rPr>
  </w:style>
  <w:style w:type="character" w:customStyle="1" w:styleId="costarpage">
    <w:name w:val="co_starpage"/>
    <w:basedOn w:val="DefaultParagraphFont"/>
    <w:rsid w:val="00614E01"/>
  </w:style>
  <w:style w:type="character" w:styleId="FollowedHyperlink">
    <w:name w:val="FollowedHyperlink"/>
    <w:basedOn w:val="DefaultParagraphFont"/>
    <w:uiPriority w:val="99"/>
    <w:semiHidden/>
    <w:unhideWhenUsed/>
    <w:rsid w:val="008C540F"/>
    <w:rPr>
      <w:color w:val="800080" w:themeColor="followedHyperlink"/>
      <w:u w:val="single"/>
    </w:rPr>
  </w:style>
  <w:style w:type="paragraph" w:customStyle="1" w:styleId="PRComments">
    <w:name w:val="PR Comments"/>
    <w:basedOn w:val="Normal"/>
    <w:rsid w:val="003A3416"/>
    <w:pPr>
      <w:spacing w:line="360" w:lineRule="atLeast"/>
      <w:ind w:right="-360"/>
    </w:pPr>
  </w:style>
  <w:style w:type="paragraph" w:styleId="BodyText">
    <w:name w:val="Body Text"/>
    <w:basedOn w:val="Normal"/>
    <w:link w:val="BodyTextChar"/>
    <w:qFormat/>
    <w:rsid w:val="00572D1D"/>
  </w:style>
  <w:style w:type="character" w:customStyle="1" w:styleId="BodyTextChar">
    <w:name w:val="Body Text Char"/>
    <w:basedOn w:val="DefaultParagraphFont"/>
    <w:link w:val="BodyText"/>
    <w:rsid w:val="00572D1D"/>
    <w:rPr>
      <w:rFonts w:ascii="Century Schoolbook" w:hAnsi="Century Schoolbook"/>
      <w:sz w:val="27"/>
    </w:rPr>
  </w:style>
  <w:style w:type="character" w:customStyle="1" w:styleId="FootnoteTextChar">
    <w:name w:val="Footnote Text Char"/>
    <w:basedOn w:val="DefaultParagraphFont"/>
    <w:link w:val="FootnoteText"/>
    <w:rsid w:val="008B28A9"/>
    <w:rPr>
      <w:rFonts w:ascii="Century Schoolbook" w:hAnsi="Century Schoolbook"/>
      <w:sz w:val="27"/>
    </w:rPr>
  </w:style>
  <w:style w:type="character" w:customStyle="1" w:styleId="UnresolvedMention1">
    <w:name w:val="Unresolved Mention1"/>
    <w:basedOn w:val="DefaultParagraphFont"/>
    <w:uiPriority w:val="99"/>
    <w:semiHidden/>
    <w:unhideWhenUsed/>
    <w:rsid w:val="008E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B06F-C278-423A-97C6-CCA10A3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2023-12-18T16:15:49Z</dcterms:created>
  <dcterms:modified xsi:type="dcterms:W3CDTF">2023-12-18T16:15:49Z</dcterms:modified>
</cp:coreProperties>
</file>