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80E08" w:rsidP="00F80E08" w14:paraId="174B8921" w14:textId="59BD8BC1">
      <w:pPr>
        <w:spacing w:line="240" w:lineRule="auto"/>
        <w:rPr>
          <w:sz w:val="20"/>
          <w:szCs w:val="26"/>
        </w:rPr>
      </w:pPr>
      <w:r>
        <w:rPr>
          <w:sz w:val="20"/>
          <w:szCs w:val="26"/>
        </w:rPr>
        <w:t>Filed 1/8/24</w:t>
      </w:r>
      <w:r w:rsidR="002A5309">
        <w:rPr>
          <w:sz w:val="20"/>
          <w:szCs w:val="26"/>
        </w:rPr>
        <w:t xml:space="preserve"> (opinion on transfer from Supreme Court)</w:t>
      </w:r>
    </w:p>
    <w:p w:rsidR="00F80E08" w:rsidP="00F80E08" w14:paraId="62BC610E" w14:textId="77777777">
      <w:pPr>
        <w:spacing w:line="240" w:lineRule="auto"/>
        <w:jc w:val="center"/>
        <w:rPr>
          <w:b/>
          <w:szCs w:val="26"/>
        </w:rPr>
      </w:pPr>
      <w:r>
        <w:rPr>
          <w:b/>
          <w:szCs w:val="26"/>
        </w:rPr>
        <w:t>CERTIFIED FOR PUBLICATION</w:t>
      </w:r>
    </w:p>
    <w:p w:rsidR="00F80E08" w:rsidP="00F80E08" w14:paraId="232BA4F3" w14:textId="77777777">
      <w:pPr>
        <w:spacing w:line="240" w:lineRule="auto"/>
        <w:jc w:val="center"/>
        <w:rPr>
          <w:szCs w:val="26"/>
        </w:rPr>
      </w:pPr>
    </w:p>
    <w:p w:rsidR="00EF00CC" w:rsidRPr="00D27192" w:rsidP="00F80E08" w14:paraId="508F4402" w14:textId="6FE444AD">
      <w:pPr>
        <w:spacing w:line="240" w:lineRule="auto"/>
        <w:jc w:val="center"/>
        <w:rPr>
          <w:szCs w:val="26"/>
        </w:rPr>
      </w:pPr>
      <w:r w:rsidRPr="00D27192">
        <w:rPr>
          <w:szCs w:val="26"/>
        </w:rPr>
        <w:t>IN THE COURT OF APPEAL OF THE STATE OF CALIFORNIA</w:t>
      </w:r>
    </w:p>
    <w:p w:rsidR="00943E6A" w:rsidRPr="00D27192" w:rsidP="00943E6A" w14:paraId="4DB351B0" w14:textId="73519EAF">
      <w:pPr>
        <w:spacing w:line="240" w:lineRule="auto"/>
        <w:jc w:val="center"/>
        <w:rPr>
          <w:szCs w:val="26"/>
        </w:rPr>
      </w:pPr>
    </w:p>
    <w:p w:rsidR="00943E6A" w:rsidRPr="00D27192" w:rsidP="00943E6A" w14:paraId="1D4196F0" w14:textId="0557FBE5">
      <w:pPr>
        <w:spacing w:line="240" w:lineRule="auto"/>
        <w:jc w:val="center"/>
        <w:rPr>
          <w:szCs w:val="26"/>
        </w:rPr>
      </w:pPr>
      <w:r w:rsidRPr="00D27192">
        <w:rPr>
          <w:szCs w:val="26"/>
        </w:rPr>
        <w:t>FIRST APPELLATE DISTRICT</w:t>
      </w:r>
    </w:p>
    <w:p w:rsidR="00943E6A" w:rsidRPr="00D27192" w:rsidP="00943E6A" w14:paraId="1B674474" w14:textId="63B9DBD2">
      <w:pPr>
        <w:spacing w:line="240" w:lineRule="auto"/>
        <w:jc w:val="center"/>
        <w:rPr>
          <w:szCs w:val="26"/>
        </w:rPr>
      </w:pPr>
    </w:p>
    <w:p w:rsidR="00943E6A" w:rsidRPr="00D27192" w:rsidP="00943E6A" w14:paraId="6C3304A4" w14:textId="24FBBCF6">
      <w:pPr>
        <w:spacing w:line="240" w:lineRule="auto"/>
        <w:jc w:val="center"/>
        <w:rPr>
          <w:szCs w:val="26"/>
        </w:rPr>
      </w:pPr>
      <w:r w:rsidRPr="00D27192">
        <w:rPr>
          <w:szCs w:val="26"/>
        </w:rPr>
        <w:t>DIVISION THREE</w:t>
      </w:r>
    </w:p>
    <w:p w:rsidR="00943E6A" w:rsidRPr="00D27192" w:rsidP="0067638D" w14:paraId="46D6E819" w14:textId="3D92EDE3">
      <w:pPr>
        <w:spacing w:line="240" w:lineRule="auto"/>
        <w:rPr>
          <w:szCs w:val="26"/>
        </w:rPr>
      </w:pPr>
    </w:p>
    <w:tbl>
      <w:tblPr>
        <w:tblW w:w="0" w:type="auto"/>
        <w:tblLayout w:type="fixed"/>
        <w:tblLook w:val="0000"/>
      </w:tblPr>
      <w:tblGrid>
        <w:gridCol w:w="4680"/>
        <w:gridCol w:w="4680"/>
      </w:tblGrid>
      <w:tr w14:paraId="62AA96B2" w14:textId="77777777" w:rsidTr="00943E6A">
        <w:tblPrEx>
          <w:tblW w:w="0" w:type="auto"/>
          <w:tblLayout w:type="fixed"/>
          <w:tblLook w:val="0000"/>
        </w:tblPrEx>
        <w:tc>
          <w:tcPr>
            <w:tcW w:w="4680" w:type="dxa"/>
            <w:tcBorders>
              <w:bottom w:val="single" w:sz="4" w:space="0" w:color="auto"/>
              <w:right w:val="single" w:sz="4" w:space="0" w:color="auto"/>
            </w:tcBorders>
            <w:shd w:val="clear" w:color="auto" w:fill="auto"/>
          </w:tcPr>
          <w:p w:rsidR="00943E6A" w:rsidRPr="00D27192" w:rsidP="00943E6A" w14:paraId="14DB371E" w14:textId="77777777">
            <w:pPr>
              <w:spacing w:after="120" w:line="240" w:lineRule="auto"/>
              <w:rPr>
                <w:szCs w:val="26"/>
              </w:rPr>
            </w:pPr>
            <w:r w:rsidRPr="00D27192">
              <w:rPr>
                <w:szCs w:val="26"/>
              </w:rPr>
              <w:t>THE PEOPLE,</w:t>
            </w:r>
          </w:p>
          <w:p w:rsidR="00943E6A" w:rsidRPr="00D27192" w:rsidP="00943E6A" w14:paraId="7D1543E5" w14:textId="77777777">
            <w:pPr>
              <w:spacing w:after="120" w:line="240" w:lineRule="auto"/>
              <w:rPr>
                <w:szCs w:val="26"/>
              </w:rPr>
            </w:pPr>
            <w:r w:rsidRPr="00D27192">
              <w:rPr>
                <w:szCs w:val="26"/>
              </w:rPr>
              <w:tab/>
              <w:t>Plaintiff and Respondent,</w:t>
            </w:r>
          </w:p>
          <w:p w:rsidR="00943E6A" w:rsidRPr="00D27192" w:rsidP="00943E6A" w14:paraId="72559930" w14:textId="77777777">
            <w:pPr>
              <w:spacing w:after="120" w:line="240" w:lineRule="auto"/>
              <w:rPr>
                <w:szCs w:val="26"/>
              </w:rPr>
            </w:pPr>
            <w:r w:rsidRPr="00D27192">
              <w:rPr>
                <w:szCs w:val="26"/>
              </w:rPr>
              <w:t>v.</w:t>
            </w:r>
          </w:p>
          <w:p w:rsidR="00943E6A" w:rsidRPr="00D27192" w:rsidP="00943E6A" w14:paraId="6D4CE741" w14:textId="77777777">
            <w:pPr>
              <w:spacing w:after="120" w:line="240" w:lineRule="auto"/>
              <w:rPr>
                <w:szCs w:val="26"/>
              </w:rPr>
            </w:pPr>
            <w:r w:rsidRPr="00D27192">
              <w:rPr>
                <w:szCs w:val="26"/>
              </w:rPr>
              <w:t>MENIQUE LASHON,</w:t>
            </w:r>
          </w:p>
          <w:p w:rsidR="00943E6A" w:rsidRPr="00D27192" w:rsidP="00943E6A" w14:paraId="248A5D3B" w14:textId="3A50897F">
            <w:pPr>
              <w:spacing w:after="120" w:line="240" w:lineRule="auto"/>
              <w:rPr>
                <w:szCs w:val="26"/>
              </w:rPr>
            </w:pPr>
            <w:r w:rsidRPr="00D27192">
              <w:rPr>
                <w:szCs w:val="26"/>
              </w:rPr>
              <w:tab/>
              <w:t>Defendant and Appellant.</w:t>
            </w:r>
          </w:p>
        </w:tc>
        <w:tc>
          <w:tcPr>
            <w:tcW w:w="4680" w:type="dxa"/>
            <w:tcBorders>
              <w:left w:val="single" w:sz="4" w:space="0" w:color="auto"/>
            </w:tcBorders>
            <w:shd w:val="clear" w:color="auto" w:fill="auto"/>
          </w:tcPr>
          <w:p w:rsidR="00943E6A" w:rsidRPr="00D27192" w:rsidP="00943E6A" w14:paraId="25C45F8C" w14:textId="77777777">
            <w:pPr>
              <w:spacing w:line="240" w:lineRule="auto"/>
              <w:rPr>
                <w:szCs w:val="26"/>
              </w:rPr>
            </w:pPr>
          </w:p>
          <w:p w:rsidR="00943E6A" w:rsidRPr="00D27192" w:rsidP="00943E6A" w14:paraId="7B66E049" w14:textId="77777777">
            <w:pPr>
              <w:spacing w:line="240" w:lineRule="auto"/>
              <w:rPr>
                <w:szCs w:val="26"/>
              </w:rPr>
            </w:pPr>
          </w:p>
          <w:p w:rsidR="00943E6A" w:rsidRPr="00D27192" w:rsidP="00943E6A" w14:paraId="30329F80" w14:textId="77777777">
            <w:pPr>
              <w:spacing w:line="240" w:lineRule="auto"/>
              <w:rPr>
                <w:szCs w:val="26"/>
              </w:rPr>
            </w:pPr>
            <w:r w:rsidRPr="00D27192">
              <w:rPr>
                <w:szCs w:val="26"/>
              </w:rPr>
              <w:t xml:space="preserve">      A163074</w:t>
            </w:r>
          </w:p>
          <w:p w:rsidR="00943E6A" w:rsidRPr="00D27192" w:rsidP="00943E6A" w14:paraId="0E84A07D" w14:textId="77777777">
            <w:pPr>
              <w:spacing w:line="240" w:lineRule="auto"/>
              <w:rPr>
                <w:szCs w:val="26"/>
              </w:rPr>
            </w:pPr>
          </w:p>
          <w:p w:rsidR="00943E6A" w:rsidRPr="00D27192" w:rsidP="00943E6A" w14:paraId="26AEF004" w14:textId="77777777">
            <w:pPr>
              <w:spacing w:line="240" w:lineRule="auto"/>
              <w:rPr>
                <w:szCs w:val="26"/>
              </w:rPr>
            </w:pPr>
            <w:r w:rsidRPr="00D27192">
              <w:rPr>
                <w:szCs w:val="26"/>
              </w:rPr>
              <w:t xml:space="preserve">      (Contra Costa County</w:t>
            </w:r>
          </w:p>
          <w:p w:rsidR="00943E6A" w:rsidRPr="00D27192" w:rsidP="00943E6A" w14:paraId="4AB1483C" w14:textId="77777777">
            <w:pPr>
              <w:spacing w:line="240" w:lineRule="auto"/>
              <w:rPr>
                <w:szCs w:val="26"/>
              </w:rPr>
            </w:pPr>
            <w:r w:rsidRPr="00D27192">
              <w:rPr>
                <w:szCs w:val="26"/>
              </w:rPr>
              <w:t xml:space="preserve">      Super. Ct. No. 51814102)</w:t>
            </w:r>
          </w:p>
          <w:p w:rsidR="00943E6A" w:rsidRPr="00D27192" w:rsidP="00943E6A" w14:paraId="6B276DC2" w14:textId="01418C55">
            <w:pPr>
              <w:spacing w:line="240" w:lineRule="auto"/>
              <w:rPr>
                <w:szCs w:val="26"/>
              </w:rPr>
            </w:pPr>
          </w:p>
        </w:tc>
      </w:tr>
    </w:tbl>
    <w:p w:rsidR="00943E6A" w:rsidRPr="00D27192" w:rsidP="00943E6A" w14:paraId="48BCE47F" w14:textId="77777777">
      <w:pPr>
        <w:spacing w:line="240" w:lineRule="auto"/>
        <w:rPr>
          <w:szCs w:val="26"/>
        </w:rPr>
      </w:pPr>
    </w:p>
    <w:p w:rsidR="003D4FEF" w:rsidRPr="00D27192" w:rsidP="006F3D02" w14:paraId="74A6D788" w14:textId="430B1067">
      <w:pPr>
        <w:spacing w:line="360" w:lineRule="auto"/>
        <w:rPr>
          <w:szCs w:val="26"/>
        </w:rPr>
      </w:pPr>
      <w:r w:rsidRPr="00D27192">
        <w:rPr>
          <w:szCs w:val="26"/>
        </w:rPr>
        <w:tab/>
      </w:r>
      <w:r w:rsidRPr="00D27192" w:rsidR="00F81BA3">
        <w:rPr>
          <w:szCs w:val="26"/>
        </w:rPr>
        <w:t xml:space="preserve">On September 1, 2023, we issued our original opinion </w:t>
      </w:r>
      <w:r w:rsidRPr="00D27192" w:rsidR="006F3D02">
        <w:rPr>
          <w:szCs w:val="26"/>
        </w:rPr>
        <w:t xml:space="preserve">affirming the </w:t>
      </w:r>
      <w:r w:rsidRPr="00D27192" w:rsidR="00F81BA3">
        <w:rPr>
          <w:szCs w:val="26"/>
        </w:rPr>
        <w:t xml:space="preserve">judgment </w:t>
      </w:r>
      <w:r w:rsidRPr="00D27192" w:rsidR="006F3D02">
        <w:rPr>
          <w:szCs w:val="26"/>
        </w:rPr>
        <w:t>against</w:t>
      </w:r>
      <w:r w:rsidRPr="00D27192" w:rsidR="004E1BB8">
        <w:rPr>
          <w:szCs w:val="26"/>
        </w:rPr>
        <w:t xml:space="preserve"> </w:t>
      </w:r>
      <w:r w:rsidRPr="00D27192" w:rsidR="00F81BA3">
        <w:rPr>
          <w:szCs w:val="26"/>
        </w:rPr>
        <w:t>defendant Menique Lashon</w:t>
      </w:r>
      <w:r w:rsidRPr="00D27192" w:rsidR="006F3D02">
        <w:rPr>
          <w:szCs w:val="26"/>
        </w:rPr>
        <w:t xml:space="preserve"> based on her</w:t>
      </w:r>
      <w:r w:rsidRPr="00D27192" w:rsidR="00F81BA3">
        <w:rPr>
          <w:szCs w:val="26"/>
        </w:rPr>
        <w:t xml:space="preserve"> conviction for on</w:t>
      </w:r>
      <w:r w:rsidRPr="00D27192" w:rsidR="004E1BB8">
        <w:rPr>
          <w:szCs w:val="26"/>
        </w:rPr>
        <w:t>e count of second-degree murder and one count of first-degree murder, together with true finding</w:t>
      </w:r>
      <w:r w:rsidRPr="00D27192" w:rsidR="00694D9B">
        <w:rPr>
          <w:szCs w:val="26"/>
        </w:rPr>
        <w:t>s</w:t>
      </w:r>
      <w:r w:rsidRPr="00D27192" w:rsidR="004E1BB8">
        <w:rPr>
          <w:szCs w:val="26"/>
        </w:rPr>
        <w:t xml:space="preserve"> of special circumstance allegation</w:t>
      </w:r>
      <w:r w:rsidRPr="00D27192" w:rsidR="00694D9B">
        <w:rPr>
          <w:szCs w:val="26"/>
        </w:rPr>
        <w:t>s</w:t>
      </w:r>
      <w:r w:rsidRPr="00D27192" w:rsidR="004F650D">
        <w:rPr>
          <w:szCs w:val="26"/>
        </w:rPr>
        <w:t>.</w:t>
      </w:r>
      <w:r w:rsidRPr="00D27192" w:rsidR="002025F9">
        <w:rPr>
          <w:szCs w:val="26"/>
        </w:rPr>
        <w:t xml:space="preserve"> </w:t>
      </w:r>
      <w:r w:rsidRPr="00D27192" w:rsidR="00CC0725">
        <w:rPr>
          <w:szCs w:val="26"/>
        </w:rPr>
        <w:t xml:space="preserve"> </w:t>
      </w:r>
      <w:r w:rsidRPr="00D27192" w:rsidR="006F3D02">
        <w:rPr>
          <w:szCs w:val="26"/>
        </w:rPr>
        <w:t xml:space="preserve">In that opinion, we found Lashon had forfeited her </w:t>
      </w:r>
      <w:r w:rsidRPr="00D27192" w:rsidR="00EE2257">
        <w:rPr>
          <w:szCs w:val="26"/>
        </w:rPr>
        <w:t xml:space="preserve">ability to bring a </w:t>
      </w:r>
      <w:r w:rsidRPr="00D27192" w:rsidR="006F3D02">
        <w:rPr>
          <w:szCs w:val="26"/>
        </w:rPr>
        <w:t>California Racial Justice Act (</w:t>
      </w:r>
      <w:r w:rsidRPr="00D27192" w:rsidR="00C2118A">
        <w:rPr>
          <w:szCs w:val="26"/>
        </w:rPr>
        <w:t>CRJA</w:t>
      </w:r>
      <w:r w:rsidRPr="00D27192" w:rsidR="003C6F7A">
        <w:rPr>
          <w:szCs w:val="26"/>
        </w:rPr>
        <w:t>; Pen. Code, § 745</w:t>
      </w:r>
      <w:r>
        <w:rPr>
          <w:rStyle w:val="FootnoteReference"/>
          <w:szCs w:val="26"/>
        </w:rPr>
        <w:footnoteReference w:id="2"/>
      </w:r>
      <w:r w:rsidRPr="00D27192" w:rsidR="00BD6CB5">
        <w:rPr>
          <w:szCs w:val="26"/>
        </w:rPr>
        <w:t xml:space="preserve">) </w:t>
      </w:r>
      <w:r w:rsidRPr="00D27192" w:rsidR="006F3D02">
        <w:rPr>
          <w:szCs w:val="26"/>
        </w:rPr>
        <w:t>claim on direct appeal by failing to file a motion in the trial court before judgment was entered and we affirmed the judgment.</w:t>
      </w:r>
    </w:p>
    <w:p w:rsidR="006F3D02" w:rsidRPr="00D27192" w:rsidP="003D4FEF" w14:paraId="10947FAD" w14:textId="32BA48D6">
      <w:pPr>
        <w:pStyle w:val="FootnoteText"/>
        <w:spacing w:after="0" w:line="360" w:lineRule="auto"/>
        <w:rPr>
          <w:szCs w:val="26"/>
        </w:rPr>
      </w:pPr>
      <w:r w:rsidRPr="00D27192">
        <w:rPr>
          <w:szCs w:val="26"/>
        </w:rPr>
        <w:t>On November 15, 2023, having granted Lashon’s petition for review, our Supreme Court remanded the case to us with directions to vacate our opinion</w:t>
      </w:r>
      <w:r>
        <w:rPr>
          <w:rStyle w:val="FootnoteReference"/>
          <w:szCs w:val="26"/>
        </w:rPr>
        <w:footnoteReference w:id="3"/>
      </w:r>
      <w:r w:rsidRPr="00D27192" w:rsidR="00DA3AD2">
        <w:rPr>
          <w:szCs w:val="26"/>
        </w:rPr>
        <w:t xml:space="preserve"> </w:t>
      </w:r>
      <w:r w:rsidRPr="00D27192">
        <w:rPr>
          <w:szCs w:val="26"/>
        </w:rPr>
        <w:t xml:space="preserve">and reconsider the cause in light of Assembly Bill No. 1118 </w:t>
      </w:r>
      <w:r w:rsidRPr="00D27192" w:rsidR="00986743">
        <w:rPr>
          <w:szCs w:val="26"/>
        </w:rPr>
        <w:t>(</w:t>
      </w:r>
      <w:r w:rsidRPr="00D27192" w:rsidR="00BD6CB5">
        <w:rPr>
          <w:szCs w:val="26"/>
        </w:rPr>
        <w:t>2023–</w:t>
      </w:r>
      <w:r w:rsidRPr="00D27192" w:rsidR="00BD6CB5">
        <w:rPr>
          <w:szCs w:val="26"/>
        </w:rPr>
        <w:t>2024 Reg. Sess.) (</w:t>
      </w:r>
      <w:r w:rsidRPr="00D27192" w:rsidR="001027F4">
        <w:rPr>
          <w:szCs w:val="26"/>
        </w:rPr>
        <w:t>AB 1118</w:t>
      </w:r>
      <w:r w:rsidRPr="00D27192" w:rsidR="00C2118A">
        <w:rPr>
          <w:szCs w:val="26"/>
        </w:rPr>
        <w:t>)</w:t>
      </w:r>
      <w:r w:rsidRPr="00D27192">
        <w:rPr>
          <w:szCs w:val="26"/>
        </w:rPr>
        <w:t>, which modified the CRJA</w:t>
      </w:r>
      <w:r w:rsidRPr="00D27192" w:rsidR="00A6483C">
        <w:rPr>
          <w:szCs w:val="26"/>
        </w:rPr>
        <w:t xml:space="preserve"> to allow for additional avenues of relief for claims </w:t>
      </w:r>
      <w:r w:rsidRPr="00D27192" w:rsidR="001E5209">
        <w:rPr>
          <w:szCs w:val="26"/>
        </w:rPr>
        <w:t>made on direct appeal</w:t>
      </w:r>
      <w:r w:rsidRPr="00D27192">
        <w:rPr>
          <w:szCs w:val="26"/>
        </w:rPr>
        <w:t xml:space="preserve">. </w:t>
      </w:r>
      <w:r w:rsidRPr="00D27192" w:rsidR="003E3D34">
        <w:rPr>
          <w:szCs w:val="26"/>
        </w:rPr>
        <w:t xml:space="preserve"> </w:t>
      </w:r>
      <w:r w:rsidRPr="00D27192">
        <w:rPr>
          <w:szCs w:val="26"/>
        </w:rPr>
        <w:t xml:space="preserve">Having now considered </w:t>
      </w:r>
      <w:r w:rsidRPr="00D27192" w:rsidR="00C2118A">
        <w:rPr>
          <w:szCs w:val="26"/>
        </w:rPr>
        <w:t>AB</w:t>
      </w:r>
      <w:r w:rsidRPr="00D27192" w:rsidR="006E6432">
        <w:rPr>
          <w:szCs w:val="26"/>
        </w:rPr>
        <w:t> </w:t>
      </w:r>
      <w:r w:rsidRPr="00D27192" w:rsidR="00C2118A">
        <w:rPr>
          <w:szCs w:val="26"/>
        </w:rPr>
        <w:t>1118</w:t>
      </w:r>
      <w:r w:rsidRPr="00D27192" w:rsidR="006E6432">
        <w:rPr>
          <w:szCs w:val="26"/>
        </w:rPr>
        <w:t xml:space="preserve">’s amendments </w:t>
      </w:r>
      <w:r w:rsidRPr="00D27192">
        <w:rPr>
          <w:szCs w:val="26"/>
        </w:rPr>
        <w:t xml:space="preserve">to the CRJA, we find the long-standing procedural appellate rules governing forfeiture of issues continue to apply and again affirm. </w:t>
      </w:r>
    </w:p>
    <w:p w:rsidR="00F81BA3" w:rsidRPr="00D27192" w:rsidP="00560103" w14:paraId="1E608A78" w14:textId="7B7B97D2">
      <w:pPr>
        <w:pStyle w:val="FootnoteText"/>
        <w:spacing w:after="0" w:line="360" w:lineRule="auto"/>
        <w:rPr>
          <w:szCs w:val="26"/>
        </w:rPr>
      </w:pPr>
      <w:r w:rsidRPr="00D27192">
        <w:rPr>
          <w:szCs w:val="26"/>
        </w:rPr>
        <w:t>Lashon</w:t>
      </w:r>
      <w:r w:rsidRPr="00D27192" w:rsidR="00560103">
        <w:rPr>
          <w:szCs w:val="26"/>
        </w:rPr>
        <w:t xml:space="preserve"> has also filed a separate motion requesting we stay the appeal and remand </w:t>
      </w:r>
      <w:r w:rsidRPr="00D27192" w:rsidR="004D7924">
        <w:rPr>
          <w:szCs w:val="26"/>
        </w:rPr>
        <w:t xml:space="preserve">the matter </w:t>
      </w:r>
      <w:r w:rsidRPr="00D27192" w:rsidR="00560103">
        <w:rPr>
          <w:szCs w:val="26"/>
        </w:rPr>
        <w:t xml:space="preserve">to the superior court to allow her to file a </w:t>
      </w:r>
      <w:r w:rsidRPr="00D27192" w:rsidR="006F3D02">
        <w:rPr>
          <w:szCs w:val="26"/>
        </w:rPr>
        <w:t>CRJA</w:t>
      </w:r>
      <w:r w:rsidRPr="00D27192" w:rsidR="00560103">
        <w:rPr>
          <w:szCs w:val="26"/>
        </w:rPr>
        <w:t xml:space="preserve"> </w:t>
      </w:r>
      <w:r w:rsidRPr="00D27192">
        <w:rPr>
          <w:szCs w:val="26"/>
        </w:rPr>
        <w:t>motion</w:t>
      </w:r>
      <w:r w:rsidRPr="00D27192" w:rsidR="00560103">
        <w:rPr>
          <w:szCs w:val="26"/>
        </w:rPr>
        <w:t xml:space="preserve">. </w:t>
      </w:r>
      <w:r w:rsidRPr="00D27192" w:rsidR="00CC0725">
        <w:rPr>
          <w:szCs w:val="26"/>
        </w:rPr>
        <w:t xml:space="preserve"> </w:t>
      </w:r>
      <w:r w:rsidRPr="00D27192">
        <w:rPr>
          <w:szCs w:val="26"/>
        </w:rPr>
        <w:t>Under</w:t>
      </w:r>
      <w:r w:rsidRPr="00D27192" w:rsidR="00C03904">
        <w:rPr>
          <w:szCs w:val="26"/>
        </w:rPr>
        <w:t xml:space="preserve"> the circumstances presented here, </w:t>
      </w:r>
      <w:r w:rsidRPr="00D27192" w:rsidR="00216908">
        <w:rPr>
          <w:szCs w:val="26"/>
        </w:rPr>
        <w:t xml:space="preserve">we do not find good cause to grant </w:t>
      </w:r>
      <w:r w:rsidRPr="00D27192">
        <w:rPr>
          <w:szCs w:val="26"/>
        </w:rPr>
        <w:t>this request</w:t>
      </w:r>
      <w:r w:rsidRPr="00D27192" w:rsidR="004A6BA2">
        <w:rPr>
          <w:szCs w:val="26"/>
        </w:rPr>
        <w:t>.</w:t>
      </w:r>
    </w:p>
    <w:p w:rsidR="009247F5" w:rsidRPr="00D27192" w:rsidP="002D7C62" w14:paraId="5B518ECD" w14:textId="26AD26FF">
      <w:pPr>
        <w:spacing w:line="360" w:lineRule="auto"/>
        <w:jc w:val="center"/>
        <w:rPr>
          <w:b/>
          <w:bCs/>
          <w:smallCaps/>
          <w:szCs w:val="26"/>
        </w:rPr>
      </w:pPr>
      <w:r w:rsidRPr="00D27192">
        <w:rPr>
          <w:b/>
          <w:bCs/>
          <w:szCs w:val="26"/>
        </w:rPr>
        <w:t>D</w:t>
      </w:r>
      <w:r w:rsidRPr="00D27192" w:rsidR="007D1E6A">
        <w:rPr>
          <w:b/>
          <w:bCs/>
          <w:smallCaps/>
          <w:szCs w:val="26"/>
        </w:rPr>
        <w:t>iscussion</w:t>
      </w:r>
    </w:p>
    <w:p w:rsidR="006F3D02" w:rsidRPr="00D27192" w:rsidP="006F3D02" w14:paraId="40FA030F" w14:textId="6465D7D0">
      <w:pPr>
        <w:spacing w:line="360" w:lineRule="auto"/>
        <w:rPr>
          <w:b/>
          <w:bCs/>
          <w:smallCaps/>
          <w:szCs w:val="26"/>
        </w:rPr>
      </w:pPr>
      <w:r w:rsidRPr="00D27192">
        <w:rPr>
          <w:b/>
          <w:bCs/>
          <w:smallCaps/>
          <w:szCs w:val="26"/>
        </w:rPr>
        <w:t>I.</w:t>
      </w:r>
      <w:r w:rsidRPr="00D27192">
        <w:rPr>
          <w:b/>
          <w:bCs/>
          <w:smallCaps/>
          <w:szCs w:val="26"/>
        </w:rPr>
        <w:tab/>
        <w:t>Governing Law –</w:t>
      </w:r>
      <w:r w:rsidRPr="00D27192" w:rsidR="003C6F7A">
        <w:rPr>
          <w:b/>
          <w:bCs/>
          <w:smallCaps/>
          <w:szCs w:val="26"/>
        </w:rPr>
        <w:t xml:space="preserve"> </w:t>
      </w:r>
      <w:r w:rsidRPr="00D27192">
        <w:rPr>
          <w:b/>
          <w:bCs/>
          <w:smallCaps/>
          <w:szCs w:val="26"/>
        </w:rPr>
        <w:t>Section 745 As Amended By AB 1118</w:t>
      </w:r>
    </w:p>
    <w:p w:rsidR="00E4746B" w:rsidRPr="00D27192" w:rsidP="005D6C34" w14:paraId="7DF2CC96" w14:textId="7536860D">
      <w:pPr>
        <w:pStyle w:val="FootnoteText"/>
        <w:spacing w:after="0" w:line="360" w:lineRule="auto"/>
        <w:rPr>
          <w:szCs w:val="26"/>
        </w:rPr>
      </w:pPr>
      <w:r w:rsidRPr="00D27192">
        <w:rPr>
          <w:szCs w:val="26"/>
        </w:rPr>
        <w:t>In enacting section</w:t>
      </w:r>
      <w:r w:rsidRPr="00D27192" w:rsidR="00E861F3">
        <w:rPr>
          <w:szCs w:val="26"/>
        </w:rPr>
        <w:t> </w:t>
      </w:r>
      <w:r w:rsidRPr="00D27192">
        <w:rPr>
          <w:szCs w:val="26"/>
        </w:rPr>
        <w:t xml:space="preserve">745, the Legislature </w:t>
      </w:r>
      <w:r w:rsidRPr="00D27192" w:rsidR="00CF232A">
        <w:rPr>
          <w:szCs w:val="26"/>
        </w:rPr>
        <w:t xml:space="preserve">laudably </w:t>
      </w:r>
      <w:r w:rsidRPr="00D27192">
        <w:rPr>
          <w:szCs w:val="26"/>
        </w:rPr>
        <w:t>declared its intention “to eliminate racial bias from California’s criminal justice system because racism in any form or amount</w:t>
      </w:r>
      <w:r w:rsidRPr="00D27192" w:rsidR="00330510">
        <w:rPr>
          <w:szCs w:val="26"/>
        </w:rPr>
        <w:t>,</w:t>
      </w:r>
      <w:r w:rsidRPr="00D27192">
        <w:rPr>
          <w:szCs w:val="26"/>
        </w:rPr>
        <w:t xml:space="preserve"> at any stage of a criminal trial, is intolerable</w:t>
      </w:r>
      <w:r w:rsidRPr="00D27192" w:rsidR="00330510">
        <w:rPr>
          <w:szCs w:val="26"/>
        </w:rPr>
        <w:t>,</w:t>
      </w:r>
      <w:r w:rsidRPr="00D27192">
        <w:rPr>
          <w:szCs w:val="26"/>
        </w:rPr>
        <w:t xml:space="preserve"> inimical to a fair criminal justice system, is a miscarriage of justice under Article</w:t>
      </w:r>
      <w:r w:rsidRPr="00D27192" w:rsidR="00E861F3">
        <w:rPr>
          <w:szCs w:val="26"/>
        </w:rPr>
        <w:t> </w:t>
      </w:r>
      <w:r w:rsidRPr="00D27192">
        <w:rPr>
          <w:szCs w:val="26"/>
        </w:rPr>
        <w:t xml:space="preserve">VI of the California Constitution, and violates the laws and Constitution of the State of California.  Implicit bias, although often unintentional and unconscious, may inject racism and unfairness into proceedings similar to intentional bias.  The intent of the Legislature is not </w:t>
      </w:r>
      <w:r w:rsidRPr="00D27192" w:rsidR="00DD50B4">
        <w:rPr>
          <w:szCs w:val="26"/>
        </w:rPr>
        <w:t xml:space="preserve">to </w:t>
      </w:r>
      <w:r w:rsidRPr="00D27192">
        <w:rPr>
          <w:szCs w:val="26"/>
        </w:rPr>
        <w:t>punish this type of bias, but rather to remedy the harm to the defendant’s case and to the integrity of the judicial system.  It is the intent of the Legislature to ensure that race plays no role at all in seeking or obtaining convictions or in sentencing.  It is the intent of the Legislature to reject the conclusion that racial disparities within our criminal justice are inevitable, and to actively work to eradicate them.”</w:t>
      </w:r>
      <w:r w:rsidRPr="00D27192" w:rsidR="00177D89">
        <w:rPr>
          <w:szCs w:val="26"/>
        </w:rPr>
        <w:t xml:space="preserve">  </w:t>
      </w:r>
      <w:r w:rsidRPr="00D27192">
        <w:rPr>
          <w:szCs w:val="26"/>
        </w:rPr>
        <w:t>(Stat</w:t>
      </w:r>
      <w:r w:rsidRPr="00D27192" w:rsidR="00E861F3">
        <w:rPr>
          <w:szCs w:val="26"/>
        </w:rPr>
        <w:t>s. </w:t>
      </w:r>
      <w:r w:rsidRPr="00D27192">
        <w:rPr>
          <w:szCs w:val="26"/>
        </w:rPr>
        <w:t xml:space="preserve">2020, ch. 317, § 2, subd. (i).)  </w:t>
      </w:r>
    </w:p>
    <w:p w:rsidR="00674308" w:rsidRPr="00D27192" w:rsidP="00C9133B" w14:paraId="4BA7A0B0" w14:textId="35288339">
      <w:pPr>
        <w:spacing w:line="360" w:lineRule="auto"/>
        <w:rPr>
          <w:szCs w:val="26"/>
        </w:rPr>
      </w:pPr>
      <w:r w:rsidRPr="00D27192">
        <w:rPr>
          <w:szCs w:val="26"/>
        </w:rPr>
        <w:tab/>
        <w:t xml:space="preserve">To </w:t>
      </w:r>
      <w:r w:rsidRPr="00D27192" w:rsidR="004D7924">
        <w:rPr>
          <w:szCs w:val="26"/>
        </w:rPr>
        <w:t>further</w:t>
      </w:r>
      <w:r w:rsidRPr="00D27192">
        <w:rPr>
          <w:szCs w:val="26"/>
        </w:rPr>
        <w:t xml:space="preserve"> the goal of eliminating racial bias in criminal proceedings, </w:t>
      </w:r>
      <w:r w:rsidRPr="00D27192" w:rsidR="001C4E41">
        <w:rPr>
          <w:szCs w:val="26"/>
        </w:rPr>
        <w:t>subdivision (a) of s</w:t>
      </w:r>
      <w:r w:rsidRPr="00D27192" w:rsidR="009247F5">
        <w:rPr>
          <w:szCs w:val="26"/>
        </w:rPr>
        <w:t>ection 745</w:t>
      </w:r>
      <w:r w:rsidRPr="00D27192" w:rsidR="00C915D4">
        <w:rPr>
          <w:szCs w:val="26"/>
        </w:rPr>
        <w:t xml:space="preserve">, </w:t>
      </w:r>
      <w:r w:rsidRPr="00D27192" w:rsidR="009247F5">
        <w:rPr>
          <w:szCs w:val="26"/>
        </w:rPr>
        <w:t>provides</w:t>
      </w:r>
      <w:r w:rsidRPr="00D27192" w:rsidR="001C4E41">
        <w:rPr>
          <w:szCs w:val="26"/>
        </w:rPr>
        <w:t xml:space="preserve"> that</w:t>
      </w:r>
      <w:r w:rsidRPr="00D27192" w:rsidR="009247F5">
        <w:rPr>
          <w:szCs w:val="26"/>
        </w:rPr>
        <w:t xml:space="preserve"> “[t]he state shall not seek or obtain a criminal conviction or seek, obtain, or impose a sentence on the basis of race, ethnicity, or national origin.”  Pertinent to our discussion, </w:t>
      </w:r>
      <w:r w:rsidRPr="00D27192" w:rsidR="001C4E41">
        <w:rPr>
          <w:szCs w:val="26"/>
        </w:rPr>
        <w:t>a violation of section 745 “is established if the defendant proves, by a preponderance of the evidence,</w:t>
      </w:r>
      <w:r w:rsidRPr="00D27192" w:rsidR="00330510">
        <w:rPr>
          <w:szCs w:val="26"/>
        </w:rPr>
        <w:t>”</w:t>
      </w:r>
      <w:r w:rsidRPr="00D27192" w:rsidR="001C4E41">
        <w:rPr>
          <w:szCs w:val="26"/>
        </w:rPr>
        <w:t xml:space="preserve"> that </w:t>
      </w:r>
      <w:r w:rsidRPr="00D27192" w:rsidR="009247F5">
        <w:rPr>
          <w:szCs w:val="26"/>
        </w:rPr>
        <w:t>“[d]uring the defendant’s trial, in court and during the proceedings,” a trial judge “exhibited bias or animus towards the defendant because of the defendant’s race, ethnicity, or national origin, whether or not purposeful</w:t>
      </w:r>
      <w:r w:rsidRPr="00D27192" w:rsidR="00DD50B4">
        <w:rPr>
          <w:szCs w:val="26"/>
        </w:rPr>
        <w:t>.</w:t>
      </w:r>
      <w:r w:rsidRPr="00D27192" w:rsidR="009247F5">
        <w:rPr>
          <w:szCs w:val="26"/>
        </w:rPr>
        <w:t>”</w:t>
      </w:r>
      <w:r w:rsidRPr="00D27192" w:rsidR="00DD50B4">
        <w:rPr>
          <w:szCs w:val="26"/>
        </w:rPr>
        <w:t xml:space="preserve"> </w:t>
      </w:r>
      <w:r w:rsidRPr="00D27192" w:rsidR="009247F5">
        <w:rPr>
          <w:szCs w:val="26"/>
        </w:rPr>
        <w:t xml:space="preserve"> (</w:t>
      </w:r>
      <w:r w:rsidRPr="00D27192" w:rsidR="00DD50B4">
        <w:rPr>
          <w:i/>
          <w:iCs/>
          <w:szCs w:val="26"/>
        </w:rPr>
        <w:t>I</w:t>
      </w:r>
      <w:r w:rsidRPr="00D27192" w:rsidR="009247F5">
        <w:rPr>
          <w:i/>
          <w:iCs/>
          <w:szCs w:val="26"/>
        </w:rPr>
        <w:t>d</w:t>
      </w:r>
      <w:r w:rsidRPr="00D27192" w:rsidR="009247F5">
        <w:rPr>
          <w:szCs w:val="26"/>
        </w:rPr>
        <w:t>., subd. (a)(2)).</w:t>
      </w:r>
    </w:p>
    <w:p w:rsidR="00C2277B" w:rsidRPr="00D27192" w:rsidP="00C9133B" w14:paraId="27AB8CE1" w14:textId="79291169">
      <w:pPr>
        <w:spacing w:line="360" w:lineRule="auto"/>
        <w:rPr>
          <w:szCs w:val="26"/>
        </w:rPr>
      </w:pPr>
      <w:r w:rsidRPr="00D27192">
        <w:rPr>
          <w:szCs w:val="26"/>
        </w:rPr>
        <w:tab/>
      </w:r>
      <w:r w:rsidRPr="00D27192" w:rsidR="00752F0F">
        <w:rPr>
          <w:szCs w:val="26"/>
        </w:rPr>
        <w:t>S</w:t>
      </w:r>
      <w:r w:rsidRPr="00D27192" w:rsidR="009629C2">
        <w:rPr>
          <w:szCs w:val="26"/>
        </w:rPr>
        <w:t xml:space="preserve">ubdivision (b) of section 745 </w:t>
      </w:r>
      <w:r w:rsidRPr="00D27192">
        <w:rPr>
          <w:szCs w:val="26"/>
        </w:rPr>
        <w:t xml:space="preserve">informs defendants how to seek </w:t>
      </w:r>
      <w:r w:rsidRPr="00D27192" w:rsidR="009247F5">
        <w:rPr>
          <w:szCs w:val="26"/>
        </w:rPr>
        <w:t>relief during various stages of a criminal proceeding</w:t>
      </w:r>
      <w:r w:rsidRPr="00D27192" w:rsidR="00C97BB6">
        <w:rPr>
          <w:szCs w:val="26"/>
        </w:rPr>
        <w:t xml:space="preserve">.  </w:t>
      </w:r>
      <w:r w:rsidRPr="00D27192" w:rsidR="00C9133B">
        <w:rPr>
          <w:szCs w:val="26"/>
        </w:rPr>
        <w:t>As originally enacted</w:t>
      </w:r>
      <w:r w:rsidRPr="00D27192" w:rsidR="00177D89">
        <w:rPr>
          <w:szCs w:val="26"/>
        </w:rPr>
        <w:t xml:space="preserve">, </w:t>
      </w:r>
      <w:r w:rsidRPr="00D27192" w:rsidR="00BD6CB5">
        <w:rPr>
          <w:szCs w:val="26"/>
        </w:rPr>
        <w:t xml:space="preserve">effective January 1, 2021, </w:t>
      </w:r>
      <w:r w:rsidRPr="00D27192" w:rsidR="00C9133B">
        <w:rPr>
          <w:szCs w:val="26"/>
        </w:rPr>
        <w:t xml:space="preserve">defendants </w:t>
      </w:r>
      <w:r w:rsidRPr="00D27192">
        <w:rPr>
          <w:szCs w:val="26"/>
        </w:rPr>
        <w:t>could</w:t>
      </w:r>
      <w:r w:rsidRPr="00D27192" w:rsidR="00177D89">
        <w:rPr>
          <w:szCs w:val="26"/>
        </w:rPr>
        <w:t xml:space="preserve"> </w:t>
      </w:r>
      <w:r w:rsidRPr="00D27192" w:rsidR="00C9133B">
        <w:rPr>
          <w:szCs w:val="26"/>
        </w:rPr>
        <w:t xml:space="preserve">seek relief by filing a motion in the trial court or, if judgment had been imposed, by filing a </w:t>
      </w:r>
      <w:r w:rsidRPr="00D27192" w:rsidR="00674308">
        <w:rPr>
          <w:szCs w:val="26"/>
        </w:rPr>
        <w:t>“petition for writ of habeas corpus or a motion under section 1473.7, in a court of competent jurisdiction, alleging a violation of subdivision (a).”</w:t>
      </w:r>
      <w:r w:rsidRPr="00D27192" w:rsidR="00C9133B">
        <w:rPr>
          <w:szCs w:val="26"/>
        </w:rPr>
        <w:t xml:space="preserve">  (§ 745, subd. (b).)  </w:t>
      </w:r>
      <w:r w:rsidRPr="00D27192">
        <w:rPr>
          <w:szCs w:val="26"/>
        </w:rPr>
        <w:t xml:space="preserve">When enacted, section 745 applied only </w:t>
      </w:r>
      <w:r w:rsidRPr="00D27192">
        <w:rPr>
          <w:i/>
          <w:iCs/>
          <w:szCs w:val="26"/>
        </w:rPr>
        <w:t>prospectively</w:t>
      </w:r>
      <w:r w:rsidRPr="00D27192">
        <w:rPr>
          <w:szCs w:val="26"/>
        </w:rPr>
        <w:t xml:space="preserve"> to cases in which judgment had not been entered prior to January 1, 2021.  (Stats. 2020, ch. 317.)  Therefore, in all eligible cases </w:t>
      </w:r>
      <w:r w:rsidRPr="00D27192" w:rsidR="00514B83">
        <w:rPr>
          <w:szCs w:val="26"/>
        </w:rPr>
        <w:t xml:space="preserve">– </w:t>
      </w:r>
      <w:r w:rsidRPr="00D27192">
        <w:rPr>
          <w:szCs w:val="26"/>
        </w:rPr>
        <w:t>including Lashon’s case</w:t>
      </w:r>
      <w:r w:rsidRPr="00D27192" w:rsidR="00514B83">
        <w:rPr>
          <w:szCs w:val="26"/>
        </w:rPr>
        <w:t xml:space="preserve"> –</w:t>
      </w:r>
      <w:r w:rsidRPr="00D27192">
        <w:rPr>
          <w:szCs w:val="26"/>
        </w:rPr>
        <w:t xml:space="preserve"> the defendant had the opportunity to raise a CRJA claim in the trial court.</w:t>
      </w:r>
    </w:p>
    <w:p w:rsidR="00C9133B" w:rsidRPr="00D27192" w:rsidP="00C9133B" w14:paraId="6F640021" w14:textId="7FE9F5F2">
      <w:pPr>
        <w:spacing w:line="360" w:lineRule="auto"/>
        <w:rPr>
          <w:szCs w:val="26"/>
        </w:rPr>
      </w:pPr>
      <w:r w:rsidRPr="00D27192">
        <w:rPr>
          <w:szCs w:val="26"/>
        </w:rPr>
        <w:tab/>
        <w:t xml:space="preserve">Section 745 was later amended effective January 1, 2023 to provide for </w:t>
      </w:r>
      <w:r w:rsidRPr="00D27192">
        <w:rPr>
          <w:i/>
          <w:iCs/>
          <w:szCs w:val="26"/>
        </w:rPr>
        <w:t>retroactive</w:t>
      </w:r>
      <w:r w:rsidRPr="00D27192">
        <w:rPr>
          <w:szCs w:val="26"/>
        </w:rPr>
        <w:t xml:space="preserve"> application to judgments that were not final and created a timeline for judgments entered before January 1, 2021.  (Stats. 2022, ch. 739, §</w:t>
      </w:r>
      <w:r w:rsidR="0084617D">
        <w:rPr>
          <w:szCs w:val="26"/>
        </w:rPr>
        <w:t xml:space="preserve"> </w:t>
      </w:r>
      <w:r w:rsidRPr="00D27192">
        <w:rPr>
          <w:szCs w:val="26"/>
        </w:rPr>
        <w:t xml:space="preserve">2.)  After retroactive application became possible, section 745 was modified </w:t>
      </w:r>
      <w:r w:rsidRPr="00D27192" w:rsidR="0070408A">
        <w:rPr>
          <w:szCs w:val="26"/>
        </w:rPr>
        <w:t>by AB 1118</w:t>
      </w:r>
      <w:r w:rsidRPr="00D27192" w:rsidR="009D18DC">
        <w:rPr>
          <w:szCs w:val="26"/>
        </w:rPr>
        <w:t xml:space="preserve"> (Stats. 2023, ch. 464)</w:t>
      </w:r>
      <w:r w:rsidRPr="00D27192" w:rsidR="0070408A">
        <w:rPr>
          <w:szCs w:val="26"/>
        </w:rPr>
        <w:t xml:space="preserve">, </w:t>
      </w:r>
      <w:r w:rsidRPr="00D27192">
        <w:rPr>
          <w:szCs w:val="26"/>
        </w:rPr>
        <w:t>effective January</w:t>
      </w:r>
      <w:r w:rsidRPr="00D27192" w:rsidR="00555374">
        <w:rPr>
          <w:szCs w:val="26"/>
        </w:rPr>
        <w:t> </w:t>
      </w:r>
      <w:r w:rsidRPr="00D27192">
        <w:rPr>
          <w:szCs w:val="26"/>
        </w:rPr>
        <w:t>1,</w:t>
      </w:r>
      <w:r w:rsidRPr="00D27192" w:rsidR="00555374">
        <w:rPr>
          <w:szCs w:val="26"/>
        </w:rPr>
        <w:t> </w:t>
      </w:r>
      <w:r w:rsidRPr="00D27192">
        <w:rPr>
          <w:szCs w:val="26"/>
        </w:rPr>
        <w:t>2024.  T</w:t>
      </w:r>
      <w:r w:rsidRPr="00D27192" w:rsidR="00177D89">
        <w:rPr>
          <w:szCs w:val="26"/>
        </w:rPr>
        <w:t xml:space="preserve">he statute now </w:t>
      </w:r>
      <w:r w:rsidRPr="00D27192">
        <w:rPr>
          <w:szCs w:val="26"/>
        </w:rPr>
        <w:t xml:space="preserve">provides that </w:t>
      </w:r>
      <w:r w:rsidRPr="00D27192" w:rsidR="00986743">
        <w:rPr>
          <w:szCs w:val="26"/>
        </w:rPr>
        <w:t xml:space="preserve">post-judgment </w:t>
      </w:r>
      <w:r w:rsidRPr="00D27192">
        <w:rPr>
          <w:szCs w:val="26"/>
        </w:rPr>
        <w:t>CRJA claims based on the trial record may be raised on direct appeal from the conviction or sentence</w:t>
      </w:r>
      <w:r w:rsidRPr="00D27192" w:rsidR="00BB110E">
        <w:rPr>
          <w:szCs w:val="26"/>
        </w:rPr>
        <w:t xml:space="preserve"> (including to cases with judgments entered before January 1, 2021)</w:t>
      </w:r>
      <w:r w:rsidRPr="00D27192">
        <w:rPr>
          <w:szCs w:val="26"/>
        </w:rPr>
        <w:t xml:space="preserve">.  </w:t>
      </w:r>
      <w:r w:rsidRPr="00D27192" w:rsidR="00177D89">
        <w:rPr>
          <w:szCs w:val="26"/>
        </w:rPr>
        <w:t>(</w:t>
      </w:r>
      <w:r w:rsidRPr="00D27192" w:rsidR="00177D89">
        <w:rPr>
          <w:i/>
          <w:iCs/>
          <w:szCs w:val="26"/>
        </w:rPr>
        <w:t>Ibid.</w:t>
      </w:r>
      <w:r w:rsidRPr="00D27192" w:rsidR="00177D89">
        <w:rPr>
          <w:szCs w:val="26"/>
        </w:rPr>
        <w:t xml:space="preserve">) </w:t>
      </w:r>
      <w:r w:rsidR="00203554">
        <w:rPr>
          <w:szCs w:val="26"/>
        </w:rPr>
        <w:t xml:space="preserve"> </w:t>
      </w:r>
      <w:r w:rsidRPr="00D27192" w:rsidR="00A25428">
        <w:rPr>
          <w:szCs w:val="26"/>
        </w:rPr>
        <w:t xml:space="preserve">The statute does not state that a defendant may raise a section 745 claim on direct appeal </w:t>
      </w:r>
      <w:r w:rsidRPr="00D27192" w:rsidR="00A25428">
        <w:rPr>
          <w:i/>
          <w:iCs/>
          <w:szCs w:val="26"/>
        </w:rPr>
        <w:t>for the first time</w:t>
      </w:r>
      <w:r w:rsidRPr="00D27192" w:rsidR="00A25428">
        <w:rPr>
          <w:szCs w:val="26"/>
        </w:rPr>
        <w:t xml:space="preserve"> </w:t>
      </w:r>
      <w:r w:rsidRPr="00D27192">
        <w:rPr>
          <w:szCs w:val="26"/>
        </w:rPr>
        <w:t>and does not refer to</w:t>
      </w:r>
      <w:r w:rsidRPr="00D27192" w:rsidR="00A25428">
        <w:rPr>
          <w:szCs w:val="26"/>
        </w:rPr>
        <w:t xml:space="preserve"> the general appellate rules governing the preservation or forfeiture of claims presented on direct appeal. </w:t>
      </w:r>
      <w:r w:rsidRPr="00D27192">
        <w:rPr>
          <w:szCs w:val="26"/>
        </w:rPr>
        <w:t xml:space="preserve"> </w:t>
      </w:r>
      <w:r w:rsidRPr="00D27192" w:rsidR="00BB110E">
        <w:rPr>
          <w:szCs w:val="26"/>
        </w:rPr>
        <w:t>In addition, a defendant may move to stay the appeal and request remand to file a section 745 motion in the trial court.  (</w:t>
      </w:r>
      <w:r w:rsidRPr="00D27192" w:rsidR="00BB110E">
        <w:rPr>
          <w:i/>
          <w:iCs/>
          <w:szCs w:val="26"/>
        </w:rPr>
        <w:t>Ibid</w:t>
      </w:r>
      <w:r w:rsidRPr="00D27192" w:rsidR="00BB110E">
        <w:rPr>
          <w:szCs w:val="26"/>
        </w:rPr>
        <w:t xml:space="preserve">.)  </w:t>
      </w:r>
    </w:p>
    <w:p w:rsidR="00C54010" w:rsidRPr="00D27192" w:rsidP="00777A75" w14:paraId="492FC7E0" w14:textId="20A6EAB9">
      <w:pPr>
        <w:spacing w:line="360" w:lineRule="auto"/>
        <w:rPr>
          <w:b/>
          <w:bCs/>
          <w:smallCaps/>
          <w:szCs w:val="26"/>
        </w:rPr>
      </w:pPr>
      <w:r w:rsidRPr="00D27192">
        <w:rPr>
          <w:b/>
          <w:bCs/>
          <w:smallCaps/>
          <w:szCs w:val="26"/>
        </w:rPr>
        <w:t>II.</w:t>
      </w:r>
      <w:r w:rsidRPr="00D27192">
        <w:rPr>
          <w:b/>
          <w:bCs/>
          <w:smallCaps/>
          <w:szCs w:val="26"/>
        </w:rPr>
        <w:tab/>
      </w:r>
      <w:r w:rsidRPr="00D27192" w:rsidR="002459EC">
        <w:rPr>
          <w:b/>
          <w:bCs/>
          <w:smallCaps/>
          <w:szCs w:val="26"/>
        </w:rPr>
        <w:t xml:space="preserve">Section 745 </w:t>
      </w:r>
      <w:r w:rsidRPr="00D27192">
        <w:rPr>
          <w:b/>
          <w:bCs/>
          <w:smallCaps/>
          <w:szCs w:val="26"/>
        </w:rPr>
        <w:t>Claim</w:t>
      </w:r>
      <w:r w:rsidRPr="00D27192" w:rsidR="00BB110E">
        <w:rPr>
          <w:b/>
          <w:bCs/>
          <w:smallCaps/>
          <w:szCs w:val="26"/>
        </w:rPr>
        <w:t>s</w:t>
      </w:r>
      <w:r w:rsidRPr="00D27192">
        <w:rPr>
          <w:b/>
          <w:bCs/>
          <w:smallCaps/>
          <w:szCs w:val="26"/>
        </w:rPr>
        <w:t xml:space="preserve"> </w:t>
      </w:r>
      <w:r w:rsidRPr="00D27192" w:rsidR="004C300B">
        <w:rPr>
          <w:b/>
          <w:bCs/>
          <w:smallCaps/>
          <w:szCs w:val="26"/>
        </w:rPr>
        <w:t>Remain</w:t>
      </w:r>
      <w:r w:rsidRPr="00D27192">
        <w:rPr>
          <w:b/>
          <w:bCs/>
          <w:smallCaps/>
          <w:szCs w:val="26"/>
        </w:rPr>
        <w:t xml:space="preserve"> Subject to General Appellate </w:t>
      </w:r>
      <w:r w:rsidRPr="00D27192" w:rsidR="002459EC">
        <w:rPr>
          <w:b/>
          <w:bCs/>
          <w:smallCaps/>
          <w:szCs w:val="26"/>
        </w:rPr>
        <w:tab/>
        <w:t xml:space="preserve">Rules of </w:t>
      </w:r>
      <w:r w:rsidRPr="00D27192">
        <w:rPr>
          <w:b/>
          <w:bCs/>
          <w:smallCaps/>
          <w:szCs w:val="26"/>
        </w:rPr>
        <w:t>Forfeiture</w:t>
      </w:r>
    </w:p>
    <w:p w:rsidR="00345B34" w:rsidRPr="00D27192" w:rsidP="00C10BCE" w14:paraId="25701FF4" w14:textId="6DE507F4">
      <w:pPr>
        <w:spacing w:line="360" w:lineRule="auto"/>
        <w:rPr>
          <w:szCs w:val="26"/>
        </w:rPr>
      </w:pPr>
      <w:r w:rsidRPr="00D27192">
        <w:rPr>
          <w:smallCaps/>
          <w:szCs w:val="26"/>
        </w:rPr>
        <w:tab/>
      </w:r>
      <w:r w:rsidRPr="00D27192">
        <w:rPr>
          <w:szCs w:val="26"/>
        </w:rPr>
        <w:t xml:space="preserve">In our </w:t>
      </w:r>
      <w:r w:rsidRPr="00D27192" w:rsidR="004C300B">
        <w:rPr>
          <w:szCs w:val="26"/>
        </w:rPr>
        <w:t>original</w:t>
      </w:r>
      <w:r w:rsidRPr="00D27192">
        <w:rPr>
          <w:szCs w:val="26"/>
        </w:rPr>
        <w:t xml:space="preserve"> decision, we held Lashon’s </w:t>
      </w:r>
      <w:r w:rsidRPr="00D27192" w:rsidR="002459EC">
        <w:rPr>
          <w:szCs w:val="26"/>
        </w:rPr>
        <w:t>section</w:t>
      </w:r>
      <w:r w:rsidRPr="00D27192" w:rsidR="00752F0F">
        <w:rPr>
          <w:szCs w:val="26"/>
        </w:rPr>
        <w:t> </w:t>
      </w:r>
      <w:r w:rsidRPr="00D27192" w:rsidR="002459EC">
        <w:rPr>
          <w:szCs w:val="26"/>
        </w:rPr>
        <w:t>745</w:t>
      </w:r>
      <w:r w:rsidRPr="00D27192">
        <w:rPr>
          <w:szCs w:val="26"/>
        </w:rPr>
        <w:t xml:space="preserve"> claim was not properly before us as she forfeited appellate review </w:t>
      </w:r>
      <w:r w:rsidRPr="00D27192" w:rsidR="0005469B">
        <w:rPr>
          <w:szCs w:val="26"/>
        </w:rPr>
        <w:t xml:space="preserve">by failing to </w:t>
      </w:r>
      <w:r w:rsidRPr="00D27192">
        <w:rPr>
          <w:szCs w:val="26"/>
        </w:rPr>
        <w:t xml:space="preserve">make a </w:t>
      </w:r>
      <w:r w:rsidRPr="00D27192" w:rsidR="0005469B">
        <w:rPr>
          <w:szCs w:val="26"/>
        </w:rPr>
        <w:t xml:space="preserve">motion </w:t>
      </w:r>
      <w:r w:rsidRPr="00D27192">
        <w:rPr>
          <w:szCs w:val="26"/>
        </w:rPr>
        <w:t xml:space="preserve">before entry of judgment.  Our decision was based on well-settled </w:t>
      </w:r>
      <w:r w:rsidRPr="00D27192" w:rsidR="002459EC">
        <w:rPr>
          <w:szCs w:val="26"/>
        </w:rPr>
        <w:t>general appellate rules of forfeiture</w:t>
      </w:r>
      <w:r w:rsidRPr="00D27192" w:rsidR="00752F0F">
        <w:rPr>
          <w:szCs w:val="26"/>
        </w:rPr>
        <w:t xml:space="preserve">. </w:t>
      </w:r>
      <w:r w:rsidRPr="00D27192">
        <w:rPr>
          <w:szCs w:val="26"/>
        </w:rPr>
        <w:t xml:space="preserve"> (</w:t>
      </w:r>
      <w:r w:rsidRPr="00D27192" w:rsidR="004A50EF">
        <w:rPr>
          <w:szCs w:val="26"/>
        </w:rPr>
        <w:t>S</w:t>
      </w:r>
      <w:r w:rsidRPr="00D27192">
        <w:rPr>
          <w:szCs w:val="26"/>
        </w:rPr>
        <w:t xml:space="preserve">ee, e.g., </w:t>
      </w:r>
      <w:r w:rsidRPr="00D27192">
        <w:rPr>
          <w:i/>
          <w:iCs/>
          <w:szCs w:val="26"/>
        </w:rPr>
        <w:t>People v. Elliot</w:t>
      </w:r>
      <w:r w:rsidRPr="00D27192">
        <w:rPr>
          <w:szCs w:val="26"/>
        </w:rPr>
        <w:t xml:space="preserve"> (2012) 53 Cal.4th 535, 572 [defendant forfeited claim that trial court exhibited racial bias during jury selection process by failing to raise the issue at trial].) </w:t>
      </w:r>
      <w:r w:rsidRPr="00D27192" w:rsidR="0005469B">
        <w:rPr>
          <w:szCs w:val="26"/>
        </w:rPr>
        <w:t xml:space="preserve"> </w:t>
      </w:r>
      <w:r w:rsidRPr="00D27192" w:rsidR="004C300B">
        <w:rPr>
          <w:szCs w:val="26"/>
        </w:rPr>
        <w:t>As</w:t>
      </w:r>
      <w:r w:rsidRPr="00D27192" w:rsidR="00774D1E">
        <w:rPr>
          <w:szCs w:val="26"/>
        </w:rPr>
        <w:t xml:space="preserve"> we now explain, </w:t>
      </w:r>
      <w:r w:rsidRPr="00D27192" w:rsidR="00082059">
        <w:rPr>
          <w:szCs w:val="26"/>
        </w:rPr>
        <w:t>we</w:t>
      </w:r>
      <w:r w:rsidRPr="00D27192" w:rsidR="00752F0F">
        <w:rPr>
          <w:szCs w:val="26"/>
        </w:rPr>
        <w:t xml:space="preserve"> </w:t>
      </w:r>
      <w:r w:rsidRPr="00D27192" w:rsidR="00082059">
        <w:rPr>
          <w:szCs w:val="26"/>
        </w:rPr>
        <w:t>hold</w:t>
      </w:r>
      <w:r w:rsidRPr="00D27192" w:rsidR="00752F0F">
        <w:rPr>
          <w:szCs w:val="26"/>
        </w:rPr>
        <w:t xml:space="preserve"> </w:t>
      </w:r>
      <w:r w:rsidRPr="00D27192" w:rsidR="00774D1E">
        <w:rPr>
          <w:szCs w:val="26"/>
        </w:rPr>
        <w:t xml:space="preserve">AB 1118’s amendments to </w:t>
      </w:r>
      <w:r w:rsidRPr="00D27192" w:rsidR="00082059">
        <w:rPr>
          <w:szCs w:val="26"/>
        </w:rPr>
        <w:t xml:space="preserve">section 745 do not </w:t>
      </w:r>
      <w:r w:rsidRPr="00D27192" w:rsidR="00F855EB">
        <w:rPr>
          <w:szCs w:val="26"/>
        </w:rPr>
        <w:t>change our analysis or conclusion</w:t>
      </w:r>
      <w:r w:rsidRPr="00D27192" w:rsidR="00774D1E">
        <w:rPr>
          <w:szCs w:val="26"/>
        </w:rPr>
        <w:t xml:space="preserve">. </w:t>
      </w:r>
    </w:p>
    <w:p w:rsidR="0063753D" w:rsidRPr="00D27192" w:rsidP="00701701" w14:paraId="41049603" w14:textId="4002468B">
      <w:pPr>
        <w:spacing w:line="360" w:lineRule="auto"/>
        <w:rPr>
          <w:szCs w:val="26"/>
        </w:rPr>
      </w:pPr>
      <w:r w:rsidRPr="00D27192">
        <w:rPr>
          <w:szCs w:val="26"/>
        </w:rPr>
        <w:tab/>
      </w:r>
      <w:r w:rsidRPr="00D27192" w:rsidR="00A363A7">
        <w:rPr>
          <w:szCs w:val="26"/>
        </w:rPr>
        <w:t>The</w:t>
      </w:r>
      <w:r w:rsidRPr="00D27192" w:rsidR="005F56B3">
        <w:rPr>
          <w:szCs w:val="26"/>
        </w:rPr>
        <w:t xml:space="preserve"> interpretation of </w:t>
      </w:r>
      <w:r w:rsidRPr="00D27192" w:rsidR="00782726">
        <w:rPr>
          <w:szCs w:val="26"/>
        </w:rPr>
        <w:t>section 745 as amended by AB 1118</w:t>
      </w:r>
      <w:r w:rsidRPr="00D27192" w:rsidR="005F56B3">
        <w:rPr>
          <w:szCs w:val="26"/>
        </w:rPr>
        <w:t xml:space="preserve"> </w:t>
      </w:r>
      <w:r w:rsidRPr="00D27192" w:rsidR="00A363A7">
        <w:rPr>
          <w:szCs w:val="26"/>
        </w:rPr>
        <w:t>is</w:t>
      </w:r>
      <w:r w:rsidRPr="00D27192" w:rsidR="00240C84">
        <w:rPr>
          <w:szCs w:val="26"/>
        </w:rPr>
        <w:t xml:space="preserve"> subject to </w:t>
      </w:r>
      <w:r w:rsidRPr="00D27192" w:rsidR="005F56B3">
        <w:rPr>
          <w:szCs w:val="26"/>
        </w:rPr>
        <w:t xml:space="preserve">de novo </w:t>
      </w:r>
      <w:r w:rsidRPr="00D27192" w:rsidR="00240C84">
        <w:rPr>
          <w:szCs w:val="26"/>
        </w:rPr>
        <w:t>review.  (</w:t>
      </w:r>
      <w:r w:rsidRPr="00D27192" w:rsidR="00240C84">
        <w:rPr>
          <w:i/>
          <w:iCs/>
          <w:szCs w:val="26"/>
        </w:rPr>
        <w:t>People v. Burgess</w:t>
      </w:r>
      <w:r w:rsidRPr="00D27192" w:rsidR="00240C84">
        <w:rPr>
          <w:szCs w:val="26"/>
        </w:rPr>
        <w:t xml:space="preserve"> (2022) 86 Cal.App.5th 375, 382.) </w:t>
      </w:r>
      <w:r w:rsidRPr="00D27192" w:rsidR="008E77CB">
        <w:rPr>
          <w:szCs w:val="26"/>
        </w:rPr>
        <w:t xml:space="preserve"> </w:t>
      </w:r>
      <w:r w:rsidRPr="00D27192" w:rsidR="0021675D">
        <w:rPr>
          <w:szCs w:val="26"/>
        </w:rPr>
        <w:t>We</w:t>
      </w:r>
      <w:r w:rsidRPr="00D27192">
        <w:rPr>
          <w:szCs w:val="26"/>
        </w:rPr>
        <w:t xml:space="preserve"> first look at the statutory language based upon the customary meaning of that language</w:t>
      </w:r>
      <w:r w:rsidRPr="00D27192" w:rsidR="00514B83">
        <w:rPr>
          <w:szCs w:val="26"/>
        </w:rPr>
        <w:t>;</w:t>
      </w:r>
      <w:r w:rsidRPr="00D27192">
        <w:rPr>
          <w:szCs w:val="26"/>
        </w:rPr>
        <w:t xml:space="preserve"> </w:t>
      </w:r>
      <w:r w:rsidRPr="00D27192" w:rsidR="008E77CB">
        <w:rPr>
          <w:szCs w:val="26"/>
        </w:rPr>
        <w:t>“</w:t>
      </w:r>
      <w:r w:rsidRPr="00D27192" w:rsidR="00177D89">
        <w:rPr>
          <w:szCs w:val="26"/>
        </w:rPr>
        <w:t> </w:t>
      </w:r>
      <w:r w:rsidRPr="00D27192">
        <w:rPr>
          <w:szCs w:val="26"/>
        </w:rPr>
        <w:t>‘</w:t>
      </w:r>
      <w:r w:rsidRPr="00D27192" w:rsidR="00177D89">
        <w:rPr>
          <w:szCs w:val="26"/>
        </w:rPr>
        <w:t> </w:t>
      </w:r>
      <w:r w:rsidRPr="00D27192">
        <w:rPr>
          <w:szCs w:val="26"/>
        </w:rPr>
        <w:t>“</w:t>
      </w:r>
      <w:r w:rsidRPr="00D27192" w:rsidR="0021675D">
        <w:rPr>
          <w:szCs w:val="26"/>
        </w:rPr>
        <w:t>[t]</w:t>
      </w:r>
      <w:r w:rsidRPr="00D27192" w:rsidR="008E77CB">
        <w:rPr>
          <w:szCs w:val="26"/>
        </w:rPr>
        <w:t xml:space="preserve">he words of the statute must be construed in context, keeping in mind the statutory purpose, and statutes or statutory sections relating to the same subject </w:t>
      </w:r>
      <w:r w:rsidRPr="00D27192" w:rsidR="00701701">
        <w:rPr>
          <w:szCs w:val="26"/>
        </w:rPr>
        <w:t xml:space="preserve">must be harmonized, both internally and with each other, to the extent possible.” </w:t>
      </w:r>
      <w:r w:rsidRPr="00D27192" w:rsidR="00240C84">
        <w:rPr>
          <w:szCs w:val="26"/>
        </w:rPr>
        <w:t xml:space="preserve"> </w:t>
      </w:r>
      <w:r w:rsidRPr="00D27192" w:rsidR="00701701">
        <w:rPr>
          <w:szCs w:val="26"/>
        </w:rPr>
        <w:t>[Citation.]  If the statutory language is susceptible of more than one reasonable interpretation, we must look to additional canons of statutory construction to determine the Legislature’s purpose.  [Citation.]  “Both the legislative history of the statute and the wider historical circumstances of its enactment may be considered in ascertaining the legislative intent.” ’ ”  (</w:t>
      </w:r>
      <w:r w:rsidRPr="00D27192" w:rsidR="00701701">
        <w:rPr>
          <w:i/>
          <w:iCs/>
          <w:szCs w:val="26"/>
        </w:rPr>
        <w:t>Carmack v. Reynolds</w:t>
      </w:r>
      <w:r w:rsidRPr="00D27192" w:rsidR="00701701">
        <w:rPr>
          <w:szCs w:val="26"/>
        </w:rPr>
        <w:t xml:space="preserve"> (2017) 2 Cal.5th 844, 849–850.)</w:t>
      </w:r>
      <w:r w:rsidRPr="00D27192" w:rsidR="00555374">
        <w:rPr>
          <w:szCs w:val="26"/>
        </w:rPr>
        <w:t xml:space="preserve"> </w:t>
      </w:r>
    </w:p>
    <w:p w:rsidR="00701701" w:rsidRPr="00D27192" w:rsidP="00D75E01" w14:paraId="6D9F1406" w14:textId="67FBC6E1">
      <w:pPr>
        <w:keepNext/>
        <w:spacing w:line="360" w:lineRule="auto"/>
        <w:rPr>
          <w:b/>
          <w:bCs/>
          <w:i/>
          <w:iCs/>
          <w:szCs w:val="26"/>
        </w:rPr>
      </w:pPr>
      <w:r w:rsidRPr="00D27192">
        <w:rPr>
          <w:szCs w:val="26"/>
        </w:rPr>
        <w:tab/>
      </w:r>
      <w:r w:rsidRPr="00D27192">
        <w:rPr>
          <w:b/>
          <w:bCs/>
          <w:i/>
          <w:iCs/>
          <w:szCs w:val="26"/>
        </w:rPr>
        <w:t>A.</w:t>
      </w:r>
      <w:r w:rsidRPr="00D27192">
        <w:rPr>
          <w:i/>
          <w:iCs/>
          <w:szCs w:val="26"/>
        </w:rPr>
        <w:tab/>
      </w:r>
      <w:r w:rsidRPr="00D27192" w:rsidR="007B4FE0">
        <w:rPr>
          <w:b/>
          <w:bCs/>
          <w:i/>
          <w:iCs/>
          <w:szCs w:val="26"/>
        </w:rPr>
        <w:t xml:space="preserve">The Language of Section 745 Does Not Obviate the </w:t>
      </w:r>
    </w:p>
    <w:p w:rsidR="007B4FE0" w:rsidRPr="00D27192" w:rsidP="00D75E01" w14:paraId="7CF20F60" w14:textId="0AD01EFF">
      <w:pPr>
        <w:keepNext/>
        <w:spacing w:line="360" w:lineRule="auto"/>
        <w:rPr>
          <w:b/>
          <w:bCs/>
          <w:i/>
          <w:iCs/>
          <w:szCs w:val="26"/>
        </w:rPr>
      </w:pPr>
      <w:r w:rsidRPr="00D27192">
        <w:rPr>
          <w:b/>
          <w:bCs/>
          <w:i/>
          <w:iCs/>
          <w:szCs w:val="26"/>
        </w:rPr>
        <w:tab/>
      </w:r>
      <w:r w:rsidRPr="00D27192">
        <w:rPr>
          <w:b/>
          <w:bCs/>
          <w:i/>
          <w:iCs/>
          <w:szCs w:val="26"/>
        </w:rPr>
        <w:tab/>
        <w:t>General Forfeiture Rules</w:t>
      </w:r>
    </w:p>
    <w:p w:rsidR="00A52ECC" w:rsidRPr="00D27192" w:rsidP="00C10BCE" w14:paraId="02B6F97F" w14:textId="5E87FBC7">
      <w:pPr>
        <w:spacing w:line="360" w:lineRule="auto"/>
        <w:rPr>
          <w:szCs w:val="26"/>
        </w:rPr>
      </w:pPr>
      <w:r w:rsidRPr="00D27192">
        <w:rPr>
          <w:szCs w:val="26"/>
        </w:rPr>
        <w:tab/>
      </w:r>
      <w:r w:rsidRPr="00D27192" w:rsidR="00782726">
        <w:rPr>
          <w:szCs w:val="26"/>
        </w:rPr>
        <w:t xml:space="preserve">As </w:t>
      </w:r>
      <w:r w:rsidRPr="00D27192" w:rsidR="0007739D">
        <w:rPr>
          <w:szCs w:val="26"/>
        </w:rPr>
        <w:t xml:space="preserve">noted, </w:t>
      </w:r>
      <w:r w:rsidRPr="00D27192" w:rsidR="00782726">
        <w:rPr>
          <w:szCs w:val="26"/>
        </w:rPr>
        <w:t xml:space="preserve">section 745 </w:t>
      </w:r>
      <w:r w:rsidRPr="00D27192" w:rsidR="00BF1A1C">
        <w:rPr>
          <w:szCs w:val="26"/>
        </w:rPr>
        <w:t>was enacted effective</w:t>
      </w:r>
      <w:r w:rsidRPr="00D27192" w:rsidR="00555374">
        <w:rPr>
          <w:szCs w:val="26"/>
        </w:rPr>
        <w:t xml:space="preserve"> January 1, 2021</w:t>
      </w:r>
      <w:r w:rsidRPr="00D27192" w:rsidR="00BF1A1C">
        <w:rPr>
          <w:szCs w:val="26"/>
        </w:rPr>
        <w:t xml:space="preserve"> and originally </w:t>
      </w:r>
      <w:r w:rsidRPr="00D27192" w:rsidR="00782726">
        <w:rPr>
          <w:szCs w:val="26"/>
        </w:rPr>
        <w:t xml:space="preserve">provided that </w:t>
      </w:r>
      <w:r w:rsidRPr="00D27192" w:rsidR="006A5992">
        <w:rPr>
          <w:szCs w:val="26"/>
        </w:rPr>
        <w:t>the only method</w:t>
      </w:r>
      <w:r w:rsidRPr="00D27192" w:rsidR="00FE42E9">
        <w:rPr>
          <w:szCs w:val="26"/>
        </w:rPr>
        <w:t>s</w:t>
      </w:r>
      <w:r w:rsidRPr="00D27192" w:rsidR="006A5992">
        <w:rPr>
          <w:szCs w:val="26"/>
        </w:rPr>
        <w:t xml:space="preserve"> </w:t>
      </w:r>
      <w:r w:rsidRPr="00D27192" w:rsidR="00177D89">
        <w:rPr>
          <w:szCs w:val="26"/>
        </w:rPr>
        <w:t xml:space="preserve">for seeking </w:t>
      </w:r>
      <w:r w:rsidRPr="00D27192" w:rsidR="006A5992">
        <w:rPr>
          <w:szCs w:val="26"/>
        </w:rPr>
        <w:t xml:space="preserve">relief for </w:t>
      </w:r>
      <w:r w:rsidRPr="00D27192" w:rsidR="00782726">
        <w:rPr>
          <w:szCs w:val="26"/>
        </w:rPr>
        <w:t xml:space="preserve">racial bias </w:t>
      </w:r>
      <w:r w:rsidRPr="00D27192" w:rsidR="006A5992">
        <w:rPr>
          <w:szCs w:val="26"/>
        </w:rPr>
        <w:t xml:space="preserve">after </w:t>
      </w:r>
      <w:r w:rsidRPr="00D27192" w:rsidR="00BF1A1C">
        <w:rPr>
          <w:szCs w:val="26"/>
        </w:rPr>
        <w:t xml:space="preserve">entry of </w:t>
      </w:r>
      <w:r w:rsidRPr="00D27192" w:rsidR="006A5992">
        <w:rPr>
          <w:szCs w:val="26"/>
        </w:rPr>
        <w:t>judgment w</w:t>
      </w:r>
      <w:r w:rsidRPr="00D27192" w:rsidR="00177D89">
        <w:rPr>
          <w:szCs w:val="26"/>
        </w:rPr>
        <w:t xml:space="preserve">ere </w:t>
      </w:r>
      <w:r w:rsidRPr="00D27192" w:rsidR="006A5992">
        <w:rPr>
          <w:szCs w:val="26"/>
        </w:rPr>
        <w:t>by way of a petition for writ of habeas corpus</w:t>
      </w:r>
      <w:r>
        <w:rPr>
          <w:rStyle w:val="FootnoteReference"/>
          <w:szCs w:val="26"/>
        </w:rPr>
        <w:footnoteReference w:id="4"/>
      </w:r>
      <w:r w:rsidRPr="00D27192" w:rsidR="00550925">
        <w:rPr>
          <w:szCs w:val="26"/>
        </w:rPr>
        <w:t xml:space="preserve"> </w:t>
      </w:r>
      <w:r w:rsidRPr="00D27192" w:rsidR="006A5992">
        <w:rPr>
          <w:szCs w:val="26"/>
        </w:rPr>
        <w:t>or a motion under section 1473.7</w:t>
      </w:r>
      <w:r>
        <w:rPr>
          <w:rStyle w:val="FootnoteReference"/>
          <w:szCs w:val="26"/>
        </w:rPr>
        <w:footnoteReference w:id="5"/>
      </w:r>
      <w:r w:rsidRPr="00D27192" w:rsidR="00550925">
        <w:rPr>
          <w:szCs w:val="26"/>
        </w:rPr>
        <w:t>,</w:t>
      </w:r>
      <w:r w:rsidRPr="00D27192" w:rsidR="00DF6ABB">
        <w:rPr>
          <w:szCs w:val="26"/>
        </w:rPr>
        <w:t xml:space="preserve"> </w:t>
      </w:r>
      <w:r w:rsidRPr="00D27192" w:rsidR="006A5992">
        <w:rPr>
          <w:szCs w:val="26"/>
        </w:rPr>
        <w:t xml:space="preserve">in a court of competent jurisdiction.  (§ 745, subd. (b); Stats. 2020, ch. 317, § 3.5.)  </w:t>
      </w:r>
      <w:r w:rsidRPr="00D27192" w:rsidR="0035234D">
        <w:rPr>
          <w:szCs w:val="26"/>
        </w:rPr>
        <w:t>While the Legislature provided a defendant could raise a violation of section</w:t>
      </w:r>
      <w:r w:rsidRPr="00D27192" w:rsidR="00555374">
        <w:rPr>
          <w:szCs w:val="26"/>
        </w:rPr>
        <w:t> </w:t>
      </w:r>
      <w:r w:rsidRPr="00D27192" w:rsidR="00D81595">
        <w:rPr>
          <w:szCs w:val="26"/>
        </w:rPr>
        <w:t>745</w:t>
      </w:r>
      <w:r w:rsidRPr="00D27192" w:rsidR="0035234D">
        <w:rPr>
          <w:szCs w:val="26"/>
        </w:rPr>
        <w:t xml:space="preserve"> for the first time in a habeas petition (see fn.</w:t>
      </w:r>
      <w:r w:rsidRPr="00D27192">
        <w:rPr>
          <w:szCs w:val="26"/>
        </w:rPr>
        <w:t> </w:t>
      </w:r>
      <w:r w:rsidRPr="00D27192" w:rsidR="0035234D">
        <w:rPr>
          <w:szCs w:val="26"/>
        </w:rPr>
        <w:t xml:space="preserve">4, </w:t>
      </w:r>
      <w:r w:rsidRPr="00D27192" w:rsidR="0035234D">
        <w:rPr>
          <w:i/>
          <w:iCs/>
          <w:szCs w:val="26"/>
        </w:rPr>
        <w:t>ante)</w:t>
      </w:r>
      <w:r w:rsidRPr="00D27192" w:rsidR="0035234D">
        <w:rPr>
          <w:szCs w:val="26"/>
        </w:rPr>
        <w:t>, there was no provision in section 745 “for raising a violation of the statute for the first time on direct appeal.”  (</w:t>
      </w:r>
      <w:r w:rsidRPr="00D27192" w:rsidR="0035234D">
        <w:rPr>
          <w:i/>
          <w:iCs/>
          <w:szCs w:val="26"/>
        </w:rPr>
        <w:t>People v. Simmons</w:t>
      </w:r>
      <w:r w:rsidRPr="00D27192" w:rsidR="0035234D">
        <w:rPr>
          <w:szCs w:val="26"/>
        </w:rPr>
        <w:t xml:space="preserve"> (2023) 96 Cal.App.5th 323, 336</w:t>
      </w:r>
      <w:r w:rsidRPr="00D27192" w:rsidR="000E2C39">
        <w:rPr>
          <w:szCs w:val="26"/>
        </w:rPr>
        <w:t xml:space="preserve"> (</w:t>
      </w:r>
      <w:r w:rsidRPr="00D27192" w:rsidR="000E2C39">
        <w:rPr>
          <w:i/>
          <w:iCs/>
          <w:szCs w:val="26"/>
        </w:rPr>
        <w:t>Simmons</w:t>
      </w:r>
      <w:r w:rsidRPr="00D27192" w:rsidR="000E2C39">
        <w:rPr>
          <w:szCs w:val="26"/>
        </w:rPr>
        <w:t>)</w:t>
      </w:r>
      <w:r w:rsidRPr="00D27192" w:rsidR="0035234D">
        <w:rPr>
          <w:szCs w:val="26"/>
        </w:rPr>
        <w:t xml:space="preserve">.) </w:t>
      </w:r>
      <w:r w:rsidRPr="00D27192" w:rsidR="00BF1A1C">
        <w:rPr>
          <w:szCs w:val="26"/>
        </w:rPr>
        <w:t xml:space="preserve"> Of course, this was during the </w:t>
      </w:r>
      <w:r w:rsidRPr="00D27192" w:rsidR="00177D89">
        <w:rPr>
          <w:szCs w:val="26"/>
        </w:rPr>
        <w:t xml:space="preserve">time </w:t>
      </w:r>
      <w:r w:rsidRPr="00D27192" w:rsidR="00BF1A1C">
        <w:rPr>
          <w:szCs w:val="26"/>
        </w:rPr>
        <w:t xml:space="preserve">that </w:t>
      </w:r>
      <w:r w:rsidRPr="00D27192" w:rsidR="00177D89">
        <w:rPr>
          <w:szCs w:val="26"/>
        </w:rPr>
        <w:t xml:space="preserve">the </w:t>
      </w:r>
      <w:r w:rsidRPr="00D27192" w:rsidR="00BF1A1C">
        <w:rPr>
          <w:szCs w:val="26"/>
        </w:rPr>
        <w:t>CRJA was only applicable to cases in which judgment</w:t>
      </w:r>
      <w:r w:rsidRPr="00D27192" w:rsidR="00555374">
        <w:rPr>
          <w:szCs w:val="26"/>
        </w:rPr>
        <w:t xml:space="preserve"> ha</w:t>
      </w:r>
      <w:r w:rsidRPr="00D27192" w:rsidR="0007739D">
        <w:rPr>
          <w:szCs w:val="26"/>
        </w:rPr>
        <w:t>d</w:t>
      </w:r>
      <w:r w:rsidRPr="00D27192" w:rsidR="00555374">
        <w:rPr>
          <w:szCs w:val="26"/>
        </w:rPr>
        <w:t xml:space="preserve"> not been entered prior to January 1, 2021 (§ 745, former subd. (j); Stats. 2020, ch. 317, § 2); </w:t>
      </w:r>
      <w:r w:rsidRPr="00D27192" w:rsidR="00BF1A1C">
        <w:rPr>
          <w:szCs w:val="26"/>
        </w:rPr>
        <w:t xml:space="preserve">in other words, </w:t>
      </w:r>
      <w:r w:rsidRPr="00D27192" w:rsidR="000C59BB">
        <w:rPr>
          <w:szCs w:val="26"/>
        </w:rPr>
        <w:t xml:space="preserve">those defendants </w:t>
      </w:r>
      <w:r w:rsidRPr="00D27192" w:rsidR="0007739D">
        <w:rPr>
          <w:szCs w:val="26"/>
        </w:rPr>
        <w:t>–</w:t>
      </w:r>
      <w:r w:rsidRPr="00D27192" w:rsidR="00BF1A1C">
        <w:rPr>
          <w:szCs w:val="26"/>
        </w:rPr>
        <w:t>including Lashon</w:t>
      </w:r>
      <w:r w:rsidRPr="00D27192" w:rsidR="0007739D">
        <w:rPr>
          <w:szCs w:val="26"/>
        </w:rPr>
        <w:t xml:space="preserve"> –</w:t>
      </w:r>
      <w:r w:rsidRPr="00D27192" w:rsidR="00BF1A1C">
        <w:rPr>
          <w:szCs w:val="26"/>
        </w:rPr>
        <w:t xml:space="preserve"> </w:t>
      </w:r>
      <w:r w:rsidRPr="00D27192" w:rsidR="000C59BB">
        <w:rPr>
          <w:szCs w:val="26"/>
        </w:rPr>
        <w:t xml:space="preserve">whose trial court proceedings had not been completed by January 1, 2021 </w:t>
      </w:r>
      <w:r w:rsidRPr="00D27192" w:rsidR="00BF1A1C">
        <w:rPr>
          <w:szCs w:val="26"/>
        </w:rPr>
        <w:t>had the opportunity to raise a CRJA violation</w:t>
      </w:r>
      <w:r w:rsidRPr="00D27192" w:rsidR="000C59BB">
        <w:rPr>
          <w:szCs w:val="26"/>
        </w:rPr>
        <w:t xml:space="preserve"> in the trial court</w:t>
      </w:r>
      <w:r w:rsidRPr="00D27192" w:rsidR="00BF1A1C">
        <w:rPr>
          <w:szCs w:val="26"/>
        </w:rPr>
        <w:t xml:space="preserve"> prior to entry of judgment. </w:t>
      </w:r>
    </w:p>
    <w:p w:rsidR="00EE20AF" w:rsidRPr="00D27192" w:rsidP="00C10BCE" w14:paraId="5299F21E" w14:textId="7A48D4C7">
      <w:pPr>
        <w:spacing w:line="360" w:lineRule="auto"/>
        <w:rPr>
          <w:szCs w:val="26"/>
        </w:rPr>
      </w:pPr>
      <w:r w:rsidRPr="00D27192">
        <w:rPr>
          <w:szCs w:val="26"/>
        </w:rPr>
        <w:tab/>
      </w:r>
      <w:r w:rsidRPr="00D27192" w:rsidR="00B31BE6">
        <w:rPr>
          <w:szCs w:val="26"/>
        </w:rPr>
        <w:t>In</w:t>
      </w:r>
      <w:r w:rsidRPr="00D27192" w:rsidR="00D549C8">
        <w:rPr>
          <w:szCs w:val="26"/>
        </w:rPr>
        <w:t xml:space="preserve"> the amendments to the statute effective </w:t>
      </w:r>
      <w:r w:rsidRPr="00D27192" w:rsidR="00B31BE6">
        <w:rPr>
          <w:szCs w:val="26"/>
        </w:rPr>
        <w:t>January 1, 2023</w:t>
      </w:r>
      <w:r w:rsidRPr="00D27192">
        <w:rPr>
          <w:szCs w:val="26"/>
        </w:rPr>
        <w:t xml:space="preserve"> (Stats. 2022, ch. 739, §</w:t>
      </w:r>
      <w:r w:rsidR="0084617D">
        <w:rPr>
          <w:szCs w:val="26"/>
        </w:rPr>
        <w:t xml:space="preserve"> </w:t>
      </w:r>
      <w:r w:rsidRPr="00D27192">
        <w:rPr>
          <w:szCs w:val="26"/>
        </w:rPr>
        <w:t>2)</w:t>
      </w:r>
      <w:r w:rsidRPr="00D27192" w:rsidR="00D549C8">
        <w:rPr>
          <w:szCs w:val="26"/>
        </w:rPr>
        <w:t>, the Legislat</w:t>
      </w:r>
      <w:r w:rsidRPr="00D27192" w:rsidR="00F44D6C">
        <w:rPr>
          <w:szCs w:val="26"/>
        </w:rPr>
        <w:t>ure</w:t>
      </w:r>
      <w:r w:rsidRPr="00D27192" w:rsidR="00D549C8">
        <w:rPr>
          <w:szCs w:val="26"/>
        </w:rPr>
        <w:t xml:space="preserve"> made section 745 relief </w:t>
      </w:r>
      <w:r w:rsidRPr="00D27192" w:rsidR="00B31BE6">
        <w:rPr>
          <w:szCs w:val="26"/>
        </w:rPr>
        <w:t>available</w:t>
      </w:r>
      <w:r w:rsidRPr="00D27192" w:rsidR="00177D89">
        <w:rPr>
          <w:szCs w:val="26"/>
        </w:rPr>
        <w:t xml:space="preserve"> in </w:t>
      </w:r>
      <w:r w:rsidRPr="00D27192" w:rsidR="00B31BE6">
        <w:rPr>
          <w:szCs w:val="26"/>
        </w:rPr>
        <w:t>all</w:t>
      </w:r>
      <w:r w:rsidRPr="00D27192">
        <w:rPr>
          <w:szCs w:val="26"/>
        </w:rPr>
        <w:t xml:space="preserve"> cases in which judgment was not final, and </w:t>
      </w:r>
      <w:r w:rsidRPr="00D27192" w:rsidR="00D549C8">
        <w:rPr>
          <w:szCs w:val="26"/>
        </w:rPr>
        <w:t>created a timeline for retroactive relief</w:t>
      </w:r>
      <w:r w:rsidRPr="00D27192">
        <w:rPr>
          <w:szCs w:val="26"/>
        </w:rPr>
        <w:t xml:space="preserve"> that was sought in a petition for habeas corpus or a section 14</w:t>
      </w:r>
      <w:r w:rsidRPr="00D27192" w:rsidR="0070408A">
        <w:rPr>
          <w:szCs w:val="26"/>
        </w:rPr>
        <w:t>73</w:t>
      </w:r>
      <w:r w:rsidRPr="00D27192">
        <w:rPr>
          <w:szCs w:val="26"/>
        </w:rPr>
        <w:t xml:space="preserve">.3 motion in </w:t>
      </w:r>
      <w:r w:rsidRPr="00D27192" w:rsidR="00D549C8">
        <w:rPr>
          <w:szCs w:val="26"/>
        </w:rPr>
        <w:t>(1) capital cases and cases with certain immigration consequences (commencing January</w:t>
      </w:r>
      <w:r w:rsidRPr="00D27192">
        <w:rPr>
          <w:szCs w:val="26"/>
        </w:rPr>
        <w:t> </w:t>
      </w:r>
      <w:r w:rsidRPr="00D27192" w:rsidR="00D549C8">
        <w:rPr>
          <w:szCs w:val="26"/>
        </w:rPr>
        <w:t>1,</w:t>
      </w:r>
      <w:r w:rsidRPr="00D27192">
        <w:rPr>
          <w:szCs w:val="26"/>
        </w:rPr>
        <w:t> </w:t>
      </w:r>
      <w:r w:rsidRPr="00D27192" w:rsidR="00D549C8">
        <w:rPr>
          <w:szCs w:val="26"/>
        </w:rPr>
        <w:t xml:space="preserve">2023), (2) cases in which the defendant remained </w:t>
      </w:r>
      <w:r w:rsidRPr="00D27192">
        <w:rPr>
          <w:szCs w:val="26"/>
        </w:rPr>
        <w:t>incarcerated (commencing January 1, 2024)</w:t>
      </w:r>
      <w:r w:rsidRPr="00D27192" w:rsidR="0070408A">
        <w:rPr>
          <w:szCs w:val="26"/>
        </w:rPr>
        <w:t>,</w:t>
      </w:r>
      <w:r w:rsidRPr="00D27192">
        <w:rPr>
          <w:szCs w:val="26"/>
        </w:rPr>
        <w:t xml:space="preserve"> (3) felony juvenile cases adjudicated on or after January 1, 2015 (commencing January 1, 2025)</w:t>
      </w:r>
      <w:r w:rsidRPr="00D27192" w:rsidR="0007739D">
        <w:rPr>
          <w:szCs w:val="26"/>
        </w:rPr>
        <w:t>,</w:t>
      </w:r>
      <w:r w:rsidRPr="00D27192">
        <w:rPr>
          <w:szCs w:val="26"/>
        </w:rPr>
        <w:t xml:space="preserve"> and (4) all other felony juvenile cases (commencing</w:t>
      </w:r>
      <w:r w:rsidRPr="00D27192" w:rsidR="00CC0725">
        <w:rPr>
          <w:szCs w:val="26"/>
        </w:rPr>
        <w:t xml:space="preserve"> </w:t>
      </w:r>
      <w:r w:rsidRPr="00D27192">
        <w:rPr>
          <w:szCs w:val="26"/>
        </w:rPr>
        <w:t>January 1, 2026).  (§ 745, subd. (j); Stats 2022, ch. 739</w:t>
      </w:r>
      <w:r w:rsidRPr="00D27192" w:rsidR="00D549C8">
        <w:rPr>
          <w:szCs w:val="26"/>
        </w:rPr>
        <w:t>, § 2</w:t>
      </w:r>
      <w:r w:rsidRPr="00D27192" w:rsidR="00B31BE6">
        <w:rPr>
          <w:szCs w:val="26"/>
        </w:rPr>
        <w:t xml:space="preserve">)  </w:t>
      </w:r>
    </w:p>
    <w:p w:rsidR="004D12DA" w:rsidRPr="00D27192" w:rsidP="00C10BCE" w14:paraId="79A809E1" w14:textId="46F3B1EC">
      <w:pPr>
        <w:spacing w:line="360" w:lineRule="auto"/>
        <w:rPr>
          <w:i/>
          <w:iCs/>
          <w:szCs w:val="26"/>
        </w:rPr>
      </w:pPr>
      <w:r w:rsidRPr="00D27192">
        <w:rPr>
          <w:szCs w:val="26"/>
        </w:rPr>
        <w:tab/>
      </w:r>
      <w:r w:rsidRPr="00D27192" w:rsidR="00741105">
        <w:rPr>
          <w:szCs w:val="26"/>
        </w:rPr>
        <w:t xml:space="preserve">Subsequent to the 2023 amendments, </w:t>
      </w:r>
      <w:r w:rsidRPr="00D27192" w:rsidR="000C59BB">
        <w:rPr>
          <w:szCs w:val="26"/>
        </w:rPr>
        <w:t>t</w:t>
      </w:r>
      <w:r w:rsidRPr="00D27192" w:rsidR="004A0D0C">
        <w:rPr>
          <w:szCs w:val="26"/>
        </w:rPr>
        <w:t>he</w:t>
      </w:r>
      <w:r w:rsidRPr="00D27192" w:rsidR="00811816">
        <w:rPr>
          <w:szCs w:val="26"/>
        </w:rPr>
        <w:t xml:space="preserve"> Legislature was asked to consider whether </w:t>
      </w:r>
      <w:r w:rsidRPr="00D27192" w:rsidR="003B3EE8">
        <w:rPr>
          <w:szCs w:val="26"/>
        </w:rPr>
        <w:t>a defendant could pursue a post-judgment section 745 claim by avenue</w:t>
      </w:r>
      <w:r w:rsidRPr="00D27192" w:rsidR="00811816">
        <w:rPr>
          <w:szCs w:val="26"/>
        </w:rPr>
        <w:t xml:space="preserve">s other than a petition for writ of habeas corpus or </w:t>
      </w:r>
      <w:r w:rsidRPr="00D27192" w:rsidR="00167F6A">
        <w:rPr>
          <w:szCs w:val="26"/>
        </w:rPr>
        <w:t xml:space="preserve">a </w:t>
      </w:r>
      <w:r w:rsidRPr="00D27192" w:rsidR="00811816">
        <w:rPr>
          <w:szCs w:val="26"/>
        </w:rPr>
        <w:t>section</w:t>
      </w:r>
      <w:r w:rsidRPr="00D27192" w:rsidR="00A52ECC">
        <w:rPr>
          <w:szCs w:val="26"/>
        </w:rPr>
        <w:t> </w:t>
      </w:r>
      <w:r w:rsidRPr="00D27192" w:rsidR="00811816">
        <w:rPr>
          <w:szCs w:val="26"/>
        </w:rPr>
        <w:t xml:space="preserve">1473.7 motion. </w:t>
      </w:r>
      <w:r w:rsidRPr="00D27192" w:rsidR="00167F6A">
        <w:rPr>
          <w:szCs w:val="26"/>
        </w:rPr>
        <w:t xml:space="preserve"> (See Assem. Com. on Pub. Saf., Analysis of Assem. Bill No. 1118 (2023</w:t>
      </w:r>
      <w:r w:rsidRPr="00D27192" w:rsidR="00330510">
        <w:rPr>
          <w:szCs w:val="26"/>
        </w:rPr>
        <w:t>–</w:t>
      </w:r>
      <w:r w:rsidRPr="00D27192" w:rsidR="00167F6A">
        <w:rPr>
          <w:szCs w:val="26"/>
        </w:rPr>
        <w:t xml:space="preserve">2024 Reg. Sess., as amended Mar. 15, 2023, at p. 6.)  </w:t>
      </w:r>
      <w:r w:rsidRPr="00D27192" w:rsidR="00811816">
        <w:rPr>
          <w:szCs w:val="26"/>
        </w:rPr>
        <w:t xml:space="preserve">The Legislature responded </w:t>
      </w:r>
      <w:r w:rsidRPr="00D27192" w:rsidR="00167F6A">
        <w:rPr>
          <w:szCs w:val="26"/>
        </w:rPr>
        <w:t>with AB 1118</w:t>
      </w:r>
      <w:r w:rsidRPr="00D27192">
        <w:rPr>
          <w:szCs w:val="26"/>
        </w:rPr>
        <w:t xml:space="preserve"> (Stats. 2023, ch. 464</w:t>
      </w:r>
      <w:r w:rsidRPr="00D27192" w:rsidR="00741105">
        <w:rPr>
          <w:szCs w:val="26"/>
        </w:rPr>
        <w:t xml:space="preserve">), effective January 1, 2024, which now </w:t>
      </w:r>
      <w:r w:rsidRPr="00D27192" w:rsidR="00D81595">
        <w:rPr>
          <w:szCs w:val="26"/>
        </w:rPr>
        <w:t>allows a</w:t>
      </w:r>
      <w:r w:rsidRPr="00D27192" w:rsidR="00811816">
        <w:rPr>
          <w:szCs w:val="26"/>
        </w:rPr>
        <w:t xml:space="preserve"> defendant to seek review of a section</w:t>
      </w:r>
      <w:r w:rsidRPr="00D27192" w:rsidR="00D81595">
        <w:rPr>
          <w:szCs w:val="26"/>
        </w:rPr>
        <w:t> </w:t>
      </w:r>
      <w:r w:rsidRPr="00D27192" w:rsidR="00811816">
        <w:rPr>
          <w:szCs w:val="26"/>
        </w:rPr>
        <w:t xml:space="preserve">745 </w:t>
      </w:r>
      <w:r w:rsidRPr="00D27192" w:rsidR="003B3EE8">
        <w:rPr>
          <w:szCs w:val="26"/>
        </w:rPr>
        <w:t xml:space="preserve">claim on direct appeal if the </w:t>
      </w:r>
      <w:r w:rsidRPr="00D27192" w:rsidR="00811816">
        <w:rPr>
          <w:szCs w:val="26"/>
        </w:rPr>
        <w:t xml:space="preserve">violation was based on the trial record.  </w:t>
      </w:r>
      <w:r w:rsidRPr="00D27192" w:rsidR="00D81595">
        <w:rPr>
          <w:szCs w:val="26"/>
        </w:rPr>
        <w:t>(§ 745, subd. (b)</w:t>
      </w:r>
      <w:r w:rsidRPr="00D27192" w:rsidR="000A36C2">
        <w:rPr>
          <w:szCs w:val="26"/>
        </w:rPr>
        <w:t xml:space="preserve">.) </w:t>
      </w:r>
      <w:r w:rsidRPr="00D27192" w:rsidR="00D81595">
        <w:rPr>
          <w:szCs w:val="26"/>
        </w:rPr>
        <w:t xml:space="preserve"> </w:t>
      </w:r>
      <w:r w:rsidRPr="00D27192" w:rsidR="00811816">
        <w:rPr>
          <w:szCs w:val="26"/>
        </w:rPr>
        <w:t>As a</w:t>
      </w:r>
      <w:r w:rsidRPr="00D27192" w:rsidR="00A52ECC">
        <w:rPr>
          <w:szCs w:val="26"/>
        </w:rPr>
        <w:t>n</w:t>
      </w:r>
      <w:r w:rsidRPr="00D27192" w:rsidR="00811816">
        <w:rPr>
          <w:szCs w:val="26"/>
        </w:rPr>
        <w:t xml:space="preserve"> alternate</w:t>
      </w:r>
      <w:r w:rsidRPr="00D27192" w:rsidR="00A52ECC">
        <w:rPr>
          <w:szCs w:val="26"/>
        </w:rPr>
        <w:t xml:space="preserve"> method, </w:t>
      </w:r>
      <w:r w:rsidRPr="00D27192" w:rsidR="00811816">
        <w:rPr>
          <w:szCs w:val="26"/>
        </w:rPr>
        <w:t xml:space="preserve">a defendant </w:t>
      </w:r>
      <w:r w:rsidRPr="00D27192" w:rsidR="00D81595">
        <w:rPr>
          <w:szCs w:val="26"/>
        </w:rPr>
        <w:t xml:space="preserve">may </w:t>
      </w:r>
      <w:r w:rsidRPr="00D27192" w:rsidR="00811816">
        <w:rPr>
          <w:szCs w:val="26"/>
        </w:rPr>
        <w:t xml:space="preserve">request a stay of the direct appeal and remand to allow the filing of a motion in the trial court.  </w:t>
      </w:r>
      <w:r w:rsidRPr="00D27192" w:rsidR="00D81595">
        <w:rPr>
          <w:szCs w:val="26"/>
        </w:rPr>
        <w:t>(</w:t>
      </w:r>
      <w:r w:rsidRPr="00D27192" w:rsidR="00D81595">
        <w:rPr>
          <w:i/>
          <w:iCs/>
          <w:szCs w:val="26"/>
        </w:rPr>
        <w:t>Ibid</w:t>
      </w:r>
      <w:r w:rsidRPr="00D27192" w:rsidR="00D81595">
        <w:rPr>
          <w:szCs w:val="26"/>
        </w:rPr>
        <w:t>.)</w:t>
      </w:r>
      <w:r w:rsidRPr="00D27192" w:rsidR="00BF1A1C">
        <w:rPr>
          <w:szCs w:val="26"/>
        </w:rPr>
        <w:t xml:space="preserve"> </w:t>
      </w:r>
      <w:r w:rsidRPr="00D27192" w:rsidR="000C59BB">
        <w:rPr>
          <w:szCs w:val="26"/>
        </w:rPr>
        <w:t xml:space="preserve"> </w:t>
      </w:r>
    </w:p>
    <w:p w:rsidR="00326B8B" w:rsidRPr="00D27192" w:rsidP="00C10BCE" w14:paraId="2570BE4E" w14:textId="0DFD8F37">
      <w:pPr>
        <w:spacing w:line="360" w:lineRule="auto"/>
        <w:rPr>
          <w:szCs w:val="26"/>
        </w:rPr>
      </w:pPr>
      <w:r w:rsidRPr="00D27192">
        <w:rPr>
          <w:szCs w:val="26"/>
        </w:rPr>
        <w:tab/>
      </w:r>
      <w:r w:rsidRPr="00D27192" w:rsidR="00D549C8">
        <w:rPr>
          <w:szCs w:val="26"/>
        </w:rPr>
        <w:t>By</w:t>
      </w:r>
      <w:r w:rsidRPr="00D27192" w:rsidR="000A36C2">
        <w:rPr>
          <w:szCs w:val="26"/>
        </w:rPr>
        <w:t xml:space="preserve"> the </w:t>
      </w:r>
      <w:r w:rsidRPr="00D27192" w:rsidR="00D549C8">
        <w:rPr>
          <w:szCs w:val="26"/>
        </w:rPr>
        <w:t>AB 1118 amendment, t</w:t>
      </w:r>
      <w:r w:rsidRPr="00D27192" w:rsidR="004A0D0C">
        <w:rPr>
          <w:szCs w:val="26"/>
        </w:rPr>
        <w:t xml:space="preserve">he </w:t>
      </w:r>
      <w:r w:rsidRPr="00D27192" w:rsidR="006D0A86">
        <w:rPr>
          <w:szCs w:val="26"/>
        </w:rPr>
        <w:t xml:space="preserve">Legislature did not include any language </w:t>
      </w:r>
      <w:r w:rsidRPr="00D27192" w:rsidR="00D81595">
        <w:rPr>
          <w:szCs w:val="26"/>
        </w:rPr>
        <w:t>indicating a section</w:t>
      </w:r>
      <w:r w:rsidRPr="00D27192" w:rsidR="00D549C8">
        <w:rPr>
          <w:szCs w:val="26"/>
        </w:rPr>
        <w:t> </w:t>
      </w:r>
      <w:r w:rsidRPr="00D27192" w:rsidR="00D81595">
        <w:rPr>
          <w:szCs w:val="26"/>
        </w:rPr>
        <w:t xml:space="preserve">745 </w:t>
      </w:r>
      <w:r w:rsidRPr="00D27192" w:rsidR="006D0A86">
        <w:rPr>
          <w:szCs w:val="26"/>
        </w:rPr>
        <w:t>claim</w:t>
      </w:r>
      <w:r w:rsidRPr="00D27192" w:rsidR="00D81595">
        <w:rPr>
          <w:szCs w:val="26"/>
        </w:rPr>
        <w:t xml:space="preserve"> could be </w:t>
      </w:r>
      <w:r w:rsidRPr="00D27192" w:rsidR="006D0A86">
        <w:rPr>
          <w:szCs w:val="26"/>
        </w:rPr>
        <w:t>presented</w:t>
      </w:r>
      <w:r w:rsidRPr="00D27192" w:rsidR="00D81595">
        <w:rPr>
          <w:szCs w:val="26"/>
        </w:rPr>
        <w:t xml:space="preserve"> on direct appeal</w:t>
      </w:r>
      <w:r w:rsidRPr="00D27192" w:rsidR="006D0A86">
        <w:rPr>
          <w:szCs w:val="26"/>
        </w:rPr>
        <w:t xml:space="preserve"> </w:t>
      </w:r>
      <w:r w:rsidRPr="00D27192" w:rsidR="006D0A86">
        <w:rPr>
          <w:i/>
          <w:iCs/>
          <w:szCs w:val="26"/>
        </w:rPr>
        <w:t>for the first time</w:t>
      </w:r>
      <w:r w:rsidRPr="00D27192" w:rsidR="00D81595">
        <w:rPr>
          <w:szCs w:val="26"/>
        </w:rPr>
        <w:t>.</w:t>
      </w:r>
      <w:r w:rsidRPr="00D27192" w:rsidR="006D0A86">
        <w:rPr>
          <w:szCs w:val="26"/>
        </w:rPr>
        <w:t xml:space="preserve"> </w:t>
      </w:r>
      <w:r w:rsidRPr="00D27192" w:rsidR="00394C3D">
        <w:rPr>
          <w:szCs w:val="26"/>
        </w:rPr>
        <w:t xml:space="preserve"> In the absence of such language, </w:t>
      </w:r>
      <w:r w:rsidRPr="00D27192" w:rsidR="006D0A86">
        <w:rPr>
          <w:szCs w:val="26"/>
        </w:rPr>
        <w:t xml:space="preserve">we </w:t>
      </w:r>
      <w:r w:rsidRPr="00D27192" w:rsidR="00CC5E27">
        <w:rPr>
          <w:szCs w:val="26"/>
        </w:rPr>
        <w:t>conclude</w:t>
      </w:r>
      <w:r w:rsidRPr="00D27192" w:rsidR="006D0A86">
        <w:rPr>
          <w:szCs w:val="26"/>
        </w:rPr>
        <w:t xml:space="preserve"> our </w:t>
      </w:r>
      <w:r w:rsidRPr="00D27192" w:rsidR="00774D1E">
        <w:rPr>
          <w:szCs w:val="26"/>
        </w:rPr>
        <w:t>review of a section</w:t>
      </w:r>
      <w:r w:rsidRPr="00D27192" w:rsidR="009E250F">
        <w:rPr>
          <w:szCs w:val="26"/>
        </w:rPr>
        <w:t> </w:t>
      </w:r>
      <w:r w:rsidRPr="00D27192" w:rsidR="00774D1E">
        <w:rPr>
          <w:szCs w:val="26"/>
        </w:rPr>
        <w:t>745 claim, like any other</w:t>
      </w:r>
      <w:r w:rsidRPr="00D27192" w:rsidR="006B76BF">
        <w:rPr>
          <w:szCs w:val="26"/>
        </w:rPr>
        <w:t xml:space="preserve"> appellat</w:t>
      </w:r>
      <w:r w:rsidRPr="00D27192" w:rsidR="0007739D">
        <w:rPr>
          <w:szCs w:val="26"/>
        </w:rPr>
        <w:t>e</w:t>
      </w:r>
      <w:r w:rsidRPr="00D27192" w:rsidR="00774D1E">
        <w:rPr>
          <w:szCs w:val="26"/>
        </w:rPr>
        <w:t xml:space="preserve"> claim, is subject to </w:t>
      </w:r>
      <w:r w:rsidRPr="00D27192" w:rsidR="004A0D0C">
        <w:rPr>
          <w:szCs w:val="26"/>
        </w:rPr>
        <w:t xml:space="preserve">the </w:t>
      </w:r>
      <w:r w:rsidRPr="00D27192">
        <w:rPr>
          <w:szCs w:val="26"/>
        </w:rPr>
        <w:t>general appellate rules of</w:t>
      </w:r>
      <w:r w:rsidRPr="00D27192" w:rsidR="006D0A86">
        <w:rPr>
          <w:szCs w:val="26"/>
        </w:rPr>
        <w:t xml:space="preserve"> preservation and </w:t>
      </w:r>
      <w:r w:rsidRPr="00D27192">
        <w:rPr>
          <w:szCs w:val="26"/>
        </w:rPr>
        <w:t>forfeiture</w:t>
      </w:r>
      <w:r w:rsidRPr="00D27192" w:rsidR="006E66B0">
        <w:rPr>
          <w:szCs w:val="26"/>
        </w:rPr>
        <w:t xml:space="preserve"> </w:t>
      </w:r>
      <w:r w:rsidRPr="00D27192" w:rsidR="00394C3D">
        <w:rPr>
          <w:szCs w:val="26"/>
        </w:rPr>
        <w:t xml:space="preserve">of </w:t>
      </w:r>
      <w:r w:rsidRPr="00D27192" w:rsidR="006E66B0">
        <w:rPr>
          <w:szCs w:val="26"/>
        </w:rPr>
        <w:t xml:space="preserve">claims that could have </w:t>
      </w:r>
      <w:r w:rsidRPr="00D27192" w:rsidR="006D0A86">
        <w:rPr>
          <w:szCs w:val="26"/>
        </w:rPr>
        <w:t xml:space="preserve">been </w:t>
      </w:r>
      <w:r w:rsidRPr="00D27192" w:rsidR="006E66B0">
        <w:rPr>
          <w:szCs w:val="26"/>
        </w:rPr>
        <w:t>but were not made in the trial court</w:t>
      </w:r>
      <w:r w:rsidRPr="00D27192">
        <w:rPr>
          <w:szCs w:val="26"/>
        </w:rPr>
        <w:t xml:space="preserve">.  </w:t>
      </w:r>
      <w:r w:rsidRPr="00D27192" w:rsidR="005703B7">
        <w:rPr>
          <w:szCs w:val="26"/>
        </w:rPr>
        <w:t xml:space="preserve">(See also </w:t>
      </w:r>
      <w:r w:rsidRPr="00D27192" w:rsidR="005703B7">
        <w:rPr>
          <w:i/>
          <w:iCs/>
          <w:szCs w:val="26"/>
        </w:rPr>
        <w:t>Finley v. Superior Court</w:t>
      </w:r>
      <w:r w:rsidRPr="00D27192" w:rsidR="005703B7">
        <w:rPr>
          <w:szCs w:val="26"/>
        </w:rPr>
        <w:t xml:space="preserve"> (2023) 95 Cal.App.5th 12, 21 [in habeas corpus proceedings, court is to determine whether petitioner is entitled to relief </w:t>
      </w:r>
      <w:r w:rsidRPr="00D27192" w:rsidR="002B7C2B">
        <w:rPr>
          <w:szCs w:val="26"/>
        </w:rPr>
        <w:t>“</w:t>
      </w:r>
      <w:r w:rsidRPr="00D27192" w:rsidR="005703B7">
        <w:rPr>
          <w:i/>
          <w:iCs/>
          <w:szCs w:val="26"/>
        </w:rPr>
        <w:t xml:space="preserve">and also whether </w:t>
      </w:r>
      <w:r w:rsidRPr="00D27192" w:rsidR="00330510">
        <w:rPr>
          <w:i/>
          <w:iCs/>
          <w:szCs w:val="26"/>
        </w:rPr>
        <w:t xml:space="preserve">the </w:t>
      </w:r>
      <w:r w:rsidRPr="00D27192" w:rsidR="005703B7">
        <w:rPr>
          <w:i/>
          <w:iCs/>
          <w:szCs w:val="26"/>
        </w:rPr>
        <w:t>stated claims are for any reason procedurally barred</w:t>
      </w:r>
      <w:r w:rsidRPr="00D27192" w:rsidR="005703B7">
        <w:rPr>
          <w:szCs w:val="26"/>
        </w:rPr>
        <w:t>;”</w:t>
      </w:r>
      <w:r w:rsidRPr="00D27192" w:rsidR="006D1996">
        <w:rPr>
          <w:szCs w:val="26"/>
        </w:rPr>
        <w:t xml:space="preserve"> </w:t>
      </w:r>
      <w:r w:rsidRPr="00D27192" w:rsidR="005703B7">
        <w:rPr>
          <w:szCs w:val="26"/>
        </w:rPr>
        <w:t xml:space="preserve">italics added].) </w:t>
      </w:r>
      <w:r w:rsidRPr="00D27192" w:rsidR="0005469B">
        <w:rPr>
          <w:szCs w:val="26"/>
        </w:rPr>
        <w:t xml:space="preserve"> </w:t>
      </w:r>
      <w:r w:rsidRPr="00D27192" w:rsidR="00CF67F4">
        <w:rPr>
          <w:szCs w:val="26"/>
        </w:rPr>
        <w:t>As an appellate court, we may not add language to a statute or rewrite it to conform to an asserted intent that does not appear in the plain language.  (</w:t>
      </w:r>
      <w:r w:rsidRPr="00D27192" w:rsidR="00CF67F4">
        <w:rPr>
          <w:i/>
          <w:iCs/>
          <w:szCs w:val="26"/>
        </w:rPr>
        <w:t>People v. Connor</w:t>
      </w:r>
      <w:r w:rsidRPr="00D27192" w:rsidR="00CF67F4">
        <w:rPr>
          <w:szCs w:val="26"/>
        </w:rPr>
        <w:t xml:space="preserve"> (2004) 115 Cal.App.4th 669, 692.)  “</w:t>
      </w:r>
      <w:r w:rsidRPr="00D27192" w:rsidR="00330510">
        <w:rPr>
          <w:szCs w:val="26"/>
        </w:rPr>
        <w:t>[</w:t>
      </w:r>
      <w:r w:rsidRPr="00D27192" w:rsidR="00CF67F4">
        <w:rPr>
          <w:szCs w:val="26"/>
        </w:rPr>
        <w:t>O</w:t>
      </w:r>
      <w:r w:rsidRPr="00D27192" w:rsidR="00330510">
        <w:rPr>
          <w:szCs w:val="26"/>
        </w:rPr>
        <w:t>]</w:t>
      </w:r>
      <w:r w:rsidRPr="00D27192" w:rsidR="00CF67F4">
        <w:rPr>
          <w:szCs w:val="26"/>
        </w:rPr>
        <w:t xml:space="preserve">ur task is ‘ “simply to ascertain and declare what is in terms or in substance contained therein, not to insert what has been omitted, or to omit what has been inserted. . . .”  [Citation.]  We cannot add . . . language . . . when the Legislature </w:t>
      </w:r>
      <w:r w:rsidRPr="00D27192" w:rsidR="00330510">
        <w:rPr>
          <w:szCs w:val="26"/>
        </w:rPr>
        <w:t xml:space="preserve">did </w:t>
      </w:r>
      <w:r w:rsidRPr="00D27192" w:rsidR="00CF67F4">
        <w:rPr>
          <w:szCs w:val="26"/>
        </w:rPr>
        <w:t>not.’ ”  (</w:t>
      </w:r>
      <w:r w:rsidRPr="00D27192" w:rsidR="00CF67F4">
        <w:rPr>
          <w:i/>
          <w:iCs/>
          <w:szCs w:val="26"/>
        </w:rPr>
        <w:t>Hayes v. Temecula Valley Unified School Dist</w:t>
      </w:r>
      <w:r w:rsidRPr="00D27192" w:rsidR="00CF67F4">
        <w:rPr>
          <w:szCs w:val="26"/>
        </w:rPr>
        <w:t xml:space="preserve">. (2018) 21 Cal.App.5th 735, 748.)  </w:t>
      </w:r>
    </w:p>
    <w:p w:rsidR="004A0D0C" w:rsidRPr="00D27192" w:rsidP="002B7C2B" w14:paraId="1ACCFFC8" w14:textId="4D8D36E1">
      <w:pPr>
        <w:spacing w:line="360" w:lineRule="auto"/>
        <w:rPr>
          <w:szCs w:val="26"/>
        </w:rPr>
      </w:pPr>
      <w:r w:rsidRPr="00D27192">
        <w:rPr>
          <w:szCs w:val="26"/>
        </w:rPr>
        <w:tab/>
        <w:t xml:space="preserve"> </w:t>
      </w:r>
      <w:r w:rsidRPr="00D27192" w:rsidR="00173E1B">
        <w:rPr>
          <w:szCs w:val="26"/>
        </w:rPr>
        <w:t>Our interpretation is supported by an examination of other provisions in the statute</w:t>
      </w:r>
      <w:r w:rsidRPr="00D27192" w:rsidR="00ED38EE">
        <w:rPr>
          <w:szCs w:val="26"/>
        </w:rPr>
        <w:t xml:space="preserve"> addressing how to raise CJRA claims in the trial court</w:t>
      </w:r>
      <w:r w:rsidRPr="00D27192" w:rsidR="00173E1B">
        <w:rPr>
          <w:szCs w:val="26"/>
        </w:rPr>
        <w:t xml:space="preserve">.  </w:t>
      </w:r>
      <w:r w:rsidRPr="00D27192" w:rsidR="005E210E">
        <w:rPr>
          <w:szCs w:val="26"/>
        </w:rPr>
        <w:t>In</w:t>
      </w:r>
      <w:r w:rsidRPr="00D27192" w:rsidR="00D14E4A">
        <w:rPr>
          <w:szCs w:val="26"/>
        </w:rPr>
        <w:t> </w:t>
      </w:r>
      <w:r w:rsidRPr="00D27192" w:rsidR="005E210E">
        <w:rPr>
          <w:szCs w:val="26"/>
        </w:rPr>
        <w:t xml:space="preserve">2022, the Legislature amended the statute to provide </w:t>
      </w:r>
      <w:r w:rsidRPr="00D27192" w:rsidR="00755340">
        <w:rPr>
          <w:szCs w:val="26"/>
        </w:rPr>
        <w:t xml:space="preserve">that </w:t>
      </w:r>
      <w:r w:rsidRPr="00D27192" w:rsidR="005E210E">
        <w:rPr>
          <w:szCs w:val="26"/>
        </w:rPr>
        <w:t>a</w:t>
      </w:r>
      <w:r w:rsidRPr="00D27192" w:rsidR="00D14E4A">
        <w:rPr>
          <w:szCs w:val="26"/>
        </w:rPr>
        <w:t xml:space="preserve"> section 745</w:t>
      </w:r>
      <w:r w:rsidRPr="00D27192" w:rsidR="005E210E">
        <w:rPr>
          <w:szCs w:val="26"/>
        </w:rPr>
        <w:t xml:space="preserve"> </w:t>
      </w:r>
      <w:r w:rsidRPr="00D27192" w:rsidR="00173E1B">
        <w:rPr>
          <w:szCs w:val="26"/>
        </w:rPr>
        <w:t>motion shall be made in the trial court “as soon as practicable upon the defendant learning of an alleged violation,” and “[a] motion that is not timely may be deemed waived, in the discretion of the court.”  (§ 745, subd. (c)</w:t>
      </w:r>
      <w:r w:rsidRPr="00D27192" w:rsidR="005E210E">
        <w:rPr>
          <w:szCs w:val="26"/>
        </w:rPr>
        <w:t>; added by Stats. 2022, ch. 739, § 2</w:t>
      </w:r>
      <w:r w:rsidRPr="00D27192" w:rsidR="00173E1B">
        <w:rPr>
          <w:szCs w:val="26"/>
        </w:rPr>
        <w:t>.)</w:t>
      </w:r>
      <w:r w:rsidRPr="00D27192" w:rsidR="005E210E">
        <w:rPr>
          <w:szCs w:val="26"/>
        </w:rPr>
        <w:t xml:space="preserve"> </w:t>
      </w:r>
      <w:r w:rsidRPr="00D27192" w:rsidR="006D1996">
        <w:rPr>
          <w:szCs w:val="26"/>
        </w:rPr>
        <w:t xml:space="preserve"> </w:t>
      </w:r>
      <w:r w:rsidRPr="00D27192" w:rsidR="00410367">
        <w:rPr>
          <w:szCs w:val="26"/>
        </w:rPr>
        <w:t xml:space="preserve">When the Legislature </w:t>
      </w:r>
      <w:r w:rsidRPr="00D27192" w:rsidR="00D14E4A">
        <w:rPr>
          <w:szCs w:val="26"/>
        </w:rPr>
        <w:t xml:space="preserve">again </w:t>
      </w:r>
      <w:r w:rsidRPr="00D27192" w:rsidR="00410367">
        <w:rPr>
          <w:szCs w:val="26"/>
        </w:rPr>
        <w:t>amended section</w:t>
      </w:r>
      <w:r w:rsidRPr="00D27192" w:rsidR="000967B7">
        <w:rPr>
          <w:szCs w:val="26"/>
        </w:rPr>
        <w:t> 745</w:t>
      </w:r>
      <w:r w:rsidRPr="00D27192" w:rsidR="00D14E4A">
        <w:rPr>
          <w:szCs w:val="26"/>
        </w:rPr>
        <w:t xml:space="preserve"> </w:t>
      </w:r>
      <w:r w:rsidRPr="00D27192" w:rsidR="00B25371">
        <w:rPr>
          <w:szCs w:val="26"/>
        </w:rPr>
        <w:t>by</w:t>
      </w:r>
      <w:r w:rsidRPr="00D27192" w:rsidR="00410367">
        <w:rPr>
          <w:szCs w:val="26"/>
        </w:rPr>
        <w:t xml:space="preserve"> AB</w:t>
      </w:r>
      <w:r w:rsidRPr="00D27192" w:rsidR="00B25371">
        <w:rPr>
          <w:szCs w:val="26"/>
        </w:rPr>
        <w:t> </w:t>
      </w:r>
      <w:r w:rsidRPr="00D27192" w:rsidR="00410367">
        <w:rPr>
          <w:szCs w:val="26"/>
        </w:rPr>
        <w:t xml:space="preserve">1118, it retained the waiver provision in </w:t>
      </w:r>
      <w:r w:rsidRPr="00D27192" w:rsidR="00B25371">
        <w:rPr>
          <w:szCs w:val="26"/>
        </w:rPr>
        <w:t>subdivision</w:t>
      </w:r>
      <w:r w:rsidRPr="00D27192" w:rsidR="00D14E4A">
        <w:rPr>
          <w:szCs w:val="26"/>
        </w:rPr>
        <w:t> </w:t>
      </w:r>
      <w:r w:rsidRPr="00D27192" w:rsidR="00B25371">
        <w:rPr>
          <w:szCs w:val="26"/>
        </w:rPr>
        <w:t>(</w:t>
      </w:r>
      <w:r w:rsidRPr="00D27192" w:rsidR="00CC5E27">
        <w:rPr>
          <w:szCs w:val="26"/>
        </w:rPr>
        <w:t>c</w:t>
      </w:r>
      <w:r w:rsidRPr="00D27192" w:rsidR="00B25371">
        <w:rPr>
          <w:szCs w:val="26"/>
        </w:rPr>
        <w:t xml:space="preserve">) of </w:t>
      </w:r>
      <w:r w:rsidRPr="00D27192" w:rsidR="00410367">
        <w:rPr>
          <w:szCs w:val="26"/>
        </w:rPr>
        <w:t>section</w:t>
      </w:r>
      <w:r w:rsidRPr="00D27192" w:rsidR="00B25371">
        <w:rPr>
          <w:szCs w:val="26"/>
        </w:rPr>
        <w:t> </w:t>
      </w:r>
      <w:r w:rsidRPr="00D27192" w:rsidR="00410367">
        <w:rPr>
          <w:szCs w:val="26"/>
        </w:rPr>
        <w:t xml:space="preserve">745, which is </w:t>
      </w:r>
      <w:r w:rsidRPr="00D27192" w:rsidR="00107CC2">
        <w:rPr>
          <w:szCs w:val="26"/>
        </w:rPr>
        <w:t>consistent with the basic rationale of the forfeiture doctrine — i.e.</w:t>
      </w:r>
      <w:r w:rsidR="00203554">
        <w:rPr>
          <w:szCs w:val="26"/>
        </w:rPr>
        <w:t>,</w:t>
      </w:r>
      <w:r w:rsidRPr="00D27192" w:rsidR="00107CC2">
        <w:rPr>
          <w:szCs w:val="26"/>
        </w:rPr>
        <w:t xml:space="preserve"> “</w:t>
      </w:r>
      <w:r w:rsidRPr="00D27192" w:rsidR="00330510">
        <w:rPr>
          <w:szCs w:val="26"/>
        </w:rPr>
        <w:t> ‘ “ ‘</w:t>
      </w:r>
      <w:r w:rsidRPr="00D27192" w:rsidR="00107CC2">
        <w:rPr>
          <w:szCs w:val="26"/>
        </w:rPr>
        <w:t>to encourage a defendant to bring errors to the attention of the trial court, so they may be corrected or avoided and a fair trial had.</w:t>
      </w:r>
      <w:r w:rsidRPr="00D27192" w:rsidR="00330510">
        <w:rPr>
          <w:szCs w:val="26"/>
        </w:rPr>
        <w:t>’ ” ’ </w:t>
      </w:r>
      <w:r w:rsidRPr="00D27192" w:rsidR="00107CC2">
        <w:rPr>
          <w:szCs w:val="26"/>
        </w:rPr>
        <w:t>”  (</w:t>
      </w:r>
      <w:r w:rsidRPr="00D27192" w:rsidR="00107CC2">
        <w:rPr>
          <w:i/>
          <w:iCs/>
          <w:szCs w:val="26"/>
        </w:rPr>
        <w:t>People v. Simon</w:t>
      </w:r>
      <w:r w:rsidRPr="00D27192" w:rsidR="00107CC2">
        <w:rPr>
          <w:szCs w:val="26"/>
        </w:rPr>
        <w:t xml:space="preserve"> (2001) 25 Cal.4th 1082, 110</w:t>
      </w:r>
      <w:r w:rsidRPr="00D27192" w:rsidR="00D1396A">
        <w:rPr>
          <w:szCs w:val="26"/>
        </w:rPr>
        <w:t>3</w:t>
      </w:r>
      <w:r w:rsidRPr="00D27192" w:rsidR="00D14E4A">
        <w:rPr>
          <w:szCs w:val="26"/>
        </w:rPr>
        <w:t xml:space="preserve">.) </w:t>
      </w:r>
      <w:r w:rsidRPr="00D27192" w:rsidR="00D1396A">
        <w:rPr>
          <w:szCs w:val="26"/>
        </w:rPr>
        <w:t xml:space="preserve"> </w:t>
      </w:r>
      <w:r w:rsidRPr="00D27192" w:rsidR="00107CC2">
        <w:rPr>
          <w:szCs w:val="26"/>
        </w:rPr>
        <w:t xml:space="preserve">The </w:t>
      </w:r>
      <w:r w:rsidRPr="00D27192" w:rsidR="00410367">
        <w:rPr>
          <w:szCs w:val="26"/>
        </w:rPr>
        <w:t xml:space="preserve">Legislature </w:t>
      </w:r>
      <w:r w:rsidRPr="00D27192" w:rsidR="00107CC2">
        <w:rPr>
          <w:szCs w:val="26"/>
        </w:rPr>
        <w:t xml:space="preserve">recognized that, </w:t>
      </w:r>
      <w:r w:rsidRPr="00D27192" w:rsidR="00410367">
        <w:rPr>
          <w:szCs w:val="26"/>
        </w:rPr>
        <w:t>for tactical reasons, some defendants might choose not to pursue a claim of racial bias in the trial court “</w:t>
      </w:r>
      <w:r w:rsidRPr="00D27192" w:rsidR="00B25371">
        <w:rPr>
          <w:szCs w:val="26"/>
        </w:rPr>
        <w:t> </w:t>
      </w:r>
      <w:r w:rsidRPr="00D27192" w:rsidR="00410367">
        <w:rPr>
          <w:szCs w:val="26"/>
        </w:rPr>
        <w:t>‘in the hopes of an acquittal, with the thought that if those hopes did not materialize, the claim could be used to upset an otherwise valid conviction at a time when reprosecution might well be difficult.’ ”  (</w:t>
      </w:r>
      <w:r w:rsidRPr="00D27192" w:rsidR="00D14E4A">
        <w:rPr>
          <w:i/>
          <w:iCs/>
          <w:szCs w:val="26"/>
        </w:rPr>
        <w:t>Id</w:t>
      </w:r>
      <w:r w:rsidRPr="00D27192" w:rsidR="00D14E4A">
        <w:rPr>
          <w:szCs w:val="26"/>
        </w:rPr>
        <w:t>. at p. </w:t>
      </w:r>
      <w:r w:rsidRPr="00D27192" w:rsidR="00410367">
        <w:rPr>
          <w:szCs w:val="26"/>
        </w:rPr>
        <w:t>1104</w:t>
      </w:r>
      <w:r w:rsidRPr="00D27192" w:rsidR="00330510">
        <w:rPr>
          <w:szCs w:val="26"/>
        </w:rPr>
        <w:t xml:space="preserve"> &amp; fn. 15</w:t>
      </w:r>
      <w:r w:rsidRPr="00D27192" w:rsidR="00FE6DD1">
        <w:rPr>
          <w:szCs w:val="26"/>
        </w:rPr>
        <w:t xml:space="preserve"> [defendant’s challenge to venue may be forfeited if not raised by timely motion in trial court as failure to make motion “often will reflect a strategic decision on part of the defense, and </w:t>
      </w:r>
      <w:r w:rsidRPr="00D27192" w:rsidR="00330510">
        <w:rPr>
          <w:szCs w:val="26"/>
        </w:rPr>
        <w:t xml:space="preserve">. . . </w:t>
      </w:r>
      <w:r w:rsidRPr="00D27192" w:rsidR="00FE6DD1">
        <w:rPr>
          <w:szCs w:val="26"/>
        </w:rPr>
        <w:t xml:space="preserve">improper venue is </w:t>
      </w:r>
      <w:r w:rsidRPr="00D27192" w:rsidR="00330510">
        <w:rPr>
          <w:szCs w:val="26"/>
        </w:rPr>
        <w:t xml:space="preserve">a </w:t>
      </w:r>
      <w:r w:rsidRPr="00D27192" w:rsidR="00FE6DD1">
        <w:rPr>
          <w:szCs w:val="26"/>
        </w:rPr>
        <w:t xml:space="preserve">defect </w:t>
      </w:r>
      <w:r w:rsidRPr="00D27192" w:rsidR="00330510">
        <w:rPr>
          <w:szCs w:val="26"/>
        </w:rPr>
        <w:t xml:space="preserve">that </w:t>
      </w:r>
      <w:r w:rsidRPr="00D27192" w:rsidR="00FE6DD1">
        <w:rPr>
          <w:szCs w:val="26"/>
        </w:rPr>
        <w:t>easily</w:t>
      </w:r>
      <w:r w:rsidRPr="00D27192" w:rsidR="00330510">
        <w:rPr>
          <w:szCs w:val="26"/>
        </w:rPr>
        <w:t xml:space="preserve"> can be</w:t>
      </w:r>
      <w:r w:rsidRPr="00D27192" w:rsidR="00FE6DD1">
        <w:rPr>
          <w:szCs w:val="26"/>
        </w:rPr>
        <w:t xml:space="preserve"> remedied if timely raised”]</w:t>
      </w:r>
      <w:r w:rsidRPr="00D27192" w:rsidR="00774D1E">
        <w:rPr>
          <w:szCs w:val="26"/>
        </w:rPr>
        <w:t xml:space="preserve">.)  </w:t>
      </w:r>
    </w:p>
    <w:p w:rsidR="00167F6A" w:rsidRPr="00D27192" w:rsidP="002B7C2B" w14:paraId="47C7CA4F" w14:textId="3D7F3A38">
      <w:pPr>
        <w:spacing w:line="360" w:lineRule="auto"/>
        <w:rPr>
          <w:szCs w:val="26"/>
        </w:rPr>
      </w:pPr>
      <w:r w:rsidRPr="00D27192">
        <w:rPr>
          <w:szCs w:val="26"/>
        </w:rPr>
        <w:tab/>
      </w:r>
      <w:r w:rsidRPr="00D27192" w:rsidR="007B4FE0">
        <w:rPr>
          <w:szCs w:val="26"/>
        </w:rPr>
        <w:t>It</w:t>
      </w:r>
      <w:r w:rsidRPr="00D27192" w:rsidR="00107CC2">
        <w:rPr>
          <w:szCs w:val="26"/>
        </w:rPr>
        <w:t xml:space="preserve"> makes little sense for the Legislature to prescribe a comprehensive procedure for making and adjudicating a section</w:t>
      </w:r>
      <w:r w:rsidRPr="00D27192" w:rsidR="0037782F">
        <w:rPr>
          <w:szCs w:val="26"/>
        </w:rPr>
        <w:t> </w:t>
      </w:r>
      <w:r w:rsidRPr="00D27192" w:rsidR="00107CC2">
        <w:rPr>
          <w:szCs w:val="26"/>
        </w:rPr>
        <w:t>745 motion at the trial level</w:t>
      </w:r>
      <w:r w:rsidRPr="00D27192" w:rsidR="000B74CC">
        <w:rPr>
          <w:szCs w:val="26"/>
        </w:rPr>
        <w:t xml:space="preserve"> (</w:t>
      </w:r>
      <w:r w:rsidRPr="00D27192" w:rsidR="00107CC2">
        <w:rPr>
          <w:szCs w:val="26"/>
        </w:rPr>
        <w:t xml:space="preserve">including a </w:t>
      </w:r>
      <w:r w:rsidRPr="00D27192" w:rsidR="00FE6DD1">
        <w:rPr>
          <w:szCs w:val="26"/>
        </w:rPr>
        <w:t xml:space="preserve">specific </w:t>
      </w:r>
      <w:r w:rsidRPr="00D27192" w:rsidR="00107CC2">
        <w:rPr>
          <w:szCs w:val="26"/>
        </w:rPr>
        <w:t>waiver provision for untimely motions</w:t>
      </w:r>
      <w:r w:rsidRPr="00D27192" w:rsidR="000B74CC">
        <w:rPr>
          <w:szCs w:val="26"/>
        </w:rPr>
        <w:t xml:space="preserve">), </w:t>
      </w:r>
      <w:r w:rsidRPr="00D27192" w:rsidR="00774D1E">
        <w:rPr>
          <w:szCs w:val="26"/>
        </w:rPr>
        <w:t xml:space="preserve">only to </w:t>
      </w:r>
      <w:r w:rsidRPr="00D27192" w:rsidR="002B3F55">
        <w:rPr>
          <w:szCs w:val="26"/>
        </w:rPr>
        <w:t xml:space="preserve">allow </w:t>
      </w:r>
      <w:r w:rsidRPr="00D27192" w:rsidR="00107CC2">
        <w:rPr>
          <w:szCs w:val="26"/>
        </w:rPr>
        <w:t>defendants</w:t>
      </w:r>
      <w:r w:rsidRPr="00D27192" w:rsidR="000B74CC">
        <w:rPr>
          <w:szCs w:val="26"/>
        </w:rPr>
        <w:t xml:space="preserve"> who could have</w:t>
      </w:r>
      <w:r w:rsidRPr="00D27192" w:rsidR="00D20F9E">
        <w:rPr>
          <w:szCs w:val="26"/>
        </w:rPr>
        <w:t xml:space="preserve"> but did not use t</w:t>
      </w:r>
      <w:r w:rsidRPr="00D27192" w:rsidR="000B74CC">
        <w:rPr>
          <w:szCs w:val="26"/>
        </w:rPr>
        <w:t xml:space="preserve">hat procedure </w:t>
      </w:r>
      <w:r w:rsidRPr="00D27192" w:rsidR="006D0A86">
        <w:rPr>
          <w:szCs w:val="26"/>
        </w:rPr>
        <w:t xml:space="preserve">(thereby preserving their claim for review) to </w:t>
      </w:r>
      <w:r w:rsidRPr="00D27192" w:rsidR="002B3F55">
        <w:rPr>
          <w:szCs w:val="26"/>
        </w:rPr>
        <w:t xml:space="preserve">bypass that procedure </w:t>
      </w:r>
      <w:r w:rsidRPr="00D27192" w:rsidR="000B74CC">
        <w:rPr>
          <w:szCs w:val="26"/>
        </w:rPr>
        <w:t>and</w:t>
      </w:r>
      <w:r w:rsidRPr="00D27192" w:rsidR="002B3F55">
        <w:rPr>
          <w:szCs w:val="26"/>
        </w:rPr>
        <w:t xml:space="preserve"> </w:t>
      </w:r>
      <w:r w:rsidRPr="00D27192" w:rsidR="00611C9B">
        <w:rPr>
          <w:szCs w:val="26"/>
        </w:rPr>
        <w:t xml:space="preserve">pursue a </w:t>
      </w:r>
      <w:r w:rsidRPr="00D27192" w:rsidR="002B3F55">
        <w:rPr>
          <w:szCs w:val="26"/>
        </w:rPr>
        <w:t>section</w:t>
      </w:r>
      <w:r w:rsidRPr="00D27192" w:rsidR="00611C9B">
        <w:rPr>
          <w:szCs w:val="26"/>
        </w:rPr>
        <w:t> </w:t>
      </w:r>
      <w:r w:rsidRPr="00D27192" w:rsidR="002B3F55">
        <w:rPr>
          <w:szCs w:val="26"/>
        </w:rPr>
        <w:t xml:space="preserve">745 claim </w:t>
      </w:r>
      <w:r w:rsidRPr="00D27192" w:rsidR="006D0A86">
        <w:rPr>
          <w:szCs w:val="26"/>
        </w:rPr>
        <w:t xml:space="preserve">for the first time on direct appeal. </w:t>
      </w:r>
    </w:p>
    <w:p w:rsidR="007B4FE0" w:rsidRPr="00D27192" w:rsidP="002B7C2B" w14:paraId="7AC2F9BB" w14:textId="71385D73">
      <w:pPr>
        <w:spacing w:line="360" w:lineRule="auto"/>
        <w:rPr>
          <w:i/>
          <w:iCs/>
          <w:szCs w:val="26"/>
        </w:rPr>
      </w:pPr>
      <w:r w:rsidRPr="00D27192">
        <w:rPr>
          <w:szCs w:val="26"/>
        </w:rPr>
        <w:tab/>
      </w:r>
      <w:r w:rsidRPr="00D27192" w:rsidR="002B7C2B">
        <w:rPr>
          <w:b/>
          <w:bCs/>
          <w:i/>
          <w:iCs/>
          <w:szCs w:val="26"/>
        </w:rPr>
        <w:t>B.</w:t>
      </w:r>
      <w:r w:rsidRPr="00D27192" w:rsidR="002B7C2B">
        <w:rPr>
          <w:i/>
          <w:iCs/>
          <w:szCs w:val="26"/>
        </w:rPr>
        <w:tab/>
      </w:r>
      <w:r w:rsidRPr="00D27192">
        <w:rPr>
          <w:b/>
          <w:bCs/>
          <w:i/>
          <w:iCs/>
          <w:szCs w:val="26"/>
        </w:rPr>
        <w:t>Legislative History</w:t>
      </w:r>
    </w:p>
    <w:p w:rsidR="002B3F55" w:rsidRPr="00D27192" w:rsidP="007B4FE0" w14:paraId="1DF712C5" w14:textId="1645F4CE">
      <w:pPr>
        <w:spacing w:line="360" w:lineRule="auto"/>
        <w:rPr>
          <w:szCs w:val="26"/>
        </w:rPr>
      </w:pPr>
      <w:r w:rsidRPr="00D27192">
        <w:rPr>
          <w:szCs w:val="26"/>
        </w:rPr>
        <w:tab/>
      </w:r>
      <w:r w:rsidRPr="00D27192" w:rsidR="00F425DB">
        <w:rPr>
          <w:szCs w:val="26"/>
        </w:rPr>
        <w:t>To the extent it may be argued section 745</w:t>
      </w:r>
      <w:r w:rsidRPr="00D27192" w:rsidR="0007739D">
        <w:rPr>
          <w:szCs w:val="26"/>
        </w:rPr>
        <w:t xml:space="preserve"> </w:t>
      </w:r>
      <w:r w:rsidRPr="00D27192" w:rsidR="00F425DB">
        <w:rPr>
          <w:szCs w:val="26"/>
        </w:rPr>
        <w:t>is ambiguous as to whether a defendant may raise a section 745 claim on direct appeal for the first time, we conclude the legislative history ind</w:t>
      </w:r>
      <w:r w:rsidRPr="00D27192" w:rsidR="007B4FE0">
        <w:rPr>
          <w:szCs w:val="26"/>
        </w:rPr>
        <w:t>icates the Legislature did not intend to</w:t>
      </w:r>
      <w:r w:rsidRPr="00D27192">
        <w:rPr>
          <w:szCs w:val="26"/>
        </w:rPr>
        <w:t xml:space="preserve"> allow </w:t>
      </w:r>
      <w:r w:rsidRPr="00D27192" w:rsidR="0016730B">
        <w:rPr>
          <w:szCs w:val="26"/>
        </w:rPr>
        <w:t xml:space="preserve">a </w:t>
      </w:r>
      <w:r w:rsidRPr="00D27192">
        <w:rPr>
          <w:szCs w:val="26"/>
        </w:rPr>
        <w:t xml:space="preserve">defendant to </w:t>
      </w:r>
      <w:r w:rsidRPr="00D27192" w:rsidR="00A43F47">
        <w:rPr>
          <w:szCs w:val="26"/>
        </w:rPr>
        <w:t xml:space="preserve">pursue </w:t>
      </w:r>
      <w:r w:rsidRPr="00D27192" w:rsidR="00F425DB">
        <w:rPr>
          <w:szCs w:val="26"/>
        </w:rPr>
        <w:t xml:space="preserve">such a claim </w:t>
      </w:r>
      <w:r w:rsidRPr="00D27192" w:rsidR="006D0A86">
        <w:rPr>
          <w:szCs w:val="26"/>
        </w:rPr>
        <w:t xml:space="preserve">for the first time on direct appeal </w:t>
      </w:r>
      <w:r w:rsidRPr="00D27192" w:rsidR="003B6724">
        <w:rPr>
          <w:szCs w:val="26"/>
        </w:rPr>
        <w:t>where</w:t>
      </w:r>
      <w:r w:rsidRPr="00D27192" w:rsidR="00394C3D">
        <w:rPr>
          <w:szCs w:val="26"/>
        </w:rPr>
        <w:t xml:space="preserve"> </w:t>
      </w:r>
      <w:r w:rsidRPr="00D27192" w:rsidR="00F425DB">
        <w:rPr>
          <w:szCs w:val="26"/>
        </w:rPr>
        <w:t xml:space="preserve">it </w:t>
      </w:r>
      <w:r w:rsidRPr="00D27192" w:rsidR="00394C3D">
        <w:rPr>
          <w:szCs w:val="26"/>
        </w:rPr>
        <w:t xml:space="preserve">could have been but was not </w:t>
      </w:r>
      <w:r w:rsidRPr="00D27192" w:rsidR="007B3A7A">
        <w:rPr>
          <w:szCs w:val="26"/>
        </w:rPr>
        <w:t>raised</w:t>
      </w:r>
      <w:r w:rsidRPr="00D27192" w:rsidR="00394C3D">
        <w:rPr>
          <w:szCs w:val="26"/>
        </w:rPr>
        <w:t xml:space="preserve"> in </w:t>
      </w:r>
      <w:r w:rsidRPr="00D27192" w:rsidR="00D20F9E">
        <w:rPr>
          <w:szCs w:val="26"/>
        </w:rPr>
        <w:t xml:space="preserve">the trial court. </w:t>
      </w:r>
    </w:p>
    <w:p w:rsidR="007B4FE0" w:rsidRPr="00D27192" w:rsidP="007B4FE0" w14:paraId="39DA59B9" w14:textId="596AB3F9">
      <w:pPr>
        <w:spacing w:line="360" w:lineRule="auto"/>
        <w:rPr>
          <w:szCs w:val="26"/>
        </w:rPr>
      </w:pPr>
      <w:r w:rsidRPr="00D27192">
        <w:rPr>
          <w:szCs w:val="26"/>
        </w:rPr>
        <w:tab/>
      </w:r>
      <w:r w:rsidRPr="00D27192" w:rsidR="00A936C7">
        <w:rPr>
          <w:szCs w:val="26"/>
        </w:rPr>
        <w:t>A</w:t>
      </w:r>
      <w:r w:rsidRPr="00D27192" w:rsidR="0005469B">
        <w:rPr>
          <w:szCs w:val="26"/>
        </w:rPr>
        <w:t xml:space="preserve">t </w:t>
      </w:r>
      <w:r w:rsidRPr="00D27192" w:rsidR="00725B66">
        <w:rPr>
          <w:szCs w:val="26"/>
        </w:rPr>
        <w:t>the time the Legislature enacted AB</w:t>
      </w:r>
      <w:r w:rsidRPr="00D27192" w:rsidR="00C96890">
        <w:rPr>
          <w:szCs w:val="26"/>
        </w:rPr>
        <w:t> </w:t>
      </w:r>
      <w:r w:rsidRPr="00D27192" w:rsidR="00725B66">
        <w:rPr>
          <w:szCs w:val="26"/>
        </w:rPr>
        <w:t>11</w:t>
      </w:r>
      <w:r w:rsidRPr="00D27192" w:rsidR="00C96890">
        <w:rPr>
          <w:szCs w:val="26"/>
        </w:rPr>
        <w:t>1</w:t>
      </w:r>
      <w:r w:rsidRPr="00D27192" w:rsidR="00725B66">
        <w:rPr>
          <w:szCs w:val="26"/>
        </w:rPr>
        <w:t>8</w:t>
      </w:r>
      <w:r w:rsidRPr="00D27192" w:rsidR="00C96890">
        <w:rPr>
          <w:szCs w:val="26"/>
        </w:rPr>
        <w:t xml:space="preserve">, </w:t>
      </w:r>
      <w:r w:rsidRPr="00D27192" w:rsidR="007B3A7A">
        <w:rPr>
          <w:szCs w:val="26"/>
        </w:rPr>
        <w:t>it</w:t>
      </w:r>
      <w:r w:rsidRPr="00D27192" w:rsidR="004B03B4">
        <w:rPr>
          <w:szCs w:val="26"/>
        </w:rPr>
        <w:t xml:space="preserve"> was </w:t>
      </w:r>
      <w:r w:rsidRPr="00D27192" w:rsidR="00773220">
        <w:rPr>
          <w:szCs w:val="26"/>
        </w:rPr>
        <w:t>made aware of general appellate rules of</w:t>
      </w:r>
      <w:r w:rsidRPr="00D27192" w:rsidR="00394C3D">
        <w:rPr>
          <w:szCs w:val="26"/>
        </w:rPr>
        <w:t xml:space="preserve"> preservation and </w:t>
      </w:r>
      <w:r w:rsidRPr="00D27192" w:rsidR="00773220">
        <w:rPr>
          <w:szCs w:val="26"/>
        </w:rPr>
        <w:t>forfeiture</w:t>
      </w:r>
      <w:r w:rsidRPr="00D27192" w:rsidR="00394C3D">
        <w:rPr>
          <w:szCs w:val="26"/>
        </w:rPr>
        <w:t xml:space="preserve"> of issues</w:t>
      </w:r>
      <w:r w:rsidRPr="00D27192" w:rsidR="0070408A">
        <w:rPr>
          <w:szCs w:val="26"/>
        </w:rPr>
        <w:t xml:space="preserve"> on direct appeal</w:t>
      </w:r>
      <w:r w:rsidRPr="00D27192" w:rsidR="00394C3D">
        <w:rPr>
          <w:szCs w:val="26"/>
        </w:rPr>
        <w:t>,</w:t>
      </w:r>
      <w:r w:rsidRPr="00D27192" w:rsidR="00773220">
        <w:rPr>
          <w:szCs w:val="26"/>
        </w:rPr>
        <w:t xml:space="preserve"> and exceptions to those rules</w:t>
      </w:r>
      <w:r w:rsidRPr="00D27192" w:rsidR="00394C3D">
        <w:rPr>
          <w:szCs w:val="26"/>
        </w:rPr>
        <w:t xml:space="preserve"> as judicially applied in </w:t>
      </w:r>
      <w:r w:rsidRPr="00D27192" w:rsidR="00773220">
        <w:rPr>
          <w:szCs w:val="26"/>
        </w:rPr>
        <w:t>analogous contexts.</w:t>
      </w:r>
      <w:r w:rsidRPr="00D27192" w:rsidR="00D655C1">
        <w:rPr>
          <w:szCs w:val="26"/>
        </w:rPr>
        <w:t xml:space="preserve">  </w:t>
      </w:r>
      <w:r w:rsidRPr="00D27192">
        <w:rPr>
          <w:szCs w:val="26"/>
        </w:rPr>
        <w:t xml:space="preserve">In explaining </w:t>
      </w:r>
      <w:r w:rsidRPr="00D27192" w:rsidR="00394C3D">
        <w:rPr>
          <w:szCs w:val="26"/>
        </w:rPr>
        <w:t xml:space="preserve">AB 1118’s </w:t>
      </w:r>
      <w:r w:rsidRPr="00D27192">
        <w:rPr>
          <w:szCs w:val="26"/>
        </w:rPr>
        <w:t>technical changes being recommended to ensure racial bias claims were “processed more efficiently” and that “the intent of the law” was followed, the bill’s author explained as follows</w:t>
      </w:r>
      <w:r w:rsidRPr="00D27192" w:rsidR="00D655C1">
        <w:rPr>
          <w:szCs w:val="26"/>
        </w:rPr>
        <w:t>:</w:t>
      </w:r>
    </w:p>
    <w:p w:rsidR="007B4FE0" w:rsidRPr="00D27192" w:rsidP="007B4FE0" w14:paraId="36483294" w14:textId="19A62467">
      <w:pPr>
        <w:spacing w:line="240" w:lineRule="auto"/>
        <w:ind w:left="720" w:right="720"/>
        <w:rPr>
          <w:szCs w:val="26"/>
        </w:rPr>
      </w:pPr>
      <w:r w:rsidRPr="00D27192">
        <w:rPr>
          <w:szCs w:val="26"/>
        </w:rPr>
        <w:t>[A] CRJA claim based on the trial record may be raised on direct appeal from the conviction or sentence, not just in a habeas petition.  (</w:t>
      </w:r>
      <w:r w:rsidRPr="00D27192">
        <w:rPr>
          <w:i/>
          <w:iCs/>
          <w:szCs w:val="26"/>
        </w:rPr>
        <w:t>In re Carpenter</w:t>
      </w:r>
      <w:r w:rsidRPr="00D27192">
        <w:rPr>
          <w:szCs w:val="26"/>
        </w:rPr>
        <w:t xml:space="preserve"> (1995) 9 Cal.4th 634, 636 [‘Appellate jurisdiction is limited to the four corners of the record on appeal . . . .’].) . . . [and] would also clarify that the defendant/appellant may move to stay the appeal and request remand to the superior court to file a CRJA motion.  This may be necessary to permit the trial court to rule on the claim in the first instance, and to allow the parties to fully litigate the issue.  (See </w:t>
      </w:r>
      <w:r w:rsidRPr="00D27192">
        <w:rPr>
          <w:i/>
          <w:iCs/>
          <w:szCs w:val="26"/>
        </w:rPr>
        <w:t>Gray1 CPB, LLC v. SCC Acquisitions, Inc.</w:t>
      </w:r>
      <w:r w:rsidRPr="00D27192">
        <w:rPr>
          <w:szCs w:val="26"/>
        </w:rPr>
        <w:t xml:space="preserve"> (2015) 233 Cal.App.4th 882, </w:t>
      </w:r>
      <w:r w:rsidRPr="00D27192" w:rsidR="00330510">
        <w:rPr>
          <w:szCs w:val="26"/>
        </w:rPr>
        <w:t xml:space="preserve">897 </w:t>
      </w:r>
      <w:r w:rsidRPr="00D27192">
        <w:rPr>
          <w:szCs w:val="26"/>
        </w:rPr>
        <w:t>[</w:t>
      </w:r>
      <w:r w:rsidRPr="00D27192" w:rsidR="00330510">
        <w:rPr>
          <w:szCs w:val="26"/>
        </w:rPr>
        <w:t>‘</w:t>
      </w:r>
      <w:r w:rsidRPr="00D27192">
        <w:rPr>
          <w:szCs w:val="26"/>
        </w:rPr>
        <w:t>[I]t is fundamental that a reviewing court will ordinarily not consider claims made for the first time on appeal which could have been but were not presented in the trial court.  Thus, we ignore arguments, authority and facts not presented and litigated in the trial court</w:t>
      </w:r>
      <w:r w:rsidRPr="00D27192" w:rsidR="00330510">
        <w:rPr>
          <w:szCs w:val="26"/>
        </w:rPr>
        <w:t>’</w:t>
      </w:r>
      <w:r w:rsidRPr="00D27192">
        <w:rPr>
          <w:szCs w:val="26"/>
        </w:rPr>
        <w:t xml:space="preserve">] (citation and quotations omitted); see also </w:t>
      </w:r>
      <w:r w:rsidRPr="00D27192">
        <w:rPr>
          <w:i/>
          <w:iCs/>
          <w:szCs w:val="26"/>
        </w:rPr>
        <w:t>People v. Welch</w:t>
      </w:r>
      <w:r w:rsidRPr="00D27192">
        <w:rPr>
          <w:szCs w:val="26"/>
        </w:rPr>
        <w:t xml:space="preserve"> (1993) 5 Cal.5th 228, 237 [</w:t>
      </w:r>
      <w:r w:rsidRPr="00D27192" w:rsidR="00330510">
        <w:rPr>
          <w:szCs w:val="26"/>
        </w:rPr>
        <w:t>‘</w:t>
      </w:r>
      <w:r w:rsidRPr="00D27192">
        <w:rPr>
          <w:szCs w:val="26"/>
        </w:rPr>
        <w:t>Reviewing courts have traditionally excused parties for failing to raise an issue at trial where an objection would have been futile or wholly unsupported by substantive law then in existence</w:t>
      </w:r>
      <w:r w:rsidRPr="00D27192" w:rsidR="00330510">
        <w:rPr>
          <w:szCs w:val="26"/>
        </w:rPr>
        <w:t>’</w:t>
      </w:r>
      <w:r w:rsidRPr="00D27192">
        <w:rPr>
          <w:szCs w:val="26"/>
        </w:rPr>
        <w:t xml:space="preserve">].) [¶] Generally, a trial court loses jurisdiction once an appeal is filed.  But in other post-conviction relief contexts, stays and remands have been permitted by the courts – for example to file a petition to vacate a felony murder conviction and be resentenced under SB 1437 (Skinner), Chapter 1015, Statutes 2018.  (See </w:t>
      </w:r>
      <w:r w:rsidRPr="00D27192">
        <w:rPr>
          <w:i/>
          <w:iCs/>
          <w:szCs w:val="26"/>
        </w:rPr>
        <w:t>People v. Martinez</w:t>
      </w:r>
      <w:r w:rsidRPr="00D27192">
        <w:rPr>
          <w:szCs w:val="26"/>
        </w:rPr>
        <w:t xml:space="preserve"> (2019) 31 Cal.App.5th 719, 729 [‘A Court of Appeal presented with such a stay request and convinced it is supported by good cause can order the pending appeal stayed with a limited remand to the trial court for the sole purpose of permitting the trial court to rule on a petition under section 1170.95.’].)</w:t>
      </w:r>
    </w:p>
    <w:p w:rsidR="007B4FE0" w:rsidRPr="00D27192" w:rsidP="007B4FE0" w14:paraId="66182FD5" w14:textId="77777777">
      <w:pPr>
        <w:spacing w:line="240" w:lineRule="auto"/>
        <w:ind w:left="720" w:right="720"/>
        <w:rPr>
          <w:szCs w:val="26"/>
        </w:rPr>
      </w:pPr>
    </w:p>
    <w:p w:rsidR="00F425DB" w:rsidRPr="00D27192" w:rsidP="00C34A21" w14:paraId="6EB9E311" w14:textId="77777777">
      <w:pPr>
        <w:spacing w:line="360" w:lineRule="auto"/>
        <w:rPr>
          <w:szCs w:val="26"/>
        </w:rPr>
      </w:pPr>
      <w:r w:rsidRPr="00D27192">
        <w:rPr>
          <w:szCs w:val="26"/>
        </w:rPr>
        <w:t>(Assem. Com. Public Saf., com. on Assem. Bill No. 1118 (2023–2024 Reg. Sess.) as amended Mar. 15, 2023, pp. 5–6.)</w:t>
      </w:r>
      <w:r w:rsidRPr="00D27192" w:rsidR="00741105">
        <w:rPr>
          <w:szCs w:val="26"/>
        </w:rPr>
        <w:t xml:space="preserve">  </w:t>
      </w:r>
    </w:p>
    <w:p w:rsidR="004F7E19" w:rsidRPr="00D27192" w:rsidP="00C34A21" w14:paraId="27BDFF23" w14:textId="64C8D32E">
      <w:pPr>
        <w:spacing w:line="360" w:lineRule="auto"/>
        <w:rPr>
          <w:szCs w:val="26"/>
        </w:rPr>
      </w:pPr>
      <w:r w:rsidRPr="00D27192">
        <w:rPr>
          <w:szCs w:val="26"/>
        </w:rPr>
        <w:tab/>
      </w:r>
      <w:r w:rsidRPr="00D27192" w:rsidR="000E630E">
        <w:rPr>
          <w:szCs w:val="26"/>
        </w:rPr>
        <w:t xml:space="preserve"> </w:t>
      </w:r>
      <w:r w:rsidRPr="00D27192" w:rsidR="00741105">
        <w:rPr>
          <w:szCs w:val="26"/>
        </w:rPr>
        <w:t xml:space="preserve">Given </w:t>
      </w:r>
      <w:r w:rsidRPr="00D27192" w:rsidR="0007739D">
        <w:rPr>
          <w:szCs w:val="26"/>
        </w:rPr>
        <w:t>the above discussion</w:t>
      </w:r>
      <w:r w:rsidRPr="00D27192" w:rsidR="00156346">
        <w:rPr>
          <w:szCs w:val="26"/>
        </w:rPr>
        <w:t xml:space="preserve">, we find it </w:t>
      </w:r>
      <w:r w:rsidRPr="00D27192" w:rsidR="00741105">
        <w:rPr>
          <w:szCs w:val="26"/>
        </w:rPr>
        <w:t>significant that the Legislature</w:t>
      </w:r>
      <w:r w:rsidRPr="00D27192" w:rsidR="00156346">
        <w:rPr>
          <w:szCs w:val="26"/>
        </w:rPr>
        <w:t xml:space="preserve"> </w:t>
      </w:r>
      <w:r w:rsidRPr="00D27192" w:rsidR="0007739D">
        <w:rPr>
          <w:szCs w:val="26"/>
        </w:rPr>
        <w:t>did not</w:t>
      </w:r>
      <w:r w:rsidRPr="00D27192" w:rsidR="00156346">
        <w:rPr>
          <w:szCs w:val="26"/>
        </w:rPr>
        <w:t xml:space="preserve"> include any language to the effect that a </w:t>
      </w:r>
      <w:r w:rsidRPr="00D27192">
        <w:rPr>
          <w:szCs w:val="26"/>
        </w:rPr>
        <w:t>section</w:t>
      </w:r>
      <w:r w:rsidRPr="00D27192" w:rsidR="0016730B">
        <w:rPr>
          <w:szCs w:val="26"/>
        </w:rPr>
        <w:t> </w:t>
      </w:r>
      <w:r w:rsidRPr="00D27192">
        <w:rPr>
          <w:szCs w:val="26"/>
        </w:rPr>
        <w:t xml:space="preserve">745 </w:t>
      </w:r>
      <w:r w:rsidRPr="00D27192" w:rsidR="00156346">
        <w:rPr>
          <w:szCs w:val="26"/>
        </w:rPr>
        <w:t>claim may be raised on direct appeal “for the first time</w:t>
      </w:r>
      <w:r w:rsidRPr="00D27192" w:rsidR="0016730B">
        <w:rPr>
          <w:szCs w:val="26"/>
        </w:rPr>
        <w:t>,</w:t>
      </w:r>
      <w:r w:rsidRPr="00D27192" w:rsidR="00156346">
        <w:rPr>
          <w:szCs w:val="26"/>
        </w:rPr>
        <w:t xml:space="preserve">” </w:t>
      </w:r>
      <w:r w:rsidRPr="00D27192" w:rsidR="0016730B">
        <w:rPr>
          <w:szCs w:val="26"/>
        </w:rPr>
        <w:t xml:space="preserve">which it could have easily done </w:t>
      </w:r>
      <w:r w:rsidRPr="00D27192" w:rsidR="0007739D">
        <w:rPr>
          <w:szCs w:val="26"/>
        </w:rPr>
        <w:t xml:space="preserve">just </w:t>
      </w:r>
      <w:r w:rsidRPr="00D27192" w:rsidR="0016730B">
        <w:rPr>
          <w:szCs w:val="26"/>
        </w:rPr>
        <w:t xml:space="preserve">as it did when amending the habeas proceedings.  (See fn. 3, </w:t>
      </w:r>
      <w:r w:rsidRPr="00D27192" w:rsidR="0016730B">
        <w:rPr>
          <w:i/>
          <w:iCs/>
          <w:szCs w:val="26"/>
        </w:rPr>
        <w:t>ante</w:t>
      </w:r>
      <w:r w:rsidRPr="00D27192" w:rsidR="0016730B">
        <w:rPr>
          <w:szCs w:val="26"/>
        </w:rPr>
        <w:t xml:space="preserve">.)  The omission of such language </w:t>
      </w:r>
      <w:r w:rsidRPr="00D27192" w:rsidR="00156346">
        <w:rPr>
          <w:szCs w:val="26"/>
        </w:rPr>
        <w:t>strongly suggests the Legislature intended to leave the issues of</w:t>
      </w:r>
      <w:r w:rsidRPr="00D27192" w:rsidR="00741105">
        <w:rPr>
          <w:szCs w:val="26"/>
        </w:rPr>
        <w:t xml:space="preserve"> preservation and forfeiture of claims </w:t>
      </w:r>
      <w:r w:rsidRPr="00D27192" w:rsidR="00F54D38">
        <w:rPr>
          <w:szCs w:val="26"/>
        </w:rPr>
        <w:t>on direct appea</w:t>
      </w:r>
      <w:r w:rsidRPr="00D27192" w:rsidR="00156346">
        <w:rPr>
          <w:szCs w:val="26"/>
        </w:rPr>
        <w:t xml:space="preserve">l to be resolved by the courts </w:t>
      </w:r>
      <w:r w:rsidRPr="00D27192" w:rsidR="0007739D">
        <w:rPr>
          <w:szCs w:val="26"/>
        </w:rPr>
        <w:t>based on long-standing procedural canons</w:t>
      </w:r>
      <w:r w:rsidRPr="00D27192" w:rsidR="00F54D38">
        <w:rPr>
          <w:szCs w:val="26"/>
        </w:rPr>
        <w:t>.</w:t>
      </w:r>
      <w:r w:rsidRPr="00D27192" w:rsidR="0016730B">
        <w:rPr>
          <w:szCs w:val="26"/>
        </w:rPr>
        <w:t xml:space="preserve">  </w:t>
      </w:r>
      <w:r w:rsidRPr="00D27192" w:rsidR="00D347EA">
        <w:rPr>
          <w:szCs w:val="26"/>
        </w:rPr>
        <w:t>“</w:t>
      </w:r>
      <w:r w:rsidRPr="00D27192" w:rsidR="003E5E03">
        <w:rPr>
          <w:szCs w:val="26"/>
        </w:rPr>
        <w:t> ‘</w:t>
      </w:r>
      <w:r w:rsidRPr="00D27192" w:rsidR="00D347EA">
        <w:rPr>
          <w:szCs w:val="26"/>
        </w:rPr>
        <w:t>We are compelled to add language only in extreme cases where, as a matter of law, we are convinced that the Legislature, through inadvertence, failed to utilize the word or words which give purpose to its pronouncements.</w:t>
      </w:r>
      <w:r w:rsidRPr="00D27192" w:rsidR="003E5E03">
        <w:rPr>
          <w:szCs w:val="26"/>
        </w:rPr>
        <w:t>’ </w:t>
      </w:r>
      <w:r w:rsidRPr="00D27192" w:rsidR="00D347EA">
        <w:rPr>
          <w:szCs w:val="26"/>
        </w:rPr>
        <w:t>”  (</w:t>
      </w:r>
      <w:r w:rsidRPr="00D27192" w:rsidR="00D347EA">
        <w:rPr>
          <w:i/>
          <w:iCs/>
          <w:szCs w:val="26"/>
        </w:rPr>
        <w:t>Settle v. State of California</w:t>
      </w:r>
      <w:r w:rsidRPr="00D27192" w:rsidR="00D347EA">
        <w:rPr>
          <w:szCs w:val="26"/>
        </w:rPr>
        <w:t xml:space="preserve"> (2014) </w:t>
      </w:r>
      <w:r w:rsidRPr="00D27192" w:rsidR="003E5E03">
        <w:rPr>
          <w:szCs w:val="26"/>
        </w:rPr>
        <w:t>228 Cal.App.4th 215, 220 (</w:t>
      </w:r>
      <w:r w:rsidRPr="00D27192" w:rsidR="003E5E03">
        <w:rPr>
          <w:i/>
          <w:iCs/>
          <w:szCs w:val="26"/>
        </w:rPr>
        <w:t>Settle</w:t>
      </w:r>
      <w:r w:rsidRPr="00D27192" w:rsidR="003E5E03">
        <w:rPr>
          <w:szCs w:val="26"/>
        </w:rPr>
        <w:t xml:space="preserve">).)  </w:t>
      </w:r>
      <w:r w:rsidRPr="00D27192" w:rsidR="00D347EA">
        <w:rPr>
          <w:szCs w:val="26"/>
        </w:rPr>
        <w:t xml:space="preserve">Here, we see no compelling reason to add words to the statute </w:t>
      </w:r>
      <w:r w:rsidRPr="00D27192" w:rsidR="0007739D">
        <w:rPr>
          <w:szCs w:val="26"/>
        </w:rPr>
        <w:t>as the legislative history does no</w:t>
      </w:r>
      <w:r w:rsidRPr="00D27192" w:rsidR="00CC0725">
        <w:rPr>
          <w:szCs w:val="26"/>
        </w:rPr>
        <w:t>t</w:t>
      </w:r>
      <w:r w:rsidRPr="00D27192" w:rsidR="0007739D">
        <w:rPr>
          <w:szCs w:val="26"/>
        </w:rPr>
        <w:t xml:space="preserve"> evince an intent by </w:t>
      </w:r>
      <w:r w:rsidRPr="00D27192" w:rsidR="00D347EA">
        <w:rPr>
          <w:szCs w:val="26"/>
        </w:rPr>
        <w:t>the Legislature to strip the courts of their discretionary authority to determine whether a section 745 claim is reviewable on direct appeal where the claim could have been but was not presented in the trial court.</w:t>
      </w:r>
      <w:r>
        <w:rPr>
          <w:rStyle w:val="FootnoteReference"/>
          <w:szCs w:val="26"/>
        </w:rPr>
        <w:footnoteReference w:id="6"/>
      </w:r>
      <w:r w:rsidRPr="00D27192">
        <w:rPr>
          <w:szCs w:val="26"/>
        </w:rPr>
        <w:t xml:space="preserve">  </w:t>
      </w:r>
    </w:p>
    <w:p w:rsidR="004F7E19" w:rsidRPr="00D27192" w:rsidP="004F7E19" w14:paraId="2927AB2B" w14:textId="39D613F8">
      <w:pPr>
        <w:spacing w:line="360" w:lineRule="auto"/>
        <w:rPr>
          <w:szCs w:val="26"/>
        </w:rPr>
      </w:pPr>
      <w:r w:rsidRPr="00D27192">
        <w:rPr>
          <w:szCs w:val="26"/>
        </w:rPr>
        <w:tab/>
        <w:t xml:space="preserve">Lashon argues forfeiture should not apply because the legislative intent </w:t>
      </w:r>
      <w:r w:rsidRPr="00D27192" w:rsidR="00FC3315">
        <w:rPr>
          <w:szCs w:val="26"/>
        </w:rPr>
        <w:t xml:space="preserve">as </w:t>
      </w:r>
      <w:r w:rsidRPr="00D27192">
        <w:rPr>
          <w:szCs w:val="26"/>
        </w:rPr>
        <w:t>expressed in the statute and subsequent amendments is that “all who c</w:t>
      </w:r>
      <w:r w:rsidRPr="00D27192" w:rsidR="006E29B4">
        <w:rPr>
          <w:szCs w:val="26"/>
        </w:rPr>
        <w:t>a</w:t>
      </w:r>
      <w:r w:rsidRPr="00D27192">
        <w:rPr>
          <w:szCs w:val="26"/>
        </w:rPr>
        <w:t>n make a prima facie case for a RJA violation in their cases should have their claims heard</w:t>
      </w:r>
      <w:r w:rsidRPr="00D27192" w:rsidR="006E29B4">
        <w:rPr>
          <w:szCs w:val="26"/>
        </w:rPr>
        <w:t>,” and “[a]pplication of the forfeiture doctrine here cannot be viewed as a remedy to eliminate discriminatory practices, but only continue to cover up implicit biases which may not always be readily identifiable.”</w:t>
      </w:r>
      <w:r w:rsidRPr="00D27192" w:rsidR="00CC0725">
        <w:rPr>
          <w:szCs w:val="26"/>
        </w:rPr>
        <w:t xml:space="preserve">  </w:t>
      </w:r>
      <w:r w:rsidRPr="00D27192" w:rsidR="006E29B4">
        <w:rPr>
          <w:szCs w:val="26"/>
        </w:rPr>
        <w:t>While we agree the Legislature</w:t>
      </w:r>
      <w:r w:rsidRPr="00D27192" w:rsidR="00FC3315">
        <w:rPr>
          <w:szCs w:val="26"/>
        </w:rPr>
        <w:t xml:space="preserve"> meant</w:t>
      </w:r>
      <w:r w:rsidRPr="00D27192" w:rsidR="006E29B4">
        <w:rPr>
          <w:szCs w:val="26"/>
        </w:rPr>
        <w:t xml:space="preserve"> to provide remedies for racial bias, “statu</w:t>
      </w:r>
      <w:r w:rsidRPr="00D27192" w:rsidR="00B1552C">
        <w:rPr>
          <w:szCs w:val="26"/>
        </w:rPr>
        <w:t>t</w:t>
      </w:r>
      <w:r w:rsidRPr="00D27192" w:rsidR="006E29B4">
        <w:rPr>
          <w:szCs w:val="26"/>
        </w:rPr>
        <w:t xml:space="preserve">ory statement of purpose does </w:t>
      </w:r>
      <w:r w:rsidRPr="00D27192" w:rsidR="00330510">
        <w:rPr>
          <w:szCs w:val="26"/>
        </w:rPr>
        <w:t xml:space="preserve">not </w:t>
      </w:r>
      <w:r w:rsidRPr="00D27192" w:rsidR="006E29B4">
        <w:rPr>
          <w:szCs w:val="26"/>
        </w:rPr>
        <w:t>override the express limits the Legislature has placed in the statutory text</w:t>
      </w:r>
      <w:r w:rsidRPr="00D27192" w:rsidR="00330510">
        <w:rPr>
          <w:szCs w:val="26"/>
        </w:rPr>
        <w:t xml:space="preserve"> . . .</w:t>
      </w:r>
      <w:r w:rsidRPr="00D27192" w:rsidR="006E29B4">
        <w:rPr>
          <w:szCs w:val="26"/>
        </w:rPr>
        <w:t xml:space="preserve"> and in the manner the statutory text has specified” for a defendant to pursue</w:t>
      </w:r>
      <w:r w:rsidRPr="00D27192" w:rsidR="00B1552C">
        <w:rPr>
          <w:szCs w:val="26"/>
        </w:rPr>
        <w:t xml:space="preserve"> a remedy for racial bias. </w:t>
      </w:r>
      <w:r w:rsidRPr="00D27192" w:rsidR="006E29B4">
        <w:rPr>
          <w:szCs w:val="26"/>
        </w:rPr>
        <w:t xml:space="preserve"> (</w:t>
      </w:r>
      <w:r w:rsidRPr="00D27192" w:rsidR="00330510">
        <w:rPr>
          <w:i/>
          <w:iCs/>
          <w:szCs w:val="26"/>
        </w:rPr>
        <w:t>Miklosy</w:t>
      </w:r>
      <w:r w:rsidRPr="00D27192" w:rsidR="006E29B4">
        <w:rPr>
          <w:i/>
          <w:iCs/>
          <w:szCs w:val="26"/>
        </w:rPr>
        <w:t xml:space="preserve"> v. Regents of University of California</w:t>
      </w:r>
      <w:r w:rsidRPr="00D27192" w:rsidR="006E29B4">
        <w:rPr>
          <w:szCs w:val="26"/>
        </w:rPr>
        <w:t xml:space="preserve"> (2008) 44 Cal.4th 876, 897.)  </w:t>
      </w:r>
    </w:p>
    <w:p w:rsidR="00701701" w:rsidRPr="00D27192" w:rsidP="00701701" w14:paraId="77CC7CB4" w14:textId="138C6CC8">
      <w:pPr>
        <w:spacing w:line="360" w:lineRule="auto"/>
        <w:rPr>
          <w:szCs w:val="26"/>
        </w:rPr>
      </w:pPr>
      <w:r w:rsidRPr="00D27192">
        <w:rPr>
          <w:szCs w:val="26"/>
        </w:rPr>
        <w:tab/>
        <w:t>Accordingly, taking into account the purpose of section 745 – to swiftly and effectively address racial bias as soon as practical upon a defendant learning of an alleged violation — and “the substantial state interest in protecting the integrity of the process from</w:t>
      </w:r>
      <w:r w:rsidRPr="00D27192" w:rsidR="00330510">
        <w:rPr>
          <w:szCs w:val="26"/>
        </w:rPr>
        <w:t xml:space="preserve"> improper</w:t>
      </w:r>
      <w:r w:rsidRPr="00D27192">
        <w:rPr>
          <w:szCs w:val="26"/>
        </w:rPr>
        <w:t xml:space="preserve"> ‘sandbagging’ by a defendant” (</w:t>
      </w:r>
      <w:r w:rsidRPr="00D27192">
        <w:rPr>
          <w:i/>
          <w:iCs/>
          <w:szCs w:val="26"/>
        </w:rPr>
        <w:t>Simon</w:t>
      </w:r>
      <w:r w:rsidRPr="00D27192">
        <w:rPr>
          <w:szCs w:val="26"/>
        </w:rPr>
        <w:t xml:space="preserve">, </w:t>
      </w:r>
      <w:r w:rsidRPr="00D27192">
        <w:rPr>
          <w:i/>
          <w:iCs/>
          <w:szCs w:val="26"/>
        </w:rPr>
        <w:t>supra</w:t>
      </w:r>
      <w:r w:rsidRPr="00D27192">
        <w:rPr>
          <w:szCs w:val="26"/>
        </w:rPr>
        <w:t>, 25 Cal.4th at p. 1104)</w:t>
      </w:r>
      <w:r w:rsidRPr="00D27192" w:rsidR="00FC3315">
        <w:rPr>
          <w:szCs w:val="26"/>
        </w:rPr>
        <w:t xml:space="preserve"> along with the language of the statute and its legislative history</w:t>
      </w:r>
      <w:r w:rsidRPr="00D27192">
        <w:rPr>
          <w:szCs w:val="26"/>
        </w:rPr>
        <w:t>, we conclude</w:t>
      </w:r>
      <w:r w:rsidRPr="00D27192" w:rsidR="006E29B4">
        <w:rPr>
          <w:szCs w:val="26"/>
        </w:rPr>
        <w:t xml:space="preserve"> a</w:t>
      </w:r>
      <w:r w:rsidRPr="00D27192">
        <w:rPr>
          <w:szCs w:val="26"/>
        </w:rPr>
        <w:t xml:space="preserve"> defendant may be found to have forfeited</w:t>
      </w:r>
      <w:r w:rsidRPr="00D27192" w:rsidR="006D0A86">
        <w:rPr>
          <w:szCs w:val="26"/>
        </w:rPr>
        <w:t xml:space="preserve"> a section</w:t>
      </w:r>
      <w:r w:rsidRPr="00D27192">
        <w:rPr>
          <w:szCs w:val="26"/>
        </w:rPr>
        <w:t> </w:t>
      </w:r>
      <w:r w:rsidRPr="00D27192" w:rsidR="006D0A86">
        <w:rPr>
          <w:szCs w:val="26"/>
        </w:rPr>
        <w:t xml:space="preserve">745 </w:t>
      </w:r>
      <w:r w:rsidRPr="00D27192" w:rsidR="009E250F">
        <w:rPr>
          <w:szCs w:val="26"/>
        </w:rPr>
        <w:t xml:space="preserve">claim of </w:t>
      </w:r>
      <w:r w:rsidRPr="00D27192">
        <w:rPr>
          <w:szCs w:val="26"/>
        </w:rPr>
        <w:t xml:space="preserve">racial bias </w:t>
      </w:r>
      <w:r w:rsidRPr="00D27192" w:rsidR="00D655C1">
        <w:rPr>
          <w:szCs w:val="26"/>
        </w:rPr>
        <w:t>made</w:t>
      </w:r>
      <w:r w:rsidRPr="00D27192" w:rsidR="006D0A86">
        <w:rPr>
          <w:szCs w:val="26"/>
        </w:rPr>
        <w:t xml:space="preserve"> for the first time</w:t>
      </w:r>
      <w:r w:rsidRPr="00D27192" w:rsidR="00D655C1">
        <w:rPr>
          <w:szCs w:val="26"/>
        </w:rPr>
        <w:t xml:space="preserve"> on direct appeal </w:t>
      </w:r>
      <w:r w:rsidRPr="00D27192">
        <w:rPr>
          <w:szCs w:val="26"/>
        </w:rPr>
        <w:t xml:space="preserve">in the absence of a </w:t>
      </w:r>
      <w:r w:rsidRPr="00D27192" w:rsidR="009E250F">
        <w:rPr>
          <w:szCs w:val="26"/>
        </w:rPr>
        <w:t xml:space="preserve">showing </w:t>
      </w:r>
      <w:r w:rsidRPr="00D27192">
        <w:rPr>
          <w:szCs w:val="26"/>
        </w:rPr>
        <w:t xml:space="preserve">that an exception to the forfeiture doctrine applies.  If we are incorrect and the Legislature meant to allow a defendant to raise a section 745 claim for the first time on direct appeal, and to dispense with the rules of </w:t>
      </w:r>
      <w:r w:rsidRPr="00D27192" w:rsidR="006E29B4">
        <w:rPr>
          <w:szCs w:val="26"/>
        </w:rPr>
        <w:t xml:space="preserve">preservation and </w:t>
      </w:r>
      <w:r w:rsidRPr="00D27192">
        <w:rPr>
          <w:szCs w:val="26"/>
        </w:rPr>
        <w:t xml:space="preserve">forfeiture for </w:t>
      </w:r>
      <w:r w:rsidRPr="00D27192" w:rsidR="000E2C39">
        <w:rPr>
          <w:szCs w:val="26"/>
        </w:rPr>
        <w:t xml:space="preserve">a </w:t>
      </w:r>
      <w:r w:rsidRPr="00D27192">
        <w:rPr>
          <w:szCs w:val="26"/>
        </w:rPr>
        <w:t>claim that could have been but w</w:t>
      </w:r>
      <w:r w:rsidRPr="00D27192" w:rsidR="000E2C39">
        <w:rPr>
          <w:szCs w:val="26"/>
        </w:rPr>
        <w:t>as</w:t>
      </w:r>
      <w:r w:rsidRPr="00D27192">
        <w:rPr>
          <w:szCs w:val="26"/>
        </w:rPr>
        <w:t xml:space="preserve"> not raised in the trial court, </w:t>
      </w:r>
      <w:r w:rsidRPr="00D27192" w:rsidR="003E5E03">
        <w:rPr>
          <w:szCs w:val="26"/>
        </w:rPr>
        <w:t xml:space="preserve">the Legislature is at liberty to amend the statute.  </w:t>
      </w:r>
      <w:r w:rsidRPr="00D27192">
        <w:rPr>
          <w:szCs w:val="26"/>
        </w:rPr>
        <w:t xml:space="preserve">(See </w:t>
      </w:r>
      <w:r w:rsidRPr="00D27192" w:rsidR="003E5E03">
        <w:rPr>
          <w:i/>
          <w:iCs/>
          <w:szCs w:val="26"/>
        </w:rPr>
        <w:t>Settle</w:t>
      </w:r>
      <w:r w:rsidRPr="00D27192" w:rsidR="003E5E03">
        <w:rPr>
          <w:szCs w:val="26"/>
        </w:rPr>
        <w:t xml:space="preserve">, </w:t>
      </w:r>
      <w:r w:rsidRPr="00D27192" w:rsidR="003E5E03">
        <w:rPr>
          <w:i/>
          <w:iCs/>
          <w:szCs w:val="26"/>
        </w:rPr>
        <w:t>supra</w:t>
      </w:r>
      <w:r w:rsidRPr="00D27192" w:rsidR="003E5E03">
        <w:rPr>
          <w:szCs w:val="26"/>
        </w:rPr>
        <w:t>, 228 Cal.App.4th at p. 220.</w:t>
      </w:r>
      <w:r w:rsidRPr="00D27192">
        <w:rPr>
          <w:szCs w:val="26"/>
        </w:rPr>
        <w:t xml:space="preserve">) </w:t>
      </w:r>
    </w:p>
    <w:p w:rsidR="00C10BCE" w:rsidRPr="00D27192" w:rsidP="00C34A21" w14:paraId="3EB537CC" w14:textId="775F2AEF">
      <w:pPr>
        <w:spacing w:line="360" w:lineRule="auto"/>
        <w:rPr>
          <w:b/>
          <w:bCs/>
          <w:smallCaps/>
          <w:szCs w:val="26"/>
        </w:rPr>
      </w:pPr>
      <w:r w:rsidRPr="00D27192">
        <w:rPr>
          <w:b/>
          <w:bCs/>
          <w:smallCaps/>
          <w:szCs w:val="26"/>
        </w:rPr>
        <w:t>III.</w:t>
      </w:r>
      <w:r w:rsidRPr="00D27192">
        <w:rPr>
          <w:b/>
          <w:bCs/>
          <w:smallCaps/>
          <w:szCs w:val="26"/>
        </w:rPr>
        <w:tab/>
      </w:r>
      <w:r w:rsidRPr="00D27192" w:rsidR="00ED38EE">
        <w:rPr>
          <w:b/>
          <w:bCs/>
          <w:smallCaps/>
          <w:szCs w:val="26"/>
        </w:rPr>
        <w:t xml:space="preserve">Lashon’s </w:t>
      </w:r>
      <w:r w:rsidRPr="00D27192">
        <w:rPr>
          <w:b/>
          <w:bCs/>
          <w:smallCaps/>
          <w:szCs w:val="26"/>
        </w:rPr>
        <w:t xml:space="preserve">Section 745 Claim on Direct Appeal is Forfeited </w:t>
      </w:r>
    </w:p>
    <w:p w:rsidR="001E6AAE" w:rsidRPr="00D27192" w:rsidP="00C34A21" w14:paraId="2AC999B0" w14:textId="1F7807DD">
      <w:pPr>
        <w:spacing w:line="360" w:lineRule="auto"/>
        <w:rPr>
          <w:szCs w:val="26"/>
        </w:rPr>
      </w:pPr>
      <w:r w:rsidRPr="00D27192">
        <w:rPr>
          <w:b/>
          <w:bCs/>
          <w:smallCaps/>
          <w:szCs w:val="26"/>
        </w:rPr>
        <w:tab/>
      </w:r>
      <w:r w:rsidRPr="00D27192" w:rsidR="00205155">
        <w:rPr>
          <w:szCs w:val="26"/>
        </w:rPr>
        <w:t>Lashon asserts the general forfeiture rule should not apply</w:t>
      </w:r>
      <w:r w:rsidRPr="00D27192" w:rsidR="00056F1C">
        <w:rPr>
          <w:szCs w:val="26"/>
        </w:rPr>
        <w:t xml:space="preserve"> in this case</w:t>
      </w:r>
      <w:r w:rsidRPr="00D27192" w:rsidR="00205155">
        <w:rPr>
          <w:szCs w:val="26"/>
        </w:rPr>
        <w:t xml:space="preserve"> because her </w:t>
      </w:r>
      <w:r w:rsidRPr="00D27192" w:rsidR="004042E2">
        <w:rPr>
          <w:szCs w:val="26"/>
        </w:rPr>
        <w:t xml:space="preserve">section 745 </w:t>
      </w:r>
      <w:r w:rsidRPr="00D27192" w:rsidR="00205155">
        <w:rPr>
          <w:szCs w:val="26"/>
        </w:rPr>
        <w:t xml:space="preserve">claim involves a “substantial right” or “an important issue of constitutional law.” </w:t>
      </w:r>
      <w:r w:rsidRPr="00D27192" w:rsidR="00531577">
        <w:rPr>
          <w:szCs w:val="26"/>
        </w:rPr>
        <w:t xml:space="preserve"> </w:t>
      </w:r>
      <w:r w:rsidRPr="00D27192" w:rsidR="00205155">
        <w:rPr>
          <w:szCs w:val="26"/>
        </w:rPr>
        <w:t xml:space="preserve">Her reliance on </w:t>
      </w:r>
      <w:r w:rsidRPr="00D27192" w:rsidR="00205155">
        <w:rPr>
          <w:i/>
          <w:iCs/>
          <w:szCs w:val="26"/>
        </w:rPr>
        <w:t>In re Sheena K</w:t>
      </w:r>
      <w:r w:rsidRPr="00D27192" w:rsidR="00205155">
        <w:rPr>
          <w:szCs w:val="26"/>
        </w:rPr>
        <w:t xml:space="preserve">. (2007) 40 Cal.4th 875 for this assertion is misplaced. </w:t>
      </w:r>
      <w:r w:rsidR="007650C8">
        <w:rPr>
          <w:szCs w:val="26"/>
        </w:rPr>
        <w:t xml:space="preserve"> </w:t>
      </w:r>
      <w:r w:rsidRPr="00D27192" w:rsidR="00A936C7">
        <w:rPr>
          <w:szCs w:val="26"/>
        </w:rPr>
        <w:t xml:space="preserve">In </w:t>
      </w:r>
      <w:r w:rsidRPr="00D27192" w:rsidR="003A0A82">
        <w:rPr>
          <w:szCs w:val="26"/>
        </w:rPr>
        <w:t xml:space="preserve">that case, </w:t>
      </w:r>
      <w:r w:rsidRPr="00D27192" w:rsidR="00205155">
        <w:rPr>
          <w:szCs w:val="26"/>
        </w:rPr>
        <w:t>our Supreme Court held a juvenile could present for the first time a constitutional challenge to a probation condition on direct appeal as it presented “a pure question of law, easily remediable on appeal by modification of the condition.”  (</w:t>
      </w:r>
      <w:r w:rsidRPr="00D27192" w:rsidR="00205155">
        <w:rPr>
          <w:i/>
          <w:iCs/>
          <w:szCs w:val="26"/>
        </w:rPr>
        <w:t>Id</w:t>
      </w:r>
      <w:r w:rsidRPr="00D27192" w:rsidR="00205155">
        <w:rPr>
          <w:szCs w:val="26"/>
        </w:rPr>
        <w:t xml:space="preserve">. at p. 888.)  However, the court did </w:t>
      </w:r>
      <w:r w:rsidRPr="00D27192" w:rsidR="00205155">
        <w:rPr>
          <w:i/>
          <w:iCs/>
          <w:szCs w:val="26"/>
        </w:rPr>
        <w:t>not</w:t>
      </w:r>
      <w:r w:rsidRPr="00D27192" w:rsidR="00205155">
        <w:rPr>
          <w:szCs w:val="26"/>
        </w:rPr>
        <w:t xml:space="preserve"> conclude “that ‘all constitutional defects in conditions of probation may be raised for the first time on appeal, since there may be circumstances that do not present “pure questions of law that can be resolved without reference to the particular sentencing record developed in the trial court.”  [Citation.]  In those circumstances, “[t]raditional objection and waiver principles encourage development of the record and a proper exercise of discretion in the trial court.” ’ ”  (</w:t>
      </w:r>
      <w:r w:rsidRPr="00D27192" w:rsidR="00205155">
        <w:rPr>
          <w:i/>
          <w:iCs/>
          <w:szCs w:val="26"/>
        </w:rPr>
        <w:t>Id.</w:t>
      </w:r>
      <w:r w:rsidRPr="00D27192" w:rsidR="00205155">
        <w:rPr>
          <w:szCs w:val="26"/>
        </w:rPr>
        <w:t xml:space="preserve"> at p. 889.)  Simply put, Lashon’s claim of relief does not fall under the </w:t>
      </w:r>
      <w:r w:rsidRPr="00D27192" w:rsidR="00205155">
        <w:rPr>
          <w:i/>
          <w:iCs/>
          <w:szCs w:val="26"/>
        </w:rPr>
        <w:t>In re Sheena K.</w:t>
      </w:r>
      <w:r w:rsidRPr="00D27192" w:rsidR="00205155">
        <w:rPr>
          <w:szCs w:val="26"/>
        </w:rPr>
        <w:t xml:space="preserve"> exception because it does not present a pure question of law that can be resolved without consideration as to what occurred during the trial and sentencing proceedings. </w:t>
      </w:r>
      <w:r w:rsidRPr="00D27192">
        <w:rPr>
          <w:szCs w:val="26"/>
        </w:rPr>
        <w:t xml:space="preserve"> </w:t>
      </w:r>
    </w:p>
    <w:p w:rsidR="00841C11" w:rsidRPr="00D27192" w:rsidP="000A76F7" w14:paraId="02F91A82" w14:textId="73392100">
      <w:pPr>
        <w:spacing w:line="360" w:lineRule="auto"/>
        <w:rPr>
          <w:szCs w:val="26"/>
        </w:rPr>
      </w:pPr>
      <w:r w:rsidRPr="00D27192">
        <w:rPr>
          <w:szCs w:val="26"/>
        </w:rPr>
        <w:tab/>
      </w:r>
      <w:r w:rsidRPr="00D27192" w:rsidR="00503D12">
        <w:rPr>
          <w:szCs w:val="26"/>
        </w:rPr>
        <w:t>Lashon also argues the</w:t>
      </w:r>
      <w:r w:rsidRPr="00D27192" w:rsidR="00370728">
        <w:rPr>
          <w:szCs w:val="26"/>
        </w:rPr>
        <w:t xml:space="preserve"> general</w:t>
      </w:r>
      <w:r w:rsidRPr="00D27192" w:rsidR="00503D12">
        <w:rPr>
          <w:szCs w:val="26"/>
        </w:rPr>
        <w:t xml:space="preserve"> forfeiture rule should not </w:t>
      </w:r>
      <w:r w:rsidRPr="00D27192" w:rsidR="00370728">
        <w:rPr>
          <w:szCs w:val="26"/>
        </w:rPr>
        <w:t>apply</w:t>
      </w:r>
      <w:r w:rsidRPr="00D27192" w:rsidR="00056F1C">
        <w:rPr>
          <w:szCs w:val="26"/>
        </w:rPr>
        <w:t xml:space="preserve"> </w:t>
      </w:r>
      <w:r w:rsidRPr="00D27192" w:rsidR="00503D12">
        <w:rPr>
          <w:szCs w:val="26"/>
        </w:rPr>
        <w:t xml:space="preserve">because she did not have a meaningful opportunity to raise a </w:t>
      </w:r>
      <w:r w:rsidRPr="00D27192" w:rsidR="004042E2">
        <w:rPr>
          <w:szCs w:val="26"/>
        </w:rPr>
        <w:t>section</w:t>
      </w:r>
      <w:r w:rsidRPr="00D27192" w:rsidR="006A3E35">
        <w:rPr>
          <w:szCs w:val="26"/>
        </w:rPr>
        <w:t> </w:t>
      </w:r>
      <w:r w:rsidRPr="00D27192" w:rsidR="004042E2">
        <w:rPr>
          <w:szCs w:val="26"/>
        </w:rPr>
        <w:t>745</w:t>
      </w:r>
      <w:r w:rsidRPr="00D27192" w:rsidR="00503D12">
        <w:rPr>
          <w:szCs w:val="26"/>
        </w:rPr>
        <w:t xml:space="preserve"> claim </w:t>
      </w:r>
      <w:r w:rsidRPr="00D27192" w:rsidR="0070208E">
        <w:rPr>
          <w:szCs w:val="26"/>
        </w:rPr>
        <w:t xml:space="preserve">in the </w:t>
      </w:r>
      <w:r w:rsidRPr="00D27192" w:rsidR="00370728">
        <w:rPr>
          <w:szCs w:val="26"/>
        </w:rPr>
        <w:t xml:space="preserve">trial </w:t>
      </w:r>
      <w:r w:rsidRPr="00D27192" w:rsidR="0070208E">
        <w:rPr>
          <w:szCs w:val="26"/>
        </w:rPr>
        <w:t>court</w:t>
      </w:r>
      <w:r w:rsidRPr="00D27192">
        <w:rPr>
          <w:szCs w:val="26"/>
        </w:rPr>
        <w:t xml:space="preserve"> and an objection would</w:t>
      </w:r>
      <w:r w:rsidRPr="00D27192" w:rsidR="007825AF">
        <w:rPr>
          <w:szCs w:val="26"/>
        </w:rPr>
        <w:t xml:space="preserve"> have been </w:t>
      </w:r>
      <w:r w:rsidRPr="00D27192">
        <w:rPr>
          <w:szCs w:val="26"/>
        </w:rPr>
        <w:t>futile</w:t>
      </w:r>
      <w:r w:rsidRPr="00D27192" w:rsidR="0070208E">
        <w:rPr>
          <w:szCs w:val="26"/>
        </w:rPr>
        <w:t xml:space="preserve">. </w:t>
      </w:r>
      <w:r w:rsidRPr="00D27192" w:rsidR="00531577">
        <w:rPr>
          <w:szCs w:val="26"/>
        </w:rPr>
        <w:t xml:space="preserve"> </w:t>
      </w:r>
      <w:r w:rsidRPr="00D27192" w:rsidR="006B5622">
        <w:rPr>
          <w:szCs w:val="26"/>
        </w:rPr>
        <w:t xml:space="preserve">According to Lashon, </w:t>
      </w:r>
      <w:r w:rsidRPr="00D27192" w:rsidR="00503D12">
        <w:rPr>
          <w:szCs w:val="26"/>
        </w:rPr>
        <w:t xml:space="preserve">there were no obvious signs of </w:t>
      </w:r>
      <w:r w:rsidRPr="00D27192" w:rsidR="00EA7985">
        <w:rPr>
          <w:szCs w:val="26"/>
        </w:rPr>
        <w:t>racial bias by the</w:t>
      </w:r>
      <w:r w:rsidRPr="00D27192" w:rsidR="00E133BB">
        <w:rPr>
          <w:szCs w:val="26"/>
        </w:rPr>
        <w:t xml:space="preserve"> </w:t>
      </w:r>
      <w:r w:rsidRPr="00D27192" w:rsidR="00C52A95">
        <w:rPr>
          <w:szCs w:val="26"/>
        </w:rPr>
        <w:t>t</w:t>
      </w:r>
      <w:r w:rsidRPr="00D27192" w:rsidR="00EA7985">
        <w:rPr>
          <w:szCs w:val="26"/>
        </w:rPr>
        <w:t>rial judge “[u]</w:t>
      </w:r>
      <w:r w:rsidRPr="00D27192" w:rsidR="00996683">
        <w:rPr>
          <w:szCs w:val="26"/>
        </w:rPr>
        <w:t>n</w:t>
      </w:r>
      <w:r w:rsidRPr="00D27192" w:rsidR="00721EAB">
        <w:rPr>
          <w:szCs w:val="26"/>
        </w:rPr>
        <w:t>t</w:t>
      </w:r>
      <w:r w:rsidRPr="00D27192" w:rsidR="00996683">
        <w:rPr>
          <w:szCs w:val="26"/>
        </w:rPr>
        <w:t>il</w:t>
      </w:r>
      <w:r w:rsidRPr="00D27192" w:rsidR="006F1FDD">
        <w:rPr>
          <w:szCs w:val="26"/>
        </w:rPr>
        <w:t xml:space="preserve"> the African American defense attorney corrected the judge on her misassumption that the attorney had not followed the correct procedure on a subpoena duces tecum for medical records of a victim</w:t>
      </w:r>
      <w:r w:rsidRPr="00D27192" w:rsidR="00EA7985">
        <w:rPr>
          <w:szCs w:val="26"/>
        </w:rPr>
        <w:t>.”</w:t>
      </w:r>
      <w:r w:rsidRPr="00D27192" w:rsidR="00B44B83">
        <w:rPr>
          <w:szCs w:val="26"/>
        </w:rPr>
        <w:t xml:space="preserve"> </w:t>
      </w:r>
      <w:r w:rsidRPr="00D27192" w:rsidR="00531577">
        <w:rPr>
          <w:szCs w:val="26"/>
        </w:rPr>
        <w:t xml:space="preserve"> </w:t>
      </w:r>
      <w:r w:rsidRPr="00D27192" w:rsidR="00EA7985">
        <w:rPr>
          <w:szCs w:val="26"/>
        </w:rPr>
        <w:t>“</w:t>
      </w:r>
      <w:r w:rsidRPr="00D27192" w:rsidR="009E4BF3">
        <w:rPr>
          <w:szCs w:val="26"/>
        </w:rPr>
        <w:t>However, o</w:t>
      </w:r>
      <w:r w:rsidRPr="00D27192" w:rsidR="00EA7985">
        <w:rPr>
          <w:szCs w:val="26"/>
        </w:rPr>
        <w:t>n</w:t>
      </w:r>
      <w:r w:rsidRPr="00D27192" w:rsidR="006F1FDD">
        <w:rPr>
          <w:szCs w:val="26"/>
        </w:rPr>
        <w:t>ce this judge felt challenged by this attorney of color, both she and her client be</w:t>
      </w:r>
      <w:r w:rsidRPr="00D27192" w:rsidR="00BF61CD">
        <w:rPr>
          <w:szCs w:val="26"/>
        </w:rPr>
        <w:t>came</w:t>
      </w:r>
      <w:r w:rsidRPr="00D27192" w:rsidR="006F1FDD">
        <w:rPr>
          <w:szCs w:val="26"/>
        </w:rPr>
        <w:t xml:space="preserve"> targets of increasing hostility.  This behavior seems most likely explained by the implicit bias held by the judge which was unleashed only after she felt her authority</w:t>
      </w:r>
      <w:r w:rsidRPr="00D27192" w:rsidR="009F6298">
        <w:rPr>
          <w:szCs w:val="26"/>
        </w:rPr>
        <w:t xml:space="preserve"> </w:t>
      </w:r>
      <w:r w:rsidRPr="00D27192" w:rsidR="006F1FDD">
        <w:rPr>
          <w:szCs w:val="26"/>
        </w:rPr>
        <w:t>questioned.  When the trial attorney did object to the trial court’s behavior</w:t>
      </w:r>
      <w:r w:rsidRPr="00D27192" w:rsidR="00706A70">
        <w:rPr>
          <w:szCs w:val="26"/>
        </w:rPr>
        <w:t>s,</w:t>
      </w:r>
      <w:r w:rsidRPr="00D27192" w:rsidR="006F1FDD">
        <w:rPr>
          <w:szCs w:val="26"/>
        </w:rPr>
        <w:t xml:space="preserve"> she was met with denials and greater hostility.”</w:t>
      </w:r>
    </w:p>
    <w:p w:rsidR="00311B2D" w:rsidRPr="00D27192" w:rsidP="000A76F7" w14:paraId="2905EDD0" w14:textId="1FA54A30">
      <w:pPr>
        <w:spacing w:line="360" w:lineRule="auto"/>
        <w:rPr>
          <w:szCs w:val="26"/>
        </w:rPr>
      </w:pPr>
      <w:r w:rsidRPr="00D27192">
        <w:rPr>
          <w:szCs w:val="26"/>
        </w:rPr>
        <w:tab/>
      </w:r>
      <w:r w:rsidRPr="00D27192" w:rsidR="00493295">
        <w:rPr>
          <w:szCs w:val="26"/>
        </w:rPr>
        <w:t xml:space="preserve">We find this argument unavailing as Lashon has not demonstrated she could not object or an objection would have been futile.  </w:t>
      </w:r>
      <w:r w:rsidRPr="00D27192" w:rsidR="00EA7985">
        <w:rPr>
          <w:szCs w:val="26"/>
        </w:rPr>
        <w:t xml:space="preserve">Even if </w:t>
      </w:r>
      <w:r w:rsidRPr="00D27192" w:rsidR="00D51D78">
        <w:rPr>
          <w:szCs w:val="26"/>
        </w:rPr>
        <w:t xml:space="preserve">her </w:t>
      </w:r>
      <w:r w:rsidRPr="00D27192" w:rsidR="00EA7985">
        <w:rPr>
          <w:szCs w:val="26"/>
        </w:rPr>
        <w:t xml:space="preserve">counsel did not want to antagonize the trial judge during the trial, a section 745 motion could have been filed </w:t>
      </w:r>
      <w:r w:rsidRPr="00D27192" w:rsidR="00DF0180">
        <w:rPr>
          <w:szCs w:val="26"/>
        </w:rPr>
        <w:t xml:space="preserve">immediately after the </w:t>
      </w:r>
      <w:r w:rsidRPr="00D27192" w:rsidR="0057437B">
        <w:rPr>
          <w:szCs w:val="26"/>
        </w:rPr>
        <w:t xml:space="preserve">trial judge gave her </w:t>
      </w:r>
      <w:r w:rsidRPr="00D27192" w:rsidR="00DF0180">
        <w:rPr>
          <w:szCs w:val="26"/>
        </w:rPr>
        <w:t xml:space="preserve">reasons for </w:t>
      </w:r>
      <w:r w:rsidRPr="00D27192" w:rsidR="009858F5">
        <w:rPr>
          <w:szCs w:val="26"/>
        </w:rPr>
        <w:t>choosing the</w:t>
      </w:r>
      <w:r w:rsidRPr="00D27192" w:rsidR="00DF0180">
        <w:rPr>
          <w:szCs w:val="26"/>
        </w:rPr>
        <w:t xml:space="preserve"> sentence</w:t>
      </w:r>
      <w:r w:rsidR="005916C5">
        <w:rPr>
          <w:szCs w:val="26"/>
        </w:rPr>
        <w:t xml:space="preserve"> </w:t>
      </w:r>
      <w:r w:rsidRPr="00D27192" w:rsidR="009858F5">
        <w:rPr>
          <w:szCs w:val="26"/>
        </w:rPr>
        <w:t>she was about to impose</w:t>
      </w:r>
      <w:r w:rsidRPr="00D27192" w:rsidR="00DF0180">
        <w:rPr>
          <w:szCs w:val="26"/>
        </w:rPr>
        <w:t xml:space="preserve">. </w:t>
      </w:r>
      <w:r w:rsidRPr="00D27192" w:rsidR="009858F5">
        <w:rPr>
          <w:szCs w:val="26"/>
        </w:rPr>
        <w:t xml:space="preserve"> </w:t>
      </w:r>
      <w:r w:rsidRPr="00D27192" w:rsidR="00EA7985">
        <w:rPr>
          <w:szCs w:val="26"/>
        </w:rPr>
        <w:t xml:space="preserve">(See, e.g., </w:t>
      </w:r>
      <w:r w:rsidRPr="00D27192" w:rsidR="00EA7985">
        <w:rPr>
          <w:i/>
          <w:iCs/>
          <w:szCs w:val="26"/>
        </w:rPr>
        <w:t>People v. Garcia</w:t>
      </w:r>
      <w:r w:rsidRPr="00D27192" w:rsidR="00EA7985">
        <w:rPr>
          <w:szCs w:val="26"/>
        </w:rPr>
        <w:t xml:space="preserve"> (2022) 85 Cal.App.5th 290, 295–298 (</w:t>
      </w:r>
      <w:r w:rsidRPr="00D27192" w:rsidR="00EA7985">
        <w:rPr>
          <w:i/>
          <w:iCs/>
          <w:szCs w:val="26"/>
        </w:rPr>
        <w:t>Garcia</w:t>
      </w:r>
      <w:r w:rsidRPr="00D27192" w:rsidR="00EA7985">
        <w:rPr>
          <w:szCs w:val="26"/>
        </w:rPr>
        <w:t>) [trial court abused its discretion in denying request for continuance of sentencing to allow defendant time to prepare a motion for substantive relief under § 745]</w:t>
      </w:r>
      <w:r w:rsidRPr="00D27192" w:rsidR="00C8347A">
        <w:rPr>
          <w:szCs w:val="26"/>
        </w:rPr>
        <w:t>.)</w:t>
      </w:r>
      <w:r>
        <w:rPr>
          <w:rStyle w:val="FootnoteReference"/>
          <w:szCs w:val="26"/>
        </w:rPr>
        <w:footnoteReference w:id="7"/>
      </w:r>
      <w:r w:rsidRPr="00D27192" w:rsidR="002932EF">
        <w:rPr>
          <w:szCs w:val="26"/>
        </w:rPr>
        <w:t xml:space="preserve"> </w:t>
      </w:r>
    </w:p>
    <w:p w:rsidR="0037782F" w:rsidRPr="00D27192" w:rsidP="00841C11" w14:paraId="0FE2C9A3" w14:textId="050D8C43">
      <w:pPr>
        <w:spacing w:line="360" w:lineRule="auto"/>
        <w:ind w:left="720" w:hanging="720"/>
        <w:rPr>
          <w:b/>
          <w:bCs/>
          <w:smallCaps/>
          <w:szCs w:val="26"/>
        </w:rPr>
      </w:pPr>
      <w:r w:rsidRPr="00D27192">
        <w:rPr>
          <w:b/>
          <w:bCs/>
          <w:smallCaps/>
          <w:szCs w:val="26"/>
        </w:rPr>
        <w:t>IV.</w:t>
      </w:r>
      <w:r w:rsidRPr="00D27192">
        <w:rPr>
          <w:b/>
          <w:bCs/>
          <w:smallCaps/>
          <w:szCs w:val="26"/>
        </w:rPr>
        <w:tab/>
      </w:r>
      <w:r w:rsidRPr="00D27192" w:rsidR="00ED38EE">
        <w:rPr>
          <w:b/>
          <w:bCs/>
          <w:smallCaps/>
          <w:szCs w:val="26"/>
        </w:rPr>
        <w:t xml:space="preserve">Lashon’s </w:t>
      </w:r>
      <w:r w:rsidRPr="00D27192">
        <w:rPr>
          <w:b/>
          <w:bCs/>
          <w:smallCaps/>
          <w:szCs w:val="26"/>
        </w:rPr>
        <w:t>Motion to Stay Appeal And Remand To File Section 745 Motion is Denied</w:t>
      </w:r>
    </w:p>
    <w:p w:rsidR="00F44D6C" w:rsidRPr="00D27192" w:rsidP="000A76F7" w14:paraId="796C8FC6" w14:textId="46CC2103">
      <w:pPr>
        <w:spacing w:line="360" w:lineRule="auto"/>
        <w:rPr>
          <w:szCs w:val="26"/>
        </w:rPr>
      </w:pPr>
      <w:r w:rsidRPr="00D27192">
        <w:rPr>
          <w:szCs w:val="26"/>
        </w:rPr>
        <w:tab/>
        <w:t>Lashon requests we</w:t>
      </w:r>
      <w:r w:rsidRPr="00D27192" w:rsidR="00AF7A59">
        <w:rPr>
          <w:szCs w:val="26"/>
        </w:rPr>
        <w:t xml:space="preserve"> </w:t>
      </w:r>
      <w:r w:rsidRPr="00D27192" w:rsidR="00084CB7">
        <w:rPr>
          <w:szCs w:val="26"/>
        </w:rPr>
        <w:t xml:space="preserve">stay the appeal and remand to </w:t>
      </w:r>
      <w:r w:rsidRPr="00D27192" w:rsidR="00624118">
        <w:rPr>
          <w:szCs w:val="26"/>
        </w:rPr>
        <w:t>allow her to file a section</w:t>
      </w:r>
      <w:r w:rsidRPr="00D27192" w:rsidR="00D334A5">
        <w:rPr>
          <w:szCs w:val="26"/>
        </w:rPr>
        <w:t> </w:t>
      </w:r>
      <w:r w:rsidRPr="00D27192" w:rsidR="00624118">
        <w:rPr>
          <w:szCs w:val="26"/>
        </w:rPr>
        <w:t>745 motion in the</w:t>
      </w:r>
      <w:r w:rsidRPr="00D27192" w:rsidR="00576C37">
        <w:rPr>
          <w:szCs w:val="26"/>
        </w:rPr>
        <w:t xml:space="preserve"> superior </w:t>
      </w:r>
      <w:r w:rsidRPr="00D27192" w:rsidR="00624118">
        <w:rPr>
          <w:szCs w:val="26"/>
        </w:rPr>
        <w:t xml:space="preserve">court. </w:t>
      </w:r>
      <w:r w:rsidRPr="00D27192" w:rsidR="00531577">
        <w:rPr>
          <w:szCs w:val="26"/>
        </w:rPr>
        <w:t xml:space="preserve"> </w:t>
      </w:r>
      <w:r w:rsidRPr="00D27192">
        <w:rPr>
          <w:szCs w:val="26"/>
        </w:rPr>
        <w:t xml:space="preserve">While there may be circumstances in which a court of appeal </w:t>
      </w:r>
      <w:r w:rsidR="00F12255">
        <w:rPr>
          <w:szCs w:val="26"/>
        </w:rPr>
        <w:t>chooses to</w:t>
      </w:r>
      <w:r w:rsidRPr="00D27192">
        <w:rPr>
          <w:szCs w:val="26"/>
        </w:rPr>
        <w:t xml:space="preserve"> exercise its discretion to stay a CRJA appeal and remand, </w:t>
      </w:r>
      <w:r w:rsidR="007650C8">
        <w:rPr>
          <w:szCs w:val="26"/>
        </w:rPr>
        <w:t>we find no basis for doing so in this case</w:t>
      </w:r>
      <w:r w:rsidRPr="00D27192">
        <w:rPr>
          <w:szCs w:val="26"/>
        </w:rPr>
        <w:t xml:space="preserve">.  </w:t>
      </w:r>
    </w:p>
    <w:p w:rsidR="00F44D6C" w:rsidP="007650C8" w14:paraId="2BDE66B5" w14:textId="364F260C">
      <w:pPr>
        <w:spacing w:line="360" w:lineRule="auto"/>
        <w:rPr>
          <w:szCs w:val="26"/>
        </w:rPr>
      </w:pPr>
      <w:r w:rsidRPr="007650C8">
        <w:rPr>
          <w:szCs w:val="26"/>
        </w:rPr>
        <w:tab/>
      </w:r>
      <w:r w:rsidR="007650C8">
        <w:rPr>
          <w:szCs w:val="26"/>
        </w:rPr>
        <w:t>We have reviewed the evolution of the CRJA</w:t>
      </w:r>
      <w:r w:rsidR="00DD4A74">
        <w:rPr>
          <w:szCs w:val="26"/>
        </w:rPr>
        <w:t xml:space="preserve"> </w:t>
      </w:r>
      <w:r w:rsidRPr="007164D3" w:rsidR="00DD4A74">
        <w:rPr>
          <w:i/>
          <w:iCs/>
        </w:rPr>
        <w:t>ante</w:t>
      </w:r>
      <w:r w:rsidR="007650C8">
        <w:rPr>
          <w:szCs w:val="26"/>
        </w:rPr>
        <w:t xml:space="preserve">.  In brief, </w:t>
      </w:r>
      <w:r w:rsidRPr="007650C8" w:rsidR="007650C8">
        <w:rPr>
          <w:szCs w:val="26"/>
        </w:rPr>
        <w:t xml:space="preserve">CRJA </w:t>
      </w:r>
      <w:r w:rsidRPr="007650C8">
        <w:rPr>
          <w:szCs w:val="26"/>
        </w:rPr>
        <w:t>relief was originally limited to cases in which judgment had not been entered prior to January 1, 2021</w:t>
      </w:r>
      <w:r w:rsidR="007650C8">
        <w:rPr>
          <w:szCs w:val="26"/>
        </w:rPr>
        <w:t xml:space="preserve"> (such as Lashon’s case)</w:t>
      </w:r>
      <w:r w:rsidRPr="007650C8" w:rsidR="007650C8">
        <w:rPr>
          <w:szCs w:val="26"/>
        </w:rPr>
        <w:t>.</w:t>
      </w:r>
      <w:r w:rsidRPr="007650C8">
        <w:rPr>
          <w:szCs w:val="26"/>
        </w:rPr>
        <w:t xml:space="preserve"> </w:t>
      </w:r>
      <w:r w:rsidRPr="007650C8" w:rsidR="007650C8">
        <w:rPr>
          <w:szCs w:val="26"/>
        </w:rPr>
        <w:t xml:space="preserve"> T</w:t>
      </w:r>
      <w:r w:rsidRPr="007650C8">
        <w:rPr>
          <w:szCs w:val="26"/>
        </w:rPr>
        <w:t xml:space="preserve">he Legislature enacted amendments </w:t>
      </w:r>
      <w:r w:rsidR="00D629F7">
        <w:rPr>
          <w:szCs w:val="26"/>
        </w:rPr>
        <w:t>making</w:t>
      </w:r>
      <w:r w:rsidRPr="007650C8">
        <w:rPr>
          <w:szCs w:val="26"/>
        </w:rPr>
        <w:t xml:space="preserve"> section 745 relief available in all cases in which judgment was not final and created a timeline for retroactive relief spanning 2023 to 2026.  </w:t>
      </w:r>
      <w:r w:rsidRPr="007650C8" w:rsidR="007650C8">
        <w:rPr>
          <w:szCs w:val="26"/>
        </w:rPr>
        <w:t>The following year, the</w:t>
      </w:r>
      <w:r w:rsidRPr="007650C8">
        <w:rPr>
          <w:szCs w:val="26"/>
        </w:rPr>
        <w:t xml:space="preserve"> Legislature enacted AB 1118, which now allows a defendant to seek review of a section 745 claim on direct appeal if the violation was based on the trial record or, in the alternative, request a stay of the direct appeal and remand to allow the filing of a motion in the trial court. </w:t>
      </w:r>
      <w:r w:rsidRPr="007650C8" w:rsidR="007650C8">
        <w:rPr>
          <w:szCs w:val="26"/>
        </w:rPr>
        <w:t xml:space="preserve"> </w:t>
      </w:r>
      <w:r w:rsidRPr="007650C8">
        <w:rPr>
          <w:szCs w:val="26"/>
        </w:rPr>
        <w:t xml:space="preserve">This stay and remand procedure was designed “to permit the trial court to rule on the claim in the first instance, and to allow the parties to </w:t>
      </w:r>
      <w:r w:rsidR="00C102E2">
        <w:rPr>
          <w:szCs w:val="26"/>
        </w:rPr>
        <w:t xml:space="preserve">fully </w:t>
      </w:r>
      <w:r w:rsidRPr="007650C8">
        <w:rPr>
          <w:szCs w:val="26"/>
        </w:rPr>
        <w:t>litigate the issue.” (Sen. Com. on Pub. Saf., Analysis of Assem. Bill No. 1118 (2023</w:t>
      </w:r>
      <w:r w:rsidR="00C102E2">
        <w:rPr>
          <w:szCs w:val="26"/>
        </w:rPr>
        <w:t>–</w:t>
      </w:r>
      <w:r w:rsidRPr="007650C8">
        <w:rPr>
          <w:szCs w:val="26"/>
        </w:rPr>
        <w:t>2024 Reg. Sess.) as amended May 18, 2023, at p. 7; Assem. Com. on Pub. Saf., Analysis of Assem. Bill No. 1118 (2023</w:t>
      </w:r>
      <w:r w:rsidR="00C102E2">
        <w:rPr>
          <w:szCs w:val="26"/>
        </w:rPr>
        <w:t>–</w:t>
      </w:r>
      <w:r w:rsidRPr="007650C8">
        <w:rPr>
          <w:szCs w:val="26"/>
        </w:rPr>
        <w:t>2024 Reg. Sess.) as amended Mar. 15, 2023, at p. 6.)</w:t>
      </w:r>
      <w:r w:rsidR="007650C8">
        <w:rPr>
          <w:szCs w:val="26"/>
        </w:rPr>
        <w:t xml:space="preserve">  </w:t>
      </w:r>
      <w:r w:rsidRPr="007650C8" w:rsidR="007650C8">
        <w:rPr>
          <w:szCs w:val="26"/>
        </w:rPr>
        <w:t xml:space="preserve">Therefore, it appears </w:t>
      </w:r>
      <w:r w:rsidRPr="007650C8">
        <w:rPr>
          <w:szCs w:val="26"/>
        </w:rPr>
        <w:t>the Legislature intended the stay</w:t>
      </w:r>
      <w:r w:rsidRPr="007650C8" w:rsidR="007650C8">
        <w:rPr>
          <w:szCs w:val="26"/>
        </w:rPr>
        <w:t xml:space="preserve"> </w:t>
      </w:r>
      <w:r w:rsidRPr="007650C8">
        <w:rPr>
          <w:szCs w:val="26"/>
        </w:rPr>
        <w:t>and</w:t>
      </w:r>
      <w:r w:rsidRPr="007650C8" w:rsidR="007650C8">
        <w:rPr>
          <w:szCs w:val="26"/>
        </w:rPr>
        <w:t xml:space="preserve"> </w:t>
      </w:r>
      <w:r w:rsidRPr="007650C8">
        <w:rPr>
          <w:szCs w:val="26"/>
        </w:rPr>
        <w:t xml:space="preserve">remand procedure to be </w:t>
      </w:r>
      <w:r w:rsidRPr="007650C8" w:rsidR="007650C8">
        <w:rPr>
          <w:szCs w:val="26"/>
        </w:rPr>
        <w:t>available in</w:t>
      </w:r>
      <w:r w:rsidRPr="007650C8">
        <w:rPr>
          <w:szCs w:val="26"/>
        </w:rPr>
        <w:t xml:space="preserve"> cases that need further factual development</w:t>
      </w:r>
      <w:r w:rsidRPr="007650C8" w:rsidR="007650C8">
        <w:rPr>
          <w:szCs w:val="26"/>
        </w:rPr>
        <w:t>.</w:t>
      </w:r>
    </w:p>
    <w:p w:rsidR="007650C8" w:rsidRPr="007650C8" w:rsidP="007650C8" w14:paraId="657F9839" w14:textId="3CF595AA">
      <w:pPr>
        <w:spacing w:line="360" w:lineRule="auto"/>
        <w:rPr>
          <w:szCs w:val="26"/>
        </w:rPr>
      </w:pPr>
      <w:r w:rsidRPr="00D27192">
        <w:rPr>
          <w:szCs w:val="26"/>
        </w:rPr>
        <w:tab/>
        <w:t>Lashon</w:t>
      </w:r>
      <w:r>
        <w:rPr>
          <w:szCs w:val="26"/>
        </w:rPr>
        <w:t xml:space="preserve">’s direct appeal is based solely on </w:t>
      </w:r>
      <w:r w:rsidRPr="00D27192">
        <w:rPr>
          <w:szCs w:val="26"/>
        </w:rPr>
        <w:t xml:space="preserve">her claim of a violation of section 745.  </w:t>
      </w:r>
      <w:r>
        <w:rPr>
          <w:szCs w:val="26"/>
        </w:rPr>
        <w:t>She</w:t>
      </w:r>
      <w:r w:rsidRPr="00D27192">
        <w:rPr>
          <w:szCs w:val="26"/>
        </w:rPr>
        <w:t xml:space="preserve"> </w:t>
      </w:r>
      <w:r>
        <w:rPr>
          <w:szCs w:val="26"/>
        </w:rPr>
        <w:t xml:space="preserve">does not identify what factual development is needed regarding that claim and </w:t>
      </w:r>
      <w:r w:rsidR="008732C8">
        <w:rPr>
          <w:szCs w:val="26"/>
        </w:rPr>
        <w:t xml:space="preserve">simply maintains that the record is sufficient to require a hearing to determine if the trial judge exhibited implicit bias.  </w:t>
      </w:r>
      <w:r w:rsidRPr="00D27192">
        <w:rPr>
          <w:szCs w:val="26"/>
        </w:rPr>
        <w:t xml:space="preserve">As Lashon </w:t>
      </w:r>
      <w:r>
        <w:rPr>
          <w:szCs w:val="26"/>
        </w:rPr>
        <w:t xml:space="preserve">both </w:t>
      </w:r>
      <w:r w:rsidRPr="00D27192">
        <w:rPr>
          <w:szCs w:val="26"/>
        </w:rPr>
        <w:t xml:space="preserve">had the opportunity to raise a CRJA violation and develop the record in the trial </w:t>
      </w:r>
      <w:r w:rsidRPr="007650C8">
        <w:rPr>
          <w:szCs w:val="26"/>
        </w:rPr>
        <w:t xml:space="preserve">court and fails to identify what factual development (if any) is now needed in the trial court, we decline to stay and remand the matter. </w:t>
      </w:r>
    </w:p>
    <w:p w:rsidR="00502C54" w:rsidRPr="00D27192" w:rsidP="007650C8" w14:paraId="2AE51EA1" w14:textId="68260CD4">
      <w:pPr>
        <w:spacing w:line="360" w:lineRule="auto"/>
        <w:rPr>
          <w:szCs w:val="26"/>
        </w:rPr>
      </w:pPr>
      <w:r w:rsidRPr="007650C8">
        <w:rPr>
          <w:b/>
          <w:bCs/>
          <w:smallCaps/>
          <w:szCs w:val="26"/>
        </w:rPr>
        <w:tab/>
      </w:r>
      <w:r w:rsidRPr="007650C8">
        <w:rPr>
          <w:szCs w:val="26"/>
        </w:rPr>
        <w:t>This does not leave</w:t>
      </w:r>
      <w:r w:rsidRPr="00D27192">
        <w:rPr>
          <w:szCs w:val="26"/>
        </w:rPr>
        <w:t xml:space="preserve"> Lashon</w:t>
      </w:r>
      <w:r w:rsidRPr="00D27192" w:rsidR="00CA6A36">
        <w:rPr>
          <w:szCs w:val="26"/>
        </w:rPr>
        <w:t xml:space="preserve"> </w:t>
      </w:r>
      <w:r w:rsidRPr="00D27192" w:rsidR="000A314C">
        <w:rPr>
          <w:szCs w:val="26"/>
        </w:rPr>
        <w:t>without a</w:t>
      </w:r>
      <w:r w:rsidRPr="00D27192" w:rsidR="00782F8B">
        <w:rPr>
          <w:szCs w:val="26"/>
        </w:rPr>
        <w:t>n adequate</w:t>
      </w:r>
      <w:r w:rsidRPr="00D27192" w:rsidR="000A314C">
        <w:rPr>
          <w:szCs w:val="26"/>
        </w:rPr>
        <w:t xml:space="preserve"> remedy.  </w:t>
      </w:r>
      <w:r w:rsidRPr="00D27192" w:rsidR="00ED38EE">
        <w:rPr>
          <w:szCs w:val="26"/>
        </w:rPr>
        <w:t>Indeed, a</w:t>
      </w:r>
      <w:r w:rsidRPr="00D27192">
        <w:rPr>
          <w:szCs w:val="26"/>
        </w:rPr>
        <w:t>s s</w:t>
      </w:r>
      <w:r w:rsidRPr="00D27192" w:rsidR="000A314C">
        <w:rPr>
          <w:szCs w:val="26"/>
        </w:rPr>
        <w:t>he</w:t>
      </w:r>
      <w:r w:rsidRPr="00D27192">
        <w:rPr>
          <w:szCs w:val="26"/>
        </w:rPr>
        <w:t xml:space="preserve"> </w:t>
      </w:r>
      <w:r w:rsidRPr="00D27192" w:rsidR="000A314C">
        <w:rPr>
          <w:szCs w:val="26"/>
        </w:rPr>
        <w:t>has informed us</w:t>
      </w:r>
      <w:r w:rsidRPr="00D27192">
        <w:rPr>
          <w:szCs w:val="26"/>
        </w:rPr>
        <w:t>,</w:t>
      </w:r>
      <w:r w:rsidRPr="00D27192" w:rsidR="00711B89">
        <w:rPr>
          <w:szCs w:val="26"/>
        </w:rPr>
        <w:t xml:space="preserve"> </w:t>
      </w:r>
      <w:r w:rsidRPr="00D27192" w:rsidR="00CA3D73">
        <w:rPr>
          <w:szCs w:val="26"/>
        </w:rPr>
        <w:t xml:space="preserve">her </w:t>
      </w:r>
      <w:r w:rsidRPr="00D27192" w:rsidR="00056F1C">
        <w:rPr>
          <w:szCs w:val="26"/>
        </w:rPr>
        <w:t xml:space="preserve">claim of a </w:t>
      </w:r>
      <w:r w:rsidRPr="00D27192" w:rsidR="008B717F">
        <w:rPr>
          <w:szCs w:val="26"/>
        </w:rPr>
        <w:t xml:space="preserve">violation of </w:t>
      </w:r>
      <w:r w:rsidRPr="00D27192" w:rsidR="004042E2">
        <w:rPr>
          <w:szCs w:val="26"/>
        </w:rPr>
        <w:t>section</w:t>
      </w:r>
      <w:r w:rsidRPr="00D27192" w:rsidR="008B717F">
        <w:rPr>
          <w:szCs w:val="26"/>
        </w:rPr>
        <w:t> </w:t>
      </w:r>
      <w:r w:rsidRPr="00D27192" w:rsidR="004042E2">
        <w:rPr>
          <w:szCs w:val="26"/>
        </w:rPr>
        <w:t xml:space="preserve">745 </w:t>
      </w:r>
      <w:r w:rsidRPr="00D27192" w:rsidR="00CA3D73">
        <w:rPr>
          <w:szCs w:val="26"/>
        </w:rPr>
        <w:t xml:space="preserve">has been made in a petition for a writ of habeas corpus </w:t>
      </w:r>
      <w:r w:rsidRPr="00D27192" w:rsidR="00517ECA">
        <w:rPr>
          <w:szCs w:val="26"/>
        </w:rPr>
        <w:t>filed and currently pending</w:t>
      </w:r>
      <w:r w:rsidRPr="00D27192" w:rsidR="00CA3D73">
        <w:rPr>
          <w:szCs w:val="26"/>
        </w:rPr>
        <w:t xml:space="preserve"> in t</w:t>
      </w:r>
      <w:r w:rsidRPr="00D27192" w:rsidR="00517ECA">
        <w:rPr>
          <w:szCs w:val="26"/>
        </w:rPr>
        <w:t xml:space="preserve">he Supreme Court, a court of competent jurisdiction in which to file the petition as required under section 745, subdivision (b). </w:t>
      </w:r>
      <w:r w:rsidRPr="00D27192" w:rsidR="005B4F6A">
        <w:rPr>
          <w:szCs w:val="26"/>
        </w:rPr>
        <w:t xml:space="preserve"> (</w:t>
      </w:r>
      <w:r w:rsidRPr="00D27192" w:rsidR="005B4F6A">
        <w:rPr>
          <w:i/>
          <w:iCs/>
          <w:szCs w:val="26"/>
        </w:rPr>
        <w:t xml:space="preserve">In re Menique </w:t>
      </w:r>
      <w:r w:rsidRPr="00D27192" w:rsidR="009E4BF3">
        <w:rPr>
          <w:i/>
          <w:iCs/>
          <w:szCs w:val="26"/>
        </w:rPr>
        <w:t>Lashon</w:t>
      </w:r>
      <w:r w:rsidRPr="00D27192" w:rsidR="009E4BF3">
        <w:rPr>
          <w:szCs w:val="26"/>
        </w:rPr>
        <w:t>,</w:t>
      </w:r>
      <w:r w:rsidRPr="00D27192" w:rsidR="005B4F6A">
        <w:rPr>
          <w:szCs w:val="26"/>
        </w:rPr>
        <w:t xml:space="preserve"> petn.</w:t>
      </w:r>
      <w:r w:rsidR="00C102E2">
        <w:rPr>
          <w:szCs w:val="26"/>
        </w:rPr>
        <w:t xml:space="preserve"> pending, ptn.</w:t>
      </w:r>
      <w:r w:rsidRPr="00D27192" w:rsidR="005B4F6A">
        <w:rPr>
          <w:szCs w:val="26"/>
        </w:rPr>
        <w:t xml:space="preserve"> filed Oct. 16, 2023, </w:t>
      </w:r>
      <w:r w:rsidRPr="00D27192" w:rsidR="009E4BF3">
        <w:rPr>
          <w:szCs w:val="26"/>
        </w:rPr>
        <w:t>S282242</w:t>
      </w:r>
      <w:r w:rsidRPr="00D27192" w:rsidR="00E637E8">
        <w:rPr>
          <w:szCs w:val="26"/>
        </w:rPr>
        <w:t>.</w:t>
      </w:r>
      <w:r w:rsidRPr="00D27192" w:rsidR="009E4BF3">
        <w:rPr>
          <w:szCs w:val="26"/>
        </w:rPr>
        <w:t>)</w:t>
      </w:r>
      <w:r>
        <w:rPr>
          <w:rStyle w:val="FootnoteReference"/>
          <w:szCs w:val="26"/>
        </w:rPr>
        <w:footnoteReference w:id="8"/>
      </w:r>
      <w:r w:rsidRPr="00D27192" w:rsidR="008B717F">
        <w:rPr>
          <w:szCs w:val="26"/>
        </w:rPr>
        <w:t xml:space="preserve"> </w:t>
      </w:r>
    </w:p>
    <w:p w:rsidR="005B18AF" w:rsidRPr="00D27192" w:rsidP="006612ED" w14:paraId="2875C247" w14:textId="2D49D269">
      <w:pPr>
        <w:spacing w:line="360" w:lineRule="auto"/>
        <w:jc w:val="center"/>
        <w:rPr>
          <w:smallCaps/>
          <w:szCs w:val="26"/>
        </w:rPr>
      </w:pPr>
      <w:r w:rsidRPr="00D27192">
        <w:rPr>
          <w:b/>
          <w:smallCaps/>
          <w:szCs w:val="26"/>
        </w:rPr>
        <w:t>Disposition</w:t>
      </w:r>
    </w:p>
    <w:p w:rsidR="00F3321C" w:rsidP="00140484" w14:paraId="1206A985" w14:textId="68CF6861">
      <w:pPr>
        <w:spacing w:line="360" w:lineRule="auto"/>
        <w:rPr>
          <w:szCs w:val="26"/>
        </w:rPr>
      </w:pPr>
      <w:r w:rsidRPr="00D27192">
        <w:rPr>
          <w:szCs w:val="26"/>
        </w:rPr>
        <w:tab/>
      </w:r>
      <w:r w:rsidRPr="00D27192" w:rsidR="00502C54">
        <w:rPr>
          <w:szCs w:val="26"/>
        </w:rPr>
        <w:t xml:space="preserve">Our </w:t>
      </w:r>
      <w:r w:rsidRPr="00D27192" w:rsidR="00624118">
        <w:rPr>
          <w:szCs w:val="26"/>
        </w:rPr>
        <w:t>September</w:t>
      </w:r>
      <w:r w:rsidRPr="00D27192" w:rsidR="00D334A5">
        <w:rPr>
          <w:szCs w:val="26"/>
        </w:rPr>
        <w:t> </w:t>
      </w:r>
      <w:r w:rsidRPr="00D27192" w:rsidR="00624118">
        <w:rPr>
          <w:szCs w:val="26"/>
        </w:rPr>
        <w:t>1,</w:t>
      </w:r>
      <w:r w:rsidRPr="00D27192" w:rsidR="00D334A5">
        <w:rPr>
          <w:szCs w:val="26"/>
        </w:rPr>
        <w:t> </w:t>
      </w:r>
      <w:r w:rsidRPr="00D27192" w:rsidR="00624118">
        <w:rPr>
          <w:szCs w:val="26"/>
        </w:rPr>
        <w:t xml:space="preserve">2023 opinion is vacated.  </w:t>
      </w:r>
      <w:r w:rsidRPr="00D27192" w:rsidR="0083750F">
        <w:rPr>
          <w:szCs w:val="26"/>
        </w:rPr>
        <w:t>The judgment is affirmed.</w:t>
      </w:r>
    </w:p>
    <w:p w:rsidR="00840B0B" w:rsidP="00840B0B" w14:paraId="77E445E6" w14:textId="29B10E0A">
      <w:pPr>
        <w:spacing w:line="240" w:lineRule="auto"/>
        <w:rPr>
          <w:szCs w:val="26"/>
        </w:rPr>
      </w:pPr>
    </w:p>
    <w:p w:rsidR="00840B0B" w:rsidP="00840B0B" w14:paraId="08745673" w14:textId="17F54066">
      <w:pPr>
        <w:spacing w:line="240" w:lineRule="auto"/>
        <w:rPr>
          <w:szCs w:val="26"/>
        </w:rPr>
      </w:pPr>
      <w:r>
        <w:rPr>
          <w:szCs w:val="26"/>
        </w:rPr>
        <w:tab/>
      </w:r>
      <w:r>
        <w:rPr>
          <w:szCs w:val="26"/>
        </w:rPr>
        <w:tab/>
      </w:r>
      <w:r>
        <w:rPr>
          <w:szCs w:val="26"/>
        </w:rPr>
        <w:tab/>
      </w:r>
      <w:r>
        <w:rPr>
          <w:szCs w:val="26"/>
        </w:rPr>
        <w:tab/>
      </w:r>
      <w:r>
        <w:rPr>
          <w:szCs w:val="26"/>
        </w:rPr>
        <w:tab/>
      </w:r>
      <w:r>
        <w:rPr>
          <w:szCs w:val="26"/>
        </w:rPr>
        <w:tab/>
      </w:r>
      <w:r>
        <w:rPr>
          <w:szCs w:val="26"/>
        </w:rPr>
        <w:tab/>
        <w:t>_________________________</w:t>
      </w:r>
    </w:p>
    <w:p w:rsidR="00840B0B" w:rsidP="00840B0B" w14:paraId="36B44D51" w14:textId="2F90E463">
      <w:pPr>
        <w:spacing w:line="240" w:lineRule="auto"/>
        <w:rPr>
          <w:szCs w:val="26"/>
        </w:rPr>
      </w:pPr>
      <w:r>
        <w:rPr>
          <w:szCs w:val="26"/>
        </w:rPr>
        <w:tab/>
      </w:r>
      <w:r>
        <w:rPr>
          <w:szCs w:val="26"/>
        </w:rPr>
        <w:tab/>
      </w:r>
      <w:r>
        <w:rPr>
          <w:szCs w:val="26"/>
        </w:rPr>
        <w:tab/>
      </w:r>
      <w:r>
        <w:rPr>
          <w:szCs w:val="26"/>
        </w:rPr>
        <w:tab/>
      </w:r>
      <w:r>
        <w:rPr>
          <w:szCs w:val="26"/>
        </w:rPr>
        <w:tab/>
      </w:r>
      <w:r>
        <w:rPr>
          <w:szCs w:val="26"/>
        </w:rPr>
        <w:tab/>
      </w:r>
      <w:r>
        <w:rPr>
          <w:szCs w:val="26"/>
        </w:rPr>
        <w:tab/>
        <w:t>Petrou, J.</w:t>
      </w:r>
    </w:p>
    <w:p w:rsidR="00840B0B" w:rsidP="00840B0B" w14:paraId="649669F4" w14:textId="796B941F">
      <w:pPr>
        <w:spacing w:line="240" w:lineRule="auto"/>
        <w:rPr>
          <w:szCs w:val="26"/>
        </w:rPr>
      </w:pPr>
    </w:p>
    <w:p w:rsidR="00840B0B" w:rsidP="00840B0B" w14:paraId="2F1E6B57" w14:textId="3D08A8AB">
      <w:pPr>
        <w:spacing w:line="240" w:lineRule="auto"/>
        <w:rPr>
          <w:szCs w:val="26"/>
        </w:rPr>
      </w:pPr>
    </w:p>
    <w:p w:rsidR="00840B0B" w:rsidP="00840B0B" w14:paraId="103B8D94" w14:textId="0CAC5214">
      <w:pPr>
        <w:spacing w:line="240" w:lineRule="auto"/>
        <w:rPr>
          <w:szCs w:val="26"/>
        </w:rPr>
      </w:pPr>
      <w:r>
        <w:rPr>
          <w:szCs w:val="26"/>
        </w:rPr>
        <w:t>WE CONCUR:</w:t>
      </w:r>
    </w:p>
    <w:p w:rsidR="00840B0B" w:rsidP="00840B0B" w14:paraId="49D584D5" w14:textId="1F55C8BB">
      <w:pPr>
        <w:spacing w:line="240" w:lineRule="auto"/>
        <w:rPr>
          <w:szCs w:val="26"/>
        </w:rPr>
      </w:pPr>
    </w:p>
    <w:p w:rsidR="00840B0B" w:rsidP="00840B0B" w14:paraId="3902703F" w14:textId="2D98F136">
      <w:pPr>
        <w:spacing w:line="240" w:lineRule="auto"/>
        <w:rPr>
          <w:szCs w:val="26"/>
        </w:rPr>
      </w:pPr>
    </w:p>
    <w:p w:rsidR="00840B0B" w:rsidP="00840B0B" w14:paraId="5F6A73AA" w14:textId="7A7DA77A">
      <w:pPr>
        <w:spacing w:line="240" w:lineRule="auto"/>
        <w:rPr>
          <w:szCs w:val="26"/>
        </w:rPr>
      </w:pPr>
      <w:r>
        <w:rPr>
          <w:szCs w:val="26"/>
        </w:rPr>
        <w:t>_________________________</w:t>
      </w:r>
    </w:p>
    <w:p w:rsidR="00840B0B" w:rsidP="00840B0B" w14:paraId="418EFEB0" w14:textId="49616314">
      <w:pPr>
        <w:spacing w:line="240" w:lineRule="auto"/>
        <w:rPr>
          <w:szCs w:val="26"/>
        </w:rPr>
      </w:pPr>
      <w:r>
        <w:rPr>
          <w:szCs w:val="26"/>
        </w:rPr>
        <w:t>Tucher, P.J.</w:t>
      </w:r>
    </w:p>
    <w:p w:rsidR="00840B0B" w:rsidP="00840B0B" w14:paraId="3822C11F" w14:textId="28578759">
      <w:pPr>
        <w:spacing w:line="240" w:lineRule="auto"/>
        <w:rPr>
          <w:szCs w:val="26"/>
        </w:rPr>
      </w:pPr>
    </w:p>
    <w:p w:rsidR="00840B0B" w:rsidP="00840B0B" w14:paraId="40F026F1" w14:textId="5812BB93">
      <w:pPr>
        <w:spacing w:line="240" w:lineRule="auto"/>
        <w:rPr>
          <w:szCs w:val="26"/>
        </w:rPr>
      </w:pPr>
    </w:p>
    <w:p w:rsidR="00840B0B" w:rsidP="00840B0B" w14:paraId="61B2CFF1" w14:textId="6A202BFD">
      <w:pPr>
        <w:spacing w:line="240" w:lineRule="auto"/>
        <w:rPr>
          <w:szCs w:val="26"/>
        </w:rPr>
      </w:pPr>
      <w:r>
        <w:rPr>
          <w:szCs w:val="26"/>
        </w:rPr>
        <w:t>_________________________</w:t>
      </w:r>
    </w:p>
    <w:p w:rsidR="00840B0B" w:rsidP="00840B0B" w14:paraId="6F447BFF" w14:textId="19081422">
      <w:pPr>
        <w:spacing w:line="240" w:lineRule="auto"/>
        <w:rPr>
          <w:szCs w:val="26"/>
        </w:rPr>
      </w:pPr>
      <w:r>
        <w:rPr>
          <w:szCs w:val="26"/>
        </w:rPr>
        <w:t>Rodr</w:t>
      </w:r>
      <w:r w:rsidRPr="00840B0B">
        <w:rPr>
          <w:szCs w:val="26"/>
        </w:rPr>
        <w:t>í</w:t>
      </w:r>
      <w:r>
        <w:rPr>
          <w:szCs w:val="26"/>
        </w:rPr>
        <w:t>guez, J.</w:t>
      </w:r>
    </w:p>
    <w:p w:rsidR="00840B0B" w:rsidP="00840B0B" w14:paraId="489AC46D" w14:textId="2D32A66B">
      <w:pPr>
        <w:spacing w:line="240" w:lineRule="auto"/>
        <w:rPr>
          <w:szCs w:val="26"/>
        </w:rPr>
      </w:pPr>
    </w:p>
    <w:p w:rsidR="00840B0B" w:rsidP="00840B0B" w14:paraId="0B27240D" w14:textId="779EBDA4">
      <w:pPr>
        <w:spacing w:line="240" w:lineRule="auto"/>
        <w:rPr>
          <w:szCs w:val="26"/>
        </w:rPr>
      </w:pPr>
    </w:p>
    <w:p w:rsidR="00840B0B" w:rsidP="00840B0B" w14:paraId="1FDE4241" w14:textId="2CA06CE4">
      <w:pPr>
        <w:spacing w:line="240" w:lineRule="auto"/>
        <w:rPr>
          <w:szCs w:val="26"/>
        </w:rPr>
      </w:pPr>
    </w:p>
    <w:p w:rsidR="00840B0B" w:rsidP="00840B0B" w14:paraId="217E1FED" w14:textId="7E9B8A4E">
      <w:pPr>
        <w:spacing w:line="240" w:lineRule="auto"/>
        <w:rPr>
          <w:szCs w:val="26"/>
        </w:rPr>
      </w:pPr>
    </w:p>
    <w:p w:rsidR="00840B0B" w:rsidP="00840B0B" w14:paraId="3015CFEB" w14:textId="4FD62E55">
      <w:pPr>
        <w:spacing w:line="240" w:lineRule="auto"/>
        <w:rPr>
          <w:szCs w:val="26"/>
        </w:rPr>
      </w:pPr>
    </w:p>
    <w:p w:rsidR="00840B0B" w:rsidP="00840B0B" w14:paraId="66BC430D" w14:textId="5F653132">
      <w:pPr>
        <w:spacing w:line="240" w:lineRule="auto"/>
        <w:rPr>
          <w:szCs w:val="26"/>
        </w:rPr>
      </w:pPr>
    </w:p>
    <w:p w:rsidR="00840B0B" w:rsidP="00840B0B" w14:paraId="481D4572" w14:textId="25FE110A">
      <w:pPr>
        <w:spacing w:line="240" w:lineRule="auto"/>
        <w:rPr>
          <w:szCs w:val="26"/>
        </w:rPr>
      </w:pPr>
    </w:p>
    <w:p w:rsidR="00840B0B" w:rsidP="00840B0B" w14:paraId="1EE07252" w14:textId="238E646B">
      <w:pPr>
        <w:spacing w:line="240" w:lineRule="auto"/>
        <w:rPr>
          <w:szCs w:val="26"/>
        </w:rPr>
      </w:pPr>
    </w:p>
    <w:p w:rsidR="00840B0B" w:rsidP="00840B0B" w14:paraId="28AF324B" w14:textId="64291D6B">
      <w:pPr>
        <w:spacing w:line="240" w:lineRule="auto"/>
        <w:rPr>
          <w:szCs w:val="26"/>
        </w:rPr>
      </w:pPr>
    </w:p>
    <w:p w:rsidR="00840B0B" w:rsidP="00840B0B" w14:paraId="185A783A" w14:textId="61C30131">
      <w:pPr>
        <w:spacing w:line="240" w:lineRule="auto"/>
        <w:rPr>
          <w:szCs w:val="26"/>
        </w:rPr>
      </w:pPr>
    </w:p>
    <w:p w:rsidR="00840B0B" w:rsidP="00840B0B" w14:paraId="11119084" w14:textId="69E1D804">
      <w:pPr>
        <w:spacing w:line="240" w:lineRule="auto"/>
        <w:rPr>
          <w:szCs w:val="26"/>
        </w:rPr>
      </w:pPr>
    </w:p>
    <w:p w:rsidR="00840B0B" w:rsidP="00840B0B" w14:paraId="1828F6E9" w14:textId="7694F9DF">
      <w:pPr>
        <w:spacing w:line="240" w:lineRule="auto"/>
        <w:rPr>
          <w:szCs w:val="26"/>
        </w:rPr>
      </w:pPr>
    </w:p>
    <w:p w:rsidR="00840B0B" w:rsidP="00840B0B" w14:paraId="4C42C6D0" w14:textId="38D1FB7F">
      <w:pPr>
        <w:spacing w:line="240" w:lineRule="auto"/>
        <w:rPr>
          <w:szCs w:val="26"/>
        </w:rPr>
      </w:pPr>
    </w:p>
    <w:p w:rsidR="00840B0B" w:rsidP="00840B0B" w14:paraId="6AA9FA1F" w14:textId="15ED5FF0">
      <w:pPr>
        <w:spacing w:line="240" w:lineRule="auto"/>
        <w:rPr>
          <w:szCs w:val="26"/>
        </w:rPr>
      </w:pPr>
    </w:p>
    <w:p w:rsidR="00840B0B" w:rsidP="00840B0B" w14:paraId="4E864A83" w14:textId="10E552A4">
      <w:pPr>
        <w:spacing w:line="240" w:lineRule="auto"/>
        <w:rPr>
          <w:szCs w:val="26"/>
        </w:rPr>
      </w:pPr>
    </w:p>
    <w:p w:rsidR="00840B0B" w:rsidP="00840B0B" w14:paraId="48A02941" w14:textId="435B8DFC">
      <w:pPr>
        <w:spacing w:line="240" w:lineRule="auto"/>
        <w:rPr>
          <w:szCs w:val="26"/>
        </w:rPr>
      </w:pPr>
    </w:p>
    <w:p w:rsidR="00840B0B" w:rsidP="00840B0B" w14:paraId="2A62E18D" w14:textId="2E73B25E">
      <w:pPr>
        <w:spacing w:line="240" w:lineRule="auto"/>
        <w:rPr>
          <w:szCs w:val="26"/>
        </w:rPr>
      </w:pPr>
    </w:p>
    <w:p w:rsidR="00840B0B" w:rsidP="00840B0B" w14:paraId="278E9951" w14:textId="249C71BF">
      <w:pPr>
        <w:spacing w:line="240" w:lineRule="auto"/>
        <w:rPr>
          <w:szCs w:val="26"/>
        </w:rPr>
      </w:pPr>
    </w:p>
    <w:p w:rsidR="00840B0B" w:rsidP="00840B0B" w14:paraId="20C48481" w14:textId="2E1C13B8">
      <w:pPr>
        <w:spacing w:line="240" w:lineRule="auto"/>
        <w:rPr>
          <w:szCs w:val="26"/>
        </w:rPr>
      </w:pPr>
    </w:p>
    <w:p w:rsidR="00840B0B" w:rsidP="00840B0B" w14:paraId="062D3EEE" w14:textId="10D3F613">
      <w:pPr>
        <w:spacing w:line="240" w:lineRule="auto"/>
        <w:rPr>
          <w:szCs w:val="26"/>
        </w:rPr>
      </w:pPr>
    </w:p>
    <w:p w:rsidR="00840B0B" w:rsidP="00840B0B" w14:paraId="2E93E090" w14:textId="7A1ACDD9">
      <w:pPr>
        <w:spacing w:line="240" w:lineRule="auto"/>
        <w:rPr>
          <w:szCs w:val="26"/>
        </w:rPr>
      </w:pPr>
    </w:p>
    <w:p w:rsidR="00840B0B" w:rsidP="00840B0B" w14:paraId="7158005B" w14:textId="58128D15">
      <w:pPr>
        <w:spacing w:line="240" w:lineRule="auto"/>
        <w:rPr>
          <w:szCs w:val="26"/>
        </w:rPr>
      </w:pPr>
    </w:p>
    <w:p w:rsidR="00840B0B" w:rsidP="00840B0B" w14:paraId="5ABB395E" w14:textId="5B94A3B6">
      <w:pPr>
        <w:spacing w:line="240" w:lineRule="auto"/>
        <w:rPr>
          <w:szCs w:val="26"/>
        </w:rPr>
      </w:pPr>
    </w:p>
    <w:p w:rsidR="00840B0B" w:rsidP="00840B0B" w14:paraId="705971C7" w14:textId="326ED861">
      <w:pPr>
        <w:spacing w:line="240" w:lineRule="auto"/>
        <w:rPr>
          <w:szCs w:val="26"/>
        </w:rPr>
      </w:pPr>
    </w:p>
    <w:p w:rsidR="00840B0B" w:rsidP="00840B0B" w14:paraId="616FC918" w14:textId="18827EFA">
      <w:pPr>
        <w:spacing w:line="240" w:lineRule="auto"/>
        <w:rPr>
          <w:szCs w:val="26"/>
        </w:rPr>
      </w:pPr>
    </w:p>
    <w:p w:rsidR="00840B0B" w:rsidP="00840B0B" w14:paraId="614E0DD1" w14:textId="0A74F255">
      <w:pPr>
        <w:spacing w:line="240" w:lineRule="auto"/>
        <w:rPr>
          <w:szCs w:val="26"/>
        </w:rPr>
      </w:pPr>
    </w:p>
    <w:p w:rsidR="00840B0B" w:rsidP="00840B0B" w14:paraId="43814D78" w14:textId="5285BCF9">
      <w:pPr>
        <w:spacing w:line="240" w:lineRule="auto"/>
        <w:rPr>
          <w:szCs w:val="26"/>
        </w:rPr>
      </w:pPr>
    </w:p>
    <w:p w:rsidR="00840B0B" w:rsidP="00840B0B" w14:paraId="31FDEE1B" w14:textId="0C4796E9">
      <w:pPr>
        <w:spacing w:line="240" w:lineRule="auto"/>
        <w:rPr>
          <w:i/>
          <w:iCs/>
          <w:szCs w:val="26"/>
        </w:rPr>
      </w:pPr>
      <w:r>
        <w:rPr>
          <w:szCs w:val="26"/>
        </w:rPr>
        <w:t>A163074/</w:t>
      </w:r>
      <w:r>
        <w:rPr>
          <w:i/>
          <w:iCs/>
          <w:szCs w:val="26"/>
        </w:rPr>
        <w:t>People v. Lashon</w:t>
      </w:r>
    </w:p>
    <w:p w:rsidR="00F80E08" w:rsidRPr="00156E51" w:rsidP="00F80E08" w14:paraId="4492F254" w14:textId="77777777">
      <w:pPr>
        <w:tabs>
          <w:tab w:val="clear" w:pos="720"/>
          <w:tab w:val="left" w:pos="1440"/>
        </w:tabs>
        <w:spacing w:line="240" w:lineRule="auto"/>
      </w:pPr>
      <w:r w:rsidRPr="00156E51">
        <w:t>Trial Court:</w:t>
      </w:r>
      <w:r w:rsidRPr="00156E51">
        <w:tab/>
      </w:r>
      <w:r>
        <w:tab/>
        <w:t>Contra Costa County Superior Court</w:t>
      </w:r>
    </w:p>
    <w:p w:rsidR="00F80E08" w:rsidRPr="00156E51" w:rsidP="00F80E08" w14:paraId="54676777" w14:textId="77777777">
      <w:pPr>
        <w:tabs>
          <w:tab w:val="clear" w:pos="720"/>
          <w:tab w:val="left" w:pos="1440"/>
        </w:tabs>
        <w:spacing w:line="240" w:lineRule="auto"/>
      </w:pPr>
    </w:p>
    <w:p w:rsidR="00F80E08" w:rsidRPr="00156E51" w:rsidP="00F80E08" w14:paraId="1DF9301A" w14:textId="77777777">
      <w:pPr>
        <w:tabs>
          <w:tab w:val="clear" w:pos="720"/>
          <w:tab w:val="left" w:pos="1440"/>
        </w:tabs>
        <w:spacing w:line="240" w:lineRule="auto"/>
      </w:pPr>
      <w:r w:rsidRPr="00156E51">
        <w:t>Trial Judge:</w:t>
      </w:r>
      <w:r w:rsidRPr="00156E51">
        <w:tab/>
      </w:r>
      <w:r>
        <w:t>Hon. Terri. Mockler</w:t>
      </w:r>
    </w:p>
    <w:p w:rsidR="00F80E08" w:rsidRPr="00156E51" w:rsidP="00F80E08" w14:paraId="7BB71030" w14:textId="77777777">
      <w:pPr>
        <w:tabs>
          <w:tab w:val="clear" w:pos="720"/>
          <w:tab w:val="left" w:pos="1440"/>
        </w:tabs>
        <w:spacing w:line="240" w:lineRule="auto"/>
      </w:pPr>
    </w:p>
    <w:p w:rsidR="00F80E08" w:rsidRPr="00156E51" w:rsidP="00F80E08" w14:paraId="38F4EADD" w14:textId="77777777">
      <w:pPr>
        <w:tabs>
          <w:tab w:val="clear" w:pos="720"/>
          <w:tab w:val="left" w:pos="1440"/>
        </w:tabs>
        <w:spacing w:line="240" w:lineRule="auto"/>
        <w:ind w:left="2160" w:hanging="2160"/>
      </w:pPr>
      <w:r w:rsidRPr="00156E51">
        <w:t>Counsel:</w:t>
      </w:r>
      <w:r w:rsidRPr="00156E51">
        <w:tab/>
      </w:r>
      <w:r>
        <w:tab/>
        <w:t>Rob Bonta, Attorney General, Lance E. Winters, Chief Assistant Attorney General, Jeffrey M. Laurence, Senior Assistant Attorney General, Katie Stowe, Deputy Attoeny General, and Linda Murphy, Deputy Attorney General, for</w:t>
      </w:r>
      <w:r w:rsidRPr="00156E51">
        <w:t xml:space="preserve"> Plaintiff and Respondent.</w:t>
      </w:r>
    </w:p>
    <w:p w:rsidR="00F80E08" w:rsidRPr="00156E51" w:rsidP="00F80E08" w14:paraId="26E2E9A4" w14:textId="77777777">
      <w:pPr>
        <w:tabs>
          <w:tab w:val="clear" w:pos="720"/>
          <w:tab w:val="left" w:pos="1440"/>
        </w:tabs>
        <w:spacing w:line="240" w:lineRule="auto"/>
        <w:ind w:left="2160" w:hanging="2160"/>
      </w:pPr>
    </w:p>
    <w:p w:rsidR="00F80E08" w:rsidRPr="00156E51" w:rsidP="00F80E08" w14:paraId="6A2A0BBF" w14:textId="77777777">
      <w:pPr>
        <w:tabs>
          <w:tab w:val="clear" w:pos="720"/>
          <w:tab w:val="left" w:pos="1440"/>
        </w:tabs>
        <w:spacing w:line="240" w:lineRule="auto"/>
        <w:ind w:left="2160" w:hanging="2160"/>
      </w:pPr>
      <w:r w:rsidRPr="00156E51">
        <w:tab/>
      </w:r>
      <w:r>
        <w:tab/>
        <w:t xml:space="preserve">First District Appellate Project, Marylou Hillberg, </w:t>
      </w:r>
      <w:r w:rsidRPr="00156E51">
        <w:t xml:space="preserve">for Defendant and Appellant. </w:t>
      </w:r>
    </w:p>
    <w:p w:rsidR="00F80E08" w:rsidP="00F80E08" w14:paraId="6A11900D" w14:textId="77777777"/>
    <w:p w:rsidR="00F80E08" w:rsidRPr="00F80E08" w:rsidP="00840B0B" w14:paraId="31751740" w14:textId="77777777">
      <w:pPr>
        <w:spacing w:line="240" w:lineRule="auto"/>
        <w:rPr>
          <w:szCs w:val="26"/>
        </w:rPr>
      </w:pPr>
    </w:p>
    <w:sectPr w:rsidSect="00943E6A">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3922" w:rsidP="00943E6A" w14:paraId="328A2BD9" w14:textId="1CE551B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3E6A">
      <w:rPr>
        <w:rStyle w:val="PageNumber"/>
        <w:noProof/>
      </w:rPr>
      <w:t>9</w:t>
    </w:r>
    <w:r>
      <w:rPr>
        <w:rStyle w:val="PageNumber"/>
      </w:rPr>
      <w:fldChar w:fldCharType="end"/>
    </w:r>
  </w:p>
  <w:p w:rsidR="00D53922" w:rsidP="00943E6A" w14:paraId="79C0EB9C" w14:textId="07AC2DA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43E6A">
      <w:rPr>
        <w:rStyle w:val="PageNumber"/>
        <w:noProof/>
      </w:rPr>
      <w:t>9</w:t>
    </w:r>
    <w:r>
      <w:rPr>
        <w:rStyle w:val="PageNumber"/>
      </w:rPr>
      <w:fldChar w:fldCharType="end"/>
    </w:r>
  </w:p>
  <w:p w:rsidR="00D53922" w14:paraId="791BC0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3922" w:rsidP="00943E6A" w14:paraId="070FE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F00CC">
      <w:rPr>
        <w:rStyle w:val="PageNumber"/>
        <w:noProof/>
      </w:rPr>
      <w:t>7</w:t>
    </w:r>
    <w:r>
      <w:rPr>
        <w:rStyle w:val="PageNumber"/>
      </w:rPr>
      <w:fldChar w:fldCharType="end"/>
    </w:r>
  </w:p>
  <w:p w:rsidR="00D53922" w14:paraId="095225F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1B1E" w:rsidP="00FE2A8A" w14:paraId="15416653" w14:textId="77777777">
      <w:pPr>
        <w:spacing w:line="240" w:lineRule="auto"/>
      </w:pPr>
      <w:r>
        <w:separator/>
      </w:r>
    </w:p>
  </w:footnote>
  <w:footnote w:type="continuationSeparator" w:id="1">
    <w:p w:rsidR="00EC1B1E" w:rsidP="00FE2A8A" w14:paraId="40C0E36E" w14:textId="77777777">
      <w:pPr>
        <w:spacing w:line="240" w:lineRule="auto"/>
      </w:pPr>
      <w:r>
        <w:continuationSeparator/>
      </w:r>
    </w:p>
  </w:footnote>
  <w:footnote w:id="2">
    <w:p w:rsidR="003C6F7A" w:rsidP="00A363A7" w14:paraId="2CA37D5A" w14:textId="6A568436">
      <w:pPr>
        <w:pStyle w:val="FootnoteText"/>
        <w:ind w:firstLine="0"/>
      </w:pPr>
      <w:r>
        <w:rPr>
          <w:rStyle w:val="FootnoteReference"/>
        </w:rPr>
        <w:footnoteRef/>
      </w:r>
      <w:r>
        <w:t xml:space="preserve"> </w:t>
      </w:r>
      <w:r>
        <w:tab/>
      </w:r>
      <w:r w:rsidRPr="00F841B1">
        <w:t xml:space="preserve">All statutory references are to the </w:t>
      </w:r>
      <w:r>
        <w:t>Penal</w:t>
      </w:r>
      <w:r w:rsidRPr="00F841B1">
        <w:t xml:space="preserve"> Code.</w:t>
      </w:r>
      <w:r>
        <w:t xml:space="preserve">  </w:t>
      </w:r>
    </w:p>
  </w:footnote>
  <w:footnote w:id="3">
    <w:p w:rsidR="00DA3AD2" w:rsidP="00DA3AD2" w14:paraId="4D6980E1" w14:textId="29B93A80">
      <w:pPr>
        <w:pStyle w:val="FootnoteText"/>
        <w:spacing w:after="0"/>
        <w:ind w:firstLine="0"/>
      </w:pPr>
      <w:r>
        <w:rPr>
          <w:rStyle w:val="FootnoteReference"/>
        </w:rPr>
        <w:footnoteRef/>
      </w:r>
      <w:r>
        <w:t xml:space="preserve"> </w:t>
      </w:r>
      <w:r>
        <w:tab/>
      </w:r>
      <w:r w:rsidRPr="00D55146">
        <w:rPr>
          <w:rFonts w:cs="Courier New"/>
          <w:szCs w:val="26"/>
        </w:rPr>
        <w:t>Our Supreme Court</w:t>
      </w:r>
      <w:r>
        <w:rPr>
          <w:rFonts w:cs="Courier New"/>
          <w:szCs w:val="26"/>
        </w:rPr>
        <w:t xml:space="preserve"> </w:t>
      </w:r>
      <w:r w:rsidRPr="00D55146">
        <w:rPr>
          <w:rFonts w:cs="Courier New"/>
          <w:szCs w:val="26"/>
        </w:rPr>
        <w:t xml:space="preserve">ordered the depublication of our </w:t>
      </w:r>
      <w:r w:rsidR="00A363A7">
        <w:rPr>
          <w:rFonts w:cs="Courier New"/>
          <w:szCs w:val="26"/>
        </w:rPr>
        <w:t>original</w:t>
      </w:r>
      <w:r w:rsidRPr="00D55146">
        <w:rPr>
          <w:rFonts w:cs="Courier New"/>
          <w:szCs w:val="26"/>
        </w:rPr>
        <w:t xml:space="preserve"> </w:t>
      </w:r>
      <w:r>
        <w:rPr>
          <w:rFonts w:cs="Courier New"/>
          <w:szCs w:val="26"/>
        </w:rPr>
        <w:t>opinion</w:t>
      </w:r>
      <w:r w:rsidRPr="00D55146">
        <w:rPr>
          <w:rFonts w:cs="Courier New"/>
          <w:szCs w:val="26"/>
        </w:rPr>
        <w:t>.</w:t>
      </w:r>
      <w:r w:rsidR="00CC0725">
        <w:rPr>
          <w:rFonts w:cs="Courier New"/>
          <w:szCs w:val="26"/>
        </w:rPr>
        <w:t xml:space="preserve">  </w:t>
      </w:r>
      <w:r w:rsidR="00A363A7">
        <w:rPr>
          <w:rFonts w:cs="Courier New"/>
          <w:szCs w:val="26"/>
        </w:rPr>
        <w:t>D</w:t>
      </w:r>
      <w:r w:rsidRPr="00D55146">
        <w:rPr>
          <w:rFonts w:cs="Courier New"/>
          <w:szCs w:val="26"/>
        </w:rPr>
        <w:t xml:space="preserve">epublication </w:t>
      </w:r>
      <w:r>
        <w:rPr>
          <w:rFonts w:cs="Courier New"/>
          <w:szCs w:val="26"/>
        </w:rPr>
        <w:t>does not bear on</w:t>
      </w:r>
      <w:r w:rsidRPr="00D55146">
        <w:rPr>
          <w:rFonts w:cs="Courier New"/>
          <w:szCs w:val="26"/>
        </w:rPr>
        <w:t xml:space="preserve"> </w:t>
      </w:r>
      <w:r>
        <w:rPr>
          <w:rFonts w:cs="Courier New"/>
          <w:szCs w:val="26"/>
        </w:rPr>
        <w:t>t</w:t>
      </w:r>
      <w:r w:rsidRPr="00D55146">
        <w:rPr>
          <w:rFonts w:cs="Courier New"/>
          <w:szCs w:val="26"/>
        </w:rPr>
        <w:t>he merits of the case</w:t>
      </w:r>
      <w:r w:rsidR="00651D5F">
        <w:rPr>
          <w:rFonts w:cs="Courier New"/>
          <w:szCs w:val="26"/>
        </w:rPr>
        <w:t xml:space="preserve"> before us</w:t>
      </w:r>
      <w:r w:rsidRPr="00D55146">
        <w:rPr>
          <w:rFonts w:cs="Courier New"/>
          <w:szCs w:val="26"/>
        </w:rPr>
        <w:t>.  (</w:t>
      </w:r>
      <w:r w:rsidRPr="00D55146">
        <w:rPr>
          <w:rFonts w:cs="Courier New"/>
          <w:i/>
          <w:iCs/>
          <w:szCs w:val="26"/>
        </w:rPr>
        <w:t>People v. Salazar</w:t>
      </w:r>
      <w:r w:rsidRPr="00D55146">
        <w:rPr>
          <w:rFonts w:cs="Courier New"/>
          <w:szCs w:val="26"/>
        </w:rPr>
        <w:t xml:space="preserve"> (2023) </w:t>
      </w:r>
      <w:r w:rsidR="00BD6CB5">
        <w:rPr>
          <w:rFonts w:cs="Courier New"/>
          <w:szCs w:val="26"/>
        </w:rPr>
        <w:t>15</w:t>
      </w:r>
      <w:r w:rsidRPr="00D55146">
        <w:rPr>
          <w:rFonts w:cs="Courier New"/>
          <w:szCs w:val="26"/>
        </w:rPr>
        <w:t xml:space="preserve"> Cal.5th </w:t>
      </w:r>
      <w:r w:rsidR="00BD6CB5">
        <w:rPr>
          <w:rFonts w:cs="Courier New"/>
          <w:szCs w:val="26"/>
        </w:rPr>
        <w:t xml:space="preserve">416, 425, </w:t>
      </w:r>
      <w:r w:rsidRPr="00D55146">
        <w:rPr>
          <w:rFonts w:cs="Courier New"/>
          <w:szCs w:val="26"/>
        </w:rPr>
        <w:t xml:space="preserve">fn. 4; see </w:t>
      </w:r>
      <w:r w:rsidR="00BD6CB5">
        <w:rPr>
          <w:rFonts w:cs="Courier New"/>
          <w:szCs w:val="26"/>
        </w:rPr>
        <w:t>California Rules of Court, r</w:t>
      </w:r>
      <w:r w:rsidRPr="00D55146">
        <w:rPr>
          <w:rFonts w:cs="Courier New"/>
          <w:szCs w:val="26"/>
        </w:rPr>
        <w:t>ule 8.1125(d) [“[a] Suprem</w:t>
      </w:r>
      <w:r>
        <w:rPr>
          <w:rFonts w:cs="Courier New"/>
          <w:szCs w:val="26"/>
        </w:rPr>
        <w:t>e</w:t>
      </w:r>
      <w:r w:rsidRPr="00D55146">
        <w:rPr>
          <w:rFonts w:cs="Courier New"/>
          <w:szCs w:val="26"/>
        </w:rPr>
        <w:t xml:space="preserve"> Court order to depublish is not an expression of the court’s opinion of the correctness of the result of the decision or of any law stated in the opinion</w:t>
      </w:r>
      <w:r w:rsidR="00CD622C">
        <w:rPr>
          <w:rFonts w:cs="Courier New"/>
          <w:szCs w:val="26"/>
        </w:rPr>
        <w:t>”</w:t>
      </w:r>
      <w:r w:rsidRPr="00D55146">
        <w:rPr>
          <w:rFonts w:cs="Courier New"/>
          <w:szCs w:val="26"/>
        </w:rPr>
        <w:t xml:space="preserve">].) </w:t>
      </w:r>
    </w:p>
  </w:footnote>
  <w:footnote w:id="4">
    <w:p w:rsidR="00FE42E9" w:rsidP="00BF1A1C" w14:paraId="52EE561E" w14:textId="67C67532">
      <w:pPr>
        <w:pStyle w:val="FootnoteText"/>
        <w:ind w:firstLine="0"/>
      </w:pPr>
      <w:r>
        <w:rPr>
          <w:rStyle w:val="FootnoteReference"/>
        </w:rPr>
        <w:footnoteRef/>
      </w:r>
      <w:r>
        <w:t xml:space="preserve"> </w:t>
      </w:r>
      <w:r w:rsidR="000B7A2C">
        <w:tab/>
        <w:t>Section</w:t>
      </w:r>
      <w:r w:rsidR="00E561D4">
        <w:t> </w:t>
      </w:r>
      <w:r w:rsidR="000B7A2C">
        <w:t>1473 was amended and currently provides, in pertinent part, that “[n]otwithstanding any other law, a writ of habeas corpus may also be prosecuted after judgment has been entered based on evidence that a criminal conviction or sentence was sought, obtained, or imposed in violation of subdivision (a) of Section 745</w:t>
      </w:r>
      <w:r w:rsidR="00E561D4">
        <w:t>;</w:t>
      </w:r>
      <w:r w:rsidR="000B7A2C">
        <w:t>” that “</w:t>
      </w:r>
      <w:r w:rsidR="00330510">
        <w:t>[</w:t>
      </w:r>
      <w:r w:rsidR="000B7A2C">
        <w:t>a</w:t>
      </w:r>
      <w:r w:rsidR="00330510">
        <w:t>]</w:t>
      </w:r>
      <w:r w:rsidR="000B7A2C">
        <w:t xml:space="preserve"> petition raising a claim of this nature for the first time, or on the basis of new discovery provide</w:t>
      </w:r>
      <w:r w:rsidR="00D81595">
        <w:t>d</w:t>
      </w:r>
      <w:r w:rsidR="000B7A2C">
        <w:t xml:space="preserve"> by the state or other new evidence that could not have been previously known by the petitioner with due diligence, shall not be deemed a successive or abusive petition</w:t>
      </w:r>
      <w:r w:rsidR="00E561D4">
        <w:t>;” and “[i]</w:t>
      </w:r>
      <w:r w:rsidR="000B7A2C">
        <w:t xml:space="preserve">f the petitioner has a habeas corpus petition pending in state court, but it has not yet been decided, the petitioner may amend the existing petition with a claim that the petitioner’s </w:t>
      </w:r>
      <w:r w:rsidR="00330510">
        <w:t>conviction or sentence</w:t>
      </w:r>
      <w:r w:rsidR="000B7A2C">
        <w:t xml:space="preserve"> was soug</w:t>
      </w:r>
      <w:r w:rsidR="009D6DA0">
        <w:t>ht</w:t>
      </w:r>
      <w:r w:rsidR="000B7A2C">
        <w:t>, obtained, or imposed in violation of subdivision (a) of section 745.”  (</w:t>
      </w:r>
      <w:r w:rsidR="00550925">
        <w:t>§ </w:t>
      </w:r>
      <w:r w:rsidR="000B7A2C">
        <w:t>1473, subd.</w:t>
      </w:r>
      <w:r w:rsidR="00550925">
        <w:t> </w:t>
      </w:r>
      <w:r w:rsidR="000B7A2C">
        <w:t>(e</w:t>
      </w:r>
      <w:r w:rsidR="00550925">
        <w:t xml:space="preserve">); see Stats. 2020, ch. 317, § 4; Stats. 2022, ch. 982, § 1.5; Stats. 2023, ch. 381, § 1.) </w:t>
      </w:r>
    </w:p>
  </w:footnote>
  <w:footnote w:id="5">
    <w:p w:rsidR="00DF6ABB" w:rsidP="00BF1A1C" w14:paraId="0B7A4819" w14:textId="15C48798">
      <w:pPr>
        <w:pStyle w:val="FootnoteText"/>
        <w:ind w:firstLine="0"/>
      </w:pPr>
      <w:r>
        <w:rPr>
          <w:rStyle w:val="FootnoteReference"/>
        </w:rPr>
        <w:footnoteRef/>
      </w:r>
      <w:r>
        <w:t xml:space="preserve"> </w:t>
      </w:r>
      <w:r>
        <w:tab/>
        <w:t>Section 1473.7 was amended and currently provides, in pertinent part, that a person who is no longer in criminal custody may file a motion to vacate a conviction or sentence on the basis that a conviction or sentence was sought, obtained, or imposed on the basis of race, ethnicity, or national origin in violation of subdivision</w:t>
      </w:r>
      <w:r w:rsidR="000B7A2C">
        <w:t> </w:t>
      </w:r>
      <w:r>
        <w:t>(a) of section 745</w:t>
      </w:r>
      <w:r w:rsidR="00E561D4">
        <w:t>; and the motion “shall be filed without undue delay from the date the moving party discovered, or could have discovered with the exercise of due diligence, the evidence that provides a basis for relief under this section or Section 745.”  (</w:t>
      </w:r>
      <w:r>
        <w:t>§ 1473.7, subd. (a)(3)</w:t>
      </w:r>
      <w:r w:rsidR="00E561D4">
        <w:t>,(c)</w:t>
      </w:r>
      <w:r>
        <w:t>; Stats. 2020, ch</w:t>
      </w:r>
      <w:r w:rsidR="00C414EB">
        <w:t>.</w:t>
      </w:r>
      <w:r>
        <w:t xml:space="preserve"> 317, § 5; Stats. 2021, ch. 420, § 1.) </w:t>
      </w:r>
    </w:p>
  </w:footnote>
  <w:footnote w:id="6">
    <w:p w:rsidR="000E630E" w:rsidRPr="00CC0725" w:rsidP="0007739D" w14:paraId="6D2F9A03" w14:textId="70A3CB57">
      <w:pPr>
        <w:pStyle w:val="FootnoteText"/>
        <w:ind w:firstLine="0"/>
        <w:rPr>
          <w:rFonts w:ascii="Century" w:hAnsi="Century"/>
          <w:color w:val="5B9BD5" w:themeColor="accent1"/>
          <w:szCs w:val="26"/>
        </w:rPr>
      </w:pPr>
      <w:r>
        <w:rPr>
          <w:rStyle w:val="FootnoteReference"/>
        </w:rPr>
        <w:footnoteRef/>
      </w:r>
      <w:r>
        <w:t xml:space="preserve"> </w:t>
      </w:r>
      <w:r>
        <w:tab/>
      </w:r>
      <w:r w:rsidR="00ED38EE">
        <w:t>Our</w:t>
      </w:r>
      <w:r w:rsidR="0007739D">
        <w:t xml:space="preserve"> original opinion was published </w:t>
      </w:r>
      <w:r>
        <w:t>approximately one month prior to the Governor’s signing of AB 1118</w:t>
      </w:r>
      <w:r w:rsidR="0007739D">
        <w:t>.  In that opinion</w:t>
      </w:r>
      <w:r>
        <w:t>, we explain</w:t>
      </w:r>
      <w:r w:rsidR="0007739D">
        <w:t>ed</w:t>
      </w:r>
      <w:r>
        <w:t xml:space="preserve"> why general appellate rules of forfeiture barred review of Lashon’s section 745 claim on direct appeal and that no exceptions to forfeiture applied in this case.  While the Legislature is presumed to be aware of existing judicial interpretations of a statute when it chooses to amend a statute</w:t>
      </w:r>
      <w:r w:rsidR="004F7E19">
        <w:t xml:space="preserve"> (</w:t>
      </w:r>
      <w:r w:rsidRPr="00C96890" w:rsidR="004F7E19">
        <w:rPr>
          <w:i/>
          <w:iCs/>
        </w:rPr>
        <w:t>In re Joseph T.</w:t>
      </w:r>
      <w:r w:rsidR="00330510">
        <w:rPr>
          <w:i/>
          <w:iCs/>
        </w:rPr>
        <w:t>, Jr.</w:t>
      </w:r>
      <w:r w:rsidR="004F7E19">
        <w:t xml:space="preserve"> (2008) 163 Cal.App.4th 787, 795–796)</w:t>
      </w:r>
      <w:r>
        <w:t>, given the timing of our opinion and the status of AB</w:t>
      </w:r>
      <w:r w:rsidR="00B1552C">
        <w:t> </w:t>
      </w:r>
      <w:r>
        <w:t>1118 in the legislative process, we do not rely on this presumption in reaching our decision.</w:t>
      </w:r>
    </w:p>
  </w:footnote>
  <w:footnote w:id="7">
    <w:p w:rsidR="007E240E" w:rsidP="00460B55" w14:paraId="7FAC0882" w14:textId="0DD517E0">
      <w:pPr>
        <w:pStyle w:val="FootnoteText"/>
        <w:ind w:firstLine="0"/>
      </w:pPr>
      <w:r w:rsidRPr="002B7C2B">
        <w:rPr>
          <w:rStyle w:val="FootnoteReference"/>
        </w:rPr>
        <w:footnoteRef/>
      </w:r>
      <w:r w:rsidRPr="002B7C2B">
        <w:t xml:space="preserve"> </w:t>
      </w:r>
      <w:r w:rsidR="00460B55">
        <w:tab/>
      </w:r>
      <w:r w:rsidRPr="002B7C2B">
        <w:t>To the extent Lashon asserts</w:t>
      </w:r>
      <w:r w:rsidR="002B7C2B">
        <w:t xml:space="preserve"> </w:t>
      </w:r>
      <w:r>
        <w:t xml:space="preserve">“[t]he behavior of the trial judge cannot be sanctioned even without reference to the Racial Justice Act,” citing to </w:t>
      </w:r>
      <w:r w:rsidRPr="007E240E">
        <w:rPr>
          <w:i/>
          <w:iCs/>
        </w:rPr>
        <w:t>People v. Nieves</w:t>
      </w:r>
      <w:r>
        <w:t xml:space="preserve"> (2021) 11 Cal.5th 404 (</w:t>
      </w:r>
      <w:r w:rsidRPr="007E240E">
        <w:rPr>
          <w:i/>
          <w:iCs/>
        </w:rPr>
        <w:t>Nieves</w:t>
      </w:r>
      <w:r>
        <w:t xml:space="preserve">), that issue has been forfeited because it was not presented in compliance with the rules governing briefs filed in this court. </w:t>
      </w:r>
      <w:r w:rsidR="00F44D6C">
        <w:t xml:space="preserve"> It</w:t>
      </w:r>
      <w:r>
        <w:t xml:space="preserve"> was not presented under a separate point heading and </w:t>
      </w:r>
      <w:r w:rsidR="00F44D6C">
        <w:t xml:space="preserve">was not </w:t>
      </w:r>
      <w:r>
        <w:t xml:space="preserve">supported by a cogent argument as to why we should follow </w:t>
      </w:r>
      <w:r w:rsidRPr="007E240E">
        <w:rPr>
          <w:i/>
          <w:iCs/>
        </w:rPr>
        <w:t>Nieves</w:t>
      </w:r>
      <w:r>
        <w:t xml:space="preserve"> in this case.  (See Cal. Rules of Court, rule 8.204(a)(1)(B) [each brief must “[s]tate each point under a separate heading or subheading summarizing the point, and support each point by argument and, if possible, by citation to authority”]; </w:t>
      </w:r>
      <w:r w:rsidRPr="007E240E">
        <w:rPr>
          <w:i/>
          <w:iCs/>
        </w:rPr>
        <w:t>Allen v. City of Sacramento</w:t>
      </w:r>
      <w:r>
        <w:t xml:space="preserve"> (2015) 234 Cal.App.4th 41, 52 [“citing cases without any discussion” as to why the cases should be followed “results in forfeiture” of the appellate claim].) </w:t>
      </w:r>
      <w:r w:rsidR="006D0A86">
        <w:t xml:space="preserve"> </w:t>
      </w:r>
    </w:p>
  </w:footnote>
  <w:footnote w:id="8">
    <w:p w:rsidR="002125A6" w:rsidRPr="00DD4A74" w:rsidP="00460B55" w14:paraId="5560EA00" w14:textId="04343983">
      <w:pPr>
        <w:pStyle w:val="FootnoteText"/>
        <w:ind w:firstLine="0"/>
        <w:rPr>
          <w:color w:val="5B9BD5" w:themeColor="accent1"/>
        </w:rPr>
      </w:pPr>
      <w:r>
        <w:rPr>
          <w:rStyle w:val="FootnoteReference"/>
        </w:rPr>
        <w:footnoteRef/>
      </w:r>
      <w:r>
        <w:t xml:space="preserve"> </w:t>
      </w:r>
      <w:r>
        <w:tab/>
      </w:r>
      <w:r w:rsidRPr="00DD4A74" w:rsidR="003F1685">
        <w:rPr>
          <w:color w:val="000000" w:themeColor="text1"/>
        </w:rPr>
        <w:t>W</w:t>
      </w:r>
      <w:r w:rsidRPr="00DD4A74" w:rsidR="00531577">
        <w:rPr>
          <w:color w:val="000000" w:themeColor="text1"/>
        </w:rPr>
        <w:t>hile Lashon has not filed the requisite separate request for judicial notice and instead has made the request in her motion to stay, w</w:t>
      </w:r>
      <w:r w:rsidRPr="00DD4A74" w:rsidR="003F1685">
        <w:rPr>
          <w:color w:val="000000" w:themeColor="text1"/>
        </w:rPr>
        <w:t xml:space="preserve">e grant </w:t>
      </w:r>
      <w:r w:rsidR="00DD4A74">
        <w:rPr>
          <w:color w:val="000000" w:themeColor="text1"/>
        </w:rPr>
        <w:t xml:space="preserve">her </w:t>
      </w:r>
      <w:r w:rsidRPr="00DD4A74" w:rsidR="003F1685">
        <w:rPr>
          <w:color w:val="000000" w:themeColor="text1"/>
        </w:rPr>
        <w:t>request to take judicial notice of certain declarations that she has attached to her motion to stay and has included in her petition for writ of habeas corpus filed in the Supreme Court.  (</w:t>
      </w:r>
      <w:r w:rsidRPr="00DD4A74" w:rsidR="003F1685">
        <w:rPr>
          <w:i/>
          <w:iCs/>
          <w:color w:val="000000" w:themeColor="text1"/>
        </w:rPr>
        <w:t>Herrera v. Deutsche Bank National Trust Co</w:t>
      </w:r>
      <w:r w:rsidRPr="00DD4A74" w:rsidR="003F1685">
        <w:rPr>
          <w:color w:val="000000" w:themeColor="text1"/>
        </w:rPr>
        <w:t xml:space="preserve">. (2011) 196 Cal.App.4th 1366, 1375.)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3B0" w:rsidP="00B972BB" w14:paraId="0627998E" w14:textId="7C964E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504F6"/>
    <w:multiLevelType w:val="hybridMultilevel"/>
    <w:tmpl w:val="75BC3CA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11B66A1"/>
    <w:multiLevelType w:val="multilevel"/>
    <w:tmpl w:val="101E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B7866"/>
    <w:multiLevelType w:val="hybridMultilevel"/>
    <w:tmpl w:val="75BC3CA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8A"/>
    <w:rsid w:val="00005068"/>
    <w:rsid w:val="00007063"/>
    <w:rsid w:val="00010049"/>
    <w:rsid w:val="00012897"/>
    <w:rsid w:val="000144FE"/>
    <w:rsid w:val="00016CCE"/>
    <w:rsid w:val="00020612"/>
    <w:rsid w:val="000252AE"/>
    <w:rsid w:val="00027E27"/>
    <w:rsid w:val="00033CF3"/>
    <w:rsid w:val="00035B6E"/>
    <w:rsid w:val="000378BD"/>
    <w:rsid w:val="00041EAB"/>
    <w:rsid w:val="00045921"/>
    <w:rsid w:val="00045C44"/>
    <w:rsid w:val="00046DA7"/>
    <w:rsid w:val="00046E3B"/>
    <w:rsid w:val="00046FD9"/>
    <w:rsid w:val="0005469B"/>
    <w:rsid w:val="000552C6"/>
    <w:rsid w:val="00056F1C"/>
    <w:rsid w:val="000666BC"/>
    <w:rsid w:val="0006761D"/>
    <w:rsid w:val="0007435A"/>
    <w:rsid w:val="000764AA"/>
    <w:rsid w:val="0007739D"/>
    <w:rsid w:val="00081E4F"/>
    <w:rsid w:val="00082059"/>
    <w:rsid w:val="0008390A"/>
    <w:rsid w:val="00084CB7"/>
    <w:rsid w:val="00085E97"/>
    <w:rsid w:val="00086125"/>
    <w:rsid w:val="00087D5B"/>
    <w:rsid w:val="00092880"/>
    <w:rsid w:val="000967B7"/>
    <w:rsid w:val="000979EC"/>
    <w:rsid w:val="000A2985"/>
    <w:rsid w:val="000A314C"/>
    <w:rsid w:val="000A33A9"/>
    <w:rsid w:val="000A36C2"/>
    <w:rsid w:val="000A5E20"/>
    <w:rsid w:val="000A6066"/>
    <w:rsid w:val="000A76F7"/>
    <w:rsid w:val="000A77E4"/>
    <w:rsid w:val="000A7EE3"/>
    <w:rsid w:val="000B39B6"/>
    <w:rsid w:val="000B46FC"/>
    <w:rsid w:val="000B4B4F"/>
    <w:rsid w:val="000B54B5"/>
    <w:rsid w:val="000B7259"/>
    <w:rsid w:val="000B74CC"/>
    <w:rsid w:val="000B7A2C"/>
    <w:rsid w:val="000B7F27"/>
    <w:rsid w:val="000C59BB"/>
    <w:rsid w:val="000D411F"/>
    <w:rsid w:val="000D43C8"/>
    <w:rsid w:val="000D512F"/>
    <w:rsid w:val="000E2C39"/>
    <w:rsid w:val="000E311E"/>
    <w:rsid w:val="000E3E6D"/>
    <w:rsid w:val="000E630E"/>
    <w:rsid w:val="000E6B98"/>
    <w:rsid w:val="000F2DA3"/>
    <w:rsid w:val="000F4280"/>
    <w:rsid w:val="001027F4"/>
    <w:rsid w:val="00107CC2"/>
    <w:rsid w:val="00111968"/>
    <w:rsid w:val="00112DBE"/>
    <w:rsid w:val="001228E2"/>
    <w:rsid w:val="001233CE"/>
    <w:rsid w:val="001253B6"/>
    <w:rsid w:val="001260BB"/>
    <w:rsid w:val="0012674B"/>
    <w:rsid w:val="0012681D"/>
    <w:rsid w:val="0012761E"/>
    <w:rsid w:val="00127CA4"/>
    <w:rsid w:val="00130E05"/>
    <w:rsid w:val="00133EA3"/>
    <w:rsid w:val="00134B39"/>
    <w:rsid w:val="00140484"/>
    <w:rsid w:val="00141131"/>
    <w:rsid w:val="00142C32"/>
    <w:rsid w:val="00143CAD"/>
    <w:rsid w:val="00152D4C"/>
    <w:rsid w:val="00156346"/>
    <w:rsid w:val="0015665F"/>
    <w:rsid w:val="00156BCC"/>
    <w:rsid w:val="00156E51"/>
    <w:rsid w:val="00157455"/>
    <w:rsid w:val="001600A5"/>
    <w:rsid w:val="001614F1"/>
    <w:rsid w:val="001638B5"/>
    <w:rsid w:val="00166F2D"/>
    <w:rsid w:val="0016730B"/>
    <w:rsid w:val="00167F6A"/>
    <w:rsid w:val="001706FD"/>
    <w:rsid w:val="00170931"/>
    <w:rsid w:val="0017349B"/>
    <w:rsid w:val="00173E1B"/>
    <w:rsid w:val="00177D89"/>
    <w:rsid w:val="00181F67"/>
    <w:rsid w:val="00184213"/>
    <w:rsid w:val="00191270"/>
    <w:rsid w:val="00191991"/>
    <w:rsid w:val="00192023"/>
    <w:rsid w:val="00193868"/>
    <w:rsid w:val="00193C1D"/>
    <w:rsid w:val="00194E48"/>
    <w:rsid w:val="00196998"/>
    <w:rsid w:val="001A38D6"/>
    <w:rsid w:val="001A4136"/>
    <w:rsid w:val="001A62CF"/>
    <w:rsid w:val="001B0C98"/>
    <w:rsid w:val="001B0FD4"/>
    <w:rsid w:val="001B2B22"/>
    <w:rsid w:val="001B39A0"/>
    <w:rsid w:val="001B42BF"/>
    <w:rsid w:val="001B447A"/>
    <w:rsid w:val="001B7CFE"/>
    <w:rsid w:val="001C0904"/>
    <w:rsid w:val="001C3A6F"/>
    <w:rsid w:val="001C4E41"/>
    <w:rsid w:val="001D1DDF"/>
    <w:rsid w:val="001D5038"/>
    <w:rsid w:val="001E2E7A"/>
    <w:rsid w:val="001E5209"/>
    <w:rsid w:val="001E5FC0"/>
    <w:rsid w:val="001E6AAE"/>
    <w:rsid w:val="001F0F56"/>
    <w:rsid w:val="001F3B20"/>
    <w:rsid w:val="001F6B83"/>
    <w:rsid w:val="002010E1"/>
    <w:rsid w:val="002025F9"/>
    <w:rsid w:val="00203554"/>
    <w:rsid w:val="00205155"/>
    <w:rsid w:val="00210777"/>
    <w:rsid w:val="00210A58"/>
    <w:rsid w:val="002125A6"/>
    <w:rsid w:val="0021675D"/>
    <w:rsid w:val="00216908"/>
    <w:rsid w:val="00216ECD"/>
    <w:rsid w:val="00225930"/>
    <w:rsid w:val="00233BB0"/>
    <w:rsid w:val="0023411A"/>
    <w:rsid w:val="00236403"/>
    <w:rsid w:val="00237432"/>
    <w:rsid w:val="0024053E"/>
    <w:rsid w:val="00240C84"/>
    <w:rsid w:val="0024223E"/>
    <w:rsid w:val="00242419"/>
    <w:rsid w:val="002426B6"/>
    <w:rsid w:val="002430E2"/>
    <w:rsid w:val="002459EC"/>
    <w:rsid w:val="00254DE0"/>
    <w:rsid w:val="00264337"/>
    <w:rsid w:val="0027765C"/>
    <w:rsid w:val="002834F9"/>
    <w:rsid w:val="00283608"/>
    <w:rsid w:val="00286F2B"/>
    <w:rsid w:val="00287AB6"/>
    <w:rsid w:val="002932EF"/>
    <w:rsid w:val="0029454B"/>
    <w:rsid w:val="002950D1"/>
    <w:rsid w:val="00295454"/>
    <w:rsid w:val="002A1AA7"/>
    <w:rsid w:val="002A5309"/>
    <w:rsid w:val="002A697E"/>
    <w:rsid w:val="002B1023"/>
    <w:rsid w:val="002B1192"/>
    <w:rsid w:val="002B1717"/>
    <w:rsid w:val="002B1727"/>
    <w:rsid w:val="002B317C"/>
    <w:rsid w:val="002B3F55"/>
    <w:rsid w:val="002B4768"/>
    <w:rsid w:val="002B6824"/>
    <w:rsid w:val="002B6FE1"/>
    <w:rsid w:val="002B7C2B"/>
    <w:rsid w:val="002C1459"/>
    <w:rsid w:val="002C3795"/>
    <w:rsid w:val="002C5351"/>
    <w:rsid w:val="002C5D26"/>
    <w:rsid w:val="002C7032"/>
    <w:rsid w:val="002D1B7E"/>
    <w:rsid w:val="002D3381"/>
    <w:rsid w:val="002D3F63"/>
    <w:rsid w:val="002D6BA2"/>
    <w:rsid w:val="002D7C62"/>
    <w:rsid w:val="002E0018"/>
    <w:rsid w:val="002E05FD"/>
    <w:rsid w:val="002E238F"/>
    <w:rsid w:val="002E4723"/>
    <w:rsid w:val="002F3E3F"/>
    <w:rsid w:val="002F492B"/>
    <w:rsid w:val="002F4C76"/>
    <w:rsid w:val="002F6EC9"/>
    <w:rsid w:val="002F7101"/>
    <w:rsid w:val="003029BB"/>
    <w:rsid w:val="00311243"/>
    <w:rsid w:val="00311529"/>
    <w:rsid w:val="00311B2D"/>
    <w:rsid w:val="00311F47"/>
    <w:rsid w:val="00323742"/>
    <w:rsid w:val="003244F3"/>
    <w:rsid w:val="00326B8B"/>
    <w:rsid w:val="003272E6"/>
    <w:rsid w:val="00330510"/>
    <w:rsid w:val="00332298"/>
    <w:rsid w:val="00333645"/>
    <w:rsid w:val="003450DC"/>
    <w:rsid w:val="00345398"/>
    <w:rsid w:val="00345B34"/>
    <w:rsid w:val="00345BA7"/>
    <w:rsid w:val="00345DB4"/>
    <w:rsid w:val="003470F7"/>
    <w:rsid w:val="0035234D"/>
    <w:rsid w:val="00353F5E"/>
    <w:rsid w:val="00354A44"/>
    <w:rsid w:val="00357BB1"/>
    <w:rsid w:val="0036076B"/>
    <w:rsid w:val="0036077C"/>
    <w:rsid w:val="0036155E"/>
    <w:rsid w:val="00362536"/>
    <w:rsid w:val="00363442"/>
    <w:rsid w:val="003653CE"/>
    <w:rsid w:val="00367DBC"/>
    <w:rsid w:val="00370728"/>
    <w:rsid w:val="00375909"/>
    <w:rsid w:val="0037782F"/>
    <w:rsid w:val="00382259"/>
    <w:rsid w:val="0038362B"/>
    <w:rsid w:val="0038456B"/>
    <w:rsid w:val="00393F9C"/>
    <w:rsid w:val="00394C3D"/>
    <w:rsid w:val="003A0A82"/>
    <w:rsid w:val="003A3AB1"/>
    <w:rsid w:val="003A42E0"/>
    <w:rsid w:val="003A5B8A"/>
    <w:rsid w:val="003A69E9"/>
    <w:rsid w:val="003A7A2D"/>
    <w:rsid w:val="003A7B0E"/>
    <w:rsid w:val="003B367A"/>
    <w:rsid w:val="003B3EE8"/>
    <w:rsid w:val="003B6724"/>
    <w:rsid w:val="003B778D"/>
    <w:rsid w:val="003C3BCE"/>
    <w:rsid w:val="003C55EA"/>
    <w:rsid w:val="003C6F3D"/>
    <w:rsid w:val="003C6F7A"/>
    <w:rsid w:val="003D4FEF"/>
    <w:rsid w:val="003D6DAB"/>
    <w:rsid w:val="003E3D34"/>
    <w:rsid w:val="003E5BA7"/>
    <w:rsid w:val="003E5E03"/>
    <w:rsid w:val="003E7512"/>
    <w:rsid w:val="003E7A5D"/>
    <w:rsid w:val="003F1685"/>
    <w:rsid w:val="003F3B78"/>
    <w:rsid w:val="003F3CDB"/>
    <w:rsid w:val="003F6074"/>
    <w:rsid w:val="0040371B"/>
    <w:rsid w:val="004042E2"/>
    <w:rsid w:val="00410367"/>
    <w:rsid w:val="004152EA"/>
    <w:rsid w:val="00415CDA"/>
    <w:rsid w:val="00422AD7"/>
    <w:rsid w:val="00433904"/>
    <w:rsid w:val="0043499A"/>
    <w:rsid w:val="004350D2"/>
    <w:rsid w:val="004412A2"/>
    <w:rsid w:val="00441347"/>
    <w:rsid w:val="0044411E"/>
    <w:rsid w:val="00455F16"/>
    <w:rsid w:val="004576DF"/>
    <w:rsid w:val="00460B55"/>
    <w:rsid w:val="004671EB"/>
    <w:rsid w:val="00474365"/>
    <w:rsid w:val="00475CCD"/>
    <w:rsid w:val="004770ED"/>
    <w:rsid w:val="00477CBD"/>
    <w:rsid w:val="0048352B"/>
    <w:rsid w:val="00483893"/>
    <w:rsid w:val="00483A43"/>
    <w:rsid w:val="00486C67"/>
    <w:rsid w:val="00491E46"/>
    <w:rsid w:val="0049262B"/>
    <w:rsid w:val="00492B5C"/>
    <w:rsid w:val="00493295"/>
    <w:rsid w:val="00493714"/>
    <w:rsid w:val="004951F7"/>
    <w:rsid w:val="004A0D0C"/>
    <w:rsid w:val="004A1512"/>
    <w:rsid w:val="004A22F3"/>
    <w:rsid w:val="004A2611"/>
    <w:rsid w:val="004A50EF"/>
    <w:rsid w:val="004A6BA2"/>
    <w:rsid w:val="004B03B4"/>
    <w:rsid w:val="004B237F"/>
    <w:rsid w:val="004B4978"/>
    <w:rsid w:val="004B7511"/>
    <w:rsid w:val="004C0DB3"/>
    <w:rsid w:val="004C300B"/>
    <w:rsid w:val="004C67B0"/>
    <w:rsid w:val="004C7FBB"/>
    <w:rsid w:val="004D12DA"/>
    <w:rsid w:val="004D54F6"/>
    <w:rsid w:val="004D5E1B"/>
    <w:rsid w:val="004D7924"/>
    <w:rsid w:val="004E020C"/>
    <w:rsid w:val="004E125C"/>
    <w:rsid w:val="004E1BB8"/>
    <w:rsid w:val="004F253B"/>
    <w:rsid w:val="004F30F5"/>
    <w:rsid w:val="004F3167"/>
    <w:rsid w:val="004F5D37"/>
    <w:rsid w:val="004F650D"/>
    <w:rsid w:val="004F7E19"/>
    <w:rsid w:val="00502C54"/>
    <w:rsid w:val="00503D12"/>
    <w:rsid w:val="00504460"/>
    <w:rsid w:val="00505915"/>
    <w:rsid w:val="00505D51"/>
    <w:rsid w:val="005065D2"/>
    <w:rsid w:val="0051410E"/>
    <w:rsid w:val="00514B83"/>
    <w:rsid w:val="00516D41"/>
    <w:rsid w:val="00517ECA"/>
    <w:rsid w:val="00521CE2"/>
    <w:rsid w:val="005234C5"/>
    <w:rsid w:val="00525FD4"/>
    <w:rsid w:val="00526FEC"/>
    <w:rsid w:val="005306FA"/>
    <w:rsid w:val="00530ABF"/>
    <w:rsid w:val="00530D5C"/>
    <w:rsid w:val="0053123F"/>
    <w:rsid w:val="00531577"/>
    <w:rsid w:val="00531AFC"/>
    <w:rsid w:val="005328C6"/>
    <w:rsid w:val="0053350D"/>
    <w:rsid w:val="00533521"/>
    <w:rsid w:val="00534336"/>
    <w:rsid w:val="00535BA1"/>
    <w:rsid w:val="00536E4E"/>
    <w:rsid w:val="005441BC"/>
    <w:rsid w:val="0054717B"/>
    <w:rsid w:val="00550925"/>
    <w:rsid w:val="00552D4F"/>
    <w:rsid w:val="00553EAD"/>
    <w:rsid w:val="005542F2"/>
    <w:rsid w:val="00554416"/>
    <w:rsid w:val="005549CB"/>
    <w:rsid w:val="00555374"/>
    <w:rsid w:val="00560103"/>
    <w:rsid w:val="0056630A"/>
    <w:rsid w:val="005703B7"/>
    <w:rsid w:val="0057437B"/>
    <w:rsid w:val="00576C37"/>
    <w:rsid w:val="005838F2"/>
    <w:rsid w:val="00584083"/>
    <w:rsid w:val="00590142"/>
    <w:rsid w:val="005916C5"/>
    <w:rsid w:val="00592D2A"/>
    <w:rsid w:val="00594FCF"/>
    <w:rsid w:val="00595281"/>
    <w:rsid w:val="005A6FAF"/>
    <w:rsid w:val="005B18AF"/>
    <w:rsid w:val="005B4F6A"/>
    <w:rsid w:val="005B4FDC"/>
    <w:rsid w:val="005B60C8"/>
    <w:rsid w:val="005C0558"/>
    <w:rsid w:val="005C089B"/>
    <w:rsid w:val="005C537B"/>
    <w:rsid w:val="005C61E8"/>
    <w:rsid w:val="005D0DC8"/>
    <w:rsid w:val="005D164F"/>
    <w:rsid w:val="005D5011"/>
    <w:rsid w:val="005D6C34"/>
    <w:rsid w:val="005E210E"/>
    <w:rsid w:val="005E4683"/>
    <w:rsid w:val="005E4C26"/>
    <w:rsid w:val="005E649B"/>
    <w:rsid w:val="005F0B82"/>
    <w:rsid w:val="005F20F8"/>
    <w:rsid w:val="005F56B3"/>
    <w:rsid w:val="005F6E77"/>
    <w:rsid w:val="006000B1"/>
    <w:rsid w:val="0061000A"/>
    <w:rsid w:val="00611C9B"/>
    <w:rsid w:val="00617801"/>
    <w:rsid w:val="00617E0C"/>
    <w:rsid w:val="00621368"/>
    <w:rsid w:val="00624118"/>
    <w:rsid w:val="00624AE2"/>
    <w:rsid w:val="00630739"/>
    <w:rsid w:val="00631D38"/>
    <w:rsid w:val="006354C9"/>
    <w:rsid w:val="0063753D"/>
    <w:rsid w:val="0063764E"/>
    <w:rsid w:val="00645899"/>
    <w:rsid w:val="00651D5F"/>
    <w:rsid w:val="006554BE"/>
    <w:rsid w:val="006612ED"/>
    <w:rsid w:val="006642A7"/>
    <w:rsid w:val="0066441C"/>
    <w:rsid w:val="006654F2"/>
    <w:rsid w:val="00665F03"/>
    <w:rsid w:val="00666579"/>
    <w:rsid w:val="00666F8E"/>
    <w:rsid w:val="006706D5"/>
    <w:rsid w:val="006741CE"/>
    <w:rsid w:val="00674308"/>
    <w:rsid w:val="0067638D"/>
    <w:rsid w:val="00677E53"/>
    <w:rsid w:val="006848F3"/>
    <w:rsid w:val="00694D9B"/>
    <w:rsid w:val="006A3E35"/>
    <w:rsid w:val="006A5992"/>
    <w:rsid w:val="006B5622"/>
    <w:rsid w:val="006B5A1F"/>
    <w:rsid w:val="006B76BF"/>
    <w:rsid w:val="006B77CD"/>
    <w:rsid w:val="006C508D"/>
    <w:rsid w:val="006D0A86"/>
    <w:rsid w:val="006D1996"/>
    <w:rsid w:val="006E13A0"/>
    <w:rsid w:val="006E29B4"/>
    <w:rsid w:val="006E4BA7"/>
    <w:rsid w:val="006E6432"/>
    <w:rsid w:val="006E66B0"/>
    <w:rsid w:val="006F1FDD"/>
    <w:rsid w:val="006F2803"/>
    <w:rsid w:val="006F3D02"/>
    <w:rsid w:val="006F48EE"/>
    <w:rsid w:val="006F6A49"/>
    <w:rsid w:val="00701701"/>
    <w:rsid w:val="0070208E"/>
    <w:rsid w:val="0070408A"/>
    <w:rsid w:val="00706515"/>
    <w:rsid w:val="00706A70"/>
    <w:rsid w:val="00711597"/>
    <w:rsid w:val="00711B89"/>
    <w:rsid w:val="007143BB"/>
    <w:rsid w:val="00715A09"/>
    <w:rsid w:val="007164D3"/>
    <w:rsid w:val="007177ED"/>
    <w:rsid w:val="0072031D"/>
    <w:rsid w:val="00721345"/>
    <w:rsid w:val="00721EAB"/>
    <w:rsid w:val="00725B66"/>
    <w:rsid w:val="00730641"/>
    <w:rsid w:val="00732022"/>
    <w:rsid w:val="0073210D"/>
    <w:rsid w:val="007324E8"/>
    <w:rsid w:val="00733422"/>
    <w:rsid w:val="0073462E"/>
    <w:rsid w:val="00741105"/>
    <w:rsid w:val="007436C4"/>
    <w:rsid w:val="00752F0F"/>
    <w:rsid w:val="00753E25"/>
    <w:rsid w:val="007542D5"/>
    <w:rsid w:val="00755340"/>
    <w:rsid w:val="007565C5"/>
    <w:rsid w:val="00757CF3"/>
    <w:rsid w:val="00762FC1"/>
    <w:rsid w:val="00763EB2"/>
    <w:rsid w:val="007650C8"/>
    <w:rsid w:val="00772EE9"/>
    <w:rsid w:val="00773220"/>
    <w:rsid w:val="00774D1E"/>
    <w:rsid w:val="00775F36"/>
    <w:rsid w:val="00777A75"/>
    <w:rsid w:val="007825AF"/>
    <w:rsid w:val="00782726"/>
    <w:rsid w:val="00782F8B"/>
    <w:rsid w:val="00783281"/>
    <w:rsid w:val="0078562A"/>
    <w:rsid w:val="0079574D"/>
    <w:rsid w:val="0079647E"/>
    <w:rsid w:val="007A36B4"/>
    <w:rsid w:val="007A5284"/>
    <w:rsid w:val="007B2333"/>
    <w:rsid w:val="007B3A7A"/>
    <w:rsid w:val="007B4F46"/>
    <w:rsid w:val="007B4FE0"/>
    <w:rsid w:val="007B7140"/>
    <w:rsid w:val="007C29D0"/>
    <w:rsid w:val="007C4221"/>
    <w:rsid w:val="007C56A0"/>
    <w:rsid w:val="007D1E6A"/>
    <w:rsid w:val="007D34DB"/>
    <w:rsid w:val="007D4E1F"/>
    <w:rsid w:val="007E1E65"/>
    <w:rsid w:val="007E240E"/>
    <w:rsid w:val="007E2EFA"/>
    <w:rsid w:val="007E3C0B"/>
    <w:rsid w:val="007E75BA"/>
    <w:rsid w:val="007F40E0"/>
    <w:rsid w:val="00807D02"/>
    <w:rsid w:val="00807E67"/>
    <w:rsid w:val="00810B9A"/>
    <w:rsid w:val="00811816"/>
    <w:rsid w:val="00811C23"/>
    <w:rsid w:val="008126A3"/>
    <w:rsid w:val="00820E93"/>
    <w:rsid w:val="0082472B"/>
    <w:rsid w:val="00825E2C"/>
    <w:rsid w:val="008279DF"/>
    <w:rsid w:val="008309ED"/>
    <w:rsid w:val="00832112"/>
    <w:rsid w:val="00834A7E"/>
    <w:rsid w:val="0083750F"/>
    <w:rsid w:val="00840B0B"/>
    <w:rsid w:val="00841C11"/>
    <w:rsid w:val="0084375A"/>
    <w:rsid w:val="0084617D"/>
    <w:rsid w:val="008618CD"/>
    <w:rsid w:val="0086288A"/>
    <w:rsid w:val="008664BB"/>
    <w:rsid w:val="00871C56"/>
    <w:rsid w:val="0087310B"/>
    <w:rsid w:val="008732C8"/>
    <w:rsid w:val="008816EF"/>
    <w:rsid w:val="00881976"/>
    <w:rsid w:val="0088237C"/>
    <w:rsid w:val="0088471A"/>
    <w:rsid w:val="008913B0"/>
    <w:rsid w:val="008926CB"/>
    <w:rsid w:val="008A0789"/>
    <w:rsid w:val="008A4531"/>
    <w:rsid w:val="008A539D"/>
    <w:rsid w:val="008A54FE"/>
    <w:rsid w:val="008B0536"/>
    <w:rsid w:val="008B3C22"/>
    <w:rsid w:val="008B6EFA"/>
    <w:rsid w:val="008B717F"/>
    <w:rsid w:val="008C2474"/>
    <w:rsid w:val="008C30C1"/>
    <w:rsid w:val="008C3261"/>
    <w:rsid w:val="008C4357"/>
    <w:rsid w:val="008C615A"/>
    <w:rsid w:val="008D0704"/>
    <w:rsid w:val="008D0E3E"/>
    <w:rsid w:val="008D1A39"/>
    <w:rsid w:val="008D3CDF"/>
    <w:rsid w:val="008D5F47"/>
    <w:rsid w:val="008E6552"/>
    <w:rsid w:val="008E70B5"/>
    <w:rsid w:val="008E77CB"/>
    <w:rsid w:val="008F1643"/>
    <w:rsid w:val="008F3C72"/>
    <w:rsid w:val="008F3E08"/>
    <w:rsid w:val="008F4090"/>
    <w:rsid w:val="008F4BBB"/>
    <w:rsid w:val="00900E08"/>
    <w:rsid w:val="009015A3"/>
    <w:rsid w:val="00923618"/>
    <w:rsid w:val="00923DF6"/>
    <w:rsid w:val="0092458D"/>
    <w:rsid w:val="009247AF"/>
    <w:rsid w:val="009247F5"/>
    <w:rsid w:val="009249E4"/>
    <w:rsid w:val="0092575C"/>
    <w:rsid w:val="00930075"/>
    <w:rsid w:val="00931AC8"/>
    <w:rsid w:val="00932F0B"/>
    <w:rsid w:val="0093393D"/>
    <w:rsid w:val="00935E8F"/>
    <w:rsid w:val="00936008"/>
    <w:rsid w:val="00936C89"/>
    <w:rsid w:val="00942D30"/>
    <w:rsid w:val="00943E6A"/>
    <w:rsid w:val="00946E5D"/>
    <w:rsid w:val="0095546F"/>
    <w:rsid w:val="00956407"/>
    <w:rsid w:val="009629C2"/>
    <w:rsid w:val="009643F3"/>
    <w:rsid w:val="009661F2"/>
    <w:rsid w:val="00966783"/>
    <w:rsid w:val="00967040"/>
    <w:rsid w:val="00971056"/>
    <w:rsid w:val="00972C67"/>
    <w:rsid w:val="00984030"/>
    <w:rsid w:val="00985268"/>
    <w:rsid w:val="009858F5"/>
    <w:rsid w:val="00986743"/>
    <w:rsid w:val="00986F87"/>
    <w:rsid w:val="00987648"/>
    <w:rsid w:val="00996683"/>
    <w:rsid w:val="00997089"/>
    <w:rsid w:val="009A2D25"/>
    <w:rsid w:val="009A30A5"/>
    <w:rsid w:val="009A6007"/>
    <w:rsid w:val="009B7898"/>
    <w:rsid w:val="009B7B57"/>
    <w:rsid w:val="009B7CE7"/>
    <w:rsid w:val="009C2493"/>
    <w:rsid w:val="009D18DC"/>
    <w:rsid w:val="009D3C4D"/>
    <w:rsid w:val="009D6DA0"/>
    <w:rsid w:val="009D7FE5"/>
    <w:rsid w:val="009E1503"/>
    <w:rsid w:val="009E17A5"/>
    <w:rsid w:val="009E250F"/>
    <w:rsid w:val="009E3B7D"/>
    <w:rsid w:val="009E4BF3"/>
    <w:rsid w:val="009E5D6E"/>
    <w:rsid w:val="009F3C9E"/>
    <w:rsid w:val="009F3E9F"/>
    <w:rsid w:val="009F6298"/>
    <w:rsid w:val="00A0044F"/>
    <w:rsid w:val="00A031CF"/>
    <w:rsid w:val="00A04D37"/>
    <w:rsid w:val="00A069A7"/>
    <w:rsid w:val="00A10137"/>
    <w:rsid w:val="00A11083"/>
    <w:rsid w:val="00A1604A"/>
    <w:rsid w:val="00A173B5"/>
    <w:rsid w:val="00A20B8D"/>
    <w:rsid w:val="00A21698"/>
    <w:rsid w:val="00A223C3"/>
    <w:rsid w:val="00A23998"/>
    <w:rsid w:val="00A23AA1"/>
    <w:rsid w:val="00A24E14"/>
    <w:rsid w:val="00A2507A"/>
    <w:rsid w:val="00A25428"/>
    <w:rsid w:val="00A2635E"/>
    <w:rsid w:val="00A363A7"/>
    <w:rsid w:val="00A37900"/>
    <w:rsid w:val="00A4172F"/>
    <w:rsid w:val="00A422BF"/>
    <w:rsid w:val="00A438E6"/>
    <w:rsid w:val="00A43F47"/>
    <w:rsid w:val="00A467BA"/>
    <w:rsid w:val="00A52ECC"/>
    <w:rsid w:val="00A55153"/>
    <w:rsid w:val="00A62D4B"/>
    <w:rsid w:val="00A633DF"/>
    <w:rsid w:val="00A6483C"/>
    <w:rsid w:val="00A7125B"/>
    <w:rsid w:val="00A72C40"/>
    <w:rsid w:val="00A72CE7"/>
    <w:rsid w:val="00A749E3"/>
    <w:rsid w:val="00A8309A"/>
    <w:rsid w:val="00A83CB5"/>
    <w:rsid w:val="00A846D4"/>
    <w:rsid w:val="00A91230"/>
    <w:rsid w:val="00A92FE0"/>
    <w:rsid w:val="00A936C7"/>
    <w:rsid w:val="00A946E9"/>
    <w:rsid w:val="00AA0485"/>
    <w:rsid w:val="00AA5A11"/>
    <w:rsid w:val="00AA6F7E"/>
    <w:rsid w:val="00AA7A06"/>
    <w:rsid w:val="00AB079E"/>
    <w:rsid w:val="00AB5724"/>
    <w:rsid w:val="00AB65B1"/>
    <w:rsid w:val="00AC311F"/>
    <w:rsid w:val="00AC5182"/>
    <w:rsid w:val="00AD3440"/>
    <w:rsid w:val="00AD6048"/>
    <w:rsid w:val="00AE2202"/>
    <w:rsid w:val="00AE2C2A"/>
    <w:rsid w:val="00AE4C37"/>
    <w:rsid w:val="00AF0CFF"/>
    <w:rsid w:val="00AF1987"/>
    <w:rsid w:val="00AF22D4"/>
    <w:rsid w:val="00AF42B9"/>
    <w:rsid w:val="00AF581D"/>
    <w:rsid w:val="00AF6EE0"/>
    <w:rsid w:val="00AF7326"/>
    <w:rsid w:val="00AF7A59"/>
    <w:rsid w:val="00B007A8"/>
    <w:rsid w:val="00B024D0"/>
    <w:rsid w:val="00B067FC"/>
    <w:rsid w:val="00B06F1E"/>
    <w:rsid w:val="00B07803"/>
    <w:rsid w:val="00B10629"/>
    <w:rsid w:val="00B144F9"/>
    <w:rsid w:val="00B1532C"/>
    <w:rsid w:val="00B1552C"/>
    <w:rsid w:val="00B20212"/>
    <w:rsid w:val="00B2284D"/>
    <w:rsid w:val="00B23D3D"/>
    <w:rsid w:val="00B24642"/>
    <w:rsid w:val="00B25371"/>
    <w:rsid w:val="00B27636"/>
    <w:rsid w:val="00B30092"/>
    <w:rsid w:val="00B302A9"/>
    <w:rsid w:val="00B31BE6"/>
    <w:rsid w:val="00B32498"/>
    <w:rsid w:val="00B34C8E"/>
    <w:rsid w:val="00B41E1A"/>
    <w:rsid w:val="00B44B83"/>
    <w:rsid w:val="00B53768"/>
    <w:rsid w:val="00B55E69"/>
    <w:rsid w:val="00B62984"/>
    <w:rsid w:val="00B66EBE"/>
    <w:rsid w:val="00B6795D"/>
    <w:rsid w:val="00B70352"/>
    <w:rsid w:val="00B7188D"/>
    <w:rsid w:val="00B83C11"/>
    <w:rsid w:val="00B93F2C"/>
    <w:rsid w:val="00B94F3A"/>
    <w:rsid w:val="00B972BB"/>
    <w:rsid w:val="00BA325A"/>
    <w:rsid w:val="00BB110E"/>
    <w:rsid w:val="00BB114B"/>
    <w:rsid w:val="00BB53DB"/>
    <w:rsid w:val="00BB57AB"/>
    <w:rsid w:val="00BB64D2"/>
    <w:rsid w:val="00BB6F44"/>
    <w:rsid w:val="00BC6012"/>
    <w:rsid w:val="00BD0496"/>
    <w:rsid w:val="00BD08DF"/>
    <w:rsid w:val="00BD3B1F"/>
    <w:rsid w:val="00BD68E9"/>
    <w:rsid w:val="00BD6CB5"/>
    <w:rsid w:val="00BE287B"/>
    <w:rsid w:val="00BE28BE"/>
    <w:rsid w:val="00BE4843"/>
    <w:rsid w:val="00BF0F1E"/>
    <w:rsid w:val="00BF1A1C"/>
    <w:rsid w:val="00BF315E"/>
    <w:rsid w:val="00BF54CF"/>
    <w:rsid w:val="00BF61CD"/>
    <w:rsid w:val="00C00990"/>
    <w:rsid w:val="00C013C2"/>
    <w:rsid w:val="00C0266F"/>
    <w:rsid w:val="00C03904"/>
    <w:rsid w:val="00C04D77"/>
    <w:rsid w:val="00C050ED"/>
    <w:rsid w:val="00C07C89"/>
    <w:rsid w:val="00C07DB0"/>
    <w:rsid w:val="00C102E2"/>
    <w:rsid w:val="00C10BCE"/>
    <w:rsid w:val="00C13CA7"/>
    <w:rsid w:val="00C20D18"/>
    <w:rsid w:val="00C2118A"/>
    <w:rsid w:val="00C2277B"/>
    <w:rsid w:val="00C25BFF"/>
    <w:rsid w:val="00C25CEE"/>
    <w:rsid w:val="00C30FB7"/>
    <w:rsid w:val="00C31CF5"/>
    <w:rsid w:val="00C34A21"/>
    <w:rsid w:val="00C359B5"/>
    <w:rsid w:val="00C36C78"/>
    <w:rsid w:val="00C36EC8"/>
    <w:rsid w:val="00C40826"/>
    <w:rsid w:val="00C40EF6"/>
    <w:rsid w:val="00C414EB"/>
    <w:rsid w:val="00C41DF0"/>
    <w:rsid w:val="00C45FC0"/>
    <w:rsid w:val="00C469A9"/>
    <w:rsid w:val="00C51DB8"/>
    <w:rsid w:val="00C52A95"/>
    <w:rsid w:val="00C54010"/>
    <w:rsid w:val="00C57E25"/>
    <w:rsid w:val="00C65443"/>
    <w:rsid w:val="00C71155"/>
    <w:rsid w:val="00C817A8"/>
    <w:rsid w:val="00C8347A"/>
    <w:rsid w:val="00C9133B"/>
    <w:rsid w:val="00C915D4"/>
    <w:rsid w:val="00C95C55"/>
    <w:rsid w:val="00C96890"/>
    <w:rsid w:val="00C97BB6"/>
    <w:rsid w:val="00CA079B"/>
    <w:rsid w:val="00CA2FD9"/>
    <w:rsid w:val="00CA3D73"/>
    <w:rsid w:val="00CA536D"/>
    <w:rsid w:val="00CA580F"/>
    <w:rsid w:val="00CA6A36"/>
    <w:rsid w:val="00CB375A"/>
    <w:rsid w:val="00CC0725"/>
    <w:rsid w:val="00CC5E27"/>
    <w:rsid w:val="00CC682B"/>
    <w:rsid w:val="00CD622C"/>
    <w:rsid w:val="00CD6656"/>
    <w:rsid w:val="00CD6E07"/>
    <w:rsid w:val="00CD77AC"/>
    <w:rsid w:val="00CE22DB"/>
    <w:rsid w:val="00CE2447"/>
    <w:rsid w:val="00CE4631"/>
    <w:rsid w:val="00CE66A7"/>
    <w:rsid w:val="00CE7B2E"/>
    <w:rsid w:val="00CF232A"/>
    <w:rsid w:val="00CF2B82"/>
    <w:rsid w:val="00CF67F4"/>
    <w:rsid w:val="00D008AC"/>
    <w:rsid w:val="00D03746"/>
    <w:rsid w:val="00D1393B"/>
    <w:rsid w:val="00D1396A"/>
    <w:rsid w:val="00D14E4A"/>
    <w:rsid w:val="00D16D96"/>
    <w:rsid w:val="00D17271"/>
    <w:rsid w:val="00D20F9E"/>
    <w:rsid w:val="00D21510"/>
    <w:rsid w:val="00D24128"/>
    <w:rsid w:val="00D27192"/>
    <w:rsid w:val="00D27796"/>
    <w:rsid w:val="00D30443"/>
    <w:rsid w:val="00D334A5"/>
    <w:rsid w:val="00D347EA"/>
    <w:rsid w:val="00D415D8"/>
    <w:rsid w:val="00D44A73"/>
    <w:rsid w:val="00D468FD"/>
    <w:rsid w:val="00D51D78"/>
    <w:rsid w:val="00D53922"/>
    <w:rsid w:val="00D53ADC"/>
    <w:rsid w:val="00D549C8"/>
    <w:rsid w:val="00D55146"/>
    <w:rsid w:val="00D568C2"/>
    <w:rsid w:val="00D629F7"/>
    <w:rsid w:val="00D64F45"/>
    <w:rsid w:val="00D654B6"/>
    <w:rsid w:val="00D655C1"/>
    <w:rsid w:val="00D66195"/>
    <w:rsid w:val="00D721D9"/>
    <w:rsid w:val="00D75229"/>
    <w:rsid w:val="00D75B25"/>
    <w:rsid w:val="00D75E01"/>
    <w:rsid w:val="00D773B4"/>
    <w:rsid w:val="00D81595"/>
    <w:rsid w:val="00D85D3B"/>
    <w:rsid w:val="00D93B66"/>
    <w:rsid w:val="00D972FC"/>
    <w:rsid w:val="00DA394F"/>
    <w:rsid w:val="00DA3AD2"/>
    <w:rsid w:val="00DA5E7A"/>
    <w:rsid w:val="00DB178B"/>
    <w:rsid w:val="00DB25C7"/>
    <w:rsid w:val="00DB42D5"/>
    <w:rsid w:val="00DB6437"/>
    <w:rsid w:val="00DB78E5"/>
    <w:rsid w:val="00DC30FD"/>
    <w:rsid w:val="00DC52B1"/>
    <w:rsid w:val="00DD01AA"/>
    <w:rsid w:val="00DD4A74"/>
    <w:rsid w:val="00DD50B4"/>
    <w:rsid w:val="00DD6595"/>
    <w:rsid w:val="00DE6E46"/>
    <w:rsid w:val="00DF0180"/>
    <w:rsid w:val="00DF22A9"/>
    <w:rsid w:val="00DF583A"/>
    <w:rsid w:val="00DF6ABB"/>
    <w:rsid w:val="00E00D67"/>
    <w:rsid w:val="00E038A7"/>
    <w:rsid w:val="00E0488A"/>
    <w:rsid w:val="00E0656F"/>
    <w:rsid w:val="00E11E7E"/>
    <w:rsid w:val="00E1267D"/>
    <w:rsid w:val="00E133BB"/>
    <w:rsid w:val="00E17ED0"/>
    <w:rsid w:val="00E21729"/>
    <w:rsid w:val="00E37BC3"/>
    <w:rsid w:val="00E37C12"/>
    <w:rsid w:val="00E42EAE"/>
    <w:rsid w:val="00E4746B"/>
    <w:rsid w:val="00E47A95"/>
    <w:rsid w:val="00E528C8"/>
    <w:rsid w:val="00E5358F"/>
    <w:rsid w:val="00E561D4"/>
    <w:rsid w:val="00E563AE"/>
    <w:rsid w:val="00E57DDD"/>
    <w:rsid w:val="00E637E8"/>
    <w:rsid w:val="00E6643B"/>
    <w:rsid w:val="00E6731F"/>
    <w:rsid w:val="00E70685"/>
    <w:rsid w:val="00E77FE5"/>
    <w:rsid w:val="00E85B6D"/>
    <w:rsid w:val="00E861F3"/>
    <w:rsid w:val="00E86ACE"/>
    <w:rsid w:val="00E939E2"/>
    <w:rsid w:val="00EA2D17"/>
    <w:rsid w:val="00EA2EC0"/>
    <w:rsid w:val="00EA330A"/>
    <w:rsid w:val="00EA66A5"/>
    <w:rsid w:val="00EA6888"/>
    <w:rsid w:val="00EA7985"/>
    <w:rsid w:val="00EB0841"/>
    <w:rsid w:val="00EB3AD9"/>
    <w:rsid w:val="00EC1B1E"/>
    <w:rsid w:val="00EC42F6"/>
    <w:rsid w:val="00ED2354"/>
    <w:rsid w:val="00ED38EE"/>
    <w:rsid w:val="00ED6AB6"/>
    <w:rsid w:val="00EE1D00"/>
    <w:rsid w:val="00EE20AF"/>
    <w:rsid w:val="00EE2257"/>
    <w:rsid w:val="00EE2EA0"/>
    <w:rsid w:val="00EE46C0"/>
    <w:rsid w:val="00EE49EA"/>
    <w:rsid w:val="00EE73E9"/>
    <w:rsid w:val="00EE7886"/>
    <w:rsid w:val="00EF00CC"/>
    <w:rsid w:val="00EF7EAE"/>
    <w:rsid w:val="00F00E14"/>
    <w:rsid w:val="00F02B21"/>
    <w:rsid w:val="00F052F5"/>
    <w:rsid w:val="00F053A9"/>
    <w:rsid w:val="00F05A0B"/>
    <w:rsid w:val="00F113FC"/>
    <w:rsid w:val="00F12255"/>
    <w:rsid w:val="00F12E29"/>
    <w:rsid w:val="00F132C7"/>
    <w:rsid w:val="00F1360E"/>
    <w:rsid w:val="00F1404B"/>
    <w:rsid w:val="00F16A1C"/>
    <w:rsid w:val="00F20A04"/>
    <w:rsid w:val="00F211F1"/>
    <w:rsid w:val="00F3321C"/>
    <w:rsid w:val="00F40B41"/>
    <w:rsid w:val="00F414A4"/>
    <w:rsid w:val="00F425DB"/>
    <w:rsid w:val="00F44D6C"/>
    <w:rsid w:val="00F4561B"/>
    <w:rsid w:val="00F4676F"/>
    <w:rsid w:val="00F54D38"/>
    <w:rsid w:val="00F6013A"/>
    <w:rsid w:val="00F70E90"/>
    <w:rsid w:val="00F80E08"/>
    <w:rsid w:val="00F81BA3"/>
    <w:rsid w:val="00F82C3E"/>
    <w:rsid w:val="00F841B1"/>
    <w:rsid w:val="00F855EB"/>
    <w:rsid w:val="00F87E81"/>
    <w:rsid w:val="00F906E3"/>
    <w:rsid w:val="00F90C8D"/>
    <w:rsid w:val="00F929D0"/>
    <w:rsid w:val="00F9477C"/>
    <w:rsid w:val="00F960BB"/>
    <w:rsid w:val="00F9658F"/>
    <w:rsid w:val="00F968DC"/>
    <w:rsid w:val="00F97BE2"/>
    <w:rsid w:val="00F97D52"/>
    <w:rsid w:val="00FA036D"/>
    <w:rsid w:val="00FA2F71"/>
    <w:rsid w:val="00FB226F"/>
    <w:rsid w:val="00FC1139"/>
    <w:rsid w:val="00FC1B66"/>
    <w:rsid w:val="00FC3315"/>
    <w:rsid w:val="00FC41D1"/>
    <w:rsid w:val="00FC5156"/>
    <w:rsid w:val="00FC5A47"/>
    <w:rsid w:val="00FC6582"/>
    <w:rsid w:val="00FD004F"/>
    <w:rsid w:val="00FD058D"/>
    <w:rsid w:val="00FD4142"/>
    <w:rsid w:val="00FD5335"/>
    <w:rsid w:val="00FD5342"/>
    <w:rsid w:val="00FD6968"/>
    <w:rsid w:val="00FE2A8A"/>
    <w:rsid w:val="00FE42E9"/>
    <w:rsid w:val="00FE6BF4"/>
    <w:rsid w:val="00FE6DD1"/>
    <w:rsid w:val="00FF14D5"/>
    <w:rsid w:val="00FF59E9"/>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9"/>
    <w:pPr>
      <w:tabs>
        <w:tab w:val="left" w:pos="720"/>
      </w:tabs>
      <w:spacing w:after="0" w:line="480" w:lineRule="atLeast"/>
    </w:pPr>
    <w:rPr>
      <w:rFonts w:ascii="Century Schoolbook" w:hAnsi="Century Schoolbook"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4986"/>
    <w:rPr>
      <w:rFonts w:ascii="Lucida Grande" w:hAnsi="Lucida Grande"/>
      <w:sz w:val="18"/>
      <w:szCs w:val="18"/>
    </w:rPr>
  </w:style>
  <w:style w:type="character" w:customStyle="1" w:styleId="BalloonTextChar">
    <w:name w:val="Balloon Text Char"/>
    <w:basedOn w:val="DefaultParagraphFont"/>
    <w:uiPriority w:val="99"/>
    <w:semiHidden/>
    <w:rsid w:val="00D7498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74986"/>
    <w:rPr>
      <w:rFonts w:ascii="Lucida Grande" w:hAnsi="Lucida Grande"/>
      <w:sz w:val="18"/>
      <w:szCs w:val="18"/>
    </w:rPr>
  </w:style>
  <w:style w:type="paragraph" w:styleId="Header">
    <w:name w:val="header"/>
    <w:basedOn w:val="Normal"/>
    <w:link w:val="HeaderChar"/>
    <w:uiPriority w:val="99"/>
    <w:unhideWhenUsed/>
    <w:rsid w:val="00FE2A8A"/>
    <w:pPr>
      <w:tabs>
        <w:tab w:val="center" w:pos="4680"/>
        <w:tab w:val="right" w:pos="9360"/>
      </w:tabs>
      <w:spacing w:line="240" w:lineRule="auto"/>
    </w:pPr>
  </w:style>
  <w:style w:type="character" w:customStyle="1" w:styleId="HeaderChar">
    <w:name w:val="Header Char"/>
    <w:basedOn w:val="DefaultParagraphFont"/>
    <w:link w:val="Header"/>
    <w:uiPriority w:val="99"/>
    <w:rsid w:val="00FE2A8A"/>
  </w:style>
  <w:style w:type="paragraph" w:styleId="Footer">
    <w:name w:val="footer"/>
    <w:basedOn w:val="Normal"/>
    <w:link w:val="FooterChar"/>
    <w:uiPriority w:val="99"/>
    <w:unhideWhenUsed/>
    <w:rsid w:val="00FE2A8A"/>
    <w:pPr>
      <w:tabs>
        <w:tab w:val="center" w:pos="4680"/>
        <w:tab w:val="right" w:pos="9360"/>
      </w:tabs>
      <w:spacing w:line="240" w:lineRule="auto"/>
    </w:pPr>
  </w:style>
  <w:style w:type="character" w:customStyle="1" w:styleId="FooterChar">
    <w:name w:val="Footer Char"/>
    <w:basedOn w:val="DefaultParagraphFont"/>
    <w:link w:val="Footer"/>
    <w:uiPriority w:val="99"/>
    <w:rsid w:val="00FE2A8A"/>
  </w:style>
  <w:style w:type="character" w:styleId="PageNumber">
    <w:name w:val="page number"/>
    <w:basedOn w:val="DefaultParagraphFont"/>
    <w:uiPriority w:val="99"/>
    <w:semiHidden/>
    <w:unhideWhenUsed/>
    <w:rsid w:val="00FE2A8A"/>
  </w:style>
  <w:style w:type="paragraph" w:styleId="FootnoteText">
    <w:name w:val="footnote text"/>
    <w:link w:val="FootnoteTextChar"/>
    <w:uiPriority w:val="99"/>
    <w:unhideWhenUsed/>
    <w:rsid w:val="000F2DA3"/>
    <w:pPr>
      <w:spacing w:after="120" w:line="240" w:lineRule="auto"/>
      <w:ind w:firstLine="720"/>
    </w:pPr>
    <w:rPr>
      <w:rFonts w:ascii="Century Schoolbook" w:hAnsi="Century Schoolbook" w:cs="Times New Roman"/>
      <w:sz w:val="26"/>
      <w:szCs w:val="20"/>
    </w:rPr>
  </w:style>
  <w:style w:type="character" w:customStyle="1" w:styleId="FootnoteTextChar">
    <w:name w:val="Footnote Text Char"/>
    <w:basedOn w:val="DefaultParagraphFont"/>
    <w:link w:val="FootnoteText"/>
    <w:uiPriority w:val="99"/>
    <w:rsid w:val="000F2DA3"/>
    <w:rPr>
      <w:rFonts w:ascii="Century Schoolbook" w:hAnsi="Century Schoolbook" w:cs="Times New Roman"/>
      <w:sz w:val="26"/>
      <w:szCs w:val="20"/>
    </w:rPr>
  </w:style>
  <w:style w:type="character" w:styleId="FootnoteReference">
    <w:name w:val="footnote reference"/>
    <w:basedOn w:val="DefaultParagraphFont"/>
    <w:uiPriority w:val="99"/>
    <w:semiHidden/>
    <w:unhideWhenUsed/>
    <w:rsid w:val="005B18AF"/>
    <w:rPr>
      <w:vertAlign w:val="superscript"/>
    </w:rPr>
  </w:style>
  <w:style w:type="character" w:customStyle="1" w:styleId="normal0020tablechar">
    <w:name w:val="normal_0020table__char"/>
    <w:basedOn w:val="DefaultParagraphFont"/>
    <w:rsid w:val="005B18AF"/>
  </w:style>
  <w:style w:type="character" w:customStyle="1" w:styleId="costarpage">
    <w:name w:val="co_starpage"/>
    <w:basedOn w:val="DefaultParagraphFont"/>
    <w:rsid w:val="009247AF"/>
  </w:style>
  <w:style w:type="character" w:styleId="Hyperlink">
    <w:name w:val="Hyperlink"/>
    <w:basedOn w:val="DefaultParagraphFont"/>
    <w:uiPriority w:val="99"/>
    <w:semiHidden/>
    <w:unhideWhenUsed/>
    <w:rsid w:val="009247AF"/>
    <w:rPr>
      <w:color w:val="0000FF"/>
      <w:u w:val="single"/>
    </w:rPr>
  </w:style>
  <w:style w:type="character" w:customStyle="1" w:styleId="cosearchterm">
    <w:name w:val="co_searchterm"/>
    <w:basedOn w:val="DefaultParagraphFont"/>
    <w:rsid w:val="00E77FE5"/>
  </w:style>
  <w:style w:type="character" w:styleId="Emphasis">
    <w:name w:val="Emphasis"/>
    <w:basedOn w:val="DefaultParagraphFont"/>
    <w:uiPriority w:val="20"/>
    <w:qFormat/>
    <w:rsid w:val="00E77FE5"/>
    <w:rPr>
      <w:i/>
      <w:iCs/>
    </w:rPr>
  </w:style>
  <w:style w:type="character" w:customStyle="1" w:styleId="copinpointicon">
    <w:name w:val="co_pinpointicon"/>
    <w:basedOn w:val="DefaultParagraphFont"/>
    <w:rsid w:val="00E77FE5"/>
  </w:style>
  <w:style w:type="paragraph" w:styleId="Revision">
    <w:name w:val="Revision"/>
    <w:hidden/>
    <w:uiPriority w:val="99"/>
    <w:semiHidden/>
    <w:rsid w:val="00996683"/>
    <w:pPr>
      <w:spacing w:after="0" w:line="240" w:lineRule="auto"/>
    </w:pPr>
    <w:rPr>
      <w:rFonts w:ascii="Century Schoolbook" w:hAnsi="Century Schoolbook" w:cs="Times New Roman"/>
      <w:sz w:val="26"/>
    </w:rPr>
  </w:style>
  <w:style w:type="character" w:styleId="CommentReference">
    <w:name w:val="annotation reference"/>
    <w:basedOn w:val="DefaultParagraphFont"/>
    <w:uiPriority w:val="99"/>
    <w:semiHidden/>
    <w:unhideWhenUsed/>
    <w:rsid w:val="00D27796"/>
    <w:rPr>
      <w:sz w:val="16"/>
      <w:szCs w:val="16"/>
    </w:rPr>
  </w:style>
  <w:style w:type="paragraph" w:styleId="CommentText">
    <w:name w:val="annotation text"/>
    <w:basedOn w:val="Normal"/>
    <w:link w:val="CommentTextChar"/>
    <w:uiPriority w:val="99"/>
    <w:unhideWhenUsed/>
    <w:rsid w:val="00D27796"/>
    <w:pPr>
      <w:spacing w:line="240" w:lineRule="auto"/>
    </w:pPr>
    <w:rPr>
      <w:sz w:val="20"/>
      <w:szCs w:val="20"/>
    </w:rPr>
  </w:style>
  <w:style w:type="character" w:customStyle="1" w:styleId="CommentTextChar">
    <w:name w:val="Comment Text Char"/>
    <w:basedOn w:val="DefaultParagraphFont"/>
    <w:link w:val="CommentText"/>
    <w:uiPriority w:val="99"/>
    <w:rsid w:val="00D27796"/>
    <w:rPr>
      <w:rFonts w:ascii="Century Schoolbook"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D27796"/>
    <w:rPr>
      <w:b/>
      <w:bCs/>
    </w:rPr>
  </w:style>
  <w:style w:type="character" w:customStyle="1" w:styleId="CommentSubjectChar">
    <w:name w:val="Comment Subject Char"/>
    <w:basedOn w:val="CommentTextChar"/>
    <w:link w:val="CommentSubject"/>
    <w:uiPriority w:val="99"/>
    <w:semiHidden/>
    <w:rsid w:val="00D27796"/>
    <w:rPr>
      <w:rFonts w:ascii="Century Schoolbook" w:hAnsi="Century Schoolbook" w:cs="Times New Roman"/>
      <w:b/>
      <w:bCs/>
      <w:sz w:val="20"/>
      <w:szCs w:val="20"/>
    </w:rPr>
  </w:style>
  <w:style w:type="paragraph" w:styleId="NormalWeb">
    <w:name w:val="Normal (Web)"/>
    <w:basedOn w:val="Normal"/>
    <w:uiPriority w:val="99"/>
    <w:unhideWhenUsed/>
    <w:rsid w:val="00BC6012"/>
    <w:pPr>
      <w:tabs>
        <w:tab w:val="clear" w:pos="720"/>
      </w:tabs>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basedOn w:val="Normal"/>
    <w:rsid w:val="00363442"/>
    <w:pPr>
      <w:tabs>
        <w:tab w:val="clear" w:pos="720"/>
      </w:tabs>
      <w:autoSpaceDE w:val="0"/>
      <w:autoSpaceDN w:val="0"/>
      <w:spacing w:line="240" w:lineRule="auto"/>
    </w:pPr>
    <w:rPr>
      <w:rFonts w:ascii="Times New Roman" w:hAnsi="Times New Roman"/>
      <w:color w:val="000000"/>
      <w:sz w:val="24"/>
      <w:szCs w:val="24"/>
    </w:rPr>
  </w:style>
  <w:style w:type="character" w:customStyle="1" w:styleId="ssit">
    <w:name w:val="ss_it"/>
    <w:basedOn w:val="DefaultParagraphFont"/>
    <w:rsid w:val="00C96890"/>
  </w:style>
  <w:style w:type="character" w:customStyle="1" w:styleId="coinlinekeyciteflag">
    <w:name w:val="co_inlinekeyciteflag"/>
    <w:basedOn w:val="DefaultParagraphFont"/>
    <w:rsid w:val="00A37900"/>
  </w:style>
  <w:style w:type="paragraph" w:styleId="ListParagraph">
    <w:name w:val="List Paragraph"/>
    <w:basedOn w:val="Normal"/>
    <w:uiPriority w:val="34"/>
    <w:qFormat/>
    <w:rsid w:val="007B4FE0"/>
    <w:pPr>
      <w:ind w:left="720"/>
      <w:contextualSpacing/>
    </w:pPr>
  </w:style>
  <w:style w:type="character" w:styleId="Strong">
    <w:name w:val="Strong"/>
    <w:basedOn w:val="DefaultParagraphFont"/>
    <w:uiPriority w:val="22"/>
    <w:qFormat/>
    <w:rsid w:val="007650C8"/>
    <w:rPr>
      <w:b/>
      <w:bCs/>
    </w:rPr>
  </w:style>
  <w:style w:type="paragraph" w:styleId="EndnoteText">
    <w:name w:val="endnote text"/>
    <w:basedOn w:val="Normal"/>
    <w:link w:val="EndnoteTextChar"/>
    <w:uiPriority w:val="99"/>
    <w:semiHidden/>
    <w:unhideWhenUsed/>
    <w:rsid w:val="00C102E2"/>
    <w:pPr>
      <w:spacing w:line="240" w:lineRule="auto"/>
    </w:pPr>
    <w:rPr>
      <w:sz w:val="20"/>
      <w:szCs w:val="20"/>
    </w:rPr>
  </w:style>
  <w:style w:type="character" w:customStyle="1" w:styleId="EndnoteTextChar">
    <w:name w:val="Endnote Text Char"/>
    <w:basedOn w:val="DefaultParagraphFont"/>
    <w:link w:val="EndnoteText"/>
    <w:uiPriority w:val="99"/>
    <w:semiHidden/>
    <w:rsid w:val="00C102E2"/>
    <w:rPr>
      <w:rFonts w:ascii="Century Schoolbook" w:hAnsi="Century Schoolbook" w:cs="Times New Roman"/>
      <w:sz w:val="20"/>
      <w:szCs w:val="20"/>
    </w:rPr>
  </w:style>
  <w:style w:type="character" w:styleId="EndnoteReference">
    <w:name w:val="endnote reference"/>
    <w:basedOn w:val="DefaultParagraphFont"/>
    <w:uiPriority w:val="99"/>
    <w:semiHidden/>
    <w:unhideWhenUsed/>
    <w:rsid w:val="00C10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5227B-F832-42E4-821A-B25EF1E8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2024-01-09T00:04:42Z</dcterms:created>
  <dcterms:modified xsi:type="dcterms:W3CDTF">2024-01-09T00:04:42Z</dcterms:modified>
</cp:coreProperties>
</file>