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B2F10" w14:textId="77777777" w:rsidR="001D6A8C" w:rsidRPr="003533E8" w:rsidRDefault="001D6A8C" w:rsidP="001D6A8C">
      <w:pPr>
        <w:tabs>
          <w:tab w:val="clear" w:pos="720"/>
        </w:tabs>
        <w:spacing w:line="240" w:lineRule="auto"/>
        <w:rPr>
          <w:sz w:val="20"/>
        </w:rPr>
      </w:pPr>
      <w:r w:rsidRPr="003533E8">
        <w:rPr>
          <w:sz w:val="20"/>
        </w:rPr>
        <w:t>Filed 3/1/24</w:t>
      </w:r>
      <w:r>
        <w:rPr>
          <w:sz w:val="20"/>
        </w:rPr>
        <w:t xml:space="preserve"> (unmodified </w:t>
      </w:r>
      <w:proofErr w:type="spellStart"/>
      <w:r>
        <w:rPr>
          <w:sz w:val="20"/>
        </w:rPr>
        <w:t>opn</w:t>
      </w:r>
      <w:proofErr w:type="spellEnd"/>
      <w:r>
        <w:rPr>
          <w:sz w:val="20"/>
        </w:rPr>
        <w:t>. attached)</w:t>
      </w:r>
    </w:p>
    <w:p w14:paraId="7E4947EF" w14:textId="77777777" w:rsidR="001D6A8C" w:rsidRDefault="001D6A8C" w:rsidP="001D6A8C">
      <w:pPr>
        <w:tabs>
          <w:tab w:val="clear" w:pos="720"/>
        </w:tabs>
        <w:spacing w:line="240" w:lineRule="auto"/>
        <w:jc w:val="center"/>
        <w:rPr>
          <w:b/>
        </w:rPr>
      </w:pPr>
      <w:r>
        <w:rPr>
          <w:b/>
        </w:rPr>
        <w:t>CERTIFIED FOR PUBLICATION</w:t>
      </w:r>
    </w:p>
    <w:p w14:paraId="5C5994D5" w14:textId="77777777" w:rsidR="001D6A8C" w:rsidRDefault="001D6A8C" w:rsidP="001D6A8C">
      <w:pPr>
        <w:tabs>
          <w:tab w:val="clear" w:pos="720"/>
        </w:tabs>
        <w:spacing w:line="240" w:lineRule="auto"/>
        <w:jc w:val="center"/>
      </w:pPr>
    </w:p>
    <w:p w14:paraId="73AF96B4" w14:textId="77777777" w:rsidR="001D6A8C" w:rsidRPr="003F08AD" w:rsidRDefault="001D6A8C" w:rsidP="001D6A8C">
      <w:pPr>
        <w:tabs>
          <w:tab w:val="clear" w:pos="720"/>
        </w:tabs>
        <w:spacing w:line="240" w:lineRule="auto"/>
        <w:jc w:val="center"/>
      </w:pPr>
      <w:r w:rsidRPr="003F08AD">
        <w:t>IN THE COURT OF APPEAL OF THE STATE OF CALIFORNIA</w:t>
      </w:r>
    </w:p>
    <w:p w14:paraId="323563BD" w14:textId="77777777" w:rsidR="001D6A8C" w:rsidRPr="003F08AD" w:rsidRDefault="001D6A8C" w:rsidP="001D6A8C">
      <w:pPr>
        <w:tabs>
          <w:tab w:val="clear" w:pos="720"/>
        </w:tabs>
        <w:spacing w:line="240" w:lineRule="auto"/>
        <w:jc w:val="center"/>
      </w:pPr>
    </w:p>
    <w:p w14:paraId="45401650" w14:textId="77777777" w:rsidR="001D6A8C" w:rsidRPr="003F08AD" w:rsidRDefault="001D6A8C" w:rsidP="001D6A8C">
      <w:pPr>
        <w:tabs>
          <w:tab w:val="clear" w:pos="720"/>
        </w:tabs>
        <w:spacing w:line="240" w:lineRule="auto"/>
        <w:jc w:val="center"/>
      </w:pPr>
      <w:r w:rsidRPr="003F08AD">
        <w:t>FIRST APPELLATE DISTRICT</w:t>
      </w:r>
    </w:p>
    <w:p w14:paraId="46A4CDEF" w14:textId="77777777" w:rsidR="001D6A8C" w:rsidRPr="003F08AD" w:rsidRDefault="001D6A8C" w:rsidP="001D6A8C">
      <w:pPr>
        <w:tabs>
          <w:tab w:val="clear" w:pos="720"/>
        </w:tabs>
        <w:spacing w:line="240" w:lineRule="auto"/>
        <w:jc w:val="center"/>
      </w:pPr>
    </w:p>
    <w:p w14:paraId="3B7D1F9E" w14:textId="77777777" w:rsidR="001D6A8C" w:rsidRPr="003F08AD" w:rsidRDefault="001D6A8C" w:rsidP="001D6A8C">
      <w:pPr>
        <w:tabs>
          <w:tab w:val="clear" w:pos="720"/>
        </w:tabs>
        <w:spacing w:line="240" w:lineRule="auto"/>
        <w:jc w:val="center"/>
      </w:pPr>
      <w:r w:rsidRPr="003F08AD">
        <w:t>DIVISION FIVE</w:t>
      </w:r>
    </w:p>
    <w:p w14:paraId="4A32C96A" w14:textId="77777777" w:rsidR="001D6A8C" w:rsidRPr="003F08AD" w:rsidRDefault="001D6A8C" w:rsidP="001D6A8C">
      <w:pPr>
        <w:tabs>
          <w:tab w:val="clear" w:pos="720"/>
        </w:tabs>
        <w:spacing w:line="240" w:lineRule="auto"/>
        <w:jc w:val="center"/>
      </w:pPr>
    </w:p>
    <w:p w14:paraId="1965B942" w14:textId="77777777" w:rsidR="001D6A8C" w:rsidRPr="003F08AD" w:rsidRDefault="001D6A8C" w:rsidP="001D6A8C">
      <w:pPr>
        <w:tabs>
          <w:tab w:val="clear" w:pos="720"/>
        </w:tabs>
        <w:spacing w:line="240" w:lineRule="auto"/>
        <w:jc w:val="center"/>
      </w:pPr>
    </w:p>
    <w:tbl>
      <w:tblPr>
        <w:tblW w:w="9540" w:type="dxa"/>
        <w:tblLayout w:type="fixed"/>
        <w:tblLook w:val="0000" w:firstRow="0" w:lastRow="0" w:firstColumn="0" w:lastColumn="0" w:noHBand="0" w:noVBand="0"/>
      </w:tblPr>
      <w:tblGrid>
        <w:gridCol w:w="4770"/>
        <w:gridCol w:w="4770"/>
      </w:tblGrid>
      <w:tr w:rsidR="001D6A8C" w14:paraId="11ABF12A" w14:textId="77777777" w:rsidTr="00D72DCB">
        <w:tc>
          <w:tcPr>
            <w:tcW w:w="4770" w:type="dxa"/>
            <w:tcBorders>
              <w:bottom w:val="single" w:sz="4" w:space="0" w:color="auto"/>
              <w:right w:val="single" w:sz="4" w:space="0" w:color="auto"/>
            </w:tcBorders>
            <w:shd w:val="clear" w:color="auto" w:fill="auto"/>
          </w:tcPr>
          <w:p w14:paraId="6E80D2F8" w14:textId="77777777" w:rsidR="001D6A8C" w:rsidRPr="003F08AD" w:rsidRDefault="001D6A8C" w:rsidP="00D72DCB">
            <w:pPr>
              <w:tabs>
                <w:tab w:val="clear" w:pos="720"/>
              </w:tabs>
              <w:spacing w:after="120" w:line="240" w:lineRule="auto"/>
            </w:pPr>
            <w:r>
              <w:t>GOPAL</w:t>
            </w:r>
            <w:r w:rsidRPr="003F08AD">
              <w:t xml:space="preserve"> BALAKRISHNAN,</w:t>
            </w:r>
          </w:p>
          <w:p w14:paraId="5F2A648F" w14:textId="77777777" w:rsidR="001D6A8C" w:rsidRPr="003F08AD" w:rsidRDefault="001D6A8C" w:rsidP="00D72DCB">
            <w:pPr>
              <w:tabs>
                <w:tab w:val="clear" w:pos="720"/>
              </w:tabs>
              <w:spacing w:after="120" w:line="240" w:lineRule="auto"/>
            </w:pPr>
            <w:r w:rsidRPr="003F08AD">
              <w:tab/>
            </w:r>
            <w:r>
              <w:t>Plaintiff and Appellant</w:t>
            </w:r>
            <w:r w:rsidRPr="003F08AD">
              <w:t>,</w:t>
            </w:r>
          </w:p>
          <w:p w14:paraId="7860B483" w14:textId="77777777" w:rsidR="001D6A8C" w:rsidRPr="003F08AD" w:rsidRDefault="001D6A8C" w:rsidP="00D72DCB">
            <w:pPr>
              <w:tabs>
                <w:tab w:val="clear" w:pos="720"/>
              </w:tabs>
              <w:spacing w:after="120" w:line="240" w:lineRule="auto"/>
            </w:pPr>
            <w:r w:rsidRPr="003F08AD">
              <w:t>v.</w:t>
            </w:r>
          </w:p>
          <w:p w14:paraId="30F9FB61" w14:textId="77777777" w:rsidR="001D6A8C" w:rsidRPr="003F08AD" w:rsidRDefault="001D6A8C" w:rsidP="00D72DCB">
            <w:pPr>
              <w:tabs>
                <w:tab w:val="clear" w:pos="720"/>
              </w:tabs>
              <w:spacing w:after="120" w:line="240" w:lineRule="auto"/>
            </w:pPr>
            <w:r>
              <w:t xml:space="preserve">THE </w:t>
            </w:r>
            <w:r w:rsidRPr="003F08AD">
              <w:t>REGENTS OF THE UNIVERSITY OF CALIFORNIA,</w:t>
            </w:r>
          </w:p>
          <w:p w14:paraId="012D8066" w14:textId="77777777" w:rsidR="001D6A8C" w:rsidRPr="003F08AD" w:rsidRDefault="001D6A8C" w:rsidP="00D72DCB">
            <w:pPr>
              <w:tabs>
                <w:tab w:val="clear" w:pos="720"/>
              </w:tabs>
              <w:spacing w:after="120" w:line="240" w:lineRule="auto"/>
            </w:pPr>
            <w:r w:rsidRPr="003F08AD">
              <w:tab/>
            </w:r>
            <w:r>
              <w:t>Defendant and Respondent</w:t>
            </w:r>
            <w:r w:rsidRPr="003F08AD">
              <w:t>.</w:t>
            </w:r>
          </w:p>
        </w:tc>
        <w:tc>
          <w:tcPr>
            <w:tcW w:w="4770" w:type="dxa"/>
            <w:tcBorders>
              <w:left w:val="single" w:sz="4" w:space="0" w:color="auto"/>
            </w:tcBorders>
            <w:shd w:val="clear" w:color="auto" w:fill="auto"/>
          </w:tcPr>
          <w:p w14:paraId="49A37975" w14:textId="77777777" w:rsidR="001D6A8C" w:rsidRPr="003F08AD" w:rsidRDefault="001D6A8C" w:rsidP="00D72DCB">
            <w:pPr>
              <w:tabs>
                <w:tab w:val="clear" w:pos="720"/>
              </w:tabs>
              <w:spacing w:after="120" w:line="240" w:lineRule="auto"/>
            </w:pPr>
          </w:p>
          <w:p w14:paraId="1F776462" w14:textId="77777777" w:rsidR="001D6A8C" w:rsidRDefault="001D6A8C" w:rsidP="00D72DCB">
            <w:pPr>
              <w:tabs>
                <w:tab w:val="clear" w:pos="720"/>
              </w:tabs>
              <w:spacing w:after="120" w:line="240" w:lineRule="auto"/>
            </w:pPr>
            <w:r w:rsidRPr="003F08AD">
              <w:t xml:space="preserve">      A164480</w:t>
            </w:r>
          </w:p>
          <w:p w14:paraId="4252D19A" w14:textId="77777777" w:rsidR="001D6A8C" w:rsidRPr="003F08AD" w:rsidRDefault="001D6A8C" w:rsidP="00D72DCB">
            <w:pPr>
              <w:tabs>
                <w:tab w:val="clear" w:pos="720"/>
              </w:tabs>
              <w:spacing w:after="120" w:line="240" w:lineRule="auto"/>
            </w:pPr>
          </w:p>
          <w:p w14:paraId="7E3FDE27" w14:textId="77777777" w:rsidR="001D6A8C" w:rsidRPr="003F08AD" w:rsidRDefault="001D6A8C" w:rsidP="00D72DCB">
            <w:pPr>
              <w:tabs>
                <w:tab w:val="clear" w:pos="720"/>
              </w:tabs>
              <w:spacing w:line="240" w:lineRule="auto"/>
            </w:pPr>
            <w:r w:rsidRPr="003F08AD">
              <w:t xml:space="preserve">      (Alameda County</w:t>
            </w:r>
          </w:p>
          <w:p w14:paraId="733A7CDE" w14:textId="77777777" w:rsidR="001D6A8C" w:rsidRDefault="001D6A8C" w:rsidP="00D72DCB">
            <w:pPr>
              <w:tabs>
                <w:tab w:val="clear" w:pos="720"/>
              </w:tabs>
              <w:spacing w:after="120" w:line="240" w:lineRule="auto"/>
            </w:pPr>
            <w:r w:rsidRPr="003F08AD">
              <w:t xml:space="preserve">      Super. Ct. No. RG19018682)</w:t>
            </w:r>
          </w:p>
          <w:p w14:paraId="25D556D9" w14:textId="77777777" w:rsidR="001D6A8C" w:rsidRDefault="001D6A8C" w:rsidP="00D72DCB">
            <w:pPr>
              <w:tabs>
                <w:tab w:val="clear" w:pos="720"/>
              </w:tabs>
              <w:spacing w:after="120" w:line="240" w:lineRule="auto"/>
            </w:pPr>
            <w:r>
              <w:t>ORDER GRANTING RESPONDENT’S MOTION FOR CONFIDENTIAL TREATMENT OF STUDENT IDENTITIES AND MODIFYING OPINION</w:t>
            </w:r>
          </w:p>
          <w:p w14:paraId="0471829A" w14:textId="77777777" w:rsidR="001D6A8C" w:rsidRPr="003F08AD" w:rsidRDefault="001D6A8C" w:rsidP="00D72DCB">
            <w:pPr>
              <w:tabs>
                <w:tab w:val="clear" w:pos="720"/>
              </w:tabs>
              <w:spacing w:after="120" w:line="240" w:lineRule="auto"/>
            </w:pPr>
            <w:r>
              <w:t>NO CHANGE IN JUDGMENT</w:t>
            </w:r>
          </w:p>
        </w:tc>
      </w:tr>
    </w:tbl>
    <w:p w14:paraId="0C4F99F9" w14:textId="77777777" w:rsidR="001D6A8C" w:rsidRPr="00CE025E" w:rsidRDefault="001D6A8C" w:rsidP="001D6A8C">
      <w:pPr>
        <w:tabs>
          <w:tab w:val="clear" w:pos="720"/>
        </w:tabs>
        <w:spacing w:before="480" w:after="240" w:line="240" w:lineRule="auto"/>
        <w:rPr>
          <w:rStyle w:val="FootnoteReference"/>
          <w:vertAlign w:val="baseline"/>
        </w:rPr>
      </w:pPr>
      <w:r w:rsidRPr="00CE025E">
        <w:tab/>
        <w:t>THE COURT:</w:t>
      </w:r>
      <w:r>
        <w:rPr>
          <w:rStyle w:val="FootnoteReference"/>
        </w:rPr>
        <w:footnoteReference w:customMarkFollows="1" w:id="1"/>
        <w:t>*</w:t>
      </w:r>
    </w:p>
    <w:p w14:paraId="64D2A465" w14:textId="77777777" w:rsidR="001D6A8C" w:rsidRDefault="001D6A8C" w:rsidP="001D6A8C">
      <w:pPr>
        <w:tabs>
          <w:tab w:val="clear" w:pos="720"/>
        </w:tabs>
        <w:spacing w:after="240" w:line="240" w:lineRule="auto"/>
        <w:ind w:firstLine="720"/>
      </w:pPr>
      <w:r>
        <w:t>Respondent’s motion for confidential treatment of student identities, filed on February 7, 2024, is granted.</w:t>
      </w:r>
    </w:p>
    <w:p w14:paraId="7FF9A6B5" w14:textId="77777777" w:rsidR="001D6A8C" w:rsidRDefault="001D6A8C" w:rsidP="001D6A8C">
      <w:pPr>
        <w:tabs>
          <w:tab w:val="clear" w:pos="720"/>
        </w:tabs>
        <w:spacing w:after="240" w:line="240" w:lineRule="auto"/>
        <w:ind w:firstLine="720"/>
      </w:pPr>
      <w:r>
        <w:t>It is ordered that the opinion filed herein on February 1, 2024, be modified as follows:</w:t>
      </w:r>
    </w:p>
    <w:p w14:paraId="277D5CCD" w14:textId="77777777" w:rsidR="001D6A8C" w:rsidRDefault="001D6A8C" w:rsidP="001D6A8C">
      <w:pPr>
        <w:pStyle w:val="ListParagraph"/>
        <w:numPr>
          <w:ilvl w:val="0"/>
          <w:numId w:val="4"/>
        </w:numPr>
        <w:tabs>
          <w:tab w:val="clear" w:pos="720"/>
        </w:tabs>
        <w:spacing w:after="240" w:line="240" w:lineRule="auto"/>
        <w:ind w:left="0" w:firstLine="1440"/>
        <w:contextualSpacing w:val="0"/>
      </w:pPr>
      <w:r>
        <w:t>On page 3, the paragraph that begins, “The University received multiple complaints about plaintiff’s conduct,” is deleted and replaced with</w:t>
      </w:r>
      <w:proofErr w:type="gramStart"/>
      <w:r>
        <w:t>:  “</w:t>
      </w:r>
      <w:proofErr w:type="gramEnd"/>
      <w:r w:rsidRPr="003F08AD">
        <w:t xml:space="preserve">The University received multiple complaints about </w:t>
      </w:r>
      <w:r>
        <w:t>plaintiff’s</w:t>
      </w:r>
      <w:r w:rsidRPr="003F08AD">
        <w:t xml:space="preserve"> conduct.  One of the more serious complaints</w:t>
      </w:r>
      <w:r>
        <w:t>,</w:t>
      </w:r>
      <w:r w:rsidRPr="003F08AD">
        <w:t xml:space="preserve"> involving Jane</w:t>
      </w:r>
      <w:r>
        <w:t> </w:t>
      </w:r>
      <w:r w:rsidRPr="003F08AD">
        <w:t xml:space="preserve">Doe, an academic, came in anonymously.  Since </w:t>
      </w:r>
      <w:r>
        <w:t>Jane Doe</w:t>
      </w:r>
      <w:r w:rsidRPr="003F08AD">
        <w:t xml:space="preserve"> did not wish to participate in a formal investigation, the </w:t>
      </w:r>
      <w:r>
        <w:t>Title IX office</w:t>
      </w:r>
      <w:r w:rsidRPr="003F08AD">
        <w:t xml:space="preserve"> relied on information she gave to a news </w:t>
      </w:r>
      <w:r>
        <w:t>Web site</w:t>
      </w:r>
      <w:r w:rsidRPr="003F08AD">
        <w:t xml:space="preserve"> to identify an eyewitness who was willing to speak.  The </w:t>
      </w:r>
      <w:r>
        <w:lastRenderedPageBreak/>
        <w:t>Title IX office</w:t>
      </w:r>
      <w:r w:rsidRPr="003F08AD">
        <w:t xml:space="preserve"> also decided to investigate complaints from three other individuals: </w:t>
      </w:r>
      <w:r>
        <w:t xml:space="preserve"> John Doe 1, Anneliese H., and </w:t>
      </w:r>
      <w:r w:rsidRPr="00B759E0">
        <w:t>John</w:t>
      </w:r>
      <w:r>
        <w:t> Doe 2.”</w:t>
      </w:r>
    </w:p>
    <w:p w14:paraId="0F5DDF72" w14:textId="77777777" w:rsidR="001D6A8C" w:rsidRDefault="001D6A8C" w:rsidP="001D6A8C">
      <w:pPr>
        <w:pStyle w:val="ListParagraph"/>
        <w:numPr>
          <w:ilvl w:val="0"/>
          <w:numId w:val="4"/>
        </w:numPr>
        <w:tabs>
          <w:tab w:val="clear" w:pos="720"/>
        </w:tabs>
        <w:spacing w:after="240" w:line="240" w:lineRule="auto"/>
        <w:ind w:left="0" w:firstLine="1440"/>
        <w:contextualSpacing w:val="0"/>
      </w:pPr>
      <w:r>
        <w:t>On page 3, the paragraph that begins, “Jane Doe, a poet and academic from the East Coast,” is deleted and replaced with</w:t>
      </w:r>
      <w:proofErr w:type="gramStart"/>
      <w:r>
        <w:t>:  “</w:t>
      </w:r>
      <w:proofErr w:type="gramEnd"/>
      <w:r w:rsidRPr="003F08AD">
        <w:t>Jane</w:t>
      </w:r>
      <w:r>
        <w:t> </w:t>
      </w:r>
      <w:r w:rsidRPr="003F08AD">
        <w:t xml:space="preserve">Doe, a poet and academic from the East Coast, met </w:t>
      </w:r>
      <w:r>
        <w:t>plaintiff</w:t>
      </w:r>
      <w:r w:rsidRPr="003F08AD">
        <w:t xml:space="preserve"> when she traveled to Berkeley in 2013 to attend the three-day East Bay Poetry Summit (Poetry Summit), which </w:t>
      </w:r>
      <w:r>
        <w:t>plaintiff</w:t>
      </w:r>
      <w:r w:rsidRPr="003F08AD">
        <w:t xml:space="preserve"> also attended.  </w:t>
      </w:r>
      <w:r>
        <w:t>Jane Doe</w:t>
      </w:r>
      <w:r w:rsidRPr="003F08AD">
        <w:t>, along with a friend and professor (</w:t>
      </w:r>
      <w:r>
        <w:t>Witness 1</w:t>
      </w:r>
      <w:r w:rsidRPr="003F08AD">
        <w:t xml:space="preserve">), were invited to stay overnight at the home of the professor who was hosting the Poetry Summit.  One evening, after the Poetry Summit ended for the day, the professor held a party for attendees at her home.  It was a festive affair.  At some point, </w:t>
      </w:r>
      <w:r>
        <w:t>Jane Doe</w:t>
      </w:r>
      <w:r w:rsidRPr="003F08AD">
        <w:t xml:space="preserve"> and </w:t>
      </w:r>
      <w:proofErr w:type="gramStart"/>
      <w:r>
        <w:t>plaintiff</w:t>
      </w:r>
      <w:proofErr w:type="gramEnd"/>
      <w:r w:rsidRPr="003F08AD">
        <w:t xml:space="preserve"> were observed kissing.  After midnight, however, </w:t>
      </w:r>
      <w:r>
        <w:t>Jane Doe</w:t>
      </w:r>
      <w:r w:rsidRPr="003F08AD">
        <w:t xml:space="preserve"> and </w:t>
      </w:r>
      <w:r>
        <w:t>Witness 1</w:t>
      </w:r>
      <w:r w:rsidRPr="003F08AD">
        <w:t xml:space="preserve"> retired for the evening to the study where they were sharing a bed.  A short while later, </w:t>
      </w:r>
      <w:r>
        <w:t>Jane Doe</w:t>
      </w:r>
      <w:r w:rsidRPr="003F08AD">
        <w:t xml:space="preserve"> woke up to find </w:t>
      </w:r>
      <w:r>
        <w:t>plaintiff</w:t>
      </w:r>
      <w:r w:rsidRPr="003F08AD">
        <w:t xml:space="preserve"> in the study</w:t>
      </w:r>
      <w:r>
        <w:t>,</w:t>
      </w:r>
      <w:r w:rsidRPr="003F08AD">
        <w:t xml:space="preserve"> drunkenly trying to get in bed and asking to have sex with her.  She told </w:t>
      </w:r>
      <w:proofErr w:type="gramStart"/>
      <w:r>
        <w:t>plaintiff</w:t>
      </w:r>
      <w:proofErr w:type="gramEnd"/>
      <w:r w:rsidRPr="003F08AD">
        <w:t xml:space="preserve"> that she was not interested in sexual activity and </w:t>
      </w:r>
      <w:proofErr w:type="gramStart"/>
      <w:r>
        <w:t>‘ “</w:t>
      </w:r>
      <w:proofErr w:type="gramEnd"/>
      <w:r>
        <w:t>shooed” ’</w:t>
      </w:r>
      <w:r w:rsidRPr="003F08AD">
        <w:t xml:space="preserve"> him from the room.  Nonetheless, a</w:t>
      </w:r>
      <w:r>
        <w:t>bout</w:t>
      </w:r>
      <w:r w:rsidRPr="003F08AD">
        <w:t xml:space="preserve"> </w:t>
      </w:r>
      <w:r>
        <w:t>2:00 a.m.</w:t>
      </w:r>
      <w:r w:rsidRPr="003F08AD">
        <w:t xml:space="preserve">, </w:t>
      </w:r>
      <w:r>
        <w:t>Jane Doe</w:t>
      </w:r>
      <w:r w:rsidRPr="003F08AD">
        <w:t xml:space="preserve"> woke up again to find </w:t>
      </w:r>
      <w:r>
        <w:t>plaintiff</w:t>
      </w:r>
      <w:r w:rsidRPr="003F08AD">
        <w:t xml:space="preserve"> naked and </w:t>
      </w:r>
      <w:r>
        <w:t>‘</w:t>
      </w:r>
      <w:r w:rsidRPr="003F08AD">
        <w:t>loom[</w:t>
      </w:r>
      <w:proofErr w:type="spellStart"/>
      <w:r w:rsidRPr="003F08AD">
        <w:t>ing</w:t>
      </w:r>
      <w:proofErr w:type="spellEnd"/>
      <w:r w:rsidRPr="003F08AD">
        <w:t>] over her while she lay in bed.</w:t>
      </w:r>
      <w:r>
        <w:t>’</w:t>
      </w:r>
      <w:r w:rsidRPr="003F08AD">
        <w:t xml:space="preserve">  </w:t>
      </w:r>
      <w:r>
        <w:t>Plaintiff</w:t>
      </w:r>
      <w:r w:rsidRPr="003F08AD">
        <w:t xml:space="preserve"> climbed into bed, and </w:t>
      </w:r>
      <w:r>
        <w:t>Jane Doe</w:t>
      </w:r>
      <w:r w:rsidRPr="003F08AD">
        <w:t xml:space="preserve"> could feel his penis poking into her side.  </w:t>
      </w:r>
      <w:r>
        <w:t>Jane Doe</w:t>
      </w:r>
      <w:r w:rsidRPr="003F08AD">
        <w:t xml:space="preserve"> and </w:t>
      </w:r>
      <w:r>
        <w:t>Witness 1</w:t>
      </w:r>
      <w:r w:rsidRPr="003F08AD">
        <w:t xml:space="preserve"> forced </w:t>
      </w:r>
      <w:r>
        <w:t>plaintiff</w:t>
      </w:r>
      <w:r w:rsidRPr="003F08AD">
        <w:t xml:space="preserve"> from the room and, this time, barricaded the door with furniture so he could not return.</w:t>
      </w:r>
      <w:r>
        <w:t>”</w:t>
      </w:r>
    </w:p>
    <w:p w14:paraId="1F51CA05" w14:textId="77777777" w:rsidR="001D6A8C" w:rsidRDefault="001D6A8C" w:rsidP="001D6A8C">
      <w:pPr>
        <w:pStyle w:val="ListParagraph"/>
        <w:numPr>
          <w:ilvl w:val="0"/>
          <w:numId w:val="4"/>
        </w:numPr>
        <w:tabs>
          <w:tab w:val="clear" w:pos="720"/>
        </w:tabs>
        <w:spacing w:after="240" w:line="240" w:lineRule="auto"/>
        <w:ind w:left="0" w:firstLine="1440"/>
        <w:contextualSpacing w:val="0"/>
      </w:pPr>
      <w:r>
        <w:t>On page 4, the paragraph that begins, “After completing the Doe investigation,” is deleted and replaced with:  “</w:t>
      </w:r>
      <w:r w:rsidRPr="003F08AD">
        <w:t xml:space="preserve">After completing the </w:t>
      </w:r>
      <w:r>
        <w:t>Jane Doe</w:t>
      </w:r>
      <w:r w:rsidRPr="003F08AD">
        <w:t xml:space="preserve"> investigation, the investigator found </w:t>
      </w:r>
      <w:r>
        <w:t>plaintiff</w:t>
      </w:r>
      <w:r w:rsidRPr="003F08AD">
        <w:t xml:space="preserve"> engaged in </w:t>
      </w:r>
      <w:r>
        <w:t>‘</w:t>
      </w:r>
      <w:r w:rsidRPr="003F08AD">
        <w:t xml:space="preserve">unwelcome physical conduct of a sexual nature which is conduct that falls squarely within the definition of prohibited conduct under the University of California Policy on Sexual Harassment dated </w:t>
      </w:r>
      <w:r>
        <w:t>February 10</w:t>
      </w:r>
      <w:r w:rsidRPr="003F08AD">
        <w:t>,</w:t>
      </w:r>
      <w:r>
        <w:t> </w:t>
      </w:r>
      <w:r w:rsidRPr="003F08AD">
        <w:t>2006, the policy in effect at the time of the incident.</w:t>
      </w:r>
      <w:r>
        <w:t>’</w:t>
      </w:r>
      <w:r w:rsidRPr="003F08AD">
        <w:t xml:space="preserve">  However, the investigator could not substantiate a violation of this policy because it only applied to </w:t>
      </w:r>
      <w:proofErr w:type="gramStart"/>
      <w:r>
        <w:t>‘ “</w:t>
      </w:r>
      <w:proofErr w:type="gramEnd"/>
      <w:r>
        <w:t>member[s]</w:t>
      </w:r>
      <w:r w:rsidRPr="003F08AD">
        <w:t xml:space="preserve"> of the University </w:t>
      </w:r>
      <w:r>
        <w:t>community.” ’ ”</w:t>
      </w:r>
    </w:p>
    <w:p w14:paraId="1FBFDEBC" w14:textId="77777777" w:rsidR="001D6A8C" w:rsidRDefault="001D6A8C" w:rsidP="001D6A8C">
      <w:pPr>
        <w:pStyle w:val="ListParagraph"/>
        <w:numPr>
          <w:ilvl w:val="0"/>
          <w:numId w:val="4"/>
        </w:numPr>
        <w:tabs>
          <w:tab w:val="clear" w:pos="720"/>
        </w:tabs>
        <w:spacing w:after="120" w:line="240" w:lineRule="auto"/>
        <w:ind w:left="0" w:firstLine="1440"/>
        <w:contextualSpacing w:val="0"/>
      </w:pPr>
      <w:r>
        <w:t>On pages 7 and 8, both the heading and the text of section C (of part I of the factual and procedural background) are deleted and replaced with:</w:t>
      </w:r>
    </w:p>
    <w:p w14:paraId="1ED09FA0" w14:textId="77777777" w:rsidR="001D6A8C" w:rsidRDefault="001D6A8C" w:rsidP="001D6A8C">
      <w:pPr>
        <w:pStyle w:val="ListParagraph"/>
        <w:tabs>
          <w:tab w:val="clear" w:pos="720"/>
        </w:tabs>
        <w:spacing w:after="120" w:line="240" w:lineRule="auto"/>
        <w:ind w:left="2160"/>
        <w:contextualSpacing w:val="0"/>
        <w:rPr>
          <w:b/>
          <w:bCs/>
        </w:rPr>
      </w:pPr>
      <w:r>
        <w:t>“</w:t>
      </w:r>
      <w:r>
        <w:rPr>
          <w:b/>
          <w:bCs/>
        </w:rPr>
        <w:t>C. John Doe 1 and John Doe 2.</w:t>
      </w:r>
    </w:p>
    <w:p w14:paraId="448881FC" w14:textId="77777777" w:rsidR="001D6A8C" w:rsidRDefault="001D6A8C" w:rsidP="001D6A8C">
      <w:pPr>
        <w:pStyle w:val="ListParagraph"/>
        <w:tabs>
          <w:tab w:val="clear" w:pos="720"/>
        </w:tabs>
        <w:spacing w:after="120" w:line="240" w:lineRule="auto"/>
        <w:ind w:left="0" w:firstLine="2160"/>
        <w:contextualSpacing w:val="0"/>
      </w:pPr>
      <w:r>
        <w:t>“</w:t>
      </w:r>
      <w:r w:rsidRPr="003F08AD">
        <w:t xml:space="preserve">Former UCSC student </w:t>
      </w:r>
      <w:r>
        <w:t>John Doe 1</w:t>
      </w:r>
      <w:r w:rsidRPr="003F08AD">
        <w:t xml:space="preserve"> reported that, during the fall or winter of 2009, when he was 18 years old, he attended a small party at </w:t>
      </w:r>
      <w:r>
        <w:t>plaintiff’s</w:t>
      </w:r>
      <w:r w:rsidRPr="003F08AD">
        <w:t xml:space="preserve"> residence.  </w:t>
      </w:r>
      <w:r>
        <w:t>John Doe 1 knew plaintiff</w:t>
      </w:r>
      <w:r w:rsidRPr="003F08AD">
        <w:t xml:space="preserve"> through campus activities but was not his student.  At this party, </w:t>
      </w:r>
      <w:r>
        <w:t>plaintiff</w:t>
      </w:r>
      <w:r w:rsidRPr="003F08AD">
        <w:t xml:space="preserve"> gave </w:t>
      </w:r>
      <w:r>
        <w:t>John Doe 1</w:t>
      </w:r>
      <w:r w:rsidRPr="003F08AD">
        <w:t xml:space="preserve"> </w:t>
      </w:r>
      <w:r w:rsidRPr="003F08AD">
        <w:lastRenderedPageBreak/>
        <w:t xml:space="preserve">and other attendees cocaine and </w:t>
      </w:r>
      <w:r>
        <w:t>alcohol, and afterward</w:t>
      </w:r>
      <w:r w:rsidRPr="003F08AD">
        <w:t xml:space="preserve"> he drove </w:t>
      </w:r>
      <w:r>
        <w:t>John Doe 1</w:t>
      </w:r>
      <w:r w:rsidRPr="003F08AD">
        <w:t xml:space="preserve"> home while under the influence of alcohol and drugs.  </w:t>
      </w:r>
      <w:r>
        <w:t>John Doe 1</w:t>
      </w:r>
      <w:r w:rsidRPr="003F08AD">
        <w:t xml:space="preserve"> also recalled other occasions during this </w:t>
      </w:r>
      <w:proofErr w:type="gramStart"/>
      <w:r w:rsidRPr="003F08AD">
        <w:t>time period</w:t>
      </w:r>
      <w:proofErr w:type="gramEnd"/>
      <w:r w:rsidRPr="003F08AD">
        <w:t xml:space="preserve"> when </w:t>
      </w:r>
      <w:r>
        <w:t>plaintiff</w:t>
      </w:r>
      <w:r w:rsidRPr="003F08AD">
        <w:t xml:space="preserve"> bought him alcohol at local bars although he was underage.  </w:t>
      </w:r>
      <w:r>
        <w:t>John Doe 1</w:t>
      </w:r>
      <w:r w:rsidRPr="003F08AD">
        <w:t xml:space="preserve"> contacted the </w:t>
      </w:r>
      <w:r>
        <w:t>Title IX office</w:t>
      </w:r>
      <w:r w:rsidRPr="003F08AD">
        <w:t xml:space="preserve"> after learning of the public accusations that had been raised against </w:t>
      </w:r>
      <w:r>
        <w:t>plaintiff</w:t>
      </w:r>
      <w:r w:rsidRPr="003F08AD">
        <w:t xml:space="preserve"> because he believed his experiences were relevant.</w:t>
      </w:r>
    </w:p>
    <w:p w14:paraId="43EF779D" w14:textId="77777777" w:rsidR="001D6A8C" w:rsidRDefault="001D6A8C" w:rsidP="001D6A8C">
      <w:pPr>
        <w:pStyle w:val="ListParagraph"/>
        <w:tabs>
          <w:tab w:val="clear" w:pos="720"/>
        </w:tabs>
        <w:spacing w:after="120" w:line="240" w:lineRule="auto"/>
        <w:ind w:left="0" w:firstLine="2160"/>
        <w:contextualSpacing w:val="0"/>
      </w:pPr>
      <w:r>
        <w:t>“</w:t>
      </w:r>
      <w:r w:rsidRPr="003F08AD">
        <w:t xml:space="preserve">Following an investigation, the investigator found by a preponderance of </w:t>
      </w:r>
      <w:r>
        <w:t xml:space="preserve">the </w:t>
      </w:r>
      <w:r w:rsidRPr="003F08AD">
        <w:t xml:space="preserve">evidence that </w:t>
      </w:r>
      <w:r>
        <w:t>plaintiff gave John Doe 1</w:t>
      </w:r>
      <w:r w:rsidRPr="003F08AD">
        <w:t xml:space="preserve"> alcohol and cocaine at a party and bought him alcohol at least twice at local bars despite knowing he was under age</w:t>
      </w:r>
      <w:r>
        <w:t> </w:t>
      </w:r>
      <w:r w:rsidRPr="003F08AD">
        <w:t>21.</w:t>
      </w:r>
    </w:p>
    <w:p w14:paraId="54CC9E6C" w14:textId="77777777" w:rsidR="001D6A8C" w:rsidRDefault="001D6A8C" w:rsidP="001D6A8C">
      <w:pPr>
        <w:pStyle w:val="ListParagraph"/>
        <w:tabs>
          <w:tab w:val="clear" w:pos="720"/>
        </w:tabs>
        <w:spacing w:after="120" w:line="240" w:lineRule="auto"/>
        <w:ind w:left="0" w:firstLine="2160"/>
        <w:contextualSpacing w:val="0"/>
      </w:pPr>
      <w:r>
        <w:t>“John Doe 2</w:t>
      </w:r>
      <w:r w:rsidRPr="003F08AD">
        <w:t xml:space="preserve"> was a Ph.D. candidate in the History of Human Consciousness Department in 2015</w:t>
      </w:r>
      <w:r>
        <w:t>,</w:t>
      </w:r>
      <w:r w:rsidRPr="003F08AD">
        <w:t xml:space="preserve"> and </w:t>
      </w:r>
      <w:r>
        <w:t>plaintiff</w:t>
      </w:r>
      <w:r w:rsidRPr="003F08AD">
        <w:t xml:space="preserve"> was his </w:t>
      </w:r>
      <w:r>
        <w:t>adviser</w:t>
      </w:r>
      <w:r w:rsidRPr="003F08AD">
        <w:t xml:space="preserve">.  According to </w:t>
      </w:r>
      <w:r>
        <w:t>John Doe 2</w:t>
      </w:r>
      <w:r w:rsidRPr="003F08AD">
        <w:t xml:space="preserve">, one afternoon he visited </w:t>
      </w:r>
      <w:r>
        <w:t>plaintiff’s</w:t>
      </w:r>
      <w:r w:rsidRPr="003F08AD">
        <w:t xml:space="preserve"> office to discuss his dissertation.  The pair engaged in a heated discussion regarding the appropriate direction of </w:t>
      </w:r>
      <w:r>
        <w:t>John Doe 2’s</w:t>
      </w:r>
      <w:r w:rsidRPr="003F08AD">
        <w:t xml:space="preserve"> dissertation.  At some point, </w:t>
      </w:r>
      <w:proofErr w:type="gramStart"/>
      <w:r>
        <w:t>plaintiff</w:t>
      </w:r>
      <w:proofErr w:type="gramEnd"/>
      <w:r w:rsidRPr="003F08AD">
        <w:t xml:space="preserve"> became verbally and physically aggressive.  </w:t>
      </w:r>
      <w:r>
        <w:t>John Doe 2</w:t>
      </w:r>
      <w:r w:rsidRPr="003F08AD">
        <w:t xml:space="preserve"> protested and tried to leave, but </w:t>
      </w:r>
      <w:r>
        <w:t>plaintiff</w:t>
      </w:r>
      <w:r w:rsidRPr="003F08AD">
        <w:t xml:space="preserve"> blocked him by lunging at him and aggressively grabbing him.</w:t>
      </w:r>
    </w:p>
    <w:p w14:paraId="48E66DA6" w14:textId="77777777" w:rsidR="001D6A8C" w:rsidRDefault="001D6A8C" w:rsidP="001D6A8C">
      <w:pPr>
        <w:pStyle w:val="ListParagraph"/>
        <w:tabs>
          <w:tab w:val="clear" w:pos="720"/>
        </w:tabs>
        <w:spacing w:after="120" w:line="240" w:lineRule="auto"/>
        <w:ind w:left="0" w:firstLine="2160"/>
        <w:contextualSpacing w:val="0"/>
      </w:pPr>
      <w:r>
        <w:t>“John Doe 2</w:t>
      </w:r>
      <w:r w:rsidRPr="003F08AD">
        <w:t xml:space="preserve"> reported this incident to Professor Dean Mathiowetz in November 2015 and later discussed it with the </w:t>
      </w:r>
      <w:r>
        <w:t>department’s chair</w:t>
      </w:r>
      <w:r w:rsidRPr="003F08AD">
        <w:t xml:space="preserve">, David Marriott.  </w:t>
      </w:r>
      <w:r>
        <w:t>Marriott secured plaintiff’s</w:t>
      </w:r>
      <w:r w:rsidRPr="003F08AD">
        <w:t xml:space="preserve"> commitment to have no contact with </w:t>
      </w:r>
      <w:r>
        <w:t>John Doe 2</w:t>
      </w:r>
      <w:r w:rsidRPr="003F08AD">
        <w:t xml:space="preserve"> and assigned </w:t>
      </w:r>
      <w:r>
        <w:t>John Doe 2</w:t>
      </w:r>
      <w:r w:rsidRPr="003F08AD">
        <w:t xml:space="preserve"> a new adviser.  Despite this informal resolution, </w:t>
      </w:r>
      <w:r>
        <w:t>John Doe 2</w:t>
      </w:r>
      <w:r w:rsidRPr="003F08AD">
        <w:t xml:space="preserve"> came forward with an official complaint after reading the publicity</w:t>
      </w:r>
      <w:r>
        <w:t>,</w:t>
      </w:r>
      <w:r w:rsidRPr="003F08AD">
        <w:t xml:space="preserve"> in 2017</w:t>
      </w:r>
      <w:r>
        <w:t>,</w:t>
      </w:r>
      <w:r w:rsidRPr="003F08AD">
        <w:t xml:space="preserve"> about </w:t>
      </w:r>
      <w:r>
        <w:t>plaintiff’s</w:t>
      </w:r>
      <w:r w:rsidRPr="003F08AD">
        <w:t xml:space="preserve"> pattern of abusive behavior.</w:t>
      </w:r>
    </w:p>
    <w:p w14:paraId="4B096008" w14:textId="77777777" w:rsidR="001D6A8C" w:rsidRDefault="001D6A8C" w:rsidP="001D6A8C">
      <w:pPr>
        <w:pStyle w:val="ListParagraph"/>
        <w:tabs>
          <w:tab w:val="clear" w:pos="720"/>
        </w:tabs>
        <w:spacing w:after="240" w:line="240" w:lineRule="auto"/>
        <w:ind w:left="0" w:firstLine="2160"/>
        <w:contextualSpacing w:val="0"/>
      </w:pPr>
      <w:r>
        <w:t>“</w:t>
      </w:r>
      <w:r w:rsidRPr="003F08AD">
        <w:t xml:space="preserve">The investigator again found by a preponderance of the evidence that </w:t>
      </w:r>
      <w:r>
        <w:t>plaintiff</w:t>
      </w:r>
      <w:r w:rsidRPr="003F08AD">
        <w:t xml:space="preserve"> engaged in the alleged misconduct.  While </w:t>
      </w:r>
      <w:r>
        <w:t>plaintiff’s</w:t>
      </w:r>
      <w:r w:rsidRPr="003F08AD">
        <w:t xml:space="preserve"> </w:t>
      </w:r>
      <w:r>
        <w:t>‘</w:t>
      </w:r>
      <w:r w:rsidRPr="003F08AD">
        <w:t>overall intent may have been benign,</w:t>
      </w:r>
      <w:r>
        <w:t>’</w:t>
      </w:r>
      <w:r w:rsidRPr="003F08AD">
        <w:t xml:space="preserve"> his advising approach was detrimental to </w:t>
      </w:r>
      <w:r>
        <w:t>John Doe 2</w:t>
      </w:r>
      <w:r w:rsidRPr="003F08AD">
        <w:t xml:space="preserve">.  Further, </w:t>
      </w:r>
      <w:r>
        <w:t>John Doe 2</w:t>
      </w:r>
      <w:r w:rsidRPr="003F08AD">
        <w:t xml:space="preserve"> reasonably viewed </w:t>
      </w:r>
      <w:r>
        <w:t>plaintiff’s</w:t>
      </w:r>
      <w:r w:rsidRPr="003F08AD">
        <w:t xml:space="preserve"> conduct as unwelcome and physically aggressive.</w:t>
      </w:r>
      <w:r>
        <w:t>”</w:t>
      </w:r>
    </w:p>
    <w:p w14:paraId="41B5EDDF" w14:textId="77777777" w:rsidR="001D6A8C" w:rsidRDefault="001D6A8C" w:rsidP="001D6A8C">
      <w:pPr>
        <w:pStyle w:val="ListParagraph"/>
        <w:numPr>
          <w:ilvl w:val="0"/>
          <w:numId w:val="4"/>
        </w:numPr>
        <w:tabs>
          <w:tab w:val="clear" w:pos="720"/>
        </w:tabs>
        <w:spacing w:after="240" w:line="240" w:lineRule="auto"/>
        <w:ind w:left="0" w:firstLine="1440"/>
        <w:contextualSpacing w:val="0"/>
      </w:pPr>
      <w:r>
        <w:t>On page 8, the paragraph that begins, “On November 9, 2018, the Charges Committee found probable cause as to each complainant,” is deleted and replaced with</w:t>
      </w:r>
      <w:proofErr w:type="gramStart"/>
      <w:r>
        <w:t>:  “</w:t>
      </w:r>
      <w:proofErr w:type="gramEnd"/>
      <w:r w:rsidRPr="003F08AD">
        <w:t xml:space="preserve">On </w:t>
      </w:r>
      <w:r>
        <w:t>November 9</w:t>
      </w:r>
      <w:r w:rsidRPr="003F08AD">
        <w:t>,</w:t>
      </w:r>
      <w:r>
        <w:t> </w:t>
      </w:r>
      <w:r w:rsidRPr="003F08AD">
        <w:t xml:space="preserve">2018, the </w:t>
      </w:r>
      <w:r>
        <w:t>Charges Committee</w:t>
      </w:r>
      <w:r w:rsidRPr="003F08AD">
        <w:t xml:space="preserve"> found probable cause as to each complainant: </w:t>
      </w:r>
      <w:r>
        <w:t xml:space="preserve"> </w:t>
      </w:r>
      <w:r w:rsidRPr="003F08AD">
        <w:t>Jane</w:t>
      </w:r>
      <w:r>
        <w:t> </w:t>
      </w:r>
      <w:r w:rsidRPr="003F08AD">
        <w:t xml:space="preserve">Doe, </w:t>
      </w:r>
      <w:r>
        <w:t>Anneliese H., John Doe 1, and John Doe 2.</w:t>
      </w:r>
      <w:r w:rsidRPr="003F08AD">
        <w:t xml:space="preserve">  With respect to </w:t>
      </w:r>
      <w:r>
        <w:t>Jane Doe</w:t>
      </w:r>
      <w:r w:rsidRPr="003F08AD">
        <w:t xml:space="preserve">, the </w:t>
      </w:r>
      <w:r>
        <w:t>Charges Committee</w:t>
      </w:r>
      <w:r w:rsidRPr="003F08AD">
        <w:t xml:space="preserve"> acknowledged the investigator did not substantiate a violation of the </w:t>
      </w:r>
      <w:r>
        <w:t>UCSC sexual harassment policy</w:t>
      </w:r>
      <w:r w:rsidRPr="003F08AD">
        <w:t xml:space="preserve"> because </w:t>
      </w:r>
      <w:r>
        <w:t>Jane Doe</w:t>
      </w:r>
      <w:r w:rsidRPr="003F08AD">
        <w:t xml:space="preserve"> was not a member of the University community.  The </w:t>
      </w:r>
      <w:r>
        <w:t>committee</w:t>
      </w:r>
      <w:r w:rsidRPr="003F08AD">
        <w:t xml:space="preserve"> nonetheless found probable cause under </w:t>
      </w:r>
      <w:r>
        <w:t>part II of the University’s</w:t>
      </w:r>
      <w:r w:rsidRPr="003F08AD">
        <w:t xml:space="preserve"> Faculty Code of Conduct </w:t>
      </w:r>
      <w:r>
        <w:t>(APM</w:t>
      </w:r>
      <w:r>
        <w:noBreakHyphen/>
        <w:t>015),</w:t>
      </w:r>
      <w:r>
        <w:rPr>
          <w:vertAlign w:val="superscript"/>
        </w:rPr>
        <w:t>4</w:t>
      </w:r>
      <w:r w:rsidRPr="003F08AD">
        <w:t xml:space="preserve"> </w:t>
      </w:r>
      <w:r w:rsidRPr="005147ED">
        <w:rPr>
          <w:i/>
          <w:iCs/>
        </w:rPr>
        <w:t xml:space="preserve">Professional Responsibilities, Ethical Principles, and </w:t>
      </w:r>
      <w:r w:rsidRPr="005147ED">
        <w:rPr>
          <w:i/>
          <w:iCs/>
        </w:rPr>
        <w:lastRenderedPageBreak/>
        <w:t>Unacceptable Faculty Conduct</w:t>
      </w:r>
      <w:r w:rsidRPr="003F08AD">
        <w:t xml:space="preserve"> (hereinafter, Faculty Code of Conduct, </w:t>
      </w:r>
      <w:r>
        <w:t>Part II</w:t>
      </w:r>
      <w:r w:rsidRPr="003F08AD">
        <w:t xml:space="preserve">), which permits faculty members to be disciplined </w:t>
      </w:r>
      <w:r>
        <w:t>‘ “for</w:t>
      </w:r>
      <w:r w:rsidRPr="003F08AD">
        <w:t xml:space="preserve"> conduct which is not justified by the ethical principles, and which significantly impairs the University’s central functions as set forth in the </w:t>
      </w:r>
      <w:r>
        <w:t>Preamble.” . . . “Other</w:t>
      </w:r>
      <w:r w:rsidRPr="003F08AD">
        <w:t xml:space="preserve"> types of serious misconduct, not specifically enumerated herein, may nonetheless be the basis for disciplinary action [if they also meet the preceding </w:t>
      </w:r>
      <w:r>
        <w:t>standards] </w:t>
      </w:r>
      <w:proofErr w:type="gramStart"/>
      <w:r>
        <w:t>. . . .</w:t>
      </w:r>
      <w:proofErr w:type="gramEnd"/>
      <w:r>
        <w:t>’</w:t>
      </w:r>
      <w:r>
        <w:rPr>
          <w:vertAlign w:val="superscript"/>
        </w:rPr>
        <w:t>5</w:t>
      </w:r>
      <w:r>
        <w:t>”</w:t>
      </w:r>
    </w:p>
    <w:p w14:paraId="7B734B1E" w14:textId="77777777" w:rsidR="001D6A8C" w:rsidRDefault="001D6A8C" w:rsidP="001D6A8C">
      <w:pPr>
        <w:pStyle w:val="ListParagraph"/>
        <w:tabs>
          <w:tab w:val="clear" w:pos="720"/>
        </w:tabs>
        <w:spacing w:after="240" w:line="240" w:lineRule="auto"/>
        <w:ind w:left="0" w:firstLine="2160"/>
        <w:contextualSpacing w:val="0"/>
      </w:pPr>
      <w:r>
        <w:t>As to footnote numbers 4 and 5 in this modified paragraph, both their placement (reproduced here) and their text (not reproduced here) are unchanged.</w:t>
      </w:r>
    </w:p>
    <w:p w14:paraId="1115A634" w14:textId="77777777" w:rsidR="001D6A8C" w:rsidRDefault="001D6A8C" w:rsidP="001D6A8C">
      <w:pPr>
        <w:pStyle w:val="ListParagraph"/>
        <w:numPr>
          <w:ilvl w:val="0"/>
          <w:numId w:val="4"/>
        </w:numPr>
        <w:tabs>
          <w:tab w:val="clear" w:pos="720"/>
        </w:tabs>
        <w:spacing w:after="240" w:line="240" w:lineRule="auto"/>
        <w:ind w:left="0" w:firstLine="1440"/>
        <w:contextualSpacing w:val="0"/>
      </w:pPr>
      <w:r>
        <w:t>On page 10, the paragraph that begins, “With respect to Jane Doe, the PT Committee found clear and convincing evidence,” is deleted and replaced with:  “</w:t>
      </w:r>
      <w:r w:rsidRPr="003F08AD">
        <w:t>With respect to Jane</w:t>
      </w:r>
      <w:r>
        <w:t> </w:t>
      </w:r>
      <w:r w:rsidRPr="003F08AD">
        <w:t xml:space="preserve">Doe, the </w:t>
      </w:r>
      <w:r>
        <w:t>PT Committee</w:t>
      </w:r>
      <w:r w:rsidRPr="003F08AD">
        <w:t xml:space="preserve"> found clear and convincing evidence that </w:t>
      </w:r>
      <w:r>
        <w:t>plaintiff</w:t>
      </w:r>
      <w:r w:rsidRPr="003F08AD">
        <w:t xml:space="preserve"> violated the Faculty Code of Conduct, </w:t>
      </w:r>
      <w:r>
        <w:t>Part II</w:t>
      </w:r>
      <w:r w:rsidRPr="003F08AD">
        <w:t xml:space="preserve">, as there was </w:t>
      </w:r>
      <w:r>
        <w:t>‘</w:t>
      </w:r>
      <w:r w:rsidRPr="003F08AD">
        <w:t>no question</w:t>
      </w:r>
      <w:r>
        <w:t>’</w:t>
      </w:r>
      <w:r w:rsidRPr="003F08AD">
        <w:t xml:space="preserve"> his conduct toward </w:t>
      </w:r>
      <w:r>
        <w:t>Jane Doe</w:t>
      </w:r>
      <w:r w:rsidRPr="003F08AD">
        <w:t xml:space="preserve"> at an academic event was not justified by ethical principles and undermined the University’s central function to provide an environment </w:t>
      </w:r>
      <w:r>
        <w:t>‘ “conducive</w:t>
      </w:r>
      <w:r w:rsidRPr="003F08AD">
        <w:t xml:space="preserve"> to sharing, extending, and critically examining knowledge and values, and to furthering the search for </w:t>
      </w:r>
      <w:r>
        <w:t>wisdom.” ’ ”</w:t>
      </w:r>
    </w:p>
    <w:p w14:paraId="0695C660" w14:textId="77777777" w:rsidR="001D6A8C" w:rsidRDefault="001D6A8C" w:rsidP="001D6A8C">
      <w:pPr>
        <w:pStyle w:val="ListParagraph"/>
        <w:numPr>
          <w:ilvl w:val="0"/>
          <w:numId w:val="4"/>
        </w:numPr>
        <w:tabs>
          <w:tab w:val="clear" w:pos="720"/>
        </w:tabs>
        <w:spacing w:after="120" w:line="240" w:lineRule="auto"/>
        <w:ind w:left="0" w:firstLine="1440"/>
        <w:contextualSpacing w:val="0"/>
      </w:pPr>
      <w:r>
        <w:t xml:space="preserve">On page 11, the last three paragraphs of part II (of the factual and procedural background), including footnote number 8, are </w:t>
      </w:r>
      <w:proofErr w:type="gramStart"/>
      <w:r>
        <w:t>deleted</w:t>
      </w:r>
      <w:proofErr w:type="gramEnd"/>
      <w:r>
        <w:t xml:space="preserve"> and replaced with:</w:t>
      </w:r>
    </w:p>
    <w:p w14:paraId="3AE80E2B" w14:textId="77777777" w:rsidR="001D6A8C" w:rsidRPr="003F08AD" w:rsidRDefault="001D6A8C" w:rsidP="001D6A8C">
      <w:pPr>
        <w:tabs>
          <w:tab w:val="clear" w:pos="720"/>
        </w:tabs>
        <w:spacing w:after="120" w:line="240" w:lineRule="auto"/>
        <w:ind w:firstLine="2160"/>
      </w:pPr>
      <w:r>
        <w:t>“</w:t>
      </w:r>
      <w:r w:rsidRPr="003F08AD">
        <w:t xml:space="preserve">With respect to </w:t>
      </w:r>
      <w:r>
        <w:t>John Doe 1, the PT Committee</w:t>
      </w:r>
      <w:r w:rsidRPr="003F08AD">
        <w:t xml:space="preserve"> found evidence that </w:t>
      </w:r>
      <w:r>
        <w:t>plaintiff</w:t>
      </w:r>
      <w:r w:rsidRPr="003F08AD">
        <w:t xml:space="preserve"> violated the University’s </w:t>
      </w:r>
      <w:r>
        <w:t>policy on substance abuse</w:t>
      </w:r>
      <w:r w:rsidRPr="003F08AD">
        <w:t xml:space="preserve"> by knowingly providing him alcohol and cocaine.  However, it concluded the evidence presented at the hearing did not meet the clear and convincing standard since </w:t>
      </w:r>
      <w:r>
        <w:t>John Doe 1</w:t>
      </w:r>
      <w:r w:rsidRPr="003F08AD">
        <w:t xml:space="preserve"> was vague as to key information, including times, persons, and dates.  Accordingly, this charge was dismissed.</w:t>
      </w:r>
    </w:p>
    <w:p w14:paraId="7374516C" w14:textId="77777777" w:rsidR="001D6A8C" w:rsidRPr="003F08AD" w:rsidRDefault="001D6A8C" w:rsidP="001D6A8C">
      <w:pPr>
        <w:tabs>
          <w:tab w:val="clear" w:pos="720"/>
        </w:tabs>
        <w:spacing w:after="120" w:line="240" w:lineRule="auto"/>
        <w:ind w:firstLine="2160"/>
      </w:pPr>
      <w:r>
        <w:t>“</w:t>
      </w:r>
      <w:r w:rsidRPr="003F08AD">
        <w:t xml:space="preserve">Lastly, the </w:t>
      </w:r>
      <w:r>
        <w:t>PT Committee</w:t>
      </w:r>
      <w:r w:rsidRPr="003F08AD">
        <w:t xml:space="preserve"> dismissed the charge relating to </w:t>
      </w:r>
      <w:r>
        <w:t>John Doe 2</w:t>
      </w:r>
      <w:r w:rsidRPr="003F08AD">
        <w:t xml:space="preserve"> based on the three-year </w:t>
      </w:r>
      <w:r>
        <w:t>limitations period</w:t>
      </w:r>
      <w:r w:rsidRPr="003F08AD">
        <w:t xml:space="preserve"> set forth in the Faculty Code of Conduct.</w:t>
      </w:r>
      <w:r>
        <w:rPr>
          <w:rStyle w:val="FootnoteReference"/>
        </w:rPr>
        <w:footnoteReference w:id="2"/>
      </w:r>
    </w:p>
    <w:p w14:paraId="50649937" w14:textId="77777777" w:rsidR="001D6A8C" w:rsidRDefault="001D6A8C" w:rsidP="001D6A8C">
      <w:pPr>
        <w:pStyle w:val="ListParagraph"/>
        <w:tabs>
          <w:tab w:val="clear" w:pos="720"/>
        </w:tabs>
        <w:spacing w:after="240" w:line="240" w:lineRule="auto"/>
        <w:ind w:left="0" w:firstLine="2160"/>
        <w:contextualSpacing w:val="0"/>
      </w:pPr>
      <w:r>
        <w:lastRenderedPageBreak/>
        <w:t>“</w:t>
      </w:r>
      <w:r w:rsidRPr="003F08AD">
        <w:t xml:space="preserve">Thus, having unanimously found </w:t>
      </w:r>
      <w:r>
        <w:t>plaintiff</w:t>
      </w:r>
      <w:r w:rsidRPr="003F08AD">
        <w:t xml:space="preserve"> committed serious violations of the Faculty Code of Conduct in the cases of </w:t>
      </w:r>
      <w:r>
        <w:t>Jane Doe</w:t>
      </w:r>
      <w:r w:rsidRPr="003F08AD">
        <w:t xml:space="preserve"> and </w:t>
      </w:r>
      <w:r>
        <w:t>Anneliese H., the PT Committee</w:t>
      </w:r>
      <w:r w:rsidRPr="003F08AD">
        <w:t xml:space="preserve"> recommended his dismissal and denial of </w:t>
      </w:r>
      <w:r>
        <w:t>emeritus</w:t>
      </w:r>
      <w:r w:rsidRPr="003F08AD">
        <w:t xml:space="preserve"> status.</w:t>
      </w:r>
      <w:r>
        <w:t>”</w:t>
      </w:r>
    </w:p>
    <w:p w14:paraId="3E56ABEC" w14:textId="77777777" w:rsidR="001D6A8C" w:rsidRDefault="001D6A8C" w:rsidP="001D6A8C">
      <w:pPr>
        <w:pStyle w:val="ListParagraph"/>
        <w:numPr>
          <w:ilvl w:val="0"/>
          <w:numId w:val="4"/>
        </w:numPr>
        <w:tabs>
          <w:tab w:val="clear" w:pos="720"/>
        </w:tabs>
        <w:spacing w:after="240" w:line="240" w:lineRule="auto"/>
        <w:ind w:left="0" w:firstLine="1440"/>
        <w:contextualSpacing w:val="0"/>
      </w:pPr>
      <w:r>
        <w:t>On page 18, line 4, “Ms. [Doe]” is deleted and replaced with “[Jane Doe].”</w:t>
      </w:r>
    </w:p>
    <w:p w14:paraId="1E0E4784" w14:textId="77777777" w:rsidR="001D6A8C" w:rsidRDefault="001D6A8C" w:rsidP="001D6A8C">
      <w:pPr>
        <w:pStyle w:val="ListParagraph"/>
        <w:numPr>
          <w:ilvl w:val="0"/>
          <w:numId w:val="4"/>
        </w:numPr>
        <w:tabs>
          <w:tab w:val="clear" w:pos="720"/>
        </w:tabs>
        <w:spacing w:after="240" w:line="240" w:lineRule="auto"/>
        <w:ind w:left="0" w:firstLine="1440"/>
        <w:contextualSpacing w:val="0"/>
      </w:pPr>
      <w:r>
        <w:t>On page 18, line 18, the citation “(</w:t>
      </w:r>
      <w:r>
        <w:rPr>
          <w:i/>
          <w:iCs/>
        </w:rPr>
        <w:t>Ibid.</w:t>
      </w:r>
      <w:r>
        <w:t>)” is deleted.</w:t>
      </w:r>
    </w:p>
    <w:p w14:paraId="24DA5112" w14:textId="77777777" w:rsidR="001D6A8C" w:rsidRDefault="001D6A8C" w:rsidP="001D6A8C">
      <w:pPr>
        <w:pStyle w:val="ListParagraph"/>
        <w:numPr>
          <w:ilvl w:val="0"/>
          <w:numId w:val="4"/>
        </w:numPr>
        <w:tabs>
          <w:tab w:val="clear" w:pos="720"/>
        </w:tabs>
        <w:spacing w:after="240" w:line="240" w:lineRule="auto"/>
        <w:ind w:left="0" w:firstLine="1440"/>
        <w:contextualSpacing w:val="0"/>
      </w:pPr>
      <w:r>
        <w:t>On page 21, the paragraph that begins, “Plaintiff’s attempt to paint this explanation as mere postulating,” is deleted and replaced with</w:t>
      </w:r>
      <w:proofErr w:type="gramStart"/>
      <w:r>
        <w:t>:  “</w:t>
      </w:r>
      <w:proofErr w:type="gramEnd"/>
      <w:r>
        <w:t>Plaintiff’s</w:t>
      </w:r>
      <w:r w:rsidRPr="003F08AD">
        <w:t xml:space="preserve"> attempt to paint this explanation as mere postulating underscores his ongoing failure to recognize the gravity of his conduct.  He sexually abused a fellow academic, Jane</w:t>
      </w:r>
      <w:r>
        <w:t> </w:t>
      </w:r>
      <w:r w:rsidRPr="003F08AD">
        <w:t xml:space="preserve">Doe, at an academic conference, and when she escorted him from the room, he returned later and abused her again.  In response, </w:t>
      </w:r>
      <w:r>
        <w:t>Jane Doe</w:t>
      </w:r>
      <w:r w:rsidRPr="003F08AD">
        <w:t xml:space="preserve"> and </w:t>
      </w:r>
      <w:r>
        <w:t>Witness 1</w:t>
      </w:r>
      <w:r w:rsidRPr="003F08AD">
        <w:t xml:space="preserve"> were forced to barricade the door for their safety.  </w:t>
      </w:r>
      <w:r>
        <w:t>Plaintiff’s</w:t>
      </w:r>
      <w:r w:rsidRPr="003F08AD">
        <w:t xml:space="preserve"> colleagues on the </w:t>
      </w:r>
      <w:r>
        <w:t>PT Committee</w:t>
      </w:r>
      <w:r w:rsidRPr="003F08AD">
        <w:t xml:space="preserve"> </w:t>
      </w:r>
      <w:r>
        <w:t>appropriately</w:t>
      </w:r>
      <w:r w:rsidRPr="003F08AD">
        <w:t xml:space="preserve"> determined that his conduct presented a serious risk to the safety of others in the community and that his continued association with UCSC would likely discourage students and professors alike from participating in academic events where he might be present.  The 2017 open letter calling on the University to discipline </w:t>
      </w:r>
      <w:r>
        <w:t>plaintiff</w:t>
      </w:r>
      <w:r w:rsidRPr="003F08AD">
        <w:t xml:space="preserve"> for his pattern of abusive behavior, signed by over 150 </w:t>
      </w:r>
      <w:r>
        <w:t>people</w:t>
      </w:r>
      <w:r w:rsidRPr="003F08AD">
        <w:t xml:space="preserve">, confirms the </w:t>
      </w:r>
      <w:r>
        <w:t>PT Committee’s</w:t>
      </w:r>
      <w:r w:rsidRPr="003F08AD">
        <w:t xml:space="preserve"> determination was well founded, as does </w:t>
      </w:r>
      <w:r>
        <w:t>Witness 1’s</w:t>
      </w:r>
      <w:r w:rsidRPr="003F08AD">
        <w:t xml:space="preserve"> testimony about the trauma </w:t>
      </w:r>
      <w:r>
        <w:t>Jane Doe</w:t>
      </w:r>
      <w:r w:rsidRPr="003F08AD">
        <w:t xml:space="preserve"> suffered from his abuse. </w:t>
      </w:r>
      <w:r>
        <w:t xml:space="preserve"> </w:t>
      </w:r>
      <w:r w:rsidRPr="003F08AD">
        <w:t>Accordingly, the University’s Jane</w:t>
      </w:r>
      <w:r>
        <w:t> </w:t>
      </w:r>
      <w:r w:rsidRPr="003F08AD">
        <w:t>Doe findings stand.</w:t>
      </w:r>
      <w:r>
        <w:t>”</w:t>
      </w:r>
    </w:p>
    <w:p w14:paraId="6664E944" w14:textId="77777777" w:rsidR="001D6A8C" w:rsidRDefault="001D6A8C" w:rsidP="001D6A8C">
      <w:pPr>
        <w:tabs>
          <w:tab w:val="clear" w:pos="720"/>
        </w:tabs>
        <w:spacing w:after="720" w:line="240" w:lineRule="auto"/>
        <w:ind w:firstLine="720"/>
      </w:pPr>
      <w:r>
        <w:t>There is no change in the judgment.</w:t>
      </w:r>
    </w:p>
    <w:p w14:paraId="4855CBB7" w14:textId="77777777" w:rsidR="001D6A8C" w:rsidRPr="009A0668" w:rsidRDefault="001D6A8C" w:rsidP="001D6A8C">
      <w:pPr>
        <w:tabs>
          <w:tab w:val="clear" w:pos="720"/>
        </w:tabs>
        <w:spacing w:line="240" w:lineRule="auto"/>
      </w:pPr>
      <w:r>
        <w:t>Dated: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t>, P. J.</w:t>
      </w:r>
    </w:p>
    <w:p w14:paraId="1E75088B" w14:textId="77777777" w:rsidR="001D6A8C" w:rsidRDefault="001D6A8C" w:rsidP="001D6A8C">
      <w:pPr>
        <w:tabs>
          <w:tab w:val="clear" w:pos="720"/>
        </w:tabs>
        <w:spacing w:line="240" w:lineRule="auto"/>
      </w:pPr>
      <w:r>
        <w:br w:type="page"/>
      </w:r>
    </w:p>
    <w:p w14:paraId="0AD586E7" w14:textId="77777777" w:rsidR="001D6A8C" w:rsidRPr="000A6C75" w:rsidRDefault="001D6A8C" w:rsidP="001D6A8C">
      <w:pPr>
        <w:tabs>
          <w:tab w:val="clear" w:pos="720"/>
        </w:tabs>
        <w:spacing w:line="240" w:lineRule="auto"/>
        <w:rPr>
          <w:u w:val="single"/>
        </w:rPr>
      </w:pPr>
      <w:r w:rsidRPr="000A6C75">
        <w:rPr>
          <w:u w:val="single"/>
        </w:rPr>
        <w:lastRenderedPageBreak/>
        <w:t>A164480/Balakrishnan v. Regents of University of California</w:t>
      </w:r>
    </w:p>
    <w:p w14:paraId="3CA50D8E" w14:textId="77777777" w:rsidR="001D6A8C" w:rsidRDefault="001D6A8C" w:rsidP="001D6A8C">
      <w:pPr>
        <w:tabs>
          <w:tab w:val="clear" w:pos="720"/>
        </w:tabs>
        <w:spacing w:line="240" w:lineRule="auto"/>
      </w:pPr>
    </w:p>
    <w:tbl>
      <w:tblPr>
        <w:tblW w:w="9450" w:type="dxa"/>
        <w:tblLayout w:type="fixed"/>
        <w:tblLook w:val="06A0" w:firstRow="1" w:lastRow="0" w:firstColumn="1" w:lastColumn="0" w:noHBand="1" w:noVBand="1"/>
      </w:tblPr>
      <w:tblGrid>
        <w:gridCol w:w="2250"/>
        <w:gridCol w:w="7200"/>
      </w:tblGrid>
      <w:tr w:rsidR="001D6A8C" w14:paraId="188356E6" w14:textId="77777777" w:rsidTr="00D72DCB">
        <w:tc>
          <w:tcPr>
            <w:tcW w:w="2250" w:type="dxa"/>
            <w:shd w:val="clear" w:color="auto" w:fill="auto"/>
          </w:tcPr>
          <w:p w14:paraId="2305DEEC" w14:textId="77777777" w:rsidR="001D6A8C" w:rsidRPr="006D25AC" w:rsidRDefault="001D6A8C" w:rsidP="00D72DCB">
            <w:pPr>
              <w:tabs>
                <w:tab w:val="clear" w:pos="720"/>
              </w:tabs>
              <w:spacing w:line="240" w:lineRule="auto"/>
              <w:ind w:left="-106"/>
              <w:rPr>
                <w:rFonts w:eastAsia="Century Schoolbook" w:cs="Century Schoolbook"/>
              </w:rPr>
            </w:pPr>
            <w:r w:rsidRPr="006D25AC">
              <w:rPr>
                <w:rFonts w:eastAsia="Century Schoolbook" w:cs="Century Schoolbook"/>
              </w:rPr>
              <w:t>Trial Court:</w:t>
            </w:r>
          </w:p>
        </w:tc>
        <w:tc>
          <w:tcPr>
            <w:tcW w:w="7200" w:type="dxa"/>
            <w:shd w:val="clear" w:color="auto" w:fill="auto"/>
          </w:tcPr>
          <w:p w14:paraId="3345D183" w14:textId="77777777" w:rsidR="001D6A8C" w:rsidRPr="006D25AC" w:rsidRDefault="001D6A8C" w:rsidP="00D72DCB">
            <w:pPr>
              <w:tabs>
                <w:tab w:val="clear" w:pos="720"/>
              </w:tabs>
              <w:spacing w:line="240" w:lineRule="auto"/>
              <w:rPr>
                <w:rFonts w:eastAsia="Century Schoolbook" w:cs="Century Schoolbook"/>
              </w:rPr>
            </w:pPr>
            <w:r w:rsidRPr="006D25AC">
              <w:rPr>
                <w:rFonts w:eastAsia="Century Schoolbook" w:cs="Century Schoolbook"/>
              </w:rPr>
              <w:t xml:space="preserve">Superior Court </w:t>
            </w:r>
            <w:r>
              <w:rPr>
                <w:rFonts w:eastAsia="Century Schoolbook" w:cs="Century Schoolbook"/>
              </w:rPr>
              <w:t>of the County of Alameda</w:t>
            </w:r>
          </w:p>
        </w:tc>
      </w:tr>
      <w:tr w:rsidR="001D6A8C" w14:paraId="313CE64E" w14:textId="77777777" w:rsidTr="00D72DCB">
        <w:tc>
          <w:tcPr>
            <w:tcW w:w="2250" w:type="dxa"/>
            <w:shd w:val="clear" w:color="auto" w:fill="auto"/>
          </w:tcPr>
          <w:p w14:paraId="01A973E6" w14:textId="77777777" w:rsidR="001D6A8C" w:rsidRPr="006D25AC" w:rsidRDefault="001D6A8C" w:rsidP="00D72DCB">
            <w:pPr>
              <w:tabs>
                <w:tab w:val="clear" w:pos="720"/>
              </w:tabs>
              <w:spacing w:line="240" w:lineRule="auto"/>
              <w:ind w:left="-106"/>
              <w:rPr>
                <w:rFonts w:eastAsia="Century Schoolbook" w:cs="Century Schoolbook"/>
              </w:rPr>
            </w:pPr>
          </w:p>
        </w:tc>
        <w:tc>
          <w:tcPr>
            <w:tcW w:w="7200" w:type="dxa"/>
            <w:shd w:val="clear" w:color="auto" w:fill="auto"/>
          </w:tcPr>
          <w:p w14:paraId="5CCFF6D3" w14:textId="77777777" w:rsidR="001D6A8C" w:rsidRPr="006D25AC" w:rsidRDefault="001D6A8C" w:rsidP="00D72DCB">
            <w:pPr>
              <w:tabs>
                <w:tab w:val="clear" w:pos="720"/>
              </w:tabs>
              <w:spacing w:line="240" w:lineRule="auto"/>
              <w:rPr>
                <w:rFonts w:eastAsia="Century Schoolbook" w:cs="Century Schoolbook"/>
              </w:rPr>
            </w:pPr>
          </w:p>
        </w:tc>
      </w:tr>
      <w:tr w:rsidR="001D6A8C" w14:paraId="25C5401E" w14:textId="77777777" w:rsidTr="00D72DCB">
        <w:tc>
          <w:tcPr>
            <w:tcW w:w="2250" w:type="dxa"/>
            <w:shd w:val="clear" w:color="auto" w:fill="auto"/>
          </w:tcPr>
          <w:p w14:paraId="085C01A0" w14:textId="77777777" w:rsidR="001D6A8C" w:rsidRPr="006D25AC" w:rsidRDefault="001D6A8C" w:rsidP="00D72DCB">
            <w:pPr>
              <w:tabs>
                <w:tab w:val="clear" w:pos="720"/>
              </w:tabs>
              <w:spacing w:line="240" w:lineRule="auto"/>
              <w:ind w:left="-106"/>
              <w:rPr>
                <w:rFonts w:eastAsia="Century Schoolbook" w:cs="Century Schoolbook"/>
              </w:rPr>
            </w:pPr>
            <w:r w:rsidRPr="006D25AC">
              <w:rPr>
                <w:rFonts w:eastAsia="Century Schoolbook" w:cs="Century Schoolbook"/>
              </w:rPr>
              <w:t>Trial Judge:</w:t>
            </w:r>
          </w:p>
        </w:tc>
        <w:tc>
          <w:tcPr>
            <w:tcW w:w="7200" w:type="dxa"/>
            <w:shd w:val="clear" w:color="auto" w:fill="auto"/>
          </w:tcPr>
          <w:p w14:paraId="4CB70EF2" w14:textId="77777777" w:rsidR="001D6A8C" w:rsidRPr="006D25AC" w:rsidRDefault="001D6A8C" w:rsidP="00D72DCB">
            <w:pPr>
              <w:tabs>
                <w:tab w:val="clear" w:pos="720"/>
              </w:tabs>
              <w:spacing w:line="240" w:lineRule="auto"/>
              <w:rPr>
                <w:rFonts w:eastAsia="Century Schoolbook" w:cs="Century Schoolbook"/>
              </w:rPr>
            </w:pPr>
            <w:r>
              <w:rPr>
                <w:rFonts w:eastAsia="Century Schoolbook" w:cs="Century Schoolbook"/>
              </w:rPr>
              <w:t>Paul Herbert</w:t>
            </w:r>
          </w:p>
        </w:tc>
      </w:tr>
      <w:tr w:rsidR="001D6A8C" w14:paraId="77B8B7D3" w14:textId="77777777" w:rsidTr="00D72DCB">
        <w:tc>
          <w:tcPr>
            <w:tcW w:w="2250" w:type="dxa"/>
            <w:shd w:val="clear" w:color="auto" w:fill="auto"/>
          </w:tcPr>
          <w:p w14:paraId="1B398F73" w14:textId="77777777" w:rsidR="001D6A8C" w:rsidRPr="006D25AC" w:rsidRDefault="001D6A8C" w:rsidP="00D72DCB">
            <w:pPr>
              <w:tabs>
                <w:tab w:val="clear" w:pos="720"/>
              </w:tabs>
              <w:spacing w:line="240" w:lineRule="auto"/>
              <w:ind w:left="-106"/>
              <w:rPr>
                <w:rFonts w:eastAsia="Century Schoolbook" w:cs="Century Schoolbook"/>
              </w:rPr>
            </w:pPr>
          </w:p>
        </w:tc>
        <w:tc>
          <w:tcPr>
            <w:tcW w:w="7200" w:type="dxa"/>
            <w:shd w:val="clear" w:color="auto" w:fill="auto"/>
          </w:tcPr>
          <w:p w14:paraId="0A40EC5F" w14:textId="77777777" w:rsidR="001D6A8C" w:rsidRPr="006D25AC" w:rsidRDefault="001D6A8C" w:rsidP="00D72DCB">
            <w:pPr>
              <w:tabs>
                <w:tab w:val="clear" w:pos="720"/>
              </w:tabs>
              <w:spacing w:line="240" w:lineRule="auto"/>
              <w:rPr>
                <w:rFonts w:eastAsia="Century Schoolbook" w:cs="Century Schoolbook"/>
              </w:rPr>
            </w:pPr>
          </w:p>
        </w:tc>
      </w:tr>
      <w:tr w:rsidR="001D6A8C" w14:paraId="78B06FB2" w14:textId="77777777" w:rsidTr="00D72DCB">
        <w:tc>
          <w:tcPr>
            <w:tcW w:w="2250" w:type="dxa"/>
            <w:shd w:val="clear" w:color="auto" w:fill="auto"/>
          </w:tcPr>
          <w:p w14:paraId="04710627" w14:textId="77777777" w:rsidR="001D6A8C" w:rsidRPr="006D25AC" w:rsidRDefault="001D6A8C" w:rsidP="00D72DCB">
            <w:pPr>
              <w:tabs>
                <w:tab w:val="clear" w:pos="720"/>
              </w:tabs>
              <w:spacing w:line="240" w:lineRule="auto"/>
              <w:ind w:left="-106"/>
              <w:rPr>
                <w:rFonts w:eastAsia="Century Schoolbook" w:cs="Century Schoolbook"/>
              </w:rPr>
            </w:pPr>
            <w:r w:rsidRPr="006D25AC">
              <w:rPr>
                <w:rFonts w:eastAsia="Century Schoolbook" w:cs="Century Schoolbook"/>
              </w:rPr>
              <w:t>Counsel:</w:t>
            </w:r>
          </w:p>
        </w:tc>
        <w:tc>
          <w:tcPr>
            <w:tcW w:w="7200" w:type="dxa"/>
            <w:shd w:val="clear" w:color="auto" w:fill="auto"/>
          </w:tcPr>
          <w:p w14:paraId="7F05BA3D" w14:textId="77777777" w:rsidR="001D6A8C" w:rsidRDefault="001D6A8C" w:rsidP="00D72DCB">
            <w:pPr>
              <w:tabs>
                <w:tab w:val="clear" w:pos="720"/>
              </w:tabs>
              <w:spacing w:line="240" w:lineRule="auto"/>
              <w:ind w:left="615" w:hanging="615"/>
              <w:rPr>
                <w:rFonts w:eastAsia="Century Schoolbook" w:cs="Century Schoolbook"/>
              </w:rPr>
            </w:pPr>
            <w:r>
              <w:rPr>
                <w:rFonts w:eastAsia="Century Schoolbook" w:cs="Century Schoolbook"/>
              </w:rPr>
              <w:t xml:space="preserve">Hathaway Parker, Mark M. </w:t>
            </w:r>
            <w:proofErr w:type="gramStart"/>
            <w:r>
              <w:rPr>
                <w:rFonts w:eastAsia="Century Schoolbook" w:cs="Century Schoolbook"/>
              </w:rPr>
              <w:t>Hathaway</w:t>
            </w:r>
            <w:proofErr w:type="gramEnd"/>
            <w:r>
              <w:rPr>
                <w:rFonts w:eastAsia="Century Schoolbook" w:cs="Century Schoolbook"/>
              </w:rPr>
              <w:t xml:space="preserve"> and Jenna E. Parker, for Plaintiff and Appellant.</w:t>
            </w:r>
          </w:p>
          <w:p w14:paraId="19C6BF95" w14:textId="77777777" w:rsidR="001D6A8C" w:rsidRPr="006D25AC" w:rsidRDefault="001D6A8C" w:rsidP="00D72DCB">
            <w:pPr>
              <w:tabs>
                <w:tab w:val="clear" w:pos="720"/>
              </w:tabs>
              <w:spacing w:line="240" w:lineRule="auto"/>
              <w:rPr>
                <w:rFonts w:eastAsia="Century Schoolbook" w:cs="Century Schoolbook"/>
              </w:rPr>
            </w:pPr>
          </w:p>
        </w:tc>
      </w:tr>
      <w:tr w:rsidR="001D6A8C" w14:paraId="6B65BD1D" w14:textId="77777777" w:rsidTr="00D72DCB">
        <w:tc>
          <w:tcPr>
            <w:tcW w:w="2250" w:type="dxa"/>
            <w:shd w:val="clear" w:color="auto" w:fill="auto"/>
          </w:tcPr>
          <w:p w14:paraId="23BA0530" w14:textId="77777777" w:rsidR="001D6A8C" w:rsidRPr="006D25AC" w:rsidRDefault="001D6A8C" w:rsidP="00D72DCB">
            <w:pPr>
              <w:tabs>
                <w:tab w:val="clear" w:pos="720"/>
              </w:tabs>
              <w:spacing w:line="240" w:lineRule="auto"/>
              <w:ind w:left="-106"/>
              <w:rPr>
                <w:rFonts w:eastAsia="Century Schoolbook" w:cs="Century Schoolbook"/>
              </w:rPr>
            </w:pPr>
          </w:p>
        </w:tc>
        <w:tc>
          <w:tcPr>
            <w:tcW w:w="7200" w:type="dxa"/>
            <w:shd w:val="clear" w:color="auto" w:fill="auto"/>
          </w:tcPr>
          <w:p w14:paraId="3265D04A" w14:textId="77777777" w:rsidR="001D6A8C" w:rsidRDefault="001D6A8C" w:rsidP="00D72DCB">
            <w:pPr>
              <w:tabs>
                <w:tab w:val="clear" w:pos="720"/>
              </w:tabs>
              <w:spacing w:line="240" w:lineRule="auto"/>
              <w:ind w:left="615" w:hanging="615"/>
              <w:rPr>
                <w:rFonts w:eastAsia="Century Schoolbook" w:cs="Century Schoolbook"/>
              </w:rPr>
            </w:pPr>
            <w:r>
              <w:rPr>
                <w:rFonts w:eastAsia="Century Schoolbook" w:cs="Century Schoolbook"/>
              </w:rPr>
              <w:t xml:space="preserve">University of California Office of the General Counsel and Katharine Essick; Munger, Tolles &amp; Olson, Hailyn J. </w:t>
            </w:r>
            <w:proofErr w:type="gramStart"/>
            <w:r>
              <w:rPr>
                <w:rFonts w:eastAsia="Century Schoolbook" w:cs="Century Schoolbook"/>
              </w:rPr>
              <w:t>Chen</w:t>
            </w:r>
            <w:proofErr w:type="gramEnd"/>
            <w:r>
              <w:rPr>
                <w:rFonts w:eastAsia="Century Schoolbook" w:cs="Century Schoolbook"/>
              </w:rPr>
              <w:t xml:space="preserve"> and Rebecca L. Sciarrino, for Defendant and Respondent.</w:t>
            </w:r>
          </w:p>
          <w:p w14:paraId="06F47629" w14:textId="77777777" w:rsidR="001D6A8C" w:rsidRPr="006D25AC" w:rsidRDefault="001D6A8C" w:rsidP="00D72DCB">
            <w:pPr>
              <w:tabs>
                <w:tab w:val="clear" w:pos="720"/>
              </w:tabs>
              <w:spacing w:line="240" w:lineRule="auto"/>
              <w:ind w:left="720" w:hanging="720"/>
              <w:rPr>
                <w:rFonts w:eastAsia="Century Schoolbook" w:cs="Century Schoolbook"/>
              </w:rPr>
            </w:pPr>
          </w:p>
        </w:tc>
      </w:tr>
    </w:tbl>
    <w:p w14:paraId="3914E08C" w14:textId="77777777" w:rsidR="001D6A8C" w:rsidRPr="00F174B7" w:rsidRDefault="001D6A8C" w:rsidP="001D6A8C">
      <w:pPr>
        <w:tabs>
          <w:tab w:val="clear" w:pos="720"/>
        </w:tabs>
        <w:spacing w:line="240" w:lineRule="auto"/>
      </w:pPr>
    </w:p>
    <w:p w14:paraId="4A30C4D0" w14:textId="77777777" w:rsidR="001D6A8C" w:rsidRDefault="001D6A8C" w:rsidP="00F8273C">
      <w:pPr>
        <w:tabs>
          <w:tab w:val="clear" w:pos="720"/>
        </w:tabs>
        <w:spacing w:line="240" w:lineRule="auto"/>
        <w:rPr>
          <w:sz w:val="20"/>
        </w:rPr>
        <w:sectPr w:rsidR="001D6A8C" w:rsidSect="00405979">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pPr>
    </w:p>
    <w:p w14:paraId="3FB2D665" w14:textId="3B3BADD4" w:rsidR="00F8273C" w:rsidRPr="001D6A8C" w:rsidRDefault="00913934" w:rsidP="00F8273C">
      <w:pPr>
        <w:tabs>
          <w:tab w:val="clear" w:pos="720"/>
        </w:tabs>
        <w:spacing w:line="240" w:lineRule="auto"/>
        <w:rPr>
          <w:sz w:val="20"/>
        </w:rPr>
      </w:pPr>
      <w:r w:rsidRPr="001D6A8C">
        <w:rPr>
          <w:sz w:val="20"/>
        </w:rPr>
        <w:lastRenderedPageBreak/>
        <w:t xml:space="preserve">Filed </w:t>
      </w:r>
      <w:r w:rsidR="00054629" w:rsidRPr="001D6A8C">
        <w:rPr>
          <w:sz w:val="20"/>
        </w:rPr>
        <w:t>2/1/24</w:t>
      </w:r>
      <w:r w:rsidR="001D6A8C">
        <w:rPr>
          <w:sz w:val="20"/>
        </w:rPr>
        <w:t xml:space="preserve"> (unmodified version)</w:t>
      </w:r>
    </w:p>
    <w:p w14:paraId="5109CDBF" w14:textId="77777777" w:rsidR="00F8273C" w:rsidRDefault="00913934" w:rsidP="00F8273C">
      <w:pPr>
        <w:tabs>
          <w:tab w:val="clear" w:pos="720"/>
        </w:tabs>
        <w:spacing w:line="240" w:lineRule="auto"/>
        <w:jc w:val="center"/>
        <w:rPr>
          <w:b/>
        </w:rPr>
      </w:pPr>
      <w:r>
        <w:rPr>
          <w:b/>
        </w:rPr>
        <w:t>CERTIFIED FOR PUBLICATION</w:t>
      </w:r>
    </w:p>
    <w:p w14:paraId="71020E6C" w14:textId="77777777" w:rsidR="00F8273C" w:rsidRDefault="00F8273C" w:rsidP="00F8273C">
      <w:pPr>
        <w:tabs>
          <w:tab w:val="clear" w:pos="720"/>
        </w:tabs>
        <w:spacing w:line="240" w:lineRule="auto"/>
        <w:jc w:val="center"/>
      </w:pPr>
    </w:p>
    <w:p w14:paraId="1B48EF8B" w14:textId="0026F142" w:rsidR="008C69C3" w:rsidRPr="003F08AD" w:rsidRDefault="00913934" w:rsidP="00F8273C">
      <w:pPr>
        <w:tabs>
          <w:tab w:val="clear" w:pos="720"/>
        </w:tabs>
        <w:spacing w:line="240" w:lineRule="auto"/>
        <w:jc w:val="center"/>
      </w:pPr>
      <w:r w:rsidRPr="003F08AD">
        <w:t>IN THE COURT OF APPEAL OF THE STATE OF CALIFORNIA</w:t>
      </w:r>
    </w:p>
    <w:p w14:paraId="72A96F6C" w14:textId="69247938" w:rsidR="007236A6" w:rsidRPr="003F08AD" w:rsidRDefault="007236A6" w:rsidP="00B30517">
      <w:pPr>
        <w:tabs>
          <w:tab w:val="clear" w:pos="720"/>
        </w:tabs>
        <w:spacing w:line="240" w:lineRule="auto"/>
        <w:jc w:val="center"/>
      </w:pPr>
    </w:p>
    <w:p w14:paraId="374B4444" w14:textId="1670BEDA" w:rsidR="007236A6" w:rsidRPr="003F08AD" w:rsidRDefault="00913934" w:rsidP="00B30517">
      <w:pPr>
        <w:tabs>
          <w:tab w:val="clear" w:pos="720"/>
        </w:tabs>
        <w:spacing w:line="240" w:lineRule="auto"/>
        <w:jc w:val="center"/>
      </w:pPr>
      <w:r w:rsidRPr="003F08AD">
        <w:t>FIRST APPELLATE DISTRICT</w:t>
      </w:r>
    </w:p>
    <w:p w14:paraId="7E5661BF" w14:textId="52F0D133" w:rsidR="007236A6" w:rsidRPr="003F08AD" w:rsidRDefault="007236A6" w:rsidP="00B30517">
      <w:pPr>
        <w:tabs>
          <w:tab w:val="clear" w:pos="720"/>
        </w:tabs>
        <w:spacing w:line="240" w:lineRule="auto"/>
        <w:jc w:val="center"/>
      </w:pPr>
    </w:p>
    <w:p w14:paraId="7B967242" w14:textId="7EA34DC4" w:rsidR="007236A6" w:rsidRPr="003F08AD" w:rsidRDefault="00913934" w:rsidP="00B30517">
      <w:pPr>
        <w:tabs>
          <w:tab w:val="clear" w:pos="720"/>
        </w:tabs>
        <w:spacing w:line="240" w:lineRule="auto"/>
        <w:jc w:val="center"/>
      </w:pPr>
      <w:r w:rsidRPr="003F08AD">
        <w:t>DIVISION FIVE</w:t>
      </w:r>
    </w:p>
    <w:p w14:paraId="59EB56D5" w14:textId="346F0252" w:rsidR="007236A6" w:rsidRPr="003F08AD" w:rsidRDefault="007236A6" w:rsidP="00B30517">
      <w:pPr>
        <w:tabs>
          <w:tab w:val="clear" w:pos="720"/>
        </w:tabs>
        <w:spacing w:line="240" w:lineRule="auto"/>
        <w:jc w:val="center"/>
      </w:pPr>
    </w:p>
    <w:p w14:paraId="21B8CE92" w14:textId="49D97528" w:rsidR="007236A6" w:rsidRPr="003F08AD" w:rsidRDefault="007236A6" w:rsidP="00B30517">
      <w:pPr>
        <w:tabs>
          <w:tab w:val="clear" w:pos="720"/>
        </w:tabs>
        <w:spacing w:line="240" w:lineRule="auto"/>
        <w:jc w:val="center"/>
      </w:pPr>
    </w:p>
    <w:tbl>
      <w:tblPr>
        <w:tblW w:w="9540" w:type="dxa"/>
        <w:tblLayout w:type="fixed"/>
        <w:tblLook w:val="0000" w:firstRow="0" w:lastRow="0" w:firstColumn="0" w:lastColumn="0" w:noHBand="0" w:noVBand="0"/>
      </w:tblPr>
      <w:tblGrid>
        <w:gridCol w:w="4770"/>
        <w:gridCol w:w="4770"/>
      </w:tblGrid>
      <w:tr w:rsidR="00A662DF" w14:paraId="54B324F0" w14:textId="77777777" w:rsidTr="00CC6399">
        <w:tc>
          <w:tcPr>
            <w:tcW w:w="4770" w:type="dxa"/>
            <w:tcBorders>
              <w:bottom w:val="single" w:sz="4" w:space="0" w:color="auto"/>
              <w:right w:val="single" w:sz="4" w:space="0" w:color="auto"/>
            </w:tcBorders>
            <w:shd w:val="clear" w:color="auto" w:fill="auto"/>
          </w:tcPr>
          <w:p w14:paraId="19BDFA29" w14:textId="0746949C" w:rsidR="007236A6" w:rsidRPr="003F08AD" w:rsidRDefault="00913934" w:rsidP="00B30517">
            <w:pPr>
              <w:tabs>
                <w:tab w:val="clear" w:pos="720"/>
              </w:tabs>
              <w:spacing w:after="120" w:line="240" w:lineRule="auto"/>
            </w:pPr>
            <w:r>
              <w:t>GOPAL</w:t>
            </w:r>
            <w:r w:rsidRPr="003F08AD">
              <w:t xml:space="preserve"> BALAKRISHNAN,</w:t>
            </w:r>
          </w:p>
          <w:p w14:paraId="00651D34" w14:textId="33A06C08" w:rsidR="007236A6" w:rsidRPr="003F08AD" w:rsidRDefault="00913934" w:rsidP="00B30517">
            <w:pPr>
              <w:tabs>
                <w:tab w:val="clear" w:pos="720"/>
              </w:tabs>
              <w:spacing w:after="120" w:line="240" w:lineRule="auto"/>
            </w:pPr>
            <w:r w:rsidRPr="003F08AD">
              <w:tab/>
            </w:r>
            <w:r w:rsidR="00466394">
              <w:t>Plaintiff and Appellant</w:t>
            </w:r>
            <w:r w:rsidRPr="003F08AD">
              <w:t>,</w:t>
            </w:r>
          </w:p>
          <w:p w14:paraId="7813CD01" w14:textId="3FEF4C68" w:rsidR="007236A6" w:rsidRPr="003F08AD" w:rsidRDefault="00913934" w:rsidP="00B30517">
            <w:pPr>
              <w:tabs>
                <w:tab w:val="clear" w:pos="720"/>
              </w:tabs>
              <w:spacing w:after="120" w:line="240" w:lineRule="auto"/>
            </w:pPr>
            <w:r w:rsidRPr="003F08AD">
              <w:t>v.</w:t>
            </w:r>
          </w:p>
          <w:p w14:paraId="48DE0868" w14:textId="34247337" w:rsidR="007236A6" w:rsidRPr="003F08AD" w:rsidRDefault="00913934" w:rsidP="00B30517">
            <w:pPr>
              <w:tabs>
                <w:tab w:val="clear" w:pos="720"/>
              </w:tabs>
              <w:spacing w:after="120" w:line="240" w:lineRule="auto"/>
            </w:pPr>
            <w:r>
              <w:t xml:space="preserve">THE </w:t>
            </w:r>
            <w:r w:rsidRPr="003F08AD">
              <w:t>REGENTS OF THE UNIVERSITY OF CALIFORNIA,</w:t>
            </w:r>
          </w:p>
          <w:p w14:paraId="0466D6DD" w14:textId="14508744" w:rsidR="007236A6" w:rsidRPr="003F08AD" w:rsidRDefault="00913934" w:rsidP="00B30517">
            <w:pPr>
              <w:tabs>
                <w:tab w:val="clear" w:pos="720"/>
              </w:tabs>
              <w:spacing w:after="120" w:line="240" w:lineRule="auto"/>
            </w:pPr>
            <w:r w:rsidRPr="003F08AD">
              <w:tab/>
            </w:r>
            <w:r w:rsidR="00BF2596">
              <w:t>Defendant and Respondent</w:t>
            </w:r>
            <w:r w:rsidRPr="003F08AD">
              <w:t>.</w:t>
            </w:r>
          </w:p>
        </w:tc>
        <w:tc>
          <w:tcPr>
            <w:tcW w:w="4770" w:type="dxa"/>
            <w:tcBorders>
              <w:left w:val="single" w:sz="4" w:space="0" w:color="auto"/>
            </w:tcBorders>
            <w:shd w:val="clear" w:color="auto" w:fill="auto"/>
          </w:tcPr>
          <w:p w14:paraId="18863BBE" w14:textId="77777777" w:rsidR="007236A6" w:rsidRPr="003F08AD" w:rsidRDefault="007236A6" w:rsidP="00617FD8">
            <w:pPr>
              <w:tabs>
                <w:tab w:val="clear" w:pos="720"/>
              </w:tabs>
              <w:spacing w:after="120" w:line="240" w:lineRule="auto"/>
            </w:pPr>
          </w:p>
          <w:p w14:paraId="4DCBEC7E" w14:textId="77777777" w:rsidR="007236A6" w:rsidRDefault="00913934" w:rsidP="0061790A">
            <w:pPr>
              <w:tabs>
                <w:tab w:val="clear" w:pos="720"/>
              </w:tabs>
              <w:spacing w:after="120" w:line="240" w:lineRule="auto"/>
            </w:pPr>
            <w:r w:rsidRPr="003F08AD">
              <w:t xml:space="preserve">      A164480</w:t>
            </w:r>
          </w:p>
          <w:p w14:paraId="106B9EE8" w14:textId="77777777" w:rsidR="0061790A" w:rsidRPr="003F08AD" w:rsidRDefault="0061790A" w:rsidP="0061790A">
            <w:pPr>
              <w:tabs>
                <w:tab w:val="clear" w:pos="720"/>
              </w:tabs>
              <w:spacing w:after="120" w:line="240" w:lineRule="auto"/>
            </w:pPr>
          </w:p>
          <w:p w14:paraId="5697251C" w14:textId="77777777" w:rsidR="007236A6" w:rsidRPr="003F08AD" w:rsidRDefault="00913934" w:rsidP="00B30517">
            <w:pPr>
              <w:tabs>
                <w:tab w:val="clear" w:pos="720"/>
              </w:tabs>
              <w:spacing w:line="240" w:lineRule="auto"/>
            </w:pPr>
            <w:r w:rsidRPr="003F08AD">
              <w:t xml:space="preserve">      (Alameda County</w:t>
            </w:r>
          </w:p>
          <w:p w14:paraId="784D9DFF" w14:textId="13AD8B22" w:rsidR="007236A6" w:rsidRPr="003F08AD" w:rsidRDefault="00913934" w:rsidP="00617FD8">
            <w:pPr>
              <w:tabs>
                <w:tab w:val="clear" w:pos="720"/>
              </w:tabs>
              <w:spacing w:after="120" w:line="240" w:lineRule="auto"/>
            </w:pPr>
            <w:r w:rsidRPr="003F08AD">
              <w:t xml:space="preserve">      Super. Ct. No. </w:t>
            </w:r>
            <w:r w:rsidR="001B3B56" w:rsidRPr="003F08AD">
              <w:t>RG19018682</w:t>
            </w:r>
            <w:r w:rsidRPr="003F08AD">
              <w:t>)</w:t>
            </w:r>
          </w:p>
        </w:tc>
      </w:tr>
    </w:tbl>
    <w:p w14:paraId="36704943" w14:textId="648DD523" w:rsidR="007236A6" w:rsidRPr="003F08AD" w:rsidRDefault="007236A6" w:rsidP="0061790A">
      <w:pPr>
        <w:tabs>
          <w:tab w:val="clear" w:pos="720"/>
        </w:tabs>
        <w:spacing w:line="360" w:lineRule="auto"/>
      </w:pPr>
    </w:p>
    <w:p w14:paraId="7664A978" w14:textId="3D64A95A" w:rsidR="007F2DD1" w:rsidRPr="003F08AD" w:rsidRDefault="00913934" w:rsidP="0061790A">
      <w:pPr>
        <w:tabs>
          <w:tab w:val="clear" w:pos="720"/>
        </w:tabs>
        <w:spacing w:line="360" w:lineRule="auto"/>
      </w:pPr>
      <w:r w:rsidRPr="003F08AD">
        <w:tab/>
        <w:t xml:space="preserve">This appeal addresses the authority of a public university to discipline a faculty member for certain off-campus behavior.  We conclude the University of </w:t>
      </w:r>
      <w:r w:rsidRPr="003F08AD">
        <w:t>California, Santa Cruz (University or UCSC)</w:t>
      </w:r>
      <w:r w:rsidR="006E1EDD">
        <w:t>,</w:t>
      </w:r>
      <w:r w:rsidRPr="003F08AD">
        <w:t xml:space="preserve"> could permissibly find</w:t>
      </w:r>
      <w:r w:rsidR="006E1EDD">
        <w:t>,</w:t>
      </w:r>
      <w:r w:rsidRPr="003F08AD">
        <w:t xml:space="preserve"> based on the plain language of its internal policies, rules and regulations</w:t>
      </w:r>
      <w:r w:rsidR="00C43776">
        <w:t>,</w:t>
      </w:r>
      <w:r w:rsidRPr="003F08AD">
        <w:t xml:space="preserve"> that a tenured professor could be dismissed and denied </w:t>
      </w:r>
      <w:r w:rsidR="00C43776">
        <w:t>emeritus</w:t>
      </w:r>
      <w:r w:rsidRPr="003F08AD">
        <w:t xml:space="preserve"> status for sexually </w:t>
      </w:r>
      <w:r w:rsidR="00D4375B">
        <w:t>abusing</w:t>
      </w:r>
      <w:r w:rsidRPr="003F08AD">
        <w:t xml:space="preserve"> </w:t>
      </w:r>
      <w:r w:rsidR="00C43776">
        <w:t>(1) a</w:t>
      </w:r>
      <w:r w:rsidRPr="003F08AD">
        <w:t xml:space="preserve"> fellow academic at an event held in connection with an off-campus academic conference and </w:t>
      </w:r>
      <w:r w:rsidR="00C12034">
        <w:t>(2) a</w:t>
      </w:r>
      <w:r w:rsidRPr="003F08AD">
        <w:t xml:space="preserve"> UCSC student </w:t>
      </w:r>
      <w:r w:rsidR="002320FB">
        <w:t>whom</w:t>
      </w:r>
      <w:r w:rsidRPr="003F08AD">
        <w:t xml:space="preserve"> he volunteered to walk home from an off-campus graduation party</w:t>
      </w:r>
      <w:r w:rsidR="002320FB">
        <w:t>,</w:t>
      </w:r>
      <w:r w:rsidRPr="003F08AD">
        <w:t xml:space="preserve"> two days after she walked in her graduation ceremony.</w:t>
      </w:r>
    </w:p>
    <w:p w14:paraId="165CDE46" w14:textId="04413D62" w:rsidR="00C22EC1" w:rsidRPr="003F08AD" w:rsidRDefault="00913934" w:rsidP="0061790A">
      <w:pPr>
        <w:tabs>
          <w:tab w:val="clear" w:pos="720"/>
        </w:tabs>
        <w:spacing w:line="360" w:lineRule="auto"/>
      </w:pPr>
      <w:r w:rsidRPr="003F08AD">
        <w:tab/>
      </w:r>
      <w:r w:rsidR="00006582">
        <w:t>Plaintiff, Dr. Gopal</w:t>
      </w:r>
      <w:r w:rsidR="007236A6" w:rsidRPr="003F08AD">
        <w:t xml:space="preserve"> Balakrishnan</w:t>
      </w:r>
      <w:r w:rsidR="00D42CA9" w:rsidRPr="003F08AD">
        <w:t xml:space="preserve">, a </w:t>
      </w:r>
      <w:r w:rsidRPr="003F08AD">
        <w:t xml:space="preserve">former </w:t>
      </w:r>
      <w:r w:rsidR="00D42CA9" w:rsidRPr="003F08AD">
        <w:t xml:space="preserve">tenured </w:t>
      </w:r>
      <w:r w:rsidRPr="003F08AD">
        <w:t xml:space="preserve">UCSC </w:t>
      </w:r>
      <w:r w:rsidR="00D42CA9" w:rsidRPr="003F08AD">
        <w:t>professor,</w:t>
      </w:r>
      <w:r w:rsidR="007236A6" w:rsidRPr="003F08AD">
        <w:t xml:space="preserve"> </w:t>
      </w:r>
      <w:r w:rsidR="00720DFA">
        <w:t>appeals from a judgment denying his petition for</w:t>
      </w:r>
      <w:r w:rsidR="007236A6" w:rsidRPr="003F08AD">
        <w:t xml:space="preserve"> a writ of </w:t>
      </w:r>
      <w:r w:rsidR="00904CD9" w:rsidRPr="003F08AD">
        <w:t xml:space="preserve">administrative </w:t>
      </w:r>
      <w:r w:rsidR="007236A6" w:rsidRPr="003F08AD">
        <w:t>manda</w:t>
      </w:r>
      <w:r w:rsidR="000C0E5E" w:rsidRPr="003F08AD">
        <w:t>te</w:t>
      </w:r>
      <w:r w:rsidR="007236A6" w:rsidRPr="003F08AD">
        <w:t xml:space="preserve"> </w:t>
      </w:r>
      <w:r w:rsidR="00D42CA9" w:rsidRPr="003F08AD">
        <w:t xml:space="preserve">under </w:t>
      </w:r>
      <w:r w:rsidR="007236A6" w:rsidRPr="003F08AD">
        <w:t>Code of Civ</w:t>
      </w:r>
      <w:r w:rsidR="00D42CA9" w:rsidRPr="003F08AD">
        <w:t>il</w:t>
      </w:r>
      <w:r w:rsidR="007236A6" w:rsidRPr="003F08AD">
        <w:t xml:space="preserve"> Proc</w:t>
      </w:r>
      <w:r w:rsidR="00D42CA9" w:rsidRPr="003F08AD">
        <w:t>edure section </w:t>
      </w:r>
      <w:r w:rsidR="007236A6" w:rsidRPr="003F08AD">
        <w:t>1094.5</w:t>
      </w:r>
      <w:r>
        <w:rPr>
          <w:rStyle w:val="FootnoteReference"/>
        </w:rPr>
        <w:footnoteReference w:id="3"/>
      </w:r>
      <w:r w:rsidR="007236A6" w:rsidRPr="003F08AD">
        <w:t xml:space="preserve"> to set aside the </w:t>
      </w:r>
      <w:r w:rsidR="007236A6" w:rsidRPr="003F08AD">
        <w:lastRenderedPageBreak/>
        <w:t xml:space="preserve">findings and decision </w:t>
      </w:r>
      <w:r w:rsidRPr="003F08AD">
        <w:t xml:space="preserve">of </w:t>
      </w:r>
      <w:r w:rsidR="001D0001">
        <w:t>defendant, The</w:t>
      </w:r>
      <w:r w:rsidRPr="003F08AD">
        <w:t xml:space="preserve"> Regents of the University of California (Regents)</w:t>
      </w:r>
      <w:r w:rsidR="001D0001">
        <w:t>,</w:t>
      </w:r>
      <w:r w:rsidRPr="003F08AD">
        <w:t xml:space="preserve"> </w:t>
      </w:r>
      <w:r w:rsidR="007236A6" w:rsidRPr="003F08AD">
        <w:t xml:space="preserve">to terminate his employment and deny him </w:t>
      </w:r>
      <w:r w:rsidR="001D0001">
        <w:t>emeritus</w:t>
      </w:r>
      <w:r w:rsidR="007236A6" w:rsidRPr="003F08AD">
        <w:t xml:space="preserve"> status. </w:t>
      </w:r>
      <w:r w:rsidR="00F33B67" w:rsidRPr="003F08AD">
        <w:t xml:space="preserve"> </w:t>
      </w:r>
      <w:r w:rsidR="003B3F03" w:rsidRPr="003F08AD">
        <w:t xml:space="preserve">In so doing, </w:t>
      </w:r>
      <w:r w:rsidR="00422A72">
        <w:t>plaintiff</w:t>
      </w:r>
      <w:r w:rsidR="00F33B67" w:rsidRPr="003F08AD">
        <w:t xml:space="preserve"> does not dispute the </w:t>
      </w:r>
      <w:r w:rsidRPr="003F08AD">
        <w:t>University’s</w:t>
      </w:r>
      <w:r w:rsidR="00D42CA9" w:rsidRPr="003F08AD">
        <w:t xml:space="preserve"> </w:t>
      </w:r>
      <w:r w:rsidR="00F33B67" w:rsidRPr="003F08AD">
        <w:t>evidentiary finding that he sexual</w:t>
      </w:r>
      <w:r w:rsidR="00D42CA9" w:rsidRPr="003F08AD">
        <w:t>ly</w:t>
      </w:r>
      <w:r w:rsidR="00F33B67" w:rsidRPr="003F08AD">
        <w:t xml:space="preserve"> </w:t>
      </w:r>
      <w:r w:rsidR="007B71E3">
        <w:t>abused</w:t>
      </w:r>
      <w:r w:rsidR="00D42CA9" w:rsidRPr="003F08AD">
        <w:t xml:space="preserve"> two women</w:t>
      </w:r>
      <w:r w:rsidR="00F33B67" w:rsidRPr="003F08AD">
        <w:t xml:space="preserve">.  Rather, </w:t>
      </w:r>
      <w:r w:rsidR="00D42CA9" w:rsidRPr="003F08AD">
        <w:t>he</w:t>
      </w:r>
      <w:r w:rsidR="00F33B67" w:rsidRPr="003F08AD">
        <w:t xml:space="preserve"> contends</w:t>
      </w:r>
      <w:r w:rsidR="00D42CA9" w:rsidRPr="003F08AD">
        <w:t xml:space="preserve">: </w:t>
      </w:r>
      <w:r w:rsidR="00422A72">
        <w:t>(1) the</w:t>
      </w:r>
      <w:r w:rsidR="00F33B67" w:rsidRPr="003F08AD">
        <w:t xml:space="preserve"> University lacked jurisdiction </w:t>
      </w:r>
      <w:r w:rsidR="003B3F03" w:rsidRPr="003F08AD">
        <w:t xml:space="preserve">to </w:t>
      </w:r>
      <w:r w:rsidR="00F33B67" w:rsidRPr="003F08AD">
        <w:t>discipline</w:t>
      </w:r>
      <w:r w:rsidR="00D42CA9" w:rsidRPr="003F08AD">
        <w:t xml:space="preserve"> him </w:t>
      </w:r>
      <w:r w:rsidR="00F33B67" w:rsidRPr="003F08AD">
        <w:t xml:space="preserve">because </w:t>
      </w:r>
      <w:r w:rsidR="00D42CA9" w:rsidRPr="003F08AD">
        <w:t>the</w:t>
      </w:r>
      <w:r w:rsidR="00F33B67" w:rsidRPr="003F08AD">
        <w:t xml:space="preserve"> victims did not qualify as </w:t>
      </w:r>
      <w:proofErr w:type="gramStart"/>
      <w:r w:rsidR="00F33B67" w:rsidRPr="003F08AD">
        <w:t>University</w:t>
      </w:r>
      <w:proofErr w:type="gramEnd"/>
      <w:r w:rsidR="00F33B67" w:rsidRPr="003F08AD">
        <w:t xml:space="preserve"> students, </w:t>
      </w:r>
      <w:r w:rsidR="00422A72">
        <w:t>(2) the</w:t>
      </w:r>
      <w:r w:rsidR="00F33B67" w:rsidRPr="003F08AD">
        <w:t xml:space="preserve"> University mis</w:t>
      </w:r>
      <w:r w:rsidR="00D74647" w:rsidRPr="003F08AD">
        <w:t>interpreted and misapplied</w:t>
      </w:r>
      <w:r w:rsidR="00D42CA9" w:rsidRPr="003F08AD">
        <w:t xml:space="preserve"> </w:t>
      </w:r>
      <w:r w:rsidR="00F33B67" w:rsidRPr="003F08AD">
        <w:t xml:space="preserve">its own regulations and policies, </w:t>
      </w:r>
      <w:r w:rsidR="00422A72">
        <w:t>(3) he</w:t>
      </w:r>
      <w:r w:rsidR="0079096A" w:rsidRPr="003F08AD">
        <w:t xml:space="preserve"> did not receive notice of all charges, and </w:t>
      </w:r>
      <w:r w:rsidR="00AB26F2">
        <w:t>(4) the</w:t>
      </w:r>
      <w:r w:rsidR="0079096A" w:rsidRPr="003F08AD">
        <w:t xml:space="preserve"> sanction</w:t>
      </w:r>
      <w:r w:rsidR="003B3F03" w:rsidRPr="003F08AD">
        <w:t>s were</w:t>
      </w:r>
      <w:r w:rsidR="0079096A" w:rsidRPr="003F08AD">
        <w:t xml:space="preserve"> excessive.</w:t>
      </w:r>
    </w:p>
    <w:p w14:paraId="4D21866B" w14:textId="1CDE11C8" w:rsidR="007236A6" w:rsidRPr="003F08AD" w:rsidRDefault="00913934" w:rsidP="0061790A">
      <w:pPr>
        <w:tabs>
          <w:tab w:val="clear" w:pos="720"/>
        </w:tabs>
        <w:spacing w:line="360" w:lineRule="auto"/>
      </w:pPr>
      <w:r w:rsidRPr="003F08AD">
        <w:tab/>
      </w:r>
      <w:r w:rsidR="0079096A" w:rsidRPr="003F08AD">
        <w:t xml:space="preserve">We reject these contentions and affirm the trial court’s judgment </w:t>
      </w:r>
      <w:r w:rsidR="00D42CA9" w:rsidRPr="003F08AD">
        <w:t xml:space="preserve">to </w:t>
      </w:r>
      <w:r w:rsidR="0079096A" w:rsidRPr="003F08AD">
        <w:t>deny his writ petition.</w:t>
      </w:r>
    </w:p>
    <w:p w14:paraId="063BF5C3" w14:textId="16F58F90" w:rsidR="007236A6" w:rsidRPr="003F08AD" w:rsidRDefault="00913934" w:rsidP="007B0DE3">
      <w:pPr>
        <w:keepNext/>
        <w:tabs>
          <w:tab w:val="clear" w:pos="720"/>
        </w:tabs>
        <w:spacing w:line="360" w:lineRule="auto"/>
        <w:jc w:val="center"/>
        <w:rPr>
          <w:b/>
          <w:bCs/>
        </w:rPr>
      </w:pPr>
      <w:r w:rsidRPr="003F08AD">
        <w:rPr>
          <w:b/>
          <w:bCs/>
        </w:rPr>
        <w:t>FACTUAL AND PROCEDURAL BACKGROUND</w:t>
      </w:r>
    </w:p>
    <w:p w14:paraId="659141E8" w14:textId="56A697F1" w:rsidR="007236A6" w:rsidRPr="003F08AD" w:rsidRDefault="00913934" w:rsidP="007B0DE3">
      <w:pPr>
        <w:tabs>
          <w:tab w:val="clear" w:pos="720"/>
        </w:tabs>
        <w:spacing w:line="360" w:lineRule="auto"/>
      </w:pPr>
      <w:r w:rsidRPr="003F08AD">
        <w:tab/>
      </w:r>
      <w:r w:rsidR="001B60CF">
        <w:t>Plaintiff</w:t>
      </w:r>
      <w:r w:rsidR="007F2DD1" w:rsidRPr="003F08AD">
        <w:t xml:space="preserve"> </w:t>
      </w:r>
      <w:r w:rsidR="006A2073" w:rsidRPr="003F08AD">
        <w:t xml:space="preserve">attended Cornell University.  </w:t>
      </w:r>
      <w:r w:rsidR="007F2DD1" w:rsidRPr="003F08AD">
        <w:t xml:space="preserve">He </w:t>
      </w:r>
      <w:r w:rsidR="006A2073" w:rsidRPr="003F08AD">
        <w:t>earned a Ph</w:t>
      </w:r>
      <w:r w:rsidR="003B3F03" w:rsidRPr="003F08AD">
        <w:t>.</w:t>
      </w:r>
      <w:r w:rsidR="006A2073" w:rsidRPr="003F08AD">
        <w:t xml:space="preserve">D. from </w:t>
      </w:r>
      <w:r w:rsidR="00565F14">
        <w:t xml:space="preserve">the </w:t>
      </w:r>
      <w:r w:rsidR="006A2073" w:rsidRPr="003F08AD">
        <w:t>University of California, Los Angeles</w:t>
      </w:r>
      <w:r w:rsidR="00091051">
        <w:t>,</w:t>
      </w:r>
      <w:r w:rsidR="006A2073" w:rsidRPr="003F08AD">
        <w:t xml:space="preserve"> and, in 2000, published a well-received scholarly book entitled </w:t>
      </w:r>
      <w:r w:rsidR="00DB78F3">
        <w:t>The Enemy: An Intellectual Portrait of Carl Schmitt</w:t>
      </w:r>
      <w:r w:rsidR="006A2073" w:rsidRPr="003F08AD">
        <w:t xml:space="preserve">.  </w:t>
      </w:r>
      <w:r w:rsidR="00E026B3" w:rsidRPr="003F08AD">
        <w:t>In 2006, a</w:t>
      </w:r>
      <w:r w:rsidR="006A2073" w:rsidRPr="003F08AD">
        <w:t xml:space="preserve">fter </w:t>
      </w:r>
      <w:r w:rsidR="00D42CA9" w:rsidRPr="003F08AD">
        <w:t xml:space="preserve">holding </w:t>
      </w:r>
      <w:r w:rsidR="006A2073" w:rsidRPr="003F08AD">
        <w:t xml:space="preserve">several teaching </w:t>
      </w:r>
      <w:r w:rsidR="00D42CA9" w:rsidRPr="003F08AD">
        <w:t xml:space="preserve">positions </w:t>
      </w:r>
      <w:r w:rsidR="006A2073" w:rsidRPr="003F08AD">
        <w:t>at</w:t>
      </w:r>
      <w:r w:rsidR="00D42CA9" w:rsidRPr="003F08AD">
        <w:t xml:space="preserve"> </w:t>
      </w:r>
      <w:r w:rsidR="003B3F03" w:rsidRPr="003F08AD">
        <w:t xml:space="preserve">higher learning </w:t>
      </w:r>
      <w:r w:rsidR="006A2073" w:rsidRPr="003F08AD">
        <w:t xml:space="preserve">institutions in the United States and abroad, </w:t>
      </w:r>
      <w:r w:rsidR="00C4687A">
        <w:t>plaintiff</w:t>
      </w:r>
      <w:r w:rsidR="006A2073" w:rsidRPr="003F08AD">
        <w:t xml:space="preserve"> became a</w:t>
      </w:r>
      <w:r w:rsidR="003B3F03" w:rsidRPr="003F08AD">
        <w:t>n</w:t>
      </w:r>
      <w:r w:rsidR="006A2073" w:rsidRPr="003F08AD">
        <w:t xml:space="preserve"> </w:t>
      </w:r>
      <w:r w:rsidR="00E026B3" w:rsidRPr="003F08AD">
        <w:t>a</w:t>
      </w:r>
      <w:r w:rsidR="006A2073" w:rsidRPr="003F08AD">
        <w:t xml:space="preserve">ssociate </w:t>
      </w:r>
      <w:r w:rsidR="00E026B3" w:rsidRPr="003F08AD">
        <w:t>p</w:t>
      </w:r>
      <w:r w:rsidR="006A2073" w:rsidRPr="003F08AD">
        <w:t xml:space="preserve">rofessor </w:t>
      </w:r>
      <w:r w:rsidR="00D42CA9" w:rsidRPr="003F08AD">
        <w:t>in</w:t>
      </w:r>
      <w:r w:rsidR="006A2073" w:rsidRPr="003F08AD">
        <w:t xml:space="preserve"> UCSC</w:t>
      </w:r>
      <w:r w:rsidR="00D42CA9" w:rsidRPr="003F08AD">
        <w:t>’s</w:t>
      </w:r>
      <w:r w:rsidR="006A2073" w:rsidRPr="003F08AD">
        <w:t xml:space="preserve"> History of Consciousness </w:t>
      </w:r>
      <w:r w:rsidR="00E026B3" w:rsidRPr="003F08AD">
        <w:t>D</w:t>
      </w:r>
      <w:r w:rsidR="006A2073" w:rsidRPr="003F08AD">
        <w:t>epartment</w:t>
      </w:r>
      <w:r w:rsidR="00974768" w:rsidRPr="003F08AD">
        <w:t>.</w:t>
      </w:r>
      <w:r w:rsidR="006A2073" w:rsidRPr="003F08AD">
        <w:t xml:space="preserve">  </w:t>
      </w:r>
      <w:r w:rsidR="003B3F03" w:rsidRPr="003F08AD">
        <w:t>I</w:t>
      </w:r>
      <w:r w:rsidR="006A2073" w:rsidRPr="003F08AD">
        <w:t xml:space="preserve">n 2015, </w:t>
      </w:r>
      <w:r w:rsidR="003B3F03" w:rsidRPr="003F08AD">
        <w:t>he</w:t>
      </w:r>
      <w:r w:rsidR="006A2073" w:rsidRPr="003F08AD">
        <w:t xml:space="preserve"> was promoted to</w:t>
      </w:r>
      <w:r w:rsidR="00E026B3" w:rsidRPr="003F08AD">
        <w:t xml:space="preserve"> tenured p</w:t>
      </w:r>
      <w:r w:rsidR="006A2073" w:rsidRPr="003F08AD">
        <w:t>rofessor.</w:t>
      </w:r>
    </w:p>
    <w:p w14:paraId="0556690A" w14:textId="10051C13" w:rsidR="00974768" w:rsidRPr="003F08AD" w:rsidRDefault="00913934" w:rsidP="007B0DE3">
      <w:pPr>
        <w:tabs>
          <w:tab w:val="clear" w:pos="720"/>
        </w:tabs>
        <w:spacing w:line="360" w:lineRule="auto"/>
      </w:pPr>
      <w:r w:rsidRPr="003F08AD">
        <w:tab/>
      </w:r>
      <w:r w:rsidR="003E4D0B" w:rsidRPr="003F08AD">
        <w:t>I</w:t>
      </w:r>
      <w:r w:rsidRPr="003F08AD">
        <w:t xml:space="preserve">n </w:t>
      </w:r>
      <w:r w:rsidR="003E4D0B" w:rsidRPr="003F08AD">
        <w:t>201</w:t>
      </w:r>
      <w:r w:rsidR="00905EDA" w:rsidRPr="003F08AD">
        <w:t>7</w:t>
      </w:r>
      <w:r w:rsidRPr="003F08AD">
        <w:t>, an anonymous letter was published</w:t>
      </w:r>
      <w:r w:rsidR="003E4D0B" w:rsidRPr="003F08AD">
        <w:t xml:space="preserve"> online</w:t>
      </w:r>
      <w:r w:rsidR="00DA6DF4">
        <w:t>,</w:t>
      </w:r>
      <w:r w:rsidR="003E4D0B" w:rsidRPr="003F08AD">
        <w:t xml:space="preserve"> a</w:t>
      </w:r>
      <w:r w:rsidR="00624A4B" w:rsidRPr="003F08AD">
        <w:t>ccusing</w:t>
      </w:r>
      <w:r w:rsidR="003E4D0B" w:rsidRPr="003F08AD">
        <w:t xml:space="preserve"> </w:t>
      </w:r>
      <w:r w:rsidR="00323E62">
        <w:t>plaintiff</w:t>
      </w:r>
      <w:r w:rsidR="003E4D0B" w:rsidRPr="003F08AD">
        <w:t xml:space="preserve"> </w:t>
      </w:r>
      <w:r w:rsidR="00624A4B" w:rsidRPr="003F08AD">
        <w:t>of</w:t>
      </w:r>
      <w:r w:rsidR="003E4D0B" w:rsidRPr="003F08AD">
        <w:t xml:space="preserve"> engag</w:t>
      </w:r>
      <w:r w:rsidR="00624A4B" w:rsidRPr="003F08AD">
        <w:t>ing</w:t>
      </w:r>
      <w:r w:rsidR="003E4D0B" w:rsidRPr="003F08AD">
        <w:t xml:space="preserve"> in a pattern of </w:t>
      </w:r>
      <w:r w:rsidR="00905EDA" w:rsidRPr="003F08AD">
        <w:t xml:space="preserve">sexual intimidation, </w:t>
      </w:r>
      <w:r w:rsidR="00F05EB8" w:rsidRPr="003F08AD">
        <w:t>harassment,</w:t>
      </w:r>
      <w:r w:rsidR="00905EDA" w:rsidRPr="003F08AD">
        <w:t xml:space="preserve"> and </w:t>
      </w:r>
      <w:r w:rsidR="003E4D0B" w:rsidRPr="003F08AD">
        <w:t xml:space="preserve">assault </w:t>
      </w:r>
      <w:r w:rsidR="00905EDA" w:rsidRPr="003F08AD">
        <w:t xml:space="preserve">against </w:t>
      </w:r>
      <w:r w:rsidR="003E4D0B" w:rsidRPr="003F08AD">
        <w:t>young women</w:t>
      </w:r>
      <w:r w:rsidR="00E026B3" w:rsidRPr="003F08AD">
        <w:t xml:space="preserve"> and</w:t>
      </w:r>
      <w:r w:rsidR="003E4D0B" w:rsidRPr="003F08AD">
        <w:t xml:space="preserve"> </w:t>
      </w:r>
      <w:r w:rsidR="00E026B3" w:rsidRPr="003F08AD">
        <w:t xml:space="preserve">gender nonconforming people </w:t>
      </w:r>
      <w:r w:rsidR="00905EDA" w:rsidRPr="003F08AD">
        <w:t xml:space="preserve">during his </w:t>
      </w:r>
      <w:r w:rsidR="009F47EA">
        <w:t>time as a UCSC</w:t>
      </w:r>
      <w:r w:rsidR="00905EDA" w:rsidRPr="003F08AD">
        <w:t xml:space="preserve"> professor.</w:t>
      </w:r>
      <w:r w:rsidR="003E4D0B" w:rsidRPr="003F08AD">
        <w:t xml:space="preserve">  </w:t>
      </w:r>
      <w:r w:rsidR="00624A4B" w:rsidRPr="003F08AD">
        <w:t>Th</w:t>
      </w:r>
      <w:r w:rsidR="00E026B3" w:rsidRPr="003F08AD">
        <w:t>e</w:t>
      </w:r>
      <w:r w:rsidR="00624A4B" w:rsidRPr="003F08AD">
        <w:t xml:space="preserve"> letter contained seven anonymous </w:t>
      </w:r>
      <w:r w:rsidR="006B23D1">
        <w:t>firsthand</w:t>
      </w:r>
      <w:r w:rsidR="00624A4B" w:rsidRPr="003F08AD">
        <w:t xml:space="preserve"> accounts of </w:t>
      </w:r>
      <w:proofErr w:type="gramStart"/>
      <w:r w:rsidR="006B23D1">
        <w:t>plaintiff’s</w:t>
      </w:r>
      <w:proofErr w:type="gramEnd"/>
      <w:r w:rsidR="00624A4B" w:rsidRPr="003F08AD">
        <w:t xml:space="preserve"> </w:t>
      </w:r>
      <w:r w:rsidR="00114BA1">
        <w:t xml:space="preserve">alleged </w:t>
      </w:r>
      <w:r w:rsidR="00624A4B" w:rsidRPr="003F08AD">
        <w:t xml:space="preserve">abuse and </w:t>
      </w:r>
      <w:r w:rsidR="003E4D0B" w:rsidRPr="003F08AD">
        <w:t>call</w:t>
      </w:r>
      <w:r w:rsidR="00624A4B" w:rsidRPr="003F08AD">
        <w:t>ed</w:t>
      </w:r>
      <w:r w:rsidR="003E4D0B" w:rsidRPr="003F08AD">
        <w:t xml:space="preserve"> on the University to </w:t>
      </w:r>
      <w:r w:rsidR="00E026B3" w:rsidRPr="003F08AD">
        <w:t>act</w:t>
      </w:r>
      <w:r w:rsidR="003E4D0B" w:rsidRPr="003F08AD">
        <w:t xml:space="preserve">. </w:t>
      </w:r>
      <w:r w:rsidR="00624A4B" w:rsidRPr="003F08AD">
        <w:t xml:space="preserve"> Over 150 people </w:t>
      </w:r>
      <w:r w:rsidR="00E026B3" w:rsidRPr="003F08AD">
        <w:t xml:space="preserve">signed </w:t>
      </w:r>
      <w:r w:rsidR="00624A4B" w:rsidRPr="003F08AD">
        <w:t>this letter</w:t>
      </w:r>
      <w:r w:rsidR="00E026B3" w:rsidRPr="003F08AD">
        <w:t xml:space="preserve"> </w:t>
      </w:r>
      <w:r w:rsidR="003B3F03" w:rsidRPr="003F08AD">
        <w:t>to</w:t>
      </w:r>
      <w:r w:rsidR="00E026B3" w:rsidRPr="003F08AD">
        <w:t xml:space="preserve"> show</w:t>
      </w:r>
      <w:r w:rsidR="003B3F03" w:rsidRPr="003F08AD">
        <w:t xml:space="preserve"> their</w:t>
      </w:r>
      <w:r w:rsidR="00E026B3" w:rsidRPr="003F08AD">
        <w:t xml:space="preserve"> support</w:t>
      </w:r>
      <w:r w:rsidR="00624A4B" w:rsidRPr="003F08AD">
        <w:t>.</w:t>
      </w:r>
    </w:p>
    <w:p w14:paraId="590354F9" w14:textId="133DCD26" w:rsidR="00905EDA" w:rsidRPr="003F08AD" w:rsidRDefault="00913934" w:rsidP="007B0DE3">
      <w:pPr>
        <w:tabs>
          <w:tab w:val="clear" w:pos="720"/>
        </w:tabs>
        <w:spacing w:line="360" w:lineRule="auto"/>
      </w:pPr>
      <w:r w:rsidRPr="003F08AD">
        <w:tab/>
      </w:r>
      <w:r w:rsidR="00174C9F">
        <w:t>Plaintiff</w:t>
      </w:r>
      <w:r w:rsidR="00234CD0" w:rsidRPr="003F08AD">
        <w:t xml:space="preserve"> publicly denied the a</w:t>
      </w:r>
      <w:r w:rsidR="00624A4B" w:rsidRPr="003F08AD">
        <w:t>ccusations</w:t>
      </w:r>
      <w:r w:rsidR="00234CD0" w:rsidRPr="003F08AD">
        <w:t xml:space="preserve"> in the anonymous letter and blamed </w:t>
      </w:r>
      <w:proofErr w:type="gramStart"/>
      <w:r w:rsidR="00174C9F">
        <w:t>“ ‘</w:t>
      </w:r>
      <w:proofErr w:type="gramEnd"/>
      <w:r w:rsidR="00174C9F">
        <w:t>the</w:t>
      </w:r>
      <w:r w:rsidR="00234CD0" w:rsidRPr="003F08AD">
        <w:t xml:space="preserve"> current context of national indignation around the issue of sexual </w:t>
      </w:r>
      <w:r w:rsidR="00174C9F">
        <w:t>harassment . . . .’ ”</w:t>
      </w:r>
      <w:r w:rsidR="00234CD0" w:rsidRPr="003F08AD">
        <w:t xml:space="preserve">  </w:t>
      </w:r>
      <w:r w:rsidRPr="003F08AD">
        <w:t xml:space="preserve">In response, the University </w:t>
      </w:r>
      <w:r w:rsidR="00234CD0" w:rsidRPr="003F08AD">
        <w:t xml:space="preserve">issued a statement </w:t>
      </w:r>
      <w:r w:rsidR="00234CD0" w:rsidRPr="003F08AD">
        <w:lastRenderedPageBreak/>
        <w:t xml:space="preserve">that it was aware of the </w:t>
      </w:r>
      <w:r w:rsidR="00624A4B" w:rsidRPr="003F08AD">
        <w:t>letter</w:t>
      </w:r>
      <w:r w:rsidR="00234CD0" w:rsidRPr="003F08AD">
        <w:t xml:space="preserve"> and ask</w:t>
      </w:r>
      <w:r w:rsidR="00624A4B" w:rsidRPr="003F08AD">
        <w:t>ed</w:t>
      </w:r>
      <w:r w:rsidR="00234CD0" w:rsidRPr="003F08AD">
        <w:t xml:space="preserve"> </w:t>
      </w:r>
      <w:r w:rsidR="00624A4B" w:rsidRPr="003F08AD">
        <w:t>individuals</w:t>
      </w:r>
      <w:r w:rsidR="00234CD0" w:rsidRPr="003F08AD">
        <w:t xml:space="preserve"> with </w:t>
      </w:r>
      <w:r w:rsidR="00624A4B" w:rsidRPr="003F08AD">
        <w:t>relevant</w:t>
      </w:r>
      <w:r w:rsidR="00234CD0" w:rsidRPr="003F08AD">
        <w:t xml:space="preserve"> information to </w:t>
      </w:r>
      <w:r w:rsidR="00624A4B" w:rsidRPr="003F08AD">
        <w:t xml:space="preserve">contact the </w:t>
      </w:r>
      <w:r w:rsidR="00CB0986">
        <w:t>Title IX office</w:t>
      </w:r>
      <w:r w:rsidR="00624A4B" w:rsidRPr="003F08AD">
        <w:t xml:space="preserve"> to assist</w:t>
      </w:r>
      <w:r w:rsidR="003B3F03" w:rsidRPr="003F08AD">
        <w:t xml:space="preserve"> </w:t>
      </w:r>
      <w:r w:rsidR="00624A4B" w:rsidRPr="003F08AD">
        <w:t xml:space="preserve">its </w:t>
      </w:r>
      <w:r w:rsidR="00234CD0" w:rsidRPr="003F08AD">
        <w:t>investigat</w:t>
      </w:r>
      <w:r w:rsidR="00624A4B" w:rsidRPr="003F08AD">
        <w:t>ion</w:t>
      </w:r>
      <w:r w:rsidRPr="003F08AD">
        <w:t>.</w:t>
      </w:r>
      <w:r>
        <w:rPr>
          <w:rStyle w:val="FootnoteReference"/>
        </w:rPr>
        <w:footnoteReference w:id="4"/>
      </w:r>
    </w:p>
    <w:p w14:paraId="3122182C" w14:textId="61E9B382" w:rsidR="002D61B8" w:rsidRPr="003F08AD" w:rsidRDefault="00913934" w:rsidP="007B0DE3">
      <w:pPr>
        <w:tabs>
          <w:tab w:val="clear" w:pos="720"/>
        </w:tabs>
        <w:spacing w:line="360" w:lineRule="auto"/>
      </w:pPr>
      <w:r w:rsidRPr="003F08AD">
        <w:tab/>
        <w:t xml:space="preserve">The University received multiple complaints about </w:t>
      </w:r>
      <w:proofErr w:type="gramStart"/>
      <w:r w:rsidR="007630B6">
        <w:t>plaintiff’s</w:t>
      </w:r>
      <w:proofErr w:type="gramEnd"/>
      <w:r w:rsidRPr="003F08AD">
        <w:t xml:space="preserve"> conduct.  One of the more serious complaint</w:t>
      </w:r>
      <w:r w:rsidR="00624A4B" w:rsidRPr="003F08AD">
        <w:t>s</w:t>
      </w:r>
      <w:r w:rsidR="007630B6">
        <w:t>,</w:t>
      </w:r>
      <w:r w:rsidR="00624A4B" w:rsidRPr="003F08AD">
        <w:t xml:space="preserve"> </w:t>
      </w:r>
      <w:r w:rsidRPr="003F08AD">
        <w:t>involv</w:t>
      </w:r>
      <w:r w:rsidR="00E026B3" w:rsidRPr="003F08AD">
        <w:t>ing</w:t>
      </w:r>
      <w:r w:rsidRPr="003F08AD">
        <w:t xml:space="preserve"> </w:t>
      </w:r>
      <w:r w:rsidR="00E026B3" w:rsidRPr="003F08AD">
        <w:t xml:space="preserve">Jane </w:t>
      </w:r>
      <w:r w:rsidRPr="003F08AD">
        <w:t>Doe</w:t>
      </w:r>
      <w:r w:rsidR="006C0A1B" w:rsidRPr="003F08AD">
        <w:t>, an academic,</w:t>
      </w:r>
      <w:r w:rsidRPr="003F08AD">
        <w:t xml:space="preserve"> came in anonymously</w:t>
      </w:r>
      <w:r w:rsidR="00624A4B" w:rsidRPr="003F08AD">
        <w:t xml:space="preserve">.  </w:t>
      </w:r>
      <w:r w:rsidRPr="003F08AD">
        <w:t>Since Doe did not wish to participate in a formal investigation</w:t>
      </w:r>
      <w:r w:rsidR="00624A4B" w:rsidRPr="003F08AD">
        <w:t xml:space="preserve">, </w:t>
      </w:r>
      <w:r w:rsidRPr="003F08AD">
        <w:t xml:space="preserve">the </w:t>
      </w:r>
      <w:r w:rsidR="00416CA6">
        <w:t>Title IX office</w:t>
      </w:r>
      <w:r w:rsidRPr="003F08AD">
        <w:t xml:space="preserve"> </w:t>
      </w:r>
      <w:r w:rsidR="00624A4B" w:rsidRPr="003F08AD">
        <w:t xml:space="preserve">relied on </w:t>
      </w:r>
      <w:r w:rsidRPr="003F08AD">
        <w:t xml:space="preserve">information </w:t>
      </w:r>
      <w:r w:rsidR="00E026B3" w:rsidRPr="003F08AD">
        <w:t xml:space="preserve">she </w:t>
      </w:r>
      <w:r w:rsidR="003B3F03" w:rsidRPr="003F08AD">
        <w:t>gave</w:t>
      </w:r>
      <w:r w:rsidRPr="003F08AD">
        <w:t xml:space="preserve"> to a news </w:t>
      </w:r>
      <w:r w:rsidR="00416CA6">
        <w:t>Web site</w:t>
      </w:r>
      <w:r w:rsidR="00624A4B" w:rsidRPr="003F08AD">
        <w:t xml:space="preserve"> </w:t>
      </w:r>
      <w:r w:rsidRPr="003F08AD">
        <w:t xml:space="preserve">to identify </w:t>
      </w:r>
      <w:r w:rsidR="00624A4B" w:rsidRPr="003F08AD">
        <w:t xml:space="preserve">an </w:t>
      </w:r>
      <w:r w:rsidRPr="003F08AD">
        <w:t>eyewitness</w:t>
      </w:r>
      <w:r w:rsidR="00E026B3" w:rsidRPr="003F08AD">
        <w:t xml:space="preserve"> w</w:t>
      </w:r>
      <w:r w:rsidR="0093196F" w:rsidRPr="003F08AD">
        <w:t>h</w:t>
      </w:r>
      <w:r w:rsidR="00E026B3" w:rsidRPr="003F08AD">
        <w:t xml:space="preserve">o was willing to </w:t>
      </w:r>
      <w:r w:rsidR="0093196F" w:rsidRPr="003F08AD">
        <w:t>speak</w:t>
      </w:r>
      <w:r w:rsidRPr="003F08AD">
        <w:t xml:space="preserve">. </w:t>
      </w:r>
      <w:r w:rsidR="003B3F03" w:rsidRPr="003F08AD">
        <w:t xml:space="preserve"> </w:t>
      </w:r>
      <w:r w:rsidRPr="003F08AD">
        <w:t xml:space="preserve">The </w:t>
      </w:r>
      <w:r w:rsidR="00416CA6">
        <w:t>Title IX office</w:t>
      </w:r>
      <w:r w:rsidRPr="003F08AD">
        <w:t xml:space="preserve"> also decided to investigate complaints from three </w:t>
      </w:r>
      <w:r w:rsidR="00DC478C" w:rsidRPr="003F08AD">
        <w:t>other</w:t>
      </w:r>
      <w:r w:rsidRPr="003F08AD">
        <w:t xml:space="preserve"> individuals</w:t>
      </w:r>
      <w:r w:rsidR="00120525" w:rsidRPr="003F08AD">
        <w:t>:</w:t>
      </w:r>
      <w:r w:rsidRPr="003F08AD">
        <w:t xml:space="preserve"> </w:t>
      </w:r>
      <w:r w:rsidR="00C355B2">
        <w:t xml:space="preserve"> </w:t>
      </w:r>
      <w:r w:rsidR="00416CA6">
        <w:t>Brian G., Anneliese </w:t>
      </w:r>
      <w:proofErr w:type="gramStart"/>
      <w:r w:rsidR="00416CA6">
        <w:t>H.</w:t>
      </w:r>
      <w:proofErr w:type="gramEnd"/>
      <w:r w:rsidR="00416CA6">
        <w:t xml:space="preserve"> and Patrick M.</w:t>
      </w:r>
    </w:p>
    <w:p w14:paraId="4670F463" w14:textId="5D987F21" w:rsidR="007236A6" w:rsidRPr="003F08AD" w:rsidRDefault="00913934" w:rsidP="007B0DE3">
      <w:pPr>
        <w:tabs>
          <w:tab w:val="clear" w:pos="720"/>
        </w:tabs>
        <w:spacing w:line="360" w:lineRule="auto"/>
      </w:pPr>
      <w:r w:rsidRPr="003F08AD">
        <w:tab/>
      </w:r>
      <w:r w:rsidR="00F7207F" w:rsidRPr="003F08AD">
        <w:t xml:space="preserve">On </w:t>
      </w:r>
      <w:r w:rsidR="0064786D">
        <w:t>February 7</w:t>
      </w:r>
      <w:r w:rsidR="00F7207F" w:rsidRPr="003F08AD">
        <w:t xml:space="preserve">, 2018, Executive </w:t>
      </w:r>
      <w:r w:rsidR="0064786D">
        <w:t>Vice-Chancellor</w:t>
      </w:r>
      <w:r w:rsidR="006253CA" w:rsidRPr="003F08AD">
        <w:t xml:space="preserve"> (EVC)</w:t>
      </w:r>
      <w:r w:rsidR="00F7207F" w:rsidRPr="003F08AD">
        <w:t xml:space="preserve"> Marlene Tromp notified </w:t>
      </w:r>
      <w:r w:rsidR="007A47B6">
        <w:t>plaintiff</w:t>
      </w:r>
      <w:r w:rsidR="00F7207F" w:rsidRPr="003F08AD">
        <w:t xml:space="preserve"> </w:t>
      </w:r>
      <w:r w:rsidRPr="003F08AD">
        <w:t xml:space="preserve">that </w:t>
      </w:r>
      <w:r w:rsidR="00F7207F" w:rsidRPr="003F08AD">
        <w:t xml:space="preserve">a single investigation of all </w:t>
      </w:r>
      <w:r w:rsidR="00120525" w:rsidRPr="003F08AD">
        <w:t>four complaints</w:t>
      </w:r>
      <w:r w:rsidR="00F7207F" w:rsidRPr="003F08AD">
        <w:t xml:space="preserve"> would go forward</w:t>
      </w:r>
      <w:r w:rsidR="006253CA" w:rsidRPr="003F08AD">
        <w:t xml:space="preserve"> under the </w:t>
      </w:r>
      <w:r w:rsidR="00BA5854">
        <w:t>Title IX office’s</w:t>
      </w:r>
      <w:r w:rsidR="006253CA" w:rsidRPr="003F08AD">
        <w:t xml:space="preserve"> supervision</w:t>
      </w:r>
      <w:r w:rsidR="00F7207F" w:rsidRPr="003F08AD">
        <w:t>.</w:t>
      </w:r>
      <w:r w:rsidR="003B3F03" w:rsidRPr="003F08AD">
        <w:t xml:space="preserve"> </w:t>
      </w:r>
      <w:r w:rsidR="00F7207F" w:rsidRPr="003F08AD">
        <w:t xml:space="preserve"> </w:t>
      </w:r>
      <w:r w:rsidR="00120525" w:rsidRPr="003F08AD">
        <w:t>T</w:t>
      </w:r>
      <w:r w:rsidR="001C38CC" w:rsidRPr="003F08AD">
        <w:t>he</w:t>
      </w:r>
      <w:r w:rsidR="00120525" w:rsidRPr="003F08AD">
        <w:t xml:space="preserve"> </w:t>
      </w:r>
      <w:r w:rsidR="00A21538">
        <w:t>Title IX office</w:t>
      </w:r>
      <w:r w:rsidR="001C38CC" w:rsidRPr="003F08AD">
        <w:t xml:space="preserve"> </w:t>
      </w:r>
      <w:r w:rsidR="00120525" w:rsidRPr="003F08AD">
        <w:t>the</w:t>
      </w:r>
      <w:r w:rsidR="006253CA" w:rsidRPr="003F08AD">
        <w:t xml:space="preserve">reafter </w:t>
      </w:r>
      <w:r w:rsidR="001C38CC" w:rsidRPr="003F08AD">
        <w:t xml:space="preserve">engaged </w:t>
      </w:r>
      <w:r w:rsidR="009916B3" w:rsidRPr="003F08AD">
        <w:t xml:space="preserve">an </w:t>
      </w:r>
      <w:r w:rsidR="003F018E" w:rsidRPr="003F08AD">
        <w:t xml:space="preserve">outside </w:t>
      </w:r>
      <w:r w:rsidR="009916B3" w:rsidRPr="003F08AD">
        <w:t>i</w:t>
      </w:r>
      <w:r w:rsidR="001C38CC" w:rsidRPr="003F08AD">
        <w:t xml:space="preserve">nvestigator to conduct </w:t>
      </w:r>
      <w:r w:rsidR="00F7207F" w:rsidRPr="003F08AD">
        <w:t>th</w:t>
      </w:r>
      <w:r w:rsidR="003F018E" w:rsidRPr="003F08AD">
        <w:t>e</w:t>
      </w:r>
      <w:r w:rsidR="001C38CC" w:rsidRPr="003F08AD">
        <w:t xml:space="preserve"> investigation</w:t>
      </w:r>
      <w:r w:rsidR="00661561" w:rsidRPr="003F08AD">
        <w:t xml:space="preserve"> and draft an investigative report</w:t>
      </w:r>
      <w:r w:rsidR="00F7207F" w:rsidRPr="003F08AD">
        <w:t xml:space="preserve">, </w:t>
      </w:r>
      <w:r w:rsidR="00661561" w:rsidRPr="003F08AD">
        <w:t xml:space="preserve">a process </w:t>
      </w:r>
      <w:r w:rsidR="00A21538">
        <w:t>that took over</w:t>
      </w:r>
      <w:r w:rsidR="00120525" w:rsidRPr="003F08AD">
        <w:t xml:space="preserve"> </w:t>
      </w:r>
      <w:r w:rsidR="001C38CC" w:rsidRPr="003F08AD">
        <w:t>six month</w:t>
      </w:r>
      <w:r w:rsidR="00F7207F" w:rsidRPr="003F08AD">
        <w:t>s</w:t>
      </w:r>
      <w:r w:rsidR="001C38CC" w:rsidRPr="003F08AD">
        <w:t>.</w:t>
      </w:r>
      <w:r>
        <w:rPr>
          <w:rStyle w:val="FootnoteReference"/>
        </w:rPr>
        <w:footnoteReference w:id="5"/>
      </w:r>
    </w:p>
    <w:p w14:paraId="1BEB0668" w14:textId="07F925D1" w:rsidR="009B3B6A" w:rsidRPr="007A47B6" w:rsidRDefault="00913934" w:rsidP="007A47B6">
      <w:pPr>
        <w:pStyle w:val="ListParagraph"/>
        <w:keepNext/>
        <w:numPr>
          <w:ilvl w:val="0"/>
          <w:numId w:val="1"/>
        </w:numPr>
        <w:tabs>
          <w:tab w:val="clear" w:pos="720"/>
        </w:tabs>
        <w:spacing w:line="360" w:lineRule="auto"/>
        <w:ind w:hanging="720"/>
        <w:rPr>
          <w:b/>
          <w:bCs/>
          <w:i/>
          <w:iCs/>
        </w:rPr>
      </w:pPr>
      <w:r w:rsidRPr="007A47B6">
        <w:rPr>
          <w:b/>
          <w:bCs/>
          <w:i/>
          <w:iCs/>
        </w:rPr>
        <w:t xml:space="preserve">The Allegations </w:t>
      </w:r>
      <w:r w:rsidR="00A21538" w:rsidRPr="003D08E9">
        <w:rPr>
          <w:b/>
          <w:bCs/>
          <w:i/>
          <w:iCs/>
        </w:rPr>
        <w:t>and</w:t>
      </w:r>
      <w:r w:rsidRPr="007A47B6">
        <w:rPr>
          <w:b/>
          <w:bCs/>
          <w:i/>
          <w:iCs/>
        </w:rPr>
        <w:t xml:space="preserve"> Investigative Findings.</w:t>
      </w:r>
    </w:p>
    <w:p w14:paraId="5D976A6F" w14:textId="19858520" w:rsidR="009B3B6A" w:rsidRPr="007A47B6" w:rsidRDefault="00913934" w:rsidP="003D08E9">
      <w:pPr>
        <w:pStyle w:val="ListParagraph"/>
        <w:keepNext/>
        <w:numPr>
          <w:ilvl w:val="1"/>
          <w:numId w:val="1"/>
        </w:numPr>
        <w:tabs>
          <w:tab w:val="clear" w:pos="720"/>
        </w:tabs>
        <w:spacing w:line="360" w:lineRule="auto"/>
        <w:ind w:left="1440"/>
        <w:rPr>
          <w:b/>
          <w:bCs/>
        </w:rPr>
      </w:pPr>
      <w:r w:rsidRPr="007A47B6">
        <w:rPr>
          <w:b/>
          <w:bCs/>
        </w:rPr>
        <w:t>Jane Doe.</w:t>
      </w:r>
    </w:p>
    <w:p w14:paraId="1878B8EF" w14:textId="2FA350C9" w:rsidR="00925E79" w:rsidRPr="003F08AD" w:rsidRDefault="00913934" w:rsidP="007A47B6">
      <w:pPr>
        <w:tabs>
          <w:tab w:val="clear" w:pos="720"/>
        </w:tabs>
        <w:spacing w:line="360" w:lineRule="auto"/>
      </w:pPr>
      <w:r w:rsidRPr="003F08AD">
        <w:tab/>
      </w:r>
      <w:r w:rsidR="00306D7F" w:rsidRPr="003F08AD">
        <w:t xml:space="preserve">Jane </w:t>
      </w:r>
      <w:r w:rsidRPr="003F08AD">
        <w:t xml:space="preserve">Doe, a poet and academic from the East Coast, met </w:t>
      </w:r>
      <w:r w:rsidR="002E0CAA">
        <w:t>plaintiff</w:t>
      </w:r>
      <w:r w:rsidRPr="003F08AD">
        <w:t xml:space="preserve"> when she traveled to Berkeley in 2013 to attend the </w:t>
      </w:r>
      <w:r w:rsidR="007E4D67" w:rsidRPr="003F08AD">
        <w:t xml:space="preserve">three-day </w:t>
      </w:r>
      <w:r w:rsidRPr="003F08AD">
        <w:t>East Bay Poetry Summit (Poetry Summit)</w:t>
      </w:r>
      <w:r w:rsidR="006C0A1B" w:rsidRPr="003F08AD">
        <w:t xml:space="preserve">, which </w:t>
      </w:r>
      <w:r w:rsidR="003E65A0">
        <w:t>plaintiff</w:t>
      </w:r>
      <w:r w:rsidR="006C0A1B" w:rsidRPr="003F08AD">
        <w:t xml:space="preserve"> also attended</w:t>
      </w:r>
      <w:r w:rsidRPr="003F08AD">
        <w:t xml:space="preserve">.  </w:t>
      </w:r>
      <w:r w:rsidR="007E4D67" w:rsidRPr="003F08AD">
        <w:t>Doe, a</w:t>
      </w:r>
      <w:r w:rsidR="0093196F" w:rsidRPr="003F08AD">
        <w:t>long with</w:t>
      </w:r>
      <w:r w:rsidR="007E4D67" w:rsidRPr="003F08AD">
        <w:t xml:space="preserve"> a</w:t>
      </w:r>
      <w:r w:rsidR="006C0A1B" w:rsidRPr="003F08AD">
        <w:t xml:space="preserve"> friend and professor</w:t>
      </w:r>
      <w:r w:rsidR="001C2F94" w:rsidRPr="003F08AD">
        <w:t xml:space="preserve"> (</w:t>
      </w:r>
      <w:r w:rsidR="001E05A5">
        <w:t>Witness 1</w:t>
      </w:r>
      <w:r w:rsidR="001C2F94" w:rsidRPr="003F08AD">
        <w:t>)</w:t>
      </w:r>
      <w:r w:rsidR="007E4D67" w:rsidRPr="003F08AD">
        <w:t xml:space="preserve">, </w:t>
      </w:r>
      <w:r w:rsidR="0093196F" w:rsidRPr="003F08AD">
        <w:t>were</w:t>
      </w:r>
      <w:r w:rsidR="007E4D67" w:rsidRPr="003F08AD">
        <w:t xml:space="preserve"> invited to stay </w:t>
      </w:r>
      <w:r w:rsidR="0093196F" w:rsidRPr="003F08AD">
        <w:t>overnight at</w:t>
      </w:r>
      <w:r w:rsidR="007E4D67" w:rsidRPr="003F08AD">
        <w:t xml:space="preserve"> the </w:t>
      </w:r>
      <w:r w:rsidR="0093196F" w:rsidRPr="003F08AD">
        <w:t>home</w:t>
      </w:r>
      <w:r w:rsidR="007E4D67" w:rsidRPr="003F08AD">
        <w:t xml:space="preserve"> </w:t>
      </w:r>
      <w:r w:rsidR="007E4D67" w:rsidRPr="003F08AD">
        <w:lastRenderedPageBreak/>
        <w:t xml:space="preserve">of the professor who was hosting the Poetry Summit.  One evening, </w:t>
      </w:r>
      <w:r w:rsidR="0093196F" w:rsidRPr="003F08AD">
        <w:t xml:space="preserve">after the Poetry Summit ended for the day, the professor </w:t>
      </w:r>
      <w:r w:rsidR="007E4D67" w:rsidRPr="003F08AD">
        <w:t>held a</w:t>
      </w:r>
      <w:r w:rsidR="0093196F" w:rsidRPr="003F08AD">
        <w:t xml:space="preserve"> party for attendees at her home.  I</w:t>
      </w:r>
      <w:r w:rsidR="007E4D67" w:rsidRPr="003F08AD">
        <w:t xml:space="preserve">t </w:t>
      </w:r>
      <w:r w:rsidR="0093196F" w:rsidRPr="003F08AD">
        <w:t xml:space="preserve">was a festive affair.  At some point, </w:t>
      </w:r>
      <w:r w:rsidRPr="003F08AD">
        <w:t xml:space="preserve">Doe and </w:t>
      </w:r>
      <w:r w:rsidR="00206786">
        <w:t>plaintiff</w:t>
      </w:r>
      <w:r w:rsidRPr="003F08AD">
        <w:t xml:space="preserve"> were observed kissing. </w:t>
      </w:r>
      <w:r w:rsidR="007E4D67" w:rsidRPr="003F08AD">
        <w:t xml:space="preserve"> After midnight, </w:t>
      </w:r>
      <w:r w:rsidR="0093196F" w:rsidRPr="003F08AD">
        <w:t xml:space="preserve">however, </w:t>
      </w:r>
      <w:r w:rsidRPr="003F08AD">
        <w:t xml:space="preserve">Doe </w:t>
      </w:r>
      <w:r w:rsidR="007E4D67" w:rsidRPr="003F08AD">
        <w:t xml:space="preserve">and </w:t>
      </w:r>
      <w:r w:rsidR="001843F6">
        <w:t>Witness 1</w:t>
      </w:r>
      <w:r w:rsidR="007E4D67" w:rsidRPr="003F08AD">
        <w:t xml:space="preserve"> </w:t>
      </w:r>
      <w:r w:rsidRPr="003F08AD">
        <w:t xml:space="preserve">retired </w:t>
      </w:r>
      <w:r w:rsidR="000718E4" w:rsidRPr="003F08AD">
        <w:t xml:space="preserve">for the evening </w:t>
      </w:r>
      <w:r w:rsidRPr="003F08AD">
        <w:t xml:space="preserve">to the study </w:t>
      </w:r>
      <w:r w:rsidR="0093196F" w:rsidRPr="003F08AD">
        <w:t>where they were s</w:t>
      </w:r>
      <w:r w:rsidR="000718E4" w:rsidRPr="003F08AD">
        <w:t>haring a bed</w:t>
      </w:r>
      <w:r w:rsidR="0093196F" w:rsidRPr="003F08AD">
        <w:t xml:space="preserve">.  </w:t>
      </w:r>
      <w:r w:rsidR="000718E4" w:rsidRPr="003F08AD">
        <w:t>A s</w:t>
      </w:r>
      <w:r w:rsidR="0093196F" w:rsidRPr="003F08AD">
        <w:t>hor</w:t>
      </w:r>
      <w:r w:rsidR="000718E4" w:rsidRPr="003F08AD">
        <w:t>t while later</w:t>
      </w:r>
      <w:r w:rsidRPr="003F08AD">
        <w:t xml:space="preserve">, </w:t>
      </w:r>
      <w:r w:rsidR="001C2F94" w:rsidRPr="003F08AD">
        <w:t>Doe</w:t>
      </w:r>
      <w:r w:rsidRPr="003F08AD">
        <w:t xml:space="preserve"> </w:t>
      </w:r>
      <w:r w:rsidR="001C2F94" w:rsidRPr="003F08AD">
        <w:t>woke up</w:t>
      </w:r>
      <w:r w:rsidRPr="003F08AD">
        <w:t xml:space="preserve"> to find </w:t>
      </w:r>
      <w:r w:rsidR="00761844">
        <w:t>plaintiff</w:t>
      </w:r>
      <w:r w:rsidRPr="003F08AD">
        <w:t xml:space="preserve"> </w:t>
      </w:r>
      <w:r w:rsidR="007E4D67" w:rsidRPr="003F08AD">
        <w:t xml:space="preserve">in </w:t>
      </w:r>
      <w:r w:rsidR="0093196F" w:rsidRPr="003F08AD">
        <w:t>t</w:t>
      </w:r>
      <w:r w:rsidR="007E4D67" w:rsidRPr="003F08AD">
        <w:t>he</w:t>
      </w:r>
      <w:r w:rsidR="0093196F" w:rsidRPr="003F08AD">
        <w:t xml:space="preserve"> </w:t>
      </w:r>
      <w:r w:rsidR="000718E4" w:rsidRPr="003F08AD">
        <w:t>study</w:t>
      </w:r>
      <w:r w:rsidR="00761844">
        <w:t>,</w:t>
      </w:r>
      <w:r w:rsidR="00D13DBF" w:rsidRPr="003F08AD">
        <w:t xml:space="preserve"> drunkenly trying to get in bed and asking </w:t>
      </w:r>
      <w:r w:rsidR="000718E4" w:rsidRPr="003F08AD">
        <w:t xml:space="preserve">to </w:t>
      </w:r>
      <w:r w:rsidR="00D13DBF" w:rsidRPr="003F08AD">
        <w:t>have sex with h</w:t>
      </w:r>
      <w:r w:rsidR="000718E4" w:rsidRPr="003F08AD">
        <w:t>er</w:t>
      </w:r>
      <w:r w:rsidR="00D13DBF" w:rsidRPr="003F08AD">
        <w:t>.</w:t>
      </w:r>
      <w:r w:rsidRPr="003F08AD">
        <w:t xml:space="preserve">  She </w:t>
      </w:r>
      <w:r w:rsidR="0093196F" w:rsidRPr="003F08AD">
        <w:t>told</w:t>
      </w:r>
      <w:r w:rsidRPr="003F08AD">
        <w:t xml:space="preserve"> </w:t>
      </w:r>
      <w:r w:rsidR="00D33053">
        <w:t>plaintiff</w:t>
      </w:r>
      <w:r w:rsidRPr="003F08AD">
        <w:t xml:space="preserve"> that she was not interested in sexual activity and </w:t>
      </w:r>
      <w:proofErr w:type="gramStart"/>
      <w:r w:rsidR="00D33053">
        <w:t>“ ‘</w:t>
      </w:r>
      <w:proofErr w:type="gramEnd"/>
      <w:r w:rsidR="00D33053">
        <w:t>shooed’ ”</w:t>
      </w:r>
      <w:r w:rsidRPr="003F08AD">
        <w:t xml:space="preserve"> him from the room.  </w:t>
      </w:r>
      <w:r w:rsidR="0093196F" w:rsidRPr="003F08AD">
        <w:t>Nonetheless, a</w:t>
      </w:r>
      <w:r w:rsidR="007E4D67" w:rsidRPr="003F08AD">
        <w:t xml:space="preserve">round </w:t>
      </w:r>
      <w:r w:rsidR="00D33053">
        <w:t>2:00 a.m.</w:t>
      </w:r>
      <w:r w:rsidRPr="003F08AD">
        <w:t xml:space="preserve">, Doe </w:t>
      </w:r>
      <w:r w:rsidR="0093196F" w:rsidRPr="003F08AD">
        <w:t>woke up</w:t>
      </w:r>
      <w:r w:rsidRPr="003F08AD">
        <w:t xml:space="preserve"> again to find </w:t>
      </w:r>
      <w:r w:rsidR="00D33053">
        <w:t>plaintiff</w:t>
      </w:r>
      <w:r w:rsidRPr="003F08AD">
        <w:t xml:space="preserve"> naked</w:t>
      </w:r>
      <w:r w:rsidR="0093196F" w:rsidRPr="003F08AD">
        <w:t xml:space="preserve"> and</w:t>
      </w:r>
      <w:r w:rsidRPr="003F08AD">
        <w:t xml:space="preserve"> “loom[</w:t>
      </w:r>
      <w:proofErr w:type="spellStart"/>
      <w:r w:rsidRPr="003F08AD">
        <w:t>ing</w:t>
      </w:r>
      <w:proofErr w:type="spellEnd"/>
      <w:r w:rsidRPr="003F08AD">
        <w:t xml:space="preserve">] over her while she lay in bed.”  </w:t>
      </w:r>
      <w:r w:rsidR="00C432FB">
        <w:t>Plaintiff</w:t>
      </w:r>
      <w:r w:rsidR="00D13DBF" w:rsidRPr="003F08AD">
        <w:t xml:space="preserve"> climbed in</w:t>
      </w:r>
      <w:r w:rsidR="00B402B1" w:rsidRPr="003F08AD">
        <w:t>to</w:t>
      </w:r>
      <w:r w:rsidR="00D13DBF" w:rsidRPr="003F08AD">
        <w:t xml:space="preserve"> bed, and Doe could feel his penis poking into her side.  </w:t>
      </w:r>
      <w:r w:rsidRPr="003F08AD">
        <w:t xml:space="preserve">Doe and </w:t>
      </w:r>
      <w:r w:rsidR="00C432FB">
        <w:t>Witness 1</w:t>
      </w:r>
      <w:r w:rsidR="006C0A1B" w:rsidRPr="003F08AD">
        <w:t xml:space="preserve"> forced</w:t>
      </w:r>
      <w:r w:rsidR="00B402B1" w:rsidRPr="003F08AD">
        <w:t xml:space="preserve"> </w:t>
      </w:r>
      <w:r w:rsidR="00C432FB">
        <w:t>plaintiff</w:t>
      </w:r>
      <w:r w:rsidRPr="003F08AD">
        <w:t xml:space="preserve"> </w:t>
      </w:r>
      <w:r w:rsidR="007E4D67" w:rsidRPr="003F08AD">
        <w:t>from</w:t>
      </w:r>
      <w:r w:rsidRPr="003F08AD">
        <w:t xml:space="preserve"> the room</w:t>
      </w:r>
      <w:r w:rsidR="0093196F" w:rsidRPr="003F08AD">
        <w:t xml:space="preserve"> and</w:t>
      </w:r>
      <w:r w:rsidRPr="003F08AD">
        <w:t>, this time</w:t>
      </w:r>
      <w:r w:rsidR="0093196F" w:rsidRPr="003F08AD">
        <w:t>,</w:t>
      </w:r>
      <w:r w:rsidRPr="003F08AD">
        <w:t xml:space="preserve"> barricad</w:t>
      </w:r>
      <w:r w:rsidR="0093196F" w:rsidRPr="003F08AD">
        <w:t>ed</w:t>
      </w:r>
      <w:r w:rsidRPr="003F08AD">
        <w:t xml:space="preserve"> the door with furniture so he could not return.</w:t>
      </w:r>
    </w:p>
    <w:p w14:paraId="713997AC" w14:textId="6D683DA1" w:rsidR="00E45FF9" w:rsidRPr="003F08AD" w:rsidRDefault="00913934" w:rsidP="007A47B6">
      <w:pPr>
        <w:tabs>
          <w:tab w:val="clear" w:pos="720"/>
        </w:tabs>
        <w:spacing w:line="360" w:lineRule="auto"/>
      </w:pPr>
      <w:r w:rsidRPr="003F08AD">
        <w:tab/>
      </w:r>
      <w:r w:rsidR="001872B8" w:rsidRPr="003F08AD">
        <w:t xml:space="preserve">After </w:t>
      </w:r>
      <w:r w:rsidR="006C0A1B" w:rsidRPr="003F08AD">
        <w:t xml:space="preserve">completing the Doe </w:t>
      </w:r>
      <w:r w:rsidR="001872B8" w:rsidRPr="003F08AD">
        <w:t xml:space="preserve">investigation, the investigator found </w:t>
      </w:r>
      <w:r w:rsidR="00A73DE4">
        <w:t>plaintiff</w:t>
      </w:r>
      <w:r w:rsidR="001872B8" w:rsidRPr="003F08AD">
        <w:t xml:space="preserve"> engaged in “unwelcome physical conduct of a sexual nature which is conduct that falls squarely within the definition of prohibited conduct under the University of California Policy on Sexual Harassment dated </w:t>
      </w:r>
      <w:r w:rsidR="00A73DE4">
        <w:t>February 10</w:t>
      </w:r>
      <w:r w:rsidR="001872B8" w:rsidRPr="003F08AD">
        <w:t xml:space="preserve">, 2006, the policy in effect at the time of the incident.”  However, </w:t>
      </w:r>
      <w:r w:rsidR="00B402B1" w:rsidRPr="003F08AD">
        <w:t>the investigator could not substantiate a</w:t>
      </w:r>
      <w:r w:rsidR="001872B8" w:rsidRPr="003F08AD">
        <w:t xml:space="preserve"> violation of this policy</w:t>
      </w:r>
      <w:r w:rsidR="00B402B1" w:rsidRPr="003F08AD">
        <w:t xml:space="preserve"> because it only applied to</w:t>
      </w:r>
      <w:r w:rsidR="001872B8" w:rsidRPr="003F08AD">
        <w:t xml:space="preserve"> </w:t>
      </w:r>
      <w:proofErr w:type="gramStart"/>
      <w:r w:rsidR="008342A4">
        <w:t>“ ‘</w:t>
      </w:r>
      <w:proofErr w:type="gramEnd"/>
      <w:r w:rsidR="008342A4">
        <w:t>member[s]</w:t>
      </w:r>
      <w:r w:rsidR="001872B8" w:rsidRPr="003F08AD">
        <w:t xml:space="preserve"> of the University </w:t>
      </w:r>
      <w:r w:rsidR="008342A4">
        <w:t>community.’ ”</w:t>
      </w:r>
    </w:p>
    <w:p w14:paraId="31B7194D" w14:textId="6847E7CC" w:rsidR="00DC38CA" w:rsidRPr="00CE7CFE" w:rsidRDefault="00913934" w:rsidP="00CE7CFE">
      <w:pPr>
        <w:pStyle w:val="ListParagraph"/>
        <w:keepNext/>
        <w:numPr>
          <w:ilvl w:val="1"/>
          <w:numId w:val="1"/>
        </w:numPr>
        <w:tabs>
          <w:tab w:val="clear" w:pos="720"/>
        </w:tabs>
        <w:spacing w:line="360" w:lineRule="auto"/>
        <w:ind w:left="1440"/>
        <w:rPr>
          <w:b/>
          <w:bCs/>
        </w:rPr>
      </w:pPr>
      <w:r>
        <w:rPr>
          <w:b/>
          <w:bCs/>
        </w:rPr>
        <w:t>Anneliese H.</w:t>
      </w:r>
    </w:p>
    <w:p w14:paraId="4398E117" w14:textId="7C51B1F8" w:rsidR="00394B03" w:rsidRPr="003F08AD" w:rsidRDefault="00913934" w:rsidP="00CE7CFE">
      <w:pPr>
        <w:tabs>
          <w:tab w:val="clear" w:pos="720"/>
        </w:tabs>
        <w:spacing w:line="360" w:lineRule="auto"/>
      </w:pPr>
      <w:r w:rsidRPr="003F08AD">
        <w:tab/>
      </w:r>
      <w:r w:rsidR="008342A4">
        <w:t>Anneliese H.</w:t>
      </w:r>
      <w:r w:rsidR="00DC38CA" w:rsidRPr="003F08AD">
        <w:t xml:space="preserve"> </w:t>
      </w:r>
      <w:r w:rsidR="006C0A1B" w:rsidRPr="003F08AD">
        <w:t xml:space="preserve">walked in her UCSC class </w:t>
      </w:r>
      <w:r w:rsidR="00EB12B4" w:rsidRPr="003F08AD">
        <w:t>graduat</w:t>
      </w:r>
      <w:r w:rsidR="006C0A1B" w:rsidRPr="003F08AD">
        <w:t>ion</w:t>
      </w:r>
      <w:r w:rsidR="00EB12B4" w:rsidRPr="003F08AD">
        <w:t xml:space="preserve"> on </w:t>
      </w:r>
      <w:r w:rsidR="00DA6FAB">
        <w:t>June 16</w:t>
      </w:r>
      <w:r w:rsidR="00EB12B4" w:rsidRPr="003F08AD">
        <w:t>, 2013</w:t>
      </w:r>
      <w:r w:rsidR="00DC38CA" w:rsidRPr="003F08AD">
        <w:t>.</w:t>
      </w:r>
      <w:r w:rsidR="00E02D1B" w:rsidRPr="003F08AD">
        <w:t xml:space="preserve"> </w:t>
      </w:r>
      <w:r w:rsidR="00EB12B4" w:rsidRPr="003F08AD">
        <w:t xml:space="preserve"> </w:t>
      </w:r>
      <w:r w:rsidR="006E66D2" w:rsidRPr="003F08AD">
        <w:t>D</w:t>
      </w:r>
      <w:r w:rsidR="00EB12B4" w:rsidRPr="003F08AD">
        <w:t xml:space="preserve">ays later, </w:t>
      </w:r>
      <w:r w:rsidR="00D04AA8" w:rsidRPr="003F08AD">
        <w:t xml:space="preserve">on </w:t>
      </w:r>
      <w:r w:rsidR="00C40A4B">
        <w:t>June 18</w:t>
      </w:r>
      <w:r w:rsidR="00D04AA8" w:rsidRPr="003F08AD">
        <w:t>, 20</w:t>
      </w:r>
      <w:r w:rsidR="006E66D2" w:rsidRPr="003F08AD">
        <w:t>1</w:t>
      </w:r>
      <w:r w:rsidR="00D04AA8" w:rsidRPr="003F08AD">
        <w:t xml:space="preserve">3, </w:t>
      </w:r>
      <w:r w:rsidR="003B6EDF">
        <w:t>Anneliese</w:t>
      </w:r>
      <w:r w:rsidR="00EB12B4" w:rsidRPr="003F08AD">
        <w:t xml:space="preserve"> attended a graduation party </w:t>
      </w:r>
      <w:r w:rsidR="006E66D2" w:rsidRPr="003F08AD">
        <w:t>at the off-campus apartment of</w:t>
      </w:r>
      <w:r w:rsidR="00EB12B4" w:rsidRPr="003F08AD">
        <w:t xml:space="preserve"> </w:t>
      </w:r>
      <w:r w:rsidR="00CF63F6" w:rsidRPr="003F08AD">
        <w:t>he</w:t>
      </w:r>
      <w:r w:rsidR="006E66D2" w:rsidRPr="003F08AD">
        <w:t>r friend and neighbor</w:t>
      </w:r>
      <w:r w:rsidR="00862C8B" w:rsidRPr="003F08AD">
        <w:t>, who was a UCSC student</w:t>
      </w:r>
      <w:r w:rsidR="00CF63F6" w:rsidRPr="003F08AD">
        <w:t xml:space="preserve"> </w:t>
      </w:r>
      <w:r w:rsidR="00E35FF0">
        <w:t>(Friend 1)</w:t>
      </w:r>
      <w:r w:rsidR="006E66D2" w:rsidRPr="003F08AD">
        <w:t xml:space="preserve">.  There, she met </w:t>
      </w:r>
      <w:r w:rsidR="001E7FB3">
        <w:t>plaintiff</w:t>
      </w:r>
      <w:r w:rsidR="006E66D2" w:rsidRPr="003F08AD">
        <w:t xml:space="preserve"> for the first time</w:t>
      </w:r>
      <w:r w:rsidR="00D37C02" w:rsidRPr="003F08AD">
        <w:t xml:space="preserve"> without realizing he was a professor</w:t>
      </w:r>
      <w:r w:rsidR="006E66D2" w:rsidRPr="003F08AD">
        <w:t>.</w:t>
      </w:r>
      <w:r w:rsidR="00D37C02" w:rsidRPr="003F08AD">
        <w:t xml:space="preserve"> </w:t>
      </w:r>
      <w:r w:rsidR="006E66D2" w:rsidRPr="003F08AD">
        <w:t xml:space="preserve"> </w:t>
      </w:r>
      <w:r w:rsidR="001E7FB3">
        <w:t>Friend 1</w:t>
      </w:r>
      <w:r w:rsidR="006E66D2" w:rsidRPr="003F08AD">
        <w:t xml:space="preserve"> had audited one of </w:t>
      </w:r>
      <w:r w:rsidR="003F1808">
        <w:t>plaintiff’s</w:t>
      </w:r>
      <w:r w:rsidR="006E66D2" w:rsidRPr="003F08AD">
        <w:t xml:space="preserve"> classes and invited him to the party </w:t>
      </w:r>
      <w:proofErr w:type="gramStart"/>
      <w:r w:rsidR="006E66D2" w:rsidRPr="003F08AD">
        <w:t>in an effort to</w:t>
      </w:r>
      <w:proofErr w:type="gramEnd"/>
      <w:r w:rsidR="006E66D2" w:rsidRPr="003F08AD">
        <w:t xml:space="preserve"> obtain his mentorship.  As the evening progressed, </w:t>
      </w:r>
      <w:r w:rsidR="003F1808">
        <w:t>plaintiff</w:t>
      </w:r>
      <w:r w:rsidR="00B676EE" w:rsidRPr="003F08AD">
        <w:t xml:space="preserve"> </w:t>
      </w:r>
      <w:r w:rsidR="00B26E9E" w:rsidRPr="003F08AD">
        <w:t xml:space="preserve">danced and flirted with both </w:t>
      </w:r>
      <w:r w:rsidR="003F1808">
        <w:t>Anneliese and Friend 1</w:t>
      </w:r>
      <w:r w:rsidR="00B26E9E" w:rsidRPr="003F08AD">
        <w:t xml:space="preserve">.  </w:t>
      </w:r>
      <w:r w:rsidR="003F1808">
        <w:t>Ann</w:t>
      </w:r>
      <w:r w:rsidR="00426983">
        <w:t>e</w:t>
      </w:r>
      <w:r w:rsidR="003F1808">
        <w:t>liese</w:t>
      </w:r>
      <w:r w:rsidR="006E66D2" w:rsidRPr="003F08AD">
        <w:t xml:space="preserve">, </w:t>
      </w:r>
      <w:r w:rsidR="006E66D2" w:rsidRPr="003F08AD">
        <w:lastRenderedPageBreak/>
        <w:t xml:space="preserve">who was quite intoxicated, </w:t>
      </w:r>
      <w:r w:rsidR="00D04AA8" w:rsidRPr="003F08AD">
        <w:t xml:space="preserve">began to feel nauseous and </w:t>
      </w:r>
      <w:proofErr w:type="gramStart"/>
      <w:r w:rsidR="00273B2C">
        <w:t>“ ‘</w:t>
      </w:r>
      <w:proofErr w:type="gramEnd"/>
      <w:r w:rsidR="00273B2C">
        <w:t>on</w:t>
      </w:r>
      <w:r w:rsidR="00D04AA8" w:rsidRPr="003F08AD">
        <w:t xml:space="preserve"> the verge of blacking out or browning </w:t>
      </w:r>
      <w:r w:rsidR="00273B2C">
        <w:t>out.’ ”  Plaintiff</w:t>
      </w:r>
      <w:r w:rsidRPr="003F08AD">
        <w:t xml:space="preserve"> offered to walk </w:t>
      </w:r>
      <w:r w:rsidR="00B676EE" w:rsidRPr="003F08AD">
        <w:t>her</w:t>
      </w:r>
      <w:r w:rsidRPr="003F08AD">
        <w:t xml:space="preserve"> home.  </w:t>
      </w:r>
      <w:r w:rsidR="00273B2C">
        <w:t>Ann</w:t>
      </w:r>
      <w:r w:rsidR="00426983">
        <w:t>e</w:t>
      </w:r>
      <w:r w:rsidR="00273B2C">
        <w:t>liese</w:t>
      </w:r>
      <w:r w:rsidR="006E66D2" w:rsidRPr="003F08AD">
        <w:t xml:space="preserve"> agreed and, after </w:t>
      </w:r>
      <w:r w:rsidRPr="003F08AD">
        <w:t>arriv</w:t>
      </w:r>
      <w:r w:rsidR="006E66D2" w:rsidRPr="003F08AD">
        <w:t>ing</w:t>
      </w:r>
      <w:r w:rsidRPr="003F08AD">
        <w:t xml:space="preserve"> at her </w:t>
      </w:r>
      <w:r w:rsidR="00F77E90">
        <w:t>home</w:t>
      </w:r>
      <w:r w:rsidRPr="003F08AD">
        <w:t xml:space="preserve">, </w:t>
      </w:r>
      <w:r w:rsidR="00862C8B" w:rsidRPr="003F08AD">
        <w:t xml:space="preserve">she </w:t>
      </w:r>
      <w:r w:rsidRPr="003F08AD">
        <w:t xml:space="preserve">invited </w:t>
      </w:r>
      <w:r w:rsidR="006E66D2" w:rsidRPr="003F08AD">
        <w:t>him</w:t>
      </w:r>
      <w:r w:rsidRPr="003F08AD">
        <w:t xml:space="preserve"> inside.  </w:t>
      </w:r>
      <w:r w:rsidR="00F77E90">
        <w:t>Plaintiff</w:t>
      </w:r>
      <w:r w:rsidRPr="003F08AD">
        <w:t xml:space="preserve"> initiated sexual activity, but </w:t>
      </w:r>
      <w:r w:rsidR="00F77E90">
        <w:t>Ann</w:t>
      </w:r>
      <w:r w:rsidR="00426983">
        <w:t>e</w:t>
      </w:r>
      <w:r w:rsidR="00F77E90">
        <w:t>liese</w:t>
      </w:r>
      <w:r w:rsidRPr="003F08AD">
        <w:t xml:space="preserve"> insisted she only wanted to talk</w:t>
      </w:r>
      <w:r w:rsidR="00B676EE" w:rsidRPr="003F08AD">
        <w:t xml:space="preserve"> to him</w:t>
      </w:r>
      <w:r w:rsidRPr="003F08AD">
        <w:t xml:space="preserve">.  </w:t>
      </w:r>
      <w:r w:rsidR="006E66D2" w:rsidRPr="003F08AD">
        <w:t>Although</w:t>
      </w:r>
      <w:r w:rsidR="00B676EE" w:rsidRPr="003F08AD">
        <w:t xml:space="preserve"> </w:t>
      </w:r>
      <w:r w:rsidR="00F77E90">
        <w:t>Ann</w:t>
      </w:r>
      <w:r w:rsidR="00426983">
        <w:t>e</w:t>
      </w:r>
      <w:r w:rsidR="00F77E90">
        <w:t>liese</w:t>
      </w:r>
      <w:r w:rsidR="00B676EE" w:rsidRPr="003F08AD">
        <w:t xml:space="preserve"> </w:t>
      </w:r>
      <w:r w:rsidR="006E66D2" w:rsidRPr="003F08AD">
        <w:t xml:space="preserve">acknowledged </w:t>
      </w:r>
      <w:r w:rsidR="00C36D95" w:rsidRPr="003F08AD">
        <w:t>experienc</w:t>
      </w:r>
      <w:r w:rsidR="006E66D2" w:rsidRPr="003F08AD">
        <w:t>ing</w:t>
      </w:r>
      <w:r w:rsidR="00B676EE" w:rsidRPr="003F08AD">
        <w:t xml:space="preserve"> </w:t>
      </w:r>
      <w:r w:rsidR="00D04AA8" w:rsidRPr="003F08AD">
        <w:t>memory lapses</w:t>
      </w:r>
      <w:r w:rsidR="00B676EE" w:rsidRPr="003F08AD">
        <w:t xml:space="preserve"> </w:t>
      </w:r>
      <w:r w:rsidR="00C36D95" w:rsidRPr="003F08AD">
        <w:t>after arriving home, she</w:t>
      </w:r>
      <w:r w:rsidR="00D04AA8" w:rsidRPr="003F08AD">
        <w:t xml:space="preserve"> </w:t>
      </w:r>
      <w:r w:rsidRPr="003F08AD">
        <w:t xml:space="preserve">recalled </w:t>
      </w:r>
      <w:r w:rsidR="00D04AA8" w:rsidRPr="003F08AD">
        <w:t xml:space="preserve">being undressed in bed </w:t>
      </w:r>
      <w:r w:rsidR="00862C8B" w:rsidRPr="003F08AD">
        <w:t xml:space="preserve">and </w:t>
      </w:r>
      <w:r w:rsidR="00D04AA8" w:rsidRPr="003F08AD">
        <w:t xml:space="preserve">kissing </w:t>
      </w:r>
      <w:r w:rsidR="00F77E90">
        <w:t>plaintiff</w:t>
      </w:r>
      <w:r w:rsidR="00D04AA8" w:rsidRPr="003F08AD">
        <w:t>.  The</w:t>
      </w:r>
      <w:r w:rsidR="006E66D2" w:rsidRPr="003F08AD">
        <w:t xml:space="preserve">n, after another memory lapse, </w:t>
      </w:r>
      <w:r w:rsidR="00D04AA8" w:rsidRPr="003F08AD">
        <w:t xml:space="preserve">she </w:t>
      </w:r>
      <w:proofErr w:type="gramStart"/>
      <w:r w:rsidR="00395A84">
        <w:t>“ ‘</w:t>
      </w:r>
      <w:proofErr w:type="gramEnd"/>
      <w:r w:rsidR="00395A84">
        <w:t>came to,’ ”</w:t>
      </w:r>
      <w:r w:rsidRPr="003F08AD">
        <w:t xml:space="preserve"> </w:t>
      </w:r>
      <w:r w:rsidR="006E66D2" w:rsidRPr="003F08AD">
        <w:t>to</w:t>
      </w:r>
      <w:r w:rsidRPr="003F08AD">
        <w:t xml:space="preserve"> f</w:t>
      </w:r>
      <w:r w:rsidR="00946842" w:rsidRPr="003F08AD">
        <w:t>ind</w:t>
      </w:r>
      <w:r w:rsidRPr="003F08AD">
        <w:t xml:space="preserve"> </w:t>
      </w:r>
      <w:r w:rsidR="00395A84">
        <w:t>plaintiff</w:t>
      </w:r>
      <w:r w:rsidRPr="003F08AD">
        <w:t xml:space="preserve"> on top of her</w:t>
      </w:r>
      <w:r w:rsidR="00395A84">
        <w:t>,</w:t>
      </w:r>
      <w:r w:rsidRPr="003F08AD">
        <w:t xml:space="preserve"> </w:t>
      </w:r>
      <w:r w:rsidR="004B372D" w:rsidRPr="003F08AD">
        <w:t>performing</w:t>
      </w:r>
      <w:r w:rsidRPr="003F08AD">
        <w:t xml:space="preserve"> </w:t>
      </w:r>
      <w:r w:rsidR="00C36D95" w:rsidRPr="003F08AD">
        <w:t xml:space="preserve">oral </w:t>
      </w:r>
      <w:r w:rsidRPr="003F08AD">
        <w:t xml:space="preserve">sex.  </w:t>
      </w:r>
      <w:r w:rsidR="00395A84">
        <w:t>Ann</w:t>
      </w:r>
      <w:r w:rsidR="00426983">
        <w:t>e</w:t>
      </w:r>
      <w:r w:rsidR="00395A84">
        <w:t>liese</w:t>
      </w:r>
      <w:r w:rsidRPr="003F08AD">
        <w:t xml:space="preserve"> </w:t>
      </w:r>
      <w:r w:rsidR="00D37C02" w:rsidRPr="003F08AD">
        <w:t xml:space="preserve">repeatedly </w:t>
      </w:r>
      <w:r w:rsidRPr="003F08AD">
        <w:t xml:space="preserve">told </w:t>
      </w:r>
      <w:r w:rsidR="002929E7">
        <w:t xml:space="preserve">plaintiff, </w:t>
      </w:r>
      <w:proofErr w:type="gramStart"/>
      <w:r w:rsidR="002929E7">
        <w:t>“ ‘</w:t>
      </w:r>
      <w:proofErr w:type="gramEnd"/>
      <w:r w:rsidR="002929E7">
        <w:t>You need to leave,’ ” and</w:t>
      </w:r>
      <w:r w:rsidR="00BF43B2">
        <w:t>,</w:t>
      </w:r>
      <w:r w:rsidR="002929E7">
        <w:t xml:space="preserve"> “ ‘I</w:t>
      </w:r>
      <w:r w:rsidR="00F22BD6" w:rsidRPr="003F08AD">
        <w:t xml:space="preserve"> do not want to have sex with </w:t>
      </w:r>
      <w:r w:rsidR="002929E7">
        <w:t>you,’ ”</w:t>
      </w:r>
      <w:r w:rsidR="00C36D95" w:rsidRPr="003F08AD">
        <w:t xml:space="preserve"> yet he</w:t>
      </w:r>
      <w:r w:rsidRPr="003F08AD">
        <w:t xml:space="preserve"> persisted</w:t>
      </w:r>
      <w:r w:rsidR="00C36D95" w:rsidRPr="003F08AD">
        <w:t xml:space="preserve">.  </w:t>
      </w:r>
      <w:r w:rsidR="00D96913">
        <w:t>Plaintiff told Ann</w:t>
      </w:r>
      <w:r w:rsidR="00426983">
        <w:t>e</w:t>
      </w:r>
      <w:r w:rsidR="00D96913">
        <w:t>liese</w:t>
      </w:r>
      <w:r w:rsidRPr="003F08AD">
        <w:t xml:space="preserve"> that he wanted to have </w:t>
      </w:r>
      <w:r w:rsidR="00D37C02" w:rsidRPr="003F08AD">
        <w:t>anal sex</w:t>
      </w:r>
      <w:r w:rsidRPr="003F08AD">
        <w:t xml:space="preserve"> with her.  </w:t>
      </w:r>
      <w:r w:rsidR="00D96913">
        <w:t>Ann</w:t>
      </w:r>
      <w:r w:rsidR="00426983">
        <w:t>e</w:t>
      </w:r>
      <w:r w:rsidR="00D96913">
        <w:t>liese</w:t>
      </w:r>
      <w:r w:rsidR="00F22BD6" w:rsidRPr="003F08AD">
        <w:t xml:space="preserve"> was scared</w:t>
      </w:r>
      <w:r w:rsidR="00D37C02" w:rsidRPr="003F08AD">
        <w:t>, as</w:t>
      </w:r>
      <w:r w:rsidR="00946842" w:rsidRPr="003F08AD">
        <w:t xml:space="preserve"> </w:t>
      </w:r>
      <w:r w:rsidR="00D96913">
        <w:t>plaintiff</w:t>
      </w:r>
      <w:r w:rsidR="00F22BD6" w:rsidRPr="003F08AD">
        <w:t xml:space="preserve"> was bigger and stronger</w:t>
      </w:r>
      <w:r w:rsidR="00D37C02" w:rsidRPr="003F08AD">
        <w:t xml:space="preserve"> than her</w:t>
      </w:r>
      <w:r w:rsidR="00F22BD6" w:rsidRPr="003F08AD">
        <w:t xml:space="preserve">.  </w:t>
      </w:r>
      <w:r w:rsidRPr="003F08AD">
        <w:t xml:space="preserve">Finally, </w:t>
      </w:r>
      <w:r w:rsidR="00682AFB" w:rsidRPr="003F08AD">
        <w:t xml:space="preserve">after </w:t>
      </w:r>
      <w:r w:rsidR="00D96913">
        <w:t>Ann</w:t>
      </w:r>
      <w:r w:rsidR="00426983">
        <w:t>e</w:t>
      </w:r>
      <w:r w:rsidR="00D96913">
        <w:t>liese</w:t>
      </w:r>
      <w:r w:rsidR="001D60B2" w:rsidRPr="003F08AD">
        <w:t xml:space="preserve"> </w:t>
      </w:r>
      <w:r w:rsidR="00682AFB" w:rsidRPr="003F08AD">
        <w:t>push</w:t>
      </w:r>
      <w:r w:rsidR="001D60B2" w:rsidRPr="003F08AD">
        <w:t>ed</w:t>
      </w:r>
      <w:r w:rsidR="00682AFB" w:rsidRPr="003F08AD">
        <w:t xml:space="preserve"> him away several times, </w:t>
      </w:r>
      <w:r w:rsidR="00D96913">
        <w:t>plaintiff</w:t>
      </w:r>
      <w:r w:rsidRPr="003F08AD">
        <w:t xml:space="preserve"> </w:t>
      </w:r>
      <w:r w:rsidR="001D60B2" w:rsidRPr="003F08AD">
        <w:t xml:space="preserve">got </w:t>
      </w:r>
      <w:r w:rsidR="00D37C02" w:rsidRPr="003F08AD">
        <w:t>up</w:t>
      </w:r>
      <w:r w:rsidR="001D60B2" w:rsidRPr="003F08AD">
        <w:t xml:space="preserve"> and</w:t>
      </w:r>
      <w:r w:rsidRPr="003F08AD">
        <w:t xml:space="preserve"> le</w:t>
      </w:r>
      <w:r w:rsidR="001D60B2" w:rsidRPr="003F08AD">
        <w:t>ft</w:t>
      </w:r>
      <w:r w:rsidRPr="003F08AD">
        <w:t>.</w:t>
      </w:r>
    </w:p>
    <w:p w14:paraId="6F4F8BD8" w14:textId="3CFAF660" w:rsidR="00957D6C" w:rsidRPr="003F08AD" w:rsidRDefault="00913934" w:rsidP="00CE7CFE">
      <w:pPr>
        <w:tabs>
          <w:tab w:val="clear" w:pos="720"/>
        </w:tabs>
        <w:spacing w:line="360" w:lineRule="auto"/>
      </w:pPr>
      <w:r w:rsidRPr="003F08AD">
        <w:tab/>
        <w:t xml:space="preserve">The next day, </w:t>
      </w:r>
      <w:r w:rsidR="00D96913">
        <w:t>Ann</w:t>
      </w:r>
      <w:r w:rsidR="00426983">
        <w:t>e</w:t>
      </w:r>
      <w:r w:rsidR="00D96913">
        <w:t>liese</w:t>
      </w:r>
      <w:r w:rsidRPr="003F08AD">
        <w:t xml:space="preserve"> </w:t>
      </w:r>
      <w:r w:rsidR="00C36D95" w:rsidRPr="003F08AD">
        <w:t>woke up</w:t>
      </w:r>
      <w:r w:rsidRPr="003F08AD">
        <w:t xml:space="preserve"> devastated</w:t>
      </w:r>
      <w:r w:rsidR="00C36D95" w:rsidRPr="003F08AD">
        <w:t xml:space="preserve"> by what </w:t>
      </w:r>
      <w:r w:rsidR="00D96913">
        <w:t xml:space="preserve">happened with plaintiff.  </w:t>
      </w:r>
      <w:r w:rsidR="001B3819">
        <w:t>Ann</w:t>
      </w:r>
      <w:r w:rsidR="00426983">
        <w:t>e</w:t>
      </w:r>
      <w:r w:rsidR="001B3819">
        <w:t>liese’s friend (Friend 2)</w:t>
      </w:r>
      <w:r w:rsidR="00682AFB" w:rsidRPr="003F08AD">
        <w:t xml:space="preserve">, also a UCSC student, </w:t>
      </w:r>
      <w:r w:rsidR="001B3819">
        <w:t>went to Ann</w:t>
      </w:r>
      <w:r w:rsidR="00D83D66">
        <w:t>e</w:t>
      </w:r>
      <w:r w:rsidR="001B3819">
        <w:t>liese’s</w:t>
      </w:r>
      <w:r w:rsidR="006728EB">
        <w:t xml:space="preserve"> h</w:t>
      </w:r>
      <w:r w:rsidR="00CE2CE0">
        <w:t>ome</w:t>
      </w:r>
      <w:r w:rsidR="006728EB">
        <w:t>,</w:t>
      </w:r>
      <w:r w:rsidR="00682AFB" w:rsidRPr="003F08AD">
        <w:t xml:space="preserve"> and they discussed </w:t>
      </w:r>
      <w:r w:rsidR="008C2DC6" w:rsidRPr="003F08AD">
        <w:t>the incident</w:t>
      </w:r>
      <w:r w:rsidR="00682AFB" w:rsidRPr="003F08AD">
        <w:t xml:space="preserve">.  </w:t>
      </w:r>
      <w:r w:rsidR="00B402B1" w:rsidRPr="003F08AD">
        <w:t xml:space="preserve">When </w:t>
      </w:r>
      <w:r w:rsidR="006728EB">
        <w:t>Friend 2 told Ann</w:t>
      </w:r>
      <w:r w:rsidR="00D83D66">
        <w:t>e</w:t>
      </w:r>
      <w:r w:rsidR="006728EB">
        <w:t>liese that plaintiff</w:t>
      </w:r>
      <w:r w:rsidR="00682AFB" w:rsidRPr="003F08AD">
        <w:t xml:space="preserve"> may have been </w:t>
      </w:r>
      <w:r w:rsidR="00B402B1" w:rsidRPr="003F08AD">
        <w:t>a</w:t>
      </w:r>
      <w:r w:rsidR="00682AFB" w:rsidRPr="003F08AD">
        <w:t xml:space="preserve"> professor</w:t>
      </w:r>
      <w:r w:rsidR="008C2DC6" w:rsidRPr="003F08AD">
        <w:t xml:space="preserve">, </w:t>
      </w:r>
      <w:r w:rsidR="00B402B1" w:rsidRPr="003F08AD">
        <w:t>she was</w:t>
      </w:r>
      <w:r w:rsidR="008C2DC6" w:rsidRPr="003F08AD">
        <w:t xml:space="preserve"> </w:t>
      </w:r>
      <w:proofErr w:type="gramStart"/>
      <w:r w:rsidR="006728EB">
        <w:t>“ ‘</w:t>
      </w:r>
      <w:proofErr w:type="gramEnd"/>
      <w:r w:rsidR="006728EB">
        <w:t>traumatized.’ ”</w:t>
      </w:r>
    </w:p>
    <w:p w14:paraId="596B911F" w14:textId="07795098" w:rsidR="008C2DC6" w:rsidRPr="003F08AD" w:rsidRDefault="00913934" w:rsidP="00CE7CFE">
      <w:pPr>
        <w:tabs>
          <w:tab w:val="clear" w:pos="720"/>
        </w:tabs>
        <w:spacing w:line="360" w:lineRule="auto"/>
      </w:pPr>
      <w:r w:rsidRPr="003F08AD">
        <w:tab/>
      </w:r>
      <w:r w:rsidR="00B402B1" w:rsidRPr="003F08AD">
        <w:t xml:space="preserve">About </w:t>
      </w:r>
      <w:r w:rsidR="00682AFB" w:rsidRPr="003F08AD">
        <w:t>a week</w:t>
      </w:r>
      <w:r w:rsidR="00B402B1" w:rsidRPr="003F08AD">
        <w:t xml:space="preserve"> later</w:t>
      </w:r>
      <w:r w:rsidRPr="003F08AD">
        <w:t xml:space="preserve">, </w:t>
      </w:r>
      <w:r w:rsidR="006728EB">
        <w:t>Ann</w:t>
      </w:r>
      <w:r w:rsidR="00D83D66">
        <w:t>e</w:t>
      </w:r>
      <w:r w:rsidR="006728EB">
        <w:t>liese told Friend 1</w:t>
      </w:r>
      <w:r w:rsidRPr="003F08AD">
        <w:t xml:space="preserve"> w</w:t>
      </w:r>
      <w:r w:rsidR="00682AFB" w:rsidRPr="003F08AD">
        <w:t xml:space="preserve">hat happened with </w:t>
      </w:r>
      <w:r w:rsidR="006728EB">
        <w:t>plaintiff.</w:t>
      </w:r>
      <w:r w:rsidR="00925E79" w:rsidRPr="003F08AD">
        <w:t xml:space="preserve"> </w:t>
      </w:r>
      <w:r w:rsidR="009B3B6A" w:rsidRPr="003F08AD">
        <w:t xml:space="preserve"> </w:t>
      </w:r>
      <w:r w:rsidR="006728EB">
        <w:t>Friend 1</w:t>
      </w:r>
      <w:r w:rsidRPr="003F08AD">
        <w:t xml:space="preserve"> then shared</w:t>
      </w:r>
      <w:r w:rsidR="005F275A" w:rsidRPr="003F08AD">
        <w:t xml:space="preserve"> that on the night of her </w:t>
      </w:r>
      <w:r w:rsidR="0009381B">
        <w:t>party plaintiff</w:t>
      </w:r>
      <w:r w:rsidR="005F275A" w:rsidRPr="003F08AD">
        <w:t xml:space="preserve"> bought her several drinks despite knowing that she was </w:t>
      </w:r>
      <w:r w:rsidR="0009381B">
        <w:t>underage</w:t>
      </w:r>
      <w:r w:rsidR="005F275A" w:rsidRPr="003F08AD">
        <w:t xml:space="preserve">.  Later, </w:t>
      </w:r>
      <w:r w:rsidR="00B402B1" w:rsidRPr="003F08AD">
        <w:t xml:space="preserve">however, </w:t>
      </w:r>
      <w:r w:rsidR="00121CC5">
        <w:t>Friend 1 told plaintiff</w:t>
      </w:r>
      <w:r w:rsidR="005F275A" w:rsidRPr="003F08AD">
        <w:t xml:space="preserve"> that she was not interested in him</w:t>
      </w:r>
      <w:r w:rsidR="00A907A9">
        <w:t>,</w:t>
      </w:r>
      <w:r w:rsidR="005F275A" w:rsidRPr="003F08AD">
        <w:t xml:space="preserve"> </w:t>
      </w:r>
      <w:r w:rsidR="00B402B1" w:rsidRPr="003F08AD">
        <w:t>after being</w:t>
      </w:r>
      <w:r w:rsidR="00946842" w:rsidRPr="003F08AD">
        <w:t xml:space="preserve"> </w:t>
      </w:r>
      <w:proofErr w:type="gramStart"/>
      <w:r w:rsidR="00121CC5">
        <w:t>“ ‘</w:t>
      </w:r>
      <w:proofErr w:type="gramEnd"/>
      <w:r w:rsidR="00121CC5">
        <w:t>shocked’ ”</w:t>
      </w:r>
      <w:r w:rsidR="00946842" w:rsidRPr="003F08AD">
        <w:t xml:space="preserve"> to </w:t>
      </w:r>
      <w:r w:rsidR="00D37C02" w:rsidRPr="003F08AD">
        <w:t>learn</w:t>
      </w:r>
      <w:r w:rsidR="00946842" w:rsidRPr="003F08AD">
        <w:t xml:space="preserve"> he was 48 years</w:t>
      </w:r>
      <w:r w:rsidR="002508A1" w:rsidRPr="003F08AD">
        <w:t xml:space="preserve"> </w:t>
      </w:r>
      <w:r w:rsidR="00946842" w:rsidRPr="003F08AD">
        <w:t>old.  A</w:t>
      </w:r>
      <w:r w:rsidR="005F275A" w:rsidRPr="003F08AD">
        <w:t xml:space="preserve">t </w:t>
      </w:r>
      <w:r w:rsidR="00946842" w:rsidRPr="003F08AD">
        <w:t>that</w:t>
      </w:r>
      <w:r w:rsidR="005F275A" w:rsidRPr="003F08AD">
        <w:t xml:space="preserve"> point</w:t>
      </w:r>
      <w:r w:rsidR="00946842" w:rsidRPr="003F08AD">
        <w:t>,</w:t>
      </w:r>
      <w:r w:rsidR="005F275A" w:rsidRPr="003F08AD">
        <w:t xml:space="preserve"> </w:t>
      </w:r>
      <w:r w:rsidR="00121CC5">
        <w:t>plaintiff</w:t>
      </w:r>
      <w:r w:rsidR="005F275A" w:rsidRPr="003F08AD">
        <w:t xml:space="preserve"> </w:t>
      </w:r>
      <w:r w:rsidR="00946842" w:rsidRPr="003F08AD">
        <w:t xml:space="preserve">appeared to </w:t>
      </w:r>
      <w:r w:rsidR="005F275A" w:rsidRPr="003F08AD">
        <w:t xml:space="preserve">redirect his focus to </w:t>
      </w:r>
      <w:r w:rsidR="00121CC5">
        <w:t>Ann</w:t>
      </w:r>
      <w:r w:rsidR="00D83D66">
        <w:t>e</w:t>
      </w:r>
      <w:r w:rsidR="00121CC5">
        <w:t>liese</w:t>
      </w:r>
      <w:r w:rsidR="005F275A" w:rsidRPr="003F08AD">
        <w:t>.</w:t>
      </w:r>
    </w:p>
    <w:p w14:paraId="561DF256" w14:textId="2F27051E" w:rsidR="00C36D95" w:rsidRPr="003F08AD" w:rsidRDefault="00913934" w:rsidP="00CE7CFE">
      <w:pPr>
        <w:tabs>
          <w:tab w:val="clear" w:pos="720"/>
        </w:tabs>
        <w:spacing w:line="360" w:lineRule="auto"/>
      </w:pPr>
      <w:r w:rsidRPr="003F08AD">
        <w:tab/>
      </w:r>
      <w:r w:rsidR="00B402B1" w:rsidRPr="003F08AD">
        <w:t>Shortly thereafter</w:t>
      </w:r>
      <w:r w:rsidR="005F275A" w:rsidRPr="003F08AD">
        <w:t xml:space="preserve">, </w:t>
      </w:r>
      <w:r w:rsidR="00121CC5">
        <w:t>Ann</w:t>
      </w:r>
      <w:r w:rsidR="00D83D66">
        <w:t>e</w:t>
      </w:r>
      <w:r w:rsidR="00121CC5">
        <w:t>liese obtained plaintiff’s</w:t>
      </w:r>
      <w:r w:rsidR="005F275A" w:rsidRPr="003F08AD">
        <w:t xml:space="preserve"> phone number from </w:t>
      </w:r>
      <w:r w:rsidR="00121CC5">
        <w:t>Friend 1</w:t>
      </w:r>
      <w:r w:rsidR="005F275A" w:rsidRPr="003F08AD">
        <w:t xml:space="preserve"> and called </w:t>
      </w:r>
      <w:proofErr w:type="gramStart"/>
      <w:r w:rsidR="00121CC5">
        <w:t>“ ‘</w:t>
      </w:r>
      <w:proofErr w:type="gramEnd"/>
      <w:r w:rsidR="00121CC5">
        <w:t>to confront him.’ ”  Friend 2 was with Ann</w:t>
      </w:r>
      <w:r w:rsidR="00D83D66">
        <w:t>e</w:t>
      </w:r>
      <w:r w:rsidR="00121CC5">
        <w:t>liese</w:t>
      </w:r>
      <w:r w:rsidR="005F275A" w:rsidRPr="003F08AD">
        <w:t xml:space="preserve"> when she made the call and </w:t>
      </w:r>
      <w:r w:rsidR="00B402B1" w:rsidRPr="003F08AD">
        <w:t>over</w:t>
      </w:r>
      <w:r w:rsidR="005F275A" w:rsidRPr="003F08AD">
        <w:t>hear</w:t>
      </w:r>
      <w:r w:rsidR="00B402B1" w:rsidRPr="003F08AD">
        <w:t>d</w:t>
      </w:r>
      <w:r w:rsidR="005F275A" w:rsidRPr="003F08AD">
        <w:t xml:space="preserve"> the conversation </w:t>
      </w:r>
      <w:r w:rsidR="008C2DC6" w:rsidRPr="003F08AD">
        <w:t xml:space="preserve">on </w:t>
      </w:r>
      <w:r w:rsidR="006B7CDC">
        <w:t>speakerphone</w:t>
      </w:r>
      <w:r w:rsidR="005F275A" w:rsidRPr="003F08AD">
        <w:t xml:space="preserve">. </w:t>
      </w:r>
      <w:r w:rsidR="008C2DC6" w:rsidRPr="003F08AD">
        <w:t xml:space="preserve"> When </w:t>
      </w:r>
      <w:r w:rsidR="006B7CDC">
        <w:t>plaintiff</w:t>
      </w:r>
      <w:r w:rsidR="008C2DC6" w:rsidRPr="003F08AD">
        <w:t xml:space="preserve"> answered, </w:t>
      </w:r>
      <w:r w:rsidR="006B7CDC">
        <w:t>Ann</w:t>
      </w:r>
      <w:r w:rsidR="00D83D66">
        <w:t>e</w:t>
      </w:r>
      <w:r w:rsidR="006B7CDC">
        <w:t>liese</w:t>
      </w:r>
      <w:r w:rsidR="005F275A" w:rsidRPr="003F08AD">
        <w:t xml:space="preserve"> identified herself</w:t>
      </w:r>
      <w:r w:rsidR="008C2DC6" w:rsidRPr="003F08AD">
        <w:t xml:space="preserve">.  At </w:t>
      </w:r>
      <w:r w:rsidR="005F275A" w:rsidRPr="003F08AD">
        <w:t xml:space="preserve">first, </w:t>
      </w:r>
      <w:r w:rsidR="006B7CDC">
        <w:t>plaintiff</w:t>
      </w:r>
      <w:r w:rsidR="008C2DC6" w:rsidRPr="003F08AD">
        <w:t xml:space="preserve"> flirted with her and </w:t>
      </w:r>
      <w:r w:rsidR="007D7AF4" w:rsidRPr="003F08AD">
        <w:t>a</w:t>
      </w:r>
      <w:r w:rsidR="008C2DC6" w:rsidRPr="003F08AD">
        <w:t>sked whether she wanted to meet</w:t>
      </w:r>
      <w:r w:rsidR="005F275A" w:rsidRPr="003F08AD">
        <w:t xml:space="preserve">. </w:t>
      </w:r>
      <w:r w:rsidR="008C2DC6" w:rsidRPr="003F08AD">
        <w:t xml:space="preserve"> </w:t>
      </w:r>
      <w:r w:rsidR="006B7CDC">
        <w:t>Ann</w:t>
      </w:r>
      <w:r w:rsidR="00D83D66">
        <w:t>e</w:t>
      </w:r>
      <w:r w:rsidR="006B7CDC">
        <w:t>liese</w:t>
      </w:r>
      <w:r w:rsidR="008C2DC6" w:rsidRPr="003F08AD">
        <w:t xml:space="preserve"> </w:t>
      </w:r>
      <w:r w:rsidR="005F275A" w:rsidRPr="003F08AD">
        <w:t xml:space="preserve">responded, </w:t>
      </w:r>
      <w:proofErr w:type="gramStart"/>
      <w:r w:rsidR="00301192">
        <w:t>“ That</w:t>
      </w:r>
      <w:proofErr w:type="gramEnd"/>
      <w:r w:rsidR="005F275A" w:rsidRPr="003F08AD">
        <w:t xml:space="preserve"> is </w:t>
      </w:r>
      <w:r w:rsidR="005F275A" w:rsidRPr="003F08AD">
        <w:lastRenderedPageBreak/>
        <w:t xml:space="preserve">not why I am calling. </w:t>
      </w:r>
      <w:r w:rsidR="00301192">
        <w:t xml:space="preserve"> </w:t>
      </w:r>
      <w:r w:rsidR="005F275A" w:rsidRPr="003F08AD">
        <w:t xml:space="preserve">I need to let you know what happened the other night was not OK. </w:t>
      </w:r>
      <w:r w:rsidR="00301192">
        <w:t xml:space="preserve"> </w:t>
      </w:r>
      <w:r w:rsidR="005F275A" w:rsidRPr="003F08AD">
        <w:t xml:space="preserve">I was nearly blacked out. </w:t>
      </w:r>
      <w:r w:rsidR="00301192">
        <w:t xml:space="preserve"> </w:t>
      </w:r>
      <w:r w:rsidR="005F275A" w:rsidRPr="003F08AD">
        <w:t xml:space="preserve">You did not have my consent. </w:t>
      </w:r>
      <w:r w:rsidR="00301192">
        <w:t xml:space="preserve"> </w:t>
      </w:r>
      <w:r w:rsidR="005F275A" w:rsidRPr="003F08AD">
        <w:t xml:space="preserve">That is considered rape and it is not </w:t>
      </w:r>
      <w:r w:rsidR="00301192">
        <w:t>OK.</w:t>
      </w:r>
      <w:proofErr w:type="gramStart"/>
      <w:r w:rsidR="00301192">
        <w:t>’ ”</w:t>
      </w:r>
      <w:proofErr w:type="gramEnd"/>
      <w:r w:rsidR="00301192">
        <w:t xml:space="preserve">  At</w:t>
      </w:r>
      <w:r w:rsidR="00B55045" w:rsidRPr="003F08AD">
        <w:t xml:space="preserve"> that point, </w:t>
      </w:r>
      <w:r w:rsidR="00301192">
        <w:t>plaintiff</w:t>
      </w:r>
      <w:r w:rsidR="005F275A" w:rsidRPr="003F08AD">
        <w:t xml:space="preserve"> became defensive</w:t>
      </w:r>
      <w:r w:rsidR="007D7AF4" w:rsidRPr="003F08AD">
        <w:t xml:space="preserve">, telling </w:t>
      </w:r>
      <w:r w:rsidR="00301192">
        <w:t>Ann</w:t>
      </w:r>
      <w:r w:rsidR="00D83D66">
        <w:t>e</w:t>
      </w:r>
      <w:r w:rsidR="00301192">
        <w:t>liese</w:t>
      </w:r>
      <w:r w:rsidR="007D7AF4" w:rsidRPr="003F08AD">
        <w:t xml:space="preserve"> that</w:t>
      </w:r>
      <w:r w:rsidR="005F275A" w:rsidRPr="003F08AD">
        <w:t xml:space="preserve"> it was not a good time to talk and that he </w:t>
      </w:r>
      <w:r w:rsidR="007D7AF4" w:rsidRPr="003F08AD">
        <w:t xml:space="preserve">had no idea she had been </w:t>
      </w:r>
      <w:r w:rsidR="005F275A" w:rsidRPr="003F08AD">
        <w:t>so intoxicated</w:t>
      </w:r>
      <w:r w:rsidR="007D7AF4" w:rsidRPr="003F08AD">
        <w:t xml:space="preserve">.  </w:t>
      </w:r>
      <w:r w:rsidR="00C96A32">
        <w:t>Plaintiff</w:t>
      </w:r>
      <w:r w:rsidR="007D7AF4" w:rsidRPr="003F08AD">
        <w:t xml:space="preserve"> also accused </w:t>
      </w:r>
      <w:r w:rsidR="00C96A32">
        <w:t>Ann</w:t>
      </w:r>
      <w:r w:rsidR="00D83D66">
        <w:t>e</w:t>
      </w:r>
      <w:r w:rsidR="00C96A32">
        <w:t>liese</w:t>
      </w:r>
      <w:r w:rsidR="007D7AF4" w:rsidRPr="003F08AD">
        <w:t xml:space="preserve"> of </w:t>
      </w:r>
      <w:proofErr w:type="gramStart"/>
      <w:r w:rsidR="00C96A32">
        <w:t>“ ‘</w:t>
      </w:r>
      <w:proofErr w:type="spellStart"/>
      <w:proofErr w:type="gramEnd"/>
      <w:r w:rsidR="00C96A32">
        <w:t>forc</w:t>
      </w:r>
      <w:proofErr w:type="spellEnd"/>
      <w:r w:rsidR="00C96A32">
        <w:t>[</w:t>
      </w:r>
      <w:proofErr w:type="spellStart"/>
      <w:r w:rsidR="00C96A32">
        <w:t>ing</w:t>
      </w:r>
      <w:proofErr w:type="spellEnd"/>
      <w:r w:rsidR="00C96A32">
        <w:t>]</w:t>
      </w:r>
      <w:r w:rsidR="005F275A" w:rsidRPr="003F08AD">
        <w:t xml:space="preserve"> herself on him or </w:t>
      </w:r>
      <w:proofErr w:type="spellStart"/>
      <w:r w:rsidR="005F275A" w:rsidRPr="003F08AD">
        <w:t>seduc</w:t>
      </w:r>
      <w:proofErr w:type="spellEnd"/>
      <w:r w:rsidR="007D7AF4" w:rsidRPr="003F08AD">
        <w:t>[</w:t>
      </w:r>
      <w:proofErr w:type="spellStart"/>
      <w:r w:rsidR="007D7AF4" w:rsidRPr="003F08AD">
        <w:t>ing</w:t>
      </w:r>
      <w:proofErr w:type="spellEnd"/>
      <w:r w:rsidR="007D7AF4" w:rsidRPr="003F08AD">
        <w:t>]</w:t>
      </w:r>
      <w:r w:rsidR="005F275A" w:rsidRPr="003F08AD">
        <w:t xml:space="preserve"> </w:t>
      </w:r>
      <w:r w:rsidR="00C96A32">
        <w:t>him.’ ”  Ann</w:t>
      </w:r>
      <w:r w:rsidR="00D83D66">
        <w:t>e</w:t>
      </w:r>
      <w:r w:rsidR="00C96A32">
        <w:t xml:space="preserve">liese responded, </w:t>
      </w:r>
      <w:proofErr w:type="gramStart"/>
      <w:r w:rsidR="00C96A32">
        <w:t>“ ‘</w:t>
      </w:r>
      <w:proofErr w:type="gramEnd"/>
      <w:r w:rsidR="00C96A32">
        <w:t>That</w:t>
      </w:r>
      <w:r w:rsidR="005F275A" w:rsidRPr="003F08AD">
        <w:t xml:space="preserve"> is not OK. </w:t>
      </w:r>
      <w:r w:rsidR="00C96A32">
        <w:t xml:space="preserve"> </w:t>
      </w:r>
      <w:r w:rsidR="005F275A" w:rsidRPr="003F08AD">
        <w:t xml:space="preserve">You knew how drunk I </w:t>
      </w:r>
      <w:r w:rsidR="00C96A32">
        <w:t>was.</w:t>
      </w:r>
      <w:proofErr w:type="gramStart"/>
      <w:r w:rsidR="00C96A32">
        <w:t>’ ”</w:t>
      </w:r>
      <w:proofErr w:type="gramEnd"/>
      <w:r w:rsidR="005F275A" w:rsidRPr="003F08AD">
        <w:t xml:space="preserve"> </w:t>
      </w:r>
      <w:r w:rsidR="007D7AF4" w:rsidRPr="003F08AD">
        <w:t xml:space="preserve"> The call ended after </w:t>
      </w:r>
      <w:r w:rsidR="005F275A" w:rsidRPr="003F08AD">
        <w:t xml:space="preserve">five to </w:t>
      </w:r>
      <w:r w:rsidR="00E83E75">
        <w:t>10 minutes;</w:t>
      </w:r>
      <w:r w:rsidR="007D7AF4" w:rsidRPr="003F08AD">
        <w:t xml:space="preserve"> however, </w:t>
      </w:r>
      <w:r w:rsidR="00E83E75">
        <w:t>plaintiff</w:t>
      </w:r>
      <w:r w:rsidR="007D7AF4" w:rsidRPr="003F08AD">
        <w:t xml:space="preserve"> later called </w:t>
      </w:r>
      <w:r w:rsidR="00E83E75">
        <w:t>Ann</w:t>
      </w:r>
      <w:r w:rsidR="0079525D">
        <w:t>e</w:t>
      </w:r>
      <w:r w:rsidR="00E83E75">
        <w:t>liese</w:t>
      </w:r>
      <w:r w:rsidR="007D7AF4" w:rsidRPr="003F08AD">
        <w:t xml:space="preserve"> </w:t>
      </w:r>
      <w:r w:rsidR="005F275A" w:rsidRPr="003F08AD">
        <w:t xml:space="preserve">back and left a message. </w:t>
      </w:r>
      <w:r w:rsidR="002508A1" w:rsidRPr="003F08AD">
        <w:t xml:space="preserve"> She</w:t>
      </w:r>
      <w:r w:rsidR="007D7AF4" w:rsidRPr="003F08AD">
        <w:t xml:space="preserve"> deleted the message without listening to it.</w:t>
      </w:r>
    </w:p>
    <w:p w14:paraId="1D43848C" w14:textId="1D680646" w:rsidR="00E01BE9" w:rsidRPr="003F08AD" w:rsidRDefault="00913934" w:rsidP="00CE7CFE">
      <w:pPr>
        <w:tabs>
          <w:tab w:val="clear" w:pos="720"/>
        </w:tabs>
        <w:spacing w:line="360" w:lineRule="auto"/>
      </w:pPr>
      <w:r w:rsidRPr="003F08AD">
        <w:tab/>
      </w:r>
      <w:r w:rsidR="00CA09DD" w:rsidRPr="003F08AD">
        <w:t xml:space="preserve">In </w:t>
      </w:r>
      <w:r w:rsidR="00E83E75">
        <w:t>2018, Ann</w:t>
      </w:r>
      <w:r w:rsidR="0079525D">
        <w:t>e</w:t>
      </w:r>
      <w:r w:rsidR="00E83E75">
        <w:t>liese</w:t>
      </w:r>
      <w:r w:rsidR="00CA09DD" w:rsidRPr="003F08AD">
        <w:t xml:space="preserve"> contacted the </w:t>
      </w:r>
      <w:r w:rsidR="00E83E75">
        <w:t>Title IX office</w:t>
      </w:r>
      <w:r w:rsidR="00CA09DD" w:rsidRPr="003F08AD">
        <w:t xml:space="preserve"> after receiving a call from </w:t>
      </w:r>
      <w:r w:rsidR="00E83E75">
        <w:t>Friend 1</w:t>
      </w:r>
      <w:r w:rsidR="00CA09DD" w:rsidRPr="003F08AD">
        <w:t xml:space="preserve">, who told her about </w:t>
      </w:r>
      <w:r w:rsidR="00B402B1" w:rsidRPr="003F08AD">
        <w:t xml:space="preserve">the accusations that </w:t>
      </w:r>
      <w:r w:rsidR="00CA09DD" w:rsidRPr="003F08AD">
        <w:t xml:space="preserve">had been </w:t>
      </w:r>
      <w:r w:rsidR="00B402B1" w:rsidRPr="003F08AD">
        <w:t xml:space="preserve">publicly </w:t>
      </w:r>
      <w:r w:rsidR="00CA09DD" w:rsidRPr="003F08AD">
        <w:t xml:space="preserve">raised against </w:t>
      </w:r>
      <w:r w:rsidR="00E83E75">
        <w:t>plaintiff.  Ann</w:t>
      </w:r>
      <w:r w:rsidR="0079525D">
        <w:t>e</w:t>
      </w:r>
      <w:r w:rsidR="00E83E75">
        <w:t>liese</w:t>
      </w:r>
      <w:r w:rsidR="00CA09DD" w:rsidRPr="003F08AD">
        <w:t xml:space="preserve"> </w:t>
      </w:r>
      <w:r w:rsidRPr="003F08AD">
        <w:t xml:space="preserve">was </w:t>
      </w:r>
      <w:r w:rsidR="00D37C02" w:rsidRPr="003F08AD">
        <w:t xml:space="preserve">enraged </w:t>
      </w:r>
      <w:r w:rsidR="00CA09DD" w:rsidRPr="003F08AD">
        <w:t xml:space="preserve">that </w:t>
      </w:r>
      <w:r w:rsidR="00E83E75">
        <w:t>plaintiff</w:t>
      </w:r>
      <w:r w:rsidR="00CA09DD" w:rsidRPr="003F08AD">
        <w:t xml:space="preserve"> was denying the a</w:t>
      </w:r>
      <w:r w:rsidRPr="003F08AD">
        <w:t>ccusations</w:t>
      </w:r>
      <w:r w:rsidR="00CA09DD" w:rsidRPr="003F08AD">
        <w:t xml:space="preserve"> and blaming the </w:t>
      </w:r>
      <w:proofErr w:type="gramStart"/>
      <w:r w:rsidR="00E83E75">
        <w:t>“ ‘</w:t>
      </w:r>
      <w:proofErr w:type="gramEnd"/>
      <w:r w:rsidR="00E83E75">
        <w:t>political’ ”</w:t>
      </w:r>
      <w:r w:rsidR="00CA09DD" w:rsidRPr="003F08AD">
        <w:t xml:space="preserve"> environment.</w:t>
      </w:r>
    </w:p>
    <w:p w14:paraId="63B6ABDE" w14:textId="395F9F79" w:rsidR="00974768" w:rsidRPr="003F08AD" w:rsidRDefault="00913934" w:rsidP="00CE7CFE">
      <w:pPr>
        <w:tabs>
          <w:tab w:val="clear" w:pos="720"/>
        </w:tabs>
        <w:spacing w:line="360" w:lineRule="auto"/>
      </w:pPr>
      <w:r w:rsidRPr="003F08AD">
        <w:tab/>
        <w:t xml:space="preserve">The </w:t>
      </w:r>
      <w:r w:rsidR="00E83E75">
        <w:t>Title IX</w:t>
      </w:r>
      <w:r w:rsidRPr="003F08AD">
        <w:t xml:space="preserve"> investigator</w:t>
      </w:r>
      <w:r w:rsidR="002508A1" w:rsidRPr="003F08AD">
        <w:t xml:space="preserve"> </w:t>
      </w:r>
      <w:r w:rsidRPr="003F08AD">
        <w:t xml:space="preserve">interviewed </w:t>
      </w:r>
      <w:r w:rsidR="00E83E75">
        <w:t>Ann</w:t>
      </w:r>
      <w:r w:rsidR="0079525D">
        <w:t>e</w:t>
      </w:r>
      <w:r w:rsidR="00E83E75">
        <w:t>liese</w:t>
      </w:r>
      <w:r w:rsidRPr="003F08AD">
        <w:t xml:space="preserve">, her mother, </w:t>
      </w:r>
      <w:r w:rsidR="00E83E75">
        <w:t>Friend 1, Friend 2, and plaintiff</w:t>
      </w:r>
      <w:r w:rsidRPr="003F08AD">
        <w:t xml:space="preserve"> regarding </w:t>
      </w:r>
      <w:r w:rsidR="00E83E75">
        <w:t>Anneliese’s</w:t>
      </w:r>
      <w:r w:rsidRPr="003F08AD">
        <w:t xml:space="preserve"> allegations.  </w:t>
      </w:r>
      <w:r w:rsidR="00E83E75">
        <w:t>Plaintiff</w:t>
      </w:r>
      <w:r w:rsidRPr="003F08AD">
        <w:t xml:space="preserve"> recall</w:t>
      </w:r>
      <w:r w:rsidR="00923CDC" w:rsidRPr="003F08AD">
        <w:t>ed</w:t>
      </w:r>
      <w:r w:rsidRPr="003F08AD">
        <w:t xml:space="preserve"> attending </w:t>
      </w:r>
      <w:r w:rsidR="00E83E75">
        <w:t>Friend 1’s</w:t>
      </w:r>
      <w:r w:rsidRPr="003F08AD">
        <w:t xml:space="preserve"> party in June 2013 and</w:t>
      </w:r>
      <w:r w:rsidR="00923CDC" w:rsidRPr="003F08AD">
        <w:t xml:space="preserve"> me</w:t>
      </w:r>
      <w:r w:rsidRPr="003F08AD">
        <w:t>e</w:t>
      </w:r>
      <w:r w:rsidR="00923CDC" w:rsidRPr="003F08AD">
        <w:t>t</w:t>
      </w:r>
      <w:r w:rsidRPr="003F08AD">
        <w:t>ing</w:t>
      </w:r>
      <w:r w:rsidR="00D37C02" w:rsidRPr="003F08AD">
        <w:t xml:space="preserve"> </w:t>
      </w:r>
      <w:r w:rsidR="00A833D7">
        <w:t>Ann</w:t>
      </w:r>
      <w:r w:rsidR="0079525D">
        <w:t>e</w:t>
      </w:r>
      <w:r w:rsidR="00A833D7">
        <w:t>liese</w:t>
      </w:r>
      <w:r w:rsidR="00923CDC" w:rsidRPr="003F08AD">
        <w:t xml:space="preserve"> for the first time</w:t>
      </w:r>
      <w:r w:rsidRPr="003F08AD">
        <w:t xml:space="preserve">. </w:t>
      </w:r>
      <w:r w:rsidR="00923CDC" w:rsidRPr="003F08AD">
        <w:t xml:space="preserve"> </w:t>
      </w:r>
      <w:r w:rsidR="00A833D7">
        <w:t>Plaintiff</w:t>
      </w:r>
      <w:r w:rsidR="00923CDC" w:rsidRPr="003F08AD">
        <w:t xml:space="preserve"> claimed that he</w:t>
      </w:r>
      <w:r w:rsidRPr="003F08AD">
        <w:t xml:space="preserve"> left the party alone and was walking to </w:t>
      </w:r>
      <w:r w:rsidR="00923CDC" w:rsidRPr="003F08AD">
        <w:t>his</w:t>
      </w:r>
      <w:r w:rsidRPr="003F08AD">
        <w:t xml:space="preserve"> </w:t>
      </w:r>
      <w:r w:rsidR="00F05EB8" w:rsidRPr="003F08AD">
        <w:t>car when</w:t>
      </w:r>
      <w:r w:rsidRPr="003F08AD">
        <w:t xml:space="preserve"> </w:t>
      </w:r>
      <w:r w:rsidR="00A833D7">
        <w:t>Ann</w:t>
      </w:r>
      <w:r w:rsidR="0079525D">
        <w:t>e</w:t>
      </w:r>
      <w:r w:rsidR="00A833D7">
        <w:t>liese</w:t>
      </w:r>
      <w:r w:rsidRPr="003F08AD">
        <w:t xml:space="preserve"> came out of her apartment</w:t>
      </w:r>
      <w:r w:rsidR="00923CDC" w:rsidRPr="003F08AD">
        <w:t xml:space="preserve">.  According to </w:t>
      </w:r>
      <w:r w:rsidR="00A833D7">
        <w:t>plaintiff, Ann</w:t>
      </w:r>
      <w:r w:rsidR="0079525D">
        <w:t>e</w:t>
      </w:r>
      <w:r w:rsidR="00A833D7">
        <w:t>liese</w:t>
      </w:r>
      <w:r w:rsidRPr="003F08AD">
        <w:t xml:space="preserve"> pulled </w:t>
      </w:r>
      <w:r w:rsidR="00923CDC" w:rsidRPr="003F08AD">
        <w:t>him</w:t>
      </w:r>
      <w:r w:rsidRPr="003F08AD">
        <w:t xml:space="preserve"> </w:t>
      </w:r>
      <w:r w:rsidR="00D37C02" w:rsidRPr="003F08AD">
        <w:t>toward</w:t>
      </w:r>
      <w:r w:rsidRPr="003F08AD">
        <w:t xml:space="preserve"> </w:t>
      </w:r>
      <w:r w:rsidR="00D37C02" w:rsidRPr="003F08AD">
        <w:t xml:space="preserve">her </w:t>
      </w:r>
      <w:r w:rsidRPr="003F08AD">
        <w:t xml:space="preserve">apartment and </w:t>
      </w:r>
      <w:r w:rsidR="00923CDC" w:rsidRPr="003F08AD">
        <w:t>he</w:t>
      </w:r>
      <w:r w:rsidRPr="003F08AD">
        <w:t xml:space="preserve"> </w:t>
      </w:r>
      <w:r w:rsidR="00923CDC" w:rsidRPr="003F08AD">
        <w:t>“</w:t>
      </w:r>
      <w:r w:rsidRPr="003F08AD">
        <w:t>reluctantly went in.</w:t>
      </w:r>
      <w:r w:rsidR="00923CDC" w:rsidRPr="003F08AD">
        <w:t>”</w:t>
      </w:r>
      <w:r w:rsidRPr="003F08AD">
        <w:t xml:space="preserve"> </w:t>
      </w:r>
      <w:r w:rsidR="00923CDC" w:rsidRPr="003F08AD">
        <w:t xml:space="preserve"> After </w:t>
      </w:r>
      <w:r w:rsidRPr="003F08AD">
        <w:t>talk</w:t>
      </w:r>
      <w:r w:rsidR="00923CDC" w:rsidRPr="003F08AD">
        <w:t>ing</w:t>
      </w:r>
      <w:r w:rsidRPr="003F08AD">
        <w:t xml:space="preserve"> briefly</w:t>
      </w:r>
      <w:r w:rsidR="00923CDC" w:rsidRPr="003F08AD">
        <w:t xml:space="preserve">, </w:t>
      </w:r>
      <w:r w:rsidR="00A833D7">
        <w:t>Ann</w:t>
      </w:r>
      <w:r w:rsidR="0079525D">
        <w:t>e</w:t>
      </w:r>
      <w:r w:rsidR="00A833D7">
        <w:t>liese</w:t>
      </w:r>
      <w:r w:rsidRPr="003F08AD">
        <w:t xml:space="preserve"> suggested </w:t>
      </w:r>
      <w:r w:rsidR="00D37C02" w:rsidRPr="003F08AD">
        <w:t>sexual activity</w:t>
      </w:r>
      <w:r w:rsidR="00923CDC" w:rsidRPr="003F08AD">
        <w:t>, which</w:t>
      </w:r>
      <w:r w:rsidRPr="003F08AD">
        <w:t xml:space="preserve"> surprised </w:t>
      </w:r>
      <w:r w:rsidR="00923CDC" w:rsidRPr="003F08AD">
        <w:t>him</w:t>
      </w:r>
      <w:r w:rsidRPr="003F08AD">
        <w:t xml:space="preserve">. </w:t>
      </w:r>
      <w:r w:rsidR="00923CDC" w:rsidRPr="003F08AD">
        <w:t xml:space="preserve"> </w:t>
      </w:r>
      <w:r w:rsidR="00D37C02" w:rsidRPr="003F08AD">
        <w:t>However, because</w:t>
      </w:r>
      <w:r w:rsidR="00923CDC" w:rsidRPr="003F08AD">
        <w:t xml:space="preserve"> </w:t>
      </w:r>
      <w:r w:rsidR="0079525D">
        <w:t>Anneliese</w:t>
      </w:r>
      <w:r w:rsidR="00923CDC" w:rsidRPr="003F08AD">
        <w:t xml:space="preserve"> </w:t>
      </w:r>
      <w:r w:rsidRPr="003F08AD">
        <w:t>was highly intoxicated</w:t>
      </w:r>
      <w:r w:rsidR="00923CDC" w:rsidRPr="003F08AD">
        <w:t xml:space="preserve">, </w:t>
      </w:r>
      <w:r w:rsidR="00426983">
        <w:t>plaintiff</w:t>
      </w:r>
      <w:r w:rsidR="00923CDC" w:rsidRPr="003F08AD">
        <w:t xml:space="preserve"> “</w:t>
      </w:r>
      <w:r w:rsidRPr="003F08AD">
        <w:t xml:space="preserve">extricated </w:t>
      </w:r>
      <w:r w:rsidR="00923CDC" w:rsidRPr="003F08AD">
        <w:t>[him]</w:t>
      </w:r>
      <w:r w:rsidRPr="003F08AD">
        <w:t>self from the interaction and left her apartment and went home.</w:t>
      </w:r>
      <w:r w:rsidR="00923CDC" w:rsidRPr="003F08AD">
        <w:t xml:space="preserve">”  He denied </w:t>
      </w:r>
      <w:r w:rsidR="00D52F85" w:rsidRPr="003F08AD">
        <w:t>being</w:t>
      </w:r>
      <w:r w:rsidR="00923CDC" w:rsidRPr="003F08AD">
        <w:t xml:space="preserve"> </w:t>
      </w:r>
      <w:r w:rsidRPr="003F08AD">
        <w:t>naked</w:t>
      </w:r>
      <w:r w:rsidR="00D52F85" w:rsidRPr="003F08AD">
        <w:t xml:space="preserve"> </w:t>
      </w:r>
      <w:r w:rsidR="00685463" w:rsidRPr="003F08AD">
        <w:t xml:space="preserve">or </w:t>
      </w:r>
      <w:r w:rsidRPr="003F08AD">
        <w:t>attempt</w:t>
      </w:r>
      <w:r w:rsidR="00685463" w:rsidRPr="003F08AD">
        <w:t>ing</w:t>
      </w:r>
      <w:r w:rsidRPr="003F08AD">
        <w:t xml:space="preserve"> to have </w:t>
      </w:r>
      <w:r w:rsidR="00685463" w:rsidRPr="003F08AD">
        <w:t>sex</w:t>
      </w:r>
      <w:r w:rsidRPr="003F08AD">
        <w:t xml:space="preserve"> with her.</w:t>
      </w:r>
      <w:r w:rsidR="00685463" w:rsidRPr="003F08AD">
        <w:t xml:space="preserve"> </w:t>
      </w:r>
      <w:r w:rsidR="00E02D1B" w:rsidRPr="003F08AD">
        <w:t xml:space="preserve"> </w:t>
      </w:r>
      <w:r w:rsidR="002508A1" w:rsidRPr="003F08AD">
        <w:t>A</w:t>
      </w:r>
      <w:r w:rsidR="00D52F85" w:rsidRPr="003F08AD">
        <w:t xml:space="preserve">ccording to </w:t>
      </w:r>
      <w:r w:rsidR="00330773">
        <w:t>plaintiff, when Anneliese</w:t>
      </w:r>
      <w:r w:rsidR="002508A1" w:rsidRPr="003F08AD">
        <w:t xml:space="preserve"> </w:t>
      </w:r>
      <w:r w:rsidR="00E02D1B" w:rsidRPr="003F08AD">
        <w:t xml:space="preserve">called </w:t>
      </w:r>
      <w:r w:rsidR="00D52F85" w:rsidRPr="003F08AD">
        <w:t>him</w:t>
      </w:r>
      <w:r w:rsidR="00E02D1B" w:rsidRPr="003F08AD">
        <w:t xml:space="preserve"> about a month later</w:t>
      </w:r>
      <w:r w:rsidR="00D52F85" w:rsidRPr="003F08AD">
        <w:t>, she</w:t>
      </w:r>
      <w:r w:rsidR="00E02D1B" w:rsidRPr="003F08AD">
        <w:t xml:space="preserve"> “clearly indicated” </w:t>
      </w:r>
      <w:r w:rsidR="00D52F85" w:rsidRPr="003F08AD">
        <w:t>having</w:t>
      </w:r>
      <w:r w:rsidR="00E02D1B" w:rsidRPr="003F08AD">
        <w:t xml:space="preserve"> no memory of what </w:t>
      </w:r>
      <w:r w:rsidR="00330773">
        <w:t>transpired</w:t>
      </w:r>
      <w:r w:rsidR="00E02D1B" w:rsidRPr="003F08AD">
        <w:t xml:space="preserve"> between them that evening.</w:t>
      </w:r>
    </w:p>
    <w:p w14:paraId="4ACCB316" w14:textId="05987A5E" w:rsidR="007236A6" w:rsidRPr="003F08AD" w:rsidRDefault="00913934" w:rsidP="00CE7CFE">
      <w:pPr>
        <w:tabs>
          <w:tab w:val="clear" w:pos="720"/>
        </w:tabs>
        <w:spacing w:line="360" w:lineRule="auto"/>
      </w:pPr>
      <w:r w:rsidRPr="003F08AD">
        <w:lastRenderedPageBreak/>
        <w:tab/>
        <w:t>A</w:t>
      </w:r>
      <w:r w:rsidR="00D52F85" w:rsidRPr="003F08AD">
        <w:t>fter</w:t>
      </w:r>
      <w:r w:rsidRPr="003F08AD">
        <w:t xml:space="preserve"> conclu</w:t>
      </w:r>
      <w:r w:rsidR="00D52F85" w:rsidRPr="003F08AD">
        <w:t xml:space="preserve">ding </w:t>
      </w:r>
      <w:r w:rsidR="00622BD9" w:rsidRPr="003F08AD">
        <w:t>t</w:t>
      </w:r>
      <w:r w:rsidR="00D52F85" w:rsidRPr="003F08AD">
        <w:t>he</w:t>
      </w:r>
      <w:r w:rsidR="00622BD9" w:rsidRPr="003F08AD">
        <w:t xml:space="preserve"> </w:t>
      </w:r>
      <w:r w:rsidR="00330773">
        <w:t>Anneliese</w:t>
      </w:r>
      <w:r w:rsidRPr="003F08AD">
        <w:t xml:space="preserve"> investigation, the investigator</w:t>
      </w:r>
      <w:r w:rsidR="00CA09DD" w:rsidRPr="003F08AD">
        <w:t xml:space="preserve"> </w:t>
      </w:r>
      <w:r w:rsidR="00622BD9" w:rsidRPr="003F08AD">
        <w:t>found</w:t>
      </w:r>
      <w:r w:rsidR="00823310" w:rsidRPr="003F08AD">
        <w:t xml:space="preserve"> </w:t>
      </w:r>
      <w:r w:rsidR="001D60B2" w:rsidRPr="003F08AD">
        <w:t xml:space="preserve">“it is more likely than not that </w:t>
      </w:r>
      <w:r w:rsidR="004A4A98">
        <w:t>[plaintiff]</w:t>
      </w:r>
      <w:r w:rsidR="001D60B2" w:rsidRPr="003F08AD">
        <w:t xml:space="preserve"> engaged in unwelcome physical conduct of a sexual nature which is conduct that falls squarely within the definition of prohibited conduct under the University of California Policy on Sexual Harassment Policy</w:t>
      </w:r>
      <w:r w:rsidR="004A4A98">
        <w:t> [</w:t>
      </w:r>
      <w:r w:rsidR="004A4A98">
        <w:rPr>
          <w:i/>
          <w:iCs/>
        </w:rPr>
        <w:t>sic</w:t>
      </w:r>
      <w:r w:rsidR="004A4A98">
        <w:t>]</w:t>
      </w:r>
      <w:r w:rsidR="001D60B2" w:rsidRPr="003F08AD">
        <w:t xml:space="preserve"> dated </w:t>
      </w:r>
      <w:r w:rsidR="004A4A98">
        <w:t>February 10</w:t>
      </w:r>
      <w:r w:rsidR="001D60B2" w:rsidRPr="003F08AD">
        <w:t xml:space="preserve">, 2006, the policy in effect at the time of the </w:t>
      </w:r>
      <w:r w:rsidR="004A4A98">
        <w:t>incident </w:t>
      </w:r>
      <w:proofErr w:type="gramStart"/>
      <w:r w:rsidR="004A4A98">
        <w:t>. . . .</w:t>
      </w:r>
      <w:proofErr w:type="gramEnd"/>
      <w:r w:rsidR="001D60B2" w:rsidRPr="003F08AD">
        <w:t xml:space="preserve">”  </w:t>
      </w:r>
      <w:r w:rsidR="00622BD9" w:rsidRPr="003F08AD">
        <w:t>T</w:t>
      </w:r>
      <w:r w:rsidR="00837683" w:rsidRPr="003F08AD">
        <w:t>his “</w:t>
      </w:r>
      <w:r w:rsidR="001D60B2" w:rsidRPr="003F08AD">
        <w:t xml:space="preserve">unwelcome sexual activity occurred on </w:t>
      </w:r>
      <w:r w:rsidR="00F8143B">
        <w:t>June 18</w:t>
      </w:r>
      <w:r w:rsidR="001D60B2" w:rsidRPr="003F08AD">
        <w:t xml:space="preserve">, </w:t>
      </w:r>
      <w:proofErr w:type="gramStart"/>
      <w:r w:rsidR="001D60B2" w:rsidRPr="003F08AD">
        <w:t>2013</w:t>
      </w:r>
      <w:proofErr w:type="gramEnd"/>
      <w:r w:rsidR="001D60B2" w:rsidRPr="003F08AD">
        <w:t xml:space="preserve"> after </w:t>
      </w:r>
      <w:r w:rsidR="00F8143B">
        <w:t>[Anneliese]</w:t>
      </w:r>
      <w:r w:rsidR="001D60B2" w:rsidRPr="003F08AD">
        <w:t xml:space="preserve"> had completed her course work and participated in commencement but before her degree was conferred</w:t>
      </w:r>
      <w:r w:rsidR="00D52F85" w:rsidRPr="003F08AD">
        <w:t>.</w:t>
      </w:r>
      <w:r w:rsidR="00837683" w:rsidRPr="003F08AD">
        <w:t>”</w:t>
      </w:r>
    </w:p>
    <w:p w14:paraId="56372380" w14:textId="0093D59F" w:rsidR="003F28B2" w:rsidRPr="00CA5210" w:rsidRDefault="00913934" w:rsidP="00CA5210">
      <w:pPr>
        <w:pStyle w:val="ListParagraph"/>
        <w:keepNext/>
        <w:numPr>
          <w:ilvl w:val="1"/>
          <w:numId w:val="1"/>
        </w:numPr>
        <w:tabs>
          <w:tab w:val="clear" w:pos="720"/>
        </w:tabs>
        <w:spacing w:line="360" w:lineRule="auto"/>
        <w:ind w:left="1440"/>
        <w:rPr>
          <w:b/>
          <w:bCs/>
        </w:rPr>
      </w:pPr>
      <w:r>
        <w:rPr>
          <w:b/>
          <w:bCs/>
        </w:rPr>
        <w:t>Brian G. and Patrick M.</w:t>
      </w:r>
    </w:p>
    <w:p w14:paraId="0CB00AE3" w14:textId="37ACDFB7" w:rsidR="003F28B2" w:rsidRPr="003F08AD" w:rsidRDefault="00913934" w:rsidP="00CA5210">
      <w:pPr>
        <w:tabs>
          <w:tab w:val="clear" w:pos="720"/>
        </w:tabs>
        <w:spacing w:line="360" w:lineRule="auto"/>
      </w:pPr>
      <w:r w:rsidRPr="003F08AD">
        <w:tab/>
      </w:r>
      <w:r w:rsidR="00B4016E" w:rsidRPr="003F08AD">
        <w:t xml:space="preserve">Former UCSC student </w:t>
      </w:r>
      <w:r w:rsidR="00CA40E4">
        <w:t>Brian G.</w:t>
      </w:r>
      <w:r w:rsidRPr="003F08AD">
        <w:t xml:space="preserve"> </w:t>
      </w:r>
      <w:r w:rsidR="00E01BE9" w:rsidRPr="003F08AD">
        <w:t>reported</w:t>
      </w:r>
      <w:r w:rsidRPr="003F08AD">
        <w:t xml:space="preserve"> that, during the fall or winter of 2009, when he was </w:t>
      </w:r>
      <w:r w:rsidR="00F05EB8" w:rsidRPr="003F08AD">
        <w:t>18</w:t>
      </w:r>
      <w:r w:rsidR="00D52F85" w:rsidRPr="003F08AD">
        <w:t xml:space="preserve"> </w:t>
      </w:r>
      <w:r w:rsidR="00F05EB8" w:rsidRPr="003F08AD">
        <w:t>year</w:t>
      </w:r>
      <w:r w:rsidR="00D52F85" w:rsidRPr="003F08AD">
        <w:t xml:space="preserve">s </w:t>
      </w:r>
      <w:r w:rsidR="00F05EB8" w:rsidRPr="003F08AD">
        <w:t>old</w:t>
      </w:r>
      <w:r w:rsidRPr="003F08AD">
        <w:t xml:space="preserve">, </w:t>
      </w:r>
      <w:r w:rsidR="00B4016E" w:rsidRPr="003F08AD">
        <w:t xml:space="preserve">he attended a </w:t>
      </w:r>
      <w:r w:rsidR="00CD7201" w:rsidRPr="003F08AD">
        <w:t xml:space="preserve">small </w:t>
      </w:r>
      <w:r w:rsidR="00B4016E" w:rsidRPr="003F08AD">
        <w:t xml:space="preserve">party at </w:t>
      </w:r>
      <w:r w:rsidR="00CA40E4">
        <w:t>plaintiff’s</w:t>
      </w:r>
      <w:r w:rsidRPr="003F08AD">
        <w:t xml:space="preserve"> residence.  </w:t>
      </w:r>
      <w:r w:rsidR="00CA40E4">
        <w:t>Brian knew plaintiff</w:t>
      </w:r>
      <w:r w:rsidR="00E96B4B" w:rsidRPr="003F08AD">
        <w:t xml:space="preserve"> through </w:t>
      </w:r>
      <w:r w:rsidR="00D74647" w:rsidRPr="003F08AD">
        <w:t>campus activities</w:t>
      </w:r>
      <w:r w:rsidR="00E96B4B" w:rsidRPr="003F08AD">
        <w:t xml:space="preserve"> but was not his student. </w:t>
      </w:r>
      <w:r w:rsidR="00B4016E" w:rsidRPr="003F08AD">
        <w:t xml:space="preserve"> </w:t>
      </w:r>
      <w:r w:rsidR="00D52F85" w:rsidRPr="003F08AD">
        <w:t>A</w:t>
      </w:r>
      <w:r w:rsidRPr="003F08AD">
        <w:t>t</w:t>
      </w:r>
      <w:r w:rsidR="00B4016E" w:rsidRPr="003F08AD">
        <w:t xml:space="preserve"> t</w:t>
      </w:r>
      <w:r w:rsidRPr="003F08AD">
        <w:t>h</w:t>
      </w:r>
      <w:r w:rsidR="00D52F85" w:rsidRPr="003F08AD">
        <w:t>is</w:t>
      </w:r>
      <w:r w:rsidR="00B4016E" w:rsidRPr="003F08AD">
        <w:t xml:space="preserve"> party</w:t>
      </w:r>
      <w:r w:rsidRPr="003F08AD">
        <w:t xml:space="preserve">, </w:t>
      </w:r>
      <w:r w:rsidR="00CA40E4">
        <w:t>plaintiff</w:t>
      </w:r>
      <w:r w:rsidRPr="003F08AD">
        <w:t xml:space="preserve"> </w:t>
      </w:r>
      <w:r w:rsidR="00E01BE9" w:rsidRPr="003F08AD">
        <w:t>gave</w:t>
      </w:r>
      <w:r w:rsidRPr="003F08AD">
        <w:t xml:space="preserve"> Brian</w:t>
      </w:r>
      <w:r w:rsidR="00E01BE9" w:rsidRPr="003F08AD">
        <w:t xml:space="preserve"> </w:t>
      </w:r>
      <w:r w:rsidR="00F52BED" w:rsidRPr="003F08AD">
        <w:t xml:space="preserve">and other </w:t>
      </w:r>
      <w:r w:rsidR="0099363D" w:rsidRPr="003F08AD">
        <w:t>attendees</w:t>
      </w:r>
      <w:r w:rsidR="00E01BE9" w:rsidRPr="003F08AD">
        <w:t xml:space="preserve"> </w:t>
      </w:r>
      <w:r w:rsidRPr="003F08AD">
        <w:t xml:space="preserve">cocaine and </w:t>
      </w:r>
      <w:r w:rsidR="00CA40E4">
        <w:t>alcohol, and</w:t>
      </w:r>
      <w:r w:rsidR="00381417">
        <w:t xml:space="preserve"> afterward</w:t>
      </w:r>
      <w:r w:rsidRPr="003F08AD">
        <w:t xml:space="preserve"> </w:t>
      </w:r>
      <w:r w:rsidR="00E01BE9" w:rsidRPr="003F08AD">
        <w:t xml:space="preserve">he </w:t>
      </w:r>
      <w:r w:rsidRPr="003F08AD">
        <w:t xml:space="preserve">drove </w:t>
      </w:r>
      <w:r w:rsidR="00E01BE9" w:rsidRPr="003F08AD">
        <w:t>Brian</w:t>
      </w:r>
      <w:r w:rsidRPr="003F08AD">
        <w:t xml:space="preserve"> home while under the influence of alcohol and drugs.  </w:t>
      </w:r>
      <w:r w:rsidR="0099363D" w:rsidRPr="003F08AD">
        <w:t xml:space="preserve">Brian </w:t>
      </w:r>
      <w:r w:rsidR="00B4016E" w:rsidRPr="003F08AD">
        <w:t>also</w:t>
      </w:r>
      <w:r w:rsidRPr="003F08AD">
        <w:t xml:space="preserve"> </w:t>
      </w:r>
      <w:r w:rsidR="0099363D" w:rsidRPr="003F08AD">
        <w:t>re</w:t>
      </w:r>
      <w:r w:rsidR="00D74647" w:rsidRPr="003F08AD">
        <w:t>called</w:t>
      </w:r>
      <w:r w:rsidR="00E01BE9" w:rsidRPr="003F08AD">
        <w:t xml:space="preserve"> </w:t>
      </w:r>
      <w:r w:rsidRPr="003F08AD">
        <w:t xml:space="preserve">other occasions during this </w:t>
      </w:r>
      <w:proofErr w:type="gramStart"/>
      <w:r w:rsidRPr="003F08AD">
        <w:t>time period</w:t>
      </w:r>
      <w:proofErr w:type="gramEnd"/>
      <w:r w:rsidR="00B4016E" w:rsidRPr="003F08AD">
        <w:t xml:space="preserve"> when</w:t>
      </w:r>
      <w:r w:rsidRPr="003F08AD">
        <w:t xml:space="preserve"> </w:t>
      </w:r>
      <w:r w:rsidR="00381417">
        <w:t>plaintiff</w:t>
      </w:r>
      <w:r w:rsidRPr="003F08AD">
        <w:t xml:space="preserve"> </w:t>
      </w:r>
      <w:r w:rsidR="0099363D" w:rsidRPr="003F08AD">
        <w:t>bought him</w:t>
      </w:r>
      <w:r w:rsidRPr="003F08AD">
        <w:t xml:space="preserve"> alcohol at local bars </w:t>
      </w:r>
      <w:r w:rsidR="00B4016E" w:rsidRPr="003F08AD">
        <w:t xml:space="preserve">although he </w:t>
      </w:r>
      <w:r w:rsidR="00D52F85" w:rsidRPr="003F08AD">
        <w:t xml:space="preserve">was </w:t>
      </w:r>
      <w:r w:rsidR="00871B25" w:rsidRPr="003F08AD">
        <w:t>underage</w:t>
      </w:r>
      <w:r w:rsidRPr="003F08AD">
        <w:t xml:space="preserve">. </w:t>
      </w:r>
      <w:r w:rsidR="00CD7201" w:rsidRPr="003F08AD">
        <w:t xml:space="preserve"> Brian contacted the </w:t>
      </w:r>
      <w:r w:rsidR="00381417">
        <w:t>Title IX office</w:t>
      </w:r>
      <w:r w:rsidR="00CD7201" w:rsidRPr="003F08AD">
        <w:t xml:space="preserve"> after </w:t>
      </w:r>
      <w:r w:rsidR="0099363D" w:rsidRPr="003F08AD">
        <w:t xml:space="preserve">learning </w:t>
      </w:r>
      <w:r w:rsidR="00E01BE9" w:rsidRPr="003F08AD">
        <w:t>of the public accusations that had been raised against</w:t>
      </w:r>
      <w:r w:rsidR="0099363D" w:rsidRPr="003F08AD">
        <w:t xml:space="preserve"> </w:t>
      </w:r>
      <w:proofErr w:type="gramStart"/>
      <w:r w:rsidR="00381417">
        <w:t>plaintiff</w:t>
      </w:r>
      <w:proofErr w:type="gramEnd"/>
      <w:r w:rsidR="0099363D" w:rsidRPr="003F08AD">
        <w:t xml:space="preserve"> because he </w:t>
      </w:r>
      <w:r w:rsidR="00CD7201" w:rsidRPr="003F08AD">
        <w:t>believ</w:t>
      </w:r>
      <w:r w:rsidR="0099363D" w:rsidRPr="003F08AD">
        <w:t>ed</w:t>
      </w:r>
      <w:r w:rsidR="00CD7201" w:rsidRPr="003F08AD">
        <w:t xml:space="preserve"> his experiences w</w:t>
      </w:r>
      <w:r w:rsidR="0099363D" w:rsidRPr="003F08AD">
        <w:t>ere</w:t>
      </w:r>
      <w:r w:rsidR="00CD7201" w:rsidRPr="003F08AD">
        <w:t xml:space="preserve"> relevant.</w:t>
      </w:r>
    </w:p>
    <w:p w14:paraId="22F237D9" w14:textId="29B954C4" w:rsidR="003F28B2" w:rsidRPr="003F08AD" w:rsidRDefault="00913934" w:rsidP="00CA5210">
      <w:pPr>
        <w:tabs>
          <w:tab w:val="clear" w:pos="720"/>
        </w:tabs>
        <w:spacing w:line="360" w:lineRule="auto"/>
      </w:pPr>
      <w:r w:rsidRPr="003F08AD">
        <w:tab/>
        <w:t xml:space="preserve">Following </w:t>
      </w:r>
      <w:r w:rsidR="00D74647" w:rsidRPr="003F08AD">
        <w:t xml:space="preserve">an </w:t>
      </w:r>
      <w:r w:rsidRPr="003F08AD">
        <w:t xml:space="preserve">investigation, the investigator found by a preponderance of evidence that </w:t>
      </w:r>
      <w:r w:rsidR="00381417">
        <w:t>plaintiff gave Brian G.</w:t>
      </w:r>
      <w:r w:rsidR="00F52BED" w:rsidRPr="003F08AD">
        <w:t xml:space="preserve"> alcohol and cocaine at a party and b</w:t>
      </w:r>
      <w:r w:rsidR="0099363D" w:rsidRPr="003F08AD">
        <w:t>ought</w:t>
      </w:r>
      <w:r w:rsidR="00F52BED" w:rsidRPr="003F08AD">
        <w:t xml:space="preserve"> him alcohol at least twice at local bars despite know</w:t>
      </w:r>
      <w:r w:rsidR="0099363D" w:rsidRPr="003F08AD">
        <w:t>ing he</w:t>
      </w:r>
      <w:r w:rsidR="00F52BED" w:rsidRPr="003F08AD">
        <w:t xml:space="preserve"> was under age</w:t>
      </w:r>
      <w:r w:rsidR="00AC3C3A">
        <w:t> </w:t>
      </w:r>
      <w:r w:rsidR="00F52BED" w:rsidRPr="003F08AD">
        <w:t>21</w:t>
      </w:r>
      <w:r w:rsidRPr="003F08AD">
        <w:t>.</w:t>
      </w:r>
    </w:p>
    <w:p w14:paraId="691CBF8E" w14:textId="0907EF5F" w:rsidR="006D4334" w:rsidRPr="003F08AD" w:rsidRDefault="00913934" w:rsidP="00CA5210">
      <w:pPr>
        <w:tabs>
          <w:tab w:val="clear" w:pos="720"/>
        </w:tabs>
        <w:spacing w:line="360" w:lineRule="auto"/>
      </w:pPr>
      <w:r w:rsidRPr="003F08AD">
        <w:tab/>
      </w:r>
      <w:r w:rsidR="0004127E">
        <w:t>Patrick M.</w:t>
      </w:r>
      <w:r w:rsidR="001F45C2" w:rsidRPr="003F08AD">
        <w:t xml:space="preserve"> was a</w:t>
      </w:r>
      <w:r w:rsidRPr="003F08AD">
        <w:t xml:space="preserve"> Ph.D. candidate in </w:t>
      </w:r>
      <w:r w:rsidR="00D52F85" w:rsidRPr="003F08AD">
        <w:t>the History of Human Consciousness D</w:t>
      </w:r>
      <w:r w:rsidRPr="003F08AD">
        <w:t xml:space="preserve">epartment </w:t>
      </w:r>
      <w:r w:rsidR="00D52F85" w:rsidRPr="003F08AD">
        <w:t>in</w:t>
      </w:r>
      <w:r w:rsidR="001F45C2" w:rsidRPr="003F08AD">
        <w:t xml:space="preserve"> 2015</w:t>
      </w:r>
      <w:r w:rsidR="00AC3C3A">
        <w:t>,</w:t>
      </w:r>
      <w:r w:rsidR="00E835A3" w:rsidRPr="003F08AD">
        <w:t xml:space="preserve"> and </w:t>
      </w:r>
      <w:r w:rsidR="0004127E">
        <w:t>plaintiff</w:t>
      </w:r>
      <w:r w:rsidR="000C2BE4" w:rsidRPr="003F08AD">
        <w:t xml:space="preserve"> was his </w:t>
      </w:r>
      <w:r w:rsidR="0004127E">
        <w:t>adviser</w:t>
      </w:r>
      <w:r w:rsidR="000C2BE4" w:rsidRPr="003F08AD">
        <w:t xml:space="preserve">.  According to Patrick, </w:t>
      </w:r>
      <w:r w:rsidR="00D929DB" w:rsidRPr="003F08AD">
        <w:t xml:space="preserve">one afternoon </w:t>
      </w:r>
      <w:r w:rsidR="001F45C2" w:rsidRPr="003F08AD">
        <w:t xml:space="preserve">he visited </w:t>
      </w:r>
      <w:r w:rsidR="00427235">
        <w:t>plaintiff’s</w:t>
      </w:r>
      <w:r w:rsidR="001F45C2" w:rsidRPr="003F08AD">
        <w:t xml:space="preserve"> office to discuss </w:t>
      </w:r>
      <w:r w:rsidRPr="003F08AD">
        <w:t xml:space="preserve">his dissertation.  </w:t>
      </w:r>
      <w:r w:rsidR="00E835A3" w:rsidRPr="003F08AD">
        <w:t>The pair engaged in a heated dis</w:t>
      </w:r>
      <w:r w:rsidR="001F45C2" w:rsidRPr="003F08AD">
        <w:t>cussion</w:t>
      </w:r>
      <w:r w:rsidR="00E835A3" w:rsidRPr="003F08AD">
        <w:t xml:space="preserve"> regarding the </w:t>
      </w:r>
      <w:r w:rsidR="00E835A3" w:rsidRPr="003F08AD">
        <w:lastRenderedPageBreak/>
        <w:t>appropriate direction of</w:t>
      </w:r>
      <w:r w:rsidR="001F45C2" w:rsidRPr="003F08AD">
        <w:t xml:space="preserve"> </w:t>
      </w:r>
      <w:r w:rsidR="00D929DB" w:rsidRPr="003F08AD">
        <w:t>Patrick</w:t>
      </w:r>
      <w:r w:rsidR="00E835A3" w:rsidRPr="003F08AD">
        <w:t xml:space="preserve">’s </w:t>
      </w:r>
      <w:r w:rsidR="00D929DB" w:rsidRPr="003F08AD">
        <w:t xml:space="preserve">dissertation.  </w:t>
      </w:r>
      <w:r w:rsidR="00E835A3" w:rsidRPr="003F08AD">
        <w:t xml:space="preserve">At some point, </w:t>
      </w:r>
      <w:proofErr w:type="gramStart"/>
      <w:r w:rsidR="00427235">
        <w:t>plaintiff</w:t>
      </w:r>
      <w:proofErr w:type="gramEnd"/>
      <w:r w:rsidR="00D52F85" w:rsidRPr="003F08AD">
        <w:t xml:space="preserve"> </w:t>
      </w:r>
      <w:r w:rsidR="001F45C2" w:rsidRPr="003F08AD">
        <w:t>became verbally and physically aggressive</w:t>
      </w:r>
      <w:r w:rsidR="00D929DB" w:rsidRPr="003F08AD">
        <w:t xml:space="preserve">.  Patrick </w:t>
      </w:r>
      <w:r w:rsidR="00D52F85" w:rsidRPr="003F08AD">
        <w:t xml:space="preserve">protested and </w:t>
      </w:r>
      <w:r w:rsidR="00D929DB" w:rsidRPr="003F08AD">
        <w:t xml:space="preserve">tried to leave, </w:t>
      </w:r>
      <w:r w:rsidR="00D52F85" w:rsidRPr="003F08AD">
        <w:t xml:space="preserve">but </w:t>
      </w:r>
      <w:proofErr w:type="gramStart"/>
      <w:r w:rsidR="00427235">
        <w:t>plaintiff</w:t>
      </w:r>
      <w:proofErr w:type="gramEnd"/>
      <w:r w:rsidR="00D929DB" w:rsidRPr="003F08AD">
        <w:t xml:space="preserve"> b</w:t>
      </w:r>
      <w:r w:rsidR="001F45C2" w:rsidRPr="003F08AD">
        <w:t xml:space="preserve">locked </w:t>
      </w:r>
      <w:r w:rsidR="00D929DB" w:rsidRPr="003F08AD">
        <w:t xml:space="preserve">him by </w:t>
      </w:r>
      <w:r w:rsidR="001F45C2" w:rsidRPr="003F08AD">
        <w:t>lung</w:t>
      </w:r>
      <w:r w:rsidR="00D929DB" w:rsidRPr="003F08AD">
        <w:t>ing</w:t>
      </w:r>
      <w:r w:rsidR="001F45C2" w:rsidRPr="003F08AD">
        <w:t xml:space="preserve"> </w:t>
      </w:r>
      <w:r w:rsidR="00D929DB" w:rsidRPr="003F08AD">
        <w:t xml:space="preserve">at </w:t>
      </w:r>
      <w:r w:rsidR="00D52F85" w:rsidRPr="003F08AD">
        <w:t xml:space="preserve">him </w:t>
      </w:r>
      <w:r w:rsidR="00D929DB" w:rsidRPr="003F08AD">
        <w:t>and</w:t>
      </w:r>
      <w:r w:rsidR="001F45C2" w:rsidRPr="003F08AD">
        <w:t xml:space="preserve"> aggressively grabb</w:t>
      </w:r>
      <w:r w:rsidR="00D929DB" w:rsidRPr="003F08AD">
        <w:t>ing</w:t>
      </w:r>
      <w:r w:rsidR="001F45C2" w:rsidRPr="003F08AD">
        <w:t xml:space="preserve"> him.</w:t>
      </w:r>
    </w:p>
    <w:p w14:paraId="6B84B9C9" w14:textId="79D701C1" w:rsidR="00A21763" w:rsidRPr="003F08AD" w:rsidRDefault="00913934" w:rsidP="00CA5210">
      <w:pPr>
        <w:tabs>
          <w:tab w:val="clear" w:pos="720"/>
        </w:tabs>
        <w:spacing w:line="360" w:lineRule="auto"/>
      </w:pPr>
      <w:r w:rsidRPr="003F08AD">
        <w:tab/>
        <w:t>Patrick reported th</w:t>
      </w:r>
      <w:r w:rsidR="00376F46" w:rsidRPr="003F08AD">
        <w:t>is</w:t>
      </w:r>
      <w:r w:rsidRPr="003F08AD">
        <w:t xml:space="preserve"> incident to Professor Dean Mathiowetz </w:t>
      </w:r>
      <w:r w:rsidR="00376F46" w:rsidRPr="003F08AD">
        <w:t xml:space="preserve">in November 2015 </w:t>
      </w:r>
      <w:r w:rsidRPr="003F08AD">
        <w:t>and later discussed it with</w:t>
      </w:r>
      <w:r w:rsidR="00B40B50" w:rsidRPr="003F08AD">
        <w:t xml:space="preserve"> the</w:t>
      </w:r>
      <w:r w:rsidRPr="003F08AD">
        <w:t xml:space="preserve"> </w:t>
      </w:r>
      <w:r w:rsidR="008C2D1B">
        <w:t>department’s chair</w:t>
      </w:r>
      <w:r w:rsidR="00D929DB" w:rsidRPr="003F08AD">
        <w:t xml:space="preserve">, </w:t>
      </w:r>
      <w:r w:rsidR="00640408" w:rsidRPr="003F08AD">
        <w:t>David</w:t>
      </w:r>
      <w:r w:rsidRPr="003F08AD">
        <w:t xml:space="preserve"> Marriott.  </w:t>
      </w:r>
      <w:r w:rsidR="00BB076B">
        <w:t xml:space="preserve">Marriott secured </w:t>
      </w:r>
      <w:proofErr w:type="gramStart"/>
      <w:r w:rsidR="00BB076B">
        <w:t>plaintiff’s</w:t>
      </w:r>
      <w:proofErr w:type="gramEnd"/>
      <w:r w:rsidRPr="003F08AD">
        <w:t xml:space="preserve"> commitment </w:t>
      </w:r>
      <w:r w:rsidR="00D929DB" w:rsidRPr="003F08AD">
        <w:t>to</w:t>
      </w:r>
      <w:r w:rsidRPr="003F08AD">
        <w:t xml:space="preserve"> have </w:t>
      </w:r>
      <w:r w:rsidR="00D929DB" w:rsidRPr="003F08AD">
        <w:t xml:space="preserve">no </w:t>
      </w:r>
      <w:r w:rsidRPr="003F08AD">
        <w:t xml:space="preserve">contact with Patrick and assigned Patrick a new adviser. </w:t>
      </w:r>
      <w:r w:rsidR="00867FC0" w:rsidRPr="003F08AD">
        <w:t xml:space="preserve"> Despite this informal resolution, Patrick </w:t>
      </w:r>
      <w:r w:rsidR="00E835A3" w:rsidRPr="003F08AD">
        <w:t>ca</w:t>
      </w:r>
      <w:r w:rsidR="00867FC0" w:rsidRPr="003F08AD">
        <w:t>me forward with an official complaint after reading the publicity</w:t>
      </w:r>
      <w:r w:rsidR="00BB076B">
        <w:t>,</w:t>
      </w:r>
      <w:r w:rsidR="00867FC0" w:rsidRPr="003F08AD">
        <w:t xml:space="preserve"> in 2017</w:t>
      </w:r>
      <w:r w:rsidR="00BB076B">
        <w:t>,</w:t>
      </w:r>
      <w:r w:rsidR="00867FC0" w:rsidRPr="003F08AD">
        <w:t xml:space="preserve"> about </w:t>
      </w:r>
      <w:r w:rsidR="00BB076B">
        <w:t>plaintiff’s</w:t>
      </w:r>
      <w:r w:rsidR="00867FC0" w:rsidRPr="003F08AD">
        <w:t xml:space="preserve"> pattern of abus</w:t>
      </w:r>
      <w:r w:rsidR="00B40B50" w:rsidRPr="003F08AD">
        <w:t>ive behavior</w:t>
      </w:r>
      <w:r w:rsidR="00867FC0" w:rsidRPr="003F08AD">
        <w:t>.</w:t>
      </w:r>
    </w:p>
    <w:p w14:paraId="06670378" w14:textId="486B40C6" w:rsidR="003F28B2" w:rsidRPr="003F08AD" w:rsidRDefault="00913934" w:rsidP="00CA5210">
      <w:pPr>
        <w:tabs>
          <w:tab w:val="clear" w:pos="720"/>
        </w:tabs>
        <w:spacing w:line="360" w:lineRule="auto"/>
      </w:pPr>
      <w:r w:rsidRPr="003F08AD">
        <w:tab/>
      </w:r>
      <w:r w:rsidR="00376F46" w:rsidRPr="003F08AD">
        <w:t>T</w:t>
      </w:r>
      <w:r w:rsidR="001F45C2" w:rsidRPr="003F08AD">
        <w:t>he investigat</w:t>
      </w:r>
      <w:r w:rsidR="00376F46" w:rsidRPr="003F08AD">
        <w:t>or</w:t>
      </w:r>
      <w:r w:rsidR="00E835A3" w:rsidRPr="003F08AD">
        <w:t xml:space="preserve"> again</w:t>
      </w:r>
      <w:r w:rsidR="009D2E0F" w:rsidRPr="003F08AD">
        <w:t xml:space="preserve"> </w:t>
      </w:r>
      <w:r w:rsidR="001F45C2" w:rsidRPr="003F08AD">
        <w:t xml:space="preserve">found by a preponderance of the evidence that </w:t>
      </w:r>
      <w:r w:rsidR="006176A5">
        <w:t>plaintiff</w:t>
      </w:r>
      <w:r w:rsidR="001F45C2" w:rsidRPr="003F08AD">
        <w:t xml:space="preserve"> engaged in the alleged misconduct. </w:t>
      </w:r>
      <w:r w:rsidR="000C2BE4" w:rsidRPr="003F08AD">
        <w:t xml:space="preserve"> While </w:t>
      </w:r>
      <w:r w:rsidR="006176A5">
        <w:t>plaintiff’s</w:t>
      </w:r>
      <w:r w:rsidR="000C2BE4" w:rsidRPr="003F08AD">
        <w:t xml:space="preserve"> “overall intent may have been benign,” his </w:t>
      </w:r>
      <w:r w:rsidR="00E54051" w:rsidRPr="003F08AD">
        <w:t>advising approach</w:t>
      </w:r>
      <w:r w:rsidR="000C2BE4" w:rsidRPr="003F08AD">
        <w:t xml:space="preserve"> was detrimental to Patrick</w:t>
      </w:r>
      <w:r w:rsidR="00622BD9" w:rsidRPr="003F08AD">
        <w:t>.  Further,</w:t>
      </w:r>
      <w:r w:rsidR="000C2BE4" w:rsidRPr="003F08AD">
        <w:t xml:space="preserve"> Patrick</w:t>
      </w:r>
      <w:r w:rsidR="00E54051" w:rsidRPr="003F08AD">
        <w:t xml:space="preserve"> </w:t>
      </w:r>
      <w:r w:rsidR="000C2BE4" w:rsidRPr="003F08AD">
        <w:t xml:space="preserve">reasonably </w:t>
      </w:r>
      <w:r w:rsidR="00E835A3" w:rsidRPr="003F08AD">
        <w:t>viewed</w:t>
      </w:r>
      <w:r w:rsidR="000C2BE4" w:rsidRPr="003F08AD">
        <w:t xml:space="preserve"> </w:t>
      </w:r>
      <w:r w:rsidR="006176A5">
        <w:t>plaintiff’s</w:t>
      </w:r>
      <w:r w:rsidR="00E54051" w:rsidRPr="003F08AD">
        <w:t xml:space="preserve"> conduct as</w:t>
      </w:r>
      <w:r w:rsidR="00122163" w:rsidRPr="003F08AD">
        <w:t xml:space="preserve"> unwelcome</w:t>
      </w:r>
      <w:r w:rsidR="00E54051" w:rsidRPr="003F08AD">
        <w:t xml:space="preserve"> and</w:t>
      </w:r>
      <w:r w:rsidR="00122163" w:rsidRPr="003F08AD">
        <w:t xml:space="preserve"> physically aggressive.</w:t>
      </w:r>
    </w:p>
    <w:p w14:paraId="537E2896" w14:textId="3CBBAEC9" w:rsidR="00991A78" w:rsidRPr="00EB1B04" w:rsidRDefault="00913934" w:rsidP="003D08E9">
      <w:pPr>
        <w:pStyle w:val="ListParagraph"/>
        <w:keepNext/>
        <w:numPr>
          <w:ilvl w:val="0"/>
          <w:numId w:val="1"/>
        </w:numPr>
        <w:tabs>
          <w:tab w:val="clear" w:pos="720"/>
        </w:tabs>
        <w:spacing w:line="360" w:lineRule="auto"/>
        <w:ind w:hanging="720"/>
        <w:rPr>
          <w:b/>
          <w:bCs/>
          <w:i/>
          <w:iCs/>
        </w:rPr>
      </w:pPr>
      <w:r w:rsidRPr="00EB1B04">
        <w:rPr>
          <w:b/>
          <w:bCs/>
          <w:i/>
          <w:iCs/>
        </w:rPr>
        <w:t xml:space="preserve">The </w:t>
      </w:r>
      <w:r w:rsidR="00622BD9" w:rsidRPr="00EB1B04">
        <w:rPr>
          <w:b/>
          <w:bCs/>
          <w:i/>
          <w:iCs/>
        </w:rPr>
        <w:t xml:space="preserve">Four </w:t>
      </w:r>
      <w:r w:rsidRPr="00EB1B04">
        <w:rPr>
          <w:b/>
          <w:bCs/>
          <w:i/>
          <w:iCs/>
        </w:rPr>
        <w:t>Charges</w:t>
      </w:r>
      <w:r w:rsidR="00E54051" w:rsidRPr="00EB1B04">
        <w:rPr>
          <w:b/>
          <w:bCs/>
          <w:i/>
          <w:iCs/>
        </w:rPr>
        <w:t xml:space="preserve"> and </w:t>
      </w:r>
      <w:r w:rsidR="000C0E5E" w:rsidRPr="00EB1B04">
        <w:rPr>
          <w:b/>
          <w:bCs/>
          <w:i/>
          <w:iCs/>
        </w:rPr>
        <w:t>Administrative</w:t>
      </w:r>
      <w:r w:rsidR="00EE141C" w:rsidRPr="00EB1B04">
        <w:rPr>
          <w:b/>
          <w:bCs/>
          <w:i/>
          <w:iCs/>
        </w:rPr>
        <w:t xml:space="preserve"> Hearing</w:t>
      </w:r>
      <w:r w:rsidRPr="00EB1B04">
        <w:rPr>
          <w:b/>
          <w:bCs/>
          <w:i/>
          <w:iCs/>
        </w:rPr>
        <w:t>.</w:t>
      </w:r>
    </w:p>
    <w:p w14:paraId="641943B5" w14:textId="6DE3D3EF" w:rsidR="000B550B" w:rsidRPr="003F08AD" w:rsidRDefault="00913934" w:rsidP="00EB1B04">
      <w:pPr>
        <w:tabs>
          <w:tab w:val="clear" w:pos="720"/>
        </w:tabs>
        <w:spacing w:line="360" w:lineRule="auto"/>
      </w:pPr>
      <w:r w:rsidRPr="003F08AD">
        <w:tab/>
      </w:r>
      <w:r w:rsidR="007D27CB" w:rsidRPr="003F08AD">
        <w:t xml:space="preserve">The investigation reports were forwarded to the University’s </w:t>
      </w:r>
      <w:r w:rsidR="00104DD8">
        <w:t>Charges Committee</w:t>
      </w:r>
      <w:r w:rsidR="007D27CB" w:rsidRPr="003F08AD">
        <w:t xml:space="preserve"> to </w:t>
      </w:r>
      <w:r w:rsidR="00376F46" w:rsidRPr="003F08AD">
        <w:t>assess</w:t>
      </w:r>
      <w:r w:rsidR="007D27CB" w:rsidRPr="003F08AD">
        <w:t xml:space="preserve"> whether </w:t>
      </w:r>
      <w:r w:rsidR="00EE141C" w:rsidRPr="003F08AD">
        <w:t xml:space="preserve">there was </w:t>
      </w:r>
      <w:r w:rsidR="007D27CB" w:rsidRPr="003F08AD">
        <w:t>sufficient evidence to initiat</w:t>
      </w:r>
      <w:r w:rsidR="00EE141C" w:rsidRPr="003F08AD">
        <w:t>e</w:t>
      </w:r>
      <w:r w:rsidR="007D27CB" w:rsidRPr="003F08AD">
        <w:t xml:space="preserve"> disciplinary action.</w:t>
      </w:r>
    </w:p>
    <w:p w14:paraId="6FC35B74" w14:textId="06B541FB" w:rsidR="00032BD5" w:rsidRPr="003F08AD" w:rsidRDefault="00913934" w:rsidP="00EB1B04">
      <w:pPr>
        <w:tabs>
          <w:tab w:val="clear" w:pos="720"/>
        </w:tabs>
        <w:spacing w:line="360" w:lineRule="auto"/>
      </w:pPr>
      <w:r w:rsidRPr="003F08AD">
        <w:tab/>
      </w:r>
      <w:r w:rsidR="00991A78" w:rsidRPr="003F08AD">
        <w:t xml:space="preserve">On </w:t>
      </w:r>
      <w:r w:rsidR="00FF1E44">
        <w:t>November 9</w:t>
      </w:r>
      <w:r w:rsidRPr="003F08AD">
        <w:t>, 2018</w:t>
      </w:r>
      <w:r w:rsidR="00991A78" w:rsidRPr="003F08AD">
        <w:t xml:space="preserve">, the </w:t>
      </w:r>
      <w:r w:rsidR="00FF1E44">
        <w:t>Charges Committee</w:t>
      </w:r>
      <w:r w:rsidR="00991A78" w:rsidRPr="003F08AD">
        <w:t xml:space="preserve"> </w:t>
      </w:r>
      <w:r w:rsidR="00EE141C" w:rsidRPr="003F08AD">
        <w:t>found probable cause as to each</w:t>
      </w:r>
      <w:r w:rsidR="00F05EB8" w:rsidRPr="003F08AD">
        <w:t xml:space="preserve"> </w:t>
      </w:r>
      <w:r w:rsidR="00EE141C" w:rsidRPr="003F08AD">
        <w:t>complain</w:t>
      </w:r>
      <w:r w:rsidR="006253CA" w:rsidRPr="003F08AD">
        <w:t>an</w:t>
      </w:r>
      <w:r w:rsidR="00EE141C" w:rsidRPr="003F08AD">
        <w:t>t</w:t>
      </w:r>
      <w:r w:rsidR="006253CA" w:rsidRPr="003F08AD">
        <w:t>:</w:t>
      </w:r>
      <w:r w:rsidR="00EE141C" w:rsidRPr="003F08AD">
        <w:t xml:space="preserve"> </w:t>
      </w:r>
      <w:r w:rsidR="00FF1E44">
        <w:t xml:space="preserve"> </w:t>
      </w:r>
      <w:r w:rsidR="001872B8" w:rsidRPr="003F08AD">
        <w:t xml:space="preserve">Jane </w:t>
      </w:r>
      <w:r w:rsidR="00EE141C" w:rsidRPr="003F08AD">
        <w:t xml:space="preserve">Doe, </w:t>
      </w:r>
      <w:r w:rsidR="00D54A7F">
        <w:t>Anneliese H., Brian G., and Patrick M.</w:t>
      </w:r>
      <w:r w:rsidR="00763971" w:rsidRPr="003F08AD">
        <w:t xml:space="preserve"> </w:t>
      </w:r>
      <w:r w:rsidR="001872B8" w:rsidRPr="003F08AD">
        <w:t xml:space="preserve"> With respect to </w:t>
      </w:r>
      <w:r w:rsidR="00EC30C9" w:rsidRPr="003F08AD">
        <w:t xml:space="preserve">Doe, the </w:t>
      </w:r>
      <w:r w:rsidR="00047247">
        <w:t>Charges Committee</w:t>
      </w:r>
      <w:r w:rsidR="00EC30C9" w:rsidRPr="003F08AD">
        <w:t xml:space="preserve"> acknowledged the investigator did not substantiate a violation of the </w:t>
      </w:r>
      <w:r w:rsidR="00047247">
        <w:t>UCSC sexual harassment policy</w:t>
      </w:r>
      <w:r w:rsidR="00EC30C9" w:rsidRPr="003F08AD">
        <w:t xml:space="preserve"> because </w:t>
      </w:r>
      <w:r w:rsidR="00C92F95" w:rsidRPr="003F08AD">
        <w:t>Doe</w:t>
      </w:r>
      <w:r w:rsidR="00EC30C9" w:rsidRPr="003F08AD">
        <w:t xml:space="preserve"> was not a member of the University community.  </w:t>
      </w:r>
      <w:r w:rsidR="00C92F95" w:rsidRPr="003F08AD">
        <w:t>T</w:t>
      </w:r>
      <w:r w:rsidR="00EC30C9" w:rsidRPr="003F08AD">
        <w:t xml:space="preserve">he </w:t>
      </w:r>
      <w:r w:rsidR="00047247">
        <w:t>committee</w:t>
      </w:r>
      <w:r w:rsidR="00EC30C9" w:rsidRPr="003F08AD">
        <w:t xml:space="preserve"> </w:t>
      </w:r>
      <w:r w:rsidR="00C92F95" w:rsidRPr="003F08AD">
        <w:t xml:space="preserve">nonetheless </w:t>
      </w:r>
      <w:r w:rsidR="00EC30C9" w:rsidRPr="003F08AD">
        <w:t xml:space="preserve">found probable cause </w:t>
      </w:r>
      <w:r w:rsidR="00C92F95" w:rsidRPr="003F08AD">
        <w:t xml:space="preserve">under </w:t>
      </w:r>
      <w:r w:rsidR="007502C7">
        <w:t>part II of the University’s</w:t>
      </w:r>
      <w:r w:rsidR="00C92F95" w:rsidRPr="003F08AD">
        <w:t xml:space="preserve"> </w:t>
      </w:r>
      <w:r w:rsidRPr="003F08AD">
        <w:t>Faculty Code of Conduct</w:t>
      </w:r>
      <w:r w:rsidR="00C92F95" w:rsidRPr="003F08AD">
        <w:t xml:space="preserve"> </w:t>
      </w:r>
      <w:r w:rsidR="007502C7">
        <w:t>(APM</w:t>
      </w:r>
      <w:r w:rsidR="007502C7">
        <w:noBreakHyphen/>
        <w:t>015)</w:t>
      </w:r>
      <w:r w:rsidR="0094312E">
        <w:t>,</w:t>
      </w:r>
      <w:r>
        <w:rPr>
          <w:rStyle w:val="FootnoteReference"/>
        </w:rPr>
        <w:footnoteReference w:id="6"/>
      </w:r>
      <w:r w:rsidRPr="003F08AD">
        <w:t xml:space="preserve"> </w:t>
      </w:r>
      <w:r w:rsidRPr="009D33CD">
        <w:rPr>
          <w:i/>
          <w:iCs/>
        </w:rPr>
        <w:t xml:space="preserve">Professional </w:t>
      </w:r>
      <w:r w:rsidRPr="009D33CD">
        <w:rPr>
          <w:i/>
          <w:iCs/>
        </w:rPr>
        <w:t xml:space="preserve">Responsibilities, Ethical Principles, and </w:t>
      </w:r>
      <w:r w:rsidRPr="009D33CD">
        <w:rPr>
          <w:i/>
          <w:iCs/>
        </w:rPr>
        <w:lastRenderedPageBreak/>
        <w:t>Unacceptable Faculty Conduct</w:t>
      </w:r>
      <w:r w:rsidRPr="003F08AD">
        <w:t xml:space="preserve"> (</w:t>
      </w:r>
      <w:r w:rsidR="00C92F95" w:rsidRPr="003F08AD">
        <w:t xml:space="preserve">hereinafter, </w:t>
      </w:r>
      <w:r w:rsidRPr="003F08AD">
        <w:t xml:space="preserve">Faculty Code of Conduct, </w:t>
      </w:r>
      <w:r w:rsidR="00252565">
        <w:t>Part II</w:t>
      </w:r>
      <w:r w:rsidRPr="003F08AD">
        <w:t xml:space="preserve">), which permits faculty members to be disciplined </w:t>
      </w:r>
      <w:r w:rsidR="00544470">
        <w:t>“ ‘for</w:t>
      </w:r>
      <w:r w:rsidRPr="003F08AD">
        <w:t xml:space="preserve"> conduct which is not justified by the ethical principles</w:t>
      </w:r>
      <w:r w:rsidR="00DD2AEB" w:rsidRPr="003F08AD">
        <w:t>,</w:t>
      </w:r>
      <w:r w:rsidRPr="003F08AD">
        <w:t xml:space="preserve"> and which significantly impairs the University’s central functions as set forth in the </w:t>
      </w:r>
      <w:r w:rsidR="00544470">
        <w:t>Preamble.’ . . . ‘Other</w:t>
      </w:r>
      <w:r w:rsidRPr="003F08AD">
        <w:t xml:space="preserve"> types of serious misconduct, not specifically enumerated herein, may nonetheless be the basis for disciplinary action [if they also meet the preceding </w:t>
      </w:r>
      <w:r w:rsidR="00B44AFF">
        <w:t>standards] . . . .</w:t>
      </w:r>
      <w:r w:rsidRPr="003F08AD">
        <w:t>”</w:t>
      </w:r>
      <w:r>
        <w:rPr>
          <w:rStyle w:val="FootnoteReference"/>
        </w:rPr>
        <w:footnoteReference w:id="7"/>
      </w:r>
    </w:p>
    <w:p w14:paraId="0F8E0B86" w14:textId="208F7E58" w:rsidR="007234ED" w:rsidRPr="003F08AD" w:rsidRDefault="00913934" w:rsidP="00EB1B04">
      <w:pPr>
        <w:tabs>
          <w:tab w:val="clear" w:pos="720"/>
        </w:tabs>
        <w:spacing w:line="360" w:lineRule="auto"/>
      </w:pPr>
      <w:r w:rsidRPr="003F08AD">
        <w:tab/>
      </w:r>
      <w:r w:rsidR="00376F46" w:rsidRPr="003F08AD">
        <w:t>Accordingly, o</w:t>
      </w:r>
      <w:r w:rsidR="00307B75" w:rsidRPr="003F08AD">
        <w:t xml:space="preserve">n </w:t>
      </w:r>
      <w:r w:rsidR="00D31542">
        <w:t>November 14</w:t>
      </w:r>
      <w:r w:rsidR="00307B75" w:rsidRPr="003F08AD">
        <w:t xml:space="preserve">, 2018, </w:t>
      </w:r>
      <w:r w:rsidR="00D31542">
        <w:t>EVC Tromp issued plaintiff a notice of intent to discipline</w:t>
      </w:r>
      <w:r w:rsidR="00307B75" w:rsidRPr="003F08AD">
        <w:t>.  In th</w:t>
      </w:r>
      <w:r w:rsidRPr="003F08AD">
        <w:t xml:space="preserve">e </w:t>
      </w:r>
      <w:r w:rsidR="00D31542">
        <w:t>notice, EVC Tromp</w:t>
      </w:r>
      <w:r w:rsidR="00307B75" w:rsidRPr="003F08AD">
        <w:t xml:space="preserve"> proposed </w:t>
      </w:r>
      <w:r w:rsidRPr="003F08AD">
        <w:t xml:space="preserve">that </w:t>
      </w:r>
      <w:r w:rsidR="00982734">
        <w:t>plaintiff</w:t>
      </w:r>
      <w:r w:rsidRPr="003F08AD">
        <w:t xml:space="preserve"> be dismissed and denied </w:t>
      </w:r>
      <w:r w:rsidR="00982734">
        <w:t>emeritus</w:t>
      </w:r>
      <w:r w:rsidRPr="003F08AD">
        <w:t xml:space="preserve"> status </w:t>
      </w:r>
      <w:r w:rsidR="00307B75" w:rsidRPr="003F08AD">
        <w:t>“based on the egregious nature of [</w:t>
      </w:r>
      <w:r w:rsidRPr="003F08AD">
        <w:t>his</w:t>
      </w:r>
      <w:r w:rsidR="00307B75" w:rsidRPr="003F08AD">
        <w:t xml:space="preserve">] </w:t>
      </w:r>
      <w:r w:rsidR="00B81450">
        <w:t>misconduct </w:t>
      </w:r>
      <w:proofErr w:type="gramStart"/>
      <w:r w:rsidR="00B81450">
        <w:t>. . . .</w:t>
      </w:r>
      <w:proofErr w:type="gramEnd"/>
      <w:r w:rsidRPr="003F08AD">
        <w:t xml:space="preserve">”  </w:t>
      </w:r>
      <w:r w:rsidR="00307B75" w:rsidRPr="003F08AD">
        <w:t xml:space="preserve">She also advised </w:t>
      </w:r>
      <w:r w:rsidR="00B81450">
        <w:t>plaintiff</w:t>
      </w:r>
      <w:r w:rsidR="00307B75" w:rsidRPr="003F08AD">
        <w:t xml:space="preserve"> </w:t>
      </w:r>
      <w:r w:rsidR="00376F46" w:rsidRPr="003F08AD">
        <w:t xml:space="preserve">of his </w:t>
      </w:r>
      <w:r w:rsidR="00307B75" w:rsidRPr="003F08AD">
        <w:t xml:space="preserve">right to a formal hearing </w:t>
      </w:r>
      <w:r w:rsidR="005730A8" w:rsidRPr="003F08AD">
        <w:t xml:space="preserve">under </w:t>
      </w:r>
      <w:r w:rsidR="00B81450">
        <w:t>academic senate bylaw 336</w:t>
      </w:r>
      <w:r w:rsidR="005730A8" w:rsidRPr="003F08AD">
        <w:t xml:space="preserve"> </w:t>
      </w:r>
      <w:r w:rsidR="00307B75" w:rsidRPr="003F08AD">
        <w:t xml:space="preserve">before the Committee on Privileges </w:t>
      </w:r>
      <w:r w:rsidR="003C26CA">
        <w:t>and Tenure (PT Committee)</w:t>
      </w:r>
      <w:r w:rsidR="00307B75" w:rsidRPr="003F08AD">
        <w:t xml:space="preserve"> </w:t>
      </w:r>
      <w:r w:rsidRPr="003F08AD">
        <w:t>prior to the imposition of any disciplinary sanction</w:t>
      </w:r>
      <w:r w:rsidR="00307B75" w:rsidRPr="003F08AD">
        <w:t>.</w:t>
      </w:r>
    </w:p>
    <w:p w14:paraId="429D6365" w14:textId="726371BD" w:rsidR="001650EA" w:rsidRPr="003F08AD" w:rsidRDefault="00913934" w:rsidP="00EB1B04">
      <w:pPr>
        <w:tabs>
          <w:tab w:val="clear" w:pos="720"/>
        </w:tabs>
        <w:spacing w:line="360" w:lineRule="auto"/>
      </w:pPr>
      <w:r w:rsidRPr="003F08AD">
        <w:tab/>
        <w:t>Th</w:t>
      </w:r>
      <w:r w:rsidR="00B86556" w:rsidRPr="003F08AD">
        <w:t>is formal</w:t>
      </w:r>
      <w:r w:rsidRPr="003F08AD">
        <w:t xml:space="preserve"> </w:t>
      </w:r>
      <w:r w:rsidR="0006310F" w:rsidRPr="003F08AD">
        <w:t xml:space="preserve">administrative </w:t>
      </w:r>
      <w:r w:rsidRPr="003F08AD">
        <w:t xml:space="preserve">hearing took place over five days in May 2019.  </w:t>
      </w:r>
      <w:r w:rsidR="0006310F" w:rsidRPr="003F08AD">
        <w:t>Initially</w:t>
      </w:r>
      <w:r w:rsidRPr="003F08AD">
        <w:t xml:space="preserve">, the </w:t>
      </w:r>
      <w:r w:rsidR="00531689">
        <w:t>PT Committee</w:t>
      </w:r>
      <w:r w:rsidR="00375089" w:rsidRPr="003F08AD">
        <w:t xml:space="preserve">, </w:t>
      </w:r>
      <w:r w:rsidR="0006310F" w:rsidRPr="003F08AD">
        <w:t xml:space="preserve">made up </w:t>
      </w:r>
      <w:r w:rsidR="00375089" w:rsidRPr="003F08AD">
        <w:t xml:space="preserve">of three </w:t>
      </w:r>
      <w:r w:rsidR="0006310F" w:rsidRPr="003F08AD">
        <w:t>U</w:t>
      </w:r>
      <w:r w:rsidR="007234ED" w:rsidRPr="003F08AD">
        <w:t>CSC</w:t>
      </w:r>
      <w:r w:rsidR="0006310F" w:rsidRPr="003F08AD">
        <w:t xml:space="preserve"> </w:t>
      </w:r>
      <w:r w:rsidR="00375089" w:rsidRPr="003F08AD">
        <w:t>professors,</w:t>
      </w:r>
      <w:r w:rsidRPr="003F08AD">
        <w:t xml:space="preserve"> heard and denied 12 </w:t>
      </w:r>
      <w:r w:rsidR="00531689">
        <w:t>prehearing</w:t>
      </w:r>
      <w:r w:rsidRPr="003F08AD">
        <w:t xml:space="preserve"> motions brought by </w:t>
      </w:r>
      <w:r w:rsidR="00AF1878">
        <w:t>plaintiff’s</w:t>
      </w:r>
      <w:r w:rsidRPr="003F08AD">
        <w:t xml:space="preserve"> counsel. </w:t>
      </w:r>
      <w:r w:rsidR="007F42C4" w:rsidRPr="003F08AD">
        <w:t xml:space="preserve"> </w:t>
      </w:r>
      <w:r w:rsidR="0032493A" w:rsidRPr="003F08AD">
        <w:t>The</w:t>
      </w:r>
      <w:r w:rsidR="0006310F" w:rsidRPr="003F08AD">
        <w:t xml:space="preserve"> </w:t>
      </w:r>
      <w:r w:rsidR="00682E0D">
        <w:t>committee</w:t>
      </w:r>
      <w:r w:rsidR="0006310F" w:rsidRPr="003F08AD">
        <w:t xml:space="preserve"> then heard</w:t>
      </w:r>
      <w:r w:rsidR="0032493A" w:rsidRPr="003F08AD">
        <w:t xml:space="preserve"> from 11 </w:t>
      </w:r>
      <w:r w:rsidR="00EE141C" w:rsidRPr="003F08AD">
        <w:t xml:space="preserve">University </w:t>
      </w:r>
      <w:r w:rsidR="0032493A" w:rsidRPr="003F08AD">
        <w:t>witnesses</w:t>
      </w:r>
      <w:r w:rsidR="00D13DBF" w:rsidRPr="003F08AD">
        <w:t>,</w:t>
      </w:r>
      <w:r>
        <w:rPr>
          <w:rStyle w:val="FootnoteReference"/>
        </w:rPr>
        <w:footnoteReference w:id="8"/>
      </w:r>
      <w:r w:rsidR="007F42C4" w:rsidRPr="003F08AD">
        <w:t xml:space="preserve"> </w:t>
      </w:r>
      <w:r w:rsidR="00D13DBF" w:rsidRPr="003F08AD">
        <w:t xml:space="preserve">including </w:t>
      </w:r>
      <w:r w:rsidR="00682E0D">
        <w:t>Witness 1</w:t>
      </w:r>
      <w:r w:rsidR="00D3348B" w:rsidRPr="003F08AD">
        <w:t xml:space="preserve"> in the Jane Doe case and </w:t>
      </w:r>
      <w:r w:rsidR="00682E0D">
        <w:t>Anneliese H.</w:t>
      </w:r>
      <w:r w:rsidR="00D3348B" w:rsidRPr="003F08AD">
        <w:t xml:space="preserve">, </w:t>
      </w:r>
      <w:r w:rsidR="0006310F" w:rsidRPr="003F08AD">
        <w:t xml:space="preserve">before </w:t>
      </w:r>
      <w:r w:rsidR="0032493A" w:rsidRPr="003F08AD">
        <w:t>issu</w:t>
      </w:r>
      <w:r w:rsidR="0006310F" w:rsidRPr="003F08AD">
        <w:t>ing</w:t>
      </w:r>
      <w:r w:rsidR="0032493A" w:rsidRPr="003F08AD">
        <w:t xml:space="preserve"> </w:t>
      </w:r>
      <w:r w:rsidR="006E27F9" w:rsidRPr="003F08AD">
        <w:t xml:space="preserve">its final </w:t>
      </w:r>
      <w:r w:rsidR="0006310F" w:rsidRPr="003F08AD">
        <w:t xml:space="preserve">report </w:t>
      </w:r>
      <w:r w:rsidR="0032493A" w:rsidRPr="003F08AD">
        <w:t xml:space="preserve">on </w:t>
      </w:r>
      <w:r w:rsidR="00682E0D">
        <w:t>July 18</w:t>
      </w:r>
      <w:r w:rsidR="0032493A" w:rsidRPr="003F08AD">
        <w:t>, 2019</w:t>
      </w:r>
      <w:r w:rsidR="007F42C4" w:rsidRPr="003F08AD">
        <w:t>.</w:t>
      </w:r>
    </w:p>
    <w:p w14:paraId="55B3D643" w14:textId="5E8FD629" w:rsidR="007F42C4" w:rsidRPr="003F08AD" w:rsidRDefault="00913934" w:rsidP="00EB1B04">
      <w:pPr>
        <w:tabs>
          <w:tab w:val="clear" w:pos="720"/>
        </w:tabs>
        <w:spacing w:line="360" w:lineRule="auto"/>
      </w:pPr>
      <w:r w:rsidRPr="003F08AD">
        <w:tab/>
        <w:t xml:space="preserve">With respect to </w:t>
      </w:r>
      <w:r w:rsidR="00376F46" w:rsidRPr="003F08AD">
        <w:t xml:space="preserve">Jane </w:t>
      </w:r>
      <w:r w:rsidRPr="003F08AD">
        <w:t xml:space="preserve">Doe, the </w:t>
      </w:r>
      <w:r w:rsidR="000C02DD">
        <w:t>PT Committee</w:t>
      </w:r>
      <w:r w:rsidRPr="003F08AD">
        <w:t xml:space="preserve"> found clear and convincing evidence that </w:t>
      </w:r>
      <w:r w:rsidR="00307DD5">
        <w:t>plaintiff</w:t>
      </w:r>
      <w:r w:rsidRPr="003F08AD">
        <w:t xml:space="preserve"> violated </w:t>
      </w:r>
      <w:r w:rsidR="006671B9" w:rsidRPr="003F08AD">
        <w:t xml:space="preserve">the </w:t>
      </w:r>
      <w:r w:rsidRPr="003F08AD">
        <w:t xml:space="preserve">Faculty Code of Conduct, </w:t>
      </w:r>
      <w:r w:rsidR="00307DD5">
        <w:t>Part II</w:t>
      </w:r>
      <w:r w:rsidR="000B550B" w:rsidRPr="003F08AD">
        <w:t>,</w:t>
      </w:r>
      <w:r w:rsidRPr="003F08AD">
        <w:t xml:space="preserve"> </w:t>
      </w:r>
      <w:r w:rsidR="000B550B" w:rsidRPr="003F08AD">
        <w:t>as there</w:t>
      </w:r>
      <w:r w:rsidR="009A648B" w:rsidRPr="003F08AD">
        <w:t xml:space="preserve"> was “no </w:t>
      </w:r>
      <w:r w:rsidR="006E27F9" w:rsidRPr="003F08AD">
        <w:t>question</w:t>
      </w:r>
      <w:r w:rsidR="009A648B" w:rsidRPr="003F08AD">
        <w:t xml:space="preserve">” his conduct toward Doe </w:t>
      </w:r>
      <w:r w:rsidR="00E83E0A" w:rsidRPr="003F08AD">
        <w:t xml:space="preserve">at an academic </w:t>
      </w:r>
      <w:r w:rsidR="00E83E0A" w:rsidRPr="003F08AD">
        <w:lastRenderedPageBreak/>
        <w:t xml:space="preserve">event </w:t>
      </w:r>
      <w:r w:rsidR="009A648B" w:rsidRPr="003F08AD">
        <w:t xml:space="preserve">was </w:t>
      </w:r>
      <w:r w:rsidR="00376F46" w:rsidRPr="003F08AD">
        <w:t xml:space="preserve">not </w:t>
      </w:r>
      <w:r w:rsidR="009A648B" w:rsidRPr="003F08AD">
        <w:t>justified by ethical principles</w:t>
      </w:r>
      <w:r w:rsidR="00376F46" w:rsidRPr="003F08AD">
        <w:t xml:space="preserve"> and </w:t>
      </w:r>
      <w:r w:rsidR="009A648B" w:rsidRPr="003F08AD">
        <w:t xml:space="preserve">undermined the University’s central function to </w:t>
      </w:r>
      <w:r w:rsidR="006E27F9" w:rsidRPr="003F08AD">
        <w:t xml:space="preserve">provide an environment </w:t>
      </w:r>
      <w:r w:rsidR="00307DD5">
        <w:t>“ ‘conducive</w:t>
      </w:r>
      <w:r w:rsidR="006E27F9" w:rsidRPr="003F08AD">
        <w:t xml:space="preserve"> to sharing, extending, and critically examining knowledge and values, and to furthering the search for </w:t>
      </w:r>
      <w:r w:rsidR="00307DD5">
        <w:t>wisdom.’ ”</w:t>
      </w:r>
    </w:p>
    <w:p w14:paraId="180DA3BA" w14:textId="62406799" w:rsidR="00675ADA" w:rsidRPr="003F08AD" w:rsidRDefault="00913934" w:rsidP="00EB1B04">
      <w:pPr>
        <w:tabs>
          <w:tab w:val="clear" w:pos="720"/>
        </w:tabs>
        <w:spacing w:line="360" w:lineRule="auto"/>
      </w:pPr>
      <w:r w:rsidRPr="003F08AD">
        <w:tab/>
      </w:r>
      <w:r w:rsidR="00EE141C" w:rsidRPr="003F08AD">
        <w:t>As to</w:t>
      </w:r>
      <w:r w:rsidRPr="003F08AD">
        <w:t xml:space="preserve"> </w:t>
      </w:r>
      <w:r w:rsidR="00F6642D">
        <w:t>Anneliese H., the PT </w:t>
      </w:r>
      <w:r w:rsidR="001F64C8">
        <w:t>Committee</w:t>
      </w:r>
      <w:r w:rsidRPr="003F08AD">
        <w:t xml:space="preserve"> found by clear and convincing evidence that </w:t>
      </w:r>
      <w:r w:rsidR="002A727B">
        <w:t>plaintiff’s</w:t>
      </w:r>
      <w:r w:rsidR="00EE141C" w:rsidRPr="003F08AD">
        <w:t xml:space="preserve"> conduct</w:t>
      </w:r>
      <w:r w:rsidRPr="003F08AD">
        <w:t xml:space="preserve"> violated</w:t>
      </w:r>
      <w:r w:rsidR="00E45FF9" w:rsidRPr="003F08AD">
        <w:t xml:space="preserve"> “</w:t>
      </w:r>
      <w:r w:rsidR="00C575DB">
        <w:t>APM 015 II.C.7:</w:t>
      </w:r>
      <w:r w:rsidR="007250D7">
        <w:t xml:space="preserve">  Serious</w:t>
      </w:r>
      <w:r w:rsidR="00E45FF9" w:rsidRPr="003F08AD">
        <w:t xml:space="preserve"> violation of University policies governing the professional conduct of faculty (specifically, the University Policy on Sexual Harassment, 2006)</w:t>
      </w:r>
      <w:r w:rsidR="000B550B" w:rsidRPr="003F08AD">
        <w:t>.</w:t>
      </w:r>
      <w:r w:rsidR="00E45FF9" w:rsidRPr="003F08AD">
        <w:t>”</w:t>
      </w:r>
      <w:r>
        <w:rPr>
          <w:rStyle w:val="FootnoteReference"/>
        </w:rPr>
        <w:footnoteReference w:id="9"/>
      </w:r>
      <w:r w:rsidR="00E45FF9" w:rsidRPr="003F08AD">
        <w:t xml:space="preserve">  </w:t>
      </w:r>
      <w:r w:rsidR="00376F46" w:rsidRPr="003F08AD">
        <w:t>It also found</w:t>
      </w:r>
      <w:r w:rsidRPr="003F08AD">
        <w:t xml:space="preserve"> “a close nexus” between </w:t>
      </w:r>
      <w:r w:rsidR="007250D7">
        <w:t>plaintiff</w:t>
      </w:r>
      <w:r w:rsidRPr="003F08AD">
        <w:t xml:space="preserve"> in his role as University representative and his conduct</w:t>
      </w:r>
      <w:r w:rsidR="00640408" w:rsidRPr="003F08AD">
        <w:t xml:space="preserve">, </w:t>
      </w:r>
      <w:r w:rsidR="00376F46" w:rsidRPr="003F08AD">
        <w:t>since</w:t>
      </w:r>
      <w:r w:rsidRPr="003F08AD">
        <w:t xml:space="preserve"> he was invited to the graduation party where he met </w:t>
      </w:r>
      <w:r w:rsidR="005D6F36">
        <w:t>Anneliese</w:t>
      </w:r>
      <w:r w:rsidRPr="003F08AD">
        <w:t xml:space="preserve"> by a student who </w:t>
      </w:r>
      <w:r w:rsidR="005D6F36">
        <w:t>sought</w:t>
      </w:r>
      <w:r w:rsidRPr="003F08AD">
        <w:t xml:space="preserve"> to foster his mentorship.  </w:t>
      </w:r>
      <w:r w:rsidR="00640408" w:rsidRPr="003F08AD">
        <w:t>Then</w:t>
      </w:r>
      <w:r w:rsidRPr="003F08AD">
        <w:t xml:space="preserve">, after using his professor status to </w:t>
      </w:r>
      <w:r w:rsidR="00F05EB8" w:rsidRPr="003F08AD">
        <w:t>connect</w:t>
      </w:r>
      <w:r w:rsidRPr="003F08AD">
        <w:t xml:space="preserve"> with these women, </w:t>
      </w:r>
      <w:r w:rsidR="0050322C">
        <w:t>plaintiff treated Anneliese</w:t>
      </w:r>
      <w:r w:rsidRPr="003F08AD">
        <w:t xml:space="preserve"> in an “unwelcome, deeply harm[</w:t>
      </w:r>
      <w:proofErr w:type="spellStart"/>
      <w:r w:rsidRPr="003F08AD">
        <w:t>ful</w:t>
      </w:r>
      <w:proofErr w:type="spellEnd"/>
      <w:r w:rsidRPr="003F08AD">
        <w:t xml:space="preserve">]” </w:t>
      </w:r>
      <w:r w:rsidR="0050322C">
        <w:t>manner—conduct</w:t>
      </w:r>
      <w:r w:rsidRPr="003F08AD">
        <w:t xml:space="preserve"> </w:t>
      </w:r>
      <w:r w:rsidR="000774FF" w:rsidRPr="003F08AD">
        <w:t xml:space="preserve">that </w:t>
      </w:r>
      <w:r w:rsidRPr="003F08AD">
        <w:t xml:space="preserve">constituted a </w:t>
      </w:r>
      <w:proofErr w:type="gramStart"/>
      <w:r w:rsidR="0050322C">
        <w:t>“ ‘</w:t>
      </w:r>
      <w:proofErr w:type="gramEnd"/>
      <w:r w:rsidR="0050322C">
        <w:t>serious</w:t>
      </w:r>
      <w:r w:rsidRPr="003F08AD">
        <w:t xml:space="preserve"> violation of University policies governing the professional conduct of </w:t>
      </w:r>
      <w:r w:rsidR="0050322C">
        <w:t>faculty’</w:t>
      </w:r>
      <w:r w:rsidRPr="003F08AD">
        <w:t xml:space="preserve"> within the meaning of the </w:t>
      </w:r>
      <w:r w:rsidR="000774FF" w:rsidRPr="003F08AD">
        <w:t>[</w:t>
      </w:r>
      <w:r w:rsidRPr="003F08AD">
        <w:t>F</w:t>
      </w:r>
      <w:r w:rsidR="000774FF" w:rsidRPr="003F08AD">
        <w:t xml:space="preserve">aculty </w:t>
      </w:r>
      <w:r w:rsidRPr="003F08AD">
        <w:t>C</w:t>
      </w:r>
      <w:r w:rsidR="000774FF" w:rsidRPr="003F08AD">
        <w:t xml:space="preserve">ode of </w:t>
      </w:r>
      <w:r w:rsidRPr="003F08AD">
        <w:t>C</w:t>
      </w:r>
      <w:r w:rsidR="000774FF" w:rsidRPr="003F08AD">
        <w:t>onduct]</w:t>
      </w:r>
      <w:r w:rsidRPr="003F08AD">
        <w:t xml:space="preserve">, </w:t>
      </w:r>
      <w:r w:rsidR="0050322C">
        <w:t>APM 015 II.C.7.</w:t>
      </w:r>
      <w:r w:rsidR="000774FF" w:rsidRPr="003F08AD">
        <w:t>”</w:t>
      </w:r>
    </w:p>
    <w:p w14:paraId="1706C636" w14:textId="5BD33651" w:rsidR="005E13C5" w:rsidRPr="003F08AD" w:rsidRDefault="00913934" w:rsidP="00EB1B04">
      <w:pPr>
        <w:tabs>
          <w:tab w:val="clear" w:pos="720"/>
        </w:tabs>
        <w:spacing w:line="360" w:lineRule="auto"/>
      </w:pPr>
      <w:r w:rsidRPr="003F08AD">
        <w:tab/>
      </w:r>
      <w:r w:rsidR="00EE141C" w:rsidRPr="003F08AD">
        <w:t>T</w:t>
      </w:r>
      <w:r w:rsidRPr="003F08AD">
        <w:t xml:space="preserve">he </w:t>
      </w:r>
      <w:r w:rsidR="00B77671">
        <w:t>PT Committee</w:t>
      </w:r>
      <w:r w:rsidRPr="003F08AD">
        <w:t xml:space="preserve"> </w:t>
      </w:r>
      <w:r w:rsidR="00EE141C" w:rsidRPr="003F08AD">
        <w:t xml:space="preserve">also </w:t>
      </w:r>
      <w:r w:rsidRPr="003F08AD">
        <w:t xml:space="preserve">found </w:t>
      </w:r>
      <w:r w:rsidR="00B77671">
        <w:t>plaintiff’s</w:t>
      </w:r>
      <w:r w:rsidRPr="003F08AD">
        <w:t xml:space="preserve"> conduct independently violated </w:t>
      </w:r>
      <w:r w:rsidR="00640408" w:rsidRPr="003F08AD">
        <w:t xml:space="preserve">other </w:t>
      </w:r>
      <w:r w:rsidRPr="003F08AD">
        <w:t>Faculty Code of Conduct</w:t>
      </w:r>
      <w:r w:rsidR="00640408" w:rsidRPr="003F08AD">
        <w:t xml:space="preserve"> provisions</w:t>
      </w:r>
      <w:r w:rsidRPr="003F08AD">
        <w:t xml:space="preserve">.  As in the case of </w:t>
      </w:r>
      <w:r w:rsidR="006671B9" w:rsidRPr="003F08AD">
        <w:t xml:space="preserve">Jane </w:t>
      </w:r>
      <w:r w:rsidRPr="003F08AD">
        <w:t xml:space="preserve">Doe, his </w:t>
      </w:r>
      <w:r w:rsidR="006671B9" w:rsidRPr="003F08AD">
        <w:t>sexual abuse</w:t>
      </w:r>
      <w:r w:rsidRPr="003F08AD">
        <w:t xml:space="preserve"> of </w:t>
      </w:r>
      <w:r w:rsidR="00991C4D">
        <w:t>Anneliese</w:t>
      </w:r>
      <w:r w:rsidRPr="003F08AD">
        <w:t xml:space="preserve"> was not justified by ethical principles and </w:t>
      </w:r>
      <w:r w:rsidRPr="003F08AD">
        <w:lastRenderedPageBreak/>
        <w:t>significantly impaired the University’s central functions</w:t>
      </w:r>
      <w:r w:rsidR="006671B9" w:rsidRPr="003F08AD">
        <w:t xml:space="preserve"> and, as such, violated the Faculty Code of Conduct, </w:t>
      </w:r>
      <w:r w:rsidR="00991C4D">
        <w:t>Part II</w:t>
      </w:r>
      <w:r w:rsidRPr="003F08AD">
        <w:t>.</w:t>
      </w:r>
    </w:p>
    <w:p w14:paraId="781496CF" w14:textId="4B283D2D" w:rsidR="0079504B" w:rsidRPr="003F08AD" w:rsidRDefault="00913934" w:rsidP="00EB1B04">
      <w:pPr>
        <w:tabs>
          <w:tab w:val="clear" w:pos="720"/>
        </w:tabs>
        <w:spacing w:line="360" w:lineRule="auto"/>
      </w:pPr>
      <w:r w:rsidRPr="003F08AD">
        <w:tab/>
      </w:r>
      <w:r w:rsidR="009A648B" w:rsidRPr="003F08AD">
        <w:t>With respect to</w:t>
      </w:r>
      <w:r w:rsidRPr="003F08AD">
        <w:t xml:space="preserve"> </w:t>
      </w:r>
      <w:r w:rsidR="00991C4D">
        <w:t>Brian G., the PT Committee</w:t>
      </w:r>
      <w:r w:rsidRPr="003F08AD">
        <w:t xml:space="preserve"> </w:t>
      </w:r>
      <w:r w:rsidR="00640408" w:rsidRPr="003F08AD">
        <w:t>found</w:t>
      </w:r>
      <w:r w:rsidR="00E66141" w:rsidRPr="003F08AD">
        <w:t xml:space="preserve"> evidence </w:t>
      </w:r>
      <w:r w:rsidRPr="003F08AD">
        <w:t xml:space="preserve">that </w:t>
      </w:r>
      <w:r w:rsidR="00991C4D">
        <w:t>plaintiff</w:t>
      </w:r>
      <w:r w:rsidRPr="003F08AD">
        <w:t xml:space="preserve"> violated the </w:t>
      </w:r>
      <w:r w:rsidR="00E66141" w:rsidRPr="003F08AD">
        <w:t>U</w:t>
      </w:r>
      <w:r w:rsidRPr="003F08AD">
        <w:t xml:space="preserve">niversity’s </w:t>
      </w:r>
      <w:r w:rsidR="00991C4D">
        <w:t>policy on substance abuse</w:t>
      </w:r>
      <w:r w:rsidRPr="003F08AD">
        <w:t xml:space="preserve"> </w:t>
      </w:r>
      <w:r w:rsidR="009A648B" w:rsidRPr="003F08AD">
        <w:t>by</w:t>
      </w:r>
      <w:r w:rsidRPr="003F08AD">
        <w:t xml:space="preserve"> knowingly provid</w:t>
      </w:r>
      <w:r w:rsidR="009A648B" w:rsidRPr="003F08AD">
        <w:t>ing</w:t>
      </w:r>
      <w:r w:rsidRPr="003F08AD">
        <w:t xml:space="preserve"> </w:t>
      </w:r>
      <w:proofErr w:type="gramStart"/>
      <w:r w:rsidR="00640408" w:rsidRPr="003F08AD">
        <w:t>him</w:t>
      </w:r>
      <w:proofErr w:type="gramEnd"/>
      <w:r w:rsidR="00640408" w:rsidRPr="003F08AD">
        <w:t xml:space="preserve"> </w:t>
      </w:r>
      <w:r w:rsidRPr="003F08AD">
        <w:t xml:space="preserve">alcohol and cocaine.  </w:t>
      </w:r>
      <w:r w:rsidR="006E27F9" w:rsidRPr="003F08AD">
        <w:t xml:space="preserve">However, </w:t>
      </w:r>
      <w:r w:rsidR="00E66141" w:rsidRPr="003F08AD">
        <w:t xml:space="preserve">it concluded the evidence presented at the hearing did not meet the </w:t>
      </w:r>
      <w:r w:rsidR="006E27F9" w:rsidRPr="003F08AD">
        <w:t xml:space="preserve">clear and convincing </w:t>
      </w:r>
      <w:r w:rsidR="00E66141" w:rsidRPr="003F08AD">
        <w:t>standard since Brian was vague as to key information</w:t>
      </w:r>
      <w:r w:rsidR="00640408" w:rsidRPr="003F08AD">
        <w:t>, including t</w:t>
      </w:r>
      <w:r w:rsidR="00E66141" w:rsidRPr="003F08AD">
        <w:t xml:space="preserve">imes, </w:t>
      </w:r>
      <w:r w:rsidR="00F05EB8" w:rsidRPr="003F08AD">
        <w:t>persons,</w:t>
      </w:r>
      <w:r w:rsidR="00E66141" w:rsidRPr="003F08AD">
        <w:t xml:space="preserve"> and dates</w:t>
      </w:r>
      <w:r w:rsidR="006E27F9" w:rsidRPr="003F08AD">
        <w:t xml:space="preserve">. </w:t>
      </w:r>
      <w:r w:rsidR="00E66141" w:rsidRPr="003F08AD">
        <w:t xml:space="preserve"> Accordingly, this charge was dismissed.</w:t>
      </w:r>
    </w:p>
    <w:p w14:paraId="25E01F19" w14:textId="61BFCA2D" w:rsidR="0079504B" w:rsidRPr="003F08AD" w:rsidRDefault="00913934" w:rsidP="00EB1B04">
      <w:pPr>
        <w:tabs>
          <w:tab w:val="clear" w:pos="720"/>
        </w:tabs>
        <w:spacing w:line="360" w:lineRule="auto"/>
      </w:pPr>
      <w:r w:rsidRPr="003F08AD">
        <w:tab/>
      </w:r>
      <w:r w:rsidR="00EC1823" w:rsidRPr="003F08AD">
        <w:t xml:space="preserve">Lastly, the </w:t>
      </w:r>
      <w:r w:rsidR="000962D4">
        <w:t>PT Committee</w:t>
      </w:r>
      <w:r w:rsidRPr="003F08AD">
        <w:t xml:space="preserve"> </w:t>
      </w:r>
      <w:r w:rsidR="0050570B" w:rsidRPr="003F08AD">
        <w:t xml:space="preserve">dismissed the charge </w:t>
      </w:r>
      <w:r w:rsidR="007234ED" w:rsidRPr="003F08AD">
        <w:t xml:space="preserve">relating to </w:t>
      </w:r>
      <w:r w:rsidR="000962D4">
        <w:t>Patrick M.</w:t>
      </w:r>
      <w:r w:rsidR="007234ED" w:rsidRPr="003F08AD">
        <w:t xml:space="preserve"> </w:t>
      </w:r>
      <w:r w:rsidR="0050570B" w:rsidRPr="003F08AD">
        <w:t xml:space="preserve">based on the three-year </w:t>
      </w:r>
      <w:r w:rsidR="000962D4">
        <w:t>limitations period</w:t>
      </w:r>
      <w:r w:rsidR="0050570B" w:rsidRPr="003F08AD">
        <w:t xml:space="preserve"> set forth in the</w:t>
      </w:r>
      <w:r w:rsidRPr="003F08AD">
        <w:t xml:space="preserve"> </w:t>
      </w:r>
      <w:r w:rsidR="00EC1823" w:rsidRPr="003F08AD">
        <w:t>Faculty Code of Conduct</w:t>
      </w:r>
      <w:r w:rsidR="0050570B" w:rsidRPr="003F08AD">
        <w:t>.</w:t>
      </w:r>
      <w:r>
        <w:rPr>
          <w:rStyle w:val="FootnoteReference"/>
        </w:rPr>
        <w:footnoteReference w:id="10"/>
      </w:r>
    </w:p>
    <w:p w14:paraId="170E8D92" w14:textId="15BC1098" w:rsidR="0079504B" w:rsidRPr="003F08AD" w:rsidRDefault="00913934" w:rsidP="00EB1B04">
      <w:pPr>
        <w:tabs>
          <w:tab w:val="clear" w:pos="720"/>
        </w:tabs>
        <w:spacing w:line="360" w:lineRule="auto"/>
      </w:pPr>
      <w:r w:rsidRPr="003F08AD">
        <w:tab/>
      </w:r>
      <w:r w:rsidR="00640408" w:rsidRPr="003F08AD">
        <w:t xml:space="preserve">Thus, </w:t>
      </w:r>
      <w:r w:rsidR="00D75D8B" w:rsidRPr="003F08AD">
        <w:t xml:space="preserve">having </w:t>
      </w:r>
      <w:r w:rsidR="006710DE" w:rsidRPr="003F08AD">
        <w:t xml:space="preserve">unanimously </w:t>
      </w:r>
      <w:r w:rsidR="001C2F94" w:rsidRPr="003F08AD">
        <w:t xml:space="preserve">found </w:t>
      </w:r>
      <w:r w:rsidR="006A05DF">
        <w:t>plaintiff</w:t>
      </w:r>
      <w:r w:rsidR="0054066E" w:rsidRPr="003F08AD">
        <w:t xml:space="preserve"> committed</w:t>
      </w:r>
      <w:r w:rsidR="001C2F94" w:rsidRPr="003F08AD">
        <w:t xml:space="preserve"> </w:t>
      </w:r>
      <w:r w:rsidR="0054066E" w:rsidRPr="003F08AD">
        <w:t>serious</w:t>
      </w:r>
      <w:r w:rsidRPr="003F08AD">
        <w:t xml:space="preserve"> violat</w:t>
      </w:r>
      <w:r w:rsidR="0054066E" w:rsidRPr="003F08AD">
        <w:t xml:space="preserve">ions of </w:t>
      </w:r>
      <w:r w:rsidRPr="003F08AD">
        <w:t>the F</w:t>
      </w:r>
      <w:r w:rsidR="0054066E" w:rsidRPr="003F08AD">
        <w:t xml:space="preserve">aculty </w:t>
      </w:r>
      <w:r w:rsidRPr="003F08AD">
        <w:t>C</w:t>
      </w:r>
      <w:r w:rsidR="0054066E" w:rsidRPr="003F08AD">
        <w:t xml:space="preserve">ode of </w:t>
      </w:r>
      <w:r w:rsidRPr="003F08AD">
        <w:t>C</w:t>
      </w:r>
      <w:r w:rsidR="0054066E" w:rsidRPr="003F08AD">
        <w:t>onduct</w:t>
      </w:r>
      <w:r w:rsidR="00640408" w:rsidRPr="003F08AD">
        <w:t xml:space="preserve"> in the cases of Doe and </w:t>
      </w:r>
      <w:r w:rsidR="006A05DF">
        <w:t>Anneliese H., the PT Committee</w:t>
      </w:r>
      <w:r w:rsidR="00D75D8B" w:rsidRPr="003F08AD">
        <w:t xml:space="preserve"> recommended </w:t>
      </w:r>
      <w:r w:rsidR="007234ED" w:rsidRPr="003F08AD">
        <w:t xml:space="preserve">his </w:t>
      </w:r>
      <w:r w:rsidRPr="003F08AD">
        <w:t xml:space="preserve">dismissal and denial of </w:t>
      </w:r>
      <w:r w:rsidR="006A05DF">
        <w:t>emeritus</w:t>
      </w:r>
      <w:r w:rsidRPr="003F08AD">
        <w:t xml:space="preserve"> status.</w:t>
      </w:r>
    </w:p>
    <w:p w14:paraId="585EEB5F" w14:textId="75E65F56" w:rsidR="0054066E" w:rsidRPr="00D85411" w:rsidRDefault="00913934" w:rsidP="00FE47AA">
      <w:pPr>
        <w:pStyle w:val="ListParagraph"/>
        <w:keepNext/>
        <w:numPr>
          <w:ilvl w:val="0"/>
          <w:numId w:val="1"/>
        </w:numPr>
        <w:tabs>
          <w:tab w:val="clear" w:pos="720"/>
        </w:tabs>
        <w:spacing w:line="360" w:lineRule="auto"/>
        <w:ind w:hanging="720"/>
        <w:rPr>
          <w:b/>
          <w:bCs/>
          <w:i/>
          <w:iCs/>
        </w:rPr>
      </w:pPr>
      <w:r w:rsidRPr="00D85411">
        <w:rPr>
          <w:b/>
          <w:bCs/>
          <w:i/>
          <w:iCs/>
        </w:rPr>
        <w:t>Plaintiff’s</w:t>
      </w:r>
      <w:r w:rsidR="0098161E" w:rsidRPr="00D85411">
        <w:rPr>
          <w:b/>
          <w:bCs/>
          <w:i/>
          <w:iCs/>
        </w:rPr>
        <w:t xml:space="preserve"> Dismissal and Denial of Emeritus Status.</w:t>
      </w:r>
    </w:p>
    <w:p w14:paraId="10BD445D" w14:textId="5BE1D6E5" w:rsidR="00D352F7" w:rsidRPr="003F08AD" w:rsidRDefault="00913934" w:rsidP="00FE47AA">
      <w:pPr>
        <w:tabs>
          <w:tab w:val="clear" w:pos="720"/>
        </w:tabs>
        <w:spacing w:line="360" w:lineRule="auto"/>
      </w:pPr>
      <w:r w:rsidRPr="003F08AD">
        <w:tab/>
      </w:r>
      <w:r w:rsidR="0098161E" w:rsidRPr="003F08AD">
        <w:t xml:space="preserve">On </w:t>
      </w:r>
      <w:r w:rsidR="006A05DF">
        <w:t>August 15</w:t>
      </w:r>
      <w:r w:rsidR="0098161E" w:rsidRPr="003F08AD">
        <w:t>, 2019, U</w:t>
      </w:r>
      <w:r w:rsidR="006710DE" w:rsidRPr="003F08AD">
        <w:t>CSC</w:t>
      </w:r>
      <w:r w:rsidR="0098161E" w:rsidRPr="003F08AD">
        <w:t xml:space="preserve"> Chancellor </w:t>
      </w:r>
      <w:r w:rsidR="00350F6B">
        <w:t>Cynthia K.</w:t>
      </w:r>
      <w:r w:rsidR="0098161E" w:rsidRPr="003F08AD">
        <w:t xml:space="preserve"> Larive</w:t>
      </w:r>
      <w:r w:rsidR="00F33B67" w:rsidRPr="003F08AD">
        <w:t xml:space="preserve"> </w:t>
      </w:r>
      <w:r w:rsidR="00350F6B">
        <w:t xml:space="preserve">notified plaintiff that she had </w:t>
      </w:r>
      <w:r w:rsidR="0098161E" w:rsidRPr="003F08AD">
        <w:t>adopted the unanimous findings and recommendation</w:t>
      </w:r>
      <w:r w:rsidR="00827372" w:rsidRPr="003F08AD">
        <w:t>s</w:t>
      </w:r>
      <w:r w:rsidR="0098161E" w:rsidRPr="003F08AD">
        <w:t xml:space="preserve"> of </w:t>
      </w:r>
      <w:r w:rsidR="00827372" w:rsidRPr="003F08AD">
        <w:t xml:space="preserve">dismissal and denial of </w:t>
      </w:r>
      <w:r w:rsidR="00350F6B">
        <w:t>emeritus</w:t>
      </w:r>
      <w:r w:rsidR="00827372" w:rsidRPr="003F08AD">
        <w:t xml:space="preserve"> status </w:t>
      </w:r>
      <w:r w:rsidR="0098161E" w:rsidRPr="003F08AD">
        <w:t>set forth in th</w:t>
      </w:r>
      <w:r w:rsidR="0006310F" w:rsidRPr="003F08AD">
        <w:t>e</w:t>
      </w:r>
      <w:r w:rsidR="0098161E" w:rsidRPr="003F08AD">
        <w:t xml:space="preserve"> </w:t>
      </w:r>
      <w:r w:rsidR="00350F6B">
        <w:t>PT Committee’s</w:t>
      </w:r>
      <w:r w:rsidR="00827372" w:rsidRPr="003F08AD">
        <w:t xml:space="preserve"> </w:t>
      </w:r>
      <w:r w:rsidR="0098161E" w:rsidRPr="003F08AD">
        <w:t>July 2019</w:t>
      </w:r>
      <w:r w:rsidR="0006310F" w:rsidRPr="003F08AD">
        <w:t xml:space="preserve"> report</w:t>
      </w:r>
      <w:r w:rsidR="0098161E" w:rsidRPr="003F08AD">
        <w:t xml:space="preserve">.  Chancellor Larive </w:t>
      </w:r>
      <w:r w:rsidR="0006310F" w:rsidRPr="003F08AD">
        <w:t>also</w:t>
      </w:r>
      <w:r w:rsidR="0098161E" w:rsidRPr="003F08AD">
        <w:t xml:space="preserve"> imposed the </w:t>
      </w:r>
      <w:r w:rsidR="006253CA" w:rsidRPr="003F08AD">
        <w:t xml:space="preserve">interim </w:t>
      </w:r>
      <w:r w:rsidR="0098161E" w:rsidRPr="003F08AD">
        <w:t xml:space="preserve">sanction of </w:t>
      </w:r>
      <w:r w:rsidR="006253CA" w:rsidRPr="003F08AD">
        <w:t>“</w:t>
      </w:r>
      <w:r w:rsidR="0098161E" w:rsidRPr="003F08AD">
        <w:t xml:space="preserve">suspension without pay effective with the date of this letter until the earlier of either: </w:t>
      </w:r>
      <w:r w:rsidR="000C1206">
        <w:t>1) dismissal</w:t>
      </w:r>
      <w:r w:rsidR="0098161E" w:rsidRPr="003F08AD">
        <w:t xml:space="preserve"> pursuant to my recommendation; or </w:t>
      </w:r>
      <w:r w:rsidR="000C1206">
        <w:t>2) twenty (20)</w:t>
      </w:r>
      <w:r w:rsidR="0098161E" w:rsidRPr="003F08AD">
        <w:t xml:space="preserve"> years.”  </w:t>
      </w:r>
      <w:r w:rsidR="00827372" w:rsidRPr="003F08AD">
        <w:t xml:space="preserve">In doing so, </w:t>
      </w:r>
      <w:r w:rsidR="0098161E" w:rsidRPr="003F08AD">
        <w:t xml:space="preserve">Chancellor Larive </w:t>
      </w:r>
      <w:r w:rsidR="00827372" w:rsidRPr="003F08AD">
        <w:t xml:space="preserve">informed </w:t>
      </w:r>
      <w:r w:rsidR="00206786">
        <w:t>plaintiff</w:t>
      </w:r>
      <w:r w:rsidR="0098161E" w:rsidRPr="003F08AD">
        <w:t xml:space="preserve"> that, while “not relevant to my recommendations to the President and Regents, or the </w:t>
      </w:r>
      <w:r w:rsidR="0098161E" w:rsidRPr="003F08AD">
        <w:lastRenderedPageBreak/>
        <w:t xml:space="preserve">exercise of my authority under [the </w:t>
      </w:r>
      <w:r w:rsidR="000C1206">
        <w:t>academic senate bylaws</w:t>
      </w:r>
      <w:r w:rsidR="0098161E" w:rsidRPr="003F08AD">
        <w:t xml:space="preserve">], it is notable that the record before me is devoid of any acknowledgement from </w:t>
      </w:r>
      <w:r w:rsidR="006253CA" w:rsidRPr="003F08AD">
        <w:t>you</w:t>
      </w:r>
      <w:r w:rsidR="0098161E" w:rsidRPr="003F08AD">
        <w:t xml:space="preserve"> about </w:t>
      </w:r>
      <w:r w:rsidR="006253CA" w:rsidRPr="003F08AD">
        <w:t>your</w:t>
      </w:r>
      <w:r w:rsidR="0098161E" w:rsidRPr="003F08AD">
        <w:t xml:space="preserve"> behavior or the detrimental impacts of </w:t>
      </w:r>
      <w:r w:rsidR="006253CA" w:rsidRPr="003F08AD">
        <w:t>your</w:t>
      </w:r>
      <w:r w:rsidR="0098161E" w:rsidRPr="003F08AD">
        <w:t xml:space="preserve"> misconduct on the direct victims or the University.”</w:t>
      </w:r>
    </w:p>
    <w:p w14:paraId="4288F5EA" w14:textId="6302A793" w:rsidR="00D73D01" w:rsidRPr="003F08AD" w:rsidRDefault="00913934" w:rsidP="00FE47AA">
      <w:pPr>
        <w:tabs>
          <w:tab w:val="clear" w:pos="720"/>
        </w:tabs>
        <w:spacing w:line="360" w:lineRule="auto"/>
      </w:pPr>
      <w:r w:rsidRPr="003F08AD">
        <w:tab/>
        <w:t xml:space="preserve">On </w:t>
      </w:r>
      <w:r w:rsidR="00BD31F5">
        <w:t>August 23</w:t>
      </w:r>
      <w:r w:rsidR="002E63EB" w:rsidRPr="003F08AD">
        <w:t xml:space="preserve">, 2019, University </w:t>
      </w:r>
      <w:r w:rsidR="006253CA" w:rsidRPr="003F08AD">
        <w:t xml:space="preserve">of California </w:t>
      </w:r>
      <w:r w:rsidR="002E63EB" w:rsidRPr="003F08AD">
        <w:t xml:space="preserve">President Janet Napolitano </w:t>
      </w:r>
      <w:r w:rsidR="006253CA" w:rsidRPr="003F08AD">
        <w:t>issued a decision</w:t>
      </w:r>
      <w:r w:rsidR="00BD31F5">
        <w:t>,</w:t>
      </w:r>
      <w:r w:rsidR="006253CA" w:rsidRPr="003F08AD">
        <w:t xml:space="preserve"> based on her </w:t>
      </w:r>
      <w:r w:rsidR="00827372" w:rsidRPr="003F08AD">
        <w:t xml:space="preserve">own </w:t>
      </w:r>
      <w:r w:rsidR="006253CA" w:rsidRPr="003F08AD">
        <w:t>independent review of the record</w:t>
      </w:r>
      <w:r w:rsidR="00BD31F5">
        <w:t>,</w:t>
      </w:r>
      <w:r w:rsidR="006253CA" w:rsidRPr="003F08AD">
        <w:t xml:space="preserve"> </w:t>
      </w:r>
      <w:r w:rsidR="002E63EB" w:rsidRPr="003F08AD">
        <w:t>recommend</w:t>
      </w:r>
      <w:r w:rsidR="006253CA" w:rsidRPr="003F08AD">
        <w:t>ing</w:t>
      </w:r>
      <w:r w:rsidR="002E63EB" w:rsidRPr="003F08AD">
        <w:t xml:space="preserve"> t</w:t>
      </w:r>
      <w:r w:rsidR="00B94682" w:rsidRPr="003F08AD">
        <w:t>hat</w:t>
      </w:r>
      <w:r w:rsidR="002E63EB" w:rsidRPr="003F08AD">
        <w:t xml:space="preserve"> </w:t>
      </w:r>
      <w:r w:rsidR="00ED7960">
        <w:t>the</w:t>
      </w:r>
      <w:r w:rsidR="002E63EB" w:rsidRPr="003F08AD">
        <w:t xml:space="preserve"> Regents </w:t>
      </w:r>
      <w:r w:rsidR="00B94682" w:rsidRPr="003F08AD">
        <w:t xml:space="preserve">dismiss </w:t>
      </w:r>
      <w:r w:rsidR="00BD31F5">
        <w:t>plaintiff</w:t>
      </w:r>
      <w:r w:rsidR="002E63EB" w:rsidRPr="003F08AD">
        <w:t xml:space="preserve"> from the </w:t>
      </w:r>
      <w:r w:rsidR="006253CA" w:rsidRPr="003F08AD">
        <w:t xml:space="preserve">University’s </w:t>
      </w:r>
      <w:r w:rsidR="002E63EB" w:rsidRPr="003F08AD">
        <w:t>employ.</w:t>
      </w:r>
      <w:r>
        <w:rPr>
          <w:rStyle w:val="FootnoteReference"/>
        </w:rPr>
        <w:footnoteReference w:id="11"/>
      </w:r>
    </w:p>
    <w:p w14:paraId="119079A8" w14:textId="1011287C" w:rsidR="00611B83" w:rsidRPr="003F08AD" w:rsidRDefault="00913934" w:rsidP="00FE47AA">
      <w:pPr>
        <w:tabs>
          <w:tab w:val="clear" w:pos="720"/>
        </w:tabs>
        <w:spacing w:line="360" w:lineRule="auto"/>
      </w:pPr>
      <w:r w:rsidRPr="003F08AD">
        <w:tab/>
      </w:r>
      <w:r w:rsidR="00AD0734" w:rsidRPr="003F08AD">
        <w:t xml:space="preserve">In September 2019, </w:t>
      </w:r>
      <w:r w:rsidR="00ED7960">
        <w:t>the</w:t>
      </w:r>
      <w:r w:rsidR="00AD0734" w:rsidRPr="003F08AD">
        <w:t xml:space="preserve"> Regents held a meeting </w:t>
      </w:r>
      <w:r w:rsidR="006253CA" w:rsidRPr="003F08AD">
        <w:t>to</w:t>
      </w:r>
      <w:r w:rsidR="00AD0734" w:rsidRPr="003F08AD">
        <w:t xml:space="preserve"> consider President Napolitano’s recommendation </w:t>
      </w:r>
      <w:r w:rsidR="003F692C" w:rsidRPr="003F08AD">
        <w:t>of</w:t>
      </w:r>
      <w:r w:rsidR="00AD0734" w:rsidRPr="003F08AD">
        <w:t xml:space="preserve"> dismiss</w:t>
      </w:r>
      <w:r w:rsidR="003F692C" w:rsidRPr="003F08AD">
        <w:t>al</w:t>
      </w:r>
      <w:r w:rsidR="00AD0734" w:rsidRPr="003F08AD">
        <w:t xml:space="preserve">.  </w:t>
      </w:r>
      <w:r w:rsidR="00744270">
        <w:t>Plaintiff</w:t>
      </w:r>
      <w:r w:rsidR="00522494" w:rsidRPr="003F08AD">
        <w:t xml:space="preserve"> did not avail himself of the opportunity to appear personally or through </w:t>
      </w:r>
      <w:r w:rsidR="003F692C" w:rsidRPr="003F08AD">
        <w:t>counsel</w:t>
      </w:r>
      <w:r w:rsidR="00522494" w:rsidRPr="003F08AD">
        <w:t>.  H</w:t>
      </w:r>
      <w:r w:rsidR="006253CA" w:rsidRPr="003F08AD">
        <w:t>e did, h</w:t>
      </w:r>
      <w:r w:rsidR="00522494" w:rsidRPr="003F08AD">
        <w:t>owever</w:t>
      </w:r>
      <w:r w:rsidR="00AD0734" w:rsidRPr="003F08AD">
        <w:t xml:space="preserve">, </w:t>
      </w:r>
      <w:r w:rsidRPr="003F08AD">
        <w:t>submit a written statement argu</w:t>
      </w:r>
      <w:r w:rsidR="006253CA" w:rsidRPr="003F08AD">
        <w:t>ing that</w:t>
      </w:r>
      <w:r w:rsidRPr="003F08AD">
        <w:t xml:space="preserve"> the University lacked jurisdiction to pursue either incident of sexual misconduct because the</w:t>
      </w:r>
      <w:r w:rsidR="003F692C" w:rsidRPr="003F08AD">
        <w:t>y</w:t>
      </w:r>
      <w:r w:rsidRPr="003F08AD">
        <w:t xml:space="preserve"> occurred off campus and involved </w:t>
      </w:r>
      <w:r w:rsidR="003F692C" w:rsidRPr="003F08AD">
        <w:t>nonstudents</w:t>
      </w:r>
      <w:r w:rsidRPr="003F08AD">
        <w:t xml:space="preserve">. </w:t>
      </w:r>
      <w:r w:rsidR="00522494" w:rsidRPr="003F08AD">
        <w:t xml:space="preserve"> At the meeting’s conclusion, </w:t>
      </w:r>
      <w:r w:rsidR="00ED7960">
        <w:t>the</w:t>
      </w:r>
      <w:r w:rsidR="005730A8" w:rsidRPr="003F08AD">
        <w:t xml:space="preserve"> Regents unanimously voted in favor of </w:t>
      </w:r>
      <w:r w:rsidR="00744270">
        <w:t>plaintiff’s</w:t>
      </w:r>
      <w:r w:rsidR="005730A8" w:rsidRPr="003F08AD">
        <w:t xml:space="preserve"> dismissal</w:t>
      </w:r>
      <w:r w:rsidR="006253CA" w:rsidRPr="003F08AD">
        <w:t xml:space="preserve"> and denial of </w:t>
      </w:r>
      <w:r w:rsidR="00744270">
        <w:t>emeritus</w:t>
      </w:r>
      <w:r w:rsidR="006253CA" w:rsidRPr="003F08AD">
        <w:t xml:space="preserve"> status</w:t>
      </w:r>
      <w:r w:rsidR="005730A8" w:rsidRPr="003F08AD">
        <w:t>.</w:t>
      </w:r>
    </w:p>
    <w:p w14:paraId="544A6B74" w14:textId="64A4EE3F" w:rsidR="00611B83" w:rsidRPr="00ED7960" w:rsidRDefault="00913934" w:rsidP="003D08E9">
      <w:pPr>
        <w:pStyle w:val="ListParagraph"/>
        <w:keepNext/>
        <w:numPr>
          <w:ilvl w:val="0"/>
          <w:numId w:val="1"/>
        </w:numPr>
        <w:tabs>
          <w:tab w:val="clear" w:pos="720"/>
        </w:tabs>
        <w:spacing w:line="360" w:lineRule="auto"/>
        <w:ind w:hanging="720"/>
        <w:rPr>
          <w:b/>
          <w:bCs/>
          <w:i/>
          <w:iCs/>
        </w:rPr>
      </w:pPr>
      <w:r w:rsidRPr="00ED7960">
        <w:rPr>
          <w:b/>
          <w:bCs/>
          <w:i/>
          <w:iCs/>
        </w:rPr>
        <w:t xml:space="preserve">Petition for </w:t>
      </w:r>
      <w:r w:rsidR="00904CD9" w:rsidRPr="00ED7960">
        <w:rPr>
          <w:b/>
          <w:bCs/>
          <w:i/>
          <w:iCs/>
        </w:rPr>
        <w:t>Writ of Administrative Manda</w:t>
      </w:r>
      <w:r w:rsidR="006253CA" w:rsidRPr="00ED7960">
        <w:rPr>
          <w:b/>
          <w:bCs/>
          <w:i/>
          <w:iCs/>
        </w:rPr>
        <w:t>te</w:t>
      </w:r>
      <w:r w:rsidRPr="00ED7960">
        <w:rPr>
          <w:b/>
          <w:bCs/>
          <w:i/>
          <w:iCs/>
        </w:rPr>
        <w:t>.</w:t>
      </w:r>
    </w:p>
    <w:p w14:paraId="47DE3C78" w14:textId="04EE95E9" w:rsidR="0054066E" w:rsidRPr="003F08AD" w:rsidRDefault="00913934" w:rsidP="00C0144F">
      <w:pPr>
        <w:tabs>
          <w:tab w:val="clear" w:pos="720"/>
        </w:tabs>
        <w:spacing w:line="360" w:lineRule="auto"/>
      </w:pPr>
      <w:r w:rsidRPr="003F08AD">
        <w:tab/>
        <w:t xml:space="preserve">On </w:t>
      </w:r>
      <w:r w:rsidR="00F51FEA">
        <w:t>October 2, 2020, plaintiff</w:t>
      </w:r>
      <w:r w:rsidRPr="003F08AD">
        <w:t xml:space="preserve"> filed </w:t>
      </w:r>
      <w:r w:rsidR="00904CD9" w:rsidRPr="003F08AD">
        <w:t xml:space="preserve">the operative third amended </w:t>
      </w:r>
      <w:r w:rsidRPr="003F08AD">
        <w:t xml:space="preserve">petition for </w:t>
      </w:r>
      <w:r w:rsidR="00904CD9" w:rsidRPr="003F08AD">
        <w:t>writ of administrative</w:t>
      </w:r>
      <w:r w:rsidRPr="003F08AD">
        <w:t xml:space="preserve"> manda</w:t>
      </w:r>
      <w:r w:rsidR="006253CA" w:rsidRPr="003F08AD">
        <w:t>te</w:t>
      </w:r>
      <w:r w:rsidRPr="003F08AD">
        <w:t xml:space="preserve"> in Alameda Superior Court.  </w:t>
      </w:r>
      <w:r w:rsidR="003F692C" w:rsidRPr="003F08AD">
        <w:t>A</w:t>
      </w:r>
      <w:r w:rsidRPr="003F08AD">
        <w:t xml:space="preserve"> hearing was held on </w:t>
      </w:r>
      <w:r w:rsidR="00F51FEA">
        <w:t>September 1</w:t>
      </w:r>
      <w:r w:rsidR="00904CD9" w:rsidRPr="003F08AD">
        <w:t>, 2021</w:t>
      </w:r>
      <w:r w:rsidRPr="003F08AD">
        <w:t xml:space="preserve">. </w:t>
      </w:r>
      <w:r w:rsidR="00904CD9" w:rsidRPr="003F08AD">
        <w:t xml:space="preserve"> </w:t>
      </w:r>
      <w:r w:rsidR="003F692C" w:rsidRPr="003F08AD">
        <w:t>Afterward, t</w:t>
      </w:r>
      <w:r w:rsidRPr="003F08AD">
        <w:t xml:space="preserve">he court denied </w:t>
      </w:r>
      <w:r w:rsidR="003F692C" w:rsidRPr="003F08AD">
        <w:t xml:space="preserve">the </w:t>
      </w:r>
      <w:r w:rsidR="00DF0F16">
        <w:t>petition, declining to set aside the administrative findings or sanction</w:t>
      </w:r>
      <w:r w:rsidRPr="003F08AD">
        <w:t>.  This timely appeal followed.</w:t>
      </w:r>
    </w:p>
    <w:p w14:paraId="1E8AE0ED" w14:textId="3C916FBD" w:rsidR="005D5CFB" w:rsidRPr="003F08AD" w:rsidRDefault="00913934" w:rsidP="00C0144F">
      <w:pPr>
        <w:keepNext/>
        <w:tabs>
          <w:tab w:val="clear" w:pos="720"/>
        </w:tabs>
        <w:spacing w:line="360" w:lineRule="auto"/>
        <w:jc w:val="center"/>
        <w:rPr>
          <w:b/>
          <w:bCs/>
        </w:rPr>
      </w:pPr>
      <w:r w:rsidRPr="003F08AD">
        <w:rPr>
          <w:b/>
          <w:bCs/>
        </w:rPr>
        <w:t>DISCUSSION</w:t>
      </w:r>
    </w:p>
    <w:p w14:paraId="1EFD6A8E" w14:textId="662A7F58" w:rsidR="006D345B" w:rsidRPr="003F08AD" w:rsidRDefault="00913934" w:rsidP="00C0144F">
      <w:pPr>
        <w:tabs>
          <w:tab w:val="clear" w:pos="720"/>
        </w:tabs>
        <w:spacing w:line="360" w:lineRule="auto"/>
      </w:pPr>
      <w:r w:rsidRPr="003F08AD">
        <w:tab/>
      </w:r>
      <w:r w:rsidR="00236569">
        <w:t>Plaintiff</w:t>
      </w:r>
      <w:r w:rsidRPr="003F08AD">
        <w:t xml:space="preserve"> </w:t>
      </w:r>
      <w:r w:rsidR="00083DF4" w:rsidRPr="003F08AD">
        <w:t>contends</w:t>
      </w:r>
      <w:r w:rsidRPr="003F08AD">
        <w:t xml:space="preserve"> on appeal: </w:t>
      </w:r>
      <w:r w:rsidR="00236569">
        <w:t>(1) the</w:t>
      </w:r>
      <w:r w:rsidR="00083DF4" w:rsidRPr="003F08AD">
        <w:t xml:space="preserve"> University lacked jurisdiction to discipline him </w:t>
      </w:r>
      <w:r w:rsidRPr="003F08AD">
        <w:t>with respect to</w:t>
      </w:r>
      <w:r w:rsidR="00083DF4" w:rsidRPr="003F08AD">
        <w:t xml:space="preserve"> Jane Doe or </w:t>
      </w:r>
      <w:r w:rsidR="00236569">
        <w:t>Anneliese H.</w:t>
      </w:r>
      <w:r w:rsidR="00083DF4" w:rsidRPr="003F08AD">
        <w:t xml:space="preserve"> </w:t>
      </w:r>
      <w:r w:rsidRPr="003F08AD">
        <w:t xml:space="preserve">because they were </w:t>
      </w:r>
      <w:r w:rsidRPr="003F08AD">
        <w:lastRenderedPageBreak/>
        <w:t>not University students</w:t>
      </w:r>
      <w:r w:rsidR="00EC1701">
        <w:t>; (2) in</w:t>
      </w:r>
      <w:r w:rsidR="00C82CD0" w:rsidRPr="003F08AD">
        <w:t xml:space="preserve"> the case of Jane Doe, </w:t>
      </w:r>
      <w:r w:rsidR="006A452B" w:rsidRPr="003F08AD">
        <w:t>he</w:t>
      </w:r>
      <w:r w:rsidR="00083DF4" w:rsidRPr="003F08AD">
        <w:t xml:space="preserve"> </w:t>
      </w:r>
      <w:r w:rsidR="00C82CD0" w:rsidRPr="003F08AD">
        <w:t xml:space="preserve">cannot be disciplined for </w:t>
      </w:r>
      <w:r w:rsidR="00083DF4" w:rsidRPr="003F08AD">
        <w:t>violat</w:t>
      </w:r>
      <w:r w:rsidR="00C82CD0" w:rsidRPr="003F08AD">
        <w:t>ing</w:t>
      </w:r>
      <w:r w:rsidR="00083DF4" w:rsidRPr="003F08AD">
        <w:t xml:space="preserve"> general ethical principles </w:t>
      </w:r>
      <w:r w:rsidR="00C82CD0" w:rsidRPr="003F08AD">
        <w:t>and there was no evidence his conduct</w:t>
      </w:r>
      <w:r w:rsidR="00083DF4" w:rsidRPr="003F08AD">
        <w:t xml:space="preserve"> significantly impaired the University’s central functions</w:t>
      </w:r>
      <w:r w:rsidR="00EC1701">
        <w:t>; (3) in</w:t>
      </w:r>
      <w:r w:rsidR="00C82CD0" w:rsidRPr="003F08AD">
        <w:t xml:space="preserve"> the case of</w:t>
      </w:r>
      <w:r w:rsidR="00083DF4" w:rsidRPr="003F08AD">
        <w:t xml:space="preserve"> </w:t>
      </w:r>
      <w:r w:rsidR="00EC1701">
        <w:t>Anneliese H.</w:t>
      </w:r>
      <w:r w:rsidR="00C82CD0" w:rsidRPr="003F08AD">
        <w:t>, he cannot be disciplined for</w:t>
      </w:r>
      <w:r w:rsidR="00083DF4" w:rsidRPr="003F08AD">
        <w:t xml:space="preserve"> violat</w:t>
      </w:r>
      <w:r w:rsidR="00C82CD0" w:rsidRPr="003F08AD">
        <w:t>ing</w:t>
      </w:r>
      <w:r w:rsidR="00083DF4" w:rsidRPr="003F08AD">
        <w:t xml:space="preserve"> </w:t>
      </w:r>
      <w:r w:rsidR="006A452B" w:rsidRPr="003F08AD">
        <w:t xml:space="preserve">uncharged </w:t>
      </w:r>
      <w:r w:rsidR="00083DF4" w:rsidRPr="003F08AD">
        <w:t>provisions of the Faculty Code of Conduct</w:t>
      </w:r>
      <w:r w:rsidR="00761CF9" w:rsidRPr="003F08AD">
        <w:t xml:space="preserve"> for which he </w:t>
      </w:r>
      <w:r w:rsidR="00D74647" w:rsidRPr="003F08AD">
        <w:t>did not receive</w:t>
      </w:r>
      <w:r w:rsidR="00761CF9" w:rsidRPr="003F08AD">
        <w:t xml:space="preserve"> notice</w:t>
      </w:r>
      <w:r w:rsidR="00614D10">
        <w:t>; and (4) the</w:t>
      </w:r>
      <w:r w:rsidR="00083DF4" w:rsidRPr="003F08AD">
        <w:t xml:space="preserve"> sanctions of dismissal and denial of </w:t>
      </w:r>
      <w:r w:rsidR="00614D10">
        <w:t>emeritus</w:t>
      </w:r>
      <w:r w:rsidR="00083DF4" w:rsidRPr="003F08AD">
        <w:t xml:space="preserve"> status </w:t>
      </w:r>
      <w:r w:rsidR="00B94682" w:rsidRPr="003F08AD">
        <w:t>we</w:t>
      </w:r>
      <w:r w:rsidR="00C82CD0" w:rsidRPr="003F08AD">
        <w:t>re</w:t>
      </w:r>
      <w:r w:rsidR="00083DF4" w:rsidRPr="003F08AD">
        <w:t xml:space="preserve"> excessive.</w:t>
      </w:r>
      <w:r w:rsidRPr="003F08AD">
        <w:t xml:space="preserve">  We address these contentions </w:t>
      </w:r>
      <w:r w:rsidR="00B94682" w:rsidRPr="003F08AD">
        <w:rPr>
          <w:i/>
          <w:iCs/>
        </w:rPr>
        <w:t>post</w:t>
      </w:r>
      <w:r w:rsidR="00614D10">
        <w:t>,</w:t>
      </w:r>
      <w:r w:rsidR="00B94682" w:rsidRPr="003F08AD">
        <w:t xml:space="preserve"> </w:t>
      </w:r>
      <w:r w:rsidRPr="003F08AD">
        <w:t xml:space="preserve">in </w:t>
      </w:r>
      <w:r w:rsidR="002D32C6" w:rsidRPr="003F08AD">
        <w:t>appropriate order</w:t>
      </w:r>
      <w:r w:rsidRPr="003F08AD">
        <w:t>.</w:t>
      </w:r>
      <w:r>
        <w:rPr>
          <w:rStyle w:val="FootnoteReference"/>
        </w:rPr>
        <w:footnoteReference w:id="12"/>
      </w:r>
    </w:p>
    <w:p w14:paraId="3DCEF95A" w14:textId="098A796D" w:rsidR="00365079" w:rsidRPr="00C0144F" w:rsidRDefault="00913934" w:rsidP="009A06D3">
      <w:pPr>
        <w:pStyle w:val="ListParagraph"/>
        <w:keepNext/>
        <w:numPr>
          <w:ilvl w:val="0"/>
          <w:numId w:val="3"/>
        </w:numPr>
        <w:tabs>
          <w:tab w:val="clear" w:pos="720"/>
        </w:tabs>
        <w:spacing w:line="360" w:lineRule="auto"/>
        <w:ind w:left="720"/>
        <w:rPr>
          <w:i/>
          <w:iCs/>
          <w:shd w:val="clear" w:color="auto" w:fill="FFFFFF"/>
        </w:rPr>
      </w:pPr>
      <w:r w:rsidRPr="00C0144F">
        <w:rPr>
          <w:b/>
          <w:bCs/>
          <w:i/>
          <w:iCs/>
          <w:shd w:val="clear" w:color="auto" w:fill="FFFFFF"/>
        </w:rPr>
        <w:t>Administrative Mandate: Standard of Review.</w:t>
      </w:r>
    </w:p>
    <w:p w14:paraId="785A1D9C" w14:textId="4430E708" w:rsidR="00365079" w:rsidRPr="00C0144F" w:rsidRDefault="00913934" w:rsidP="00C0144F">
      <w:pPr>
        <w:tabs>
          <w:tab w:val="clear" w:pos="720"/>
        </w:tabs>
        <w:spacing w:line="360" w:lineRule="auto"/>
        <w:rPr>
          <w:rStyle w:val="ssit"/>
          <w:i/>
          <w:iCs/>
          <w:bdr w:val="none" w:sz="0" w:space="0" w:color="auto" w:frame="1"/>
          <w:shd w:val="clear" w:color="auto" w:fill="FFFFFF"/>
        </w:rPr>
      </w:pPr>
      <w:r w:rsidRPr="00C0144F">
        <w:rPr>
          <w:shd w:val="clear" w:color="auto" w:fill="FFFFFF"/>
        </w:rPr>
        <w:tab/>
      </w:r>
      <w:r w:rsidR="007842A3" w:rsidRPr="00C0144F">
        <w:rPr>
          <w:shd w:val="clear" w:color="auto" w:fill="FFFFFF"/>
        </w:rPr>
        <w:t xml:space="preserve">“To prevail, a petitioner seeking a writ of administrative mandate must show the agency (in this case, </w:t>
      </w:r>
      <w:r w:rsidR="00A05575">
        <w:rPr>
          <w:shd w:val="clear" w:color="auto" w:fill="FFFFFF"/>
        </w:rPr>
        <w:t>[the University]</w:t>
      </w:r>
      <w:r w:rsidR="00DD2AEB" w:rsidRPr="00C0144F">
        <w:rPr>
          <w:shd w:val="clear" w:color="auto" w:fill="FFFFFF"/>
        </w:rPr>
        <w:t>)</w:t>
      </w:r>
      <w:r w:rsidR="007842A3" w:rsidRPr="00C0144F">
        <w:rPr>
          <w:shd w:val="clear" w:color="auto" w:fill="FFFFFF"/>
        </w:rPr>
        <w:t xml:space="preserve"> </w:t>
      </w:r>
      <w:r w:rsidR="00F36889">
        <w:rPr>
          <w:shd w:val="clear" w:color="auto" w:fill="FFFFFF"/>
        </w:rPr>
        <w:t>(1) acted</w:t>
      </w:r>
      <w:r w:rsidR="007842A3" w:rsidRPr="00C0144F">
        <w:rPr>
          <w:shd w:val="clear" w:color="auto" w:fill="FFFFFF"/>
        </w:rPr>
        <w:t xml:space="preserve"> without, or </w:t>
      </w:r>
      <w:proofErr w:type="gramStart"/>
      <w:r w:rsidR="007842A3" w:rsidRPr="00C0144F">
        <w:rPr>
          <w:shd w:val="clear" w:color="auto" w:fill="FFFFFF"/>
        </w:rPr>
        <w:t>in excess of</w:t>
      </w:r>
      <w:proofErr w:type="gramEnd"/>
      <w:r w:rsidR="007842A3" w:rsidRPr="00C0144F">
        <w:rPr>
          <w:shd w:val="clear" w:color="auto" w:fill="FFFFFF"/>
        </w:rPr>
        <w:t xml:space="preserve">, its jurisdiction; </w:t>
      </w:r>
      <w:r w:rsidR="00D955AC">
        <w:rPr>
          <w:shd w:val="clear" w:color="auto" w:fill="FFFFFF"/>
        </w:rPr>
        <w:t>(2) deprived</w:t>
      </w:r>
      <w:r w:rsidR="007842A3" w:rsidRPr="00C0144F">
        <w:rPr>
          <w:shd w:val="clear" w:color="auto" w:fill="FFFFFF"/>
        </w:rPr>
        <w:t xml:space="preserve"> the petitioner of a fair administrative hearing; or </w:t>
      </w:r>
      <w:r w:rsidR="00D955AC">
        <w:rPr>
          <w:shd w:val="clear" w:color="auto" w:fill="FFFFFF"/>
        </w:rPr>
        <w:t>(3) committed</w:t>
      </w:r>
      <w:r w:rsidR="007842A3" w:rsidRPr="00C0144F">
        <w:rPr>
          <w:shd w:val="clear" w:color="auto" w:fill="FFFFFF"/>
        </w:rPr>
        <w:t xml:space="preserve"> a prejudicial abuse of discretion. </w:t>
      </w:r>
      <w:r w:rsidR="00D955AC">
        <w:rPr>
          <w:shd w:val="clear" w:color="auto" w:fill="FFFFFF"/>
        </w:rPr>
        <w:t xml:space="preserve"> </w:t>
      </w:r>
      <w:r w:rsidR="007842A3" w:rsidRPr="00C0144F">
        <w:rPr>
          <w:shd w:val="clear" w:color="auto" w:fill="FFFFFF"/>
        </w:rPr>
        <w:t xml:space="preserve">(§ 1094.5, subd. </w:t>
      </w:r>
      <w:r w:rsidR="00D955AC">
        <w:rPr>
          <w:shd w:val="clear" w:color="auto" w:fill="FFFFFF"/>
        </w:rPr>
        <w:t xml:space="preserve">(b); </w:t>
      </w:r>
      <w:r w:rsidR="00D955AC">
        <w:rPr>
          <w:i/>
          <w:iCs/>
          <w:shd w:val="clear" w:color="auto" w:fill="FFFFFF"/>
        </w:rPr>
        <w:t>Doe</w:t>
      </w:r>
      <w:r w:rsidR="007842A3" w:rsidRPr="00C0144F">
        <w:rPr>
          <w:i/>
          <w:iCs/>
          <w:shd w:val="clear" w:color="auto" w:fill="FFFFFF"/>
        </w:rPr>
        <w:t xml:space="preserve"> v. University of Southern California</w:t>
      </w:r>
      <w:r w:rsidR="007842A3" w:rsidRPr="00C0144F">
        <w:rPr>
          <w:shd w:val="clear" w:color="auto" w:fill="FFFFFF"/>
        </w:rPr>
        <w:t xml:space="preserve"> (2016) 246 Cal.App.4th 221, 239 [200 Cal.Rptr.3d 851] (</w:t>
      </w:r>
      <w:r w:rsidR="007842A3" w:rsidRPr="00C0144F">
        <w:rPr>
          <w:i/>
          <w:iCs/>
          <w:shd w:val="clear" w:color="auto" w:fill="FFFFFF"/>
        </w:rPr>
        <w:t xml:space="preserve">Southern </w:t>
      </w:r>
      <w:r w:rsidR="00D955AC">
        <w:rPr>
          <w:i/>
          <w:iCs/>
          <w:shd w:val="clear" w:color="auto" w:fill="FFFFFF"/>
        </w:rPr>
        <w:t>California I</w:t>
      </w:r>
      <w:r w:rsidR="00D955AC">
        <w:rPr>
          <w:shd w:val="clear" w:color="auto" w:fill="FFFFFF"/>
        </w:rPr>
        <w:t>) [</w:t>
      </w:r>
      <w:r w:rsidR="00D955AC" w:rsidRPr="006A30DA">
        <w:rPr>
          <w:shd w:val="clear" w:color="auto" w:fill="FFFFFF"/>
        </w:rPr>
        <w:t>§</w:t>
      </w:r>
      <w:r w:rsidR="00D955AC">
        <w:rPr>
          <w:shd w:val="clear" w:color="auto" w:fill="FFFFFF"/>
        </w:rPr>
        <w:t> 1094.5’s</w:t>
      </w:r>
      <w:r w:rsidR="007842A3" w:rsidRPr="00C0144F">
        <w:rPr>
          <w:shd w:val="clear" w:color="auto" w:fill="FFFFFF"/>
        </w:rPr>
        <w:t xml:space="preserve"> ‘fair trial’ requirement means there must be a fair administrative hearing].) </w:t>
      </w:r>
      <w:r w:rsidR="003C1581">
        <w:rPr>
          <w:shd w:val="clear" w:color="auto" w:fill="FFFFFF"/>
        </w:rPr>
        <w:t xml:space="preserve"> </w:t>
      </w:r>
      <w:r w:rsidR="007842A3" w:rsidRPr="00C0144F">
        <w:rPr>
          <w:shd w:val="clear" w:color="auto" w:fill="FFFFFF"/>
        </w:rPr>
        <w:t xml:space="preserve">[Fn. </w:t>
      </w:r>
      <w:r w:rsidR="00AF77CB">
        <w:rPr>
          <w:shd w:val="clear" w:color="auto" w:fill="FFFFFF"/>
        </w:rPr>
        <w:t xml:space="preserve">omitted.] </w:t>
      </w:r>
      <w:r w:rsidR="003C1581">
        <w:rPr>
          <w:shd w:val="clear" w:color="auto" w:fill="FFFFFF"/>
        </w:rPr>
        <w:t xml:space="preserve"> </w:t>
      </w:r>
      <w:proofErr w:type="gramStart"/>
      <w:r w:rsidR="00AF77CB">
        <w:rPr>
          <w:shd w:val="clear" w:color="auto" w:fill="FFFFFF"/>
        </w:rPr>
        <w:t>‘ “</w:t>
      </w:r>
      <w:proofErr w:type="gramEnd"/>
      <w:r w:rsidR="00AF77CB">
        <w:rPr>
          <w:shd w:val="clear" w:color="auto" w:fill="FFFFFF"/>
        </w:rPr>
        <w:t>Abuse</w:t>
      </w:r>
      <w:r w:rsidR="007842A3" w:rsidRPr="00C0144F">
        <w:rPr>
          <w:shd w:val="clear" w:color="auto" w:fill="FFFFFF"/>
        </w:rPr>
        <w:t xml:space="preserve"> of discretion is established if the [agency] has not proceeded in the manner required by law, the order or decision is not supported by the findings, or the findings are not supported by the </w:t>
      </w:r>
      <w:r w:rsidR="00833232">
        <w:rPr>
          <w:shd w:val="clear" w:color="auto" w:fill="FFFFFF"/>
        </w:rPr>
        <w:t>evidence.” ’  [Citations.]</w:t>
      </w:r>
      <w:r w:rsidR="00A52ED7">
        <w:rPr>
          <w:shd w:val="clear" w:color="auto" w:fill="FFFFFF"/>
        </w:rPr>
        <w:t>”  (</w:t>
      </w:r>
      <w:r w:rsidR="00A52ED7">
        <w:rPr>
          <w:i/>
          <w:iCs/>
          <w:shd w:val="clear" w:color="auto" w:fill="FFFFFF"/>
        </w:rPr>
        <w:t>Doe</w:t>
      </w:r>
      <w:r w:rsidR="007842A3" w:rsidRPr="00C0144F">
        <w:rPr>
          <w:i/>
          <w:iCs/>
          <w:shd w:val="clear" w:color="auto" w:fill="FFFFFF"/>
        </w:rPr>
        <w:t xml:space="preserve"> v. Regents of University of California</w:t>
      </w:r>
      <w:r w:rsidR="007842A3" w:rsidRPr="00C0144F">
        <w:rPr>
          <w:shd w:val="clear" w:color="auto" w:fill="FFFFFF"/>
        </w:rPr>
        <w:t xml:space="preserve"> </w:t>
      </w:r>
      <w:r w:rsidR="00A52ED7">
        <w:rPr>
          <w:shd w:val="clear" w:color="auto" w:fill="FFFFFF"/>
        </w:rPr>
        <w:t>(2021)</w:t>
      </w:r>
      <w:r w:rsidR="007842A3" w:rsidRPr="00C0144F">
        <w:rPr>
          <w:shd w:val="clear" w:color="auto" w:fill="FFFFFF"/>
        </w:rPr>
        <w:t xml:space="preserve"> 70 Cal.App.5th 521, 532.)</w:t>
      </w:r>
    </w:p>
    <w:p w14:paraId="1354D2DD" w14:textId="0A873066" w:rsidR="007842A3" w:rsidRPr="00EF554A" w:rsidRDefault="00913934" w:rsidP="00C0144F">
      <w:pPr>
        <w:tabs>
          <w:tab w:val="clear" w:pos="720"/>
        </w:tabs>
        <w:spacing w:line="360" w:lineRule="auto"/>
        <w:rPr>
          <w:shd w:val="clear" w:color="auto" w:fill="FFFFFF"/>
        </w:rPr>
      </w:pPr>
      <w:r w:rsidRPr="00C0144F">
        <w:rPr>
          <w:rStyle w:val="ssit"/>
          <w:bdr w:val="none" w:sz="0" w:space="0" w:color="auto" w:frame="1"/>
          <w:shd w:val="clear" w:color="auto" w:fill="FFFFFF"/>
        </w:rPr>
        <w:lastRenderedPageBreak/>
        <w:tab/>
      </w:r>
      <w:r w:rsidRPr="00C0144F">
        <w:rPr>
          <w:shd w:val="clear" w:color="auto" w:fill="FFFFFF"/>
        </w:rPr>
        <w:t>Whe</w:t>
      </w:r>
      <w:r w:rsidR="00B05034" w:rsidRPr="00C0144F">
        <w:rPr>
          <w:shd w:val="clear" w:color="auto" w:fill="FFFFFF"/>
        </w:rPr>
        <w:t>re</w:t>
      </w:r>
      <w:r w:rsidRPr="00C0144F">
        <w:rPr>
          <w:shd w:val="clear" w:color="auto" w:fill="FFFFFF"/>
        </w:rPr>
        <w:t xml:space="preserve">, as here, an administrative decision </w:t>
      </w:r>
      <w:r w:rsidRPr="00C0144F">
        <w:rPr>
          <w:shd w:val="clear" w:color="auto" w:fill="FFFFFF"/>
        </w:rPr>
        <w:t>involve</w:t>
      </w:r>
      <w:r w:rsidR="00B05034" w:rsidRPr="00C0144F">
        <w:rPr>
          <w:shd w:val="clear" w:color="auto" w:fill="FFFFFF"/>
        </w:rPr>
        <w:t>s</w:t>
      </w:r>
      <w:r w:rsidRPr="00C0144F">
        <w:rPr>
          <w:shd w:val="clear" w:color="auto" w:fill="FFFFFF"/>
        </w:rPr>
        <w:t xml:space="preserve"> a fundamental vested right</w:t>
      </w:r>
      <w:r w:rsidR="00B05034" w:rsidRPr="00C0144F">
        <w:rPr>
          <w:shd w:val="clear" w:color="auto" w:fill="FFFFFF"/>
        </w:rPr>
        <w:t xml:space="preserve"> to employment</w:t>
      </w:r>
      <w:r w:rsidRPr="00C0144F">
        <w:rPr>
          <w:shd w:val="clear" w:color="auto" w:fill="FFFFFF"/>
        </w:rPr>
        <w:t xml:space="preserve">, </w:t>
      </w:r>
      <w:r w:rsidR="002D2480" w:rsidRPr="003D08E9">
        <w:rPr>
          <w:rStyle w:val="ssrfcpassagedeactivated"/>
          <w:bdr w:val="none" w:sz="0" w:space="0" w:color="auto" w:frame="1"/>
          <w:shd w:val="clear" w:color="auto" w:fill="FFFFFF"/>
        </w:rPr>
        <w:t xml:space="preserve">the trial court “independently review[s] the record to determine whether the weight of evidence supports a factual finding, whereas the substantial evidence test applies when a fundamental </w:t>
      </w:r>
      <w:r w:rsidR="002D2480" w:rsidRPr="003C1581">
        <w:rPr>
          <w:rStyle w:val="ssrfcpassagedeactivated"/>
          <w:bdr w:val="none" w:sz="0" w:space="0" w:color="auto" w:frame="1"/>
          <w:shd w:val="clear" w:color="auto" w:fill="FFFFFF"/>
        </w:rPr>
        <w:t xml:space="preserve">right is not at issue.  </w:t>
      </w:r>
      <w:r w:rsidR="002D2480" w:rsidRPr="003C1581">
        <w:rPr>
          <w:rStyle w:val="ssrfcsection"/>
          <w:bdr w:val="none" w:sz="0" w:space="0" w:color="auto" w:frame="1"/>
          <w:shd w:val="clear" w:color="auto" w:fill="FFFFFF"/>
        </w:rPr>
        <w:t>(</w:t>
      </w:r>
      <w:r w:rsidR="002D2480" w:rsidRPr="003C1581">
        <w:rPr>
          <w:rStyle w:val="ssit"/>
          <w:i/>
          <w:iCs/>
          <w:bdr w:val="none" w:sz="0" w:space="0" w:color="auto" w:frame="1"/>
          <w:shd w:val="clear" w:color="auto" w:fill="FFFFFF"/>
        </w:rPr>
        <w:t>Wences v. City of Los Angeles</w:t>
      </w:r>
      <w:r w:rsidR="002D2480" w:rsidRPr="003C1581">
        <w:rPr>
          <w:bdr w:val="none" w:sz="0" w:space="0" w:color="auto" w:frame="1"/>
          <w:shd w:val="clear" w:color="auto" w:fill="FFFFFF"/>
        </w:rPr>
        <w:t xml:space="preserve"> (2009) 177 Cal.App.4th 305, 313 [99 Cal.Rptr.3d 199] (</w:t>
      </w:r>
      <w:r w:rsidR="002D2480" w:rsidRPr="003C1581">
        <w:rPr>
          <w:rStyle w:val="ssit"/>
          <w:i/>
          <w:iCs/>
          <w:bdr w:val="none" w:sz="0" w:space="0" w:color="auto" w:frame="1"/>
          <w:shd w:val="clear" w:color="auto" w:fill="FFFFFF"/>
        </w:rPr>
        <w:t>Wences</w:t>
      </w:r>
      <w:r w:rsidR="002D2480" w:rsidRPr="003C1581">
        <w:rPr>
          <w:bdr w:val="none" w:sz="0" w:space="0" w:color="auto" w:frame="1"/>
          <w:shd w:val="clear" w:color="auto" w:fill="FFFFFF"/>
        </w:rPr>
        <w:t>)</w:t>
      </w:r>
      <w:r w:rsidR="002D2480" w:rsidRPr="003C1581">
        <w:rPr>
          <w:rStyle w:val="ssrfcsection"/>
          <w:bdr w:val="none" w:sz="0" w:space="0" w:color="auto" w:frame="1"/>
          <w:shd w:val="clear" w:color="auto" w:fill="FFFFFF"/>
        </w:rPr>
        <w:t>.)  But</w:t>
      </w:r>
      <w:r w:rsidR="002D2480" w:rsidRPr="003C1581">
        <w:rPr>
          <w:rStyle w:val="ssrfcpassagedeactivated"/>
          <w:bdr w:val="none" w:sz="0" w:space="0" w:color="auto" w:frame="1"/>
          <w:shd w:val="clear" w:color="auto" w:fill="FFFFFF"/>
        </w:rPr>
        <w:t xml:space="preserve"> [as] the appellate </w:t>
      </w:r>
      <w:proofErr w:type="gramStart"/>
      <w:r w:rsidR="002D2480" w:rsidRPr="003C1581">
        <w:rPr>
          <w:rStyle w:val="ssrfcpassagedeactivated"/>
          <w:bdr w:val="none" w:sz="0" w:space="0" w:color="auto" w:frame="1"/>
          <w:shd w:val="clear" w:color="auto" w:fill="FFFFFF"/>
        </w:rPr>
        <w:t>court[</w:t>
      </w:r>
      <w:proofErr w:type="gramEnd"/>
      <w:r w:rsidR="002D2480" w:rsidRPr="003C1581">
        <w:rPr>
          <w:rStyle w:val="ssrfcpassagedeactivated"/>
          <w:bdr w:val="none" w:sz="0" w:space="0" w:color="auto" w:frame="1"/>
          <w:shd w:val="clear" w:color="auto" w:fill="FFFFFF"/>
        </w:rPr>
        <w:t xml:space="preserve">, we] appl[y] a substantial evidence test, regardless of whether a fundamental right is involved.  </w:t>
      </w:r>
      <w:r w:rsidR="002D2480" w:rsidRPr="003C1581">
        <w:rPr>
          <w:rStyle w:val="ssrfcsection"/>
          <w:bdr w:val="none" w:sz="0" w:space="0" w:color="auto" w:frame="1"/>
          <w:shd w:val="clear" w:color="auto" w:fill="FFFFFF"/>
        </w:rPr>
        <w:t>(</w:t>
      </w:r>
      <w:r w:rsidR="002D2480" w:rsidRPr="003C1581">
        <w:rPr>
          <w:rStyle w:val="ssit"/>
          <w:i/>
          <w:iCs/>
          <w:bdr w:val="none" w:sz="0" w:space="0" w:color="auto" w:frame="1"/>
          <w:shd w:val="clear" w:color="auto" w:fill="FFFFFF"/>
        </w:rPr>
        <w:t>Fukuda v. City of Angels</w:t>
      </w:r>
      <w:r w:rsidR="002D2480" w:rsidRPr="003C1581">
        <w:rPr>
          <w:bdr w:val="none" w:sz="0" w:space="0" w:color="auto" w:frame="1"/>
          <w:shd w:val="clear" w:color="auto" w:fill="FFFFFF"/>
        </w:rPr>
        <w:t xml:space="preserve"> (1999) 20 Cal.4th 805, 824 [85 Cal.Rptr.2d 696, 977 P.2d 693]</w:t>
      </w:r>
      <w:r w:rsidR="002D2480" w:rsidRPr="003C1581">
        <w:rPr>
          <w:rStyle w:val="ssrfcsection"/>
          <w:bdr w:val="none" w:sz="0" w:space="0" w:color="auto" w:frame="1"/>
          <w:shd w:val="clear" w:color="auto" w:fill="FFFFFF"/>
        </w:rPr>
        <w:t>.)”  (</w:t>
      </w:r>
      <w:r w:rsidR="002D2480" w:rsidRPr="003C1581">
        <w:rPr>
          <w:rStyle w:val="ssrfcsection"/>
          <w:i/>
          <w:iCs/>
          <w:bdr w:val="none" w:sz="0" w:space="0" w:color="auto" w:frame="1"/>
          <w:shd w:val="clear" w:color="auto" w:fill="FFFFFF"/>
        </w:rPr>
        <w:t>O’Brien v. Regents of University of</w:t>
      </w:r>
      <w:r w:rsidR="002D2480" w:rsidRPr="003E48FB">
        <w:rPr>
          <w:rStyle w:val="ssrfcsection"/>
          <w:i/>
          <w:iCs/>
          <w:bdr w:val="none" w:sz="0" w:space="0" w:color="auto" w:frame="1"/>
          <w:shd w:val="clear" w:color="auto" w:fill="FFFFFF"/>
        </w:rPr>
        <w:t xml:space="preserve"> California</w:t>
      </w:r>
      <w:r w:rsidR="002D2480" w:rsidRPr="003E48FB">
        <w:rPr>
          <w:rStyle w:val="ssrfcsection"/>
          <w:bdr w:val="none" w:sz="0" w:space="0" w:color="auto" w:frame="1"/>
          <w:shd w:val="clear" w:color="auto" w:fill="FFFFFF"/>
        </w:rPr>
        <w:t xml:space="preserve"> (2023) 92 Cal.App.5th 1099, 1116.)  Further, as always, we</w:t>
      </w:r>
      <w:r w:rsidR="00536AF8" w:rsidRPr="00882DC2">
        <w:rPr>
          <w:rStyle w:val="ssrfcsection"/>
          <w:bdr w:val="none" w:sz="0" w:space="0" w:color="auto" w:frame="1"/>
          <w:shd w:val="clear" w:color="auto" w:fill="FFFFFF"/>
        </w:rPr>
        <w:t xml:space="preserve"> exercise independent judgment on legal issues</w:t>
      </w:r>
      <w:r w:rsidR="00D40527" w:rsidRPr="00882DC2">
        <w:rPr>
          <w:rStyle w:val="ssrfcsection"/>
          <w:bdr w:val="none" w:sz="0" w:space="0" w:color="auto" w:frame="1"/>
          <w:shd w:val="clear" w:color="auto" w:fill="FFFFFF"/>
        </w:rPr>
        <w:t>.</w:t>
      </w:r>
      <w:r w:rsidR="00536AF8" w:rsidRPr="00882DC2">
        <w:rPr>
          <w:rStyle w:val="ssrfcpassagedeactivated"/>
          <w:bdr w:val="none" w:sz="0" w:space="0" w:color="auto" w:frame="1"/>
          <w:shd w:val="clear" w:color="auto" w:fill="FFFFFF"/>
        </w:rPr>
        <w:t xml:space="preserve">  (</w:t>
      </w:r>
      <w:r w:rsidR="00536AF8" w:rsidRPr="00882DC2">
        <w:rPr>
          <w:rStyle w:val="ssrfcpassagedeactivated"/>
          <w:i/>
          <w:iCs/>
          <w:bdr w:val="none" w:sz="0" w:space="0" w:color="auto" w:frame="1"/>
          <w:shd w:val="clear" w:color="auto" w:fill="FFFFFF"/>
        </w:rPr>
        <w:t xml:space="preserve">Manderson-Saleh v. Regents of </w:t>
      </w:r>
      <w:r w:rsidR="00EF3830">
        <w:rPr>
          <w:rStyle w:val="ssrfcpassagedeactivated"/>
          <w:i/>
          <w:iCs/>
          <w:bdr w:val="none" w:sz="0" w:space="0" w:color="auto" w:frame="1"/>
          <w:shd w:val="clear" w:color="auto" w:fill="FFFFFF"/>
        </w:rPr>
        <w:t>University</w:t>
      </w:r>
      <w:r w:rsidR="00536AF8" w:rsidRPr="00EF554A">
        <w:rPr>
          <w:rStyle w:val="ssrfcpassagedeactivated"/>
          <w:i/>
          <w:iCs/>
          <w:bdr w:val="none" w:sz="0" w:space="0" w:color="auto" w:frame="1"/>
          <w:shd w:val="clear" w:color="auto" w:fill="FFFFFF"/>
        </w:rPr>
        <w:t xml:space="preserve"> of California</w:t>
      </w:r>
      <w:r w:rsidR="00536AF8" w:rsidRPr="00EF554A">
        <w:rPr>
          <w:rStyle w:val="ssrfcpassagedeactivated"/>
          <w:bdr w:val="none" w:sz="0" w:space="0" w:color="auto" w:frame="1"/>
          <w:shd w:val="clear" w:color="auto" w:fill="FFFFFF"/>
        </w:rPr>
        <w:t xml:space="preserve"> (2021) 60 Cal.App.5th 674, 693 (</w:t>
      </w:r>
      <w:r w:rsidR="00536AF8" w:rsidRPr="00EF554A">
        <w:rPr>
          <w:rStyle w:val="ssrfcpassagedeactivated"/>
          <w:i/>
          <w:iCs/>
          <w:bdr w:val="none" w:sz="0" w:space="0" w:color="auto" w:frame="1"/>
          <w:shd w:val="clear" w:color="auto" w:fill="FFFFFF"/>
        </w:rPr>
        <w:t>Manderson-Saleh</w:t>
      </w:r>
      <w:r w:rsidR="00536AF8" w:rsidRPr="00EF554A">
        <w:rPr>
          <w:rStyle w:val="ssrfcpassagedeactivated"/>
          <w:bdr w:val="none" w:sz="0" w:space="0" w:color="auto" w:frame="1"/>
          <w:shd w:val="clear" w:color="auto" w:fill="FFFFFF"/>
        </w:rPr>
        <w:t>).)</w:t>
      </w:r>
    </w:p>
    <w:p w14:paraId="4BD7FCA5" w14:textId="066ECCD3" w:rsidR="006D345B" w:rsidRPr="00EF554A" w:rsidRDefault="00913934" w:rsidP="003E48FB">
      <w:pPr>
        <w:pStyle w:val="ListParagraph"/>
        <w:keepNext/>
        <w:numPr>
          <w:ilvl w:val="0"/>
          <w:numId w:val="3"/>
        </w:numPr>
        <w:tabs>
          <w:tab w:val="clear" w:pos="720"/>
        </w:tabs>
        <w:spacing w:line="360" w:lineRule="auto"/>
        <w:ind w:left="720"/>
        <w:rPr>
          <w:b/>
          <w:bCs/>
          <w:i/>
          <w:iCs/>
          <w:shd w:val="clear" w:color="auto" w:fill="FFFFFF"/>
        </w:rPr>
      </w:pPr>
      <w:r w:rsidRPr="00EF554A">
        <w:rPr>
          <w:b/>
          <w:bCs/>
          <w:i/>
          <w:iCs/>
          <w:shd w:val="clear" w:color="auto" w:fill="FFFFFF"/>
        </w:rPr>
        <w:t>The University’s Findings as to Jane Doe Stand.</w:t>
      </w:r>
    </w:p>
    <w:p w14:paraId="6599D8C6" w14:textId="1465AEAE" w:rsidR="00D601DF" w:rsidRPr="00EF554A" w:rsidRDefault="00913934" w:rsidP="00EF554A">
      <w:pPr>
        <w:pStyle w:val="ListParagraph"/>
        <w:keepNext/>
        <w:numPr>
          <w:ilvl w:val="1"/>
          <w:numId w:val="3"/>
        </w:numPr>
        <w:tabs>
          <w:tab w:val="clear" w:pos="720"/>
        </w:tabs>
        <w:spacing w:line="360" w:lineRule="auto"/>
        <w:ind w:left="1440"/>
        <w:rPr>
          <w:b/>
          <w:bCs/>
          <w:shd w:val="clear" w:color="auto" w:fill="FFFFFF"/>
        </w:rPr>
      </w:pPr>
      <w:r>
        <w:rPr>
          <w:b/>
          <w:bCs/>
          <w:shd w:val="clear" w:color="auto" w:fill="FFFFFF"/>
        </w:rPr>
        <w:t>Plaintiff’s</w:t>
      </w:r>
      <w:r w:rsidR="00514547" w:rsidRPr="00EF554A">
        <w:rPr>
          <w:b/>
          <w:bCs/>
          <w:shd w:val="clear" w:color="auto" w:fill="FFFFFF"/>
        </w:rPr>
        <w:t xml:space="preserve"> J</w:t>
      </w:r>
      <w:r w:rsidR="002D32C6" w:rsidRPr="00EF554A">
        <w:rPr>
          <w:b/>
          <w:bCs/>
          <w:shd w:val="clear" w:color="auto" w:fill="FFFFFF"/>
        </w:rPr>
        <w:t>urisdiction</w:t>
      </w:r>
      <w:r w:rsidR="00514547" w:rsidRPr="00EF554A">
        <w:rPr>
          <w:b/>
          <w:bCs/>
          <w:shd w:val="clear" w:color="auto" w:fill="FFFFFF"/>
        </w:rPr>
        <w:t xml:space="preserve"> Argument Fails</w:t>
      </w:r>
      <w:r w:rsidR="00306D7F" w:rsidRPr="00EF554A">
        <w:rPr>
          <w:b/>
          <w:bCs/>
          <w:shd w:val="clear" w:color="auto" w:fill="FFFFFF"/>
        </w:rPr>
        <w:t>.</w:t>
      </w:r>
    </w:p>
    <w:p w14:paraId="5EE5CCB8" w14:textId="3825DF47" w:rsidR="002D32C6" w:rsidRPr="00EF554A" w:rsidRDefault="00913934" w:rsidP="00EF554A">
      <w:pPr>
        <w:tabs>
          <w:tab w:val="clear" w:pos="720"/>
        </w:tabs>
        <w:spacing w:line="360" w:lineRule="auto"/>
        <w:rPr>
          <w:b/>
          <w:bCs/>
          <w:shd w:val="clear" w:color="auto" w:fill="FFFFFF"/>
        </w:rPr>
      </w:pPr>
      <w:r w:rsidRPr="00EF554A">
        <w:rPr>
          <w:shd w:val="clear" w:color="auto" w:fill="FFFFFF"/>
        </w:rPr>
        <w:tab/>
      </w:r>
      <w:r w:rsidR="0079617C">
        <w:rPr>
          <w:shd w:val="clear" w:color="auto" w:fill="FFFFFF"/>
        </w:rPr>
        <w:t>Plaintiff</w:t>
      </w:r>
      <w:r w:rsidRPr="00EF554A">
        <w:rPr>
          <w:shd w:val="clear" w:color="auto" w:fill="FFFFFF"/>
        </w:rPr>
        <w:t xml:space="preserve"> </w:t>
      </w:r>
      <w:r w:rsidR="00EA5F36" w:rsidRPr="00EF554A">
        <w:rPr>
          <w:shd w:val="clear" w:color="auto" w:fill="FFFFFF"/>
        </w:rPr>
        <w:t>contends</w:t>
      </w:r>
      <w:r w:rsidRPr="00EF554A">
        <w:rPr>
          <w:shd w:val="clear" w:color="auto" w:fill="FFFFFF"/>
        </w:rPr>
        <w:t xml:space="preserve"> </w:t>
      </w:r>
      <w:r w:rsidR="00514547" w:rsidRPr="00EF554A">
        <w:rPr>
          <w:shd w:val="clear" w:color="auto" w:fill="FFFFFF"/>
        </w:rPr>
        <w:t xml:space="preserve">the </w:t>
      </w:r>
      <w:r w:rsidR="00EA5F36" w:rsidRPr="00EF554A">
        <w:rPr>
          <w:shd w:val="clear" w:color="auto" w:fill="FFFFFF"/>
        </w:rPr>
        <w:t xml:space="preserve">Jane Doe findings must be set aside because the </w:t>
      </w:r>
      <w:r w:rsidRPr="00EF554A">
        <w:rPr>
          <w:shd w:val="clear" w:color="auto" w:fill="FFFFFF"/>
        </w:rPr>
        <w:t xml:space="preserve">University </w:t>
      </w:r>
      <w:r w:rsidR="00514547" w:rsidRPr="00EF554A">
        <w:rPr>
          <w:shd w:val="clear" w:color="auto" w:fill="FFFFFF"/>
        </w:rPr>
        <w:t>cannot</w:t>
      </w:r>
      <w:r w:rsidRPr="00EF554A">
        <w:rPr>
          <w:shd w:val="clear" w:color="auto" w:fill="FFFFFF"/>
        </w:rPr>
        <w:t xml:space="preserve"> “exercise limitless jurisdiction by policing and prosecuting faculty for conduct that occurs off campus after hours, separate and apart </w:t>
      </w:r>
      <w:r w:rsidR="002D7D22">
        <w:rPr>
          <w:shd w:val="clear" w:color="auto" w:fill="FFFFFF"/>
        </w:rPr>
        <w:t>from</w:t>
      </w:r>
      <w:r w:rsidRPr="00EF554A">
        <w:rPr>
          <w:shd w:val="clear" w:color="auto" w:fill="FFFFFF"/>
        </w:rPr>
        <w:t xml:space="preserve"> the faculty member’s professional role at UCSC.”  </w:t>
      </w:r>
      <w:r w:rsidR="00514547" w:rsidRPr="00EF554A">
        <w:rPr>
          <w:shd w:val="clear" w:color="auto" w:fill="FFFFFF"/>
        </w:rPr>
        <w:t>T</w:t>
      </w:r>
      <w:r w:rsidR="00A76557" w:rsidRPr="00EF554A">
        <w:rPr>
          <w:shd w:val="clear" w:color="auto" w:fill="FFFFFF"/>
        </w:rPr>
        <w:t xml:space="preserve">he following </w:t>
      </w:r>
      <w:r w:rsidR="00EA5F36" w:rsidRPr="00EF554A">
        <w:rPr>
          <w:shd w:val="clear" w:color="auto" w:fill="FFFFFF"/>
        </w:rPr>
        <w:t>rules</w:t>
      </w:r>
      <w:r w:rsidR="00B15FCB" w:rsidRPr="00EF554A">
        <w:rPr>
          <w:shd w:val="clear" w:color="auto" w:fill="FFFFFF"/>
        </w:rPr>
        <w:t xml:space="preserve"> appl</w:t>
      </w:r>
      <w:r w:rsidR="00EA5F36" w:rsidRPr="00EF554A">
        <w:rPr>
          <w:shd w:val="clear" w:color="auto" w:fill="FFFFFF"/>
        </w:rPr>
        <w:t>y</w:t>
      </w:r>
      <w:r w:rsidR="00A76557" w:rsidRPr="00EF554A">
        <w:rPr>
          <w:shd w:val="clear" w:color="auto" w:fill="FFFFFF"/>
        </w:rPr>
        <w:t>.</w:t>
      </w:r>
    </w:p>
    <w:p w14:paraId="3C07D3A4" w14:textId="206A7BBF" w:rsidR="002C0D60" w:rsidRPr="00EF554A" w:rsidRDefault="00913934" w:rsidP="00EF554A">
      <w:pPr>
        <w:tabs>
          <w:tab w:val="clear" w:pos="720"/>
        </w:tabs>
        <w:spacing w:line="360" w:lineRule="auto"/>
        <w:rPr>
          <w:shd w:val="clear" w:color="auto" w:fill="FFFFFF"/>
        </w:rPr>
      </w:pPr>
      <w:r w:rsidRPr="00EF554A">
        <w:rPr>
          <w:shd w:val="clear" w:color="auto" w:fill="FFFFFF"/>
        </w:rPr>
        <w:tab/>
        <w:t xml:space="preserve">“The University is a statewide administrative agency with constitutionally derived powers. </w:t>
      </w:r>
      <w:r w:rsidR="002D7D22">
        <w:rPr>
          <w:shd w:val="clear" w:color="auto" w:fill="FFFFFF"/>
        </w:rPr>
        <w:t xml:space="preserve"> </w:t>
      </w:r>
      <w:r w:rsidRPr="00EF554A">
        <w:rPr>
          <w:shd w:val="clear" w:color="auto" w:fill="FFFFFF"/>
        </w:rPr>
        <w:t>(</w:t>
      </w:r>
      <w:r w:rsidRPr="00EF554A">
        <w:rPr>
          <w:rStyle w:val="ssrfcsection"/>
          <w:bdr w:val="none" w:sz="0" w:space="0" w:color="auto" w:frame="1"/>
          <w:shd w:val="clear" w:color="auto" w:fill="FFFFFF"/>
        </w:rPr>
        <w:t>Cal. Const., art.</w:t>
      </w:r>
      <w:r w:rsidR="00BB7624">
        <w:rPr>
          <w:rStyle w:val="ssrfcsection"/>
          <w:bdr w:val="none" w:sz="0" w:space="0" w:color="auto" w:frame="1"/>
          <w:shd w:val="clear" w:color="auto" w:fill="FFFFFF"/>
        </w:rPr>
        <w:t xml:space="preserve"> </w:t>
      </w:r>
      <w:r w:rsidRPr="00EF554A">
        <w:rPr>
          <w:rStyle w:val="ssrfcsection"/>
          <w:bdr w:val="none" w:sz="0" w:space="0" w:color="auto" w:frame="1"/>
          <w:shd w:val="clear" w:color="auto" w:fill="FFFFFF"/>
        </w:rPr>
        <w:t xml:space="preserve">IX, § 9, subd. </w:t>
      </w:r>
      <w:r w:rsidR="00CB1968">
        <w:rPr>
          <w:shd w:val="clear" w:color="auto" w:fill="FFFFFF"/>
        </w:rPr>
        <w:t>(a); [citation].)  Its</w:t>
      </w:r>
      <w:r w:rsidRPr="00EF554A">
        <w:rPr>
          <w:shd w:val="clear" w:color="auto" w:fill="FFFFFF"/>
        </w:rPr>
        <w:t xml:space="preserve"> employees are public employees. </w:t>
      </w:r>
      <w:r w:rsidR="00CB1968">
        <w:rPr>
          <w:shd w:val="clear" w:color="auto" w:fill="FFFFFF"/>
        </w:rPr>
        <w:t xml:space="preserve"> [Citation.]  The</w:t>
      </w:r>
      <w:r w:rsidRPr="00EF554A">
        <w:rPr>
          <w:shd w:val="clear" w:color="auto" w:fill="FFFFFF"/>
        </w:rPr>
        <w:t xml:space="preserve"> University is administered by the Regents. </w:t>
      </w:r>
      <w:r w:rsidR="00CB1968">
        <w:rPr>
          <w:shd w:val="clear" w:color="auto" w:fill="FFFFFF"/>
        </w:rPr>
        <w:t xml:space="preserve"> </w:t>
      </w:r>
      <w:r w:rsidRPr="00EF554A">
        <w:rPr>
          <w:shd w:val="clear" w:color="auto" w:fill="FFFFFF"/>
        </w:rPr>
        <w:t>(</w:t>
      </w:r>
      <w:r w:rsidRPr="00EF554A">
        <w:rPr>
          <w:rStyle w:val="ssrfcsection"/>
          <w:bdr w:val="none" w:sz="0" w:space="0" w:color="auto" w:frame="1"/>
          <w:shd w:val="clear" w:color="auto" w:fill="FFFFFF"/>
        </w:rPr>
        <w:t xml:space="preserve">Cal. Const., </w:t>
      </w:r>
      <w:r w:rsidR="00950705">
        <w:rPr>
          <w:rStyle w:val="ssrfcsection"/>
          <w:bdr w:val="none" w:sz="0" w:space="0" w:color="auto" w:frame="1"/>
          <w:shd w:val="clear" w:color="auto" w:fill="FFFFFF"/>
        </w:rPr>
        <w:t>art.</w:t>
      </w:r>
      <w:r w:rsidR="00BB7624">
        <w:rPr>
          <w:rStyle w:val="ssrfcsection"/>
          <w:bdr w:val="none" w:sz="0" w:space="0" w:color="auto" w:frame="1"/>
          <w:shd w:val="clear" w:color="auto" w:fill="FFFFFF"/>
        </w:rPr>
        <w:t xml:space="preserve"> </w:t>
      </w:r>
      <w:r w:rsidR="00950705">
        <w:rPr>
          <w:rStyle w:val="ssrfcsection"/>
          <w:bdr w:val="none" w:sz="0" w:space="0" w:color="auto" w:frame="1"/>
          <w:shd w:val="clear" w:color="auto" w:fill="FFFFFF"/>
        </w:rPr>
        <w:t>IX</w:t>
      </w:r>
      <w:r w:rsidRPr="00EF554A">
        <w:rPr>
          <w:rStyle w:val="ssrfcsection"/>
          <w:bdr w:val="none" w:sz="0" w:space="0" w:color="auto" w:frame="1"/>
          <w:shd w:val="clear" w:color="auto" w:fill="FFFFFF"/>
        </w:rPr>
        <w:t>, § 9, subd. (a)</w:t>
      </w:r>
      <w:r w:rsidRPr="00EF554A">
        <w:rPr>
          <w:shd w:val="clear" w:color="auto" w:fill="FFFFFF"/>
        </w:rPr>
        <w:t xml:space="preserve">.) </w:t>
      </w:r>
      <w:r w:rsidR="00950705">
        <w:rPr>
          <w:shd w:val="clear" w:color="auto" w:fill="FFFFFF"/>
        </w:rPr>
        <w:t xml:space="preserve"> </w:t>
      </w:r>
      <w:r w:rsidRPr="00EF554A">
        <w:rPr>
          <w:shd w:val="clear" w:color="auto" w:fill="FFFFFF"/>
        </w:rPr>
        <w:t xml:space="preserve">Regents have rulemaking and policymaking power </w:t>
      </w:r>
      <w:proofErr w:type="gramStart"/>
      <w:r w:rsidRPr="00EF554A">
        <w:rPr>
          <w:shd w:val="clear" w:color="auto" w:fill="FFFFFF"/>
        </w:rPr>
        <w:t>in regard to</w:t>
      </w:r>
      <w:proofErr w:type="gramEnd"/>
      <w:r w:rsidRPr="00EF554A">
        <w:rPr>
          <w:shd w:val="clear" w:color="auto" w:fill="FFFFFF"/>
        </w:rPr>
        <w:t xml:space="preserve"> </w:t>
      </w:r>
      <w:r w:rsidR="00950705">
        <w:rPr>
          <w:shd w:val="clear" w:color="auto" w:fill="FFFFFF"/>
        </w:rPr>
        <w:t>the University</w:t>
      </w:r>
      <w:r w:rsidRPr="00EF554A">
        <w:rPr>
          <w:shd w:val="clear" w:color="auto" w:fill="FFFFFF"/>
        </w:rPr>
        <w:t>; their policies and procedures have the force and effect of statute.”  (</w:t>
      </w:r>
      <w:r w:rsidRPr="00EF554A">
        <w:rPr>
          <w:i/>
          <w:iCs/>
          <w:shd w:val="clear" w:color="auto" w:fill="FFFFFF"/>
        </w:rPr>
        <w:t xml:space="preserve">Kim v. Regents of </w:t>
      </w:r>
      <w:r w:rsidR="00950705">
        <w:rPr>
          <w:i/>
          <w:iCs/>
          <w:shd w:val="clear" w:color="auto" w:fill="FFFFFF"/>
        </w:rPr>
        <w:t>University</w:t>
      </w:r>
      <w:r w:rsidRPr="00EF554A">
        <w:rPr>
          <w:i/>
          <w:iCs/>
          <w:shd w:val="clear" w:color="auto" w:fill="FFFFFF"/>
        </w:rPr>
        <w:t xml:space="preserve"> of California</w:t>
      </w:r>
      <w:r w:rsidRPr="00EF554A">
        <w:rPr>
          <w:shd w:val="clear" w:color="auto" w:fill="FFFFFF"/>
        </w:rPr>
        <w:t xml:space="preserve"> (2000) 80 Cal.App.4th 160, 165.)  </w:t>
      </w:r>
      <w:r w:rsidRPr="00EF554A">
        <w:rPr>
          <w:rStyle w:val="ssrfcsection"/>
          <w:bdr w:val="none" w:sz="0" w:space="0" w:color="auto" w:frame="1"/>
          <w:shd w:val="clear" w:color="auto" w:fill="FFFFFF"/>
        </w:rPr>
        <w:t xml:space="preserve">Generally, the </w:t>
      </w:r>
      <w:r w:rsidRPr="00EF554A">
        <w:rPr>
          <w:rStyle w:val="ssrfcsection"/>
          <w:bdr w:val="none" w:sz="0" w:space="0" w:color="auto" w:frame="1"/>
          <w:shd w:val="clear" w:color="auto" w:fill="FFFFFF"/>
        </w:rPr>
        <w:lastRenderedPageBreak/>
        <w:t xml:space="preserve">rules that govern statutory interpretation also govern interpretation of administrative </w:t>
      </w:r>
      <w:r w:rsidR="000D106D">
        <w:rPr>
          <w:shd w:val="clear" w:color="auto" w:fill="FFFFFF"/>
        </w:rPr>
        <w:t>regulations.  (</w:t>
      </w:r>
      <w:r w:rsidR="000D106D">
        <w:rPr>
          <w:i/>
          <w:iCs/>
          <w:shd w:val="clear" w:color="auto" w:fill="FFFFFF"/>
        </w:rPr>
        <w:t>Akella</w:t>
      </w:r>
      <w:r w:rsidRPr="00EF554A">
        <w:rPr>
          <w:i/>
          <w:iCs/>
          <w:shd w:val="clear" w:color="auto" w:fill="FFFFFF"/>
        </w:rPr>
        <w:t xml:space="preserve"> v. Regents of </w:t>
      </w:r>
      <w:r w:rsidR="000D106D">
        <w:rPr>
          <w:i/>
          <w:iCs/>
          <w:shd w:val="clear" w:color="auto" w:fill="FFFFFF"/>
        </w:rPr>
        <w:t>University</w:t>
      </w:r>
      <w:r w:rsidRPr="00EF554A">
        <w:rPr>
          <w:i/>
          <w:iCs/>
          <w:shd w:val="clear" w:color="auto" w:fill="FFFFFF"/>
        </w:rPr>
        <w:t xml:space="preserve"> of California</w:t>
      </w:r>
      <w:r w:rsidRPr="00EF554A">
        <w:rPr>
          <w:shd w:val="clear" w:color="auto" w:fill="FFFFFF"/>
        </w:rPr>
        <w:t xml:space="preserve"> (2021) 61 Cal.App.5th 801, 817 </w:t>
      </w:r>
      <w:r w:rsidR="000D106D">
        <w:rPr>
          <w:shd w:val="clear" w:color="auto" w:fill="FFFFFF"/>
        </w:rPr>
        <w:t>(</w:t>
      </w:r>
      <w:r w:rsidR="000D106D">
        <w:rPr>
          <w:i/>
          <w:iCs/>
          <w:shd w:val="clear" w:color="auto" w:fill="FFFFFF"/>
        </w:rPr>
        <w:t>Akella</w:t>
      </w:r>
      <w:r w:rsidR="000D106D">
        <w:rPr>
          <w:shd w:val="clear" w:color="auto" w:fill="FFFFFF"/>
        </w:rPr>
        <w:t>).)  “Further, policies</w:t>
      </w:r>
      <w:r w:rsidR="0009104A" w:rsidRPr="00EF554A">
        <w:rPr>
          <w:shd w:val="clear" w:color="auto" w:fill="FFFFFF"/>
        </w:rPr>
        <w:t xml:space="preserve"> established by the Regents according to their constitutionally derived rulemaking and policymaking power, like the Academic Personnel </w:t>
      </w:r>
      <w:r w:rsidR="000D106D">
        <w:rPr>
          <w:shd w:val="clear" w:color="auto" w:fill="FFFFFF"/>
        </w:rPr>
        <w:t>Manual</w:t>
      </w:r>
      <w:r w:rsidR="0009104A" w:rsidRPr="00EF554A">
        <w:rPr>
          <w:shd w:val="clear" w:color="auto" w:fill="FFFFFF"/>
        </w:rPr>
        <w:t xml:space="preserve">, have the force and effect of statute.” </w:t>
      </w:r>
      <w:r w:rsidR="000D106D">
        <w:rPr>
          <w:shd w:val="clear" w:color="auto" w:fill="FFFFFF"/>
        </w:rPr>
        <w:t xml:space="preserve"> </w:t>
      </w:r>
      <w:r w:rsidR="0009104A" w:rsidRPr="00EF554A">
        <w:rPr>
          <w:shd w:val="clear" w:color="auto" w:fill="FFFFFF"/>
        </w:rPr>
        <w:t>(</w:t>
      </w:r>
      <w:r w:rsidR="0009104A" w:rsidRPr="00EF554A">
        <w:rPr>
          <w:i/>
          <w:iCs/>
          <w:shd w:val="clear" w:color="auto" w:fill="FFFFFF"/>
        </w:rPr>
        <w:t>Ibid.</w:t>
      </w:r>
      <w:r w:rsidR="0009104A" w:rsidRPr="00EF554A">
        <w:rPr>
          <w:shd w:val="clear" w:color="auto" w:fill="FFFFFF"/>
        </w:rPr>
        <w:t>)</w:t>
      </w:r>
    </w:p>
    <w:p w14:paraId="07452BCB" w14:textId="1E558E07" w:rsidR="00306D7F" w:rsidRPr="00D32EC3" w:rsidRDefault="00913934" w:rsidP="00EF554A">
      <w:pPr>
        <w:tabs>
          <w:tab w:val="clear" w:pos="720"/>
        </w:tabs>
        <w:spacing w:line="360" w:lineRule="auto"/>
        <w:rPr>
          <w:shd w:val="clear" w:color="auto" w:fill="FFFFFF"/>
        </w:rPr>
      </w:pPr>
      <w:r w:rsidRPr="00EF554A">
        <w:rPr>
          <w:shd w:val="clear" w:color="auto" w:fill="FFFFFF"/>
        </w:rPr>
        <w:tab/>
      </w:r>
      <w:r w:rsidR="00D40527" w:rsidRPr="00EF554A">
        <w:rPr>
          <w:shd w:val="clear" w:color="auto" w:fill="FFFFFF"/>
        </w:rPr>
        <w:t>“</w:t>
      </w:r>
      <w:r w:rsidR="00D40527" w:rsidRPr="00EF554A">
        <w:rPr>
          <w:rStyle w:val="ssrfcsection"/>
          <w:bdr w:val="none" w:sz="0" w:space="0" w:color="auto" w:frame="1"/>
          <w:shd w:val="clear" w:color="auto" w:fill="FFFFFF"/>
        </w:rPr>
        <w:t xml:space="preserve">Generally, the </w:t>
      </w:r>
      <w:r w:rsidR="000A347F">
        <w:rPr>
          <w:rStyle w:val="ssrfcsection"/>
          <w:bdr w:val="none" w:sz="0" w:space="0" w:color="auto" w:frame="1"/>
          <w:shd w:val="clear" w:color="auto" w:fill="FFFFFF"/>
        </w:rPr>
        <w:t>interpretation</w:t>
      </w:r>
      <w:r w:rsidR="00D32EC3">
        <w:rPr>
          <w:rStyle w:val="ssrfcsection"/>
          <w:bdr w:val="none" w:sz="0" w:space="0" w:color="auto" w:frame="1"/>
          <w:shd w:val="clear" w:color="auto" w:fill="FFFFFF"/>
        </w:rPr>
        <w:t xml:space="preserve"> of</w:t>
      </w:r>
      <w:r w:rsidR="00D40527" w:rsidRPr="00D32EC3">
        <w:rPr>
          <w:rStyle w:val="ssrfcsection"/>
          <w:bdr w:val="none" w:sz="0" w:space="0" w:color="auto" w:frame="1"/>
          <w:shd w:val="clear" w:color="auto" w:fill="FFFFFF"/>
        </w:rPr>
        <w:t xml:space="preserve"> a regulati</w:t>
      </w:r>
      <w:r w:rsidR="00A76557" w:rsidRPr="00D32EC3">
        <w:rPr>
          <w:rStyle w:val="ssrfcsection"/>
          <w:bdr w:val="none" w:sz="0" w:space="0" w:color="auto" w:frame="1"/>
          <w:shd w:val="clear" w:color="auto" w:fill="FFFFFF"/>
        </w:rPr>
        <w:t>on [or statute]</w:t>
      </w:r>
      <w:r w:rsidR="00D40527" w:rsidRPr="00D32EC3">
        <w:rPr>
          <w:rStyle w:val="ssrfcsection"/>
          <w:bdr w:val="none" w:sz="0" w:space="0" w:color="auto" w:frame="1"/>
          <w:shd w:val="clear" w:color="auto" w:fill="FFFFFF"/>
        </w:rPr>
        <w:t xml:space="preserve"> </w:t>
      </w:r>
      <w:proofErr w:type="gramStart"/>
      <w:r w:rsidR="000A347F">
        <w:rPr>
          <w:rStyle w:val="ssrfcsection"/>
          <w:bdr w:val="none" w:sz="0" w:space="0" w:color="auto" w:frame="1"/>
          <w:shd w:val="clear" w:color="auto" w:fill="FFFFFF"/>
        </w:rPr>
        <w:t>‘ “</w:t>
      </w:r>
      <w:proofErr w:type="gramEnd"/>
      <w:r w:rsidR="000A347F">
        <w:rPr>
          <w:rStyle w:val="ssrfcsection"/>
          <w:bdr w:val="none" w:sz="0" w:space="0" w:color="auto" w:frame="1"/>
          <w:shd w:val="clear" w:color="auto" w:fill="FFFFFF"/>
        </w:rPr>
        <w:t>is . . . a</w:t>
      </w:r>
      <w:r w:rsidR="00D40527" w:rsidRPr="00D32EC3">
        <w:rPr>
          <w:rStyle w:val="ssrfcsection"/>
          <w:bdr w:val="none" w:sz="0" w:space="0" w:color="auto" w:frame="1"/>
          <w:shd w:val="clear" w:color="auto" w:fill="FFFFFF"/>
        </w:rPr>
        <w:t xml:space="preserve"> question of law” and </w:t>
      </w:r>
      <w:r w:rsidR="00615237">
        <w:rPr>
          <w:rStyle w:val="ssrfcsection"/>
          <w:bdr w:val="none" w:sz="0" w:space="0" w:color="auto" w:frame="1"/>
          <w:shd w:val="clear" w:color="auto" w:fill="FFFFFF"/>
        </w:rPr>
        <w:t>is . . . subject to de novo review.’  [Citation.]  However</w:t>
      </w:r>
      <w:r w:rsidR="00D40527" w:rsidRPr="00D32EC3">
        <w:rPr>
          <w:rStyle w:val="ssrfcsection"/>
          <w:bdr w:val="none" w:sz="0" w:space="0" w:color="auto" w:frame="1"/>
          <w:shd w:val="clear" w:color="auto" w:fill="FFFFFF"/>
        </w:rPr>
        <w:t xml:space="preserve">, a reviewing court accords an administrative agency’s interpretation of its own regulation great weight and deference, unless the interpretation is unauthorized or clearly erroneous. </w:t>
      </w:r>
      <w:r w:rsidR="00864BD3">
        <w:rPr>
          <w:rStyle w:val="ssrfcsection"/>
          <w:bdr w:val="none" w:sz="0" w:space="0" w:color="auto" w:frame="1"/>
          <w:shd w:val="clear" w:color="auto" w:fill="FFFFFF"/>
        </w:rPr>
        <w:t xml:space="preserve"> [Citations.]  This</w:t>
      </w:r>
      <w:r w:rsidR="00D40527" w:rsidRPr="00D32EC3">
        <w:rPr>
          <w:rStyle w:val="ssrfcsection"/>
          <w:bdr w:val="none" w:sz="0" w:space="0" w:color="auto" w:frame="1"/>
          <w:shd w:val="clear" w:color="auto" w:fill="FFFFFF"/>
        </w:rPr>
        <w:t xml:space="preserve"> rule recognizes that an ‘agency has developed a level of “expertise” </w:t>
      </w:r>
      <w:proofErr w:type="gramStart"/>
      <w:r w:rsidR="00D40527" w:rsidRPr="00D32EC3">
        <w:rPr>
          <w:rStyle w:val="ssrfcsection"/>
          <w:bdr w:val="none" w:sz="0" w:space="0" w:color="auto" w:frame="1"/>
          <w:shd w:val="clear" w:color="auto" w:fill="FFFFFF"/>
        </w:rPr>
        <w:t>in light of</w:t>
      </w:r>
      <w:proofErr w:type="gramEnd"/>
      <w:r w:rsidR="00D40527" w:rsidRPr="00D32EC3">
        <w:rPr>
          <w:rStyle w:val="ssrfcsection"/>
          <w:bdr w:val="none" w:sz="0" w:space="0" w:color="auto" w:frame="1"/>
          <w:shd w:val="clear" w:color="auto" w:fill="FFFFFF"/>
        </w:rPr>
        <w:t xml:space="preserve"> its familiarity with the legal and regulatory issues.’ </w:t>
      </w:r>
      <w:r w:rsidR="00F25C18">
        <w:rPr>
          <w:rStyle w:val="ssrfcpassagedeactivated"/>
          <w:bdr w:val="none" w:sz="0" w:space="0" w:color="auto" w:frame="1"/>
          <w:shd w:val="clear" w:color="auto" w:fill="FFFFFF"/>
        </w:rPr>
        <w:t xml:space="preserve"> [Citation.]  Courts are particularly deferential</w:t>
      </w:r>
      <w:r w:rsidR="00D40527" w:rsidRPr="00D32EC3">
        <w:rPr>
          <w:rStyle w:val="ssrfcpassagedeactivated"/>
          <w:bdr w:val="none" w:sz="0" w:space="0" w:color="auto" w:frame="1"/>
          <w:shd w:val="clear" w:color="auto" w:fill="FFFFFF"/>
        </w:rPr>
        <w:t xml:space="preserve"> </w:t>
      </w:r>
      <w:proofErr w:type="gramStart"/>
      <w:r w:rsidR="00D40527" w:rsidRPr="00D32EC3">
        <w:rPr>
          <w:rStyle w:val="ssrfcpassagedeactivated"/>
          <w:bdr w:val="none" w:sz="0" w:space="0" w:color="auto" w:frame="1"/>
          <w:shd w:val="clear" w:color="auto" w:fill="FFFFFF"/>
        </w:rPr>
        <w:t>of</w:t>
      </w:r>
      <w:proofErr w:type="gramEnd"/>
      <w:r w:rsidR="00D40527" w:rsidRPr="00D32EC3">
        <w:rPr>
          <w:rStyle w:val="ssrfcpassagedeactivated"/>
          <w:bdr w:val="none" w:sz="0" w:space="0" w:color="auto" w:frame="1"/>
          <w:shd w:val="clear" w:color="auto" w:fill="FFFFFF"/>
        </w:rPr>
        <w:t xml:space="preserve"> the Regents’ determinations because of its role as a state constitutional </w:t>
      </w:r>
      <w:r w:rsidR="003F4E3C">
        <w:rPr>
          <w:rStyle w:val="ssrfcpassagedeactivated"/>
          <w:bdr w:val="none" w:sz="0" w:space="0" w:color="auto" w:frame="1"/>
          <w:shd w:val="clear" w:color="auto" w:fill="FFFFFF"/>
        </w:rPr>
        <w:t>entity.  [Citations.]  Thus</w:t>
      </w:r>
      <w:r w:rsidR="00D40527" w:rsidRPr="00D32EC3">
        <w:rPr>
          <w:rStyle w:val="ssrfcpassagedeactivated"/>
          <w:bdr w:val="none" w:sz="0" w:space="0" w:color="auto" w:frame="1"/>
          <w:shd w:val="clear" w:color="auto" w:fill="FFFFFF"/>
        </w:rPr>
        <w:t xml:space="preserve">, although we are not bound by the Regents’ interpretation, we give it great weight under the circumstances. </w:t>
      </w:r>
      <w:r w:rsidR="003F4E3C">
        <w:rPr>
          <w:rStyle w:val="ssrfcpassagedeactivated"/>
          <w:bdr w:val="none" w:sz="0" w:space="0" w:color="auto" w:frame="1"/>
          <w:shd w:val="clear" w:color="auto" w:fill="FFFFFF"/>
        </w:rPr>
        <w:t xml:space="preserve"> </w:t>
      </w:r>
      <w:r w:rsidR="00D40527" w:rsidRPr="00D32EC3">
        <w:rPr>
          <w:rStyle w:val="ssrfcpassagedeactivated"/>
          <w:bdr w:val="none" w:sz="0" w:space="0" w:color="auto" w:frame="1"/>
          <w:shd w:val="clear" w:color="auto" w:fill="FFFFFF"/>
        </w:rPr>
        <w:t>(</w:t>
      </w:r>
      <w:r w:rsidR="003F4E3C">
        <w:rPr>
          <w:rStyle w:val="ssrfcpassagedeactivated"/>
          <w:bdr w:val="none" w:sz="0" w:space="0" w:color="auto" w:frame="1"/>
          <w:shd w:val="clear" w:color="auto" w:fill="FFFFFF"/>
        </w:rPr>
        <w:t xml:space="preserve">See </w:t>
      </w:r>
      <w:r w:rsidR="003F4E3C">
        <w:rPr>
          <w:rStyle w:val="ssrfcpassagedeactivated"/>
          <w:i/>
          <w:iCs/>
          <w:bdr w:val="none" w:sz="0" w:space="0" w:color="auto" w:frame="1"/>
          <w:shd w:val="clear" w:color="auto" w:fill="FFFFFF"/>
        </w:rPr>
        <w:t>Yamaha</w:t>
      </w:r>
      <w:r w:rsidR="00D40527" w:rsidRPr="00D32EC3">
        <w:rPr>
          <w:rStyle w:val="ssrfcpassagedeactivated"/>
          <w:i/>
          <w:iCs/>
          <w:bdr w:val="none" w:sz="0" w:space="0" w:color="auto" w:frame="1"/>
          <w:shd w:val="clear" w:color="auto" w:fill="FFFFFF"/>
        </w:rPr>
        <w:t xml:space="preserve"> Corp. of America v. State Bd. of Equalization</w:t>
      </w:r>
      <w:r w:rsidR="00D40527" w:rsidRPr="00D32EC3">
        <w:rPr>
          <w:rStyle w:val="ssrfcpassagedeactivated"/>
          <w:bdr w:val="none" w:sz="0" w:space="0" w:color="auto" w:frame="1"/>
          <w:shd w:val="clear" w:color="auto" w:fill="FFFFFF"/>
        </w:rPr>
        <w:t xml:space="preserve"> (1998) 19 Cal.4th 1, 12</w:t>
      </w:r>
      <w:r w:rsidR="00317B83" w:rsidRPr="00D32EC3">
        <w:rPr>
          <w:rStyle w:val="ssrfcpassagedeactivated"/>
          <w:bdr w:val="none" w:sz="0" w:space="0" w:color="auto" w:frame="1"/>
          <w:shd w:val="clear" w:color="auto" w:fill="FFFFFF"/>
        </w:rPr>
        <w:t xml:space="preserve"> </w:t>
      </w:r>
      <w:r w:rsidR="003F4E3C">
        <w:rPr>
          <w:rStyle w:val="ssrfcpassagedeactivated"/>
          <w:bdr w:val="none" w:sz="0" w:space="0" w:color="auto" w:frame="1"/>
          <w:shd w:val="clear" w:color="auto" w:fill="FFFFFF"/>
        </w:rPr>
        <w:t>[citations]; [citation].</w:t>
      </w:r>
      <w:r w:rsidR="00D40527" w:rsidRPr="00D32EC3">
        <w:rPr>
          <w:rStyle w:val="ssrfcpassagedeactivated"/>
          <w:bdr w:val="none" w:sz="0" w:space="0" w:color="auto" w:frame="1"/>
          <w:shd w:val="clear" w:color="auto" w:fill="FFFFFF"/>
        </w:rPr>
        <w:t>)</w:t>
      </w:r>
      <w:r w:rsidR="00D40527" w:rsidRPr="00D32EC3">
        <w:rPr>
          <w:shd w:val="clear" w:color="auto" w:fill="FFFFFF"/>
        </w:rPr>
        <w:t>”  (</w:t>
      </w:r>
      <w:r w:rsidR="00D40527" w:rsidRPr="00D32EC3">
        <w:rPr>
          <w:i/>
          <w:iCs/>
          <w:shd w:val="clear" w:color="auto" w:fill="FFFFFF"/>
        </w:rPr>
        <w:t>Manderson-Saleh, supra</w:t>
      </w:r>
      <w:r w:rsidR="00D40527" w:rsidRPr="00D32EC3">
        <w:rPr>
          <w:shd w:val="clear" w:color="auto" w:fill="FFFFFF"/>
        </w:rPr>
        <w:t>, 60 Cal.App.5th at p. 697</w:t>
      </w:r>
      <w:r w:rsidR="00DB4328" w:rsidRPr="00D32EC3">
        <w:rPr>
          <w:shd w:val="clear" w:color="auto" w:fill="FFFFFF"/>
        </w:rPr>
        <w:t xml:space="preserve">; </w:t>
      </w:r>
      <w:r w:rsidR="00317B83" w:rsidRPr="00D32EC3">
        <w:rPr>
          <w:shd w:val="clear" w:color="auto" w:fill="FFFFFF"/>
        </w:rPr>
        <w:t xml:space="preserve">accord, </w:t>
      </w:r>
      <w:r w:rsidR="00317B83" w:rsidRPr="00D32EC3">
        <w:rPr>
          <w:i/>
          <w:iCs/>
          <w:shd w:val="clear" w:color="auto" w:fill="FFFFFF"/>
        </w:rPr>
        <w:t>Akella</w:t>
      </w:r>
      <w:r w:rsidRPr="00D32EC3">
        <w:rPr>
          <w:i/>
          <w:iCs/>
          <w:shd w:val="clear" w:color="auto" w:fill="FFFFFF"/>
        </w:rPr>
        <w:t>, supra</w:t>
      </w:r>
      <w:r w:rsidRPr="00D32EC3">
        <w:rPr>
          <w:shd w:val="clear" w:color="auto" w:fill="FFFFFF"/>
        </w:rPr>
        <w:t>,</w:t>
      </w:r>
      <w:r w:rsidR="00317B83" w:rsidRPr="00D32EC3">
        <w:rPr>
          <w:shd w:val="clear" w:color="auto" w:fill="FFFFFF"/>
        </w:rPr>
        <w:t xml:space="preserve"> 61 Cal.App.5th </w:t>
      </w:r>
      <w:r w:rsidRPr="00D32EC3">
        <w:rPr>
          <w:shd w:val="clear" w:color="auto" w:fill="FFFFFF"/>
        </w:rPr>
        <w:t>at p.</w:t>
      </w:r>
      <w:r w:rsidR="00317B83" w:rsidRPr="00D32EC3">
        <w:rPr>
          <w:shd w:val="clear" w:color="auto" w:fill="FFFFFF"/>
        </w:rPr>
        <w:t xml:space="preserve"> 817 [“</w:t>
      </w:r>
      <w:r w:rsidR="00317B83" w:rsidRPr="00D32EC3">
        <w:rPr>
          <w:rStyle w:val="ssrfcsection"/>
          <w:bdr w:val="none" w:sz="0" w:space="0" w:color="auto" w:frame="1"/>
          <w:shd w:val="clear" w:color="auto" w:fill="FFFFFF"/>
        </w:rPr>
        <w:t>considering it is well within the Regents’ constitutionally delegated authority</w:t>
      </w:r>
      <w:r w:rsidRPr="00D32EC3">
        <w:rPr>
          <w:rStyle w:val="ssrfcsection"/>
          <w:bdr w:val="none" w:sz="0" w:space="0" w:color="auto" w:frame="1"/>
          <w:shd w:val="clear" w:color="auto" w:fill="FFFFFF"/>
        </w:rPr>
        <w:t xml:space="preserve"> </w:t>
      </w:r>
      <w:r w:rsidR="009B6D2D">
        <w:rPr>
          <w:rStyle w:val="ssrfcsection"/>
          <w:bdr w:val="none" w:sz="0" w:space="0" w:color="auto" w:frame="1"/>
          <w:shd w:val="clear" w:color="auto" w:fill="FFFFFF"/>
        </w:rPr>
        <w:t>[citation]</w:t>
      </w:r>
      <w:r w:rsidR="00317B83" w:rsidRPr="00D32EC3">
        <w:rPr>
          <w:rStyle w:val="ssrfcsection"/>
          <w:bdr w:val="none" w:sz="0" w:space="0" w:color="auto" w:frame="1"/>
          <w:shd w:val="clear" w:color="auto" w:fill="FFFFFF"/>
        </w:rPr>
        <w:t xml:space="preserve"> to hear and resolve disputes related to the administration of the university</w:t>
      </w:r>
      <w:r w:rsidRPr="00D32EC3">
        <w:rPr>
          <w:rStyle w:val="ssrfcsection"/>
          <w:bdr w:val="none" w:sz="0" w:space="0" w:color="auto" w:frame="1"/>
          <w:shd w:val="clear" w:color="auto" w:fill="FFFFFF"/>
        </w:rPr>
        <w:t>’</w:t>
      </w:r>
      <w:r w:rsidR="00317B83" w:rsidRPr="00D32EC3">
        <w:rPr>
          <w:rStyle w:val="ssrfcsection"/>
          <w:bdr w:val="none" w:sz="0" w:space="0" w:color="auto" w:frame="1"/>
          <w:shd w:val="clear" w:color="auto" w:fill="FFFFFF"/>
        </w:rPr>
        <w:t xml:space="preserve">s academic affairs ‘by applying University policies to particular cases’ [citation], we conclude that Privilege &amp; Tenure’s interpretation is entitled to a reasonable degree of judicial </w:t>
      </w:r>
      <w:r w:rsidR="00FF1FC8">
        <w:rPr>
          <w:shd w:val="clear" w:color="auto" w:fill="FFFFFF"/>
        </w:rPr>
        <w:t>deference”].)</w:t>
      </w:r>
      <w:r>
        <w:rPr>
          <w:rStyle w:val="FootnoteReference"/>
          <w:shd w:val="clear" w:color="auto" w:fill="FFFFFF"/>
        </w:rPr>
        <w:footnoteReference w:id="13"/>
      </w:r>
    </w:p>
    <w:p w14:paraId="74687CD4" w14:textId="3FA6EE62" w:rsidR="00612C01" w:rsidRPr="003F08AD" w:rsidRDefault="00913934" w:rsidP="003E48FB">
      <w:pPr>
        <w:tabs>
          <w:tab w:val="clear" w:pos="720"/>
        </w:tabs>
        <w:spacing w:line="360" w:lineRule="auto"/>
      </w:pPr>
      <w:r w:rsidRPr="00D32EC3">
        <w:rPr>
          <w:shd w:val="clear" w:color="auto" w:fill="FFFFFF"/>
        </w:rPr>
        <w:lastRenderedPageBreak/>
        <w:tab/>
      </w:r>
      <w:r w:rsidR="00CA45FA">
        <w:rPr>
          <w:shd w:val="clear" w:color="auto" w:fill="FFFFFF"/>
        </w:rPr>
        <w:t>In</w:t>
      </w:r>
      <w:r w:rsidR="00A76557" w:rsidRPr="00D32EC3">
        <w:rPr>
          <w:shd w:val="clear" w:color="auto" w:fill="FFFFFF"/>
        </w:rPr>
        <w:t xml:space="preserve"> de</w:t>
      </w:r>
      <w:r w:rsidR="00EA5F36" w:rsidRPr="00D32EC3">
        <w:rPr>
          <w:shd w:val="clear" w:color="auto" w:fill="FFFFFF"/>
        </w:rPr>
        <w:t xml:space="preserve">termining that </w:t>
      </w:r>
      <w:r w:rsidR="00CA45FA">
        <w:rPr>
          <w:shd w:val="clear" w:color="auto" w:fill="FFFFFF"/>
        </w:rPr>
        <w:t>plaintiff’s</w:t>
      </w:r>
      <w:r w:rsidR="00A76557" w:rsidRPr="00D32EC3">
        <w:rPr>
          <w:shd w:val="clear" w:color="auto" w:fill="FFFFFF"/>
        </w:rPr>
        <w:t xml:space="preserve"> conduct toward Jane Doe was subject to discipline, the </w:t>
      </w:r>
      <w:r w:rsidR="00AB7617" w:rsidRPr="00D32EC3">
        <w:rPr>
          <w:shd w:val="clear" w:color="auto" w:fill="FFFFFF"/>
        </w:rPr>
        <w:t xml:space="preserve">University relied on </w:t>
      </w:r>
      <w:r w:rsidR="00D601DF" w:rsidRPr="003F08AD">
        <w:t xml:space="preserve">Faculty Code of Conduct, </w:t>
      </w:r>
      <w:r w:rsidR="00CA45FA">
        <w:t>Part II</w:t>
      </w:r>
      <w:r w:rsidR="00AB7617" w:rsidRPr="003F08AD">
        <w:t xml:space="preserve">. </w:t>
      </w:r>
      <w:r w:rsidR="00D601DF" w:rsidRPr="003F08AD">
        <w:t xml:space="preserve"> </w:t>
      </w:r>
      <w:r w:rsidR="00AB7617" w:rsidRPr="003F08AD">
        <w:t>Th</w:t>
      </w:r>
      <w:r w:rsidR="00EA5F36" w:rsidRPr="003F08AD">
        <w:t>e relevant</w:t>
      </w:r>
      <w:r w:rsidR="00AB7617" w:rsidRPr="003F08AD">
        <w:t xml:space="preserve"> provision</w:t>
      </w:r>
      <w:r w:rsidR="00D601DF" w:rsidRPr="003F08AD">
        <w:t xml:space="preserve"> states</w:t>
      </w:r>
      <w:proofErr w:type="gramStart"/>
      <w:r w:rsidR="00D601DF" w:rsidRPr="003F08AD">
        <w:t xml:space="preserve">: </w:t>
      </w:r>
      <w:r w:rsidR="00CA45FA">
        <w:t xml:space="preserve"> </w:t>
      </w:r>
      <w:r w:rsidR="00D601DF" w:rsidRPr="003F08AD">
        <w:t>“</w:t>
      </w:r>
      <w:proofErr w:type="gramEnd"/>
      <w:r w:rsidRPr="003F08AD">
        <w:t>Th</w:t>
      </w:r>
      <w:r w:rsidR="00EA5F36" w:rsidRPr="003F08AD">
        <w:t>[e]</w:t>
      </w:r>
      <w:r w:rsidRPr="003F08AD">
        <w:t xml:space="preserve"> listing of faculty responsibilities, ethical principles, and types of unacceptable behavior is organized around the individual faculty member’s relation to teaching and students, to scholarship, to the University, to colleagues, and to the community. </w:t>
      </w:r>
      <w:r w:rsidR="0033745A">
        <w:t xml:space="preserve"> </w:t>
      </w:r>
      <w:r w:rsidRPr="003F08AD">
        <w:t xml:space="preserve">Since University discipline, as distinguished from other forms of reproval or </w:t>
      </w:r>
      <w:r w:rsidRPr="003F08AD">
        <w:t xml:space="preserve">administrative actions, should be reserved for faculty misconduct that is either serious in itself or is made serious through its repetition, or its consequences, the following general principle is intended to govern all instances of its application: </w:t>
      </w:r>
      <w:r w:rsidR="0033745A">
        <w:t>[¶] </w:t>
      </w:r>
      <w:r w:rsidR="00C84E8C">
        <w:t>University</w:t>
      </w:r>
      <w:r w:rsidR="00D601DF" w:rsidRPr="003F08AD">
        <w:t xml:space="preserve"> discipline under this Code may be imposed on a faculty member only for conduct which is not justified by the ethical principles and which significantly impairs the University’s central functions as set forth in the </w:t>
      </w:r>
      <w:r w:rsidR="00C84E8C">
        <w:t>Preamble. . . .  The</w:t>
      </w:r>
      <w:r w:rsidR="00B77675" w:rsidRPr="003F08AD">
        <w:t xml:space="preserve"> Types of Unacceptable Conduct listed below in Sections </w:t>
      </w:r>
      <w:r w:rsidR="00C84E8C">
        <w:t>A through E</w:t>
      </w:r>
      <w:r w:rsidR="00B77675" w:rsidRPr="003F08AD">
        <w:t xml:space="preserve"> are examples of types of conduct which meet the preceding standards and hence are presumptively subject to </w:t>
      </w:r>
      <w:proofErr w:type="gramStart"/>
      <w:r w:rsidR="00B77675" w:rsidRPr="003F08AD">
        <w:t>University</w:t>
      </w:r>
      <w:proofErr w:type="gramEnd"/>
      <w:r w:rsidR="00B77675" w:rsidRPr="003F08AD">
        <w:t xml:space="preserve"> discipline. </w:t>
      </w:r>
      <w:r w:rsidR="00C84E8C">
        <w:t xml:space="preserve"> </w:t>
      </w:r>
      <w:r w:rsidR="00D601DF" w:rsidRPr="003F08AD">
        <w:t xml:space="preserve">Other types of serious misconduct, not specifically enumerated herein, may nonetheless be the basis for disciplinary action if they also meet the preceding </w:t>
      </w:r>
      <w:r w:rsidR="004A5AEC">
        <w:t>standards.”  (Italics omitted.)</w:t>
      </w:r>
    </w:p>
    <w:p w14:paraId="26C0A873" w14:textId="581AF729" w:rsidR="00514547" w:rsidRPr="003F08AD" w:rsidRDefault="00913934" w:rsidP="00D32EC3">
      <w:pPr>
        <w:tabs>
          <w:tab w:val="clear" w:pos="720"/>
        </w:tabs>
        <w:spacing w:line="360" w:lineRule="auto"/>
      </w:pPr>
      <w:r w:rsidRPr="003F08AD">
        <w:tab/>
      </w:r>
      <w:r w:rsidR="00612C01" w:rsidRPr="003F08AD">
        <w:t xml:space="preserve">According to </w:t>
      </w:r>
      <w:r w:rsidR="007854E6">
        <w:t>plaintiff</w:t>
      </w:r>
      <w:r w:rsidR="00612C01" w:rsidRPr="003F08AD">
        <w:t>, this language permits</w:t>
      </w:r>
      <w:r w:rsidR="00EA5F36" w:rsidRPr="003F08AD">
        <w:t xml:space="preserve"> faculty members to be </w:t>
      </w:r>
      <w:r w:rsidR="00612C01" w:rsidRPr="003F08AD">
        <w:t>discipline</w:t>
      </w:r>
      <w:r w:rsidR="00EA5F36" w:rsidRPr="003F08AD">
        <w:t>d</w:t>
      </w:r>
      <w:r w:rsidR="00BB6CAE" w:rsidRPr="003F08AD">
        <w:t xml:space="preserve"> </w:t>
      </w:r>
      <w:r w:rsidR="00612C01" w:rsidRPr="003F08AD">
        <w:t xml:space="preserve">only </w:t>
      </w:r>
      <w:r w:rsidR="00EA5F36" w:rsidRPr="003F08AD">
        <w:t>as</w:t>
      </w:r>
      <w:r w:rsidRPr="003F08AD">
        <w:t xml:space="preserve"> to</w:t>
      </w:r>
      <w:r w:rsidR="00612C01" w:rsidRPr="003F08AD">
        <w:t xml:space="preserve"> matter</w:t>
      </w:r>
      <w:r w:rsidRPr="003F08AD">
        <w:t>s</w:t>
      </w:r>
      <w:r w:rsidR="00612C01" w:rsidRPr="003F08AD">
        <w:t xml:space="preserve"> </w:t>
      </w:r>
      <w:r w:rsidRPr="003F08AD">
        <w:t xml:space="preserve">“in the scope of their professional roles, not after they have hung up their coat and kicked off their shoes at the end of the day, and certainly not after an after-party for an </w:t>
      </w:r>
      <w:r w:rsidR="00F05EB8" w:rsidRPr="003F08AD">
        <w:t>off-campus</w:t>
      </w:r>
      <w:r w:rsidRPr="003F08AD">
        <w:t xml:space="preserve"> poetry summit </w:t>
      </w:r>
      <w:r w:rsidR="007854E6">
        <w:t>[unaffiliated] with UCSC</w:t>
      </w:r>
      <w:r w:rsidRPr="003F08AD">
        <w:t>.”</w:t>
      </w:r>
    </w:p>
    <w:p w14:paraId="2A612BB2" w14:textId="653777FC" w:rsidR="007B5108" w:rsidRDefault="00913934" w:rsidP="003F08AD">
      <w:pPr>
        <w:tabs>
          <w:tab w:val="clear" w:pos="720"/>
        </w:tabs>
        <w:spacing w:line="360" w:lineRule="auto"/>
      </w:pPr>
      <w:r w:rsidRPr="003F08AD">
        <w:lastRenderedPageBreak/>
        <w:tab/>
        <w:t>I</w:t>
      </w:r>
      <w:r w:rsidR="00BB6CAE" w:rsidRPr="003F08AD">
        <w:t>n its final report,</w:t>
      </w:r>
      <w:r w:rsidRPr="003F08AD">
        <w:t xml:space="preserve"> however,</w:t>
      </w:r>
      <w:r w:rsidR="00BB6CAE" w:rsidRPr="003F08AD">
        <w:t xml:space="preserve"> </w:t>
      </w:r>
      <w:r w:rsidR="00864890" w:rsidRPr="003F08AD">
        <w:t xml:space="preserve">the </w:t>
      </w:r>
      <w:r w:rsidR="007D574D">
        <w:t>PT Committee</w:t>
      </w:r>
      <w:r w:rsidR="00864890" w:rsidRPr="003F08AD">
        <w:t xml:space="preserve"> interpreted th</w:t>
      </w:r>
      <w:r w:rsidRPr="003F08AD">
        <w:t>is provision</w:t>
      </w:r>
      <w:r w:rsidR="00BB6CAE" w:rsidRPr="003F08AD">
        <w:t xml:space="preserve"> </w:t>
      </w:r>
      <w:r w:rsidR="00864890" w:rsidRPr="003F08AD">
        <w:t>otherwise</w:t>
      </w:r>
      <w:proofErr w:type="gramStart"/>
      <w:r w:rsidR="00864890" w:rsidRPr="003F08AD">
        <w:t xml:space="preserve">: </w:t>
      </w:r>
      <w:r w:rsidR="007D574D">
        <w:t xml:space="preserve"> </w:t>
      </w:r>
      <w:r w:rsidR="00864890" w:rsidRPr="003F08AD">
        <w:t>“</w:t>
      </w:r>
      <w:proofErr w:type="gramEnd"/>
      <w:r w:rsidR="006E27F9" w:rsidRPr="003F08AD">
        <w:t xml:space="preserve">The </w:t>
      </w:r>
      <w:r w:rsidRPr="003F08AD">
        <w:t>[</w:t>
      </w:r>
      <w:r w:rsidR="006E27F9" w:rsidRPr="003F08AD">
        <w:t>F</w:t>
      </w:r>
      <w:r w:rsidRPr="003F08AD">
        <w:t xml:space="preserve">aculty </w:t>
      </w:r>
      <w:r w:rsidR="006E27F9" w:rsidRPr="003F08AD">
        <w:t>C</w:t>
      </w:r>
      <w:r w:rsidRPr="003F08AD">
        <w:t xml:space="preserve">ode of </w:t>
      </w:r>
      <w:r w:rsidR="006E27F9" w:rsidRPr="003F08AD">
        <w:t>C</w:t>
      </w:r>
      <w:r w:rsidRPr="003F08AD">
        <w:t>onduct]</w:t>
      </w:r>
      <w:r w:rsidR="006E27F9" w:rsidRPr="003F08AD">
        <w:t xml:space="preserve"> does in fact extend to interactions between faculty and </w:t>
      </w:r>
      <w:r w:rsidR="00864890" w:rsidRPr="003F08AD">
        <w:t>‘</w:t>
      </w:r>
      <w:r w:rsidR="006E27F9" w:rsidRPr="003F08AD">
        <w:t>the community</w:t>
      </w:r>
      <w:r w:rsidR="00864890" w:rsidRPr="003F08AD">
        <w:t>’</w:t>
      </w:r>
      <w:r w:rsidR="006E27F9" w:rsidRPr="003F08AD">
        <w:t xml:space="preserve">: </w:t>
      </w:r>
      <w:r w:rsidR="007D574D">
        <w:t xml:space="preserve"> </w:t>
      </w:r>
      <w:r w:rsidR="00864890" w:rsidRPr="003F08AD">
        <w:t>‘</w:t>
      </w:r>
      <w:r w:rsidR="006E27F9" w:rsidRPr="003F08AD">
        <w:t>This listing of faculty responsibilities, ethical principles, and types of unacceptable behavior is organized around the individual faculty member’s relation to teaching and students, to scholarship, to the University, to colleagues, and to the community</w:t>
      </w:r>
      <w:r w:rsidR="00864890" w:rsidRPr="003F08AD">
        <w:t>’</w:t>
      </w:r>
      <w:r w:rsidR="006E27F9" w:rsidRPr="003F08AD">
        <w:t xml:space="preserve">. </w:t>
      </w:r>
      <w:r w:rsidR="007D574D">
        <w:t xml:space="preserve"> </w:t>
      </w:r>
      <w:r w:rsidR="00CA44D7">
        <w:t>(APM 015, Part II.)  The</w:t>
      </w:r>
      <w:r w:rsidR="006E27F9" w:rsidRPr="003F08AD">
        <w:t xml:space="preserve"> </w:t>
      </w:r>
      <w:r w:rsidR="00864890" w:rsidRPr="003F08AD">
        <w:t>‘</w:t>
      </w:r>
      <w:r w:rsidR="006E27F9" w:rsidRPr="003F08AD">
        <w:t>community</w:t>
      </w:r>
      <w:r w:rsidR="00864890" w:rsidRPr="003F08AD">
        <w:t>’</w:t>
      </w:r>
      <w:r w:rsidR="006E27F9" w:rsidRPr="003F08AD">
        <w:t xml:space="preserve"> meant here is clearly not the University community, but the community at large. </w:t>
      </w:r>
      <w:r w:rsidR="00CA44D7">
        <w:t xml:space="preserve"> </w:t>
      </w:r>
      <w:r w:rsidR="006E27F9" w:rsidRPr="003F08AD">
        <w:t xml:space="preserve">It is not true that the conduct in question had no relation to the University. </w:t>
      </w:r>
      <w:r w:rsidR="00CA44D7">
        <w:t xml:space="preserve"> </w:t>
      </w:r>
      <w:r w:rsidR="006E27F9" w:rsidRPr="003F08AD">
        <w:t xml:space="preserve">The poetry summit was an academic conference (testimony by </w:t>
      </w:r>
      <w:r w:rsidR="00CA44D7">
        <w:t>[Witness 1], HT p. 272</w:t>
      </w:r>
      <w:r w:rsidR="006E27F9" w:rsidRPr="003F08AD">
        <w:t xml:space="preserve">), and </w:t>
      </w:r>
      <w:r w:rsidR="00EF6356">
        <w:t>[plaintiff’s]</w:t>
      </w:r>
      <w:r w:rsidR="006E27F9" w:rsidRPr="003F08AD">
        <w:t xml:space="preserve"> presence at it was clearly related to his status as a Professor at the University. </w:t>
      </w:r>
      <w:r>
        <w:t xml:space="preserve"> </w:t>
      </w:r>
      <w:r w:rsidR="006E27F9" w:rsidRPr="003F08AD">
        <w:t xml:space="preserve">The question before us, then, is whether </w:t>
      </w:r>
      <w:r>
        <w:t>[</w:t>
      </w:r>
      <w:r w:rsidR="00EF6356">
        <w:t>plaintiff</w:t>
      </w:r>
      <w:r>
        <w:t>’s]</w:t>
      </w:r>
      <w:r w:rsidR="006E27F9" w:rsidRPr="003F08AD">
        <w:t xml:space="preserve"> conduct in the </w:t>
      </w:r>
      <w:r w:rsidR="00864890" w:rsidRPr="003F08AD">
        <w:t>[Jane Doe]</w:t>
      </w:r>
      <w:r w:rsidR="006E27F9" w:rsidRPr="003F08AD">
        <w:t xml:space="preserve"> incident was conduct which </w:t>
      </w:r>
      <w:r w:rsidR="00864890" w:rsidRPr="003F08AD">
        <w:t>‘</w:t>
      </w:r>
      <w:bookmarkStart w:id="0" w:name="_Hlk143866633"/>
      <w:r w:rsidR="006E27F9" w:rsidRPr="003F08AD">
        <w:t>is not justified by the Ethical Principles and which significantly impairs the University’s central functions</w:t>
      </w:r>
      <w:bookmarkEnd w:id="0"/>
      <w:r w:rsidR="006E27F9" w:rsidRPr="003F08AD">
        <w:t xml:space="preserve"> as set forth in the Preamble</w:t>
      </w:r>
      <w:r w:rsidR="00864890" w:rsidRPr="003F08AD">
        <w:t>’</w:t>
      </w:r>
      <w:r w:rsidR="006E27F9" w:rsidRPr="003F08AD">
        <w:t>.</w:t>
      </w:r>
    </w:p>
    <w:p w14:paraId="56868B74" w14:textId="63E442A8" w:rsidR="00D601DF" w:rsidRPr="003F08AD" w:rsidRDefault="00913934" w:rsidP="00D32EC3">
      <w:pPr>
        <w:tabs>
          <w:tab w:val="clear" w:pos="720"/>
        </w:tabs>
        <w:spacing w:line="360" w:lineRule="auto"/>
        <w:ind w:firstLine="720"/>
      </w:pPr>
      <w:r>
        <w:t>“There</w:t>
      </w:r>
      <w:r w:rsidR="006E27F9" w:rsidRPr="003F08AD">
        <w:t xml:space="preserve"> is no question that the behavior was not justified by the Ethical Principles. </w:t>
      </w:r>
      <w:r w:rsidR="00524460">
        <w:t xml:space="preserve"> </w:t>
      </w:r>
      <w:r w:rsidR="006E27F9" w:rsidRPr="003F08AD">
        <w:t xml:space="preserve">We also find that it significantly impairs the University’s central functions. </w:t>
      </w:r>
      <w:r w:rsidR="00524460">
        <w:t xml:space="preserve"> </w:t>
      </w:r>
      <w:r w:rsidR="006E27F9" w:rsidRPr="003F08AD">
        <w:t>The Preamble states</w:t>
      </w:r>
      <w:proofErr w:type="gramStart"/>
      <w:r w:rsidR="006E27F9" w:rsidRPr="003F08AD">
        <w:t xml:space="preserve">: </w:t>
      </w:r>
      <w:r w:rsidR="00524460">
        <w:t xml:space="preserve"> </w:t>
      </w:r>
      <w:r w:rsidR="00864890" w:rsidRPr="003F08AD">
        <w:t>‘</w:t>
      </w:r>
      <w:proofErr w:type="gramEnd"/>
      <w:r w:rsidR="006E27F9" w:rsidRPr="003F08AD">
        <w:t>The University seeks to provide and sustain an environment conducive to sharing, extending, and critically examining knowledge and values, and to furthering the search for wisdom.</w:t>
      </w:r>
      <w:r w:rsidR="00864890" w:rsidRPr="003F08AD">
        <w:t>’</w:t>
      </w:r>
      <w:r w:rsidR="006E27F9" w:rsidRPr="003F08AD">
        <w:t xml:space="preserve"> </w:t>
      </w:r>
      <w:r w:rsidR="00524460">
        <w:t xml:space="preserve"> </w:t>
      </w:r>
      <w:r w:rsidR="006E27F9" w:rsidRPr="003F08AD">
        <w:t xml:space="preserve">The University is impaired in this function if its faculty, without consequence or sanction, engage in behavior in the context of professional events that would not be tolerated on campus because of their clear incompatibility with sustaining an environment </w:t>
      </w:r>
      <w:r w:rsidR="00864890" w:rsidRPr="003F08AD">
        <w:t>‘</w:t>
      </w:r>
      <w:r w:rsidR="006E27F9" w:rsidRPr="003F08AD">
        <w:t>conducive to sharing, extending, and critically examining knowledge and values, and to furthering the search for wisdom</w:t>
      </w:r>
      <w:r w:rsidR="00864890" w:rsidRPr="003F08AD">
        <w:t>’</w:t>
      </w:r>
      <w:r w:rsidR="006E27F9" w:rsidRPr="003F08AD">
        <w:t xml:space="preserve">. </w:t>
      </w:r>
      <w:r w:rsidR="00524460">
        <w:t xml:space="preserve"> </w:t>
      </w:r>
      <w:r w:rsidR="006E27F9" w:rsidRPr="003F08AD">
        <w:t xml:space="preserve">For example, it is to be expected that neither </w:t>
      </w:r>
      <w:r w:rsidR="00524460">
        <w:t>Ms. [Doe] nor [Witness 1]</w:t>
      </w:r>
      <w:r w:rsidR="006E27F9" w:rsidRPr="003F08AD">
        <w:t xml:space="preserve"> (nor potentially others who became aware of the behavior) would want to work </w:t>
      </w:r>
      <w:r w:rsidR="006E27F9" w:rsidRPr="003F08AD">
        <w:lastRenderedPageBreak/>
        <w:t xml:space="preserve">with </w:t>
      </w:r>
      <w:r w:rsidR="00EF6356">
        <w:t>[plaintiff]</w:t>
      </w:r>
      <w:r w:rsidR="00514547" w:rsidRPr="003F08AD">
        <w:t xml:space="preserve"> </w:t>
      </w:r>
      <w:r w:rsidR="006E27F9" w:rsidRPr="003F08AD">
        <w:t xml:space="preserve">(or even with anyone from UCSC) in the future, if they see that this behavior has no consequences. </w:t>
      </w:r>
      <w:r w:rsidR="00966503">
        <w:t xml:space="preserve"> </w:t>
      </w:r>
      <w:r w:rsidR="006E27F9" w:rsidRPr="003F08AD">
        <w:t>In other words: only a safe environment is an environment conducive to sharing knowledge and values.</w:t>
      </w:r>
      <w:r w:rsidR="00864890" w:rsidRPr="003F08AD">
        <w:t>”</w:t>
      </w:r>
    </w:p>
    <w:p w14:paraId="46118108" w14:textId="46DE1FE4" w:rsidR="003314E7" w:rsidRPr="00127C05" w:rsidRDefault="00913934" w:rsidP="00127C05">
      <w:pPr>
        <w:tabs>
          <w:tab w:val="clear" w:pos="720"/>
        </w:tabs>
        <w:spacing w:line="360" w:lineRule="auto"/>
        <w:rPr>
          <w:rStyle w:val="ssrfcsection"/>
          <w:bdr w:val="none" w:sz="0" w:space="0" w:color="auto" w:frame="1"/>
          <w:shd w:val="clear" w:color="auto" w:fill="FFFFFF"/>
        </w:rPr>
      </w:pPr>
      <w:r w:rsidRPr="003F08AD">
        <w:tab/>
      </w:r>
      <w:r w:rsidR="00A44B08">
        <w:rPr>
          <w:rStyle w:val="ssrfcpassagedeactivated"/>
          <w:bdr w:val="none" w:sz="0" w:space="0" w:color="auto" w:frame="1"/>
          <w:shd w:val="clear" w:color="auto" w:fill="FFFFFF"/>
        </w:rPr>
        <w:t>Applying the above stated</w:t>
      </w:r>
      <w:r w:rsidR="00EA5F36" w:rsidRPr="00127C05">
        <w:rPr>
          <w:rStyle w:val="ssrfcpassagedeactivated"/>
          <w:bdr w:val="none" w:sz="0" w:space="0" w:color="auto" w:frame="1"/>
          <w:shd w:val="clear" w:color="auto" w:fill="FFFFFF"/>
        </w:rPr>
        <w:t xml:space="preserve"> rules</w:t>
      </w:r>
      <w:r w:rsidR="00611284" w:rsidRPr="00127C05">
        <w:rPr>
          <w:rStyle w:val="ssrfcpassagedeactivated"/>
          <w:bdr w:val="none" w:sz="0" w:space="0" w:color="auto" w:frame="1"/>
          <w:shd w:val="clear" w:color="auto" w:fill="FFFFFF"/>
        </w:rPr>
        <w:t xml:space="preserve"> </w:t>
      </w:r>
      <w:r w:rsidR="00BB6CAE" w:rsidRPr="00127C05">
        <w:rPr>
          <w:rStyle w:val="ssrfcpassagedeactivated"/>
          <w:bdr w:val="none" w:sz="0" w:space="0" w:color="auto" w:frame="1"/>
          <w:shd w:val="clear" w:color="auto" w:fill="FFFFFF"/>
        </w:rPr>
        <w:t xml:space="preserve">of statutory interpretation, we conclude the </w:t>
      </w:r>
      <w:r w:rsidR="00A44B08">
        <w:rPr>
          <w:rStyle w:val="ssrfcpassagedeactivated"/>
          <w:bdr w:val="none" w:sz="0" w:space="0" w:color="auto" w:frame="1"/>
          <w:shd w:val="clear" w:color="auto" w:fill="FFFFFF"/>
        </w:rPr>
        <w:t>PT Committee’s</w:t>
      </w:r>
      <w:r w:rsidR="00BB6CAE" w:rsidRPr="00127C05">
        <w:rPr>
          <w:rStyle w:val="ssrfcpassagedeactivated"/>
          <w:bdr w:val="none" w:sz="0" w:space="0" w:color="auto" w:frame="1"/>
          <w:shd w:val="clear" w:color="auto" w:fill="FFFFFF"/>
        </w:rPr>
        <w:t xml:space="preserve"> </w:t>
      </w:r>
      <w:r w:rsidR="00EA5F36" w:rsidRPr="00127C05">
        <w:rPr>
          <w:rStyle w:val="ssrfcpassagedeactivated"/>
          <w:bdr w:val="none" w:sz="0" w:space="0" w:color="auto" w:frame="1"/>
          <w:shd w:val="clear" w:color="auto" w:fill="FFFFFF"/>
        </w:rPr>
        <w:t>reading</w:t>
      </w:r>
      <w:r w:rsidR="00BB6CAE" w:rsidRPr="00127C05">
        <w:rPr>
          <w:rStyle w:val="ssrfcpassagedeactivated"/>
          <w:bdr w:val="none" w:sz="0" w:space="0" w:color="auto" w:frame="1"/>
          <w:shd w:val="clear" w:color="auto" w:fill="FFFFFF"/>
        </w:rPr>
        <w:t xml:space="preserve"> of the Faculty Code of Conduct</w:t>
      </w:r>
      <w:r w:rsidR="00514547" w:rsidRPr="00127C05">
        <w:rPr>
          <w:rStyle w:val="ssrfcpassagedeactivated"/>
          <w:bdr w:val="none" w:sz="0" w:space="0" w:color="auto" w:frame="1"/>
          <w:shd w:val="clear" w:color="auto" w:fill="FFFFFF"/>
        </w:rPr>
        <w:t xml:space="preserve"> </w:t>
      </w:r>
      <w:r w:rsidR="00EA5F36" w:rsidRPr="00127C05">
        <w:rPr>
          <w:rStyle w:val="ssrfcpassagedeactivated"/>
          <w:bdr w:val="none" w:sz="0" w:space="0" w:color="auto" w:frame="1"/>
          <w:shd w:val="clear" w:color="auto" w:fill="FFFFFF"/>
        </w:rPr>
        <w:t>wa</w:t>
      </w:r>
      <w:r w:rsidR="00514547" w:rsidRPr="00127C05">
        <w:rPr>
          <w:rStyle w:val="ssrfcpassagedeactivated"/>
          <w:bdr w:val="none" w:sz="0" w:space="0" w:color="auto" w:frame="1"/>
          <w:shd w:val="clear" w:color="auto" w:fill="FFFFFF"/>
        </w:rPr>
        <w:t>s consistent</w:t>
      </w:r>
      <w:r w:rsidR="00BB6CAE" w:rsidRPr="00127C05">
        <w:rPr>
          <w:rStyle w:val="ssrfcpassagedeactivated"/>
          <w:bdr w:val="none" w:sz="0" w:space="0" w:color="auto" w:frame="1"/>
          <w:shd w:val="clear" w:color="auto" w:fill="FFFFFF"/>
        </w:rPr>
        <w:t xml:space="preserve"> with the plain and commonsense meaning</w:t>
      </w:r>
      <w:r w:rsidR="003E7AA5" w:rsidRPr="00127C05">
        <w:rPr>
          <w:rStyle w:val="ssrfcpassagedeactivated"/>
          <w:bdr w:val="none" w:sz="0" w:space="0" w:color="auto" w:frame="1"/>
          <w:shd w:val="clear" w:color="auto" w:fill="FFFFFF"/>
        </w:rPr>
        <w:t xml:space="preserve"> of the Code’s language</w:t>
      </w:r>
      <w:r w:rsidR="00BB6CAE" w:rsidRPr="00127C05">
        <w:rPr>
          <w:rStyle w:val="ssrfcpassagedeactivated"/>
          <w:bdr w:val="none" w:sz="0" w:space="0" w:color="auto" w:frame="1"/>
          <w:shd w:val="clear" w:color="auto" w:fill="FFFFFF"/>
        </w:rPr>
        <w:t>.  (</w:t>
      </w:r>
      <w:r w:rsidR="00BB6CAE" w:rsidRPr="00127C05">
        <w:rPr>
          <w:rStyle w:val="ssrfcpassagedeactivated"/>
          <w:i/>
          <w:iCs/>
          <w:bdr w:val="none" w:sz="0" w:space="0" w:color="auto" w:frame="1"/>
          <w:shd w:val="clear" w:color="auto" w:fill="FFFFFF"/>
        </w:rPr>
        <w:t>Akella, supra</w:t>
      </w:r>
      <w:r w:rsidR="00BB6CAE" w:rsidRPr="00127C05">
        <w:rPr>
          <w:rStyle w:val="ssrfcpassagedeactivated"/>
          <w:bdr w:val="none" w:sz="0" w:space="0" w:color="auto" w:frame="1"/>
          <w:shd w:val="clear" w:color="auto" w:fill="FFFFFF"/>
        </w:rPr>
        <w:t xml:space="preserve">, 61 Cal.App.5th at pp. </w:t>
      </w:r>
      <w:r w:rsidR="00F14CC6">
        <w:rPr>
          <w:rStyle w:val="ssrfcpassagedeactivated"/>
          <w:bdr w:val="none" w:sz="0" w:space="0" w:color="auto" w:frame="1"/>
          <w:shd w:val="clear" w:color="auto" w:fill="FFFFFF"/>
        </w:rPr>
        <w:t>817–818</w:t>
      </w:r>
      <w:r w:rsidR="00BB6CAE" w:rsidRPr="00127C05">
        <w:rPr>
          <w:rStyle w:val="ssrfcpassagedeactivated"/>
          <w:bdr w:val="none" w:sz="0" w:space="0" w:color="auto" w:frame="1"/>
          <w:shd w:val="clear" w:color="auto" w:fill="FFFFFF"/>
        </w:rPr>
        <w:t xml:space="preserve">.)  </w:t>
      </w:r>
      <w:r w:rsidR="003E7AA5" w:rsidRPr="00127C05">
        <w:rPr>
          <w:rStyle w:val="ssrfcpassagedeactivated"/>
          <w:bdr w:val="none" w:sz="0" w:space="0" w:color="auto" w:frame="1"/>
          <w:shd w:val="clear" w:color="auto" w:fill="FFFFFF"/>
        </w:rPr>
        <w:t>T</w:t>
      </w:r>
      <w:r w:rsidR="00BB6CAE" w:rsidRPr="00127C05">
        <w:rPr>
          <w:rStyle w:val="ssrfcpassagedeactivated"/>
          <w:bdr w:val="none" w:sz="0" w:space="0" w:color="auto" w:frame="1"/>
          <w:shd w:val="clear" w:color="auto" w:fill="FFFFFF"/>
        </w:rPr>
        <w:t xml:space="preserve">he </w:t>
      </w:r>
      <w:r w:rsidR="00F14CC6">
        <w:rPr>
          <w:rStyle w:val="ssrfcpassagedeactivated"/>
          <w:bdr w:val="none" w:sz="0" w:space="0" w:color="auto" w:frame="1"/>
          <w:shd w:val="clear" w:color="auto" w:fill="FFFFFF"/>
        </w:rPr>
        <w:t>PT Committee’s</w:t>
      </w:r>
      <w:r w:rsidR="00BB6CAE" w:rsidRPr="00127C05">
        <w:rPr>
          <w:rStyle w:val="ssrfcpassagedeactivated"/>
          <w:bdr w:val="none" w:sz="0" w:space="0" w:color="auto" w:frame="1"/>
          <w:shd w:val="clear" w:color="auto" w:fill="FFFFFF"/>
        </w:rPr>
        <w:t xml:space="preserve"> interpretation </w:t>
      </w:r>
      <w:r w:rsidR="003E7AA5" w:rsidRPr="00127C05">
        <w:rPr>
          <w:rStyle w:val="ssrfcpassagedeactivated"/>
          <w:bdr w:val="none" w:sz="0" w:space="0" w:color="auto" w:frame="1"/>
          <w:shd w:val="clear" w:color="auto" w:fill="FFFFFF"/>
        </w:rPr>
        <w:t>also</w:t>
      </w:r>
      <w:r w:rsidR="00BB6CAE" w:rsidRPr="00127C05">
        <w:rPr>
          <w:rStyle w:val="ssrfcpassagedeactivated"/>
          <w:bdr w:val="none" w:sz="0" w:space="0" w:color="auto" w:frame="1"/>
          <w:shd w:val="clear" w:color="auto" w:fill="FFFFFF"/>
        </w:rPr>
        <w:t xml:space="preserve"> g</w:t>
      </w:r>
      <w:r w:rsidR="00C51B06" w:rsidRPr="00127C05">
        <w:rPr>
          <w:rStyle w:val="ssrfcpassagedeactivated"/>
          <w:bdr w:val="none" w:sz="0" w:space="0" w:color="auto" w:frame="1"/>
          <w:shd w:val="clear" w:color="auto" w:fill="FFFFFF"/>
        </w:rPr>
        <w:t>ave</w:t>
      </w:r>
      <w:r w:rsidR="00BB6CAE" w:rsidRPr="00127C05">
        <w:rPr>
          <w:rStyle w:val="ssrfcpassagedeactivated"/>
          <w:bdr w:val="none" w:sz="0" w:space="0" w:color="auto" w:frame="1"/>
          <w:shd w:val="clear" w:color="auto" w:fill="FFFFFF"/>
        </w:rPr>
        <w:t xml:space="preserve"> meaning to the </w:t>
      </w:r>
      <w:r w:rsidR="00DC6F9F" w:rsidRPr="00127C05">
        <w:rPr>
          <w:rStyle w:val="ssrfcpassagedeactivated"/>
          <w:bdr w:val="none" w:sz="0" w:space="0" w:color="auto" w:frame="1"/>
          <w:shd w:val="clear" w:color="auto" w:fill="FFFFFF"/>
        </w:rPr>
        <w:t>provision</w:t>
      </w:r>
      <w:r w:rsidR="00BB6CAE" w:rsidRPr="00127C05">
        <w:rPr>
          <w:rStyle w:val="ssrfcpassagedeactivated"/>
          <w:bdr w:val="none" w:sz="0" w:space="0" w:color="auto" w:frame="1"/>
          <w:shd w:val="clear" w:color="auto" w:fill="FFFFFF"/>
        </w:rPr>
        <w:t xml:space="preserve"> </w:t>
      </w:r>
      <w:r w:rsidR="00A856EA" w:rsidRPr="00127C05">
        <w:rPr>
          <w:rStyle w:val="ssrfcpassagedeactivated"/>
          <w:bdr w:val="none" w:sz="0" w:space="0" w:color="auto" w:frame="1"/>
          <w:shd w:val="clear" w:color="auto" w:fill="FFFFFF"/>
        </w:rPr>
        <w:t>“</w:t>
      </w:r>
      <w:r w:rsidR="00B859D0" w:rsidRPr="00127C05">
        <w:rPr>
          <w:shd w:val="clear" w:color="auto" w:fill="FFFFFF"/>
        </w:rPr>
        <w:t xml:space="preserve">as a whole, giving effect to all of its </w:t>
      </w:r>
      <w:r w:rsidR="00F14CC6">
        <w:rPr>
          <w:rStyle w:val="ssrfcpassagedeactivated"/>
          <w:bdr w:val="none" w:sz="0" w:space="0" w:color="auto" w:frame="1"/>
          <w:shd w:val="clear" w:color="auto" w:fill="FFFFFF"/>
        </w:rPr>
        <w:t>parts </w:t>
      </w:r>
      <w:proofErr w:type="gramStart"/>
      <w:r w:rsidR="00F14CC6">
        <w:rPr>
          <w:rStyle w:val="ssrfcpassagedeactivated"/>
          <w:bdr w:val="none" w:sz="0" w:space="0" w:color="auto" w:frame="1"/>
          <w:shd w:val="clear" w:color="auto" w:fill="FFFFFF"/>
        </w:rPr>
        <w:t>. . . .</w:t>
      </w:r>
      <w:proofErr w:type="gramEnd"/>
      <w:r w:rsidR="00326FD6">
        <w:rPr>
          <w:rStyle w:val="ssrfcpassagedeactivated"/>
          <w:bdr w:val="none" w:sz="0" w:space="0" w:color="auto" w:frame="1"/>
          <w:shd w:val="clear" w:color="auto" w:fill="FFFFFF"/>
        </w:rPr>
        <w:t>”  (</w:t>
      </w:r>
      <w:r w:rsidR="00326FD6">
        <w:rPr>
          <w:rStyle w:val="ssrfcpassagedeactivated"/>
          <w:i/>
          <w:iCs/>
          <w:bdr w:val="none" w:sz="0" w:space="0" w:color="auto" w:frame="1"/>
          <w:shd w:val="clear" w:color="auto" w:fill="FFFFFF"/>
        </w:rPr>
        <w:t>Id.</w:t>
      </w:r>
      <w:r w:rsidR="00326FD6">
        <w:rPr>
          <w:rStyle w:val="ssrfcpassagedeactivated"/>
          <w:bdr w:val="none" w:sz="0" w:space="0" w:color="auto" w:frame="1"/>
          <w:shd w:val="clear" w:color="auto" w:fill="FFFFFF"/>
        </w:rPr>
        <w:t xml:space="preserve"> at p. 818.)  And lastly, the PT Committee’s</w:t>
      </w:r>
      <w:r w:rsidR="003E7AA5" w:rsidRPr="00127C05">
        <w:rPr>
          <w:rStyle w:val="ssrfcsection"/>
          <w:bdr w:val="none" w:sz="0" w:space="0" w:color="auto" w:frame="1"/>
          <w:shd w:val="clear" w:color="auto" w:fill="FFFFFF"/>
        </w:rPr>
        <w:t xml:space="preserve"> interpretation</w:t>
      </w:r>
      <w:r w:rsidR="001E1CE3" w:rsidRPr="00127C05">
        <w:rPr>
          <w:rStyle w:val="ssrfcsection"/>
          <w:bdr w:val="none" w:sz="0" w:space="0" w:color="auto" w:frame="1"/>
          <w:shd w:val="clear" w:color="auto" w:fill="FFFFFF"/>
        </w:rPr>
        <w:t xml:space="preserve"> </w:t>
      </w:r>
      <w:r w:rsidR="003E7AA5" w:rsidRPr="00127C05">
        <w:rPr>
          <w:rStyle w:val="ssrfcsection"/>
          <w:bdr w:val="none" w:sz="0" w:space="0" w:color="auto" w:frame="1"/>
          <w:shd w:val="clear" w:color="auto" w:fill="FFFFFF"/>
        </w:rPr>
        <w:t>respect</w:t>
      </w:r>
      <w:r w:rsidR="00C51B06" w:rsidRPr="00127C05">
        <w:rPr>
          <w:rStyle w:val="ssrfcsection"/>
          <w:bdr w:val="none" w:sz="0" w:space="0" w:color="auto" w:frame="1"/>
          <w:shd w:val="clear" w:color="auto" w:fill="FFFFFF"/>
        </w:rPr>
        <w:t>ed</w:t>
      </w:r>
      <w:r w:rsidR="003E7AA5" w:rsidRPr="00127C05">
        <w:rPr>
          <w:rStyle w:val="ssrfcsection"/>
          <w:bdr w:val="none" w:sz="0" w:space="0" w:color="auto" w:frame="1"/>
          <w:shd w:val="clear" w:color="auto" w:fill="FFFFFF"/>
        </w:rPr>
        <w:t xml:space="preserve"> the</w:t>
      </w:r>
      <w:r w:rsidR="001E1CE3" w:rsidRPr="00127C05">
        <w:rPr>
          <w:rStyle w:val="ssrfcsection"/>
          <w:bdr w:val="none" w:sz="0" w:space="0" w:color="auto" w:frame="1"/>
          <w:shd w:val="clear" w:color="auto" w:fill="FFFFFF"/>
        </w:rPr>
        <w:t xml:space="preserve"> University’s</w:t>
      </w:r>
      <w:r w:rsidR="00B859D0" w:rsidRPr="00127C05">
        <w:rPr>
          <w:rStyle w:val="ssrfcsection"/>
          <w:bdr w:val="none" w:sz="0" w:space="0" w:color="auto" w:frame="1"/>
          <w:shd w:val="clear" w:color="auto" w:fill="FFFFFF"/>
        </w:rPr>
        <w:t xml:space="preserve"> </w:t>
      </w:r>
      <w:r w:rsidR="003E7AA5" w:rsidRPr="00127C05">
        <w:rPr>
          <w:rStyle w:val="ssrfcsection"/>
          <w:bdr w:val="none" w:sz="0" w:space="0" w:color="auto" w:frame="1"/>
          <w:shd w:val="clear" w:color="auto" w:fill="FFFFFF"/>
        </w:rPr>
        <w:t xml:space="preserve">underlying </w:t>
      </w:r>
      <w:r w:rsidR="00B859D0" w:rsidRPr="00127C05">
        <w:rPr>
          <w:rStyle w:val="ssrfcsection"/>
          <w:bdr w:val="none" w:sz="0" w:space="0" w:color="auto" w:frame="1"/>
          <w:shd w:val="clear" w:color="auto" w:fill="FFFFFF"/>
        </w:rPr>
        <w:t xml:space="preserve">intent </w:t>
      </w:r>
      <w:r w:rsidR="00C51B06" w:rsidRPr="00127C05">
        <w:rPr>
          <w:rStyle w:val="ssrfcsection"/>
          <w:bdr w:val="none" w:sz="0" w:space="0" w:color="auto" w:frame="1"/>
          <w:shd w:val="clear" w:color="auto" w:fill="FFFFFF"/>
        </w:rPr>
        <w:t>in</w:t>
      </w:r>
      <w:r w:rsidR="001E1CE3" w:rsidRPr="00127C05">
        <w:rPr>
          <w:rStyle w:val="ssrfcsection"/>
          <w:bdr w:val="none" w:sz="0" w:space="0" w:color="auto" w:frame="1"/>
          <w:shd w:val="clear" w:color="auto" w:fill="FFFFFF"/>
        </w:rPr>
        <w:t xml:space="preserve"> prohibiting faculty </w:t>
      </w:r>
      <w:r w:rsidR="00B859D0" w:rsidRPr="00127C05">
        <w:rPr>
          <w:rStyle w:val="ssrfcsection"/>
          <w:bdr w:val="none" w:sz="0" w:space="0" w:color="auto" w:frame="1"/>
          <w:shd w:val="clear" w:color="auto" w:fill="FFFFFF"/>
        </w:rPr>
        <w:t xml:space="preserve">conduct </w:t>
      </w:r>
      <w:r w:rsidR="001E1CE3" w:rsidRPr="00127C05">
        <w:rPr>
          <w:rStyle w:val="ssrfcsection"/>
          <w:bdr w:val="none" w:sz="0" w:space="0" w:color="auto" w:frame="1"/>
          <w:shd w:val="clear" w:color="auto" w:fill="FFFFFF"/>
        </w:rPr>
        <w:t>“</w:t>
      </w:r>
      <w:r w:rsidR="00B859D0" w:rsidRPr="003F08AD">
        <w:t>not justified by the Ethical Principles and which significantly impairs the University’s central functions</w:t>
      </w:r>
      <w:r w:rsidR="003E7AA5" w:rsidRPr="003F08AD">
        <w:t>.</w:t>
      </w:r>
      <w:r w:rsidR="00B859D0" w:rsidRPr="003F08AD">
        <w:t xml:space="preserve">” </w:t>
      </w:r>
      <w:r w:rsidR="003E7AA5" w:rsidRPr="003F08AD">
        <w:t xml:space="preserve"> (</w:t>
      </w:r>
      <w:r w:rsidR="003E7AA5" w:rsidRPr="003F08AD">
        <w:rPr>
          <w:i/>
          <w:iCs/>
        </w:rPr>
        <w:t>Ibid.</w:t>
      </w:r>
      <w:r w:rsidR="003E7AA5" w:rsidRPr="003F08AD">
        <w:t xml:space="preserve">)  As explained in </w:t>
      </w:r>
      <w:r w:rsidR="00DC6F9F" w:rsidRPr="003F08AD">
        <w:t xml:space="preserve">the </w:t>
      </w:r>
      <w:r w:rsidR="00FB4F90">
        <w:t>PT Committee’s</w:t>
      </w:r>
      <w:r w:rsidR="003E7AA5" w:rsidRPr="003F08AD">
        <w:t xml:space="preserve"> final report, </w:t>
      </w:r>
      <w:r w:rsidR="00B859D0" w:rsidRPr="003F08AD">
        <w:t xml:space="preserve">“only a safe environment is an environment conducive to sharing knowledge and values.”  Climbing </w:t>
      </w:r>
      <w:r w:rsidR="002F504B" w:rsidRPr="003F08AD">
        <w:t>naked</w:t>
      </w:r>
      <w:r w:rsidR="00D3348B" w:rsidRPr="003F08AD">
        <w:t xml:space="preserve"> and</w:t>
      </w:r>
      <w:r w:rsidR="00B15FCB" w:rsidRPr="003F08AD">
        <w:t xml:space="preserve"> </w:t>
      </w:r>
      <w:r w:rsidR="0043770D" w:rsidRPr="003F08AD">
        <w:t>uninvited</w:t>
      </w:r>
      <w:r w:rsidR="00A856EA" w:rsidRPr="003F08AD">
        <w:t xml:space="preserve"> into bed</w:t>
      </w:r>
      <w:r w:rsidR="002F504B" w:rsidRPr="003F08AD">
        <w:t xml:space="preserve"> </w:t>
      </w:r>
      <w:r w:rsidR="00D3348B" w:rsidRPr="003F08AD">
        <w:t xml:space="preserve">with and pressing his genitalia against </w:t>
      </w:r>
      <w:r w:rsidR="00B859D0" w:rsidRPr="003F08AD">
        <w:t xml:space="preserve">a </w:t>
      </w:r>
      <w:r w:rsidR="002F504B" w:rsidRPr="003F08AD">
        <w:t xml:space="preserve">female </w:t>
      </w:r>
      <w:r w:rsidR="00761CF9" w:rsidRPr="003F08AD">
        <w:t>academic</w:t>
      </w:r>
      <w:r w:rsidR="00B859D0" w:rsidRPr="003F08AD">
        <w:t xml:space="preserve"> attending the same academic conference at </w:t>
      </w:r>
      <w:r w:rsidR="00A856EA" w:rsidRPr="003F08AD">
        <w:t>a</w:t>
      </w:r>
      <w:r w:rsidR="00B15FCB" w:rsidRPr="003F08AD">
        <w:t xml:space="preserve"> </w:t>
      </w:r>
      <w:r w:rsidR="00A856EA" w:rsidRPr="003F08AD">
        <w:t xml:space="preserve">party </w:t>
      </w:r>
      <w:r w:rsidR="00DC6F9F" w:rsidRPr="003F08AD">
        <w:t>given by</w:t>
      </w:r>
      <w:r w:rsidR="00A856EA" w:rsidRPr="003F08AD">
        <w:t xml:space="preserve"> </w:t>
      </w:r>
      <w:r w:rsidR="00B859D0" w:rsidRPr="003F08AD">
        <w:t xml:space="preserve">the </w:t>
      </w:r>
      <w:r w:rsidR="00A856EA" w:rsidRPr="003F08AD">
        <w:t>conference host (also a professor)</w:t>
      </w:r>
      <w:r w:rsidR="00B859D0" w:rsidRPr="003F08AD">
        <w:t xml:space="preserve"> </w:t>
      </w:r>
      <w:r w:rsidR="002F504B" w:rsidRPr="003F08AD">
        <w:t>clearly create</w:t>
      </w:r>
      <w:r w:rsidR="00C51B06" w:rsidRPr="003F08AD">
        <w:t>d</w:t>
      </w:r>
      <w:r w:rsidR="002F504B" w:rsidRPr="003F08AD">
        <w:t xml:space="preserve"> a</w:t>
      </w:r>
      <w:r w:rsidR="00DC6F9F" w:rsidRPr="003F08AD">
        <w:t>n</w:t>
      </w:r>
      <w:r w:rsidR="002F504B" w:rsidRPr="003F08AD">
        <w:t xml:space="preserve"> unsafe environment not conducive to the sharing of knowledge and values.</w:t>
      </w:r>
      <w:r>
        <w:rPr>
          <w:rStyle w:val="FootnoteReference"/>
        </w:rPr>
        <w:footnoteReference w:id="14"/>
      </w:r>
    </w:p>
    <w:p w14:paraId="1FF45548" w14:textId="23F643C2" w:rsidR="00864890" w:rsidRPr="00127C05" w:rsidRDefault="00913934" w:rsidP="00127C05">
      <w:pPr>
        <w:tabs>
          <w:tab w:val="clear" w:pos="720"/>
        </w:tabs>
        <w:spacing w:line="360" w:lineRule="auto"/>
        <w:rPr>
          <w:rStyle w:val="ssrfcpassagedeactivated"/>
          <w:bdr w:val="none" w:sz="0" w:space="0" w:color="auto" w:frame="1"/>
          <w:shd w:val="clear" w:color="auto" w:fill="FFFFFF"/>
        </w:rPr>
      </w:pPr>
      <w:r w:rsidRPr="00127C05">
        <w:rPr>
          <w:rStyle w:val="ssrfcsection"/>
          <w:bdr w:val="none" w:sz="0" w:space="0" w:color="auto" w:frame="1"/>
          <w:shd w:val="clear" w:color="auto" w:fill="FFFFFF"/>
        </w:rPr>
        <w:tab/>
      </w:r>
      <w:r w:rsidR="002F504B" w:rsidRPr="00127C05">
        <w:rPr>
          <w:rStyle w:val="ssrfcsection"/>
          <w:bdr w:val="none" w:sz="0" w:space="0" w:color="auto" w:frame="1"/>
          <w:shd w:val="clear" w:color="auto" w:fill="FFFFFF"/>
        </w:rPr>
        <w:t xml:space="preserve">We hasten to add this </w:t>
      </w:r>
      <w:r w:rsidR="00DC6F9F" w:rsidRPr="00127C05">
        <w:rPr>
          <w:rStyle w:val="ssrfcsection"/>
          <w:bdr w:val="none" w:sz="0" w:space="0" w:color="auto" w:frame="1"/>
          <w:shd w:val="clear" w:color="auto" w:fill="FFFFFF"/>
        </w:rPr>
        <w:t xml:space="preserve">interpretation of the </w:t>
      </w:r>
      <w:r w:rsidR="002F504B" w:rsidRPr="00127C05">
        <w:rPr>
          <w:rStyle w:val="ssrfcsection"/>
          <w:bdr w:val="none" w:sz="0" w:space="0" w:color="auto" w:frame="1"/>
          <w:shd w:val="clear" w:color="auto" w:fill="FFFFFF"/>
        </w:rPr>
        <w:t xml:space="preserve">Faculty Code of Conduct was made by a committee comprised of three of </w:t>
      </w:r>
      <w:r w:rsidR="00DA4DAD">
        <w:rPr>
          <w:rStyle w:val="ssrfcsection"/>
          <w:bdr w:val="none" w:sz="0" w:space="0" w:color="auto" w:frame="1"/>
          <w:shd w:val="clear" w:color="auto" w:fill="FFFFFF"/>
        </w:rPr>
        <w:t>plaintiff’s</w:t>
      </w:r>
      <w:r w:rsidR="002F504B" w:rsidRPr="00127C05">
        <w:rPr>
          <w:rStyle w:val="ssrfcsection"/>
          <w:bdr w:val="none" w:sz="0" w:space="0" w:color="auto" w:frame="1"/>
          <w:shd w:val="clear" w:color="auto" w:fill="FFFFFF"/>
        </w:rPr>
        <w:t xml:space="preserve"> fellow UCSC professors, adding to its evidentiary weight.  As recognized by numerous courts</w:t>
      </w:r>
      <w:r w:rsidR="007F0679" w:rsidRPr="00127C05">
        <w:rPr>
          <w:rStyle w:val="ssrfcsection"/>
          <w:bdr w:val="none" w:sz="0" w:space="0" w:color="auto" w:frame="1"/>
          <w:shd w:val="clear" w:color="auto" w:fill="FFFFFF"/>
        </w:rPr>
        <w:t>, “</w:t>
      </w:r>
      <w:r w:rsidR="002F504B" w:rsidRPr="00127C05">
        <w:rPr>
          <w:rStyle w:val="ssrfcsection"/>
          <w:bdr w:val="none" w:sz="0" w:space="0" w:color="auto" w:frame="1"/>
          <w:shd w:val="clear" w:color="auto" w:fill="FFFFFF"/>
        </w:rPr>
        <w:t>c</w:t>
      </w:r>
      <w:r w:rsidRPr="00127C05">
        <w:rPr>
          <w:rStyle w:val="ssrfcsection"/>
          <w:bdr w:val="none" w:sz="0" w:space="0" w:color="auto" w:frame="1"/>
          <w:shd w:val="clear" w:color="auto" w:fill="FFFFFF"/>
        </w:rPr>
        <w:t xml:space="preserve">ontextual familiarity matters. </w:t>
      </w:r>
      <w:r w:rsidR="002F504B" w:rsidRPr="00127C05">
        <w:rPr>
          <w:rStyle w:val="ssrfcsection"/>
          <w:bdr w:val="none" w:sz="0" w:space="0" w:color="auto" w:frame="1"/>
          <w:shd w:val="clear" w:color="auto" w:fill="FFFFFF"/>
        </w:rPr>
        <w:t xml:space="preserve"> </w:t>
      </w:r>
      <w:r w:rsidRPr="00127C05">
        <w:rPr>
          <w:rStyle w:val="ssrfcsection"/>
          <w:bdr w:val="none" w:sz="0" w:space="0" w:color="auto" w:frame="1"/>
          <w:shd w:val="clear" w:color="auto" w:fill="FFFFFF"/>
        </w:rPr>
        <w:t xml:space="preserve">The disputed policy language, while </w:t>
      </w:r>
      <w:r w:rsidRPr="00127C05">
        <w:rPr>
          <w:rStyle w:val="ssrfcsection"/>
          <w:bdr w:val="none" w:sz="0" w:space="0" w:color="auto" w:frame="1"/>
          <w:shd w:val="clear" w:color="auto" w:fill="FFFFFF"/>
        </w:rPr>
        <w:lastRenderedPageBreak/>
        <w:t xml:space="preserve">not complex or technical, should be interpreted in a manner that is both knowledgeable of and sensitive to the needs of </w:t>
      </w:r>
      <w:r w:rsidR="006F75EA">
        <w:rPr>
          <w:rStyle w:val="ssrfcsection"/>
          <w:bdr w:val="none" w:sz="0" w:space="0" w:color="auto" w:frame="1"/>
          <w:shd w:val="clear" w:color="auto" w:fill="FFFFFF"/>
        </w:rPr>
        <w:t xml:space="preserve">[the] </w:t>
      </w:r>
      <w:r w:rsidRPr="00127C05">
        <w:rPr>
          <w:rStyle w:val="ssrfcsection"/>
          <w:bdr w:val="none" w:sz="0" w:space="0" w:color="auto" w:frame="1"/>
          <w:shd w:val="clear" w:color="auto" w:fill="FFFFFF"/>
        </w:rPr>
        <w:t xml:space="preserve">department and university population to which it </w:t>
      </w:r>
      <w:r w:rsidR="006F75EA">
        <w:rPr>
          <w:rStyle w:val="ssrfcsection"/>
          <w:bdr w:val="none" w:sz="0" w:space="0" w:color="auto" w:frame="1"/>
          <w:shd w:val="clear" w:color="auto" w:fill="FFFFFF"/>
        </w:rPr>
        <w:t xml:space="preserve">applies.  (See </w:t>
      </w:r>
      <w:r w:rsidR="006F75EA">
        <w:rPr>
          <w:rStyle w:val="ssrfcsection"/>
          <w:i/>
          <w:iCs/>
          <w:bdr w:val="none" w:sz="0" w:space="0" w:color="auto" w:frame="1"/>
          <w:shd w:val="clear" w:color="auto" w:fill="FFFFFF"/>
        </w:rPr>
        <w:t>Simi</w:t>
      </w:r>
      <w:r w:rsidR="007F0679" w:rsidRPr="00127C05">
        <w:rPr>
          <w:rStyle w:val="ssrfcpassagedeactivated"/>
          <w:i/>
          <w:iCs/>
          <w:bdr w:val="none" w:sz="0" w:space="0" w:color="auto" w:frame="1"/>
          <w:shd w:val="clear" w:color="auto" w:fill="FFFFFF"/>
        </w:rPr>
        <w:t xml:space="preserve"> Corp. v. Garamendi</w:t>
      </w:r>
      <w:r w:rsidR="007F0679" w:rsidRPr="00127C05">
        <w:rPr>
          <w:rStyle w:val="ssrfcpassagedeactivated"/>
          <w:bdr w:val="none" w:sz="0" w:space="0" w:color="auto" w:frame="1"/>
          <w:shd w:val="clear" w:color="auto" w:fill="FFFFFF"/>
        </w:rPr>
        <w:t xml:space="preserve"> (2003) 109 Cal.App.4th 1496, 1505 </w:t>
      </w:r>
      <w:r w:rsidR="006F75EA">
        <w:rPr>
          <w:rStyle w:val="ssrfcpassagedeactivated"/>
          <w:bdr w:val="none" w:sz="0" w:space="0" w:color="auto" w:frame="1"/>
          <w:shd w:val="clear" w:color="auto" w:fill="FFFFFF"/>
        </w:rPr>
        <w:t>[citation]</w:t>
      </w:r>
      <w:r w:rsidR="007F0679" w:rsidRPr="00127C05">
        <w:rPr>
          <w:rStyle w:val="ssrfcpassagedeactivated"/>
          <w:bdr w:val="none" w:sz="0" w:space="0" w:color="auto" w:frame="1"/>
          <w:shd w:val="clear" w:color="auto" w:fill="FFFFFF"/>
        </w:rPr>
        <w:t xml:space="preserve"> [</w:t>
      </w:r>
      <w:r w:rsidRPr="00127C05">
        <w:rPr>
          <w:rStyle w:val="ssrfcpassagedeactivated"/>
          <w:bdr w:val="none" w:sz="0" w:space="0" w:color="auto" w:frame="1"/>
          <w:shd w:val="clear" w:color="auto" w:fill="FFFFFF"/>
        </w:rPr>
        <w:t xml:space="preserve">noting the </w:t>
      </w:r>
      <w:r w:rsidR="007F0679" w:rsidRPr="00127C05">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particular expertise</w:t>
      </w:r>
      <w:r w:rsidR="007F0679" w:rsidRPr="00127C05">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 xml:space="preserve"> of the agency</w:t>
      </w:r>
      <w:r w:rsidR="007F0679" w:rsidRPr="00127C05">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 xml:space="preserve">s commissioner in that case was a </w:t>
      </w:r>
      <w:r w:rsidR="007F0679" w:rsidRPr="00127C05">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 xml:space="preserve">deep understanding of </w:t>
      </w:r>
      <w:r w:rsidR="009F7D0D">
        <w:rPr>
          <w:rStyle w:val="ssrfcpassagedeactivated"/>
          <w:bdr w:val="none" w:sz="0" w:space="0" w:color="auto" w:frame="1"/>
          <w:shd w:val="clear" w:color="auto" w:fill="FFFFFF"/>
        </w:rPr>
        <w:t xml:space="preserve">the </w:t>
      </w:r>
      <w:r w:rsidR="009F7D0D">
        <w:rPr>
          <w:rStyle w:val="ssrfcpassagedeactivated"/>
          <w:i/>
          <w:iCs/>
          <w:bdr w:val="none" w:sz="0" w:space="0" w:color="auto" w:frame="1"/>
          <w:shd w:val="clear" w:color="auto" w:fill="FFFFFF"/>
        </w:rPr>
        <w:t>context</w:t>
      </w:r>
      <w:r w:rsidR="009F7D0D">
        <w:rPr>
          <w:rStyle w:val="ssrfcpassagedeactivated"/>
          <w:bdr w:val="none" w:sz="0" w:space="0" w:color="auto" w:frame="1"/>
          <w:shd w:val="clear" w:color="auto" w:fill="FFFFFF"/>
        </w:rPr>
        <w:t xml:space="preserve"> in</w:t>
      </w:r>
      <w:r w:rsidRPr="00127C05">
        <w:rPr>
          <w:rStyle w:val="ssrfcpassagedeactivated"/>
          <w:bdr w:val="none" w:sz="0" w:space="0" w:color="auto" w:frame="1"/>
          <w:shd w:val="clear" w:color="auto" w:fill="FFFFFF"/>
        </w:rPr>
        <w:t xml:space="preserve"> which the regulation </w:t>
      </w:r>
      <w:r w:rsidR="009F7D0D">
        <w:rPr>
          <w:rStyle w:val="ssrfcpassagedeactivated"/>
          <w:bdr w:val="none" w:sz="0" w:space="0" w:color="auto" w:frame="1"/>
          <w:shd w:val="clear" w:color="auto" w:fill="FFFFFF"/>
        </w:rPr>
        <w:t xml:space="preserve">exists’]; </w:t>
      </w:r>
      <w:r w:rsidR="009F7D0D">
        <w:rPr>
          <w:rStyle w:val="ssrfcpassagedeactivated"/>
          <w:i/>
          <w:iCs/>
          <w:bdr w:val="none" w:sz="0" w:space="0" w:color="auto" w:frame="1"/>
          <w:shd w:val="clear" w:color="auto" w:fill="FFFFFF"/>
        </w:rPr>
        <w:t>Berman</w:t>
      </w:r>
      <w:r w:rsidR="007F0679" w:rsidRPr="00127C05">
        <w:rPr>
          <w:rStyle w:val="ssrfcpassagedeactivated"/>
          <w:bdr w:val="none" w:sz="0" w:space="0" w:color="auto" w:frame="1"/>
          <w:shd w:val="clear" w:color="auto" w:fill="FFFFFF"/>
        </w:rPr>
        <w:t xml:space="preserve"> [</w:t>
      </w:r>
      <w:r w:rsidR="007F0679" w:rsidRPr="00127C05">
        <w:rPr>
          <w:rStyle w:val="ssrfcpassagedeactivated"/>
          <w:i/>
          <w:iCs/>
          <w:bdr w:val="none" w:sz="0" w:space="0" w:color="auto" w:frame="1"/>
          <w:shd w:val="clear" w:color="auto" w:fill="FFFFFF"/>
        </w:rPr>
        <w:t xml:space="preserve">v. Regents of </w:t>
      </w:r>
      <w:r w:rsidR="009F7D0D">
        <w:rPr>
          <w:rStyle w:val="ssrfcpassagedeactivated"/>
          <w:i/>
          <w:iCs/>
          <w:bdr w:val="none" w:sz="0" w:space="0" w:color="auto" w:frame="1"/>
          <w:shd w:val="clear" w:color="auto" w:fill="FFFFFF"/>
        </w:rPr>
        <w:t>University</w:t>
      </w:r>
      <w:r w:rsidR="007F0679" w:rsidRPr="00127C05">
        <w:rPr>
          <w:rStyle w:val="ssrfcpassagedeactivated"/>
          <w:i/>
          <w:iCs/>
          <w:bdr w:val="none" w:sz="0" w:space="0" w:color="auto" w:frame="1"/>
          <w:shd w:val="clear" w:color="auto" w:fill="FFFFFF"/>
        </w:rPr>
        <w:t xml:space="preserve"> of California</w:t>
      </w:r>
      <w:r w:rsidR="007F0679" w:rsidRPr="00127C05">
        <w:rPr>
          <w:rStyle w:val="ssrfcpassagedeactivated"/>
          <w:bdr w:val="none" w:sz="0" w:space="0" w:color="auto" w:frame="1"/>
          <w:shd w:val="clear" w:color="auto" w:fill="FFFFFF"/>
        </w:rPr>
        <w:t xml:space="preserve"> (2014)] 229 Cal.App.4th [1265,] </w:t>
      </w:r>
      <w:r w:rsidR="009F7D0D">
        <w:rPr>
          <w:rStyle w:val="ssrfcpassagedeactivated"/>
          <w:bdr w:val="none" w:sz="0" w:space="0" w:color="auto" w:frame="1"/>
          <w:shd w:val="clear" w:color="auto" w:fill="FFFFFF"/>
        </w:rPr>
        <w:t>1271–1272 [explaining</w:t>
      </w:r>
      <w:r w:rsidRPr="00127C05">
        <w:rPr>
          <w:rStyle w:val="ssrfcpassagedeactivated"/>
          <w:bdr w:val="none" w:sz="0" w:space="0" w:color="auto" w:frame="1"/>
          <w:shd w:val="clear" w:color="auto" w:fill="FFFFFF"/>
        </w:rPr>
        <w:t xml:space="preserve"> that the court accords great weight and respect to the administration</w:t>
      </w:r>
      <w:r w:rsidR="007F0679" w:rsidRPr="00127C05">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s construction of the university</w:t>
      </w:r>
      <w:r w:rsidR="00BB6CAE" w:rsidRPr="00127C05">
        <w:rPr>
          <w:rStyle w:val="ssrfcpassagedeactivated"/>
          <w:bdr w:val="none" w:sz="0" w:space="0" w:color="auto" w:frame="1"/>
          <w:shd w:val="clear" w:color="auto" w:fill="FFFFFF"/>
        </w:rPr>
        <w:t>’</w:t>
      </w:r>
      <w:r w:rsidRPr="00127C05">
        <w:rPr>
          <w:rStyle w:val="ssrfcpassagedeactivated"/>
          <w:bdr w:val="none" w:sz="0" w:space="0" w:color="auto" w:frame="1"/>
          <w:shd w:val="clear" w:color="auto" w:fill="FFFFFF"/>
        </w:rPr>
        <w:t xml:space="preserve">s student conduct code based on its expertise </w:t>
      </w:r>
      <w:r w:rsidR="002E248C">
        <w:rPr>
          <w:rStyle w:val="ssrfcpassagedeactivated"/>
          <w:bdr w:val="none" w:sz="0" w:space="0" w:color="auto" w:frame="1"/>
          <w:shd w:val="clear" w:color="auto" w:fill="FFFFFF"/>
        </w:rPr>
        <w:t>and familiarity</w:t>
      </w:r>
      <w:r w:rsidRPr="00127C05">
        <w:rPr>
          <w:rStyle w:val="ssrfcpassagedeactivated"/>
          <w:bdr w:val="none" w:sz="0" w:space="0" w:color="auto" w:frame="1"/>
          <w:shd w:val="clear" w:color="auto" w:fill="FFFFFF"/>
        </w:rPr>
        <w:t xml:space="preserve"> with the legal and regulatory issues].)</w:t>
      </w:r>
      <w:r w:rsidR="007F0679" w:rsidRPr="00127C05">
        <w:rPr>
          <w:rStyle w:val="ssrfcpassagedeactivated"/>
          <w:bdr w:val="none" w:sz="0" w:space="0" w:color="auto" w:frame="1"/>
          <w:shd w:val="clear" w:color="auto" w:fill="FFFFFF"/>
        </w:rPr>
        <w:t>”  (</w:t>
      </w:r>
      <w:r w:rsidR="007F0679" w:rsidRPr="00127C05">
        <w:rPr>
          <w:rStyle w:val="ssrfcpassagedeactivated"/>
          <w:i/>
          <w:iCs/>
          <w:bdr w:val="none" w:sz="0" w:space="0" w:color="auto" w:frame="1"/>
          <w:shd w:val="clear" w:color="auto" w:fill="FFFFFF"/>
        </w:rPr>
        <w:t>Akella, supra</w:t>
      </w:r>
      <w:r w:rsidR="007F0679" w:rsidRPr="00127C05">
        <w:rPr>
          <w:rStyle w:val="ssrfcpassagedeactivated"/>
          <w:bdr w:val="none" w:sz="0" w:space="0" w:color="auto" w:frame="1"/>
          <w:shd w:val="clear" w:color="auto" w:fill="FFFFFF"/>
        </w:rPr>
        <w:t>, 61 Cal.App.5th at p. 817.)</w:t>
      </w:r>
      <w:r w:rsidR="00DC6F9F" w:rsidRPr="00127C05">
        <w:rPr>
          <w:rStyle w:val="ssrfcpassagedeactivated"/>
          <w:bdr w:val="none" w:sz="0" w:space="0" w:color="auto" w:frame="1"/>
          <w:shd w:val="clear" w:color="auto" w:fill="FFFFFF"/>
        </w:rPr>
        <w:t xml:space="preserve">  There is no evidence calling into question the </w:t>
      </w:r>
      <w:r w:rsidR="002E248C">
        <w:rPr>
          <w:rStyle w:val="ssrfcpassagedeactivated"/>
          <w:bdr w:val="none" w:sz="0" w:space="0" w:color="auto" w:frame="1"/>
          <w:shd w:val="clear" w:color="auto" w:fill="FFFFFF"/>
        </w:rPr>
        <w:t>PT Committee’s</w:t>
      </w:r>
      <w:r w:rsidR="00DC6F9F" w:rsidRPr="00127C05">
        <w:rPr>
          <w:rStyle w:val="ssrfcpassagedeactivated"/>
          <w:bdr w:val="none" w:sz="0" w:space="0" w:color="auto" w:frame="1"/>
          <w:shd w:val="clear" w:color="auto" w:fill="FFFFFF"/>
        </w:rPr>
        <w:t xml:space="preserve"> familiarity with both the Faculty Code of Conduct as a legal document and the significance </w:t>
      </w:r>
      <w:r w:rsidR="00C51B06" w:rsidRPr="00127C05">
        <w:rPr>
          <w:rStyle w:val="ssrfcpassagedeactivated"/>
          <w:bdr w:val="none" w:sz="0" w:space="0" w:color="auto" w:frame="1"/>
          <w:shd w:val="clear" w:color="auto" w:fill="FFFFFF"/>
        </w:rPr>
        <w:t>that</w:t>
      </w:r>
      <w:r w:rsidR="00DC6F9F" w:rsidRPr="00127C05">
        <w:rPr>
          <w:rStyle w:val="ssrfcpassagedeactivated"/>
          <w:bdr w:val="none" w:sz="0" w:space="0" w:color="auto" w:frame="1"/>
          <w:shd w:val="clear" w:color="auto" w:fill="FFFFFF"/>
        </w:rPr>
        <w:t xml:space="preserve"> its enforcement </w:t>
      </w:r>
      <w:r w:rsidR="00C51B06" w:rsidRPr="00127C05">
        <w:rPr>
          <w:rStyle w:val="ssrfcpassagedeactivated"/>
          <w:bdr w:val="none" w:sz="0" w:space="0" w:color="auto" w:frame="1"/>
          <w:shd w:val="clear" w:color="auto" w:fill="FFFFFF"/>
        </w:rPr>
        <w:t xml:space="preserve">has </w:t>
      </w:r>
      <w:r w:rsidR="00DC6F9F" w:rsidRPr="00127C05">
        <w:rPr>
          <w:rStyle w:val="ssrfcpassagedeactivated"/>
          <w:bdr w:val="none" w:sz="0" w:space="0" w:color="auto" w:frame="1"/>
          <w:shd w:val="clear" w:color="auto" w:fill="FFFFFF"/>
        </w:rPr>
        <w:t>within the University community.</w:t>
      </w:r>
    </w:p>
    <w:p w14:paraId="4401D115" w14:textId="7B027F71" w:rsidR="007F0679" w:rsidRPr="00127C05" w:rsidRDefault="00913934" w:rsidP="00127C05">
      <w:pPr>
        <w:tabs>
          <w:tab w:val="clear" w:pos="720"/>
        </w:tabs>
        <w:spacing w:line="360" w:lineRule="auto"/>
        <w:rPr>
          <w:rStyle w:val="ssrfcpassagedeactivated"/>
          <w:bdr w:val="none" w:sz="0" w:space="0" w:color="auto" w:frame="1"/>
          <w:shd w:val="clear" w:color="auto" w:fill="FFFFFF"/>
        </w:rPr>
      </w:pPr>
      <w:r w:rsidRPr="00127C05">
        <w:rPr>
          <w:rStyle w:val="ssrfcpassagedeactivated"/>
          <w:bdr w:val="none" w:sz="0" w:space="0" w:color="auto" w:frame="1"/>
          <w:shd w:val="clear" w:color="auto" w:fill="FFFFFF"/>
        </w:rPr>
        <w:tab/>
      </w:r>
      <w:r w:rsidR="007832B6" w:rsidRPr="00127C05">
        <w:rPr>
          <w:rStyle w:val="ssrfcpassagedeactivated"/>
          <w:bdr w:val="none" w:sz="0" w:space="0" w:color="auto" w:frame="1"/>
          <w:shd w:val="clear" w:color="auto" w:fill="FFFFFF"/>
        </w:rPr>
        <w:t>For t</w:t>
      </w:r>
      <w:r w:rsidRPr="00127C05">
        <w:rPr>
          <w:rStyle w:val="ssrfcpassagedeactivated"/>
          <w:bdr w:val="none" w:sz="0" w:space="0" w:color="auto" w:frame="1"/>
          <w:shd w:val="clear" w:color="auto" w:fill="FFFFFF"/>
        </w:rPr>
        <w:t xml:space="preserve">he </w:t>
      </w:r>
      <w:r w:rsidR="007832B6" w:rsidRPr="00127C05">
        <w:rPr>
          <w:rStyle w:val="ssrfcpassagedeactivated"/>
          <w:bdr w:val="none" w:sz="0" w:space="0" w:color="auto" w:frame="1"/>
          <w:shd w:val="clear" w:color="auto" w:fill="FFFFFF"/>
        </w:rPr>
        <w:t>foregoing reasons</w:t>
      </w:r>
      <w:r w:rsidRPr="00127C05">
        <w:rPr>
          <w:rStyle w:val="ssrfcpassagedeactivated"/>
          <w:bdr w:val="none" w:sz="0" w:space="0" w:color="auto" w:frame="1"/>
          <w:shd w:val="clear" w:color="auto" w:fill="FFFFFF"/>
        </w:rPr>
        <w:t xml:space="preserve">, we uphold the University’s finding that </w:t>
      </w:r>
      <w:r w:rsidR="002E248C">
        <w:rPr>
          <w:rStyle w:val="ssrfcpassagedeactivated"/>
          <w:bdr w:val="none" w:sz="0" w:space="0" w:color="auto" w:frame="1"/>
          <w:shd w:val="clear" w:color="auto" w:fill="FFFFFF"/>
        </w:rPr>
        <w:t>plaintiff’s</w:t>
      </w:r>
      <w:r w:rsidR="002905FA">
        <w:rPr>
          <w:rStyle w:val="ssrfcpassagedeactivated"/>
          <w:bdr w:val="none" w:sz="0" w:space="0" w:color="auto" w:frame="1"/>
          <w:shd w:val="clear" w:color="auto" w:fill="FFFFFF"/>
        </w:rPr>
        <w:t xml:space="preserve"> conduct toward</w:t>
      </w:r>
      <w:r w:rsidRPr="00127C05">
        <w:rPr>
          <w:rStyle w:val="ssrfcpassagedeactivated"/>
          <w:bdr w:val="none" w:sz="0" w:space="0" w:color="auto" w:frame="1"/>
          <w:shd w:val="clear" w:color="auto" w:fill="FFFFFF"/>
        </w:rPr>
        <w:t xml:space="preserve"> Jane Doe at a</w:t>
      </w:r>
      <w:r w:rsidR="002F504B" w:rsidRPr="00127C05">
        <w:rPr>
          <w:rStyle w:val="ssrfcpassagedeactivated"/>
          <w:bdr w:val="none" w:sz="0" w:space="0" w:color="auto" w:frame="1"/>
          <w:shd w:val="clear" w:color="auto" w:fill="FFFFFF"/>
        </w:rPr>
        <w:t xml:space="preserve"> party held in connection with a</w:t>
      </w:r>
      <w:r w:rsidRPr="00127C05">
        <w:rPr>
          <w:rStyle w:val="ssrfcpassagedeactivated"/>
          <w:bdr w:val="none" w:sz="0" w:space="0" w:color="auto" w:frame="1"/>
          <w:shd w:val="clear" w:color="auto" w:fill="FFFFFF"/>
        </w:rPr>
        <w:t xml:space="preserve">n </w:t>
      </w:r>
      <w:r w:rsidR="002F504B" w:rsidRPr="00127C05">
        <w:rPr>
          <w:rStyle w:val="ssrfcpassagedeactivated"/>
          <w:bdr w:val="none" w:sz="0" w:space="0" w:color="auto" w:frame="1"/>
          <w:shd w:val="clear" w:color="auto" w:fill="FFFFFF"/>
        </w:rPr>
        <w:t xml:space="preserve">off-campus </w:t>
      </w:r>
      <w:r w:rsidRPr="00127C05">
        <w:rPr>
          <w:rStyle w:val="ssrfcpassagedeactivated"/>
          <w:bdr w:val="none" w:sz="0" w:space="0" w:color="auto" w:frame="1"/>
          <w:shd w:val="clear" w:color="auto" w:fill="FFFFFF"/>
        </w:rPr>
        <w:t>academic conference</w:t>
      </w:r>
      <w:r w:rsidR="002F504B" w:rsidRPr="00127C05">
        <w:rPr>
          <w:rStyle w:val="ssrfcpassagedeactivated"/>
          <w:bdr w:val="none" w:sz="0" w:space="0" w:color="auto" w:frame="1"/>
          <w:shd w:val="clear" w:color="auto" w:fill="FFFFFF"/>
        </w:rPr>
        <w:t xml:space="preserve"> </w:t>
      </w:r>
      <w:r w:rsidR="007832B6" w:rsidRPr="00127C05">
        <w:rPr>
          <w:rStyle w:val="ssrfcpassagedeactivated"/>
          <w:bdr w:val="none" w:sz="0" w:space="0" w:color="auto" w:frame="1"/>
          <w:shd w:val="clear" w:color="auto" w:fill="FFFFFF"/>
        </w:rPr>
        <w:t>was subject to discipline under the</w:t>
      </w:r>
      <w:r w:rsidR="002F504B" w:rsidRPr="00127C05">
        <w:rPr>
          <w:rStyle w:val="ssrfcpassagedeactivated"/>
          <w:bdr w:val="none" w:sz="0" w:space="0" w:color="auto" w:frame="1"/>
          <w:shd w:val="clear" w:color="auto" w:fill="FFFFFF"/>
        </w:rPr>
        <w:t xml:space="preserve"> Faculty Code of Conduct.</w:t>
      </w:r>
    </w:p>
    <w:p w14:paraId="09B7163A" w14:textId="75406EE3" w:rsidR="002F504B" w:rsidRPr="00127C05" w:rsidRDefault="00913934" w:rsidP="00127C05">
      <w:pPr>
        <w:pStyle w:val="ListParagraph"/>
        <w:keepNext/>
        <w:numPr>
          <w:ilvl w:val="1"/>
          <w:numId w:val="3"/>
        </w:numPr>
        <w:tabs>
          <w:tab w:val="clear" w:pos="720"/>
        </w:tabs>
        <w:spacing w:after="120" w:line="240" w:lineRule="auto"/>
        <w:ind w:left="1440"/>
        <w:rPr>
          <w:rStyle w:val="ssrfcpassagedeactivated"/>
          <w:b/>
          <w:bCs/>
          <w:bdr w:val="none" w:sz="0" w:space="0" w:color="auto" w:frame="1"/>
          <w:shd w:val="clear" w:color="auto" w:fill="FFFFFF"/>
        </w:rPr>
      </w:pPr>
      <w:r w:rsidRPr="00127C05">
        <w:rPr>
          <w:rStyle w:val="ssrfcpassagedeactivated"/>
          <w:b/>
          <w:bCs/>
          <w:bdr w:val="none" w:sz="0" w:space="0" w:color="auto" w:frame="1"/>
          <w:shd w:val="clear" w:color="auto" w:fill="FFFFFF"/>
        </w:rPr>
        <w:t xml:space="preserve">Petitioner </w:t>
      </w:r>
      <w:r w:rsidR="009319CB" w:rsidRPr="00127C05">
        <w:rPr>
          <w:rStyle w:val="ssrfcpassagedeactivated"/>
          <w:b/>
          <w:bCs/>
          <w:bdr w:val="none" w:sz="0" w:space="0" w:color="auto" w:frame="1"/>
          <w:shd w:val="clear" w:color="auto" w:fill="FFFFFF"/>
        </w:rPr>
        <w:t>Violat</w:t>
      </w:r>
      <w:r w:rsidRPr="00127C05">
        <w:rPr>
          <w:rStyle w:val="ssrfcpassagedeactivated"/>
          <w:b/>
          <w:bCs/>
          <w:bdr w:val="none" w:sz="0" w:space="0" w:color="auto" w:frame="1"/>
          <w:shd w:val="clear" w:color="auto" w:fill="FFFFFF"/>
        </w:rPr>
        <w:t>ed</w:t>
      </w:r>
      <w:r w:rsidR="009319CB" w:rsidRPr="00127C05">
        <w:rPr>
          <w:rStyle w:val="ssrfcpassagedeactivated"/>
          <w:b/>
          <w:bCs/>
          <w:bdr w:val="none" w:sz="0" w:space="0" w:color="auto" w:frame="1"/>
          <w:shd w:val="clear" w:color="auto" w:fill="FFFFFF"/>
        </w:rPr>
        <w:t xml:space="preserve"> </w:t>
      </w:r>
      <w:r w:rsidR="00EE4FE6" w:rsidRPr="00127C05">
        <w:rPr>
          <w:rStyle w:val="ssrfcpassagedeactivated"/>
          <w:b/>
          <w:bCs/>
          <w:bdr w:val="none" w:sz="0" w:space="0" w:color="auto" w:frame="1"/>
          <w:shd w:val="clear" w:color="auto" w:fill="FFFFFF"/>
        </w:rPr>
        <w:t>Ethical Principles that Significantly Impaired the University’s Central Functions.</w:t>
      </w:r>
    </w:p>
    <w:p w14:paraId="5CAAF1C7" w14:textId="748B50C7" w:rsidR="007832B6" w:rsidRPr="00127C05" w:rsidRDefault="00913934" w:rsidP="00127C05">
      <w:pPr>
        <w:tabs>
          <w:tab w:val="clear" w:pos="720"/>
        </w:tabs>
        <w:spacing w:line="360" w:lineRule="auto"/>
        <w:rPr>
          <w:rStyle w:val="ssrfcpassagedeactivated"/>
          <w:bdr w:val="none" w:sz="0" w:space="0" w:color="auto" w:frame="1"/>
          <w:shd w:val="clear" w:color="auto" w:fill="FFFFFF"/>
        </w:rPr>
      </w:pPr>
      <w:r w:rsidRPr="00127C05">
        <w:rPr>
          <w:rStyle w:val="ssrfcpassagedeactivated"/>
          <w:b/>
          <w:bCs/>
          <w:bdr w:val="none" w:sz="0" w:space="0" w:color="auto" w:frame="1"/>
          <w:shd w:val="clear" w:color="auto" w:fill="FFFFFF"/>
        </w:rPr>
        <w:tab/>
      </w:r>
      <w:r w:rsidR="00E27B12">
        <w:rPr>
          <w:rStyle w:val="ssrfcpassagedeactivated"/>
          <w:bdr w:val="none" w:sz="0" w:space="0" w:color="auto" w:frame="1"/>
          <w:shd w:val="clear" w:color="auto" w:fill="FFFFFF"/>
        </w:rPr>
        <w:t>Plaintiff</w:t>
      </w:r>
      <w:r w:rsidR="00D43DA2" w:rsidRPr="00127C05">
        <w:rPr>
          <w:rStyle w:val="ssrfcpassagedeactivated"/>
          <w:bdr w:val="none" w:sz="0" w:space="0" w:color="auto" w:frame="1"/>
          <w:shd w:val="clear" w:color="auto" w:fill="FFFFFF"/>
        </w:rPr>
        <w:t xml:space="preserve"> </w:t>
      </w:r>
      <w:r w:rsidRPr="00127C05">
        <w:rPr>
          <w:rStyle w:val="ssrfcpassagedeactivated"/>
          <w:bdr w:val="none" w:sz="0" w:space="0" w:color="auto" w:frame="1"/>
          <w:shd w:val="clear" w:color="auto" w:fill="FFFFFF"/>
        </w:rPr>
        <w:t xml:space="preserve">next </w:t>
      </w:r>
      <w:r w:rsidR="00D43DA2" w:rsidRPr="00127C05">
        <w:rPr>
          <w:rStyle w:val="ssrfcpassagedeactivated"/>
          <w:bdr w:val="none" w:sz="0" w:space="0" w:color="auto" w:frame="1"/>
          <w:shd w:val="clear" w:color="auto" w:fill="FFFFFF"/>
        </w:rPr>
        <w:t xml:space="preserve">contends the University lacked authority to discipline him for conduct not enumerated as </w:t>
      </w:r>
      <w:proofErr w:type="gramStart"/>
      <w:r w:rsidR="00E27B12">
        <w:rPr>
          <w:rStyle w:val="ssrfcpassagedeactivated"/>
          <w:bdr w:val="none" w:sz="0" w:space="0" w:color="auto" w:frame="1"/>
          <w:shd w:val="clear" w:color="auto" w:fill="FFFFFF"/>
        </w:rPr>
        <w:t>“ ‘</w:t>
      </w:r>
      <w:proofErr w:type="gramEnd"/>
      <w:r w:rsidR="00E27B12">
        <w:rPr>
          <w:rStyle w:val="ssrfcpassagedeactivated"/>
          <w:bdr w:val="none" w:sz="0" w:space="0" w:color="auto" w:frame="1"/>
          <w:shd w:val="clear" w:color="auto" w:fill="FFFFFF"/>
        </w:rPr>
        <w:t>unacceptable conduct’ ”</w:t>
      </w:r>
      <w:r w:rsidR="00D43DA2" w:rsidRPr="00127C05">
        <w:rPr>
          <w:rStyle w:val="ssrfcpassagedeactivated"/>
          <w:bdr w:val="none" w:sz="0" w:space="0" w:color="auto" w:frame="1"/>
          <w:shd w:val="clear" w:color="auto" w:fill="FFFFFF"/>
        </w:rPr>
        <w:t xml:space="preserve"> in the Faculty Code of Conduct. </w:t>
      </w:r>
      <w:r w:rsidR="00B77675" w:rsidRPr="00127C05">
        <w:rPr>
          <w:rStyle w:val="ssrfcpassagedeactivated"/>
          <w:bdr w:val="none" w:sz="0" w:space="0" w:color="auto" w:frame="1"/>
          <w:shd w:val="clear" w:color="auto" w:fill="FFFFFF"/>
        </w:rPr>
        <w:t xml:space="preserve"> A plain, commonsense reading of </w:t>
      </w:r>
      <w:r w:rsidR="001C1A49">
        <w:rPr>
          <w:rStyle w:val="ssrfcpassagedeactivated"/>
          <w:bdr w:val="none" w:sz="0" w:space="0" w:color="auto" w:frame="1"/>
          <w:shd w:val="clear" w:color="auto" w:fill="FFFFFF"/>
        </w:rPr>
        <w:t>the Faculty Code of Conduct, Part II, defeats plaintiff’s contention.</w:t>
      </w:r>
    </w:p>
    <w:p w14:paraId="13ECEB29" w14:textId="020B5246" w:rsidR="00B77675" w:rsidRPr="003F08AD" w:rsidRDefault="00913934" w:rsidP="00127C05">
      <w:pPr>
        <w:tabs>
          <w:tab w:val="clear" w:pos="720"/>
        </w:tabs>
        <w:spacing w:line="360" w:lineRule="auto"/>
      </w:pPr>
      <w:r w:rsidRPr="00127C05">
        <w:rPr>
          <w:rStyle w:val="ssrfcpassagedeactivated"/>
          <w:bdr w:val="none" w:sz="0" w:space="0" w:color="auto" w:frame="1"/>
          <w:shd w:val="clear" w:color="auto" w:fill="FFFFFF"/>
        </w:rPr>
        <w:tab/>
        <w:t xml:space="preserve">The relevant provision, </w:t>
      </w:r>
      <w:r w:rsidR="00B15FCB" w:rsidRPr="00127C05">
        <w:rPr>
          <w:rStyle w:val="ssrfcpassagedeactivated"/>
          <w:bdr w:val="none" w:sz="0" w:space="0" w:color="auto" w:frame="1"/>
          <w:shd w:val="clear" w:color="auto" w:fill="FFFFFF"/>
        </w:rPr>
        <w:t>discussed</w:t>
      </w:r>
      <w:r w:rsidRPr="00127C05">
        <w:rPr>
          <w:rStyle w:val="ssrfcpassagedeactivated"/>
          <w:bdr w:val="none" w:sz="0" w:space="0" w:color="auto" w:frame="1"/>
          <w:shd w:val="clear" w:color="auto" w:fill="FFFFFF"/>
        </w:rPr>
        <w:t xml:space="preserve"> </w:t>
      </w:r>
      <w:r w:rsidR="000555F4">
        <w:rPr>
          <w:rStyle w:val="ssrfcpassagedeactivated"/>
          <w:i/>
          <w:iCs/>
          <w:bdr w:val="none" w:sz="0" w:space="0" w:color="auto" w:frame="1"/>
          <w:shd w:val="clear" w:color="auto" w:fill="FFFFFF"/>
        </w:rPr>
        <w:t>ante</w:t>
      </w:r>
      <w:r w:rsidRPr="00127C05">
        <w:rPr>
          <w:rStyle w:val="ssrfcpassagedeactivated"/>
          <w:bdr w:val="none" w:sz="0" w:space="0" w:color="auto" w:frame="1"/>
          <w:shd w:val="clear" w:color="auto" w:fill="FFFFFF"/>
        </w:rPr>
        <w:t>, states</w:t>
      </w:r>
      <w:proofErr w:type="gramStart"/>
      <w:r w:rsidRPr="00127C05">
        <w:rPr>
          <w:rStyle w:val="ssrfcpassagedeactivated"/>
          <w:bdr w:val="none" w:sz="0" w:space="0" w:color="auto" w:frame="1"/>
          <w:shd w:val="clear" w:color="auto" w:fill="FFFFFF"/>
        </w:rPr>
        <w:t xml:space="preserve">: </w:t>
      </w:r>
      <w:r w:rsidR="000555F4">
        <w:rPr>
          <w:rStyle w:val="ssrfcpassagedeactivated"/>
          <w:bdr w:val="none" w:sz="0" w:space="0" w:color="auto" w:frame="1"/>
          <w:shd w:val="clear" w:color="auto" w:fill="FFFFFF"/>
        </w:rPr>
        <w:t xml:space="preserve"> </w:t>
      </w:r>
      <w:r w:rsidRPr="00127C05">
        <w:rPr>
          <w:rStyle w:val="ssrfcpassagedeactivated"/>
          <w:bdr w:val="none" w:sz="0" w:space="0" w:color="auto" w:frame="1"/>
          <w:shd w:val="clear" w:color="auto" w:fill="FFFFFF"/>
        </w:rPr>
        <w:t>“</w:t>
      </w:r>
      <w:proofErr w:type="gramEnd"/>
      <w:r w:rsidRPr="003F08AD">
        <w:t xml:space="preserve">The </w:t>
      </w:r>
      <w:r w:rsidRPr="00127C05">
        <w:rPr>
          <w:i/>
          <w:iCs/>
        </w:rPr>
        <w:t>Types of Unacceptable Conduct</w:t>
      </w:r>
      <w:r w:rsidRPr="003F08AD">
        <w:t xml:space="preserve"> listed below in Sections </w:t>
      </w:r>
      <w:r w:rsidR="000555F4">
        <w:t>A through E</w:t>
      </w:r>
      <w:r w:rsidRPr="003F08AD">
        <w:t xml:space="preserve"> are examples of types of conduct which meet the preceding standards and hence are presumptively subject to University discipline. </w:t>
      </w:r>
      <w:r w:rsidR="00A14488">
        <w:t xml:space="preserve"> </w:t>
      </w:r>
      <w:r w:rsidRPr="003F08AD">
        <w:rPr>
          <w:i/>
          <w:iCs/>
        </w:rPr>
        <w:t xml:space="preserve">Other types of serious misconduct, not specifically enumerated herein, may nonetheless be the basis </w:t>
      </w:r>
      <w:r w:rsidRPr="003F08AD">
        <w:rPr>
          <w:i/>
          <w:iCs/>
        </w:rPr>
        <w:lastRenderedPageBreak/>
        <w:t>for disciplinary action</w:t>
      </w:r>
      <w:r w:rsidRPr="00577E88">
        <w:rPr>
          <w:i/>
          <w:iCs/>
        </w:rPr>
        <w:t>.</w:t>
      </w:r>
      <w:r w:rsidRPr="003F08AD">
        <w:t>”</w:t>
      </w:r>
      <w:r w:rsidR="00A14488">
        <w:t xml:space="preserve">  (2d italics added.)</w:t>
      </w:r>
      <w:r w:rsidRPr="003F08AD">
        <w:t xml:space="preserve"> </w:t>
      </w:r>
      <w:r w:rsidR="003A7140" w:rsidRPr="003F08AD">
        <w:t xml:space="preserve"> Th</w:t>
      </w:r>
      <w:r w:rsidRPr="003F08AD">
        <w:t xml:space="preserve">is language reflects the </w:t>
      </w:r>
      <w:r w:rsidR="003A7140" w:rsidRPr="003F08AD">
        <w:t>University</w:t>
      </w:r>
      <w:r w:rsidRPr="003F08AD">
        <w:t>’s clear intent</w:t>
      </w:r>
      <w:r w:rsidR="003A7140" w:rsidRPr="003F08AD">
        <w:t xml:space="preserve"> to authorize discipline for conduct not specifically laid out in the Faculty Code of Conduct</w:t>
      </w:r>
      <w:r w:rsidR="00C51B06" w:rsidRPr="003F08AD">
        <w:t xml:space="preserve">, </w:t>
      </w:r>
      <w:r w:rsidR="00A14488">
        <w:t>Part II,</w:t>
      </w:r>
      <w:r w:rsidR="003A7140" w:rsidRPr="003F08AD">
        <w:t xml:space="preserve"> if it otherwise meets the standard of violating “ethical principles and </w:t>
      </w:r>
      <w:r w:rsidR="00A14488">
        <w:t>. . .</w:t>
      </w:r>
      <w:r w:rsidR="003A7140" w:rsidRPr="003F08AD">
        <w:t xml:space="preserve"> significantly impair[</w:t>
      </w:r>
      <w:proofErr w:type="spellStart"/>
      <w:r w:rsidR="003A7140" w:rsidRPr="003F08AD">
        <w:t>ing</w:t>
      </w:r>
      <w:proofErr w:type="spellEnd"/>
      <w:r w:rsidR="003A7140" w:rsidRPr="003F08AD">
        <w:t xml:space="preserve">] the University’s central </w:t>
      </w:r>
      <w:r w:rsidR="00A14488">
        <w:t>functions </w:t>
      </w:r>
      <w:proofErr w:type="gramStart"/>
      <w:r w:rsidR="00A14488">
        <w:t>. . . .</w:t>
      </w:r>
      <w:proofErr w:type="gramEnd"/>
      <w:r w:rsidR="003A7140" w:rsidRPr="003F08AD">
        <w:t>”  A</w:t>
      </w:r>
      <w:r w:rsidR="00B15FCB" w:rsidRPr="003F08AD">
        <w:t>gain</w:t>
      </w:r>
      <w:r w:rsidR="003A7140" w:rsidRPr="003F08AD">
        <w:t xml:space="preserve">, the </w:t>
      </w:r>
      <w:r w:rsidR="00A14488">
        <w:t>PT Committee’s</w:t>
      </w:r>
      <w:r w:rsidR="003A7140" w:rsidRPr="003F08AD">
        <w:t xml:space="preserve"> interpretation of this language is reasonabl</w:t>
      </w:r>
      <w:r w:rsidR="004E31CC" w:rsidRPr="003F08AD">
        <w:t>e</w:t>
      </w:r>
      <w:r w:rsidR="003A7140" w:rsidRPr="003F08AD">
        <w:t xml:space="preserve"> and entitled to our deference.  (</w:t>
      </w:r>
      <w:r w:rsidR="003A7140" w:rsidRPr="003F08AD">
        <w:rPr>
          <w:i/>
          <w:iCs/>
        </w:rPr>
        <w:t>Akella, supra</w:t>
      </w:r>
      <w:r w:rsidR="003A7140" w:rsidRPr="003F08AD">
        <w:t xml:space="preserve">, 61 Cal.App.5th at pp. </w:t>
      </w:r>
      <w:r w:rsidR="007B2492">
        <w:t>817–818</w:t>
      </w:r>
      <w:r w:rsidR="003A7140" w:rsidRPr="003F08AD">
        <w:t xml:space="preserve">; </w:t>
      </w:r>
      <w:r w:rsidR="003A7140" w:rsidRPr="003F08AD">
        <w:rPr>
          <w:i/>
          <w:iCs/>
        </w:rPr>
        <w:t>Manderson-Saleh, supra</w:t>
      </w:r>
      <w:r w:rsidR="003A7140" w:rsidRPr="003F08AD">
        <w:t>, 60 Cal.App.5th at p. 697 [</w:t>
      </w:r>
      <w:r w:rsidR="003A7140" w:rsidRPr="00127C05">
        <w:rPr>
          <w:shd w:val="clear" w:color="auto" w:fill="FFFFFF"/>
        </w:rPr>
        <w:t>court</w:t>
      </w:r>
      <w:r w:rsidR="00C51B06" w:rsidRPr="00127C05">
        <w:rPr>
          <w:shd w:val="clear" w:color="auto" w:fill="FFFFFF"/>
        </w:rPr>
        <w:t>s</w:t>
      </w:r>
      <w:r w:rsidR="003A7140" w:rsidRPr="00127C05">
        <w:rPr>
          <w:shd w:val="clear" w:color="auto" w:fill="FFFFFF"/>
        </w:rPr>
        <w:t xml:space="preserve"> accord an administrative agency’s interpretation of its own regulation great weight and deference, unless the interpretation </w:t>
      </w:r>
      <w:r w:rsidR="00C51B06" w:rsidRPr="00127C05">
        <w:rPr>
          <w:shd w:val="clear" w:color="auto" w:fill="FFFFFF"/>
        </w:rPr>
        <w:t>i</w:t>
      </w:r>
      <w:r w:rsidR="003A7140" w:rsidRPr="00127C05">
        <w:rPr>
          <w:shd w:val="clear" w:color="auto" w:fill="FFFFFF"/>
        </w:rPr>
        <w:t xml:space="preserve">s </w:t>
      </w:r>
      <w:r w:rsidR="00C51B06" w:rsidRPr="00127C05">
        <w:rPr>
          <w:shd w:val="clear" w:color="auto" w:fill="FFFFFF"/>
        </w:rPr>
        <w:t>“</w:t>
      </w:r>
      <w:r w:rsidR="003A7140" w:rsidRPr="00127C05">
        <w:rPr>
          <w:shd w:val="clear" w:color="auto" w:fill="FFFFFF"/>
        </w:rPr>
        <w:t>unauthorized or clearly erroneous”</w:t>
      </w:r>
      <w:r w:rsidR="003A7140" w:rsidRPr="003F08AD">
        <w:t>].)</w:t>
      </w:r>
    </w:p>
    <w:p w14:paraId="624E9ED2" w14:textId="3D4C6A33" w:rsidR="004E31CC" w:rsidRPr="00127C05" w:rsidRDefault="00913934" w:rsidP="00127C05">
      <w:pPr>
        <w:tabs>
          <w:tab w:val="clear" w:pos="720"/>
        </w:tabs>
        <w:spacing w:line="360" w:lineRule="auto"/>
        <w:rPr>
          <w:rStyle w:val="ssrfcpassagedeactivated"/>
          <w:bdr w:val="none" w:sz="0" w:space="0" w:color="auto" w:frame="1"/>
          <w:shd w:val="clear" w:color="auto" w:fill="FFFFFF"/>
        </w:rPr>
      </w:pPr>
      <w:r w:rsidRPr="003F08AD">
        <w:tab/>
      </w:r>
      <w:r w:rsidR="007B2492">
        <w:t>Plaintiff</w:t>
      </w:r>
      <w:r w:rsidRPr="003F08AD">
        <w:t xml:space="preserve"> deflects with a fairness argument, insisting he had no notice the University would seek to regulate faculty behavior at a non-University event with respect to conduct not articulated in the Faculty Code of Conduct.  We disagree.  The regulated conduct was in fact set forth in the </w:t>
      </w:r>
      <w:r w:rsidR="00CD41AB">
        <w:t>code</w:t>
      </w:r>
      <w:r w:rsidRPr="003F08AD">
        <w:t xml:space="preserve">, providing notice to him and other faculty members as to what was not </w:t>
      </w:r>
      <w:r w:rsidR="00CD41AB">
        <w:t>acceptable—to</w:t>
      </w:r>
      <w:r w:rsidRPr="003F08AD">
        <w:t xml:space="preserve"> wit, “conduct which is not justified by the ethical principles and which significantly impairs the University’s central </w:t>
      </w:r>
      <w:r w:rsidR="00CD41AB">
        <w:t>functions </w:t>
      </w:r>
      <w:proofErr w:type="gramStart"/>
      <w:r w:rsidR="00CD41AB">
        <w:t>. . . .</w:t>
      </w:r>
      <w:proofErr w:type="gramEnd"/>
      <w:r w:rsidRPr="003F08AD">
        <w:t xml:space="preserve">”  The </w:t>
      </w:r>
      <w:r w:rsidR="00CD41AB">
        <w:t>code’s</w:t>
      </w:r>
      <w:r w:rsidR="00D3348B" w:rsidRPr="003F08AD">
        <w:t xml:space="preserve"> failure to enumerate every type of conduct mee</w:t>
      </w:r>
      <w:r w:rsidR="00C51B06" w:rsidRPr="003F08AD">
        <w:t>ting</w:t>
      </w:r>
      <w:r w:rsidR="00D3348B" w:rsidRPr="003F08AD">
        <w:t xml:space="preserve"> this standard does not render th</w:t>
      </w:r>
      <w:r w:rsidR="00C51B06" w:rsidRPr="003F08AD">
        <w:t>is provision</w:t>
      </w:r>
      <w:r w:rsidRPr="003F08AD">
        <w:t xml:space="preserve"> unenforceable.</w:t>
      </w:r>
    </w:p>
    <w:p w14:paraId="49FB58B0" w14:textId="379303F7" w:rsidR="00406056" w:rsidRPr="00127C05" w:rsidRDefault="00913934" w:rsidP="00127C05">
      <w:pPr>
        <w:tabs>
          <w:tab w:val="clear" w:pos="720"/>
        </w:tabs>
        <w:spacing w:line="360" w:lineRule="auto"/>
        <w:rPr>
          <w:rStyle w:val="ssrfcpassagedeactivated"/>
          <w:bdr w:val="none" w:sz="0" w:space="0" w:color="auto" w:frame="1"/>
          <w:shd w:val="clear" w:color="auto" w:fill="FFFFFF"/>
        </w:rPr>
      </w:pPr>
      <w:r w:rsidRPr="00127C05">
        <w:rPr>
          <w:rStyle w:val="ssrfcpassagedeactivated"/>
          <w:bdr w:val="none" w:sz="0" w:space="0" w:color="auto" w:frame="1"/>
          <w:shd w:val="clear" w:color="auto" w:fill="FFFFFF"/>
        </w:rPr>
        <w:tab/>
      </w:r>
      <w:r w:rsidR="004E31CC" w:rsidRPr="00127C05">
        <w:rPr>
          <w:rStyle w:val="ssrfcpassagedeactivated"/>
          <w:bdr w:val="none" w:sz="0" w:space="0" w:color="auto" w:frame="1"/>
          <w:shd w:val="clear" w:color="auto" w:fill="FFFFFF"/>
        </w:rPr>
        <w:t>Finally</w:t>
      </w:r>
      <w:r w:rsidRPr="00127C05">
        <w:rPr>
          <w:rStyle w:val="ssrfcpassagedeactivated"/>
          <w:bdr w:val="none" w:sz="0" w:space="0" w:color="auto" w:frame="1"/>
          <w:shd w:val="clear" w:color="auto" w:fill="FFFFFF"/>
        </w:rPr>
        <w:t xml:space="preserve">, </w:t>
      </w:r>
      <w:r w:rsidR="00CD41AB">
        <w:rPr>
          <w:rStyle w:val="ssrfcpassagedeactivated"/>
          <w:bdr w:val="none" w:sz="0" w:space="0" w:color="auto" w:frame="1"/>
          <w:shd w:val="clear" w:color="auto" w:fill="FFFFFF"/>
        </w:rPr>
        <w:t>plaintiff</w:t>
      </w:r>
      <w:r w:rsidRPr="00127C05">
        <w:rPr>
          <w:rStyle w:val="ssrfcpassagedeactivated"/>
          <w:bdr w:val="none" w:sz="0" w:space="0" w:color="auto" w:frame="1"/>
          <w:shd w:val="clear" w:color="auto" w:fill="FFFFFF"/>
        </w:rPr>
        <w:t xml:space="preserve"> </w:t>
      </w:r>
      <w:r w:rsidR="005A7849" w:rsidRPr="00127C05">
        <w:rPr>
          <w:rStyle w:val="ssrfcpassagedeactivated"/>
          <w:bdr w:val="none" w:sz="0" w:space="0" w:color="auto" w:frame="1"/>
          <w:shd w:val="clear" w:color="auto" w:fill="FFFFFF"/>
        </w:rPr>
        <w:t>claims</w:t>
      </w:r>
      <w:r w:rsidRPr="00127C05">
        <w:rPr>
          <w:rStyle w:val="ssrfcpassagedeactivated"/>
          <w:bdr w:val="none" w:sz="0" w:space="0" w:color="auto" w:frame="1"/>
          <w:shd w:val="clear" w:color="auto" w:fill="FFFFFF"/>
        </w:rPr>
        <w:t xml:space="preserve"> the University “postulat</w:t>
      </w:r>
      <w:r w:rsidR="005A7849" w:rsidRPr="00127C05">
        <w:rPr>
          <w:rStyle w:val="ssrfcpassagedeactivated"/>
          <w:bdr w:val="none" w:sz="0" w:space="0" w:color="auto" w:frame="1"/>
          <w:shd w:val="clear" w:color="auto" w:fill="FFFFFF"/>
        </w:rPr>
        <w:t>ed</w:t>
      </w:r>
      <w:r w:rsidRPr="00127C05">
        <w:rPr>
          <w:rStyle w:val="ssrfcpassagedeactivated"/>
          <w:bdr w:val="none" w:sz="0" w:space="0" w:color="auto" w:frame="1"/>
          <w:shd w:val="clear" w:color="auto" w:fill="FFFFFF"/>
        </w:rPr>
        <w:t xml:space="preserve"> without support that anytime a faculty member engages in conduct that would not be tolerated </w:t>
      </w:r>
      <w:r w:rsidR="00FA72B1">
        <w:rPr>
          <w:rStyle w:val="ssrfcpassagedeactivated"/>
          <w:bdr w:val="none" w:sz="0" w:space="0" w:color="auto" w:frame="1"/>
          <w:shd w:val="clear" w:color="auto" w:fill="FFFFFF"/>
        </w:rPr>
        <w:t>on</w:t>
      </w:r>
      <w:r w:rsidRPr="00127C05">
        <w:rPr>
          <w:rStyle w:val="ssrfcpassagedeactivated"/>
          <w:bdr w:val="none" w:sz="0" w:space="0" w:color="auto" w:frame="1"/>
          <w:shd w:val="clear" w:color="auto" w:fill="FFFFFF"/>
        </w:rPr>
        <w:t xml:space="preserve"> campus, the University’s central functions are impaired.”  Not so.</w:t>
      </w:r>
    </w:p>
    <w:p w14:paraId="49E6B4B3" w14:textId="72B06557" w:rsidR="00406056" w:rsidRPr="003F08AD" w:rsidRDefault="00913934" w:rsidP="00127C05">
      <w:pPr>
        <w:tabs>
          <w:tab w:val="clear" w:pos="720"/>
        </w:tabs>
        <w:spacing w:line="360" w:lineRule="auto"/>
      </w:pPr>
      <w:r w:rsidRPr="00127C05">
        <w:rPr>
          <w:rStyle w:val="ssrfcpassagedeactivated"/>
          <w:bdr w:val="none" w:sz="0" w:space="0" w:color="auto" w:frame="1"/>
          <w:shd w:val="clear" w:color="auto" w:fill="FFFFFF"/>
        </w:rPr>
        <w:tab/>
      </w:r>
      <w:r w:rsidR="005A7849" w:rsidRPr="00127C05">
        <w:rPr>
          <w:rStyle w:val="ssrfcpassagedeactivated"/>
          <w:bdr w:val="none" w:sz="0" w:space="0" w:color="auto" w:frame="1"/>
          <w:shd w:val="clear" w:color="auto" w:fill="FFFFFF"/>
        </w:rPr>
        <w:t>T</w:t>
      </w:r>
      <w:r w:rsidRPr="00127C05">
        <w:rPr>
          <w:rStyle w:val="ssrfcpassagedeactivated"/>
          <w:bdr w:val="none" w:sz="0" w:space="0" w:color="auto" w:frame="1"/>
          <w:shd w:val="clear" w:color="auto" w:fill="FFFFFF"/>
        </w:rPr>
        <w:t xml:space="preserve">he </w:t>
      </w:r>
      <w:r w:rsidR="00BF6099">
        <w:rPr>
          <w:rStyle w:val="ssrfcpassagedeactivated"/>
          <w:bdr w:val="none" w:sz="0" w:space="0" w:color="auto" w:frame="1"/>
          <w:shd w:val="clear" w:color="auto" w:fill="FFFFFF"/>
        </w:rPr>
        <w:t>PT Committee</w:t>
      </w:r>
      <w:r w:rsidRPr="00127C05">
        <w:rPr>
          <w:rStyle w:val="ssrfcpassagedeactivated"/>
          <w:bdr w:val="none" w:sz="0" w:space="0" w:color="auto" w:frame="1"/>
          <w:shd w:val="clear" w:color="auto" w:fill="FFFFFF"/>
        </w:rPr>
        <w:t xml:space="preserve"> explained its Jane Doe finding as follows</w:t>
      </w:r>
      <w:proofErr w:type="gramStart"/>
      <w:r w:rsidRPr="00127C05">
        <w:rPr>
          <w:rStyle w:val="ssrfcpassagedeactivated"/>
          <w:bdr w:val="none" w:sz="0" w:space="0" w:color="auto" w:frame="1"/>
          <w:shd w:val="clear" w:color="auto" w:fill="FFFFFF"/>
        </w:rPr>
        <w:t xml:space="preserve">: </w:t>
      </w:r>
      <w:r w:rsidR="00BF6099">
        <w:rPr>
          <w:rStyle w:val="ssrfcpassagedeactivated"/>
          <w:bdr w:val="none" w:sz="0" w:space="0" w:color="auto" w:frame="1"/>
          <w:shd w:val="clear" w:color="auto" w:fill="FFFFFF"/>
        </w:rPr>
        <w:t xml:space="preserve"> </w:t>
      </w:r>
      <w:r w:rsidRPr="00127C05">
        <w:rPr>
          <w:rStyle w:val="ssrfcpassagedeactivated"/>
          <w:bdr w:val="none" w:sz="0" w:space="0" w:color="auto" w:frame="1"/>
          <w:shd w:val="clear" w:color="auto" w:fill="FFFFFF"/>
        </w:rPr>
        <w:t>“</w:t>
      </w:r>
      <w:proofErr w:type="gramEnd"/>
      <w:r w:rsidRPr="003F08AD">
        <w:t xml:space="preserve">The University is impaired in this function if its faculty, without consequence or sanction, engage in behavior in the context of professional events that would not be tolerated on campus because of their clear incompatibility with </w:t>
      </w:r>
      <w:r w:rsidRPr="003F08AD">
        <w:lastRenderedPageBreak/>
        <w:t xml:space="preserve">sustaining an environment ‘conducive to sharing, extending, and critically examining knowledge and values, and to furthering the search for </w:t>
      </w:r>
      <w:r w:rsidR="00BF29DB">
        <w:t>wisdom.’  For</w:t>
      </w:r>
      <w:r w:rsidRPr="003F08AD">
        <w:t xml:space="preserve"> example, it is to be expected that neither [</w:t>
      </w:r>
      <w:r w:rsidR="005A7849" w:rsidRPr="003F08AD">
        <w:t xml:space="preserve">Jane </w:t>
      </w:r>
      <w:r w:rsidRPr="003F08AD">
        <w:t xml:space="preserve">Doe] nor </w:t>
      </w:r>
      <w:r w:rsidR="00BF29DB">
        <w:t>[Witness 1]</w:t>
      </w:r>
      <w:r w:rsidRPr="003F08AD">
        <w:t xml:space="preserve"> (nor potentially others who became aware of the behavior) would want to work with Professor Balakrishnan (or even with anyone from UCSC) in the future, if they see that this behavior has no consequences. </w:t>
      </w:r>
      <w:r w:rsidR="007A037C">
        <w:t xml:space="preserve"> </w:t>
      </w:r>
      <w:r w:rsidRPr="003F08AD">
        <w:t xml:space="preserve">In other words: </w:t>
      </w:r>
      <w:r w:rsidR="007A037C">
        <w:t xml:space="preserve"> </w:t>
      </w:r>
      <w:r w:rsidRPr="003F08AD">
        <w:t>only a safe environment is an environment conducive to sharing knowledge and values.”</w:t>
      </w:r>
    </w:p>
    <w:p w14:paraId="48E2D93D" w14:textId="20A0D1E0" w:rsidR="00EE4FE6" w:rsidRPr="003F08AD" w:rsidRDefault="00913934" w:rsidP="00127C05">
      <w:pPr>
        <w:tabs>
          <w:tab w:val="clear" w:pos="720"/>
        </w:tabs>
        <w:spacing w:line="360" w:lineRule="auto"/>
      </w:pPr>
      <w:r w:rsidRPr="003F08AD">
        <w:tab/>
      </w:r>
      <w:r w:rsidR="007A037C">
        <w:t>Plaintiff’s</w:t>
      </w:r>
      <w:r w:rsidRPr="003F08AD">
        <w:t xml:space="preserve"> attempt to paint this explanation as mere postulating underscores his ongoing failure to recognize the </w:t>
      </w:r>
      <w:r w:rsidR="00A171E8" w:rsidRPr="003F08AD">
        <w:t>gravity of</w:t>
      </w:r>
      <w:r w:rsidRPr="003F08AD">
        <w:t xml:space="preserve"> his conduct.  He sexually </w:t>
      </w:r>
      <w:r w:rsidR="00D3348B" w:rsidRPr="003F08AD">
        <w:t>abused</w:t>
      </w:r>
      <w:r w:rsidRPr="003F08AD">
        <w:t xml:space="preserve"> a fellow </w:t>
      </w:r>
      <w:r w:rsidR="00761CF9" w:rsidRPr="003F08AD">
        <w:t>academic</w:t>
      </w:r>
      <w:r w:rsidRPr="003F08AD">
        <w:t>, Jane Doe</w:t>
      </w:r>
      <w:r w:rsidR="00A171E8" w:rsidRPr="003F08AD">
        <w:t>, at an academic conference</w:t>
      </w:r>
      <w:r w:rsidRPr="003F08AD">
        <w:t xml:space="preserve">, and when she escorted him from the room, he returned </w:t>
      </w:r>
      <w:r w:rsidR="00A171E8" w:rsidRPr="003F08AD">
        <w:t xml:space="preserve">later </w:t>
      </w:r>
      <w:r w:rsidR="00D3348B" w:rsidRPr="003F08AD">
        <w:t xml:space="preserve">and </w:t>
      </w:r>
      <w:r w:rsidR="00C51B06" w:rsidRPr="003F08AD">
        <w:t xml:space="preserve">abused her </w:t>
      </w:r>
      <w:r w:rsidR="00D3348B" w:rsidRPr="003F08AD">
        <w:t>again</w:t>
      </w:r>
      <w:r w:rsidR="00A171E8" w:rsidRPr="003F08AD">
        <w:t>.  In response</w:t>
      </w:r>
      <w:r w:rsidRPr="003F08AD">
        <w:t xml:space="preserve">, Doe and </w:t>
      </w:r>
      <w:r w:rsidR="00790464">
        <w:t>Witness 1</w:t>
      </w:r>
      <w:r w:rsidRPr="003F08AD">
        <w:t xml:space="preserve"> </w:t>
      </w:r>
      <w:r w:rsidR="00A171E8" w:rsidRPr="003F08AD">
        <w:t xml:space="preserve">were forced </w:t>
      </w:r>
      <w:r w:rsidRPr="003F08AD">
        <w:t xml:space="preserve">to barricade the door for their safety.  </w:t>
      </w:r>
      <w:r w:rsidR="00790464">
        <w:t>Plaintiff’s</w:t>
      </w:r>
      <w:r w:rsidRPr="003F08AD">
        <w:t xml:space="preserve"> colleagues on the </w:t>
      </w:r>
      <w:r w:rsidR="00790464">
        <w:t>PT Committee</w:t>
      </w:r>
      <w:r w:rsidRPr="003F08AD">
        <w:t xml:space="preserve"> </w:t>
      </w:r>
      <w:r w:rsidR="001360D1">
        <w:t>appropriately</w:t>
      </w:r>
      <w:r w:rsidRPr="003F08AD">
        <w:t xml:space="preserve"> determined </w:t>
      </w:r>
      <w:r w:rsidR="00C05D94" w:rsidRPr="003F08AD">
        <w:t xml:space="preserve">that </w:t>
      </w:r>
      <w:r w:rsidRPr="003F08AD">
        <w:t xml:space="preserve">his conduct presented a serious risk to the safety of others in the community and </w:t>
      </w:r>
      <w:r w:rsidR="00A171E8" w:rsidRPr="003F08AD">
        <w:t xml:space="preserve">that </w:t>
      </w:r>
      <w:r w:rsidRPr="003F08AD">
        <w:t xml:space="preserve">his </w:t>
      </w:r>
      <w:r w:rsidR="00A171E8" w:rsidRPr="003F08AD">
        <w:t xml:space="preserve">continued association with </w:t>
      </w:r>
      <w:r w:rsidR="00C05D94" w:rsidRPr="003F08AD">
        <w:t>UCSC</w:t>
      </w:r>
      <w:r w:rsidRPr="003F08AD">
        <w:t xml:space="preserve"> would </w:t>
      </w:r>
      <w:r w:rsidR="00A171E8" w:rsidRPr="003F08AD">
        <w:t xml:space="preserve">likely </w:t>
      </w:r>
      <w:r w:rsidRPr="003F08AD">
        <w:t xml:space="preserve">discourage students and professors alike </w:t>
      </w:r>
      <w:r w:rsidR="00A171E8" w:rsidRPr="003F08AD">
        <w:t xml:space="preserve">from participating in academic events where he might </w:t>
      </w:r>
      <w:r w:rsidR="00C51B06" w:rsidRPr="003F08AD">
        <w:t>be</w:t>
      </w:r>
      <w:r w:rsidR="00761CF9" w:rsidRPr="003F08AD">
        <w:t xml:space="preserve"> present</w:t>
      </w:r>
      <w:r w:rsidR="00A171E8" w:rsidRPr="003F08AD">
        <w:t xml:space="preserve">.  </w:t>
      </w:r>
      <w:r w:rsidR="00C05D94" w:rsidRPr="003F08AD">
        <w:t>T</w:t>
      </w:r>
      <w:r w:rsidR="00A171E8" w:rsidRPr="003F08AD">
        <w:t xml:space="preserve">he </w:t>
      </w:r>
      <w:r w:rsidR="004F1C35" w:rsidRPr="003F08AD">
        <w:t xml:space="preserve">2017 </w:t>
      </w:r>
      <w:r w:rsidR="00B15FCB" w:rsidRPr="003F08AD">
        <w:t>open</w:t>
      </w:r>
      <w:r w:rsidR="00A171E8" w:rsidRPr="003F08AD">
        <w:t xml:space="preserve"> letter</w:t>
      </w:r>
      <w:r w:rsidR="00B15FCB" w:rsidRPr="003F08AD">
        <w:t xml:space="preserve"> </w:t>
      </w:r>
      <w:r w:rsidR="00A171E8" w:rsidRPr="003F08AD">
        <w:t xml:space="preserve">calling </w:t>
      </w:r>
      <w:r w:rsidR="00111A56" w:rsidRPr="003F08AD">
        <w:t>on</w:t>
      </w:r>
      <w:r w:rsidR="00A171E8" w:rsidRPr="003F08AD">
        <w:t xml:space="preserve"> the University to </w:t>
      </w:r>
      <w:r w:rsidR="00111A56" w:rsidRPr="003F08AD">
        <w:t>discipline</w:t>
      </w:r>
      <w:r w:rsidR="00A171E8" w:rsidRPr="003F08AD">
        <w:t xml:space="preserve"> </w:t>
      </w:r>
      <w:r w:rsidR="0000249F">
        <w:t>plaintiff</w:t>
      </w:r>
      <w:r w:rsidR="00111A56" w:rsidRPr="003F08AD">
        <w:t xml:space="preserve"> for his pattern of </w:t>
      </w:r>
      <w:r w:rsidR="00B15FCB" w:rsidRPr="003F08AD">
        <w:t>abusive behavior</w:t>
      </w:r>
      <w:r w:rsidR="00A171E8" w:rsidRPr="003F08AD">
        <w:t>, signed by over 1</w:t>
      </w:r>
      <w:r w:rsidR="00111A56" w:rsidRPr="003F08AD">
        <w:t>5</w:t>
      </w:r>
      <w:r w:rsidR="00A171E8" w:rsidRPr="003F08AD">
        <w:t xml:space="preserve">0 </w:t>
      </w:r>
      <w:r w:rsidR="002B5DBB">
        <w:t>people</w:t>
      </w:r>
      <w:r w:rsidR="00A171E8" w:rsidRPr="003F08AD">
        <w:t>, confirms</w:t>
      </w:r>
      <w:r w:rsidR="009A0FC9" w:rsidRPr="003F08AD">
        <w:t xml:space="preserve"> </w:t>
      </w:r>
      <w:r w:rsidR="00A171E8" w:rsidRPr="003F08AD">
        <w:t xml:space="preserve">the </w:t>
      </w:r>
      <w:r w:rsidR="0000249F">
        <w:t>PT Committee’s</w:t>
      </w:r>
      <w:r w:rsidR="00A171E8" w:rsidRPr="003F08AD">
        <w:t xml:space="preserve"> determination was well founded</w:t>
      </w:r>
      <w:r w:rsidR="00111A56" w:rsidRPr="003F08AD">
        <w:t xml:space="preserve">, as does </w:t>
      </w:r>
      <w:r w:rsidR="0000249F">
        <w:t>Witness 1’s</w:t>
      </w:r>
      <w:r w:rsidR="00111A56" w:rsidRPr="003F08AD">
        <w:t xml:space="preserve"> testimony about </w:t>
      </w:r>
      <w:r w:rsidR="00D3348B" w:rsidRPr="003F08AD">
        <w:t xml:space="preserve">the trauma </w:t>
      </w:r>
      <w:r w:rsidR="00111A56" w:rsidRPr="003F08AD">
        <w:t>Doe</w:t>
      </w:r>
      <w:r w:rsidR="00D3348B" w:rsidRPr="003F08AD">
        <w:t xml:space="preserve"> suffered from his a</w:t>
      </w:r>
      <w:r w:rsidR="00EC4E02" w:rsidRPr="003F08AD">
        <w:t>buse</w:t>
      </w:r>
      <w:r w:rsidR="00A171E8" w:rsidRPr="003F08AD">
        <w:t>.</w:t>
      </w:r>
      <w:r w:rsidR="00111A56" w:rsidRPr="003F08AD">
        <w:t xml:space="preserve"> </w:t>
      </w:r>
      <w:r w:rsidR="0000249F">
        <w:t xml:space="preserve"> </w:t>
      </w:r>
      <w:r w:rsidR="00A171E8" w:rsidRPr="003F08AD">
        <w:t xml:space="preserve">Accordingly, the University’s </w:t>
      </w:r>
      <w:r w:rsidR="00EC4E02" w:rsidRPr="003F08AD">
        <w:t xml:space="preserve">Jane Doe </w:t>
      </w:r>
      <w:r w:rsidR="00A171E8" w:rsidRPr="003F08AD">
        <w:t xml:space="preserve">findings </w:t>
      </w:r>
      <w:r w:rsidR="00EC4E02" w:rsidRPr="003F08AD">
        <w:t>stand</w:t>
      </w:r>
      <w:r w:rsidR="00A171E8" w:rsidRPr="003F08AD">
        <w:t>.</w:t>
      </w:r>
    </w:p>
    <w:p w14:paraId="1E2677C6" w14:textId="1DB3DC82" w:rsidR="00181C66" w:rsidRPr="00127C05" w:rsidRDefault="00913934" w:rsidP="00127C05">
      <w:pPr>
        <w:pStyle w:val="ListParagraph"/>
        <w:keepNext/>
        <w:numPr>
          <w:ilvl w:val="0"/>
          <w:numId w:val="3"/>
        </w:numPr>
        <w:tabs>
          <w:tab w:val="clear" w:pos="720"/>
        </w:tabs>
        <w:spacing w:line="360" w:lineRule="auto"/>
        <w:ind w:left="720"/>
        <w:rPr>
          <w:b/>
          <w:bCs/>
          <w:i/>
          <w:iCs/>
        </w:rPr>
      </w:pPr>
      <w:r w:rsidRPr="00127C05">
        <w:rPr>
          <w:b/>
          <w:bCs/>
          <w:i/>
          <w:iCs/>
        </w:rPr>
        <w:t xml:space="preserve">The University’s Findings as to </w:t>
      </w:r>
      <w:r w:rsidR="0000249F">
        <w:rPr>
          <w:b/>
          <w:bCs/>
          <w:i/>
          <w:iCs/>
        </w:rPr>
        <w:t>Anneliese H.</w:t>
      </w:r>
      <w:r w:rsidRPr="00127C05">
        <w:rPr>
          <w:b/>
          <w:bCs/>
          <w:i/>
          <w:iCs/>
        </w:rPr>
        <w:t xml:space="preserve"> Stand.</w:t>
      </w:r>
    </w:p>
    <w:p w14:paraId="1B274BD0" w14:textId="5E369390" w:rsidR="00114147" w:rsidRPr="00127C05" w:rsidRDefault="00913934" w:rsidP="00127C05">
      <w:pPr>
        <w:pStyle w:val="ListParagraph"/>
        <w:keepNext/>
        <w:numPr>
          <w:ilvl w:val="1"/>
          <w:numId w:val="3"/>
        </w:numPr>
        <w:tabs>
          <w:tab w:val="clear" w:pos="720"/>
        </w:tabs>
        <w:spacing w:line="360" w:lineRule="auto"/>
        <w:ind w:left="1440"/>
        <w:rPr>
          <w:b/>
          <w:bCs/>
        </w:rPr>
      </w:pPr>
      <w:r w:rsidRPr="00127C05">
        <w:rPr>
          <w:b/>
          <w:bCs/>
          <w:shd w:val="clear" w:color="auto" w:fill="FFFFFF"/>
        </w:rPr>
        <w:t>Petitioner’s Jurisdiction Challenge Fails.</w:t>
      </w:r>
    </w:p>
    <w:p w14:paraId="311CF4BC" w14:textId="01E3F636" w:rsidR="00A75188" w:rsidRPr="003F08AD" w:rsidRDefault="00913934" w:rsidP="00127C05">
      <w:pPr>
        <w:tabs>
          <w:tab w:val="clear" w:pos="720"/>
        </w:tabs>
        <w:spacing w:line="360" w:lineRule="auto"/>
      </w:pPr>
      <w:r w:rsidRPr="003F08AD">
        <w:tab/>
      </w:r>
      <w:r w:rsidR="0000249F">
        <w:t>Plaintiff</w:t>
      </w:r>
      <w:r w:rsidR="00181C66" w:rsidRPr="003F08AD">
        <w:t xml:space="preserve"> contends </w:t>
      </w:r>
      <w:r w:rsidRPr="003F08AD">
        <w:t xml:space="preserve">the University had no jurisdiction over </w:t>
      </w:r>
      <w:r w:rsidR="006A2231">
        <w:t>Anneliese H.’s</w:t>
      </w:r>
      <w:r w:rsidRPr="003F08AD">
        <w:t xml:space="preserve"> complaint because she was not a student or member of the University community when he </w:t>
      </w:r>
      <w:r w:rsidR="00D46FE1">
        <w:t>sexually harassed</w:t>
      </w:r>
      <w:r w:rsidR="004A0BCC" w:rsidRPr="003F08AD">
        <w:t xml:space="preserve"> her</w:t>
      </w:r>
      <w:r w:rsidR="00181C66" w:rsidRPr="003F08AD">
        <w:t>.</w:t>
      </w:r>
      <w:r w:rsidRPr="003F08AD">
        <w:t xml:space="preserve">  </w:t>
      </w:r>
      <w:r w:rsidR="006A2231">
        <w:t>Plaintiff</w:t>
      </w:r>
      <w:r w:rsidR="004D456D" w:rsidRPr="003F08AD">
        <w:t xml:space="preserve"> relies upon </w:t>
      </w:r>
      <w:r w:rsidR="004D456D" w:rsidRPr="003F08AD">
        <w:lastRenderedPageBreak/>
        <w:t xml:space="preserve">the definition of “student” in the </w:t>
      </w:r>
      <w:r w:rsidR="006A2231">
        <w:t>University’s</w:t>
      </w:r>
      <w:r w:rsidR="004D456D" w:rsidRPr="003F08AD">
        <w:t xml:space="preserve"> Policies Applying to Campus Activities, Organizations and </w:t>
      </w:r>
      <w:r w:rsidR="004977ED">
        <w:t>Students, part III, section 14.00,</w:t>
      </w:r>
      <w:r w:rsidR="006B4384" w:rsidRPr="003F08AD">
        <w:t xml:space="preserve"> DEFINITIONS</w:t>
      </w:r>
      <w:r w:rsidR="004D456D" w:rsidRPr="003F08AD">
        <w:t xml:space="preserve">, which </w:t>
      </w:r>
      <w:r w:rsidR="004977ED">
        <w:t>states:  A “ ‘student’ ”</w:t>
      </w:r>
      <w:r w:rsidR="004D456D" w:rsidRPr="003F08AD">
        <w:t xml:space="preserve"> is “an individual for whom the University maintains student records and who: </w:t>
      </w:r>
      <w:r w:rsidR="00BB35DA">
        <w:t>(a) is</w:t>
      </w:r>
      <w:r w:rsidR="004D456D" w:rsidRPr="003F08AD">
        <w:t xml:space="preserve"> enrolled in or registered with an academic program of the University; </w:t>
      </w:r>
      <w:r w:rsidR="00BB35DA">
        <w:t>(b) has</w:t>
      </w:r>
      <w:r w:rsidR="004D456D" w:rsidRPr="003F08AD">
        <w:t xml:space="preserve"> completed the immediately preceding term, is not presently enrolled, and is eligible for </w:t>
      </w:r>
      <w:r w:rsidR="00BB35DA">
        <w:t>re-enrollment; or (c) is</w:t>
      </w:r>
      <w:r w:rsidR="004D456D" w:rsidRPr="003F08AD">
        <w:t xml:space="preserve"> on an approved educational leave or other approved leave status, or is on filing-fee status.”  </w:t>
      </w:r>
      <w:r w:rsidRPr="003F08AD">
        <w:t xml:space="preserve">According to </w:t>
      </w:r>
      <w:r w:rsidR="00BB35DA">
        <w:t>plaintiff, Anneliese</w:t>
      </w:r>
      <w:r w:rsidRPr="003F08AD">
        <w:t xml:space="preserve"> was a graduate who did not meet this definition, such that the </w:t>
      </w:r>
      <w:r w:rsidR="00BB35DA">
        <w:t>University’s sexual harassment policy</w:t>
      </w:r>
      <w:r w:rsidRPr="003F08AD">
        <w:t xml:space="preserve"> did not apply to her.  Not so.</w:t>
      </w:r>
    </w:p>
    <w:p w14:paraId="74F55894" w14:textId="1F98EF1F" w:rsidR="00114147" w:rsidRPr="003F08AD" w:rsidRDefault="00913934" w:rsidP="00127C05">
      <w:pPr>
        <w:tabs>
          <w:tab w:val="clear" w:pos="720"/>
        </w:tabs>
        <w:spacing w:line="360" w:lineRule="auto"/>
      </w:pPr>
      <w:r w:rsidRPr="003F08AD">
        <w:tab/>
      </w:r>
      <w:r w:rsidR="004D456D" w:rsidRPr="003F08AD">
        <w:t xml:space="preserve">The evidence demonstrated that </w:t>
      </w:r>
      <w:r w:rsidR="00214C9B">
        <w:t>Anneliese</w:t>
      </w:r>
      <w:r w:rsidR="004D456D" w:rsidRPr="003F08AD">
        <w:t xml:space="preserve"> walked in the UCSC graduation ceremony on </w:t>
      </w:r>
      <w:r w:rsidR="00214C9B">
        <w:t>June 16</w:t>
      </w:r>
      <w:r w:rsidR="004D456D" w:rsidRPr="003F08AD">
        <w:t xml:space="preserve">, 2018, about two days before attending the party after which </w:t>
      </w:r>
      <w:r w:rsidR="00214C9B">
        <w:t>plaintiff</w:t>
      </w:r>
      <w:r w:rsidR="004D456D" w:rsidRPr="003F08AD">
        <w:t xml:space="preserve"> </w:t>
      </w:r>
      <w:r w:rsidR="0025791D">
        <w:t>sexually harassed</w:t>
      </w:r>
      <w:r w:rsidR="004D456D" w:rsidRPr="003F08AD">
        <w:t xml:space="preserve"> her.  </w:t>
      </w:r>
      <w:r w:rsidRPr="003F08AD">
        <w:t xml:space="preserve">In fact, she attended this party in part to celebrate her graduation.  </w:t>
      </w:r>
      <w:r w:rsidR="004A0BCC" w:rsidRPr="003F08AD">
        <w:t>At that time</w:t>
      </w:r>
      <w:r w:rsidR="004D456D" w:rsidRPr="003F08AD">
        <w:t xml:space="preserve">, </w:t>
      </w:r>
      <w:r w:rsidRPr="003F08AD">
        <w:t xml:space="preserve">the University had not yet audited </w:t>
      </w:r>
      <w:r w:rsidR="006D4D51">
        <w:t>Anneliese’s</w:t>
      </w:r>
      <w:r w:rsidRPr="003F08AD">
        <w:t xml:space="preserve"> grades </w:t>
      </w:r>
      <w:r w:rsidR="006671B9" w:rsidRPr="003F08AD">
        <w:t>or</w:t>
      </w:r>
      <w:r w:rsidRPr="003F08AD">
        <w:t xml:space="preserve"> conferred h</w:t>
      </w:r>
      <w:r w:rsidR="004D456D" w:rsidRPr="003F08AD">
        <w:t>e</w:t>
      </w:r>
      <w:r w:rsidRPr="003F08AD">
        <w:t xml:space="preserve">r </w:t>
      </w:r>
      <w:r w:rsidR="004D456D" w:rsidRPr="003F08AD">
        <w:t>d</w:t>
      </w:r>
      <w:r w:rsidRPr="003F08AD">
        <w:t xml:space="preserve">egree, which </w:t>
      </w:r>
      <w:r w:rsidR="006671B9" w:rsidRPr="003F08AD">
        <w:t>did not</w:t>
      </w:r>
      <w:r w:rsidRPr="003F08AD">
        <w:t xml:space="preserve"> occur until July 2018.  Under these circumstances, we conclude the evidence supports a finding that </w:t>
      </w:r>
      <w:r w:rsidR="006D4D51">
        <w:t>Anneliese</w:t>
      </w:r>
      <w:r w:rsidRPr="003F08AD">
        <w:t xml:space="preserve"> was in fact a student</w:t>
      </w:r>
      <w:r w:rsidR="004A0BCC" w:rsidRPr="003F08AD">
        <w:t xml:space="preserve"> under the </w:t>
      </w:r>
      <w:r w:rsidR="006D4D51">
        <w:t>University’s policies.</w:t>
      </w:r>
    </w:p>
    <w:p w14:paraId="4784E66F" w14:textId="5E7A97B6" w:rsidR="00B779E0" w:rsidRPr="003F08AD" w:rsidRDefault="00913934" w:rsidP="00127C05">
      <w:pPr>
        <w:tabs>
          <w:tab w:val="clear" w:pos="720"/>
        </w:tabs>
        <w:spacing w:line="360" w:lineRule="auto"/>
      </w:pPr>
      <w:r w:rsidRPr="003F08AD">
        <w:tab/>
      </w:r>
      <w:r w:rsidR="00A75188" w:rsidRPr="003F08AD">
        <w:t xml:space="preserve">In any event, as the </w:t>
      </w:r>
      <w:r w:rsidR="00952697">
        <w:t>PT Committee</w:t>
      </w:r>
      <w:r w:rsidR="00A75188" w:rsidRPr="003F08AD">
        <w:t xml:space="preserve"> pointed out, the </w:t>
      </w:r>
      <w:r w:rsidR="00952697">
        <w:t>University’s sexual harassment policy</w:t>
      </w:r>
      <w:r w:rsidR="00065A62">
        <w:t xml:space="preserve"> dated February 1, 2006, page 1, states</w:t>
      </w:r>
      <w:r w:rsidR="00A75188" w:rsidRPr="003F08AD">
        <w:t xml:space="preserve">, “Sexual harassment may include incidents between any members of the University community, including faculty and other academic appointees, staff, coaches, </w:t>
      </w:r>
      <w:proofErr w:type="spellStart"/>
      <w:r w:rsidR="00065A62">
        <w:t>housestaff</w:t>
      </w:r>
      <w:proofErr w:type="spellEnd"/>
      <w:r w:rsidR="00A75188" w:rsidRPr="003F08AD">
        <w:t xml:space="preserve">, students, and </w:t>
      </w:r>
      <w:r w:rsidR="00065A62">
        <w:t>non-student</w:t>
      </w:r>
      <w:r w:rsidR="00A75188" w:rsidRPr="003F08AD">
        <w:t xml:space="preserve"> or non-employee participants in University programs, such as vendors, contractors, visitors and patients.” </w:t>
      </w:r>
      <w:r w:rsidR="003755A7" w:rsidRPr="003F08AD">
        <w:t xml:space="preserve"> </w:t>
      </w:r>
      <w:r w:rsidR="004A0BCC" w:rsidRPr="003F08AD">
        <w:t>Given this broad standard</w:t>
      </w:r>
      <w:r w:rsidR="003755A7" w:rsidRPr="003F08AD">
        <w:t>, “</w:t>
      </w:r>
      <w:r w:rsidR="00864890" w:rsidRPr="003F08AD">
        <w:t xml:space="preserve">it is </w:t>
      </w:r>
      <w:r w:rsidR="004A0BCC" w:rsidRPr="003F08AD">
        <w:t xml:space="preserve">not </w:t>
      </w:r>
      <w:r w:rsidR="00864890" w:rsidRPr="003F08AD">
        <w:t xml:space="preserve">necessary to quibble over the exact moment when </w:t>
      </w:r>
      <w:r w:rsidR="00F80C9F">
        <w:t>[Anneliese H.]</w:t>
      </w:r>
      <w:r w:rsidR="00864890" w:rsidRPr="003F08AD">
        <w:t xml:space="preserve"> ceased being a student. </w:t>
      </w:r>
      <w:r w:rsidR="00F80C9F">
        <w:t xml:space="preserve"> </w:t>
      </w:r>
      <w:r w:rsidR="00864890" w:rsidRPr="003F08AD">
        <w:t xml:space="preserve">The Sexual Harassment policy prohibits Sexual Harassment of any member of the </w:t>
      </w:r>
      <w:r w:rsidR="00864890" w:rsidRPr="003F08AD">
        <w:lastRenderedPageBreak/>
        <w:t xml:space="preserve">University </w:t>
      </w:r>
      <w:r w:rsidR="00F80C9F">
        <w:t>community</w:t>
      </w:r>
      <w:proofErr w:type="gramStart"/>
      <w:r w:rsidR="00F80C9F">
        <w:t>. . . .</w:t>
      </w:r>
      <w:proofErr w:type="gramEnd"/>
      <w:r w:rsidR="00F80C9F">
        <w:t xml:space="preserve">  There</w:t>
      </w:r>
      <w:r w:rsidR="00864890" w:rsidRPr="003F08AD">
        <w:t xml:space="preserve"> may be some question whether alumni remain members of the University community for the rest of their lives, but certainly a graduating senior does not cease to be a member of the University community on the last day of the final quarter. </w:t>
      </w:r>
      <w:r w:rsidR="00F80C9F">
        <w:t xml:space="preserve"> </w:t>
      </w:r>
      <w:r w:rsidR="00864890" w:rsidRPr="003F08AD">
        <w:t xml:space="preserve">For this reason, we believe that the University Sexual Harassment policy does prohibit the behavior committed by Professor Balakrishnan on this occasion, and thus that this behavior was a violation of the Sexual Harassment policy, and consequently a violation of the </w:t>
      </w:r>
      <w:r w:rsidR="00F80C9F">
        <w:t>FCC</w:t>
      </w:r>
      <w:r w:rsidR="00EB62EA">
        <w:t> </w:t>
      </w:r>
      <w:r w:rsidR="00F80C9F">
        <w:t>(APM 015.II.C.7)</w:t>
      </w:r>
      <w:r w:rsidR="003755A7" w:rsidRPr="003F08AD">
        <w:t>.”</w:t>
      </w:r>
    </w:p>
    <w:p w14:paraId="335D013F" w14:textId="7C788D9E" w:rsidR="00864890" w:rsidRPr="003F08AD" w:rsidRDefault="00913934" w:rsidP="00127C05">
      <w:pPr>
        <w:tabs>
          <w:tab w:val="clear" w:pos="720"/>
        </w:tabs>
        <w:spacing w:line="360" w:lineRule="auto"/>
      </w:pPr>
      <w:r w:rsidRPr="003F08AD">
        <w:tab/>
      </w:r>
      <w:r w:rsidR="003755A7" w:rsidRPr="003F08AD">
        <w:t xml:space="preserve">We </w:t>
      </w:r>
      <w:r w:rsidR="004A0BCC" w:rsidRPr="003F08AD">
        <w:t>conclude</w:t>
      </w:r>
      <w:r w:rsidR="003755A7" w:rsidRPr="003F08AD">
        <w:t xml:space="preserve"> the </w:t>
      </w:r>
      <w:r w:rsidR="00EB62EA">
        <w:t>PT Committee’s</w:t>
      </w:r>
      <w:r w:rsidR="003755A7" w:rsidRPr="003F08AD">
        <w:t xml:space="preserve"> interpretation </w:t>
      </w:r>
      <w:r w:rsidR="004A0BCC" w:rsidRPr="003F08AD">
        <w:t xml:space="preserve">was consistent with both the language and purpose </w:t>
      </w:r>
      <w:r w:rsidR="003755A7" w:rsidRPr="003F08AD">
        <w:t xml:space="preserve">of the </w:t>
      </w:r>
      <w:r w:rsidR="00EB62EA">
        <w:t>sexual harassment policy</w:t>
      </w:r>
      <w:r w:rsidR="003755A7" w:rsidRPr="003F08AD">
        <w:t>.</w:t>
      </w:r>
      <w:r w:rsidR="004A0BCC" w:rsidRPr="003F08AD">
        <w:t xml:space="preserve">  </w:t>
      </w:r>
      <w:r w:rsidR="004A0BCC" w:rsidRPr="00490550">
        <w:rPr>
          <w:rStyle w:val="ssrfcpassagedeactivated"/>
          <w:bdr w:val="none" w:sz="0" w:space="0" w:color="auto" w:frame="1"/>
          <w:shd w:val="clear" w:color="auto" w:fill="FFFFFF"/>
        </w:rPr>
        <w:t>Moreover, a</w:t>
      </w:r>
      <w:r w:rsidR="00F07E13" w:rsidRPr="003F08AD">
        <w:t xml:space="preserve">s stated before, the </w:t>
      </w:r>
      <w:r w:rsidR="00EB62EA">
        <w:t>PT Committee</w:t>
      </w:r>
      <w:r w:rsidR="00F07E13" w:rsidRPr="003F08AD">
        <w:t xml:space="preserve"> was comprised of three of </w:t>
      </w:r>
      <w:r w:rsidR="00EB62EA">
        <w:t>plaintiff’s</w:t>
      </w:r>
      <w:r w:rsidR="00F07E13" w:rsidRPr="003F08AD">
        <w:t xml:space="preserve"> professor colleagues who were individually and collectively “</w:t>
      </w:r>
      <w:r w:rsidR="00F07E13" w:rsidRPr="00490550">
        <w:rPr>
          <w:rStyle w:val="ssrfcsection"/>
          <w:bdr w:val="none" w:sz="0" w:space="0" w:color="auto" w:frame="1"/>
          <w:shd w:val="clear" w:color="auto" w:fill="FFFFFF"/>
        </w:rPr>
        <w:t xml:space="preserve">knowledgeable of and sensitive to the needs </w:t>
      </w:r>
      <w:r w:rsidR="00E553D2">
        <w:rPr>
          <w:rStyle w:val="ssrfcsection"/>
          <w:bdr w:val="none" w:sz="0" w:space="0" w:color="auto" w:frame="1"/>
          <w:shd w:val="clear" w:color="auto" w:fill="FFFFFF"/>
        </w:rPr>
        <w:t>of [the] . . .</w:t>
      </w:r>
      <w:r w:rsidR="006E21C9">
        <w:rPr>
          <w:rStyle w:val="ssrfcsection"/>
          <w:bdr w:val="none" w:sz="0" w:space="0" w:color="auto" w:frame="1"/>
          <w:shd w:val="clear" w:color="auto" w:fill="FFFFFF"/>
        </w:rPr>
        <w:t xml:space="preserve"> university</w:t>
      </w:r>
      <w:r w:rsidR="00F07E13" w:rsidRPr="00490550">
        <w:rPr>
          <w:rStyle w:val="ssrfcsection"/>
          <w:bdr w:val="none" w:sz="0" w:space="0" w:color="auto" w:frame="1"/>
          <w:shd w:val="clear" w:color="auto" w:fill="FFFFFF"/>
        </w:rPr>
        <w:t xml:space="preserve"> population to which [the policy] </w:t>
      </w:r>
      <w:r w:rsidR="00EB62EA">
        <w:rPr>
          <w:rStyle w:val="ssrfcsection"/>
          <w:bdr w:val="none" w:sz="0" w:space="0" w:color="auto" w:frame="1"/>
          <w:shd w:val="clear" w:color="auto" w:fill="FFFFFF"/>
        </w:rPr>
        <w:t>applies.”  (</w:t>
      </w:r>
      <w:r w:rsidR="00EB62EA">
        <w:rPr>
          <w:rStyle w:val="ssrfcsection"/>
          <w:i/>
          <w:iCs/>
          <w:bdr w:val="none" w:sz="0" w:space="0" w:color="auto" w:frame="1"/>
          <w:shd w:val="clear" w:color="auto" w:fill="FFFFFF"/>
        </w:rPr>
        <w:t>Akella</w:t>
      </w:r>
      <w:r w:rsidR="00F07E13" w:rsidRPr="00490550">
        <w:rPr>
          <w:rStyle w:val="ssrfcpassagedeactivated"/>
          <w:i/>
          <w:iCs/>
          <w:bdr w:val="none" w:sz="0" w:space="0" w:color="auto" w:frame="1"/>
          <w:shd w:val="clear" w:color="auto" w:fill="FFFFFF"/>
        </w:rPr>
        <w:t>, supra</w:t>
      </w:r>
      <w:r w:rsidR="00F07E13" w:rsidRPr="00490550">
        <w:rPr>
          <w:rStyle w:val="ssrfcpassagedeactivated"/>
          <w:bdr w:val="none" w:sz="0" w:space="0" w:color="auto" w:frame="1"/>
          <w:shd w:val="clear" w:color="auto" w:fill="FFFFFF"/>
        </w:rPr>
        <w:t xml:space="preserve">, 61 Cal.App.5th at p. 817, citing </w:t>
      </w:r>
      <w:r w:rsidR="00F07E13" w:rsidRPr="00490550">
        <w:rPr>
          <w:rStyle w:val="ssrfcpassagedeactivated"/>
          <w:i/>
          <w:iCs/>
          <w:bdr w:val="none" w:sz="0" w:space="0" w:color="auto" w:frame="1"/>
          <w:shd w:val="clear" w:color="auto" w:fill="FFFFFF"/>
        </w:rPr>
        <w:t>Simi Corp. v. Garamendi, supra</w:t>
      </w:r>
      <w:r w:rsidR="00F07E13" w:rsidRPr="00490550">
        <w:rPr>
          <w:rStyle w:val="ssrfcpassagedeactivated"/>
          <w:bdr w:val="none" w:sz="0" w:space="0" w:color="auto" w:frame="1"/>
          <w:shd w:val="clear" w:color="auto" w:fill="FFFFFF"/>
        </w:rPr>
        <w:t xml:space="preserve">, 109 Cal.App.4th at p. </w:t>
      </w:r>
      <w:r w:rsidR="008D7507">
        <w:rPr>
          <w:rStyle w:val="ssrfcpassagedeactivated"/>
          <w:bdr w:val="none" w:sz="0" w:space="0" w:color="auto" w:frame="1"/>
          <w:shd w:val="clear" w:color="auto" w:fill="FFFFFF"/>
        </w:rPr>
        <w:t xml:space="preserve">1505, and </w:t>
      </w:r>
      <w:r w:rsidR="008D7507">
        <w:rPr>
          <w:rStyle w:val="ssrfcpassagedeactivated"/>
          <w:i/>
          <w:iCs/>
          <w:bdr w:val="none" w:sz="0" w:space="0" w:color="auto" w:frame="1"/>
          <w:shd w:val="clear" w:color="auto" w:fill="FFFFFF"/>
        </w:rPr>
        <w:t>Berman v. Regents of University of California</w:t>
      </w:r>
      <w:r w:rsidR="00F07E13" w:rsidRPr="00490550">
        <w:rPr>
          <w:rStyle w:val="ssrfcpassagedeactivated"/>
          <w:i/>
          <w:iCs/>
          <w:bdr w:val="none" w:sz="0" w:space="0" w:color="auto" w:frame="1"/>
          <w:shd w:val="clear" w:color="auto" w:fill="FFFFFF"/>
        </w:rPr>
        <w:t>, supra,</w:t>
      </w:r>
      <w:r w:rsidR="00F07E13" w:rsidRPr="00490550">
        <w:rPr>
          <w:rStyle w:val="ssrfcpassagedeactivated"/>
          <w:bdr w:val="none" w:sz="0" w:space="0" w:color="auto" w:frame="1"/>
          <w:shd w:val="clear" w:color="auto" w:fill="FFFFFF"/>
        </w:rPr>
        <w:t xml:space="preserve"> 229 Cal.App.4th at pp. </w:t>
      </w:r>
      <w:r w:rsidR="008D7507">
        <w:rPr>
          <w:rStyle w:val="ssrfcpassagedeactivated"/>
          <w:bdr w:val="none" w:sz="0" w:space="0" w:color="auto" w:frame="1"/>
          <w:shd w:val="clear" w:color="auto" w:fill="FFFFFF"/>
        </w:rPr>
        <w:t>1271–1272</w:t>
      </w:r>
      <w:r w:rsidR="00F07E13" w:rsidRPr="00490550">
        <w:rPr>
          <w:rStyle w:val="ssrfcpassagedeactivated"/>
          <w:bdr w:val="none" w:sz="0" w:space="0" w:color="auto" w:frame="1"/>
          <w:shd w:val="clear" w:color="auto" w:fill="FFFFFF"/>
        </w:rPr>
        <w:t xml:space="preserve">.)  </w:t>
      </w:r>
      <w:r w:rsidR="00740812" w:rsidRPr="00490550">
        <w:rPr>
          <w:rStyle w:val="ssrfcpassagedeactivated"/>
          <w:bdr w:val="none" w:sz="0" w:space="0" w:color="auto" w:frame="1"/>
          <w:shd w:val="clear" w:color="auto" w:fill="FFFFFF"/>
        </w:rPr>
        <w:t>Relevant here,</w:t>
      </w:r>
      <w:r w:rsidR="00F07E13" w:rsidRPr="00490550">
        <w:rPr>
          <w:rStyle w:val="ssrfcpassagedeactivated"/>
          <w:bdr w:val="none" w:sz="0" w:space="0" w:color="auto" w:frame="1"/>
          <w:shd w:val="clear" w:color="auto" w:fill="FFFFFF"/>
        </w:rPr>
        <w:t xml:space="preserve"> </w:t>
      </w:r>
      <w:r w:rsidR="00740812" w:rsidRPr="00490550">
        <w:rPr>
          <w:rStyle w:val="ssrfcpassagedeactivated"/>
          <w:bdr w:val="none" w:sz="0" w:space="0" w:color="auto" w:frame="1"/>
          <w:shd w:val="clear" w:color="auto" w:fill="FFFFFF"/>
        </w:rPr>
        <w:t xml:space="preserve">as the </w:t>
      </w:r>
      <w:r w:rsidR="00EA0B83">
        <w:rPr>
          <w:rStyle w:val="ssrfcpassagedeactivated"/>
          <w:bdr w:val="none" w:sz="0" w:space="0" w:color="auto" w:frame="1"/>
          <w:shd w:val="clear" w:color="auto" w:fill="FFFFFF"/>
        </w:rPr>
        <w:t>PT Committee found, Friend 1 invited plaintiff</w:t>
      </w:r>
      <w:r w:rsidRPr="003F08AD">
        <w:t xml:space="preserve"> to her graduation weekend party after having audited one of his classes because she w</w:t>
      </w:r>
      <w:r w:rsidR="00740812" w:rsidRPr="003F08AD">
        <w:t>as seeking</w:t>
      </w:r>
      <w:r w:rsidRPr="003F08AD">
        <w:t xml:space="preserve"> his mentorship.  </w:t>
      </w:r>
      <w:r w:rsidR="00EA0B83">
        <w:t>Anneliese knew Friend 1</w:t>
      </w:r>
      <w:r w:rsidRPr="003F08AD">
        <w:t xml:space="preserve"> because they were both UCSC students liv</w:t>
      </w:r>
      <w:r w:rsidR="00740812" w:rsidRPr="003F08AD">
        <w:t>ing</w:t>
      </w:r>
      <w:r w:rsidRPr="003F08AD">
        <w:t xml:space="preserve"> with other students in off-campus housing.  </w:t>
      </w:r>
      <w:r w:rsidR="00EA0B83">
        <w:t xml:space="preserve">Anneliese met </w:t>
      </w:r>
      <w:proofErr w:type="gramStart"/>
      <w:r w:rsidR="00EA0B83">
        <w:t>plaintiff</w:t>
      </w:r>
      <w:proofErr w:type="gramEnd"/>
      <w:r w:rsidR="00EA0B83">
        <w:t xml:space="preserve"> at Friend 1’s</w:t>
      </w:r>
      <w:r w:rsidRPr="003F08AD">
        <w:t xml:space="preserve"> party and was </w:t>
      </w:r>
      <w:r w:rsidR="00D92230">
        <w:t>sexually abused</w:t>
      </w:r>
      <w:r w:rsidRPr="003F08AD">
        <w:t xml:space="preserve"> by him after he volunteered to walk her home</w:t>
      </w:r>
      <w:r w:rsidR="00EA0B83">
        <w:t>,</w:t>
      </w:r>
      <w:r w:rsidRPr="003F08AD">
        <w:t xml:space="preserve"> when she fe</w:t>
      </w:r>
      <w:r w:rsidR="00740812" w:rsidRPr="003F08AD">
        <w:t>ll</w:t>
      </w:r>
      <w:r w:rsidRPr="003F08AD">
        <w:t xml:space="preserve"> ill due to having consumed to</w:t>
      </w:r>
      <w:r w:rsidR="00740812" w:rsidRPr="003F08AD">
        <w:t>o</w:t>
      </w:r>
      <w:r w:rsidRPr="003F08AD">
        <w:t xml:space="preserve"> much alcohol.  </w:t>
      </w:r>
      <w:r w:rsidR="004F1C35" w:rsidRPr="003F08AD">
        <w:t>In</w:t>
      </w:r>
      <w:r w:rsidRPr="003F08AD">
        <w:t xml:space="preserve"> these circumstances, </w:t>
      </w:r>
      <w:r w:rsidR="00EA0B83">
        <w:t>plaintiff’s</w:t>
      </w:r>
      <w:r w:rsidRPr="003F08AD">
        <w:t xml:space="preserve"> claim that </w:t>
      </w:r>
      <w:r w:rsidR="00EA0B83">
        <w:t>Anneliese</w:t>
      </w:r>
      <w:r w:rsidRPr="003F08AD">
        <w:t xml:space="preserve"> </w:t>
      </w:r>
      <w:r w:rsidR="00740812" w:rsidRPr="003F08AD">
        <w:t xml:space="preserve">had </w:t>
      </w:r>
      <w:r w:rsidRPr="003F08AD">
        <w:t xml:space="preserve">ceased </w:t>
      </w:r>
      <w:r w:rsidR="00F07E13" w:rsidRPr="003F08AD">
        <w:t xml:space="preserve">to </w:t>
      </w:r>
      <w:r w:rsidRPr="003F08AD">
        <w:t>be a member of the University community</w:t>
      </w:r>
      <w:r w:rsidR="00F07E13" w:rsidRPr="003F08AD">
        <w:t xml:space="preserve"> entitled to protection under the</w:t>
      </w:r>
      <w:r w:rsidR="006671B9" w:rsidRPr="003F08AD">
        <w:t xml:space="preserve"> </w:t>
      </w:r>
      <w:r w:rsidR="00D24B17">
        <w:t>sexual harassment policy</w:t>
      </w:r>
      <w:r w:rsidR="00740812" w:rsidRPr="003F08AD">
        <w:t xml:space="preserve"> two days before </w:t>
      </w:r>
      <w:r w:rsidR="009F73AB">
        <w:t>he abused her</w:t>
      </w:r>
      <w:r w:rsidR="00740812" w:rsidRPr="003F08AD">
        <w:t xml:space="preserve"> rings hollow</w:t>
      </w:r>
      <w:r w:rsidRPr="003F08AD">
        <w:t>.</w:t>
      </w:r>
    </w:p>
    <w:p w14:paraId="10B463F8" w14:textId="1B192D69" w:rsidR="00181C66" w:rsidRPr="00490550" w:rsidRDefault="00913934" w:rsidP="00490550">
      <w:pPr>
        <w:pStyle w:val="ListParagraph"/>
        <w:keepNext/>
        <w:numPr>
          <w:ilvl w:val="1"/>
          <w:numId w:val="3"/>
        </w:numPr>
        <w:tabs>
          <w:tab w:val="clear" w:pos="720"/>
        </w:tabs>
        <w:spacing w:line="360" w:lineRule="auto"/>
        <w:ind w:left="1440"/>
        <w:rPr>
          <w:b/>
          <w:bCs/>
        </w:rPr>
      </w:pPr>
      <w:r>
        <w:rPr>
          <w:b/>
          <w:bCs/>
        </w:rPr>
        <w:lastRenderedPageBreak/>
        <w:t>Plaintiff</w:t>
      </w:r>
      <w:r w:rsidR="00114147" w:rsidRPr="00490550">
        <w:rPr>
          <w:b/>
          <w:bCs/>
        </w:rPr>
        <w:t xml:space="preserve"> Had Notice of </w:t>
      </w:r>
      <w:r w:rsidR="001079AD">
        <w:rPr>
          <w:b/>
          <w:bCs/>
        </w:rPr>
        <w:t>the</w:t>
      </w:r>
      <w:r w:rsidRPr="00490550">
        <w:rPr>
          <w:b/>
          <w:bCs/>
        </w:rPr>
        <w:t xml:space="preserve"> </w:t>
      </w:r>
      <w:r w:rsidR="00114147" w:rsidRPr="00490550">
        <w:rPr>
          <w:b/>
          <w:bCs/>
        </w:rPr>
        <w:t>Charge</w:t>
      </w:r>
      <w:r w:rsidRPr="00490550">
        <w:rPr>
          <w:b/>
          <w:bCs/>
        </w:rPr>
        <w:t>.</w:t>
      </w:r>
    </w:p>
    <w:p w14:paraId="020E14E4" w14:textId="1F581415" w:rsidR="00181C66" w:rsidRPr="003F08AD" w:rsidRDefault="00913934" w:rsidP="00490550">
      <w:pPr>
        <w:tabs>
          <w:tab w:val="clear" w:pos="720"/>
        </w:tabs>
        <w:spacing w:line="360" w:lineRule="auto"/>
      </w:pPr>
      <w:r w:rsidRPr="003F08AD">
        <w:tab/>
      </w:r>
      <w:r w:rsidR="00D24B17">
        <w:t>Plaintiff</w:t>
      </w:r>
      <w:r w:rsidRPr="003F08AD">
        <w:t xml:space="preserve"> contends </w:t>
      </w:r>
      <w:r w:rsidR="00EC1B44" w:rsidRPr="003F08AD">
        <w:t xml:space="preserve">he had no notice of one of the two charges against him </w:t>
      </w:r>
      <w:r w:rsidR="00FE0006" w:rsidRPr="003F08AD">
        <w:t>in</w:t>
      </w:r>
      <w:r w:rsidR="00EC1B44" w:rsidRPr="003F08AD">
        <w:t xml:space="preserve"> the </w:t>
      </w:r>
      <w:r w:rsidR="00E3284D" w:rsidRPr="003F08AD">
        <w:t xml:space="preserve">case of </w:t>
      </w:r>
      <w:r w:rsidR="00D24B17">
        <w:t>Anneliese H.</w:t>
      </w:r>
      <w:r w:rsidR="00EC1B44" w:rsidRPr="003F08AD">
        <w:t xml:space="preserve">  The first charge, discussed </w:t>
      </w:r>
      <w:r w:rsidR="00D24B17">
        <w:rPr>
          <w:i/>
          <w:iCs/>
        </w:rPr>
        <w:t>ante</w:t>
      </w:r>
      <w:r w:rsidR="00EC1B44" w:rsidRPr="003F08AD">
        <w:t xml:space="preserve">, was for violation of the </w:t>
      </w:r>
      <w:r w:rsidR="001079AD">
        <w:t>University’s sexual harassment policy</w:t>
      </w:r>
      <w:r w:rsidR="00EC1B44" w:rsidRPr="003F08AD">
        <w:t xml:space="preserve">.  The second charge, of which </w:t>
      </w:r>
      <w:r w:rsidR="001079AD">
        <w:t>plaintiff</w:t>
      </w:r>
      <w:r w:rsidR="00EC1B44" w:rsidRPr="003F08AD">
        <w:t xml:space="preserve"> claims he had no notice, was for </w:t>
      </w:r>
      <w:r w:rsidR="006671B9" w:rsidRPr="003F08AD">
        <w:t xml:space="preserve">a </w:t>
      </w:r>
      <w:r w:rsidR="00EC1B44" w:rsidRPr="003F08AD">
        <w:t>violation of</w:t>
      </w:r>
      <w:r w:rsidR="000B550B" w:rsidRPr="003F08AD">
        <w:t xml:space="preserve"> the </w:t>
      </w:r>
      <w:r w:rsidR="00EC1B44" w:rsidRPr="003F08AD">
        <w:t>Faculty Code of Conduct</w:t>
      </w:r>
      <w:r w:rsidR="000B550B" w:rsidRPr="003F08AD">
        <w:t xml:space="preserve">, </w:t>
      </w:r>
      <w:r w:rsidR="001079AD">
        <w:t>Part II</w:t>
      </w:r>
      <w:r w:rsidR="00EC1B44" w:rsidRPr="003F08AD">
        <w:t xml:space="preserve">. </w:t>
      </w:r>
      <w:r w:rsidR="00FE0006" w:rsidRPr="003F08AD">
        <w:t xml:space="preserve"> We reject this contention.</w:t>
      </w:r>
    </w:p>
    <w:p w14:paraId="673EDCB0" w14:textId="274D82A2" w:rsidR="00A74F87" w:rsidRPr="003F08AD" w:rsidRDefault="00913934" w:rsidP="00490550">
      <w:pPr>
        <w:tabs>
          <w:tab w:val="clear" w:pos="720"/>
        </w:tabs>
        <w:spacing w:line="360" w:lineRule="auto"/>
      </w:pPr>
      <w:r w:rsidRPr="003F08AD">
        <w:tab/>
      </w:r>
      <w:r w:rsidR="00FF6EF0">
        <w:t>Plaintiff</w:t>
      </w:r>
      <w:r w:rsidRPr="003F08AD">
        <w:t xml:space="preserve"> is correct the </w:t>
      </w:r>
      <w:r w:rsidR="00FF6EF0">
        <w:t>notice of intent to discipline</w:t>
      </w:r>
      <w:r w:rsidRPr="003F08AD">
        <w:t xml:space="preserve"> </w:t>
      </w:r>
      <w:r w:rsidR="00E3284D" w:rsidRPr="003F08AD">
        <w:t>issued by</w:t>
      </w:r>
      <w:r w:rsidRPr="003F08AD">
        <w:t xml:space="preserve"> the University identified one charge relat</w:t>
      </w:r>
      <w:r w:rsidR="00E3284D" w:rsidRPr="003F08AD">
        <w:t>ing</w:t>
      </w:r>
      <w:r w:rsidRPr="003F08AD">
        <w:t xml:space="preserve"> to </w:t>
      </w:r>
      <w:r w:rsidR="00FF6EF0">
        <w:t>Anneliese H.</w:t>
      </w:r>
      <w:proofErr w:type="gramStart"/>
      <w:r w:rsidR="00FF6EF0">
        <w:t>:  “</w:t>
      </w:r>
      <w:proofErr w:type="gramEnd"/>
      <w:r w:rsidR="00FF6EF0">
        <w:t>Alleged</w:t>
      </w:r>
      <w:r w:rsidRPr="003F08AD">
        <w:t xml:space="preserve"> violation: </w:t>
      </w:r>
      <w:r w:rsidR="00FF6EF0">
        <w:t xml:space="preserve"> APM 015 II.C.7:  Serious</w:t>
      </w:r>
      <w:r w:rsidRPr="003F08AD">
        <w:t xml:space="preserve"> violation of University policies governing the professional conduct of faculty (specifically, the University </w:t>
      </w:r>
      <w:r w:rsidR="00E3284D" w:rsidRPr="003F08AD">
        <w:t>P</w:t>
      </w:r>
      <w:r w:rsidRPr="003F08AD">
        <w:t xml:space="preserve">olicy on Sexual Harassment, 2006).”  </w:t>
      </w:r>
      <w:r w:rsidR="007206DB" w:rsidRPr="003F08AD">
        <w:t>F</w:t>
      </w:r>
      <w:r w:rsidRPr="003F08AD">
        <w:t xml:space="preserve">ollowing </w:t>
      </w:r>
      <w:r w:rsidR="006671B9" w:rsidRPr="003F08AD">
        <w:t>the</w:t>
      </w:r>
      <w:r w:rsidRPr="003F08AD">
        <w:t xml:space="preserve"> hearing, the </w:t>
      </w:r>
      <w:r w:rsidR="0005077C">
        <w:t>PT Committee</w:t>
      </w:r>
      <w:r w:rsidRPr="003F08AD">
        <w:t xml:space="preserve"> </w:t>
      </w:r>
      <w:r w:rsidR="007206DB" w:rsidRPr="003F08AD">
        <w:t xml:space="preserve">found a violation of the </w:t>
      </w:r>
      <w:r w:rsidR="0005077C">
        <w:t>sexual harassment policy and, thus, APM 015 II.C.7</w:t>
      </w:r>
      <w:r w:rsidR="00C712AE" w:rsidRPr="003F08AD">
        <w:t>,</w:t>
      </w:r>
      <w:r w:rsidR="007206DB" w:rsidRPr="003F08AD">
        <w:t xml:space="preserve"> with respect to </w:t>
      </w:r>
      <w:r w:rsidR="00EF79CD">
        <w:t>plaintiff’s</w:t>
      </w:r>
      <w:r w:rsidR="007206DB" w:rsidRPr="003F08AD">
        <w:t xml:space="preserve"> conduct toward </w:t>
      </w:r>
      <w:r w:rsidR="00EF79CD">
        <w:t>Anneliese</w:t>
      </w:r>
      <w:r w:rsidR="007206DB" w:rsidRPr="003F08AD">
        <w:t xml:space="preserve">.  In addition, the </w:t>
      </w:r>
      <w:r w:rsidR="00EF79CD">
        <w:t>committee</w:t>
      </w:r>
      <w:r w:rsidR="007206DB" w:rsidRPr="003F08AD">
        <w:t xml:space="preserve"> found his conduct “independently violated the [Faculty Code of Conduct],” which “prohibits</w:t>
      </w:r>
      <w:r w:rsidR="00EF79CD">
        <w:t>,</w:t>
      </w:r>
      <w:r w:rsidR="007206DB" w:rsidRPr="003F08AD">
        <w:t xml:space="preserve"> in general</w:t>
      </w:r>
      <w:r w:rsidR="00EF79CD">
        <w:t>,</w:t>
      </w:r>
      <w:r w:rsidR="007206DB" w:rsidRPr="003F08AD">
        <w:t xml:space="preserve"> faculty conduct that is unacceptable because it is ‘not justified by the Ethical Principles and significantly impairs the University’s central functions as set </w:t>
      </w:r>
      <w:r w:rsidR="00A05DB0">
        <w:t>forth</w:t>
      </w:r>
      <w:r w:rsidR="007206DB" w:rsidRPr="003F08AD">
        <w:t xml:space="preserve"> in the Preamble’ </w:t>
      </w:r>
      <w:r w:rsidR="00A05DB0">
        <w:t>(APM 015, Preamble).</w:t>
      </w:r>
      <w:r w:rsidR="007206DB" w:rsidRPr="003F08AD">
        <w:t>”</w:t>
      </w:r>
      <w:r w:rsidRPr="003F08AD">
        <w:t xml:space="preserve">  The </w:t>
      </w:r>
      <w:r w:rsidR="00D32708">
        <w:t>committee</w:t>
      </w:r>
      <w:r w:rsidRPr="003F08AD">
        <w:t xml:space="preserve"> reasoned</w:t>
      </w:r>
      <w:proofErr w:type="gramStart"/>
      <w:r w:rsidR="00E3284D" w:rsidRPr="003F08AD">
        <w:t>:</w:t>
      </w:r>
      <w:r w:rsidRPr="003F08AD">
        <w:t xml:space="preserve"> </w:t>
      </w:r>
      <w:r w:rsidR="00D32708">
        <w:t xml:space="preserve"> </w:t>
      </w:r>
      <w:r w:rsidRPr="003F08AD">
        <w:t>“</w:t>
      </w:r>
      <w:proofErr w:type="gramEnd"/>
      <w:r w:rsidRPr="003F08AD">
        <w:t>Students have a right to expect that the University does not tolerate faculty who attempt to rape people.  The University has an obligation to honor that right.”</w:t>
      </w:r>
    </w:p>
    <w:p w14:paraId="000F5653" w14:textId="022D19C5" w:rsidR="00E3284D" w:rsidRPr="003F08AD" w:rsidRDefault="00913934" w:rsidP="00490550">
      <w:pPr>
        <w:tabs>
          <w:tab w:val="clear" w:pos="720"/>
        </w:tabs>
        <w:spacing w:line="360" w:lineRule="auto"/>
      </w:pPr>
      <w:r w:rsidRPr="003F08AD">
        <w:tab/>
        <w:t xml:space="preserve">The </w:t>
      </w:r>
      <w:r w:rsidR="00F142D3">
        <w:t>PT Committee’s</w:t>
      </w:r>
      <w:r w:rsidRPr="003F08AD">
        <w:t xml:space="preserve"> findings and recommendations were then reviewed by Chancellor Larive, who determined</w:t>
      </w:r>
      <w:r w:rsidR="00670A65">
        <w:t>,</w:t>
      </w:r>
      <w:r w:rsidRPr="003F08AD">
        <w:t xml:space="preserve"> based on her own review of the evidence</w:t>
      </w:r>
      <w:r w:rsidR="00670A65">
        <w:t>,</w:t>
      </w:r>
      <w:r w:rsidRPr="003F08AD">
        <w:t xml:space="preserve"> that </w:t>
      </w:r>
      <w:r w:rsidR="00670A65">
        <w:t>plaintiff</w:t>
      </w:r>
      <w:r w:rsidRPr="003F08AD">
        <w:t xml:space="preserve"> violated the </w:t>
      </w:r>
      <w:r w:rsidR="00670A65">
        <w:t>University’s sexual harassment policy (and, thus, APM 015 II.C.7).</w:t>
      </w:r>
      <w:r w:rsidRPr="003F08AD">
        <w:t xml:space="preserve">  Chancellor Larive made no mention of</w:t>
      </w:r>
      <w:r w:rsidR="00EA05E6" w:rsidRPr="003F08AD">
        <w:t>,</w:t>
      </w:r>
      <w:r w:rsidRPr="003F08AD">
        <w:t xml:space="preserve"> or finding as to</w:t>
      </w:r>
      <w:r w:rsidR="00EA05E6" w:rsidRPr="003F08AD">
        <w:t>,</w:t>
      </w:r>
      <w:r w:rsidRPr="003F08AD">
        <w:t xml:space="preserve"> the Faculty Code of Conduct, </w:t>
      </w:r>
      <w:r w:rsidR="00390B47">
        <w:t>Part II,</w:t>
      </w:r>
      <w:r w:rsidRPr="003F08AD">
        <w:t xml:space="preserve"> before submitting her recommendation of </w:t>
      </w:r>
      <w:r w:rsidR="00EA05E6" w:rsidRPr="003F08AD">
        <w:t>dismissal</w:t>
      </w:r>
      <w:r w:rsidRPr="003F08AD">
        <w:t xml:space="preserve"> and denial of </w:t>
      </w:r>
      <w:r w:rsidR="00390B47">
        <w:t>emeritus</w:t>
      </w:r>
      <w:r w:rsidRPr="003F08AD">
        <w:t xml:space="preserve"> status to </w:t>
      </w:r>
      <w:r w:rsidR="00390B47">
        <w:t>University</w:t>
      </w:r>
      <w:r w:rsidRPr="003F08AD">
        <w:t xml:space="preserve"> President Napolitano.</w:t>
      </w:r>
    </w:p>
    <w:p w14:paraId="246844CB" w14:textId="72F2E5DF" w:rsidR="00C712AE" w:rsidRPr="003F08AD" w:rsidRDefault="00913934" w:rsidP="00490550">
      <w:pPr>
        <w:tabs>
          <w:tab w:val="clear" w:pos="720"/>
        </w:tabs>
        <w:spacing w:line="360" w:lineRule="auto"/>
      </w:pPr>
      <w:r w:rsidRPr="003F08AD">
        <w:lastRenderedPageBreak/>
        <w:tab/>
        <w:t xml:space="preserve">After her own review, </w:t>
      </w:r>
      <w:r w:rsidR="001C1C53">
        <w:t>University</w:t>
      </w:r>
      <w:r w:rsidRPr="003F08AD">
        <w:t xml:space="preserve"> President Napolitano adopted the same finding of a violation of the </w:t>
      </w:r>
      <w:r w:rsidR="001C1C53">
        <w:t>University’s sexual harassment policy in</w:t>
      </w:r>
      <w:r w:rsidRPr="003F08AD">
        <w:t xml:space="preserve"> submitting her recommendation </w:t>
      </w:r>
      <w:r w:rsidR="00EA05E6" w:rsidRPr="003F08AD">
        <w:t xml:space="preserve">of dismissal </w:t>
      </w:r>
      <w:r w:rsidRPr="003F08AD">
        <w:t xml:space="preserve">to </w:t>
      </w:r>
      <w:r w:rsidR="0055323D">
        <w:t>the</w:t>
      </w:r>
      <w:r w:rsidRPr="003F08AD">
        <w:t xml:space="preserve"> Regents, which </w:t>
      </w:r>
      <w:r w:rsidR="0055323D">
        <w:t>the</w:t>
      </w:r>
      <w:r w:rsidRPr="003F08AD">
        <w:t xml:space="preserve"> Regents then </w:t>
      </w:r>
      <w:r w:rsidR="001D6890">
        <w:t>approved—the</w:t>
      </w:r>
      <w:r w:rsidRPr="003F08AD">
        <w:t xml:space="preserve"> administrative decision challenged by this writ petition.</w:t>
      </w:r>
    </w:p>
    <w:p w14:paraId="48A92BA0" w14:textId="7C01E65F" w:rsidR="00EC1B44" w:rsidRPr="003F08AD" w:rsidRDefault="00913934" w:rsidP="00490550">
      <w:pPr>
        <w:tabs>
          <w:tab w:val="clear" w:pos="720"/>
        </w:tabs>
        <w:spacing w:line="360" w:lineRule="auto"/>
      </w:pPr>
      <w:r w:rsidRPr="003F08AD">
        <w:tab/>
      </w:r>
      <w:proofErr w:type="gramStart"/>
      <w:r w:rsidR="001D6890">
        <w:t>Plaintiff’s</w:t>
      </w:r>
      <w:proofErr w:type="gramEnd"/>
      <w:r w:rsidR="00EA05E6" w:rsidRPr="003F08AD">
        <w:t xml:space="preserve"> </w:t>
      </w:r>
      <w:r w:rsidR="003C357B" w:rsidRPr="003F08AD">
        <w:t>lack-of-notice</w:t>
      </w:r>
      <w:r w:rsidR="00EA05E6" w:rsidRPr="003F08AD">
        <w:t xml:space="preserve"> </w:t>
      </w:r>
      <w:r w:rsidR="003C357B" w:rsidRPr="003F08AD">
        <w:t xml:space="preserve">claim thus </w:t>
      </w:r>
      <w:r w:rsidR="00EA05E6" w:rsidRPr="003F08AD">
        <w:t>fail</w:t>
      </w:r>
      <w:r w:rsidR="003C357B" w:rsidRPr="003F08AD">
        <w:t xml:space="preserve">s.  In the case of </w:t>
      </w:r>
      <w:r w:rsidR="001D6890">
        <w:t>Anneliese H.</w:t>
      </w:r>
      <w:r w:rsidR="00D02E21">
        <w:t>, he was charged with—and disciplined for—only the serious violation of the University’s sexual harassment policy.</w:t>
      </w:r>
    </w:p>
    <w:p w14:paraId="5D9A1F5F" w14:textId="65307E91" w:rsidR="00181C66" w:rsidRPr="00490550" w:rsidRDefault="00913934" w:rsidP="003E48FB">
      <w:pPr>
        <w:pStyle w:val="ListParagraph"/>
        <w:keepNext/>
        <w:numPr>
          <w:ilvl w:val="0"/>
          <w:numId w:val="3"/>
        </w:numPr>
        <w:tabs>
          <w:tab w:val="clear" w:pos="720"/>
        </w:tabs>
        <w:spacing w:line="360" w:lineRule="auto"/>
        <w:ind w:left="720"/>
        <w:rPr>
          <w:b/>
          <w:bCs/>
          <w:i/>
          <w:iCs/>
        </w:rPr>
      </w:pPr>
      <w:r w:rsidRPr="00490550">
        <w:rPr>
          <w:b/>
          <w:bCs/>
          <w:i/>
          <w:iCs/>
        </w:rPr>
        <w:t>The Sanctions Imposed Were Not Excessive.</w:t>
      </w:r>
    </w:p>
    <w:p w14:paraId="571BBDA5" w14:textId="5825AF65" w:rsidR="00181C66" w:rsidRPr="003F08AD" w:rsidRDefault="00913934" w:rsidP="00490550">
      <w:pPr>
        <w:tabs>
          <w:tab w:val="clear" w:pos="720"/>
        </w:tabs>
        <w:spacing w:line="360" w:lineRule="auto"/>
      </w:pPr>
      <w:r w:rsidRPr="003F08AD">
        <w:tab/>
        <w:t xml:space="preserve">Lastly, </w:t>
      </w:r>
      <w:r w:rsidR="00D02E21">
        <w:t>plaintiff</w:t>
      </w:r>
      <w:r w:rsidRPr="003F08AD">
        <w:t xml:space="preserve"> contends </w:t>
      </w:r>
      <w:r w:rsidR="00393AA8" w:rsidRPr="003F08AD">
        <w:t xml:space="preserve">dismissal of a tenured professor and denial of </w:t>
      </w:r>
      <w:r w:rsidR="00D02E21">
        <w:t>emeritus</w:t>
      </w:r>
      <w:r w:rsidR="00393AA8" w:rsidRPr="003F08AD">
        <w:t xml:space="preserve"> status for conduct that was never criminally charged</w:t>
      </w:r>
      <w:r w:rsidR="00D340CE" w:rsidRPr="003F08AD">
        <w:t>,</w:t>
      </w:r>
      <w:r w:rsidR="00393AA8" w:rsidRPr="003F08AD">
        <w:t xml:space="preserve"> result</w:t>
      </w:r>
      <w:r w:rsidR="00D340CE" w:rsidRPr="003F08AD">
        <w:t>ing</w:t>
      </w:r>
      <w:r w:rsidR="00393AA8" w:rsidRPr="003F08AD">
        <w:t xml:space="preserve"> in a loss of “upwards of a million dollars” in salary and benefits</w:t>
      </w:r>
      <w:r w:rsidR="00D340CE" w:rsidRPr="003F08AD">
        <w:t>,</w:t>
      </w:r>
      <w:r w:rsidR="00E45FF9" w:rsidRPr="003F08AD">
        <w:t xml:space="preserve"> </w:t>
      </w:r>
      <w:r w:rsidR="00393AA8" w:rsidRPr="003F08AD">
        <w:t xml:space="preserve">is constitutionally excessive (Cal. Const., </w:t>
      </w:r>
      <w:r w:rsidR="00D02E21">
        <w:t>art.</w:t>
      </w:r>
      <w:r w:rsidR="00DC002D">
        <w:t xml:space="preserve"> </w:t>
      </w:r>
      <w:r w:rsidR="00D02E21">
        <w:t>I</w:t>
      </w:r>
      <w:r w:rsidR="00393AA8" w:rsidRPr="003F08AD">
        <w:t>, § 17)</w:t>
      </w:r>
      <w:r w:rsidRPr="003F08AD">
        <w:t>.  We disagree.</w:t>
      </w:r>
    </w:p>
    <w:p w14:paraId="745A2DB7" w14:textId="32363D59" w:rsidR="00181C66" w:rsidRPr="003F08AD" w:rsidRDefault="00913934" w:rsidP="00490550">
      <w:pPr>
        <w:tabs>
          <w:tab w:val="clear" w:pos="720"/>
        </w:tabs>
        <w:spacing w:line="360" w:lineRule="auto"/>
      </w:pPr>
      <w:r w:rsidRPr="003F08AD">
        <w:tab/>
        <w:t>“</w:t>
      </w:r>
      <w:r w:rsidRPr="00490550">
        <w:rPr>
          <w:shd w:val="clear" w:color="auto" w:fill="FFFFFF"/>
        </w:rPr>
        <w:t xml:space="preserve">We review the penalty imposed by an administrative body for an abuse of discretion. </w:t>
      </w:r>
      <w:r w:rsidR="006A244B">
        <w:rPr>
          <w:shd w:val="clear" w:color="auto" w:fill="FFFFFF"/>
        </w:rPr>
        <w:t xml:space="preserve"> </w:t>
      </w:r>
      <w:r w:rsidRPr="00490550">
        <w:rPr>
          <w:shd w:val="clear" w:color="auto" w:fill="FFFFFF"/>
        </w:rPr>
        <w:t xml:space="preserve">[Citation.] </w:t>
      </w:r>
      <w:r w:rsidR="006A244B">
        <w:rPr>
          <w:shd w:val="clear" w:color="auto" w:fill="FFFFFF"/>
        </w:rPr>
        <w:t xml:space="preserve"> </w:t>
      </w:r>
      <w:r w:rsidRPr="00490550">
        <w:rPr>
          <w:shd w:val="clear" w:color="auto" w:fill="FFFFFF"/>
        </w:rPr>
        <w:t xml:space="preserve">This court cannot ‘substitute its discretion for that of the administrative agency concerning the degree of punishment imposed.’ </w:t>
      </w:r>
      <w:r w:rsidR="00853D16">
        <w:rPr>
          <w:shd w:val="clear" w:color="auto" w:fill="FFFFFF"/>
        </w:rPr>
        <w:t xml:space="preserve"> [Citation.]  Moreover</w:t>
      </w:r>
      <w:r w:rsidRPr="00490550">
        <w:rPr>
          <w:shd w:val="clear" w:color="auto" w:fill="FFFFFF"/>
        </w:rPr>
        <w:t>, ‘[</w:t>
      </w:r>
      <w:proofErr w:type="spellStart"/>
      <w:r w:rsidRPr="00490550">
        <w:rPr>
          <w:shd w:val="clear" w:color="auto" w:fill="FFFFFF"/>
        </w:rPr>
        <w:t>i</w:t>
      </w:r>
      <w:proofErr w:type="spellEnd"/>
      <w:r w:rsidRPr="00490550">
        <w:rPr>
          <w:shd w:val="clear" w:color="auto" w:fill="FFFFFF"/>
        </w:rPr>
        <w:t xml:space="preserve">]t is only in the exceptional case, when it is shown that reasonable minds cannot differ on the propriety of the penalty, that an abuse of discretion is shown.’ </w:t>
      </w:r>
      <w:r w:rsidR="006A244B">
        <w:rPr>
          <w:shd w:val="clear" w:color="auto" w:fill="FFFFFF"/>
        </w:rPr>
        <w:t xml:space="preserve"> </w:t>
      </w:r>
      <w:r w:rsidRPr="00490550">
        <w:rPr>
          <w:shd w:val="clear" w:color="auto" w:fill="FFFFFF"/>
        </w:rPr>
        <w:t>[Citation.]</w:t>
      </w:r>
      <w:r w:rsidRPr="003F08AD">
        <w:t>”  (</w:t>
      </w:r>
      <w:r w:rsidRPr="003F08AD">
        <w:rPr>
          <w:i/>
          <w:iCs/>
        </w:rPr>
        <w:t xml:space="preserve">Doe v. Regents of </w:t>
      </w:r>
      <w:r w:rsidR="005C6B4E">
        <w:rPr>
          <w:i/>
          <w:iCs/>
        </w:rPr>
        <w:t>University</w:t>
      </w:r>
      <w:r w:rsidR="00D03DF1">
        <w:rPr>
          <w:i/>
          <w:iCs/>
        </w:rPr>
        <w:t xml:space="preserve"> of California </w:t>
      </w:r>
      <w:r w:rsidR="00D03DF1">
        <w:t>(</w:t>
      </w:r>
      <w:r w:rsidR="00565576">
        <w:t>2016)</w:t>
      </w:r>
      <w:r w:rsidRPr="003F08AD">
        <w:t xml:space="preserve"> 5 Cal.App.5th </w:t>
      </w:r>
      <w:r w:rsidR="00565576">
        <w:t>1055, 1106</w:t>
      </w:r>
      <w:r w:rsidR="001A6DB5">
        <w:t xml:space="preserve">; </w:t>
      </w:r>
      <w:r w:rsidR="00E550BD" w:rsidRPr="003F08AD">
        <w:rPr>
          <w:i/>
          <w:iCs/>
        </w:rPr>
        <w:t xml:space="preserve">Hughes v. </w:t>
      </w:r>
      <w:r w:rsidR="001A6DB5">
        <w:rPr>
          <w:i/>
          <w:iCs/>
        </w:rPr>
        <w:t>Bd.</w:t>
      </w:r>
      <w:r w:rsidR="00E550BD" w:rsidRPr="003F08AD">
        <w:rPr>
          <w:i/>
          <w:iCs/>
        </w:rPr>
        <w:t xml:space="preserve"> of Architectural Examiners</w:t>
      </w:r>
      <w:r w:rsidR="00E550BD" w:rsidRPr="003F08AD">
        <w:t xml:space="preserve"> (1998) 68 Cal.App.4th 685, 692 [courts </w:t>
      </w:r>
      <w:proofErr w:type="gramStart"/>
      <w:r w:rsidR="00663C27">
        <w:t>“ ‘</w:t>
      </w:r>
      <w:proofErr w:type="gramEnd"/>
      <w:r w:rsidR="00663C27">
        <w:t>pay</w:t>
      </w:r>
      <w:r w:rsidR="00E550BD" w:rsidRPr="003F08AD">
        <w:t xml:space="preserve"> great deference to the expertise of the </w:t>
      </w:r>
      <w:r w:rsidR="00663C27">
        <w:t>administrative agency</w:t>
      </w:r>
      <w:r w:rsidR="00E550BD" w:rsidRPr="003F08AD">
        <w:t xml:space="preserve"> in determining the appropriate penalty to be </w:t>
      </w:r>
      <w:r w:rsidR="00663C27">
        <w:t>imposed’ ”].)</w:t>
      </w:r>
    </w:p>
    <w:p w14:paraId="153FB522" w14:textId="6CB10A81" w:rsidR="00D340CE" w:rsidRPr="00490550" w:rsidRDefault="00913934" w:rsidP="003F08AD">
      <w:pPr>
        <w:pStyle w:val="NormalWeb"/>
        <w:shd w:val="clear" w:color="auto" w:fill="FFFFFF"/>
        <w:spacing w:before="0" w:beforeAutospacing="0" w:after="0" w:afterAutospacing="0" w:line="360" w:lineRule="auto"/>
        <w:textAlignment w:val="baseline"/>
        <w:rPr>
          <w:rFonts w:ascii="Century Schoolbook" w:hAnsi="Century Schoolbook"/>
          <w:sz w:val="26"/>
          <w:szCs w:val="26"/>
        </w:rPr>
      </w:pPr>
      <w:r w:rsidRPr="003F08AD">
        <w:rPr>
          <w:rFonts w:ascii="Century Schoolbook" w:hAnsi="Century Schoolbook"/>
          <w:sz w:val="26"/>
          <w:szCs w:val="26"/>
        </w:rPr>
        <w:tab/>
      </w:r>
      <w:r w:rsidR="00E379C7" w:rsidRPr="003F08AD">
        <w:rPr>
          <w:rFonts w:ascii="Century Schoolbook" w:hAnsi="Century Schoolbook"/>
          <w:sz w:val="26"/>
          <w:szCs w:val="26"/>
        </w:rPr>
        <w:t xml:space="preserve">The University found clear and convincing evidence that </w:t>
      </w:r>
      <w:r w:rsidR="00337897">
        <w:rPr>
          <w:rFonts w:ascii="Century Schoolbook" w:hAnsi="Century Schoolbook"/>
          <w:sz w:val="26"/>
          <w:szCs w:val="26"/>
        </w:rPr>
        <w:t>plaintiff</w:t>
      </w:r>
      <w:r w:rsidR="00E45FF9" w:rsidRPr="003F08AD">
        <w:rPr>
          <w:rFonts w:ascii="Century Schoolbook" w:hAnsi="Century Schoolbook"/>
          <w:sz w:val="26"/>
          <w:szCs w:val="26"/>
        </w:rPr>
        <w:t xml:space="preserve"> </w:t>
      </w:r>
      <w:r w:rsidR="00E379C7" w:rsidRPr="003F08AD">
        <w:rPr>
          <w:rFonts w:ascii="Century Schoolbook" w:hAnsi="Century Schoolbook"/>
          <w:sz w:val="26"/>
          <w:szCs w:val="26"/>
        </w:rPr>
        <w:t xml:space="preserve">egregiously sexually </w:t>
      </w:r>
      <w:r w:rsidR="009F73AB">
        <w:rPr>
          <w:rFonts w:ascii="Century Schoolbook" w:hAnsi="Century Schoolbook"/>
          <w:sz w:val="26"/>
          <w:szCs w:val="26"/>
        </w:rPr>
        <w:t>abused</w:t>
      </w:r>
      <w:r w:rsidR="00E45FF9" w:rsidRPr="003F08AD">
        <w:rPr>
          <w:rFonts w:ascii="Century Schoolbook" w:hAnsi="Century Schoolbook"/>
          <w:sz w:val="26"/>
          <w:szCs w:val="26"/>
        </w:rPr>
        <w:t xml:space="preserve"> both</w:t>
      </w:r>
      <w:r w:rsidR="00E379C7" w:rsidRPr="003F08AD">
        <w:rPr>
          <w:rFonts w:ascii="Century Schoolbook" w:hAnsi="Century Schoolbook"/>
          <w:sz w:val="26"/>
          <w:szCs w:val="26"/>
        </w:rPr>
        <w:t xml:space="preserve"> Jane Doe and </w:t>
      </w:r>
      <w:r w:rsidR="00337897">
        <w:rPr>
          <w:rFonts w:ascii="Century Schoolbook" w:hAnsi="Century Schoolbook"/>
          <w:sz w:val="26"/>
          <w:szCs w:val="26"/>
        </w:rPr>
        <w:t>Anneliese</w:t>
      </w:r>
      <w:r w:rsidR="00E379C7" w:rsidRPr="003F08AD">
        <w:rPr>
          <w:rFonts w:ascii="Century Schoolbook" w:hAnsi="Century Schoolbook"/>
          <w:sz w:val="26"/>
          <w:szCs w:val="26"/>
        </w:rPr>
        <w:t xml:space="preserve">.  As to the latter, in particular, </w:t>
      </w:r>
      <w:r w:rsidR="00337897">
        <w:rPr>
          <w:rFonts w:ascii="Century Schoolbook" w:hAnsi="Century Schoolbook"/>
          <w:sz w:val="26"/>
          <w:szCs w:val="26"/>
        </w:rPr>
        <w:t>plaintiff</w:t>
      </w:r>
      <w:r w:rsidR="00E379C7" w:rsidRPr="003F08AD">
        <w:rPr>
          <w:rFonts w:ascii="Century Schoolbook" w:hAnsi="Century Schoolbook"/>
          <w:sz w:val="26"/>
          <w:szCs w:val="26"/>
        </w:rPr>
        <w:t xml:space="preserve"> took advantage of </w:t>
      </w:r>
      <w:r w:rsidR="00337897">
        <w:rPr>
          <w:rFonts w:ascii="Century Schoolbook" w:hAnsi="Century Schoolbook"/>
          <w:sz w:val="26"/>
          <w:szCs w:val="26"/>
        </w:rPr>
        <w:t>Anneliese’s</w:t>
      </w:r>
      <w:r w:rsidR="00E379C7" w:rsidRPr="003F08AD">
        <w:rPr>
          <w:rFonts w:ascii="Century Schoolbook" w:hAnsi="Century Schoolbook"/>
          <w:sz w:val="26"/>
          <w:szCs w:val="26"/>
        </w:rPr>
        <w:t xml:space="preserve"> extreme intoxication to enter her home and attempt to rape her.  Rather than challenge this </w:t>
      </w:r>
      <w:r w:rsidR="00E379C7" w:rsidRPr="003F08AD">
        <w:rPr>
          <w:rFonts w:ascii="Century Schoolbook" w:hAnsi="Century Schoolbook"/>
          <w:sz w:val="26"/>
          <w:szCs w:val="26"/>
        </w:rPr>
        <w:lastRenderedPageBreak/>
        <w:t xml:space="preserve">evidence, </w:t>
      </w:r>
      <w:r w:rsidR="00337897">
        <w:rPr>
          <w:rFonts w:ascii="Century Schoolbook" w:hAnsi="Century Schoolbook"/>
          <w:sz w:val="26"/>
          <w:szCs w:val="26"/>
        </w:rPr>
        <w:t>plaintiff</w:t>
      </w:r>
      <w:r w:rsidR="00E379C7" w:rsidRPr="003F08AD">
        <w:rPr>
          <w:rFonts w:ascii="Century Schoolbook" w:hAnsi="Century Schoolbook"/>
          <w:sz w:val="26"/>
          <w:szCs w:val="26"/>
        </w:rPr>
        <w:t xml:space="preserve"> attempts to </w:t>
      </w:r>
      <w:r w:rsidR="00E550BD" w:rsidRPr="00490550">
        <w:rPr>
          <w:rFonts w:ascii="Century Schoolbook" w:hAnsi="Century Schoolbook"/>
          <w:sz w:val="26"/>
          <w:szCs w:val="26"/>
        </w:rPr>
        <w:t>minimize</w:t>
      </w:r>
      <w:r w:rsidR="00E379C7" w:rsidRPr="00490550">
        <w:rPr>
          <w:rFonts w:ascii="Century Schoolbook" w:hAnsi="Century Schoolbook"/>
          <w:sz w:val="26"/>
          <w:szCs w:val="26"/>
        </w:rPr>
        <w:t xml:space="preserve"> its significance</w:t>
      </w:r>
      <w:r w:rsidR="00E550BD" w:rsidRPr="00490550">
        <w:rPr>
          <w:rFonts w:ascii="Century Schoolbook" w:hAnsi="Century Schoolbook"/>
          <w:sz w:val="26"/>
          <w:szCs w:val="26"/>
        </w:rPr>
        <w:t xml:space="preserve">. </w:t>
      </w:r>
      <w:r w:rsidR="00E379C7" w:rsidRPr="00490550">
        <w:rPr>
          <w:rFonts w:ascii="Century Schoolbook" w:hAnsi="Century Schoolbook"/>
          <w:sz w:val="26"/>
          <w:szCs w:val="26"/>
        </w:rPr>
        <w:t xml:space="preserve"> However, as</w:t>
      </w:r>
      <w:r w:rsidR="00796E80" w:rsidRPr="00490550">
        <w:rPr>
          <w:rFonts w:ascii="Century Schoolbook" w:hAnsi="Century Schoolbook"/>
          <w:sz w:val="26"/>
          <w:szCs w:val="26"/>
        </w:rPr>
        <w:t xml:space="preserve"> the University’s</w:t>
      </w:r>
      <w:r w:rsidR="00E379C7" w:rsidRPr="00490550">
        <w:rPr>
          <w:rFonts w:ascii="Century Schoolbook" w:hAnsi="Century Schoolbook"/>
          <w:sz w:val="26"/>
          <w:szCs w:val="26"/>
        </w:rPr>
        <w:t xml:space="preserve"> </w:t>
      </w:r>
      <w:r w:rsidR="00337897">
        <w:rPr>
          <w:rFonts w:ascii="Century Schoolbook" w:hAnsi="Century Schoolbook"/>
          <w:sz w:val="26"/>
          <w:szCs w:val="26"/>
        </w:rPr>
        <w:t>chancellor</w:t>
      </w:r>
      <w:r w:rsidR="00694D5D" w:rsidRPr="00490550">
        <w:rPr>
          <w:rFonts w:ascii="Century Schoolbook" w:hAnsi="Century Schoolbook"/>
          <w:sz w:val="26"/>
          <w:szCs w:val="26"/>
        </w:rPr>
        <w:t xml:space="preserve"> found, given the nature and severity of </w:t>
      </w:r>
      <w:r w:rsidR="005B38BE">
        <w:rPr>
          <w:rFonts w:ascii="Century Schoolbook" w:hAnsi="Century Schoolbook"/>
          <w:sz w:val="26"/>
          <w:szCs w:val="26"/>
        </w:rPr>
        <w:t>plaintiff’s</w:t>
      </w:r>
      <w:r w:rsidR="00694D5D" w:rsidRPr="00490550">
        <w:rPr>
          <w:rFonts w:ascii="Century Schoolbook" w:hAnsi="Century Schoolbook"/>
          <w:sz w:val="26"/>
          <w:szCs w:val="26"/>
        </w:rPr>
        <w:t xml:space="preserve"> conduct, the harm to the victims, and the harm to the University, his dismissal and denial of </w:t>
      </w:r>
      <w:r w:rsidR="005B38BE">
        <w:rPr>
          <w:rFonts w:ascii="Century Schoolbook" w:hAnsi="Century Schoolbook"/>
          <w:sz w:val="26"/>
          <w:szCs w:val="26"/>
        </w:rPr>
        <w:t>emeritus status were</w:t>
      </w:r>
      <w:r w:rsidR="00694D5D" w:rsidRPr="00490550">
        <w:rPr>
          <w:rFonts w:ascii="Century Schoolbook" w:hAnsi="Century Schoolbook"/>
          <w:sz w:val="26"/>
          <w:szCs w:val="26"/>
        </w:rPr>
        <w:t xml:space="preserve"> warranted </w:t>
      </w:r>
      <w:proofErr w:type="gramStart"/>
      <w:r w:rsidR="00796E80" w:rsidRPr="00490550">
        <w:rPr>
          <w:rFonts w:ascii="Century Schoolbook" w:hAnsi="Century Schoolbook"/>
          <w:sz w:val="26"/>
          <w:szCs w:val="26"/>
        </w:rPr>
        <w:t>on the basis of</w:t>
      </w:r>
      <w:proofErr w:type="gramEnd"/>
      <w:r w:rsidR="00796E80" w:rsidRPr="00490550">
        <w:rPr>
          <w:rFonts w:ascii="Century Schoolbook" w:hAnsi="Century Schoolbook"/>
          <w:sz w:val="26"/>
          <w:szCs w:val="26"/>
        </w:rPr>
        <w:t xml:space="preserve"> either </w:t>
      </w:r>
      <w:r w:rsidR="00796E80" w:rsidRPr="00490550">
        <w:rPr>
          <w:rFonts w:ascii="Century Schoolbook" w:hAnsi="Century Schoolbook"/>
          <w:i/>
          <w:iCs/>
          <w:sz w:val="26"/>
          <w:szCs w:val="26"/>
        </w:rPr>
        <w:t>or</w:t>
      </w:r>
      <w:r w:rsidR="00796E80" w:rsidRPr="00490550">
        <w:rPr>
          <w:rFonts w:ascii="Century Schoolbook" w:hAnsi="Century Schoolbook"/>
          <w:sz w:val="26"/>
          <w:szCs w:val="26"/>
        </w:rPr>
        <w:t xml:space="preserve"> both incidents. </w:t>
      </w:r>
      <w:r w:rsidR="00E550BD" w:rsidRPr="00490550">
        <w:rPr>
          <w:rFonts w:ascii="Century Schoolbook" w:hAnsi="Century Schoolbook"/>
          <w:sz w:val="26"/>
          <w:szCs w:val="26"/>
        </w:rPr>
        <w:t xml:space="preserve"> The </w:t>
      </w:r>
      <w:r w:rsidR="00796E80" w:rsidRPr="00490550">
        <w:rPr>
          <w:rFonts w:ascii="Century Schoolbook" w:hAnsi="Century Schoolbook"/>
          <w:sz w:val="26"/>
          <w:szCs w:val="26"/>
        </w:rPr>
        <w:t xml:space="preserve">University’s </w:t>
      </w:r>
      <w:r w:rsidR="00E550BD" w:rsidRPr="00490550">
        <w:rPr>
          <w:rFonts w:ascii="Century Schoolbook" w:hAnsi="Century Schoolbook"/>
          <w:sz w:val="26"/>
          <w:szCs w:val="26"/>
        </w:rPr>
        <w:t>decision</w:t>
      </w:r>
      <w:r w:rsidR="00796E80" w:rsidRPr="00490550">
        <w:rPr>
          <w:rFonts w:ascii="Century Schoolbook" w:hAnsi="Century Schoolbook"/>
          <w:sz w:val="26"/>
          <w:szCs w:val="26"/>
        </w:rPr>
        <w:t>s</w:t>
      </w:r>
      <w:r w:rsidR="00E550BD" w:rsidRPr="00490550">
        <w:rPr>
          <w:rFonts w:ascii="Century Schoolbook" w:hAnsi="Century Schoolbook"/>
          <w:sz w:val="26"/>
          <w:szCs w:val="26"/>
        </w:rPr>
        <w:t xml:space="preserve"> </w:t>
      </w:r>
      <w:r w:rsidR="00796E80" w:rsidRPr="00490550">
        <w:rPr>
          <w:rFonts w:ascii="Century Schoolbook" w:hAnsi="Century Schoolbook"/>
          <w:sz w:val="26"/>
          <w:szCs w:val="26"/>
        </w:rPr>
        <w:t>were</w:t>
      </w:r>
      <w:r w:rsidR="00E550BD" w:rsidRPr="00490550">
        <w:rPr>
          <w:rFonts w:ascii="Century Schoolbook" w:hAnsi="Century Schoolbook"/>
          <w:sz w:val="26"/>
          <w:szCs w:val="26"/>
        </w:rPr>
        <w:t xml:space="preserve"> well within its discretion.</w:t>
      </w:r>
    </w:p>
    <w:p w14:paraId="6CBEAF02" w14:textId="70907054" w:rsidR="00D601DF" w:rsidRPr="003F08AD" w:rsidRDefault="00913934" w:rsidP="00490550">
      <w:pPr>
        <w:keepNext/>
        <w:tabs>
          <w:tab w:val="clear" w:pos="720"/>
        </w:tabs>
        <w:spacing w:line="360" w:lineRule="auto"/>
        <w:jc w:val="center"/>
        <w:rPr>
          <w:b/>
          <w:bCs/>
        </w:rPr>
      </w:pPr>
      <w:r w:rsidRPr="003F08AD">
        <w:rPr>
          <w:b/>
          <w:bCs/>
        </w:rPr>
        <w:t>DISPOSITION</w:t>
      </w:r>
    </w:p>
    <w:p w14:paraId="517E0B18" w14:textId="01DAD854" w:rsidR="00E366EF" w:rsidRPr="003F08AD" w:rsidRDefault="00913934" w:rsidP="003E333C">
      <w:pPr>
        <w:tabs>
          <w:tab w:val="clear" w:pos="720"/>
        </w:tabs>
        <w:spacing w:line="360" w:lineRule="auto"/>
      </w:pPr>
      <w:r w:rsidRPr="003F08AD">
        <w:tab/>
        <w:t xml:space="preserve">The </w:t>
      </w:r>
      <w:r w:rsidR="005B38BE">
        <w:t>judgment is affirmed</w:t>
      </w:r>
      <w:r w:rsidRPr="003F08AD">
        <w:t>.</w:t>
      </w:r>
    </w:p>
    <w:p w14:paraId="22332D25" w14:textId="3E45D60F" w:rsidR="00B05034" w:rsidRDefault="00B05034" w:rsidP="00547370">
      <w:pPr>
        <w:tabs>
          <w:tab w:val="clear" w:pos="720"/>
        </w:tabs>
        <w:spacing w:line="240" w:lineRule="auto"/>
      </w:pPr>
    </w:p>
    <w:p w14:paraId="4CC292A3" w14:textId="77777777" w:rsidR="00547370" w:rsidRDefault="00547370" w:rsidP="00547370">
      <w:pPr>
        <w:tabs>
          <w:tab w:val="clear" w:pos="720"/>
        </w:tabs>
        <w:spacing w:line="240" w:lineRule="auto"/>
      </w:pPr>
    </w:p>
    <w:p w14:paraId="610D529B" w14:textId="00CD2AF6" w:rsidR="00FA26B3" w:rsidRDefault="00913934" w:rsidP="00547370">
      <w:pPr>
        <w:tabs>
          <w:tab w:val="clear" w:pos="720"/>
        </w:tabs>
        <w:spacing w:line="240" w:lineRule="auto"/>
      </w:pPr>
      <w:r>
        <w:tab/>
      </w:r>
      <w:r>
        <w:tab/>
      </w:r>
      <w:r>
        <w:tab/>
      </w:r>
      <w:r>
        <w:tab/>
      </w:r>
      <w:r>
        <w:tab/>
      </w:r>
      <w:r>
        <w:tab/>
      </w:r>
      <w:r>
        <w:tab/>
        <w:t>Jackson,</w:t>
      </w:r>
      <w:r w:rsidR="00547370">
        <w:t> </w:t>
      </w:r>
      <w:r>
        <w:t>P.</w:t>
      </w:r>
      <w:r w:rsidR="00547370">
        <w:t> </w:t>
      </w:r>
      <w:r>
        <w:t>J.</w:t>
      </w:r>
    </w:p>
    <w:p w14:paraId="76B790C2" w14:textId="77777777" w:rsidR="00FA26B3" w:rsidRDefault="00FA26B3" w:rsidP="00547370">
      <w:pPr>
        <w:tabs>
          <w:tab w:val="clear" w:pos="720"/>
        </w:tabs>
        <w:spacing w:line="240" w:lineRule="auto"/>
      </w:pPr>
    </w:p>
    <w:p w14:paraId="74C1DDA0" w14:textId="4C603398" w:rsidR="00FA26B3" w:rsidRDefault="00913934" w:rsidP="00547370">
      <w:pPr>
        <w:tabs>
          <w:tab w:val="clear" w:pos="720"/>
        </w:tabs>
        <w:spacing w:line="240" w:lineRule="auto"/>
      </w:pPr>
      <w:r>
        <w:t>WE CONCUR:</w:t>
      </w:r>
    </w:p>
    <w:p w14:paraId="490A70A8" w14:textId="77777777" w:rsidR="00FA26B3" w:rsidRDefault="00FA26B3" w:rsidP="00547370">
      <w:pPr>
        <w:tabs>
          <w:tab w:val="clear" w:pos="720"/>
        </w:tabs>
        <w:spacing w:line="240" w:lineRule="auto"/>
      </w:pPr>
    </w:p>
    <w:p w14:paraId="66C43EA7" w14:textId="457E6776" w:rsidR="00FA26B3" w:rsidRDefault="00913934" w:rsidP="00547370">
      <w:pPr>
        <w:tabs>
          <w:tab w:val="clear" w:pos="720"/>
        </w:tabs>
        <w:spacing w:line="240" w:lineRule="auto"/>
      </w:pPr>
      <w:r>
        <w:t>Burns,</w:t>
      </w:r>
      <w:r w:rsidR="00547370">
        <w:t> </w:t>
      </w:r>
      <w:r>
        <w:t>J.</w:t>
      </w:r>
    </w:p>
    <w:p w14:paraId="55999406" w14:textId="3ABEA126" w:rsidR="00FA26B3" w:rsidRDefault="00913934" w:rsidP="00547370">
      <w:pPr>
        <w:tabs>
          <w:tab w:val="clear" w:pos="720"/>
        </w:tabs>
        <w:spacing w:line="240" w:lineRule="auto"/>
      </w:pPr>
      <w:r>
        <w:t>Chou,</w:t>
      </w:r>
      <w:r w:rsidR="00547370">
        <w:t> </w:t>
      </w:r>
      <w:r>
        <w:t>J.</w:t>
      </w:r>
    </w:p>
    <w:p w14:paraId="37E41A03" w14:textId="10E529B6" w:rsidR="00FA26B3" w:rsidRDefault="00913934">
      <w:pPr>
        <w:tabs>
          <w:tab w:val="clear" w:pos="720"/>
        </w:tabs>
        <w:spacing w:line="360" w:lineRule="auto"/>
      </w:pPr>
      <w:r>
        <w:br w:type="page"/>
      </w:r>
    </w:p>
    <w:p w14:paraId="5763D6A9" w14:textId="12FAF628" w:rsidR="003B1BB1" w:rsidRPr="000A6C75" w:rsidRDefault="00913934" w:rsidP="003B1BB1">
      <w:pPr>
        <w:tabs>
          <w:tab w:val="clear" w:pos="720"/>
        </w:tabs>
        <w:spacing w:line="240" w:lineRule="auto"/>
        <w:rPr>
          <w:u w:val="single"/>
        </w:rPr>
      </w:pPr>
      <w:r w:rsidRPr="000A6C75">
        <w:rPr>
          <w:u w:val="single"/>
        </w:rPr>
        <w:lastRenderedPageBreak/>
        <w:t>A16</w:t>
      </w:r>
      <w:r w:rsidR="000A6C75" w:rsidRPr="000A6C75">
        <w:rPr>
          <w:u w:val="single"/>
        </w:rPr>
        <w:t>4480</w:t>
      </w:r>
      <w:r w:rsidRPr="000A6C75">
        <w:rPr>
          <w:u w:val="single"/>
        </w:rPr>
        <w:t>/</w:t>
      </w:r>
      <w:r w:rsidR="000A6C75" w:rsidRPr="000A6C75">
        <w:rPr>
          <w:u w:val="single"/>
        </w:rPr>
        <w:t>Balakrishnan v. Regents of University of California</w:t>
      </w:r>
    </w:p>
    <w:p w14:paraId="2C2EE4B7" w14:textId="77777777" w:rsidR="003B1BB1" w:rsidRDefault="003B1BB1" w:rsidP="003B1BB1">
      <w:pPr>
        <w:tabs>
          <w:tab w:val="clear" w:pos="720"/>
        </w:tabs>
        <w:spacing w:line="240" w:lineRule="auto"/>
      </w:pPr>
    </w:p>
    <w:tbl>
      <w:tblPr>
        <w:tblW w:w="9450" w:type="dxa"/>
        <w:tblLayout w:type="fixed"/>
        <w:tblLook w:val="06A0" w:firstRow="1" w:lastRow="0" w:firstColumn="1" w:lastColumn="0" w:noHBand="1" w:noVBand="1"/>
      </w:tblPr>
      <w:tblGrid>
        <w:gridCol w:w="2250"/>
        <w:gridCol w:w="7200"/>
      </w:tblGrid>
      <w:tr w:rsidR="00A662DF" w14:paraId="6E637221" w14:textId="77777777" w:rsidTr="00DB2077">
        <w:tc>
          <w:tcPr>
            <w:tcW w:w="2250" w:type="dxa"/>
            <w:shd w:val="clear" w:color="auto" w:fill="auto"/>
          </w:tcPr>
          <w:p w14:paraId="1E0919B9" w14:textId="77777777" w:rsidR="003B1BB1" w:rsidRPr="006D25AC" w:rsidRDefault="00913934" w:rsidP="00DB2077">
            <w:pPr>
              <w:tabs>
                <w:tab w:val="clear" w:pos="720"/>
              </w:tabs>
              <w:spacing w:line="240" w:lineRule="auto"/>
              <w:ind w:left="-106"/>
              <w:rPr>
                <w:rFonts w:eastAsia="Century Schoolbook" w:cs="Century Schoolbook"/>
              </w:rPr>
            </w:pPr>
            <w:r w:rsidRPr="006D25AC">
              <w:rPr>
                <w:rFonts w:eastAsia="Century Schoolbook" w:cs="Century Schoolbook"/>
              </w:rPr>
              <w:t>Trial Court:</w:t>
            </w:r>
          </w:p>
        </w:tc>
        <w:tc>
          <w:tcPr>
            <w:tcW w:w="7200" w:type="dxa"/>
            <w:shd w:val="clear" w:color="auto" w:fill="auto"/>
          </w:tcPr>
          <w:p w14:paraId="5E2C8E7E" w14:textId="2C97E7D8" w:rsidR="003B1BB1" w:rsidRPr="006D25AC" w:rsidRDefault="00913934" w:rsidP="00DB2077">
            <w:pPr>
              <w:tabs>
                <w:tab w:val="clear" w:pos="720"/>
              </w:tabs>
              <w:spacing w:line="240" w:lineRule="auto"/>
              <w:rPr>
                <w:rFonts w:eastAsia="Century Schoolbook" w:cs="Century Schoolbook"/>
              </w:rPr>
            </w:pPr>
            <w:r w:rsidRPr="006D25AC">
              <w:rPr>
                <w:rFonts w:eastAsia="Century Schoolbook" w:cs="Century Schoolbook"/>
              </w:rPr>
              <w:t xml:space="preserve">Superior Court </w:t>
            </w:r>
            <w:r>
              <w:rPr>
                <w:rFonts w:eastAsia="Century Schoolbook" w:cs="Century Schoolbook"/>
              </w:rPr>
              <w:t xml:space="preserve">of the County of </w:t>
            </w:r>
            <w:r w:rsidR="000A6C75">
              <w:rPr>
                <w:rFonts w:eastAsia="Century Schoolbook" w:cs="Century Schoolbook"/>
              </w:rPr>
              <w:t>Alameda</w:t>
            </w:r>
          </w:p>
        </w:tc>
      </w:tr>
      <w:tr w:rsidR="00A662DF" w14:paraId="4DA773BE" w14:textId="77777777" w:rsidTr="00DB2077">
        <w:tc>
          <w:tcPr>
            <w:tcW w:w="2250" w:type="dxa"/>
            <w:shd w:val="clear" w:color="auto" w:fill="auto"/>
          </w:tcPr>
          <w:p w14:paraId="781E4D94" w14:textId="77777777" w:rsidR="003B1BB1" w:rsidRPr="006D25AC" w:rsidRDefault="003B1BB1" w:rsidP="00DB2077">
            <w:pPr>
              <w:tabs>
                <w:tab w:val="clear" w:pos="720"/>
              </w:tabs>
              <w:spacing w:line="240" w:lineRule="auto"/>
              <w:ind w:left="-106"/>
              <w:rPr>
                <w:rFonts w:eastAsia="Century Schoolbook" w:cs="Century Schoolbook"/>
              </w:rPr>
            </w:pPr>
          </w:p>
        </w:tc>
        <w:tc>
          <w:tcPr>
            <w:tcW w:w="7200" w:type="dxa"/>
            <w:shd w:val="clear" w:color="auto" w:fill="auto"/>
          </w:tcPr>
          <w:p w14:paraId="3D930EB1" w14:textId="77777777" w:rsidR="003B1BB1" w:rsidRPr="006D25AC" w:rsidRDefault="003B1BB1" w:rsidP="00DB2077">
            <w:pPr>
              <w:tabs>
                <w:tab w:val="clear" w:pos="720"/>
              </w:tabs>
              <w:spacing w:line="240" w:lineRule="auto"/>
              <w:rPr>
                <w:rFonts w:eastAsia="Century Schoolbook" w:cs="Century Schoolbook"/>
              </w:rPr>
            </w:pPr>
          </w:p>
        </w:tc>
      </w:tr>
      <w:tr w:rsidR="00A662DF" w14:paraId="54E0A3D0" w14:textId="77777777" w:rsidTr="00DB2077">
        <w:tc>
          <w:tcPr>
            <w:tcW w:w="2250" w:type="dxa"/>
            <w:shd w:val="clear" w:color="auto" w:fill="auto"/>
          </w:tcPr>
          <w:p w14:paraId="2C1018E4" w14:textId="77777777" w:rsidR="003B1BB1" w:rsidRPr="006D25AC" w:rsidRDefault="00913934" w:rsidP="00DB2077">
            <w:pPr>
              <w:tabs>
                <w:tab w:val="clear" w:pos="720"/>
              </w:tabs>
              <w:spacing w:line="240" w:lineRule="auto"/>
              <w:ind w:left="-106"/>
              <w:rPr>
                <w:rFonts w:eastAsia="Century Schoolbook" w:cs="Century Schoolbook"/>
              </w:rPr>
            </w:pPr>
            <w:r w:rsidRPr="006D25AC">
              <w:rPr>
                <w:rFonts w:eastAsia="Century Schoolbook" w:cs="Century Schoolbook"/>
              </w:rPr>
              <w:t>Trial Judge:</w:t>
            </w:r>
          </w:p>
        </w:tc>
        <w:tc>
          <w:tcPr>
            <w:tcW w:w="7200" w:type="dxa"/>
            <w:shd w:val="clear" w:color="auto" w:fill="auto"/>
          </w:tcPr>
          <w:p w14:paraId="0097A6A4" w14:textId="77632608" w:rsidR="003B1BB1" w:rsidRPr="006D25AC" w:rsidRDefault="00913934" w:rsidP="00DB2077">
            <w:pPr>
              <w:tabs>
                <w:tab w:val="clear" w:pos="720"/>
              </w:tabs>
              <w:spacing w:line="240" w:lineRule="auto"/>
              <w:rPr>
                <w:rFonts w:eastAsia="Century Schoolbook" w:cs="Century Schoolbook"/>
              </w:rPr>
            </w:pPr>
            <w:r>
              <w:rPr>
                <w:rFonts w:eastAsia="Century Schoolbook" w:cs="Century Schoolbook"/>
              </w:rPr>
              <w:t>Paul Herbert</w:t>
            </w:r>
          </w:p>
        </w:tc>
      </w:tr>
      <w:tr w:rsidR="00A662DF" w14:paraId="00FE9909" w14:textId="77777777" w:rsidTr="00DB2077">
        <w:tc>
          <w:tcPr>
            <w:tcW w:w="2250" w:type="dxa"/>
            <w:shd w:val="clear" w:color="auto" w:fill="auto"/>
          </w:tcPr>
          <w:p w14:paraId="48F95248" w14:textId="77777777" w:rsidR="003B1BB1" w:rsidRPr="006D25AC" w:rsidRDefault="003B1BB1" w:rsidP="00DB2077">
            <w:pPr>
              <w:tabs>
                <w:tab w:val="clear" w:pos="720"/>
              </w:tabs>
              <w:spacing w:line="240" w:lineRule="auto"/>
              <w:ind w:left="-106"/>
              <w:rPr>
                <w:rFonts w:eastAsia="Century Schoolbook" w:cs="Century Schoolbook"/>
              </w:rPr>
            </w:pPr>
          </w:p>
        </w:tc>
        <w:tc>
          <w:tcPr>
            <w:tcW w:w="7200" w:type="dxa"/>
            <w:shd w:val="clear" w:color="auto" w:fill="auto"/>
          </w:tcPr>
          <w:p w14:paraId="1FD672CB" w14:textId="77777777" w:rsidR="003B1BB1" w:rsidRPr="006D25AC" w:rsidRDefault="003B1BB1" w:rsidP="00DB2077">
            <w:pPr>
              <w:tabs>
                <w:tab w:val="clear" w:pos="720"/>
              </w:tabs>
              <w:spacing w:line="240" w:lineRule="auto"/>
              <w:rPr>
                <w:rFonts w:eastAsia="Century Schoolbook" w:cs="Century Schoolbook"/>
              </w:rPr>
            </w:pPr>
          </w:p>
        </w:tc>
      </w:tr>
      <w:tr w:rsidR="00A662DF" w14:paraId="6D41944D" w14:textId="77777777" w:rsidTr="00DB2077">
        <w:tc>
          <w:tcPr>
            <w:tcW w:w="2250" w:type="dxa"/>
            <w:shd w:val="clear" w:color="auto" w:fill="auto"/>
          </w:tcPr>
          <w:p w14:paraId="4241A617" w14:textId="77777777" w:rsidR="003B1BB1" w:rsidRPr="006D25AC" w:rsidRDefault="00913934" w:rsidP="00DB2077">
            <w:pPr>
              <w:tabs>
                <w:tab w:val="clear" w:pos="720"/>
              </w:tabs>
              <w:spacing w:line="240" w:lineRule="auto"/>
              <w:ind w:left="-106"/>
              <w:rPr>
                <w:rFonts w:eastAsia="Century Schoolbook" w:cs="Century Schoolbook"/>
              </w:rPr>
            </w:pPr>
            <w:r w:rsidRPr="006D25AC">
              <w:rPr>
                <w:rFonts w:eastAsia="Century Schoolbook" w:cs="Century Schoolbook"/>
              </w:rPr>
              <w:t>Counsel:</w:t>
            </w:r>
          </w:p>
        </w:tc>
        <w:tc>
          <w:tcPr>
            <w:tcW w:w="7200" w:type="dxa"/>
            <w:shd w:val="clear" w:color="auto" w:fill="auto"/>
          </w:tcPr>
          <w:p w14:paraId="6B8DA68E" w14:textId="0ABD4605" w:rsidR="003B1BB1" w:rsidRDefault="00913934" w:rsidP="00DB2077">
            <w:pPr>
              <w:tabs>
                <w:tab w:val="clear" w:pos="720"/>
              </w:tabs>
              <w:spacing w:line="240" w:lineRule="auto"/>
              <w:ind w:left="615" w:hanging="615"/>
              <w:rPr>
                <w:rFonts w:eastAsia="Century Schoolbook" w:cs="Century Schoolbook"/>
              </w:rPr>
            </w:pPr>
            <w:r>
              <w:rPr>
                <w:rFonts w:eastAsia="Century Schoolbook" w:cs="Century Schoolbook"/>
              </w:rPr>
              <w:t xml:space="preserve">Hathaway Parker, </w:t>
            </w:r>
            <w:r w:rsidR="0056356B">
              <w:rPr>
                <w:rFonts w:eastAsia="Century Schoolbook" w:cs="Century Schoolbook"/>
              </w:rPr>
              <w:t xml:space="preserve">Mark M. </w:t>
            </w:r>
            <w:proofErr w:type="gramStart"/>
            <w:r w:rsidR="0056356B">
              <w:rPr>
                <w:rFonts w:eastAsia="Century Schoolbook" w:cs="Century Schoolbook"/>
              </w:rPr>
              <w:t>Hathaway</w:t>
            </w:r>
            <w:proofErr w:type="gramEnd"/>
            <w:r w:rsidR="0056356B">
              <w:rPr>
                <w:rFonts w:eastAsia="Century Schoolbook" w:cs="Century Schoolbook"/>
              </w:rPr>
              <w:t xml:space="preserve"> and Jenna E. Parker, for Plaintiff and Appellant</w:t>
            </w:r>
            <w:r>
              <w:rPr>
                <w:rFonts w:eastAsia="Century Schoolbook" w:cs="Century Schoolbook"/>
              </w:rPr>
              <w:t>.</w:t>
            </w:r>
          </w:p>
          <w:p w14:paraId="343B97F6" w14:textId="77777777" w:rsidR="003B1BB1" w:rsidRPr="006D25AC" w:rsidRDefault="003B1BB1" w:rsidP="00DB2077">
            <w:pPr>
              <w:tabs>
                <w:tab w:val="clear" w:pos="720"/>
              </w:tabs>
              <w:spacing w:line="240" w:lineRule="auto"/>
              <w:rPr>
                <w:rFonts w:eastAsia="Century Schoolbook" w:cs="Century Schoolbook"/>
              </w:rPr>
            </w:pPr>
          </w:p>
        </w:tc>
      </w:tr>
      <w:tr w:rsidR="00A662DF" w14:paraId="23F46115" w14:textId="77777777" w:rsidTr="00DB2077">
        <w:tc>
          <w:tcPr>
            <w:tcW w:w="2250" w:type="dxa"/>
            <w:shd w:val="clear" w:color="auto" w:fill="auto"/>
          </w:tcPr>
          <w:p w14:paraId="07E3494F" w14:textId="77777777" w:rsidR="003B1BB1" w:rsidRPr="006D25AC" w:rsidRDefault="003B1BB1" w:rsidP="00DB2077">
            <w:pPr>
              <w:tabs>
                <w:tab w:val="clear" w:pos="720"/>
              </w:tabs>
              <w:spacing w:line="240" w:lineRule="auto"/>
              <w:ind w:left="-106"/>
              <w:rPr>
                <w:rFonts w:eastAsia="Century Schoolbook" w:cs="Century Schoolbook"/>
              </w:rPr>
            </w:pPr>
          </w:p>
        </w:tc>
        <w:tc>
          <w:tcPr>
            <w:tcW w:w="7200" w:type="dxa"/>
            <w:shd w:val="clear" w:color="auto" w:fill="auto"/>
          </w:tcPr>
          <w:p w14:paraId="35800E94" w14:textId="39E335E5" w:rsidR="003B1BB1" w:rsidRDefault="00913934" w:rsidP="00DB2077">
            <w:pPr>
              <w:tabs>
                <w:tab w:val="clear" w:pos="720"/>
              </w:tabs>
              <w:spacing w:line="240" w:lineRule="auto"/>
              <w:ind w:left="615" w:hanging="615"/>
              <w:rPr>
                <w:rFonts w:eastAsia="Century Schoolbook" w:cs="Century Schoolbook"/>
              </w:rPr>
            </w:pPr>
            <w:r>
              <w:rPr>
                <w:rFonts w:eastAsia="Century Schoolbook" w:cs="Century Schoolbook"/>
              </w:rPr>
              <w:t>University of California Office of the General Counsel</w:t>
            </w:r>
            <w:r w:rsidR="00053D03">
              <w:rPr>
                <w:rFonts w:eastAsia="Century Schoolbook" w:cs="Century Schoolbook"/>
              </w:rPr>
              <w:t xml:space="preserve"> and</w:t>
            </w:r>
            <w:r>
              <w:rPr>
                <w:rFonts w:eastAsia="Century Schoolbook" w:cs="Century Schoolbook"/>
              </w:rPr>
              <w:t xml:space="preserve"> Katharine Essick; </w:t>
            </w:r>
            <w:r w:rsidR="00CD5278">
              <w:rPr>
                <w:rFonts w:eastAsia="Century Schoolbook" w:cs="Century Schoolbook"/>
              </w:rPr>
              <w:t xml:space="preserve">Munger, Tolles &amp; Olson, Hailyn J. </w:t>
            </w:r>
            <w:proofErr w:type="gramStart"/>
            <w:r w:rsidR="00CD5278">
              <w:rPr>
                <w:rFonts w:eastAsia="Century Schoolbook" w:cs="Century Schoolbook"/>
              </w:rPr>
              <w:t>Chen</w:t>
            </w:r>
            <w:proofErr w:type="gramEnd"/>
            <w:r w:rsidR="00CD5278">
              <w:rPr>
                <w:rFonts w:eastAsia="Century Schoolbook" w:cs="Century Schoolbook"/>
              </w:rPr>
              <w:t xml:space="preserve"> and </w:t>
            </w:r>
            <w:r w:rsidR="00CA4F0D">
              <w:rPr>
                <w:rFonts w:eastAsia="Century Schoolbook" w:cs="Century Schoolbook"/>
              </w:rPr>
              <w:t>Rebecca L. Sciarrino</w:t>
            </w:r>
            <w:r>
              <w:rPr>
                <w:rFonts w:eastAsia="Century Schoolbook" w:cs="Century Schoolbook"/>
              </w:rPr>
              <w:t xml:space="preserve">, for </w:t>
            </w:r>
            <w:r w:rsidR="00BC1535">
              <w:rPr>
                <w:rFonts w:eastAsia="Century Schoolbook" w:cs="Century Schoolbook"/>
              </w:rPr>
              <w:t>Defendant</w:t>
            </w:r>
            <w:r>
              <w:rPr>
                <w:rFonts w:eastAsia="Century Schoolbook" w:cs="Century Schoolbook"/>
              </w:rPr>
              <w:t xml:space="preserve"> and Respondent.</w:t>
            </w:r>
          </w:p>
          <w:p w14:paraId="0CBC040F" w14:textId="77777777" w:rsidR="003B1BB1" w:rsidRPr="006D25AC" w:rsidRDefault="003B1BB1" w:rsidP="00DB2077">
            <w:pPr>
              <w:tabs>
                <w:tab w:val="clear" w:pos="720"/>
              </w:tabs>
              <w:spacing w:line="240" w:lineRule="auto"/>
              <w:ind w:left="720" w:hanging="720"/>
              <w:rPr>
                <w:rFonts w:eastAsia="Century Schoolbook" w:cs="Century Schoolbook"/>
              </w:rPr>
            </w:pPr>
          </w:p>
        </w:tc>
      </w:tr>
    </w:tbl>
    <w:p w14:paraId="713D2DDB" w14:textId="77777777" w:rsidR="003B1BB1" w:rsidRPr="00F174B7" w:rsidRDefault="003B1BB1" w:rsidP="003B1BB1">
      <w:pPr>
        <w:tabs>
          <w:tab w:val="clear" w:pos="720"/>
        </w:tabs>
        <w:spacing w:line="240" w:lineRule="auto"/>
      </w:pPr>
    </w:p>
    <w:sectPr w:rsidR="003B1BB1" w:rsidRPr="00F174B7" w:rsidSect="001D6A8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73EBF" w14:textId="77777777" w:rsidR="00913934" w:rsidRDefault="00913934">
      <w:pPr>
        <w:spacing w:line="240" w:lineRule="auto"/>
      </w:pPr>
      <w:r>
        <w:separator/>
      </w:r>
    </w:p>
  </w:endnote>
  <w:endnote w:type="continuationSeparator" w:id="0">
    <w:p w14:paraId="274D25BA" w14:textId="77777777" w:rsidR="00913934" w:rsidRDefault="00913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9E750" w14:textId="6D4F6860" w:rsidR="007236A6" w:rsidRDefault="00913934" w:rsidP="004E78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2DA6CE8" w14:textId="0F5135F7" w:rsidR="007236A6" w:rsidRDefault="00913934" w:rsidP="004E78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C08866" w14:textId="77777777" w:rsidR="007236A6" w:rsidRDefault="00723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0E37C" w14:textId="591B669F" w:rsidR="007236A6" w:rsidRPr="00F8273C" w:rsidRDefault="00913934" w:rsidP="00F8273C">
    <w:pPr>
      <w:pStyle w:val="Footer"/>
      <w:framePr w:wrap="around" w:vAnchor="text" w:hAnchor="margin" w:xAlign="center" w:y="1"/>
      <w:tabs>
        <w:tab w:val="clear" w:pos="720"/>
        <w:tab w:val="clear" w:pos="4680"/>
        <w:tab w:val="clear" w:pos="9360"/>
      </w:tabs>
      <w:rPr>
        <w:rStyle w:val="PageNumber"/>
      </w:rPr>
    </w:pPr>
    <w:r w:rsidRPr="00F8273C">
      <w:rPr>
        <w:rStyle w:val="PageNumber"/>
      </w:rPr>
      <w:fldChar w:fldCharType="begin"/>
    </w:r>
    <w:r w:rsidRPr="00F8273C">
      <w:rPr>
        <w:rStyle w:val="PageNumber"/>
      </w:rPr>
      <w:instrText xml:space="preserve"> PAGE </w:instrText>
    </w:r>
    <w:r w:rsidRPr="00F8273C">
      <w:rPr>
        <w:rStyle w:val="PageNumber"/>
      </w:rPr>
      <w:fldChar w:fldCharType="separate"/>
    </w:r>
    <w:r w:rsidRPr="00F8273C">
      <w:rPr>
        <w:rStyle w:val="PageNumber"/>
      </w:rPr>
      <w:t>27</w:t>
    </w:r>
    <w:r w:rsidRPr="00F8273C">
      <w:rPr>
        <w:rStyle w:val="PageNumber"/>
      </w:rPr>
      <w:fldChar w:fldCharType="end"/>
    </w:r>
  </w:p>
  <w:p w14:paraId="19488D67" w14:textId="77777777" w:rsidR="007236A6" w:rsidRPr="00F8273C" w:rsidRDefault="007236A6" w:rsidP="00F8273C">
    <w:pPr>
      <w:pStyle w:val="Footer"/>
      <w:tabs>
        <w:tab w:val="clear" w:pos="720"/>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CCBE3" w14:textId="77777777" w:rsidR="001159D0" w:rsidRDefault="00913934" w:rsidP="007236A6">
      <w:pPr>
        <w:spacing w:line="240" w:lineRule="auto"/>
      </w:pPr>
      <w:r>
        <w:separator/>
      </w:r>
    </w:p>
  </w:footnote>
  <w:footnote w:type="continuationSeparator" w:id="0">
    <w:p w14:paraId="360148AE" w14:textId="77777777" w:rsidR="001159D0" w:rsidRDefault="00913934" w:rsidP="007236A6">
      <w:pPr>
        <w:spacing w:line="240" w:lineRule="auto"/>
      </w:pPr>
      <w:r>
        <w:continuationSeparator/>
      </w:r>
    </w:p>
  </w:footnote>
  <w:footnote w:id="1">
    <w:p w14:paraId="70F71A9F" w14:textId="77777777" w:rsidR="001D6A8C" w:rsidRDefault="001D6A8C" w:rsidP="001D6A8C">
      <w:pPr>
        <w:pStyle w:val="FootnoteText"/>
        <w:spacing w:after="120"/>
        <w:ind w:firstLine="720"/>
      </w:pPr>
      <w:r>
        <w:rPr>
          <w:rStyle w:val="FootnoteReference"/>
        </w:rPr>
        <w:t>*</w:t>
      </w:r>
      <w:r>
        <w:t xml:space="preserve"> Jackson, P. J.; Burns, J.; Chou, J.</w:t>
      </w:r>
    </w:p>
  </w:footnote>
  <w:footnote w:id="2">
    <w:p w14:paraId="52C535B4" w14:textId="77777777" w:rsidR="001D6A8C" w:rsidRPr="003F08AD" w:rsidRDefault="001D6A8C" w:rsidP="001D6A8C">
      <w:pPr>
        <w:pStyle w:val="FootnoteText"/>
        <w:spacing w:after="120"/>
        <w:ind w:firstLine="720"/>
        <w:rPr>
          <w:szCs w:val="26"/>
        </w:rPr>
      </w:pPr>
      <w:r w:rsidRPr="003F08AD">
        <w:rPr>
          <w:rStyle w:val="FootnoteReference"/>
          <w:szCs w:val="26"/>
        </w:rPr>
        <w:footnoteRef/>
      </w:r>
      <w:r w:rsidRPr="003F08AD">
        <w:rPr>
          <w:szCs w:val="26"/>
        </w:rPr>
        <w:t xml:space="preserve"> Department </w:t>
      </w:r>
      <w:r>
        <w:rPr>
          <w:szCs w:val="26"/>
        </w:rPr>
        <w:t>chair</w:t>
      </w:r>
      <w:r w:rsidRPr="003F08AD">
        <w:rPr>
          <w:szCs w:val="26"/>
        </w:rPr>
        <w:t xml:space="preserve"> David Marriott testified that he knew of the alleged incident as of November</w:t>
      </w:r>
      <w:r>
        <w:rPr>
          <w:szCs w:val="26"/>
        </w:rPr>
        <w:t> 1 or 2</w:t>
      </w:r>
      <w:r w:rsidRPr="003F08AD">
        <w:rPr>
          <w:szCs w:val="26"/>
        </w:rPr>
        <w:t>,</w:t>
      </w:r>
      <w:r>
        <w:rPr>
          <w:szCs w:val="26"/>
        </w:rPr>
        <w:t> </w:t>
      </w:r>
      <w:r w:rsidRPr="003F08AD">
        <w:rPr>
          <w:szCs w:val="26"/>
        </w:rPr>
        <w:t xml:space="preserve">2015, the day of or after it occurred.  Yet, </w:t>
      </w:r>
      <w:r>
        <w:t>John Doe 2</w:t>
      </w:r>
      <w:r w:rsidRPr="003F08AD">
        <w:rPr>
          <w:szCs w:val="26"/>
        </w:rPr>
        <w:t xml:space="preserve"> did not file a formal complaint until 2018, and </w:t>
      </w:r>
      <w:r>
        <w:rPr>
          <w:szCs w:val="26"/>
        </w:rPr>
        <w:t>plaintiff</w:t>
      </w:r>
      <w:r w:rsidRPr="003F08AD">
        <w:rPr>
          <w:szCs w:val="26"/>
        </w:rPr>
        <w:t xml:space="preserve"> did not receive notice of the University’s intent to discipline him until </w:t>
      </w:r>
      <w:r>
        <w:rPr>
          <w:szCs w:val="26"/>
        </w:rPr>
        <w:t>November 14</w:t>
      </w:r>
      <w:r w:rsidRPr="003F08AD">
        <w:rPr>
          <w:szCs w:val="26"/>
        </w:rPr>
        <w:t>,</w:t>
      </w:r>
      <w:r>
        <w:rPr>
          <w:szCs w:val="26"/>
        </w:rPr>
        <w:t> </w:t>
      </w:r>
      <w:r w:rsidRPr="003F08AD">
        <w:rPr>
          <w:szCs w:val="26"/>
        </w:rPr>
        <w:t xml:space="preserve">2018, about two weeks past the </w:t>
      </w:r>
      <w:r>
        <w:rPr>
          <w:szCs w:val="26"/>
        </w:rPr>
        <w:t>limitations period</w:t>
      </w:r>
      <w:r w:rsidRPr="003F08AD">
        <w:rPr>
          <w:szCs w:val="26"/>
        </w:rPr>
        <w:t>.</w:t>
      </w:r>
    </w:p>
  </w:footnote>
  <w:footnote w:id="3">
    <w:p w14:paraId="180C86B3" w14:textId="329ABC40" w:rsidR="007236A6"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Unless otherwise stated, all statutory citations herein are to the Code of Civil Procedure.</w:t>
      </w:r>
    </w:p>
  </w:footnote>
  <w:footnote w:id="4">
    <w:p w14:paraId="3196B2DB" w14:textId="154B0E49" w:rsidR="00661561"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w:t>
      </w:r>
      <w:r w:rsidR="00B94ECC" w:rsidRPr="00490550">
        <w:rPr>
          <w:szCs w:val="26"/>
          <w:shd w:val="clear" w:color="auto" w:fill="FFFFFF"/>
        </w:rPr>
        <w:t>R</w:t>
      </w:r>
      <w:r w:rsidRPr="00490550">
        <w:rPr>
          <w:szCs w:val="26"/>
          <w:shd w:val="clear" w:color="auto" w:fill="FFFFFF"/>
        </w:rPr>
        <w:t>eports of sexual violence and sexual harassment</w:t>
      </w:r>
      <w:r w:rsidR="00B94ECC" w:rsidRPr="00490550">
        <w:rPr>
          <w:szCs w:val="26"/>
          <w:shd w:val="clear" w:color="auto" w:fill="FFFFFF"/>
        </w:rPr>
        <w:t xml:space="preserve"> at the University are handled by the </w:t>
      </w:r>
      <w:r w:rsidR="00E557E3">
        <w:rPr>
          <w:szCs w:val="26"/>
          <w:shd w:val="clear" w:color="auto" w:fill="FFFFFF"/>
        </w:rPr>
        <w:t xml:space="preserve">Title IX office. </w:t>
      </w:r>
      <w:r w:rsidR="009E3B46">
        <w:rPr>
          <w:szCs w:val="26"/>
          <w:shd w:val="clear" w:color="auto" w:fill="FFFFFF"/>
        </w:rPr>
        <w:t xml:space="preserve"> When an investigation</w:t>
      </w:r>
      <w:r w:rsidRPr="00490550">
        <w:rPr>
          <w:szCs w:val="26"/>
          <w:shd w:val="clear" w:color="auto" w:fill="FFFFFF"/>
        </w:rPr>
        <w:t xml:space="preserve"> is warranted, the </w:t>
      </w:r>
      <w:r w:rsidR="009E3B46">
        <w:rPr>
          <w:szCs w:val="26"/>
          <w:shd w:val="clear" w:color="auto" w:fill="FFFFFF"/>
        </w:rPr>
        <w:t>Title IX office</w:t>
      </w:r>
      <w:r w:rsidRPr="00490550">
        <w:rPr>
          <w:szCs w:val="26"/>
          <w:shd w:val="clear" w:color="auto" w:fill="FFFFFF"/>
        </w:rPr>
        <w:t xml:space="preserve"> appoints an investigator to conduct the investigation by interviewing witnesses and gathering evidence and then preparing a written report with findings of fact and a recommendation as to whether any University policy was violated.</w:t>
      </w:r>
    </w:p>
  </w:footnote>
  <w:footnote w:id="5">
    <w:p w14:paraId="5D2B2A4E" w14:textId="7B6FD677" w:rsidR="009916B3"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w:t>
      </w:r>
      <w:r w:rsidR="00CE4F47">
        <w:rPr>
          <w:szCs w:val="26"/>
        </w:rPr>
        <w:t>On February 1</w:t>
      </w:r>
      <w:r w:rsidRPr="003F08AD">
        <w:rPr>
          <w:szCs w:val="26"/>
        </w:rPr>
        <w:t xml:space="preserve">, 2018, </w:t>
      </w:r>
      <w:r w:rsidR="00CE4F47">
        <w:rPr>
          <w:szCs w:val="26"/>
        </w:rPr>
        <w:t>EVC Tromp</w:t>
      </w:r>
      <w:r w:rsidRPr="003F08AD">
        <w:rPr>
          <w:szCs w:val="26"/>
        </w:rPr>
        <w:t xml:space="preserve"> placed </w:t>
      </w:r>
      <w:r w:rsidR="00CE4F47">
        <w:rPr>
          <w:szCs w:val="26"/>
        </w:rPr>
        <w:t>plaintiff</w:t>
      </w:r>
      <w:r w:rsidRPr="003F08AD">
        <w:rPr>
          <w:szCs w:val="26"/>
        </w:rPr>
        <w:t xml:space="preserve"> on involuntary leave due to the egregiousness of the allegations against him and for his own protection.</w:t>
      </w:r>
    </w:p>
  </w:footnote>
  <w:footnote w:id="6">
    <w:p w14:paraId="1780673B" w14:textId="0B5DFEB2" w:rsidR="0029287B" w:rsidRDefault="00913934" w:rsidP="00490550">
      <w:pPr>
        <w:pStyle w:val="FootnoteText"/>
        <w:spacing w:after="120"/>
        <w:ind w:firstLine="720"/>
      </w:pPr>
      <w:r>
        <w:rPr>
          <w:rStyle w:val="FootnoteReference"/>
        </w:rPr>
        <w:footnoteRef/>
      </w:r>
      <w:r>
        <w:t xml:space="preserve"> See footnote 5, </w:t>
      </w:r>
      <w:r>
        <w:rPr>
          <w:i/>
          <w:iCs/>
        </w:rPr>
        <w:t>post</w:t>
      </w:r>
      <w:r>
        <w:t xml:space="preserve">, </w:t>
      </w:r>
      <w:r w:rsidR="00F8050A">
        <w:t>page 9</w:t>
      </w:r>
      <w:r w:rsidR="00D4313E">
        <w:t>.</w:t>
      </w:r>
    </w:p>
  </w:footnote>
  <w:footnote w:id="7">
    <w:p w14:paraId="21E6D8C1" w14:textId="0C9FDEA8" w:rsidR="00C92F95"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“APM” refers to the </w:t>
      </w:r>
      <w:r w:rsidR="001A287C">
        <w:rPr>
          <w:szCs w:val="26"/>
        </w:rPr>
        <w:t xml:space="preserve">University’s </w:t>
      </w:r>
      <w:r w:rsidRPr="003F08AD">
        <w:rPr>
          <w:szCs w:val="26"/>
        </w:rPr>
        <w:t xml:space="preserve">Academic Personnel Manual. </w:t>
      </w:r>
      <w:r w:rsidR="001A287C">
        <w:rPr>
          <w:szCs w:val="26"/>
          <w:shd w:val="clear" w:color="auto" w:fill="FFFFFF"/>
        </w:rPr>
        <w:t xml:space="preserve">  The</w:t>
      </w:r>
      <w:r w:rsidRPr="00490550">
        <w:rPr>
          <w:szCs w:val="26"/>
          <w:shd w:val="clear" w:color="auto" w:fill="FFFFFF"/>
        </w:rPr>
        <w:t xml:space="preserve"> Faculty Code of Conduct is found at </w:t>
      </w:r>
      <w:r w:rsidR="00D31542">
        <w:rPr>
          <w:szCs w:val="26"/>
          <w:shd w:val="clear" w:color="auto" w:fill="FFFFFF"/>
        </w:rPr>
        <w:t>APM</w:t>
      </w:r>
      <w:r w:rsidR="00D31542">
        <w:rPr>
          <w:szCs w:val="26"/>
          <w:shd w:val="clear" w:color="auto" w:fill="FFFFFF"/>
        </w:rPr>
        <w:noBreakHyphen/>
        <w:t>015</w:t>
      </w:r>
      <w:r w:rsidRPr="00490550">
        <w:rPr>
          <w:szCs w:val="26"/>
          <w:shd w:val="clear" w:color="auto" w:fill="FFFFFF"/>
        </w:rPr>
        <w:t xml:space="preserve">. </w:t>
      </w:r>
    </w:p>
  </w:footnote>
  <w:footnote w:id="8">
    <w:p w14:paraId="1E4E8413" w14:textId="6C0F4E7A" w:rsidR="0032493A"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w:t>
      </w:r>
      <w:r w:rsidR="00D31542">
        <w:rPr>
          <w:szCs w:val="26"/>
        </w:rPr>
        <w:t>Plaintiff</w:t>
      </w:r>
      <w:r w:rsidRPr="003F08AD">
        <w:rPr>
          <w:szCs w:val="26"/>
        </w:rPr>
        <w:t xml:space="preserve"> and his counsel declined to participate in the hearing before the </w:t>
      </w:r>
      <w:r w:rsidR="00D31542">
        <w:rPr>
          <w:szCs w:val="26"/>
        </w:rPr>
        <w:t>PT Committee</w:t>
      </w:r>
      <w:r w:rsidRPr="003F08AD">
        <w:rPr>
          <w:szCs w:val="26"/>
        </w:rPr>
        <w:t>.</w:t>
      </w:r>
    </w:p>
  </w:footnote>
  <w:footnote w:id="9">
    <w:p w14:paraId="2D2D50AE" w14:textId="4B287F60" w:rsidR="00E45FF9"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w:t>
      </w:r>
      <w:r w:rsidR="002A727B">
        <w:rPr>
          <w:szCs w:val="26"/>
        </w:rPr>
        <w:t>The sexual harassment policy</w:t>
      </w:r>
      <w:r w:rsidR="00FF7697">
        <w:rPr>
          <w:szCs w:val="26"/>
        </w:rPr>
        <w:t xml:space="preserve"> defines “[s]</w:t>
      </w:r>
      <w:proofErr w:type="spellStart"/>
      <w:r w:rsidR="00FF7697">
        <w:rPr>
          <w:szCs w:val="26"/>
        </w:rPr>
        <w:t>exual</w:t>
      </w:r>
      <w:proofErr w:type="spellEnd"/>
      <w:r w:rsidR="00FF7697">
        <w:rPr>
          <w:szCs w:val="26"/>
        </w:rPr>
        <w:t xml:space="preserve"> harassment”</w:t>
      </w:r>
      <w:r w:rsidRPr="003F08AD">
        <w:rPr>
          <w:szCs w:val="26"/>
        </w:rPr>
        <w:t xml:space="preserve"> as “unwelcome sexual advances, requests for sexual favors, and other verbal or physical conduct of a sexual nature, when submission to or rejection of this conduct explicitly or implicitly affects a person’s </w:t>
      </w:r>
      <w:r w:rsidR="006A72AA">
        <w:rPr>
          <w:szCs w:val="26"/>
        </w:rPr>
        <w:t>. . .</w:t>
      </w:r>
      <w:r w:rsidRPr="003F08AD">
        <w:rPr>
          <w:szCs w:val="26"/>
        </w:rPr>
        <w:t xml:space="preserve"> education, unreasonably interferes with a person’s work or educational performance, or creates an intimidating</w:t>
      </w:r>
      <w:r w:rsidR="006A72AA">
        <w:rPr>
          <w:szCs w:val="26"/>
        </w:rPr>
        <w:t>, hostile</w:t>
      </w:r>
      <w:r w:rsidRPr="003F08AD">
        <w:rPr>
          <w:szCs w:val="26"/>
        </w:rPr>
        <w:t xml:space="preserve"> or offensive working or learning </w:t>
      </w:r>
      <w:r w:rsidR="003021E1">
        <w:rPr>
          <w:szCs w:val="26"/>
        </w:rPr>
        <w:t>environment</w:t>
      </w:r>
      <w:proofErr w:type="gramStart"/>
      <w:r w:rsidR="003021E1">
        <w:rPr>
          <w:szCs w:val="26"/>
        </w:rPr>
        <w:t>. . . .</w:t>
      </w:r>
      <w:proofErr w:type="gramEnd"/>
      <w:r w:rsidR="003021E1">
        <w:rPr>
          <w:szCs w:val="26"/>
        </w:rPr>
        <w:t xml:space="preserve"> [¶] . . . [¶]</w:t>
      </w:r>
      <w:r w:rsidR="001D13DB">
        <w:rPr>
          <w:szCs w:val="26"/>
        </w:rPr>
        <w:t xml:space="preserve"> In determining</w:t>
      </w:r>
      <w:r w:rsidRPr="003F08AD">
        <w:rPr>
          <w:szCs w:val="26"/>
        </w:rPr>
        <w:t xml:space="preserve"> whether the reported conduct constitutes sexual harassment, consideration shall be given to the </w:t>
      </w:r>
      <w:r w:rsidRPr="003F08AD">
        <w:rPr>
          <w:szCs w:val="26"/>
        </w:rPr>
        <w:t>record of the conduct as a whole and to the totality of the circumstances, including the context in which the conduct occurred.”</w:t>
      </w:r>
    </w:p>
  </w:footnote>
  <w:footnote w:id="10">
    <w:p w14:paraId="2BEDFC08" w14:textId="46B9AAFF" w:rsidR="007234ED"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Department </w:t>
      </w:r>
      <w:r w:rsidR="005D5B00">
        <w:rPr>
          <w:szCs w:val="26"/>
        </w:rPr>
        <w:t>chair</w:t>
      </w:r>
      <w:r w:rsidRPr="003F08AD">
        <w:rPr>
          <w:szCs w:val="26"/>
        </w:rPr>
        <w:t xml:space="preserve"> David Marriott testified that he knew of the alleged incident as of November </w:t>
      </w:r>
      <w:r w:rsidR="00787A22">
        <w:rPr>
          <w:szCs w:val="26"/>
        </w:rPr>
        <w:t>1 or 2</w:t>
      </w:r>
      <w:r w:rsidRPr="003F08AD">
        <w:rPr>
          <w:szCs w:val="26"/>
        </w:rPr>
        <w:t xml:space="preserve">, 2015, the day of or after it occurred.  Yet, Patrick did not file a formal complaint until 2018, and </w:t>
      </w:r>
      <w:r w:rsidR="00787A22">
        <w:rPr>
          <w:szCs w:val="26"/>
        </w:rPr>
        <w:t>plaintiff</w:t>
      </w:r>
      <w:r w:rsidRPr="003F08AD">
        <w:rPr>
          <w:szCs w:val="26"/>
        </w:rPr>
        <w:t xml:space="preserve"> did not receive notice of the University’s intent to discipline him until </w:t>
      </w:r>
      <w:r w:rsidR="00787A22">
        <w:rPr>
          <w:szCs w:val="26"/>
        </w:rPr>
        <w:t>November 14</w:t>
      </w:r>
      <w:r w:rsidRPr="003F08AD">
        <w:rPr>
          <w:szCs w:val="26"/>
        </w:rPr>
        <w:t xml:space="preserve">, 2018, about two weeks past the </w:t>
      </w:r>
      <w:r w:rsidR="00787A22">
        <w:rPr>
          <w:szCs w:val="26"/>
        </w:rPr>
        <w:t>limitations period</w:t>
      </w:r>
      <w:r w:rsidRPr="003F08AD">
        <w:rPr>
          <w:szCs w:val="26"/>
        </w:rPr>
        <w:t>.</w:t>
      </w:r>
    </w:p>
  </w:footnote>
  <w:footnote w:id="11">
    <w:p w14:paraId="71297AA7" w14:textId="3D45C167" w:rsidR="00827372"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President Napolitano deferred decision on denial of </w:t>
      </w:r>
      <w:r w:rsidR="00610294">
        <w:rPr>
          <w:szCs w:val="26"/>
        </w:rPr>
        <w:t>emeritus</w:t>
      </w:r>
      <w:r w:rsidRPr="003F08AD">
        <w:rPr>
          <w:szCs w:val="26"/>
        </w:rPr>
        <w:t xml:space="preserve"> status pending </w:t>
      </w:r>
      <w:r w:rsidR="00600648">
        <w:rPr>
          <w:szCs w:val="26"/>
        </w:rPr>
        <w:t>the</w:t>
      </w:r>
      <w:r w:rsidRPr="003F08AD">
        <w:rPr>
          <w:szCs w:val="26"/>
        </w:rPr>
        <w:t xml:space="preserve"> Regents’ decision on her dismissal recommendation.</w:t>
      </w:r>
    </w:p>
  </w:footnote>
  <w:footnote w:id="12">
    <w:p w14:paraId="68671D44" w14:textId="62AA8866" w:rsidR="00C82CD0"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w:t>
      </w:r>
      <w:r w:rsidR="002B4F76">
        <w:rPr>
          <w:szCs w:val="26"/>
        </w:rPr>
        <w:t>Plaintiff</w:t>
      </w:r>
      <w:r w:rsidRPr="003F08AD">
        <w:rPr>
          <w:szCs w:val="26"/>
        </w:rPr>
        <w:t xml:space="preserve"> raises two additional contentions that we decline to consider: </w:t>
      </w:r>
      <w:r w:rsidR="00431264">
        <w:rPr>
          <w:szCs w:val="26"/>
        </w:rPr>
        <w:t>(1) the</w:t>
      </w:r>
      <w:r w:rsidRPr="003F08AD">
        <w:rPr>
          <w:szCs w:val="26"/>
        </w:rPr>
        <w:t xml:space="preserve"> University’s consolidation of two unrelated complaints was prejudicial and </w:t>
      </w:r>
      <w:r w:rsidR="002E312B">
        <w:rPr>
          <w:szCs w:val="26"/>
        </w:rPr>
        <w:t>(2) the</w:t>
      </w:r>
      <w:r w:rsidRPr="003F08AD">
        <w:rPr>
          <w:szCs w:val="26"/>
        </w:rPr>
        <w:t xml:space="preserve"> denial of his request for a continuance of the administrative hearing was unfair.  We deem these contentions forfeited due to </w:t>
      </w:r>
      <w:r w:rsidR="002E312B">
        <w:rPr>
          <w:szCs w:val="26"/>
        </w:rPr>
        <w:t>plaintiff’s failure,</w:t>
      </w:r>
      <w:r w:rsidRPr="003F08AD">
        <w:rPr>
          <w:szCs w:val="26"/>
        </w:rPr>
        <w:t xml:space="preserve"> in his </w:t>
      </w:r>
      <w:r w:rsidR="002E312B">
        <w:rPr>
          <w:szCs w:val="26"/>
        </w:rPr>
        <w:t>opening brief,</w:t>
      </w:r>
      <w:r w:rsidRPr="003F08AD">
        <w:rPr>
          <w:szCs w:val="26"/>
        </w:rPr>
        <w:t xml:space="preserve"> to support them with reasoned legal argument.  (</w:t>
      </w:r>
      <w:r w:rsidR="009522C3">
        <w:rPr>
          <w:szCs w:val="26"/>
        </w:rPr>
        <w:t>See</w:t>
      </w:r>
      <w:r w:rsidR="009522C3">
        <w:rPr>
          <w:szCs w:val="26"/>
          <w:shd w:val="clear" w:color="auto" w:fill="FFFFFF"/>
        </w:rPr>
        <w:t xml:space="preserve"> </w:t>
      </w:r>
      <w:r w:rsidR="009522C3">
        <w:rPr>
          <w:i/>
          <w:iCs/>
          <w:szCs w:val="26"/>
          <w:shd w:val="clear" w:color="auto" w:fill="FFFFFF"/>
        </w:rPr>
        <w:t>People</w:t>
      </w:r>
      <w:r w:rsidRPr="00490550">
        <w:rPr>
          <w:i/>
          <w:iCs/>
          <w:szCs w:val="26"/>
          <w:shd w:val="clear" w:color="auto" w:fill="FFFFFF"/>
        </w:rPr>
        <w:t xml:space="preserve"> v. Guzman</w:t>
      </w:r>
      <w:r w:rsidRPr="00490550">
        <w:rPr>
          <w:szCs w:val="26"/>
          <w:shd w:val="clear" w:color="auto" w:fill="FFFFFF"/>
        </w:rPr>
        <w:t xml:space="preserve"> (2019) 8 Cal.5th</w:t>
      </w:r>
      <w:r w:rsidRPr="00AC4836">
        <w:rPr>
          <w:szCs w:val="26"/>
          <w:shd w:val="clear" w:color="auto" w:fill="FFFFFF"/>
        </w:rPr>
        <w:t xml:space="preserve"> 673, 683, fn. </w:t>
      </w:r>
      <w:r w:rsidR="009522C3">
        <w:rPr>
          <w:szCs w:val="26"/>
          <w:shd w:val="clear" w:color="auto" w:fill="FFFFFF"/>
        </w:rPr>
        <w:t>7 [appellant</w:t>
      </w:r>
      <w:r w:rsidRPr="00AC4836">
        <w:rPr>
          <w:szCs w:val="26"/>
          <w:shd w:val="clear" w:color="auto" w:fill="FFFFFF"/>
        </w:rPr>
        <w:t xml:space="preserve"> forfeited due process claim by failing to “develop </w:t>
      </w:r>
      <w:r w:rsidR="00256C8C">
        <w:rPr>
          <w:szCs w:val="26"/>
          <w:shd w:val="clear" w:color="auto" w:fill="FFFFFF"/>
        </w:rPr>
        <w:t xml:space="preserve">the argument”]; </w:t>
      </w:r>
      <w:r w:rsidR="00256C8C">
        <w:rPr>
          <w:i/>
          <w:iCs/>
          <w:szCs w:val="26"/>
          <w:shd w:val="clear" w:color="auto" w:fill="FFFFFF"/>
        </w:rPr>
        <w:t>In re Phoenix H.</w:t>
      </w:r>
      <w:r w:rsidR="00256C8C">
        <w:rPr>
          <w:szCs w:val="26"/>
          <w:shd w:val="clear" w:color="auto" w:fill="FFFFFF"/>
        </w:rPr>
        <w:t xml:space="preserve"> (2009) 47 Cal.4th </w:t>
      </w:r>
      <w:r w:rsidR="00C2146A">
        <w:rPr>
          <w:szCs w:val="26"/>
          <w:shd w:val="clear" w:color="auto" w:fill="FFFFFF"/>
        </w:rPr>
        <w:t>835</w:t>
      </w:r>
      <w:r w:rsidR="000360B0">
        <w:rPr>
          <w:szCs w:val="26"/>
          <w:shd w:val="clear" w:color="auto" w:fill="FFFFFF"/>
        </w:rPr>
        <w:t>, 845</w:t>
      </w:r>
      <w:r w:rsidR="0089656D">
        <w:rPr>
          <w:szCs w:val="26"/>
          <w:shd w:val="clear" w:color="auto" w:fill="FFFFFF"/>
        </w:rPr>
        <w:t xml:space="preserve"> </w:t>
      </w:r>
      <w:proofErr w:type="gramStart"/>
      <w:r w:rsidR="0089656D">
        <w:rPr>
          <w:szCs w:val="26"/>
          <w:shd w:val="clear" w:color="auto" w:fill="FFFFFF"/>
        </w:rPr>
        <w:t>[“ ‘</w:t>
      </w:r>
      <w:proofErr w:type="gramEnd"/>
      <w:r w:rsidR="0089656D">
        <w:rPr>
          <w:szCs w:val="26"/>
          <w:shd w:val="clear" w:color="auto" w:fill="FFFFFF"/>
        </w:rPr>
        <w:t> “Contentions</w:t>
      </w:r>
      <w:r w:rsidRPr="00AC4836">
        <w:rPr>
          <w:szCs w:val="26"/>
          <w:shd w:val="clear" w:color="auto" w:fill="FFFFFF"/>
        </w:rPr>
        <w:t xml:space="preserve"> supported neither</w:t>
      </w:r>
      <w:r w:rsidRPr="00AC4836">
        <w:rPr>
          <w:szCs w:val="26"/>
          <w:shd w:val="clear" w:color="auto" w:fill="FFFFFF"/>
        </w:rPr>
        <w:t xml:space="preserve"> </w:t>
      </w:r>
      <w:r w:rsidR="00CD1424">
        <w:rPr>
          <w:szCs w:val="26"/>
          <w:shd w:val="clear" w:color="auto" w:fill="FFFFFF"/>
        </w:rPr>
        <w:t>by argument nor</w:t>
      </w:r>
      <w:r w:rsidRPr="00AC4836">
        <w:rPr>
          <w:szCs w:val="26"/>
          <w:shd w:val="clear" w:color="auto" w:fill="FFFFFF"/>
        </w:rPr>
        <w:t xml:space="preserve"> by citation of authority are deemed to be without foundation and to have been </w:t>
      </w:r>
      <w:r w:rsidR="00CD1424">
        <w:rPr>
          <w:szCs w:val="26"/>
          <w:shd w:val="clear" w:color="auto" w:fill="FFFFFF"/>
        </w:rPr>
        <w:t>abandoned” ’ ”</w:t>
      </w:r>
      <w:r w:rsidRPr="00AC4836">
        <w:rPr>
          <w:szCs w:val="26"/>
          <w:shd w:val="clear" w:color="auto" w:fill="FFFFFF"/>
        </w:rPr>
        <w:t>].)</w:t>
      </w:r>
    </w:p>
  </w:footnote>
  <w:footnote w:id="13">
    <w:p w14:paraId="71D62470" w14:textId="0E3B1522" w:rsidR="002D32C6"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The </w:t>
      </w:r>
      <w:r w:rsidRPr="003F08AD">
        <w:rPr>
          <w:i/>
          <w:iCs/>
          <w:szCs w:val="26"/>
        </w:rPr>
        <w:t>Akella</w:t>
      </w:r>
      <w:r w:rsidRPr="003F08AD">
        <w:rPr>
          <w:szCs w:val="26"/>
        </w:rPr>
        <w:t xml:space="preserve"> court recognized the degree of deference owed the University in interpreting one of its policies depends on the interpreter’s familiarity with the policy at issue, whether the University has adhered consistently to the interpretation at issue</w:t>
      </w:r>
      <w:r w:rsidR="000C067B">
        <w:rPr>
          <w:szCs w:val="26"/>
        </w:rPr>
        <w:t>,</w:t>
      </w:r>
      <w:r w:rsidRPr="003F08AD">
        <w:rPr>
          <w:szCs w:val="26"/>
        </w:rPr>
        <w:t xml:space="preserve"> and whether there was an opportunity for comment to be made on the interpretation.  (</w:t>
      </w:r>
      <w:r w:rsidR="000C067B">
        <w:rPr>
          <w:i/>
          <w:iCs/>
          <w:szCs w:val="26"/>
        </w:rPr>
        <w:t>Akella, supra</w:t>
      </w:r>
      <w:r w:rsidR="000C067B">
        <w:rPr>
          <w:szCs w:val="26"/>
        </w:rPr>
        <w:t xml:space="preserve">, </w:t>
      </w:r>
      <w:r w:rsidRPr="003F08AD">
        <w:rPr>
          <w:szCs w:val="26"/>
        </w:rPr>
        <w:t xml:space="preserve">61 Cal.App.5th at </w:t>
      </w:r>
      <w:r w:rsidR="00CA45FA">
        <w:rPr>
          <w:szCs w:val="26"/>
        </w:rPr>
        <w:t>pp. 816–817</w:t>
      </w:r>
      <w:r w:rsidRPr="003F08AD">
        <w:rPr>
          <w:szCs w:val="26"/>
        </w:rPr>
        <w:t>.)</w:t>
      </w:r>
    </w:p>
  </w:footnote>
  <w:footnote w:id="14">
    <w:p w14:paraId="71E6192E" w14:textId="6BAB57B2" w:rsidR="00A856EA" w:rsidRPr="003F08AD" w:rsidRDefault="00913934" w:rsidP="00490550">
      <w:pPr>
        <w:pStyle w:val="FootnoteText"/>
        <w:spacing w:after="120"/>
        <w:ind w:firstLine="720"/>
        <w:rPr>
          <w:szCs w:val="26"/>
        </w:rPr>
      </w:pPr>
      <w:r w:rsidRPr="003F08AD">
        <w:rPr>
          <w:rStyle w:val="FootnoteReference"/>
          <w:szCs w:val="26"/>
        </w:rPr>
        <w:footnoteRef/>
      </w:r>
      <w:r w:rsidRPr="003F08AD">
        <w:rPr>
          <w:szCs w:val="26"/>
        </w:rPr>
        <w:t xml:space="preserve"> We reject </w:t>
      </w:r>
      <w:r w:rsidR="00D44AB2">
        <w:rPr>
          <w:szCs w:val="26"/>
        </w:rPr>
        <w:t>plaintiff’s</w:t>
      </w:r>
      <w:r w:rsidRPr="003F08AD">
        <w:rPr>
          <w:szCs w:val="26"/>
        </w:rPr>
        <w:t xml:space="preserve"> suggestion in his reply brief that there was no evidence he attended the </w:t>
      </w:r>
      <w:r w:rsidR="009542AB">
        <w:rPr>
          <w:szCs w:val="26"/>
        </w:rPr>
        <w:t>poetry summit</w:t>
      </w:r>
      <w:r w:rsidRPr="003F08AD">
        <w:rPr>
          <w:szCs w:val="26"/>
        </w:rPr>
        <w:t xml:space="preserve"> in his professional capacity.  </w:t>
      </w:r>
      <w:r w:rsidR="009542AB">
        <w:rPr>
          <w:szCs w:val="26"/>
        </w:rPr>
        <w:t>Witness 1</w:t>
      </w:r>
      <w:r w:rsidRPr="003F08AD">
        <w:rPr>
          <w:szCs w:val="26"/>
        </w:rPr>
        <w:t xml:space="preserve"> testified at the administrative hearing that the </w:t>
      </w:r>
      <w:r w:rsidR="009542AB">
        <w:rPr>
          <w:szCs w:val="26"/>
        </w:rPr>
        <w:t>poetry</w:t>
      </w:r>
      <w:r w:rsidR="00C14D73">
        <w:rPr>
          <w:szCs w:val="26"/>
        </w:rPr>
        <w:t xml:space="preserve"> summit was an offsite “academic</w:t>
      </w:r>
      <w:r w:rsidRPr="003F08AD">
        <w:rPr>
          <w:szCs w:val="26"/>
        </w:rPr>
        <w:t xml:space="preserve"> conference” </w:t>
      </w:r>
      <w:r w:rsidR="00E62B9A" w:rsidRPr="003F08AD">
        <w:rPr>
          <w:szCs w:val="26"/>
        </w:rPr>
        <w:t xml:space="preserve">organized by “poets, professors, and members of the community in the East Bay” </w:t>
      </w:r>
      <w:r w:rsidRPr="003F08AD">
        <w:rPr>
          <w:szCs w:val="26"/>
        </w:rPr>
        <w:t xml:space="preserve">and that </w:t>
      </w:r>
      <w:r w:rsidR="001E1CE3" w:rsidRPr="003F08AD">
        <w:rPr>
          <w:szCs w:val="26"/>
        </w:rPr>
        <w:t xml:space="preserve">conference </w:t>
      </w:r>
      <w:r w:rsidR="00E62B9A" w:rsidRPr="003F08AD">
        <w:rPr>
          <w:szCs w:val="26"/>
        </w:rPr>
        <w:t>participants</w:t>
      </w:r>
      <w:r w:rsidRPr="003F08AD">
        <w:rPr>
          <w:szCs w:val="26"/>
        </w:rPr>
        <w:t xml:space="preserve"> knew and respected </w:t>
      </w:r>
      <w:r w:rsidR="006A5B7E">
        <w:rPr>
          <w:szCs w:val="26"/>
        </w:rPr>
        <w:t>plaintiff</w:t>
      </w:r>
      <w:r w:rsidRPr="003F08AD">
        <w:rPr>
          <w:szCs w:val="26"/>
        </w:rPr>
        <w:t xml:space="preserve"> as a </w:t>
      </w:r>
      <w:r w:rsidR="00D13DBF" w:rsidRPr="003F08AD">
        <w:rPr>
          <w:szCs w:val="26"/>
        </w:rPr>
        <w:t>histor</w:t>
      </w:r>
      <w:r w:rsidR="00C51B06" w:rsidRPr="003F08AD">
        <w:rPr>
          <w:szCs w:val="26"/>
        </w:rPr>
        <w:t>ian</w:t>
      </w:r>
      <w:r w:rsidR="00D13DBF" w:rsidRPr="003F08AD">
        <w:rPr>
          <w:szCs w:val="26"/>
        </w:rPr>
        <w:t xml:space="preserve"> of consciousness</w:t>
      </w:r>
      <w:r w:rsidRPr="003F08AD">
        <w:rPr>
          <w:szCs w:val="26"/>
        </w:rPr>
        <w:t xml:space="preserve">. </w:t>
      </w:r>
      <w:r w:rsidR="001E1CE3" w:rsidRPr="003F08AD">
        <w:rPr>
          <w:szCs w:val="26"/>
        </w:rPr>
        <w:t xml:space="preserve"> </w:t>
      </w:r>
      <w:r w:rsidR="006A5B7E">
        <w:rPr>
          <w:szCs w:val="26"/>
        </w:rPr>
        <w:t>Plaintiff</w:t>
      </w:r>
      <w:r w:rsidR="001E1CE3" w:rsidRPr="003F08AD">
        <w:rPr>
          <w:szCs w:val="26"/>
        </w:rPr>
        <w:t xml:space="preserve"> chose not to participate in the hearing</w:t>
      </w:r>
      <w:r w:rsidR="00D13DBF" w:rsidRPr="003F08AD">
        <w:rPr>
          <w:szCs w:val="26"/>
        </w:rPr>
        <w:t xml:space="preserve"> and, thus,</w:t>
      </w:r>
      <w:r w:rsidR="001E1CE3" w:rsidRPr="003F08AD">
        <w:rPr>
          <w:szCs w:val="26"/>
        </w:rPr>
        <w:t xml:space="preserve"> presented no contrary evidence.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6DC69" w14:textId="77777777" w:rsidR="00405979" w:rsidRPr="00F8273C" w:rsidRDefault="00405979" w:rsidP="00F8273C">
    <w:pPr>
      <w:pStyle w:val="Header"/>
      <w:tabs>
        <w:tab w:val="clear" w:pos="720"/>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2C0D2" w14:textId="3EA884A7" w:rsidR="00ED0CC5" w:rsidRPr="00A033E6" w:rsidRDefault="00ED0CC5" w:rsidP="00490550">
    <w:pPr>
      <w:pStyle w:val="Header"/>
      <w:tabs>
        <w:tab w:val="clear" w:pos="720"/>
        <w:tab w:val="clear" w:pos="4680"/>
        <w:tab w:val="clear" w:pos="936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D1FA6"/>
    <w:multiLevelType w:val="hybridMultilevel"/>
    <w:tmpl w:val="59AE01F6"/>
    <w:lvl w:ilvl="0" w:tplc="31B448D8">
      <w:start w:val="1"/>
      <w:numFmt w:val="decimal"/>
      <w:lvlText w:val="%1."/>
      <w:lvlJc w:val="left"/>
      <w:pPr>
        <w:ind w:left="1080" w:hanging="360"/>
      </w:pPr>
      <w:rPr>
        <w:rFonts w:hint="default"/>
      </w:rPr>
    </w:lvl>
    <w:lvl w:ilvl="1" w:tplc="D660ADAA" w:tentative="1">
      <w:start w:val="1"/>
      <w:numFmt w:val="lowerLetter"/>
      <w:lvlText w:val="%2."/>
      <w:lvlJc w:val="left"/>
      <w:pPr>
        <w:ind w:left="1800" w:hanging="360"/>
      </w:pPr>
    </w:lvl>
    <w:lvl w:ilvl="2" w:tplc="01B49FB8" w:tentative="1">
      <w:start w:val="1"/>
      <w:numFmt w:val="lowerRoman"/>
      <w:lvlText w:val="%3."/>
      <w:lvlJc w:val="right"/>
      <w:pPr>
        <w:ind w:left="2520" w:hanging="180"/>
      </w:pPr>
    </w:lvl>
    <w:lvl w:ilvl="3" w:tplc="D77C4ECA" w:tentative="1">
      <w:start w:val="1"/>
      <w:numFmt w:val="decimal"/>
      <w:lvlText w:val="%4."/>
      <w:lvlJc w:val="left"/>
      <w:pPr>
        <w:ind w:left="3240" w:hanging="360"/>
      </w:pPr>
    </w:lvl>
    <w:lvl w:ilvl="4" w:tplc="16E8374E" w:tentative="1">
      <w:start w:val="1"/>
      <w:numFmt w:val="lowerLetter"/>
      <w:lvlText w:val="%5."/>
      <w:lvlJc w:val="left"/>
      <w:pPr>
        <w:ind w:left="3960" w:hanging="360"/>
      </w:pPr>
    </w:lvl>
    <w:lvl w:ilvl="5" w:tplc="F4D67C76" w:tentative="1">
      <w:start w:val="1"/>
      <w:numFmt w:val="lowerRoman"/>
      <w:lvlText w:val="%6."/>
      <w:lvlJc w:val="right"/>
      <w:pPr>
        <w:ind w:left="4680" w:hanging="180"/>
      </w:pPr>
    </w:lvl>
    <w:lvl w:ilvl="6" w:tplc="27AEC956" w:tentative="1">
      <w:start w:val="1"/>
      <w:numFmt w:val="decimal"/>
      <w:lvlText w:val="%7."/>
      <w:lvlJc w:val="left"/>
      <w:pPr>
        <w:ind w:left="5400" w:hanging="360"/>
      </w:pPr>
    </w:lvl>
    <w:lvl w:ilvl="7" w:tplc="6F464C5C" w:tentative="1">
      <w:start w:val="1"/>
      <w:numFmt w:val="lowerLetter"/>
      <w:lvlText w:val="%8."/>
      <w:lvlJc w:val="left"/>
      <w:pPr>
        <w:ind w:left="6120" w:hanging="360"/>
      </w:pPr>
    </w:lvl>
    <w:lvl w:ilvl="8" w:tplc="D1B81B66" w:tentative="1">
      <w:start w:val="1"/>
      <w:numFmt w:val="lowerRoman"/>
      <w:lvlText w:val="%9."/>
      <w:lvlJc w:val="right"/>
      <w:pPr>
        <w:ind w:left="6840" w:hanging="180"/>
      </w:pPr>
    </w:lvl>
  </w:abstractNum>
  <w:abstractNum w:abstractNumId="1" w15:restartNumberingAfterBreak="0">
    <w:nsid w:val="135C752F"/>
    <w:multiLevelType w:val="hybridMultilevel"/>
    <w:tmpl w:val="7A9ACE24"/>
    <w:lvl w:ilvl="0" w:tplc="22546B84">
      <w:start w:val="1"/>
      <w:numFmt w:val="upperRoman"/>
      <w:lvlText w:val="%1."/>
      <w:lvlJc w:val="left"/>
      <w:pPr>
        <w:ind w:left="720" w:hanging="360"/>
      </w:pPr>
      <w:rPr>
        <w:rFonts w:hint="default"/>
        <w:i w:val="0"/>
        <w:iCs w:val="0"/>
      </w:rPr>
    </w:lvl>
    <w:lvl w:ilvl="1" w:tplc="34FAA0D2">
      <w:start w:val="1"/>
      <w:numFmt w:val="upperLetter"/>
      <w:lvlText w:val="%2."/>
      <w:lvlJc w:val="left"/>
      <w:pPr>
        <w:ind w:left="1800" w:hanging="720"/>
      </w:pPr>
      <w:rPr>
        <w:rFonts w:hint="default"/>
      </w:rPr>
    </w:lvl>
    <w:lvl w:ilvl="2" w:tplc="26E81C7A" w:tentative="1">
      <w:start w:val="1"/>
      <w:numFmt w:val="lowerRoman"/>
      <w:lvlText w:val="%3."/>
      <w:lvlJc w:val="right"/>
      <w:pPr>
        <w:ind w:left="2160" w:hanging="180"/>
      </w:pPr>
    </w:lvl>
    <w:lvl w:ilvl="3" w:tplc="B950CB10" w:tentative="1">
      <w:start w:val="1"/>
      <w:numFmt w:val="decimal"/>
      <w:lvlText w:val="%4."/>
      <w:lvlJc w:val="left"/>
      <w:pPr>
        <w:ind w:left="2880" w:hanging="360"/>
      </w:pPr>
    </w:lvl>
    <w:lvl w:ilvl="4" w:tplc="C59ED188" w:tentative="1">
      <w:start w:val="1"/>
      <w:numFmt w:val="lowerLetter"/>
      <w:lvlText w:val="%5."/>
      <w:lvlJc w:val="left"/>
      <w:pPr>
        <w:ind w:left="3600" w:hanging="360"/>
      </w:pPr>
    </w:lvl>
    <w:lvl w:ilvl="5" w:tplc="EE106ED2" w:tentative="1">
      <w:start w:val="1"/>
      <w:numFmt w:val="lowerRoman"/>
      <w:lvlText w:val="%6."/>
      <w:lvlJc w:val="right"/>
      <w:pPr>
        <w:ind w:left="4320" w:hanging="180"/>
      </w:pPr>
    </w:lvl>
    <w:lvl w:ilvl="6" w:tplc="E59AECEE" w:tentative="1">
      <w:start w:val="1"/>
      <w:numFmt w:val="decimal"/>
      <w:lvlText w:val="%7."/>
      <w:lvlJc w:val="left"/>
      <w:pPr>
        <w:ind w:left="5040" w:hanging="360"/>
      </w:pPr>
    </w:lvl>
    <w:lvl w:ilvl="7" w:tplc="F62A49EA" w:tentative="1">
      <w:start w:val="1"/>
      <w:numFmt w:val="lowerLetter"/>
      <w:lvlText w:val="%8."/>
      <w:lvlJc w:val="left"/>
      <w:pPr>
        <w:ind w:left="5760" w:hanging="360"/>
      </w:pPr>
    </w:lvl>
    <w:lvl w:ilvl="8" w:tplc="2DFC7DB4" w:tentative="1">
      <w:start w:val="1"/>
      <w:numFmt w:val="lowerRoman"/>
      <w:lvlText w:val="%9."/>
      <w:lvlJc w:val="right"/>
      <w:pPr>
        <w:ind w:left="6480" w:hanging="180"/>
      </w:pPr>
    </w:lvl>
  </w:abstractNum>
  <w:abstractNum w:abstractNumId="2" w15:restartNumberingAfterBreak="0">
    <w:nsid w:val="4AE75637"/>
    <w:multiLevelType w:val="hybridMultilevel"/>
    <w:tmpl w:val="5510CE44"/>
    <w:lvl w:ilvl="0" w:tplc="2FECD9D0">
      <w:start w:val="1"/>
      <w:numFmt w:val="upperRoman"/>
      <w:lvlText w:val="%1."/>
      <w:lvlJc w:val="left"/>
      <w:pPr>
        <w:ind w:left="1080" w:hanging="720"/>
      </w:pPr>
      <w:rPr>
        <w:rFonts w:hint="default"/>
      </w:rPr>
    </w:lvl>
    <w:lvl w:ilvl="1" w:tplc="BAF003C8" w:tentative="1">
      <w:start w:val="1"/>
      <w:numFmt w:val="lowerLetter"/>
      <w:lvlText w:val="%2."/>
      <w:lvlJc w:val="left"/>
      <w:pPr>
        <w:ind w:left="1440" w:hanging="360"/>
      </w:pPr>
    </w:lvl>
    <w:lvl w:ilvl="2" w:tplc="7EF601C0" w:tentative="1">
      <w:start w:val="1"/>
      <w:numFmt w:val="lowerRoman"/>
      <w:lvlText w:val="%3."/>
      <w:lvlJc w:val="right"/>
      <w:pPr>
        <w:ind w:left="2160" w:hanging="180"/>
      </w:pPr>
    </w:lvl>
    <w:lvl w:ilvl="3" w:tplc="866A225A" w:tentative="1">
      <w:start w:val="1"/>
      <w:numFmt w:val="decimal"/>
      <w:lvlText w:val="%4."/>
      <w:lvlJc w:val="left"/>
      <w:pPr>
        <w:ind w:left="2880" w:hanging="360"/>
      </w:pPr>
    </w:lvl>
    <w:lvl w:ilvl="4" w:tplc="368E66E2" w:tentative="1">
      <w:start w:val="1"/>
      <w:numFmt w:val="lowerLetter"/>
      <w:lvlText w:val="%5."/>
      <w:lvlJc w:val="left"/>
      <w:pPr>
        <w:ind w:left="3600" w:hanging="360"/>
      </w:pPr>
    </w:lvl>
    <w:lvl w:ilvl="5" w:tplc="76B0AE24" w:tentative="1">
      <w:start w:val="1"/>
      <w:numFmt w:val="lowerRoman"/>
      <w:lvlText w:val="%6."/>
      <w:lvlJc w:val="right"/>
      <w:pPr>
        <w:ind w:left="4320" w:hanging="180"/>
      </w:pPr>
    </w:lvl>
    <w:lvl w:ilvl="6" w:tplc="0C0ED63C" w:tentative="1">
      <w:start w:val="1"/>
      <w:numFmt w:val="decimal"/>
      <w:lvlText w:val="%7."/>
      <w:lvlJc w:val="left"/>
      <w:pPr>
        <w:ind w:left="5040" w:hanging="360"/>
      </w:pPr>
    </w:lvl>
    <w:lvl w:ilvl="7" w:tplc="71EA8D8E" w:tentative="1">
      <w:start w:val="1"/>
      <w:numFmt w:val="lowerLetter"/>
      <w:lvlText w:val="%8."/>
      <w:lvlJc w:val="left"/>
      <w:pPr>
        <w:ind w:left="5760" w:hanging="360"/>
      </w:pPr>
    </w:lvl>
    <w:lvl w:ilvl="8" w:tplc="0630C218" w:tentative="1">
      <w:start w:val="1"/>
      <w:numFmt w:val="lowerRoman"/>
      <w:lvlText w:val="%9."/>
      <w:lvlJc w:val="right"/>
      <w:pPr>
        <w:ind w:left="6480" w:hanging="180"/>
      </w:pPr>
    </w:lvl>
  </w:abstractNum>
  <w:abstractNum w:abstractNumId="3" w15:restartNumberingAfterBreak="0">
    <w:nsid w:val="770665FA"/>
    <w:multiLevelType w:val="hybridMultilevel"/>
    <w:tmpl w:val="DB8893C2"/>
    <w:lvl w:ilvl="0" w:tplc="12BE70C0">
      <w:start w:val="1"/>
      <w:numFmt w:val="upperRoman"/>
      <w:lvlText w:val="%1."/>
      <w:lvlJc w:val="left"/>
      <w:pPr>
        <w:ind w:left="1080" w:hanging="720"/>
      </w:pPr>
      <w:rPr>
        <w:rFonts w:hint="default"/>
        <w:b/>
        <w:i w:val="0"/>
        <w:iCs w:val="0"/>
      </w:rPr>
    </w:lvl>
    <w:lvl w:ilvl="1" w:tplc="12AE139A">
      <w:start w:val="1"/>
      <w:numFmt w:val="upperLetter"/>
      <w:lvlText w:val="%2."/>
      <w:lvlJc w:val="left"/>
      <w:pPr>
        <w:ind w:left="1800" w:hanging="720"/>
      </w:pPr>
      <w:rPr>
        <w:rFonts w:hint="default"/>
      </w:rPr>
    </w:lvl>
    <w:lvl w:ilvl="2" w:tplc="4D24EBA8" w:tentative="1">
      <w:start w:val="1"/>
      <w:numFmt w:val="lowerRoman"/>
      <w:lvlText w:val="%3."/>
      <w:lvlJc w:val="right"/>
      <w:pPr>
        <w:ind w:left="2160" w:hanging="180"/>
      </w:pPr>
    </w:lvl>
    <w:lvl w:ilvl="3" w:tplc="3296ECE4" w:tentative="1">
      <w:start w:val="1"/>
      <w:numFmt w:val="decimal"/>
      <w:lvlText w:val="%4."/>
      <w:lvlJc w:val="left"/>
      <w:pPr>
        <w:ind w:left="2880" w:hanging="360"/>
      </w:pPr>
    </w:lvl>
    <w:lvl w:ilvl="4" w:tplc="8E12F484" w:tentative="1">
      <w:start w:val="1"/>
      <w:numFmt w:val="lowerLetter"/>
      <w:lvlText w:val="%5."/>
      <w:lvlJc w:val="left"/>
      <w:pPr>
        <w:ind w:left="3600" w:hanging="360"/>
      </w:pPr>
    </w:lvl>
    <w:lvl w:ilvl="5" w:tplc="12FA70DC" w:tentative="1">
      <w:start w:val="1"/>
      <w:numFmt w:val="lowerRoman"/>
      <w:lvlText w:val="%6."/>
      <w:lvlJc w:val="right"/>
      <w:pPr>
        <w:ind w:left="4320" w:hanging="180"/>
      </w:pPr>
    </w:lvl>
    <w:lvl w:ilvl="6" w:tplc="22F80D18" w:tentative="1">
      <w:start w:val="1"/>
      <w:numFmt w:val="decimal"/>
      <w:lvlText w:val="%7."/>
      <w:lvlJc w:val="left"/>
      <w:pPr>
        <w:ind w:left="5040" w:hanging="360"/>
      </w:pPr>
    </w:lvl>
    <w:lvl w:ilvl="7" w:tplc="AB706C70" w:tentative="1">
      <w:start w:val="1"/>
      <w:numFmt w:val="lowerLetter"/>
      <w:lvlText w:val="%8."/>
      <w:lvlJc w:val="left"/>
      <w:pPr>
        <w:ind w:left="5760" w:hanging="360"/>
      </w:pPr>
    </w:lvl>
    <w:lvl w:ilvl="8" w:tplc="A6A46B70" w:tentative="1">
      <w:start w:val="1"/>
      <w:numFmt w:val="lowerRoman"/>
      <w:lvlText w:val="%9."/>
      <w:lvlJc w:val="right"/>
      <w:pPr>
        <w:ind w:left="6480" w:hanging="180"/>
      </w:pPr>
    </w:lvl>
  </w:abstractNum>
  <w:num w:numId="1" w16cid:durableId="314653355">
    <w:abstractNumId w:val="1"/>
  </w:num>
  <w:num w:numId="2" w16cid:durableId="2052222080">
    <w:abstractNumId w:val="2"/>
  </w:num>
  <w:num w:numId="3" w16cid:durableId="511604102">
    <w:abstractNumId w:val="3"/>
  </w:num>
  <w:num w:numId="4" w16cid:durableId="182231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A6"/>
    <w:rsid w:val="0000249F"/>
    <w:rsid w:val="0000259F"/>
    <w:rsid w:val="00006582"/>
    <w:rsid w:val="0002689C"/>
    <w:rsid w:val="00032BD5"/>
    <w:rsid w:val="000360B0"/>
    <w:rsid w:val="0004127E"/>
    <w:rsid w:val="00043E64"/>
    <w:rsid w:val="00047247"/>
    <w:rsid w:val="0005077C"/>
    <w:rsid w:val="00053D03"/>
    <w:rsid w:val="00054629"/>
    <w:rsid w:val="000555F4"/>
    <w:rsid w:val="0006310F"/>
    <w:rsid w:val="00065A62"/>
    <w:rsid w:val="00070540"/>
    <w:rsid w:val="00070DB4"/>
    <w:rsid w:val="00071158"/>
    <w:rsid w:val="000718E4"/>
    <w:rsid w:val="000774FF"/>
    <w:rsid w:val="00083DF4"/>
    <w:rsid w:val="0009104A"/>
    <w:rsid w:val="00091051"/>
    <w:rsid w:val="0009381B"/>
    <w:rsid w:val="000962D4"/>
    <w:rsid w:val="000A347F"/>
    <w:rsid w:val="000A6C75"/>
    <w:rsid w:val="000B2507"/>
    <w:rsid w:val="000B550B"/>
    <w:rsid w:val="000C02DD"/>
    <w:rsid w:val="000C067B"/>
    <w:rsid w:val="000C0E5E"/>
    <w:rsid w:val="000C1206"/>
    <w:rsid w:val="000C2BE4"/>
    <w:rsid w:val="000C359F"/>
    <w:rsid w:val="000D106D"/>
    <w:rsid w:val="000D27E0"/>
    <w:rsid w:val="000E3718"/>
    <w:rsid w:val="00104DD8"/>
    <w:rsid w:val="001079AD"/>
    <w:rsid w:val="00111A56"/>
    <w:rsid w:val="00114147"/>
    <w:rsid w:val="00114BA1"/>
    <w:rsid w:val="001159D0"/>
    <w:rsid w:val="00120077"/>
    <w:rsid w:val="00120525"/>
    <w:rsid w:val="00121CC5"/>
    <w:rsid w:val="00122163"/>
    <w:rsid w:val="00127C05"/>
    <w:rsid w:val="001360D1"/>
    <w:rsid w:val="00137B9B"/>
    <w:rsid w:val="00146372"/>
    <w:rsid w:val="00153BCE"/>
    <w:rsid w:val="00155974"/>
    <w:rsid w:val="00160AC0"/>
    <w:rsid w:val="001650EA"/>
    <w:rsid w:val="00174C9F"/>
    <w:rsid w:val="00181C66"/>
    <w:rsid w:val="001843F6"/>
    <w:rsid w:val="001872B8"/>
    <w:rsid w:val="001A287C"/>
    <w:rsid w:val="001A6DB5"/>
    <w:rsid w:val="001B17C8"/>
    <w:rsid w:val="001B3819"/>
    <w:rsid w:val="001B3B56"/>
    <w:rsid w:val="001B60CF"/>
    <w:rsid w:val="001C1A49"/>
    <w:rsid w:val="001C1C53"/>
    <w:rsid w:val="001C1D03"/>
    <w:rsid w:val="001C2F94"/>
    <w:rsid w:val="001C38CC"/>
    <w:rsid w:val="001D0001"/>
    <w:rsid w:val="001D13DB"/>
    <w:rsid w:val="001D14FA"/>
    <w:rsid w:val="001D60B2"/>
    <w:rsid w:val="001D6890"/>
    <w:rsid w:val="001D6A8C"/>
    <w:rsid w:val="001E05A5"/>
    <w:rsid w:val="001E1CE3"/>
    <w:rsid w:val="001E7A44"/>
    <w:rsid w:val="001E7FB3"/>
    <w:rsid w:val="001F45C2"/>
    <w:rsid w:val="001F64C8"/>
    <w:rsid w:val="002058E1"/>
    <w:rsid w:val="00206786"/>
    <w:rsid w:val="00214C9B"/>
    <w:rsid w:val="00221E05"/>
    <w:rsid w:val="002264F9"/>
    <w:rsid w:val="002320FB"/>
    <w:rsid w:val="00232F27"/>
    <w:rsid w:val="00234CD0"/>
    <w:rsid w:val="00234CE9"/>
    <w:rsid w:val="00236569"/>
    <w:rsid w:val="002374ED"/>
    <w:rsid w:val="00243CB6"/>
    <w:rsid w:val="002508A1"/>
    <w:rsid w:val="00252565"/>
    <w:rsid w:val="00256C8C"/>
    <w:rsid w:val="0025791D"/>
    <w:rsid w:val="002714B3"/>
    <w:rsid w:val="00273B2C"/>
    <w:rsid w:val="00274F6D"/>
    <w:rsid w:val="002767E8"/>
    <w:rsid w:val="00284B6C"/>
    <w:rsid w:val="002905FA"/>
    <w:rsid w:val="00290F5C"/>
    <w:rsid w:val="0029287B"/>
    <w:rsid w:val="002929E7"/>
    <w:rsid w:val="002A0058"/>
    <w:rsid w:val="002A727B"/>
    <w:rsid w:val="002B4F76"/>
    <w:rsid w:val="002B5BCF"/>
    <w:rsid w:val="002B5DBB"/>
    <w:rsid w:val="002C0D60"/>
    <w:rsid w:val="002D2480"/>
    <w:rsid w:val="002D32C6"/>
    <w:rsid w:val="002D61B8"/>
    <w:rsid w:val="002D7D22"/>
    <w:rsid w:val="002E0CAA"/>
    <w:rsid w:val="002E248C"/>
    <w:rsid w:val="002E312B"/>
    <w:rsid w:val="002E63EB"/>
    <w:rsid w:val="002F504B"/>
    <w:rsid w:val="00301192"/>
    <w:rsid w:val="003021E1"/>
    <w:rsid w:val="00306D7F"/>
    <w:rsid w:val="00307B75"/>
    <w:rsid w:val="00307DD5"/>
    <w:rsid w:val="00317B83"/>
    <w:rsid w:val="00323E62"/>
    <w:rsid w:val="0032493A"/>
    <w:rsid w:val="00326FD6"/>
    <w:rsid w:val="00330773"/>
    <w:rsid w:val="003314E7"/>
    <w:rsid w:val="0033745A"/>
    <w:rsid w:val="00337897"/>
    <w:rsid w:val="0035061F"/>
    <w:rsid w:val="00350F6B"/>
    <w:rsid w:val="0035568F"/>
    <w:rsid w:val="0036224F"/>
    <w:rsid w:val="00365079"/>
    <w:rsid w:val="00375089"/>
    <w:rsid w:val="003755A7"/>
    <w:rsid w:val="00376F46"/>
    <w:rsid w:val="00381417"/>
    <w:rsid w:val="00390B47"/>
    <w:rsid w:val="00393AA8"/>
    <w:rsid w:val="00394B03"/>
    <w:rsid w:val="00395A84"/>
    <w:rsid w:val="003A0788"/>
    <w:rsid w:val="003A62E8"/>
    <w:rsid w:val="003A7140"/>
    <w:rsid w:val="003B1BB1"/>
    <w:rsid w:val="003B3F03"/>
    <w:rsid w:val="003B6EDF"/>
    <w:rsid w:val="003C1581"/>
    <w:rsid w:val="003C26CA"/>
    <w:rsid w:val="003C357B"/>
    <w:rsid w:val="003D08E9"/>
    <w:rsid w:val="003E333C"/>
    <w:rsid w:val="003E48FB"/>
    <w:rsid w:val="003E4D0B"/>
    <w:rsid w:val="003E65A0"/>
    <w:rsid w:val="003E7AA5"/>
    <w:rsid w:val="003F018E"/>
    <w:rsid w:val="003F08AD"/>
    <w:rsid w:val="003F1808"/>
    <w:rsid w:val="003F28B2"/>
    <w:rsid w:val="003F4E3C"/>
    <w:rsid w:val="003F692C"/>
    <w:rsid w:val="00405979"/>
    <w:rsid w:val="00406056"/>
    <w:rsid w:val="004156EF"/>
    <w:rsid w:val="00416CA6"/>
    <w:rsid w:val="00417D16"/>
    <w:rsid w:val="00422A72"/>
    <w:rsid w:val="00426983"/>
    <w:rsid w:val="00427235"/>
    <w:rsid w:val="00431264"/>
    <w:rsid w:val="00435CA1"/>
    <w:rsid w:val="0043770D"/>
    <w:rsid w:val="00466394"/>
    <w:rsid w:val="00490550"/>
    <w:rsid w:val="0049075C"/>
    <w:rsid w:val="004977ED"/>
    <w:rsid w:val="004978D8"/>
    <w:rsid w:val="004A0BCC"/>
    <w:rsid w:val="004A4A98"/>
    <w:rsid w:val="004A5AEC"/>
    <w:rsid w:val="004B372D"/>
    <w:rsid w:val="004D456D"/>
    <w:rsid w:val="004D772A"/>
    <w:rsid w:val="004E31CC"/>
    <w:rsid w:val="004E784D"/>
    <w:rsid w:val="004F1C35"/>
    <w:rsid w:val="0050322C"/>
    <w:rsid w:val="0050443E"/>
    <w:rsid w:val="0050570B"/>
    <w:rsid w:val="00514547"/>
    <w:rsid w:val="00522494"/>
    <w:rsid w:val="00524460"/>
    <w:rsid w:val="00531689"/>
    <w:rsid w:val="00536AF8"/>
    <w:rsid w:val="0054066E"/>
    <w:rsid w:val="00544470"/>
    <w:rsid w:val="00547370"/>
    <w:rsid w:val="0055323D"/>
    <w:rsid w:val="00557B17"/>
    <w:rsid w:val="0056356B"/>
    <w:rsid w:val="00565576"/>
    <w:rsid w:val="00565F14"/>
    <w:rsid w:val="00572EED"/>
    <w:rsid w:val="005730A8"/>
    <w:rsid w:val="00577E88"/>
    <w:rsid w:val="00584801"/>
    <w:rsid w:val="00593874"/>
    <w:rsid w:val="005A7849"/>
    <w:rsid w:val="005B38BE"/>
    <w:rsid w:val="005C6B4E"/>
    <w:rsid w:val="005C7368"/>
    <w:rsid w:val="005D09E7"/>
    <w:rsid w:val="005D5B00"/>
    <w:rsid w:val="005D5CFB"/>
    <w:rsid w:val="005D6F36"/>
    <w:rsid w:val="005D7311"/>
    <w:rsid w:val="005E13C5"/>
    <w:rsid w:val="005F275A"/>
    <w:rsid w:val="00600648"/>
    <w:rsid w:val="00610294"/>
    <w:rsid w:val="00611284"/>
    <w:rsid w:val="00611B83"/>
    <w:rsid w:val="00612C01"/>
    <w:rsid w:val="00614D10"/>
    <w:rsid w:val="0061508B"/>
    <w:rsid w:val="00615237"/>
    <w:rsid w:val="006176A5"/>
    <w:rsid w:val="0061790A"/>
    <w:rsid w:val="00617FD8"/>
    <w:rsid w:val="00622BD9"/>
    <w:rsid w:val="00624A4B"/>
    <w:rsid w:val="00624EB4"/>
    <w:rsid w:val="006253CA"/>
    <w:rsid w:val="00640408"/>
    <w:rsid w:val="00640BAD"/>
    <w:rsid w:val="0064786D"/>
    <w:rsid w:val="00661561"/>
    <w:rsid w:val="00663C27"/>
    <w:rsid w:val="006671B9"/>
    <w:rsid w:val="00670A65"/>
    <w:rsid w:val="006710DE"/>
    <w:rsid w:val="00671A3E"/>
    <w:rsid w:val="006728EB"/>
    <w:rsid w:val="00675ADA"/>
    <w:rsid w:val="00682AFB"/>
    <w:rsid w:val="00682E0D"/>
    <w:rsid w:val="00685463"/>
    <w:rsid w:val="006946FE"/>
    <w:rsid w:val="00694D5D"/>
    <w:rsid w:val="006A05DF"/>
    <w:rsid w:val="006A2073"/>
    <w:rsid w:val="006A2231"/>
    <w:rsid w:val="006A244B"/>
    <w:rsid w:val="006A30DA"/>
    <w:rsid w:val="006A452B"/>
    <w:rsid w:val="006A5B7E"/>
    <w:rsid w:val="006A72AA"/>
    <w:rsid w:val="006B00A9"/>
    <w:rsid w:val="006B23D1"/>
    <w:rsid w:val="006B4384"/>
    <w:rsid w:val="006B7CDC"/>
    <w:rsid w:val="006C0A1B"/>
    <w:rsid w:val="006D25AC"/>
    <w:rsid w:val="006D345B"/>
    <w:rsid w:val="006D4334"/>
    <w:rsid w:val="006D4D51"/>
    <w:rsid w:val="006E1EDD"/>
    <w:rsid w:val="006E21C9"/>
    <w:rsid w:val="006E27F9"/>
    <w:rsid w:val="006E2F4D"/>
    <w:rsid w:val="006E66D2"/>
    <w:rsid w:val="006F75EA"/>
    <w:rsid w:val="00705772"/>
    <w:rsid w:val="007117E6"/>
    <w:rsid w:val="007206DB"/>
    <w:rsid w:val="00720DFA"/>
    <w:rsid w:val="007234ED"/>
    <w:rsid w:val="007236A6"/>
    <w:rsid w:val="007250D7"/>
    <w:rsid w:val="00740812"/>
    <w:rsid w:val="00744270"/>
    <w:rsid w:val="007502C7"/>
    <w:rsid w:val="00761844"/>
    <w:rsid w:val="00761CF9"/>
    <w:rsid w:val="007630B6"/>
    <w:rsid w:val="0076321A"/>
    <w:rsid w:val="00763971"/>
    <w:rsid w:val="00772BC7"/>
    <w:rsid w:val="00774D10"/>
    <w:rsid w:val="00776AA4"/>
    <w:rsid w:val="007771E9"/>
    <w:rsid w:val="007832B6"/>
    <w:rsid w:val="007842A3"/>
    <w:rsid w:val="007854E6"/>
    <w:rsid w:val="007870CA"/>
    <w:rsid w:val="00787971"/>
    <w:rsid w:val="00787A22"/>
    <w:rsid w:val="00790464"/>
    <w:rsid w:val="0079096A"/>
    <w:rsid w:val="0079504B"/>
    <w:rsid w:val="0079525D"/>
    <w:rsid w:val="0079617C"/>
    <w:rsid w:val="00796E80"/>
    <w:rsid w:val="007A037C"/>
    <w:rsid w:val="007A47B6"/>
    <w:rsid w:val="007A7F7E"/>
    <w:rsid w:val="007B0DE3"/>
    <w:rsid w:val="007B2492"/>
    <w:rsid w:val="007B5108"/>
    <w:rsid w:val="007B71E3"/>
    <w:rsid w:val="007C5530"/>
    <w:rsid w:val="007D27CB"/>
    <w:rsid w:val="007D574D"/>
    <w:rsid w:val="007D7AF4"/>
    <w:rsid w:val="007E42CD"/>
    <w:rsid w:val="007E4D67"/>
    <w:rsid w:val="007F0679"/>
    <w:rsid w:val="007F1AE8"/>
    <w:rsid w:val="007F2DD1"/>
    <w:rsid w:val="007F42C4"/>
    <w:rsid w:val="00806832"/>
    <w:rsid w:val="00823310"/>
    <w:rsid w:val="00827372"/>
    <w:rsid w:val="00833232"/>
    <w:rsid w:val="008342A4"/>
    <w:rsid w:val="00837683"/>
    <w:rsid w:val="008411BB"/>
    <w:rsid w:val="00845CF6"/>
    <w:rsid w:val="008476E2"/>
    <w:rsid w:val="00853D16"/>
    <w:rsid w:val="00862C8B"/>
    <w:rsid w:val="00864890"/>
    <w:rsid w:val="00864BD3"/>
    <w:rsid w:val="00867FC0"/>
    <w:rsid w:val="00871B25"/>
    <w:rsid w:val="00882DC2"/>
    <w:rsid w:val="0089656D"/>
    <w:rsid w:val="008A0816"/>
    <w:rsid w:val="008B2E50"/>
    <w:rsid w:val="008C0E03"/>
    <w:rsid w:val="008C2D1B"/>
    <w:rsid w:val="008C2DC6"/>
    <w:rsid w:val="008C69C3"/>
    <w:rsid w:val="008D7507"/>
    <w:rsid w:val="008E5FDD"/>
    <w:rsid w:val="008F4787"/>
    <w:rsid w:val="008F68A0"/>
    <w:rsid w:val="00904CD9"/>
    <w:rsid w:val="00905EDA"/>
    <w:rsid w:val="00910DCC"/>
    <w:rsid w:val="00913934"/>
    <w:rsid w:val="00913D9D"/>
    <w:rsid w:val="00915027"/>
    <w:rsid w:val="00920282"/>
    <w:rsid w:val="00923CDC"/>
    <w:rsid w:val="00924E84"/>
    <w:rsid w:val="00925E79"/>
    <w:rsid w:val="0093196F"/>
    <w:rsid w:val="009319CB"/>
    <w:rsid w:val="0094312E"/>
    <w:rsid w:val="00946842"/>
    <w:rsid w:val="00950705"/>
    <w:rsid w:val="009522C3"/>
    <w:rsid w:val="00952697"/>
    <w:rsid w:val="009542AB"/>
    <w:rsid w:val="00957D6C"/>
    <w:rsid w:val="00966503"/>
    <w:rsid w:val="00974768"/>
    <w:rsid w:val="009773BC"/>
    <w:rsid w:val="0098161E"/>
    <w:rsid w:val="00982734"/>
    <w:rsid w:val="009916B3"/>
    <w:rsid w:val="00991A78"/>
    <w:rsid w:val="00991C4D"/>
    <w:rsid w:val="0099363D"/>
    <w:rsid w:val="009949FF"/>
    <w:rsid w:val="009A06D3"/>
    <w:rsid w:val="009A0FC9"/>
    <w:rsid w:val="009A648B"/>
    <w:rsid w:val="009B138C"/>
    <w:rsid w:val="009B3B6A"/>
    <w:rsid w:val="009B6D2D"/>
    <w:rsid w:val="009C2E21"/>
    <w:rsid w:val="009D2E0F"/>
    <w:rsid w:val="009D33CD"/>
    <w:rsid w:val="009E3B46"/>
    <w:rsid w:val="009F47EA"/>
    <w:rsid w:val="009F73AB"/>
    <w:rsid w:val="009F7D0D"/>
    <w:rsid w:val="00A033E6"/>
    <w:rsid w:val="00A05575"/>
    <w:rsid w:val="00A05DB0"/>
    <w:rsid w:val="00A14488"/>
    <w:rsid w:val="00A171E8"/>
    <w:rsid w:val="00A21538"/>
    <w:rsid w:val="00A21763"/>
    <w:rsid w:val="00A21D23"/>
    <w:rsid w:val="00A44B08"/>
    <w:rsid w:val="00A52ED7"/>
    <w:rsid w:val="00A52FF1"/>
    <w:rsid w:val="00A5674B"/>
    <w:rsid w:val="00A662DF"/>
    <w:rsid w:val="00A73DE4"/>
    <w:rsid w:val="00A74F87"/>
    <w:rsid w:val="00A75188"/>
    <w:rsid w:val="00A76557"/>
    <w:rsid w:val="00A779CB"/>
    <w:rsid w:val="00A833D7"/>
    <w:rsid w:val="00A856EA"/>
    <w:rsid w:val="00A907A9"/>
    <w:rsid w:val="00A94CB1"/>
    <w:rsid w:val="00AB26F2"/>
    <w:rsid w:val="00AB5795"/>
    <w:rsid w:val="00AB7617"/>
    <w:rsid w:val="00AC342C"/>
    <w:rsid w:val="00AC3449"/>
    <w:rsid w:val="00AC3C3A"/>
    <w:rsid w:val="00AC4836"/>
    <w:rsid w:val="00AD0734"/>
    <w:rsid w:val="00AF1878"/>
    <w:rsid w:val="00AF77CB"/>
    <w:rsid w:val="00B05034"/>
    <w:rsid w:val="00B12258"/>
    <w:rsid w:val="00B15FCB"/>
    <w:rsid w:val="00B16A33"/>
    <w:rsid w:val="00B26E9E"/>
    <w:rsid w:val="00B30517"/>
    <w:rsid w:val="00B4016E"/>
    <w:rsid w:val="00B402B1"/>
    <w:rsid w:val="00B40B50"/>
    <w:rsid w:val="00B44AFF"/>
    <w:rsid w:val="00B55045"/>
    <w:rsid w:val="00B55FCF"/>
    <w:rsid w:val="00B676EE"/>
    <w:rsid w:val="00B74FED"/>
    <w:rsid w:val="00B77671"/>
    <w:rsid w:val="00B77675"/>
    <w:rsid w:val="00B779E0"/>
    <w:rsid w:val="00B81450"/>
    <w:rsid w:val="00B83DCA"/>
    <w:rsid w:val="00B8576A"/>
    <w:rsid w:val="00B859D0"/>
    <w:rsid w:val="00B86556"/>
    <w:rsid w:val="00B94682"/>
    <w:rsid w:val="00B94ECC"/>
    <w:rsid w:val="00B96017"/>
    <w:rsid w:val="00BA4CC5"/>
    <w:rsid w:val="00BA5854"/>
    <w:rsid w:val="00BB076B"/>
    <w:rsid w:val="00BB0DD5"/>
    <w:rsid w:val="00BB2798"/>
    <w:rsid w:val="00BB35DA"/>
    <w:rsid w:val="00BB6CAE"/>
    <w:rsid w:val="00BB7624"/>
    <w:rsid w:val="00BC1535"/>
    <w:rsid w:val="00BC470B"/>
    <w:rsid w:val="00BD31F5"/>
    <w:rsid w:val="00BF0017"/>
    <w:rsid w:val="00BF2596"/>
    <w:rsid w:val="00BF29DB"/>
    <w:rsid w:val="00BF43B2"/>
    <w:rsid w:val="00BF6099"/>
    <w:rsid w:val="00BF6939"/>
    <w:rsid w:val="00C0144F"/>
    <w:rsid w:val="00C05D94"/>
    <w:rsid w:val="00C12034"/>
    <w:rsid w:val="00C14D73"/>
    <w:rsid w:val="00C2146A"/>
    <w:rsid w:val="00C22EC1"/>
    <w:rsid w:val="00C2758B"/>
    <w:rsid w:val="00C355B2"/>
    <w:rsid w:val="00C36D95"/>
    <w:rsid w:val="00C40A4B"/>
    <w:rsid w:val="00C432FB"/>
    <w:rsid w:val="00C43776"/>
    <w:rsid w:val="00C4687A"/>
    <w:rsid w:val="00C51B06"/>
    <w:rsid w:val="00C575DB"/>
    <w:rsid w:val="00C712AE"/>
    <w:rsid w:val="00C72401"/>
    <w:rsid w:val="00C74694"/>
    <w:rsid w:val="00C82CD0"/>
    <w:rsid w:val="00C84E8C"/>
    <w:rsid w:val="00C929AC"/>
    <w:rsid w:val="00C92F95"/>
    <w:rsid w:val="00C96A32"/>
    <w:rsid w:val="00CA09DD"/>
    <w:rsid w:val="00CA40E4"/>
    <w:rsid w:val="00CA44D7"/>
    <w:rsid w:val="00CA45FA"/>
    <w:rsid w:val="00CA4F0D"/>
    <w:rsid w:val="00CA5210"/>
    <w:rsid w:val="00CB0986"/>
    <w:rsid w:val="00CB1968"/>
    <w:rsid w:val="00CC6399"/>
    <w:rsid w:val="00CD1424"/>
    <w:rsid w:val="00CD3574"/>
    <w:rsid w:val="00CD41AB"/>
    <w:rsid w:val="00CD5278"/>
    <w:rsid w:val="00CD7201"/>
    <w:rsid w:val="00CE2CE0"/>
    <w:rsid w:val="00CE4F47"/>
    <w:rsid w:val="00CE52A6"/>
    <w:rsid w:val="00CE7CFE"/>
    <w:rsid w:val="00CF63F6"/>
    <w:rsid w:val="00D02E21"/>
    <w:rsid w:val="00D03DF1"/>
    <w:rsid w:val="00D0450F"/>
    <w:rsid w:val="00D04AA8"/>
    <w:rsid w:val="00D13DBF"/>
    <w:rsid w:val="00D24B17"/>
    <w:rsid w:val="00D31542"/>
    <w:rsid w:val="00D32708"/>
    <w:rsid w:val="00D32EBF"/>
    <w:rsid w:val="00D32EC3"/>
    <w:rsid w:val="00D33053"/>
    <w:rsid w:val="00D3348B"/>
    <w:rsid w:val="00D340CE"/>
    <w:rsid w:val="00D352F7"/>
    <w:rsid w:val="00D37C02"/>
    <w:rsid w:val="00D40527"/>
    <w:rsid w:val="00D42CA9"/>
    <w:rsid w:val="00D4313E"/>
    <w:rsid w:val="00D4375B"/>
    <w:rsid w:val="00D43DA2"/>
    <w:rsid w:val="00D44AB2"/>
    <w:rsid w:val="00D46FE1"/>
    <w:rsid w:val="00D52F85"/>
    <w:rsid w:val="00D5424B"/>
    <w:rsid w:val="00D54A7F"/>
    <w:rsid w:val="00D601DF"/>
    <w:rsid w:val="00D727C9"/>
    <w:rsid w:val="00D73D01"/>
    <w:rsid w:val="00D74647"/>
    <w:rsid w:val="00D75D8B"/>
    <w:rsid w:val="00D83D66"/>
    <w:rsid w:val="00D85411"/>
    <w:rsid w:val="00D92230"/>
    <w:rsid w:val="00D929DB"/>
    <w:rsid w:val="00D955AC"/>
    <w:rsid w:val="00D96913"/>
    <w:rsid w:val="00DA1EB4"/>
    <w:rsid w:val="00DA4DAD"/>
    <w:rsid w:val="00DA6DF4"/>
    <w:rsid w:val="00DA6FAB"/>
    <w:rsid w:val="00DB2077"/>
    <w:rsid w:val="00DB4328"/>
    <w:rsid w:val="00DB78F3"/>
    <w:rsid w:val="00DC002D"/>
    <w:rsid w:val="00DC38CA"/>
    <w:rsid w:val="00DC478C"/>
    <w:rsid w:val="00DC6F9F"/>
    <w:rsid w:val="00DD2AEB"/>
    <w:rsid w:val="00DF084C"/>
    <w:rsid w:val="00DF0F16"/>
    <w:rsid w:val="00DF25E1"/>
    <w:rsid w:val="00DF6C7D"/>
    <w:rsid w:val="00E01BE9"/>
    <w:rsid w:val="00E026B3"/>
    <w:rsid w:val="00E02D1B"/>
    <w:rsid w:val="00E27B12"/>
    <w:rsid w:val="00E3003C"/>
    <w:rsid w:val="00E3284D"/>
    <w:rsid w:val="00E34C16"/>
    <w:rsid w:val="00E35FF0"/>
    <w:rsid w:val="00E366EF"/>
    <w:rsid w:val="00E36AA0"/>
    <w:rsid w:val="00E379C7"/>
    <w:rsid w:val="00E44941"/>
    <w:rsid w:val="00E44947"/>
    <w:rsid w:val="00E45FF9"/>
    <w:rsid w:val="00E54051"/>
    <w:rsid w:val="00E550BD"/>
    <w:rsid w:val="00E553D2"/>
    <w:rsid w:val="00E557E3"/>
    <w:rsid w:val="00E61E5F"/>
    <w:rsid w:val="00E62B9A"/>
    <w:rsid w:val="00E66141"/>
    <w:rsid w:val="00E835A3"/>
    <w:rsid w:val="00E83E0A"/>
    <w:rsid w:val="00E83E75"/>
    <w:rsid w:val="00E96B4B"/>
    <w:rsid w:val="00EA05E6"/>
    <w:rsid w:val="00EA0B83"/>
    <w:rsid w:val="00EA56C0"/>
    <w:rsid w:val="00EA5F36"/>
    <w:rsid w:val="00EB12B4"/>
    <w:rsid w:val="00EB1B04"/>
    <w:rsid w:val="00EB62EA"/>
    <w:rsid w:val="00EB6D8F"/>
    <w:rsid w:val="00EC0F85"/>
    <w:rsid w:val="00EC1701"/>
    <w:rsid w:val="00EC1823"/>
    <w:rsid w:val="00EC1B44"/>
    <w:rsid w:val="00EC30C9"/>
    <w:rsid w:val="00EC4E02"/>
    <w:rsid w:val="00ED0CC5"/>
    <w:rsid w:val="00ED71CE"/>
    <w:rsid w:val="00ED7843"/>
    <w:rsid w:val="00ED7960"/>
    <w:rsid w:val="00EE141C"/>
    <w:rsid w:val="00EE4FE6"/>
    <w:rsid w:val="00EE5E17"/>
    <w:rsid w:val="00EF3830"/>
    <w:rsid w:val="00EF554A"/>
    <w:rsid w:val="00EF6356"/>
    <w:rsid w:val="00EF79CD"/>
    <w:rsid w:val="00F05EB8"/>
    <w:rsid w:val="00F07E13"/>
    <w:rsid w:val="00F142D3"/>
    <w:rsid w:val="00F14CC6"/>
    <w:rsid w:val="00F174B7"/>
    <w:rsid w:val="00F20943"/>
    <w:rsid w:val="00F22BD6"/>
    <w:rsid w:val="00F23E82"/>
    <w:rsid w:val="00F25C18"/>
    <w:rsid w:val="00F33B67"/>
    <w:rsid w:val="00F3402A"/>
    <w:rsid w:val="00F3590D"/>
    <w:rsid w:val="00F36889"/>
    <w:rsid w:val="00F51FEA"/>
    <w:rsid w:val="00F52BED"/>
    <w:rsid w:val="00F6642D"/>
    <w:rsid w:val="00F7207F"/>
    <w:rsid w:val="00F77E90"/>
    <w:rsid w:val="00F8050A"/>
    <w:rsid w:val="00F80C9F"/>
    <w:rsid w:val="00F8143B"/>
    <w:rsid w:val="00F8273C"/>
    <w:rsid w:val="00F96DC5"/>
    <w:rsid w:val="00FA26B3"/>
    <w:rsid w:val="00FA72B1"/>
    <w:rsid w:val="00FB4F90"/>
    <w:rsid w:val="00FC5343"/>
    <w:rsid w:val="00FE0006"/>
    <w:rsid w:val="00FE47AA"/>
    <w:rsid w:val="00FE75B3"/>
    <w:rsid w:val="00FF179A"/>
    <w:rsid w:val="00FF1E44"/>
    <w:rsid w:val="00FF1FC8"/>
    <w:rsid w:val="00FF41AD"/>
    <w:rsid w:val="00FF6B17"/>
    <w:rsid w:val="00FF6EF0"/>
    <w:rsid w:val="00FF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3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6A6"/>
    <w:pPr>
      <w:tabs>
        <w:tab w:val="center" w:pos="4680"/>
        <w:tab w:val="right" w:pos="9360"/>
      </w:tabs>
      <w:spacing w:line="240" w:lineRule="auto"/>
    </w:pPr>
  </w:style>
  <w:style w:type="character" w:customStyle="1" w:styleId="HeaderChar">
    <w:name w:val="Header Char"/>
    <w:basedOn w:val="DefaultParagraphFont"/>
    <w:link w:val="Header"/>
    <w:uiPriority w:val="99"/>
    <w:rsid w:val="007236A6"/>
  </w:style>
  <w:style w:type="paragraph" w:styleId="Footer">
    <w:name w:val="footer"/>
    <w:basedOn w:val="Normal"/>
    <w:link w:val="FooterChar"/>
    <w:uiPriority w:val="99"/>
    <w:unhideWhenUsed/>
    <w:rsid w:val="007236A6"/>
    <w:pPr>
      <w:tabs>
        <w:tab w:val="center" w:pos="4680"/>
        <w:tab w:val="right" w:pos="9360"/>
      </w:tabs>
      <w:spacing w:line="240" w:lineRule="auto"/>
    </w:pPr>
  </w:style>
  <w:style w:type="character" w:customStyle="1" w:styleId="FooterChar">
    <w:name w:val="Footer Char"/>
    <w:basedOn w:val="DefaultParagraphFont"/>
    <w:link w:val="Footer"/>
    <w:uiPriority w:val="99"/>
    <w:rsid w:val="007236A6"/>
  </w:style>
  <w:style w:type="character" w:styleId="PageNumber">
    <w:name w:val="page number"/>
    <w:basedOn w:val="DefaultParagraphFont"/>
    <w:uiPriority w:val="99"/>
    <w:semiHidden/>
    <w:unhideWhenUsed/>
    <w:rsid w:val="007236A6"/>
  </w:style>
  <w:style w:type="paragraph" w:styleId="FootnoteText">
    <w:name w:val="footnote text"/>
    <w:link w:val="FootnoteTextChar"/>
    <w:uiPriority w:val="99"/>
    <w:unhideWhenUsed/>
    <w:rsid w:val="007236A6"/>
    <w:pPr>
      <w:spacing w:line="240" w:lineRule="auto"/>
    </w:pPr>
    <w:rPr>
      <w:szCs w:val="20"/>
    </w:rPr>
  </w:style>
  <w:style w:type="character" w:customStyle="1" w:styleId="FootnoteTextChar">
    <w:name w:val="Footnote Text Char"/>
    <w:basedOn w:val="DefaultParagraphFont"/>
    <w:link w:val="FootnoteText"/>
    <w:uiPriority w:val="99"/>
    <w:rsid w:val="007236A6"/>
    <w:rPr>
      <w:szCs w:val="20"/>
    </w:rPr>
  </w:style>
  <w:style w:type="character" w:styleId="FootnoteReference">
    <w:name w:val="footnote reference"/>
    <w:basedOn w:val="DefaultParagraphFont"/>
    <w:uiPriority w:val="99"/>
    <w:semiHidden/>
    <w:unhideWhenUsed/>
    <w:rsid w:val="007236A6"/>
    <w:rPr>
      <w:vertAlign w:val="superscript"/>
    </w:rPr>
  </w:style>
  <w:style w:type="character" w:styleId="Hyperlink">
    <w:name w:val="Hyperlink"/>
    <w:basedOn w:val="DefaultParagraphFont"/>
    <w:uiPriority w:val="99"/>
    <w:semiHidden/>
    <w:unhideWhenUsed/>
    <w:rsid w:val="005D5CFB"/>
    <w:rPr>
      <w:color w:val="0000FF"/>
      <w:u w:val="single"/>
    </w:rPr>
  </w:style>
  <w:style w:type="character" w:customStyle="1" w:styleId="ssit">
    <w:name w:val="ss_it"/>
    <w:basedOn w:val="DefaultParagraphFont"/>
    <w:rsid w:val="005D5CFB"/>
  </w:style>
  <w:style w:type="character" w:customStyle="1" w:styleId="sssh">
    <w:name w:val="ss_sh"/>
    <w:basedOn w:val="DefaultParagraphFont"/>
    <w:rsid w:val="005D5CFB"/>
  </w:style>
  <w:style w:type="character" w:customStyle="1" w:styleId="ssheadnotelink">
    <w:name w:val="ss_headnotelink"/>
    <w:basedOn w:val="DefaultParagraphFont"/>
    <w:rsid w:val="005D5CFB"/>
  </w:style>
  <w:style w:type="character" w:customStyle="1" w:styleId="ssrfcpassagedeactivated">
    <w:name w:val="ss_rfcpassage_deactivated"/>
    <w:basedOn w:val="DefaultParagraphFont"/>
    <w:rsid w:val="008F68A0"/>
  </w:style>
  <w:style w:type="character" w:customStyle="1" w:styleId="ssrfcsection">
    <w:name w:val="ss_rfcsection"/>
    <w:basedOn w:val="DefaultParagraphFont"/>
    <w:rsid w:val="008F68A0"/>
  </w:style>
  <w:style w:type="character" w:customStyle="1" w:styleId="ssbf">
    <w:name w:val="ss_bf"/>
    <w:basedOn w:val="DefaultParagraphFont"/>
    <w:rsid w:val="00D40527"/>
  </w:style>
  <w:style w:type="paragraph" w:styleId="NormalWeb">
    <w:name w:val="Normal (Web)"/>
    <w:basedOn w:val="Normal"/>
    <w:uiPriority w:val="99"/>
    <w:unhideWhenUsed/>
    <w:rsid w:val="00E550BD"/>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15027"/>
    <w:pPr>
      <w:spacing w:line="240" w:lineRule="auto"/>
    </w:pPr>
  </w:style>
  <w:style w:type="paragraph" w:styleId="ListParagraph">
    <w:name w:val="List Paragraph"/>
    <w:basedOn w:val="Normal"/>
    <w:uiPriority w:val="34"/>
    <w:qFormat/>
    <w:rsid w:val="00A2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9B82-F371-402B-A96B-17F8688A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8374</Words>
  <Characters>45361</Characters>
  <Application>Microsoft Office Word</Application>
  <DocSecurity>0</DocSecurity>
  <Lines>867</Lines>
  <Paragraphs>159</Paragraphs>
  <ScaleCrop>false</ScaleCrop>
  <Manager/>
  <Company/>
  <LinksUpToDate>false</LinksUpToDate>
  <CharactersWithSpaces>53962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2024-03-01T22:57:00Z</dcterms:created>
  <dcterms:modified xsi:type="dcterms:W3CDTF">2024-03-01T22:57:00Z</dcterms:modified>
  <cp:category/>
</cp:coreProperties>
</file>