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FF39A9" w:rsidP="00FF39A9" w14:paraId="1E324540" w14:textId="641BB0CB">
      <w:pPr>
        <w:spacing w:line="240" w:lineRule="auto"/>
        <w:rPr>
          <w:rFonts w:ascii="Century Schoolbook" w:hAnsi="Century Schoolbook"/>
          <w:sz w:val="20"/>
        </w:rPr>
      </w:pPr>
      <w:r>
        <w:rPr>
          <w:rFonts w:ascii="Century Schoolbook" w:hAnsi="Century Schoolbook"/>
          <w:sz w:val="20"/>
        </w:rPr>
        <w:t>Filed</w:t>
      </w:r>
      <w:r w:rsidR="00F944E4">
        <w:rPr>
          <w:rFonts w:ascii="Century Schoolbook" w:hAnsi="Century Schoolbook"/>
          <w:sz w:val="20"/>
        </w:rPr>
        <w:t xml:space="preserve"> </w:t>
      </w:r>
      <w:r w:rsidR="004E4F61">
        <w:rPr>
          <w:rFonts w:ascii="Century Schoolbook" w:hAnsi="Century Schoolbook"/>
          <w:sz w:val="20"/>
        </w:rPr>
        <w:t>1/22/24</w:t>
      </w:r>
      <w:r w:rsidR="00E00267">
        <w:rPr>
          <w:rFonts w:ascii="Century Schoolbook" w:hAnsi="Century Schoolbook"/>
          <w:sz w:val="20"/>
        </w:rPr>
        <w:t>; Certified for Publication 2/13/24 (order attached)</w:t>
      </w:r>
    </w:p>
    <w:p w:rsidR="00EB0E9A" w:rsidP="00FF39A9" w14:paraId="50D7240D" w14:textId="77777777">
      <w:pPr>
        <w:spacing w:line="240" w:lineRule="auto"/>
        <w:jc w:val="center"/>
        <w:rPr>
          <w:rFonts w:ascii="Century Schoolbook" w:hAnsi="Century Schoolbook"/>
        </w:rPr>
      </w:pPr>
    </w:p>
    <w:p w:rsidR="00EB0E9A" w:rsidP="00FF39A9" w14:paraId="4B836EE8" w14:textId="77777777">
      <w:pPr>
        <w:spacing w:line="240" w:lineRule="auto"/>
        <w:jc w:val="center"/>
        <w:rPr>
          <w:rFonts w:ascii="Century Schoolbook" w:hAnsi="Century Schoolbook"/>
        </w:rPr>
      </w:pPr>
    </w:p>
    <w:p w:rsidR="00EB0E9A" w:rsidP="00FF39A9" w14:paraId="7386806B" w14:textId="77777777">
      <w:pPr>
        <w:spacing w:line="240" w:lineRule="auto"/>
        <w:jc w:val="center"/>
        <w:rPr>
          <w:rFonts w:ascii="Century Schoolbook" w:hAnsi="Century Schoolbook"/>
        </w:rPr>
      </w:pPr>
    </w:p>
    <w:p w:rsidR="00EB0E9A" w:rsidP="00FF39A9" w14:paraId="44DB91EC" w14:textId="77777777">
      <w:pPr>
        <w:spacing w:line="240" w:lineRule="auto"/>
        <w:jc w:val="center"/>
        <w:rPr>
          <w:rFonts w:ascii="Century Schoolbook" w:hAnsi="Century Schoolbook"/>
        </w:rPr>
      </w:pPr>
    </w:p>
    <w:p w:rsidR="00A52203" w:rsidRPr="00283C20" w:rsidP="00FF39A9" w14:paraId="09663AF3" w14:textId="09F987CE">
      <w:pPr>
        <w:spacing w:line="240" w:lineRule="auto"/>
        <w:jc w:val="center"/>
        <w:rPr>
          <w:rFonts w:ascii="Century Schoolbook" w:hAnsi="Century Schoolbook"/>
        </w:rPr>
      </w:pPr>
      <w:r w:rsidRPr="00283C20">
        <w:rPr>
          <w:rFonts w:ascii="Century Schoolbook" w:hAnsi="Century Schoolbook"/>
        </w:rPr>
        <w:t>IN THE COURT OF APPEAL OF THE STATE OF CALIFORNIA</w:t>
      </w:r>
    </w:p>
    <w:p w:rsidR="00A52203" w:rsidRPr="00283C20" w:rsidP="00713C72" w14:paraId="09663AF4" w14:textId="77777777">
      <w:pPr>
        <w:spacing w:line="240" w:lineRule="auto"/>
        <w:jc w:val="center"/>
        <w:rPr>
          <w:rFonts w:ascii="Century Schoolbook" w:hAnsi="Century Schoolbook"/>
        </w:rPr>
      </w:pPr>
    </w:p>
    <w:p w:rsidR="00A52203" w:rsidRPr="00283C20" w:rsidP="00713C72" w14:paraId="09663AF5" w14:textId="77777777">
      <w:pPr>
        <w:spacing w:line="240" w:lineRule="auto"/>
        <w:jc w:val="center"/>
        <w:rPr>
          <w:rFonts w:ascii="Century Schoolbook" w:hAnsi="Century Schoolbook"/>
        </w:rPr>
      </w:pPr>
      <w:r w:rsidRPr="00283C20">
        <w:rPr>
          <w:rFonts w:ascii="Century Schoolbook" w:hAnsi="Century Schoolbook"/>
        </w:rPr>
        <w:t>FIRST APPELLATE DISTRICT</w:t>
      </w:r>
    </w:p>
    <w:p w:rsidR="00A52203" w:rsidRPr="00283C20" w:rsidP="00713C72" w14:paraId="09663AF6" w14:textId="77777777">
      <w:pPr>
        <w:spacing w:line="240" w:lineRule="auto"/>
        <w:jc w:val="center"/>
        <w:rPr>
          <w:rFonts w:ascii="Century Schoolbook" w:hAnsi="Century Schoolbook"/>
        </w:rPr>
      </w:pPr>
    </w:p>
    <w:p w:rsidR="00A52203" w:rsidRPr="00283C20" w:rsidP="00713C72" w14:paraId="09663AF7" w14:textId="77777777">
      <w:pPr>
        <w:spacing w:line="240" w:lineRule="auto"/>
        <w:jc w:val="center"/>
        <w:rPr>
          <w:rFonts w:ascii="Century Schoolbook" w:hAnsi="Century Schoolbook"/>
        </w:rPr>
      </w:pPr>
      <w:r w:rsidRPr="00283C20">
        <w:rPr>
          <w:rFonts w:ascii="Century Schoolbook" w:hAnsi="Century Schoolbook"/>
        </w:rPr>
        <w:t>DIVISION THREE</w:t>
      </w:r>
    </w:p>
    <w:p w:rsidR="00A52203" w:rsidRPr="00283C20" w:rsidP="00713C72" w14:paraId="09663AF8" w14:textId="77777777">
      <w:pPr>
        <w:spacing w:line="240" w:lineRule="auto"/>
        <w:jc w:val="center"/>
        <w:rPr>
          <w:rFonts w:ascii="Century Schoolbook" w:hAnsi="Century Schoolbook"/>
        </w:rPr>
      </w:pPr>
    </w:p>
    <w:p w:rsidR="00A52203" w:rsidRPr="00283C20" w:rsidP="00713C72" w14:paraId="09663AF9" w14:textId="77777777">
      <w:pPr>
        <w:spacing w:line="240" w:lineRule="auto"/>
        <w:jc w:val="center"/>
        <w:rPr>
          <w:rFonts w:ascii="Century Schoolbook" w:hAnsi="Century Schoolbook"/>
        </w:rPr>
      </w:pPr>
    </w:p>
    <w:tbl>
      <w:tblPr>
        <w:tblW w:w="0" w:type="auto"/>
        <w:tblLayout w:type="fixed"/>
        <w:tblLook w:val="0000"/>
      </w:tblPr>
      <w:tblGrid>
        <w:gridCol w:w="4680"/>
        <w:gridCol w:w="4680"/>
      </w:tblGrid>
      <w:tr w14:paraId="09663B0A" w14:textId="77777777" w:rsidTr="00713C72">
        <w:tblPrEx>
          <w:tblW w:w="0" w:type="auto"/>
          <w:tblLayout w:type="fixed"/>
          <w:tblLook w:val="0000"/>
        </w:tblPrEx>
        <w:tc>
          <w:tcPr>
            <w:tcW w:w="4680" w:type="dxa"/>
            <w:tcBorders>
              <w:bottom w:val="single" w:sz="4" w:space="0" w:color="auto"/>
              <w:right w:val="single" w:sz="4" w:space="0" w:color="auto"/>
            </w:tcBorders>
            <w:shd w:val="clear" w:color="auto" w:fill="auto"/>
          </w:tcPr>
          <w:p w:rsidR="00335DDA" w:rsidRPr="00283C20" w:rsidP="00713C72" w14:paraId="18A65C91" w14:textId="33CB6FA5">
            <w:pPr>
              <w:spacing w:after="120" w:line="240" w:lineRule="auto"/>
              <w:rPr>
                <w:rFonts w:ascii="Century Schoolbook" w:hAnsi="Century Schoolbook"/>
                <w:caps/>
              </w:rPr>
            </w:pPr>
            <w:r w:rsidRPr="00283C20">
              <w:rPr>
                <w:rFonts w:ascii="Century Schoolbook" w:hAnsi="Century Schoolbook"/>
                <w:caps/>
              </w:rPr>
              <w:t>Ty Whitehead</w:t>
            </w:r>
            <w:r w:rsidRPr="00283C20" w:rsidR="00640423">
              <w:rPr>
                <w:rFonts w:ascii="Century Schoolbook" w:hAnsi="Century Schoolbook"/>
                <w:caps/>
              </w:rPr>
              <w:t>,</w:t>
            </w:r>
          </w:p>
          <w:p w:rsidR="00A52203" w:rsidRPr="00283C20" w:rsidP="00713C72" w14:paraId="09663AFB" w14:textId="2DA0F2FE">
            <w:pPr>
              <w:spacing w:after="120" w:line="240" w:lineRule="auto"/>
              <w:rPr>
                <w:rFonts w:ascii="Century Schoolbook" w:hAnsi="Century Schoolbook"/>
              </w:rPr>
            </w:pPr>
            <w:r w:rsidRPr="00283C20">
              <w:rPr>
                <w:rFonts w:ascii="Century Schoolbook" w:hAnsi="Century Schoolbook"/>
              </w:rPr>
              <w:tab/>
            </w:r>
            <w:r w:rsidRPr="00283C20" w:rsidR="00335DDA">
              <w:rPr>
                <w:rFonts w:ascii="Century Schoolbook" w:hAnsi="Century Schoolbook"/>
              </w:rPr>
              <w:t xml:space="preserve">Plaintiff and </w:t>
            </w:r>
            <w:r w:rsidRPr="00283C20" w:rsidR="00006E0D">
              <w:rPr>
                <w:rFonts w:ascii="Century Schoolbook" w:hAnsi="Century Schoolbook"/>
              </w:rPr>
              <w:t>Appellant</w:t>
            </w:r>
            <w:r w:rsidRPr="00283C20">
              <w:rPr>
                <w:rFonts w:ascii="Century Schoolbook" w:hAnsi="Century Schoolbook"/>
              </w:rPr>
              <w:t>,</w:t>
            </w:r>
          </w:p>
          <w:p w:rsidR="00A52203" w:rsidRPr="00283C20" w:rsidP="00713C72" w14:paraId="09663AFC" w14:textId="77777777">
            <w:pPr>
              <w:spacing w:after="120" w:line="240" w:lineRule="auto"/>
              <w:rPr>
                <w:rFonts w:ascii="Century Schoolbook" w:hAnsi="Century Schoolbook"/>
              </w:rPr>
            </w:pPr>
            <w:r w:rsidRPr="00283C20">
              <w:rPr>
                <w:rFonts w:ascii="Century Schoolbook" w:hAnsi="Century Schoolbook"/>
              </w:rPr>
              <w:t>v.</w:t>
            </w:r>
          </w:p>
          <w:p w:rsidR="00A52203" w:rsidRPr="00283C20" w:rsidP="00713C72" w14:paraId="09663AFF" w14:textId="3C942503">
            <w:pPr>
              <w:spacing w:after="120" w:line="240" w:lineRule="auto"/>
              <w:rPr>
                <w:rFonts w:ascii="Century Schoolbook" w:hAnsi="Century Schoolbook"/>
              </w:rPr>
            </w:pPr>
            <w:r w:rsidRPr="00283C20">
              <w:rPr>
                <w:rFonts w:ascii="Century Schoolbook" w:hAnsi="Century Schoolbook"/>
                <w:caps/>
              </w:rPr>
              <w:t>city of Oakland</w:t>
            </w:r>
            <w:r w:rsidRPr="00283C20">
              <w:rPr>
                <w:rFonts w:ascii="Century Schoolbook" w:hAnsi="Century Schoolbook"/>
              </w:rPr>
              <w:t>,</w:t>
            </w:r>
          </w:p>
          <w:p w:rsidR="00A52203" w:rsidRPr="00283C20" w:rsidP="00713C72" w14:paraId="09663B00" w14:textId="28DA6982">
            <w:pPr>
              <w:spacing w:after="120" w:line="240" w:lineRule="auto"/>
              <w:rPr>
                <w:rFonts w:ascii="Century Schoolbook" w:hAnsi="Century Schoolbook"/>
              </w:rPr>
            </w:pPr>
            <w:r w:rsidRPr="00283C20">
              <w:rPr>
                <w:rFonts w:ascii="Century Schoolbook" w:hAnsi="Century Schoolbook"/>
              </w:rPr>
              <w:tab/>
            </w:r>
            <w:r w:rsidRPr="00283C20" w:rsidR="00335DDA">
              <w:rPr>
                <w:rFonts w:ascii="Century Schoolbook" w:hAnsi="Century Schoolbook"/>
              </w:rPr>
              <w:t xml:space="preserve">Defendant and </w:t>
            </w:r>
            <w:r w:rsidRPr="00283C20" w:rsidR="00006E0D">
              <w:rPr>
                <w:rFonts w:ascii="Century Schoolbook" w:hAnsi="Century Schoolbook"/>
              </w:rPr>
              <w:t>Respondent</w:t>
            </w:r>
            <w:r w:rsidRPr="00283C20">
              <w:rPr>
                <w:rFonts w:ascii="Century Schoolbook" w:hAnsi="Century Schoolbook"/>
              </w:rPr>
              <w:t>.</w:t>
            </w:r>
          </w:p>
        </w:tc>
        <w:tc>
          <w:tcPr>
            <w:tcW w:w="4680" w:type="dxa"/>
            <w:tcBorders>
              <w:left w:val="single" w:sz="4" w:space="0" w:color="auto"/>
            </w:tcBorders>
            <w:shd w:val="clear" w:color="auto" w:fill="auto"/>
          </w:tcPr>
          <w:p w:rsidR="00A52203" w:rsidRPr="00283C20" w:rsidP="00713C72" w14:paraId="09663B01" w14:textId="77777777">
            <w:pPr>
              <w:spacing w:line="240" w:lineRule="auto"/>
              <w:rPr>
                <w:rFonts w:ascii="Century Schoolbook" w:hAnsi="Century Schoolbook"/>
              </w:rPr>
            </w:pPr>
          </w:p>
          <w:p w:rsidR="00A52203" w:rsidRPr="00283C20" w:rsidP="00713C72" w14:paraId="09663B02" w14:textId="77777777">
            <w:pPr>
              <w:spacing w:line="240" w:lineRule="auto"/>
              <w:rPr>
                <w:rFonts w:ascii="Century Schoolbook" w:hAnsi="Century Schoolbook"/>
              </w:rPr>
            </w:pPr>
          </w:p>
          <w:p w:rsidR="00A52203" w:rsidRPr="00283C20" w:rsidP="00713C72" w14:paraId="09663B03" w14:textId="77777777">
            <w:pPr>
              <w:spacing w:line="240" w:lineRule="auto"/>
              <w:rPr>
                <w:rFonts w:ascii="Century Schoolbook" w:hAnsi="Century Schoolbook"/>
              </w:rPr>
            </w:pPr>
          </w:p>
          <w:p w:rsidR="00A52203" w:rsidRPr="00283C20" w:rsidP="00713C72" w14:paraId="09663B04" w14:textId="77777777">
            <w:pPr>
              <w:spacing w:line="240" w:lineRule="auto"/>
              <w:rPr>
                <w:rFonts w:ascii="Century Schoolbook" w:hAnsi="Century Schoolbook"/>
              </w:rPr>
            </w:pPr>
          </w:p>
          <w:p w:rsidR="00A52203" w:rsidRPr="00283C20" w:rsidP="00713C72" w14:paraId="09663B05" w14:textId="71DD729E">
            <w:pPr>
              <w:spacing w:line="240" w:lineRule="auto"/>
              <w:rPr>
                <w:rFonts w:ascii="Century Schoolbook" w:hAnsi="Century Schoolbook"/>
              </w:rPr>
            </w:pPr>
            <w:r w:rsidRPr="00283C20">
              <w:rPr>
                <w:rFonts w:ascii="Century Schoolbook" w:hAnsi="Century Schoolbook"/>
              </w:rPr>
              <w:t xml:space="preserve">      A</w:t>
            </w:r>
            <w:r w:rsidRPr="00283C20" w:rsidR="002033CD">
              <w:rPr>
                <w:rFonts w:ascii="Century Schoolbook" w:hAnsi="Century Schoolbook"/>
              </w:rPr>
              <w:t>16</w:t>
            </w:r>
            <w:r w:rsidRPr="00283C20" w:rsidR="00D0429B">
              <w:rPr>
                <w:rFonts w:ascii="Century Schoolbook" w:hAnsi="Century Schoolbook"/>
              </w:rPr>
              <w:t>4483</w:t>
            </w:r>
          </w:p>
          <w:p w:rsidR="00A52203" w:rsidRPr="00283C20" w:rsidP="00713C72" w14:paraId="09663B06" w14:textId="77777777">
            <w:pPr>
              <w:spacing w:line="240" w:lineRule="auto"/>
              <w:rPr>
                <w:rFonts w:ascii="Century Schoolbook" w:hAnsi="Century Schoolbook"/>
              </w:rPr>
            </w:pPr>
          </w:p>
          <w:p w:rsidR="00A52203" w:rsidRPr="00283C20" w:rsidP="00713C72" w14:paraId="09663B07" w14:textId="24F1A317">
            <w:pPr>
              <w:spacing w:line="240" w:lineRule="auto"/>
              <w:rPr>
                <w:rFonts w:ascii="Century Schoolbook" w:hAnsi="Century Schoolbook"/>
              </w:rPr>
            </w:pPr>
            <w:r w:rsidRPr="00283C20">
              <w:rPr>
                <w:rFonts w:ascii="Century Schoolbook" w:hAnsi="Century Schoolbook"/>
              </w:rPr>
              <w:t xml:space="preserve">      (</w:t>
            </w:r>
            <w:r w:rsidRPr="00283C20" w:rsidR="007069BF">
              <w:rPr>
                <w:rFonts w:ascii="Century Schoolbook" w:hAnsi="Century Schoolbook"/>
              </w:rPr>
              <w:t>Alameda County</w:t>
            </w:r>
          </w:p>
          <w:p w:rsidR="00A52203" w:rsidRPr="00283C20" w:rsidP="00713C72" w14:paraId="09663B08" w14:textId="51B848F0">
            <w:pPr>
              <w:spacing w:line="240" w:lineRule="auto"/>
              <w:rPr>
                <w:rFonts w:ascii="Century Schoolbook" w:hAnsi="Century Schoolbook"/>
              </w:rPr>
            </w:pPr>
            <w:r w:rsidRPr="00283C20">
              <w:rPr>
                <w:rFonts w:ascii="Century Schoolbook" w:hAnsi="Century Schoolbook"/>
              </w:rPr>
              <w:t xml:space="preserve">      Super. Ct. No.</w:t>
            </w:r>
            <w:r w:rsidRPr="00283C20" w:rsidR="003A38CD">
              <w:rPr>
                <w:rFonts w:ascii="Century Schoolbook" w:hAnsi="Century Schoolbook"/>
              </w:rPr>
              <w:t> </w:t>
            </w:r>
            <w:r w:rsidRPr="00283C20" w:rsidR="007069BF">
              <w:rPr>
                <w:rFonts w:ascii="Century Schoolbook" w:hAnsi="Century Schoolbook"/>
              </w:rPr>
              <w:t>RG18896233</w:t>
            </w:r>
            <w:r w:rsidRPr="00283C20">
              <w:rPr>
                <w:rFonts w:ascii="Century Schoolbook" w:hAnsi="Century Schoolbook"/>
              </w:rPr>
              <w:t>)</w:t>
            </w:r>
          </w:p>
          <w:p w:rsidR="00A52203" w:rsidRPr="00283C20" w:rsidP="00713C72" w14:paraId="09663B09" w14:textId="77777777">
            <w:pPr>
              <w:spacing w:line="240" w:lineRule="auto"/>
              <w:rPr>
                <w:rFonts w:ascii="Century Schoolbook" w:hAnsi="Century Schoolbook"/>
              </w:rPr>
            </w:pPr>
          </w:p>
        </w:tc>
      </w:tr>
    </w:tbl>
    <w:p w:rsidR="00A52203" w:rsidRPr="00283C20" w:rsidP="00713C72" w14:paraId="09663B0B" w14:textId="77777777">
      <w:pPr>
        <w:spacing w:line="240" w:lineRule="auto"/>
        <w:rPr>
          <w:rFonts w:ascii="Century Schoolbook" w:hAnsi="Century Schoolbook"/>
        </w:rPr>
      </w:pPr>
    </w:p>
    <w:p w:rsidR="00A52203" w:rsidRPr="00283C20" w:rsidP="00E912F3" w14:paraId="09663B64" w14:textId="31A7A6B4">
      <w:pPr>
        <w:spacing w:line="360" w:lineRule="auto"/>
        <w:rPr>
          <w:rFonts w:ascii="Century Schoolbook" w:hAnsi="Century Schoolbook"/>
        </w:rPr>
      </w:pPr>
      <w:r w:rsidRPr="00283C20">
        <w:rPr>
          <w:rFonts w:ascii="Century Schoolbook" w:hAnsi="Century Schoolbook"/>
        </w:rPr>
        <w:tab/>
      </w:r>
      <w:bookmarkStart w:id="0" w:name="_Hlk12430911"/>
      <w:bookmarkStart w:id="1" w:name="_Hlk12535121"/>
      <w:r w:rsidRPr="00283C20" w:rsidR="00C77182">
        <w:rPr>
          <w:rFonts w:ascii="Century Schoolbook" w:hAnsi="Century Schoolbook"/>
        </w:rPr>
        <w:t xml:space="preserve">Plaintiff </w:t>
      </w:r>
      <w:r w:rsidRPr="00283C20" w:rsidR="00140E03">
        <w:rPr>
          <w:rFonts w:ascii="Century Schoolbook" w:hAnsi="Century Schoolbook"/>
        </w:rPr>
        <w:t xml:space="preserve">Ty Whitehead </w:t>
      </w:r>
      <w:r w:rsidRPr="00283C20" w:rsidR="00431E9A">
        <w:rPr>
          <w:rFonts w:ascii="Century Schoolbook" w:hAnsi="Century Schoolbook"/>
        </w:rPr>
        <w:t xml:space="preserve">sued </w:t>
      </w:r>
      <w:r w:rsidRPr="00283C20" w:rsidR="00A106DD">
        <w:rPr>
          <w:rFonts w:ascii="Century Schoolbook" w:hAnsi="Century Schoolbook"/>
        </w:rPr>
        <w:t xml:space="preserve">defendant </w:t>
      </w:r>
      <w:r w:rsidRPr="00283C20" w:rsidR="00431E9A">
        <w:rPr>
          <w:rFonts w:ascii="Century Schoolbook" w:hAnsi="Century Schoolbook"/>
        </w:rPr>
        <w:t xml:space="preserve">City of Oakland </w:t>
      </w:r>
      <w:r w:rsidR="00E577C4">
        <w:rPr>
          <w:rFonts w:ascii="Century Schoolbook" w:hAnsi="Century Schoolbook"/>
        </w:rPr>
        <w:t xml:space="preserve">for injuries he suffered </w:t>
      </w:r>
      <w:r w:rsidRPr="00283C20" w:rsidR="00431E9A">
        <w:rPr>
          <w:rFonts w:ascii="Century Schoolbook" w:hAnsi="Century Schoolbook"/>
        </w:rPr>
        <w:t xml:space="preserve">after </w:t>
      </w:r>
      <w:r w:rsidRPr="00283C20" w:rsidR="00236E37">
        <w:rPr>
          <w:rFonts w:ascii="Century Schoolbook" w:hAnsi="Century Schoolbook"/>
        </w:rPr>
        <w:t xml:space="preserve">his bicycle hit a pothole </w:t>
      </w:r>
      <w:r w:rsidRPr="00283C20" w:rsidR="000F73CB">
        <w:rPr>
          <w:rFonts w:ascii="Century Schoolbook" w:hAnsi="Century Schoolbook"/>
        </w:rPr>
        <w:t xml:space="preserve">during a training ride </w:t>
      </w:r>
      <w:r w:rsidRPr="00283C20" w:rsidR="00F155C4">
        <w:rPr>
          <w:rFonts w:ascii="Century Schoolbook" w:hAnsi="Century Schoolbook"/>
        </w:rPr>
        <w:t>for the</w:t>
      </w:r>
      <w:r w:rsidRPr="00283C20" w:rsidR="000F73CB">
        <w:rPr>
          <w:rFonts w:ascii="Century Schoolbook" w:hAnsi="Century Schoolbook"/>
        </w:rPr>
        <w:t xml:space="preserve"> AIDS</w:t>
      </w:r>
      <w:r w:rsidRPr="00283C20" w:rsidR="00F155C4">
        <w:rPr>
          <w:rFonts w:ascii="Century Schoolbook" w:hAnsi="Century Schoolbook"/>
        </w:rPr>
        <w:t xml:space="preserve"> </w:t>
      </w:r>
      <w:r w:rsidRPr="00283C20" w:rsidR="000F73CB">
        <w:rPr>
          <w:rFonts w:ascii="Century Schoolbook" w:hAnsi="Century Schoolbook"/>
        </w:rPr>
        <w:t xml:space="preserve">LifeCycle </w:t>
      </w:r>
      <w:bookmarkEnd w:id="0"/>
      <w:bookmarkEnd w:id="1"/>
      <w:r w:rsidR="00E577C4">
        <w:rPr>
          <w:rFonts w:ascii="Century Schoolbook" w:hAnsi="Century Schoolbook"/>
        </w:rPr>
        <w:t>fundraiser</w:t>
      </w:r>
      <w:r w:rsidRPr="00283C20" w:rsidR="00C77182">
        <w:rPr>
          <w:rFonts w:ascii="Century Schoolbook" w:hAnsi="Century Schoolbook"/>
        </w:rPr>
        <w:t xml:space="preserve">.  Prior to the training ride, plaintiff </w:t>
      </w:r>
      <w:r w:rsidRPr="00283C20" w:rsidR="00E912F3">
        <w:rPr>
          <w:rFonts w:ascii="Century Schoolbook" w:hAnsi="Century Schoolbook"/>
        </w:rPr>
        <w:t xml:space="preserve">signed an agreement </w:t>
      </w:r>
      <w:r w:rsidRPr="00283C20" w:rsidR="001B2543">
        <w:rPr>
          <w:rFonts w:ascii="Century Schoolbook" w:hAnsi="Century Schoolbook"/>
        </w:rPr>
        <w:t>releasing</w:t>
      </w:r>
      <w:r w:rsidRPr="00283C20" w:rsidR="00E912F3">
        <w:rPr>
          <w:rFonts w:ascii="Century Schoolbook" w:hAnsi="Century Schoolbook"/>
        </w:rPr>
        <w:t xml:space="preserve"> </w:t>
      </w:r>
      <w:r w:rsidRPr="00283C20" w:rsidR="006D1961">
        <w:rPr>
          <w:rFonts w:ascii="Century Schoolbook" w:hAnsi="Century Schoolbook"/>
        </w:rPr>
        <w:t>the “owners/lessors of the course or facilities used in the Event”</w:t>
      </w:r>
      <w:r w:rsidRPr="00283C20" w:rsidR="00B97FCE">
        <w:rPr>
          <w:rFonts w:ascii="Century Schoolbook" w:hAnsi="Century Schoolbook"/>
        </w:rPr>
        <w:t xml:space="preserve"> from future liability</w:t>
      </w:r>
      <w:r w:rsidRPr="00283C20" w:rsidR="00B243F6">
        <w:rPr>
          <w:rFonts w:ascii="Century Schoolbook" w:hAnsi="Century Schoolbook"/>
        </w:rPr>
        <w:t>.</w:t>
      </w:r>
      <w:r w:rsidRPr="00283C20" w:rsidR="00E912F3">
        <w:rPr>
          <w:rFonts w:ascii="Century Schoolbook" w:hAnsi="Century Schoolbook"/>
        </w:rPr>
        <w:t xml:space="preserve"> </w:t>
      </w:r>
      <w:r w:rsidRPr="00283C20" w:rsidR="00B243F6">
        <w:rPr>
          <w:rFonts w:ascii="Century Schoolbook" w:hAnsi="Century Schoolbook"/>
        </w:rPr>
        <w:t xml:space="preserve"> </w:t>
      </w:r>
      <w:r w:rsidRPr="00283C20" w:rsidR="007B300B">
        <w:rPr>
          <w:rFonts w:ascii="Century Schoolbook" w:hAnsi="Century Schoolbook"/>
        </w:rPr>
        <w:t xml:space="preserve">The trial court granted </w:t>
      </w:r>
      <w:r w:rsidRPr="00283C20" w:rsidR="00A9576C">
        <w:rPr>
          <w:rFonts w:ascii="Century Schoolbook" w:hAnsi="Century Schoolbook"/>
        </w:rPr>
        <w:t xml:space="preserve">defendant’s motion for </w:t>
      </w:r>
      <w:r w:rsidRPr="00283C20" w:rsidR="00431E9A">
        <w:rPr>
          <w:rFonts w:ascii="Century Schoolbook" w:hAnsi="Century Schoolbook"/>
        </w:rPr>
        <w:t>summary judgment</w:t>
      </w:r>
      <w:r w:rsidR="006014AF">
        <w:rPr>
          <w:rFonts w:ascii="Century Schoolbook" w:hAnsi="Century Schoolbook"/>
        </w:rPr>
        <w:t>, concluding</w:t>
      </w:r>
      <w:r w:rsidRPr="00283C20" w:rsidR="00431E9A">
        <w:rPr>
          <w:rFonts w:ascii="Century Schoolbook" w:hAnsi="Century Schoolbook"/>
        </w:rPr>
        <w:t xml:space="preserve"> </w:t>
      </w:r>
      <w:r w:rsidRPr="00283C20" w:rsidR="006D1961">
        <w:rPr>
          <w:rFonts w:ascii="Century Schoolbook" w:hAnsi="Century Schoolbook"/>
        </w:rPr>
        <w:t xml:space="preserve">the release </w:t>
      </w:r>
      <w:r w:rsidRPr="00283C20" w:rsidR="00C452A6">
        <w:rPr>
          <w:rFonts w:ascii="Century Schoolbook" w:hAnsi="Century Schoolbook"/>
        </w:rPr>
        <w:t>was enforceable</w:t>
      </w:r>
      <w:r w:rsidRPr="00283C20" w:rsidR="00992B8D">
        <w:rPr>
          <w:rFonts w:ascii="Century Schoolbook" w:hAnsi="Century Schoolbook"/>
        </w:rPr>
        <w:t>.</w:t>
      </w:r>
      <w:r w:rsidRPr="00283C20" w:rsidR="006D1961">
        <w:rPr>
          <w:rFonts w:ascii="Century Schoolbook" w:hAnsi="Century Schoolbook"/>
        </w:rPr>
        <w:t xml:space="preserve"> </w:t>
      </w:r>
      <w:r w:rsidRPr="00283C20" w:rsidR="00CD70DF">
        <w:rPr>
          <w:rFonts w:ascii="Century Schoolbook" w:hAnsi="Century Schoolbook"/>
        </w:rPr>
        <w:t xml:space="preserve"> </w:t>
      </w:r>
      <w:r w:rsidRPr="00283C20" w:rsidR="00576A3F">
        <w:rPr>
          <w:rFonts w:ascii="Century Schoolbook" w:hAnsi="Century Schoolbook"/>
        </w:rPr>
        <w:t>P</w:t>
      </w:r>
      <w:r w:rsidRPr="00283C20" w:rsidR="00CD70DF">
        <w:rPr>
          <w:rFonts w:ascii="Century Schoolbook" w:hAnsi="Century Schoolbook"/>
        </w:rPr>
        <w:t>laintiff appeals, arguing</w:t>
      </w:r>
      <w:r w:rsidRPr="00283C20" w:rsidR="005730AC">
        <w:rPr>
          <w:rFonts w:ascii="Century Schoolbook" w:hAnsi="Century Schoolbook"/>
        </w:rPr>
        <w:t xml:space="preserve"> the release was invalid because it concerned a matter of public interest</w:t>
      </w:r>
      <w:r w:rsidRPr="00283C20" w:rsidR="00AE2E09">
        <w:rPr>
          <w:rFonts w:ascii="Century Schoolbook" w:hAnsi="Century Schoolbook"/>
        </w:rPr>
        <w:t xml:space="preserve">.  Plaintiff also contends </w:t>
      </w:r>
      <w:r w:rsidRPr="00283C20" w:rsidR="00430CD9">
        <w:rPr>
          <w:rFonts w:ascii="Century Schoolbook" w:hAnsi="Century Schoolbook"/>
        </w:rPr>
        <w:t xml:space="preserve">the court erred by failing to address whether there was a triable issue of fact as to </w:t>
      </w:r>
      <w:r w:rsidR="006014AF">
        <w:rPr>
          <w:rFonts w:ascii="Century Schoolbook" w:hAnsi="Century Schoolbook"/>
        </w:rPr>
        <w:t>defendant’s</w:t>
      </w:r>
      <w:r w:rsidRPr="00283C20" w:rsidR="00430CD9">
        <w:rPr>
          <w:rFonts w:ascii="Century Schoolbook" w:hAnsi="Century Schoolbook"/>
        </w:rPr>
        <w:t xml:space="preserve"> gross negligence</w:t>
      </w:r>
      <w:r w:rsidRPr="00283C20" w:rsidR="00AE2E09">
        <w:rPr>
          <w:rFonts w:ascii="Century Schoolbook" w:hAnsi="Century Schoolbook"/>
        </w:rPr>
        <w:t xml:space="preserve">. </w:t>
      </w:r>
      <w:r w:rsidRPr="00283C20" w:rsidR="00430CD9">
        <w:rPr>
          <w:rFonts w:ascii="Century Schoolbook" w:hAnsi="Century Schoolbook"/>
        </w:rPr>
        <w:t xml:space="preserve"> We affirm</w:t>
      </w:r>
      <w:r w:rsidRPr="00283C20" w:rsidR="00460FE4">
        <w:rPr>
          <w:rFonts w:ascii="Century Schoolbook" w:hAnsi="Century Schoolbook"/>
        </w:rPr>
        <w:t>.</w:t>
      </w:r>
    </w:p>
    <w:p w:rsidR="00E912F3" w:rsidRPr="00283C20" w:rsidP="008600D0" w14:paraId="7E077AD8" w14:textId="2FE8925C">
      <w:pPr>
        <w:keepNext/>
        <w:spacing w:line="360" w:lineRule="auto"/>
        <w:jc w:val="center"/>
        <w:rPr>
          <w:rFonts w:ascii="Century Schoolbook" w:hAnsi="Century Schoolbook"/>
          <w:b/>
          <w:bCs/>
          <w:smallCaps/>
        </w:rPr>
      </w:pPr>
      <w:r w:rsidRPr="00283C20">
        <w:rPr>
          <w:rFonts w:ascii="Century Schoolbook" w:hAnsi="Century Schoolbook"/>
          <w:b/>
          <w:bCs/>
          <w:smallCaps/>
        </w:rPr>
        <w:t>Factual and Procedural Background</w:t>
      </w:r>
    </w:p>
    <w:p w:rsidR="00E577C4" w:rsidP="00E35159" w14:paraId="412DA304" w14:textId="3BFFF3A7">
      <w:pPr>
        <w:spacing w:line="360" w:lineRule="auto"/>
        <w:rPr>
          <w:rFonts w:ascii="Century Schoolbook" w:hAnsi="Century Schoolbook"/>
        </w:rPr>
      </w:pPr>
      <w:r w:rsidRPr="00283C20">
        <w:rPr>
          <w:rFonts w:ascii="Century Schoolbook" w:hAnsi="Century Schoolbook"/>
        </w:rPr>
        <w:tab/>
      </w:r>
      <w:r w:rsidRPr="00067E4A" w:rsidR="000B301C">
        <w:rPr>
          <w:rFonts w:ascii="Century Schoolbook" w:hAnsi="Century Schoolbook"/>
        </w:rPr>
        <w:t xml:space="preserve">In </w:t>
      </w:r>
      <w:r w:rsidR="006014AF">
        <w:rPr>
          <w:rFonts w:ascii="Century Schoolbook" w:hAnsi="Century Schoolbook"/>
        </w:rPr>
        <w:t xml:space="preserve">March </w:t>
      </w:r>
      <w:r w:rsidRPr="00067E4A" w:rsidR="000B301C">
        <w:rPr>
          <w:rFonts w:ascii="Century Schoolbook" w:hAnsi="Century Schoolbook"/>
        </w:rPr>
        <w:t>2017, plaintiff</w:t>
      </w:r>
      <w:r w:rsidR="00B34AE3">
        <w:rPr>
          <w:rFonts w:ascii="Century Schoolbook" w:hAnsi="Century Schoolbook"/>
        </w:rPr>
        <w:t xml:space="preserve"> </w:t>
      </w:r>
      <w:r w:rsidRPr="00067E4A" w:rsidR="000B301C">
        <w:rPr>
          <w:rFonts w:ascii="Century Schoolbook" w:hAnsi="Century Schoolbook"/>
        </w:rPr>
        <w:t>participat</w:t>
      </w:r>
      <w:r w:rsidR="00B34AE3">
        <w:rPr>
          <w:rFonts w:ascii="Century Schoolbook" w:hAnsi="Century Schoolbook"/>
        </w:rPr>
        <w:t>e</w:t>
      </w:r>
      <w:r w:rsidR="006014AF">
        <w:rPr>
          <w:rFonts w:ascii="Century Schoolbook" w:hAnsi="Century Schoolbook"/>
        </w:rPr>
        <w:t>d</w:t>
      </w:r>
      <w:r w:rsidR="00B34AE3">
        <w:rPr>
          <w:rFonts w:ascii="Century Schoolbook" w:hAnsi="Century Schoolbook"/>
        </w:rPr>
        <w:t xml:space="preserve"> </w:t>
      </w:r>
      <w:r w:rsidRPr="00067E4A" w:rsidR="000B301C">
        <w:rPr>
          <w:rFonts w:ascii="Century Schoolbook" w:hAnsi="Century Schoolbook"/>
        </w:rPr>
        <w:t>in a</w:t>
      </w:r>
      <w:r w:rsidRPr="00067E4A" w:rsidR="00DB6CAA">
        <w:rPr>
          <w:rFonts w:ascii="Century Schoolbook" w:hAnsi="Century Schoolbook"/>
        </w:rPr>
        <w:t xml:space="preserve"> group </w:t>
      </w:r>
      <w:r w:rsidRPr="00067E4A" w:rsidR="000B301C">
        <w:rPr>
          <w:rFonts w:ascii="Century Schoolbook" w:hAnsi="Century Schoolbook"/>
        </w:rPr>
        <w:t xml:space="preserve">training ride for </w:t>
      </w:r>
      <w:r w:rsidRPr="00067E4A" w:rsidR="00EB00F2">
        <w:rPr>
          <w:rFonts w:ascii="Century Schoolbook" w:hAnsi="Century Schoolbook"/>
        </w:rPr>
        <w:t>AIDS LifeCycle</w:t>
      </w:r>
      <w:r w:rsidRPr="00067E4A" w:rsidR="000B301C">
        <w:rPr>
          <w:rFonts w:ascii="Century Schoolbook" w:hAnsi="Century Schoolbook"/>
        </w:rPr>
        <w:t>,</w:t>
      </w:r>
      <w:r w:rsidRPr="00067E4A" w:rsidR="00D918E5">
        <w:rPr>
          <w:rFonts w:ascii="Century Schoolbook" w:hAnsi="Century Schoolbook"/>
        </w:rPr>
        <w:t xml:space="preserve"> </w:t>
      </w:r>
      <w:r w:rsidRPr="00067E4A" w:rsidR="000B301C">
        <w:rPr>
          <w:rFonts w:ascii="Century Schoolbook" w:hAnsi="Century Schoolbook"/>
        </w:rPr>
        <w:t xml:space="preserve">a multi-day </w:t>
      </w:r>
      <w:r w:rsidRPr="00067E4A" w:rsidR="005500FC">
        <w:rPr>
          <w:rFonts w:ascii="Century Schoolbook" w:hAnsi="Century Schoolbook"/>
        </w:rPr>
        <w:t xml:space="preserve">group </w:t>
      </w:r>
      <w:r w:rsidRPr="00067E4A" w:rsidR="000B301C">
        <w:rPr>
          <w:rFonts w:ascii="Century Schoolbook" w:hAnsi="Century Schoolbook"/>
        </w:rPr>
        <w:t xml:space="preserve">bicycle ride </w:t>
      </w:r>
      <w:r w:rsidRPr="00067E4A" w:rsidR="00D053D1">
        <w:rPr>
          <w:rFonts w:ascii="Century Schoolbook" w:hAnsi="Century Schoolbook"/>
        </w:rPr>
        <w:t xml:space="preserve">fundraiser </w:t>
      </w:r>
      <w:r w:rsidRPr="00067E4A" w:rsidR="000B301C">
        <w:rPr>
          <w:rFonts w:ascii="Century Schoolbook" w:hAnsi="Century Schoolbook"/>
        </w:rPr>
        <w:t xml:space="preserve">from San Francisco to </w:t>
      </w:r>
      <w:r w:rsidRPr="00067E4A" w:rsidR="000B301C">
        <w:rPr>
          <w:rFonts w:ascii="Century Schoolbook" w:hAnsi="Century Schoolbook"/>
        </w:rPr>
        <w:t xml:space="preserve">Los Angeles. </w:t>
      </w:r>
      <w:r w:rsidRPr="00067E4A" w:rsidR="00054305">
        <w:rPr>
          <w:rFonts w:ascii="Century Schoolbook" w:hAnsi="Century Schoolbook"/>
        </w:rPr>
        <w:t xml:space="preserve"> </w:t>
      </w:r>
      <w:r>
        <w:rPr>
          <w:rFonts w:ascii="Century Schoolbook" w:hAnsi="Century Schoolbook"/>
        </w:rPr>
        <w:t xml:space="preserve">As plaintiff was injured during </w:t>
      </w:r>
      <w:r w:rsidR="006014AF">
        <w:rPr>
          <w:rFonts w:ascii="Century Schoolbook" w:hAnsi="Century Schoolbook"/>
        </w:rPr>
        <w:t xml:space="preserve">that </w:t>
      </w:r>
      <w:r>
        <w:rPr>
          <w:rFonts w:ascii="Century Schoolbook" w:hAnsi="Century Schoolbook"/>
        </w:rPr>
        <w:t xml:space="preserve">ride, we describe the nature of the </w:t>
      </w:r>
      <w:r w:rsidR="006014AF">
        <w:rPr>
          <w:rFonts w:ascii="Century Schoolbook" w:hAnsi="Century Schoolbook"/>
        </w:rPr>
        <w:t xml:space="preserve">AIDS LifeCycle </w:t>
      </w:r>
      <w:r>
        <w:rPr>
          <w:rFonts w:ascii="Century Schoolbook" w:hAnsi="Century Schoolbook"/>
        </w:rPr>
        <w:t>training rides for context.</w:t>
      </w:r>
    </w:p>
    <w:p w:rsidR="009D1126" w:rsidP="00E35159" w14:paraId="1B9B3E5C" w14:textId="580E41C8">
      <w:pPr>
        <w:spacing w:line="360" w:lineRule="auto"/>
        <w:rPr>
          <w:rFonts w:ascii="Century Schoolbook" w:hAnsi="Century Schoolbook"/>
        </w:rPr>
      </w:pPr>
      <w:r>
        <w:rPr>
          <w:rFonts w:ascii="Century Schoolbook" w:hAnsi="Century Schoolbook"/>
        </w:rPr>
        <w:tab/>
        <w:t xml:space="preserve">The </w:t>
      </w:r>
      <w:r w:rsidRPr="00067E4A" w:rsidR="00A613E5">
        <w:rPr>
          <w:rFonts w:ascii="Century Schoolbook" w:hAnsi="Century Schoolbook"/>
        </w:rPr>
        <w:t>AIDS LifeCycle</w:t>
      </w:r>
      <w:r>
        <w:rPr>
          <w:rFonts w:ascii="Century Schoolbook" w:hAnsi="Century Schoolbook"/>
        </w:rPr>
        <w:t xml:space="preserve"> </w:t>
      </w:r>
      <w:r w:rsidR="00576F31">
        <w:rPr>
          <w:rFonts w:ascii="Century Schoolbook" w:hAnsi="Century Schoolbook"/>
        </w:rPr>
        <w:t>fundraiser advertises</w:t>
      </w:r>
      <w:r w:rsidRPr="00067E4A" w:rsidR="005849EF">
        <w:rPr>
          <w:rFonts w:ascii="Century Schoolbook" w:hAnsi="Century Schoolbook"/>
        </w:rPr>
        <w:t xml:space="preserve"> a training system to </w:t>
      </w:r>
      <w:r w:rsidR="00576F31">
        <w:rPr>
          <w:rFonts w:ascii="Century Schoolbook" w:hAnsi="Century Schoolbook"/>
        </w:rPr>
        <w:t xml:space="preserve">help its participants </w:t>
      </w:r>
      <w:r w:rsidRPr="00067E4A" w:rsidR="005849EF">
        <w:rPr>
          <w:rFonts w:ascii="Century Schoolbook" w:hAnsi="Century Schoolbook"/>
        </w:rPr>
        <w:t>build up</w:t>
      </w:r>
      <w:r w:rsidR="00250C84">
        <w:rPr>
          <w:rFonts w:ascii="Century Schoolbook" w:hAnsi="Century Schoolbook"/>
        </w:rPr>
        <w:t xml:space="preserve"> and prepare</w:t>
      </w:r>
      <w:r w:rsidR="00A36949">
        <w:rPr>
          <w:rFonts w:ascii="Century Schoolbook" w:hAnsi="Century Schoolbook"/>
        </w:rPr>
        <w:t xml:space="preserve"> </w:t>
      </w:r>
      <w:r w:rsidR="00250C84">
        <w:rPr>
          <w:rFonts w:ascii="Century Schoolbook" w:hAnsi="Century Schoolbook"/>
        </w:rPr>
        <w:t>for</w:t>
      </w:r>
      <w:r w:rsidRPr="00067E4A" w:rsidR="005849EF">
        <w:rPr>
          <w:rFonts w:ascii="Century Schoolbook" w:hAnsi="Century Schoolbook"/>
        </w:rPr>
        <w:t xml:space="preserve"> the</w:t>
      </w:r>
      <w:r w:rsidR="00785A85">
        <w:rPr>
          <w:rFonts w:ascii="Century Schoolbook" w:hAnsi="Century Schoolbook"/>
        </w:rPr>
        <w:t xml:space="preserve"> long-distance</w:t>
      </w:r>
      <w:r w:rsidRPr="00067E4A" w:rsidR="005849EF">
        <w:rPr>
          <w:rFonts w:ascii="Century Schoolbook" w:hAnsi="Century Schoolbook"/>
        </w:rPr>
        <w:t xml:space="preserve"> ride to Los Angeles. </w:t>
      </w:r>
      <w:r w:rsidRPr="00067E4A" w:rsidR="00C22479">
        <w:rPr>
          <w:rFonts w:ascii="Century Schoolbook" w:hAnsi="Century Schoolbook"/>
        </w:rPr>
        <w:t xml:space="preserve"> </w:t>
      </w:r>
      <w:r w:rsidR="00576F31">
        <w:rPr>
          <w:rFonts w:ascii="Century Schoolbook" w:hAnsi="Century Schoolbook"/>
        </w:rPr>
        <w:t>The training system features t</w:t>
      </w:r>
      <w:r w:rsidR="00F407CA">
        <w:rPr>
          <w:rFonts w:ascii="Century Schoolbook" w:hAnsi="Century Schoolbook"/>
        </w:rPr>
        <w:t>raining ride leaders</w:t>
      </w:r>
      <w:r w:rsidR="00576F31">
        <w:rPr>
          <w:rFonts w:ascii="Century Schoolbook" w:hAnsi="Century Schoolbook"/>
        </w:rPr>
        <w:t xml:space="preserve"> who</w:t>
      </w:r>
      <w:r w:rsidRPr="00067E4A" w:rsidR="00C22479">
        <w:rPr>
          <w:rFonts w:ascii="Century Schoolbook" w:hAnsi="Century Schoolbook"/>
        </w:rPr>
        <w:t xml:space="preserve"> select</w:t>
      </w:r>
      <w:r w:rsidRPr="00067E4A" w:rsidR="002F0C9D">
        <w:rPr>
          <w:rFonts w:ascii="Century Schoolbook" w:hAnsi="Century Schoolbook"/>
        </w:rPr>
        <w:t xml:space="preserve"> </w:t>
      </w:r>
      <w:r w:rsidR="00785A85">
        <w:rPr>
          <w:rFonts w:ascii="Century Schoolbook" w:hAnsi="Century Schoolbook"/>
        </w:rPr>
        <w:t>cycling</w:t>
      </w:r>
      <w:r w:rsidR="00576F31">
        <w:rPr>
          <w:rFonts w:ascii="Century Schoolbook" w:hAnsi="Century Schoolbook"/>
        </w:rPr>
        <w:t xml:space="preserve"> </w:t>
      </w:r>
      <w:r w:rsidRPr="00067E4A" w:rsidR="002F0C9D">
        <w:rPr>
          <w:rFonts w:ascii="Century Schoolbook" w:hAnsi="Century Schoolbook"/>
        </w:rPr>
        <w:t>route</w:t>
      </w:r>
      <w:r w:rsidR="00576F31">
        <w:rPr>
          <w:rFonts w:ascii="Century Schoolbook" w:hAnsi="Century Schoolbook"/>
        </w:rPr>
        <w:t>s</w:t>
      </w:r>
      <w:r w:rsidRPr="00067E4A" w:rsidR="002F0C9D">
        <w:rPr>
          <w:rFonts w:ascii="Century Schoolbook" w:hAnsi="Century Schoolbook"/>
        </w:rPr>
        <w:t xml:space="preserve"> </w:t>
      </w:r>
      <w:r w:rsidR="00B34AE3">
        <w:rPr>
          <w:rFonts w:ascii="Century Schoolbook" w:hAnsi="Century Schoolbook"/>
        </w:rPr>
        <w:t xml:space="preserve">with specific start times and rest stops; these </w:t>
      </w:r>
      <w:r w:rsidR="009A0060">
        <w:rPr>
          <w:rFonts w:ascii="Century Schoolbook" w:hAnsi="Century Schoolbook"/>
        </w:rPr>
        <w:t xml:space="preserve">routes </w:t>
      </w:r>
      <w:r w:rsidR="00B34AE3">
        <w:rPr>
          <w:rFonts w:ascii="Century Schoolbook" w:hAnsi="Century Schoolbook"/>
        </w:rPr>
        <w:t xml:space="preserve">are posted </w:t>
      </w:r>
      <w:r w:rsidRPr="00067E4A" w:rsidR="002F0C9D">
        <w:rPr>
          <w:rFonts w:ascii="Century Schoolbook" w:hAnsi="Century Schoolbook"/>
        </w:rPr>
        <w:t xml:space="preserve">on the </w:t>
      </w:r>
      <w:r w:rsidRPr="00067E4A" w:rsidR="002F0D8A">
        <w:rPr>
          <w:rFonts w:ascii="Century Schoolbook" w:hAnsi="Century Schoolbook"/>
        </w:rPr>
        <w:t>AIDS LifeCycle</w:t>
      </w:r>
      <w:r w:rsidR="002F0D8A">
        <w:rPr>
          <w:rFonts w:ascii="Century Schoolbook" w:hAnsi="Century Schoolbook"/>
        </w:rPr>
        <w:t xml:space="preserve"> </w:t>
      </w:r>
      <w:r w:rsidRPr="00067E4A" w:rsidR="002F0C9D">
        <w:rPr>
          <w:rFonts w:ascii="Century Schoolbook" w:hAnsi="Century Schoolbook"/>
        </w:rPr>
        <w:t>website</w:t>
      </w:r>
      <w:r w:rsidR="00576F31">
        <w:rPr>
          <w:rFonts w:ascii="Century Schoolbook" w:hAnsi="Century Schoolbook"/>
        </w:rPr>
        <w:t xml:space="preserve">, and participants </w:t>
      </w:r>
      <w:r w:rsidR="006014AF">
        <w:rPr>
          <w:rFonts w:ascii="Century Schoolbook" w:hAnsi="Century Schoolbook"/>
        </w:rPr>
        <w:t>reserve spots</w:t>
      </w:r>
      <w:r w:rsidR="00576F31">
        <w:rPr>
          <w:rFonts w:ascii="Century Schoolbook" w:hAnsi="Century Schoolbook"/>
        </w:rPr>
        <w:t xml:space="preserve"> for the</w:t>
      </w:r>
      <w:r w:rsidR="009A0060">
        <w:rPr>
          <w:rFonts w:ascii="Century Schoolbook" w:hAnsi="Century Schoolbook"/>
        </w:rPr>
        <w:t>ir selected</w:t>
      </w:r>
      <w:r w:rsidR="00576F31">
        <w:rPr>
          <w:rFonts w:ascii="Century Schoolbook" w:hAnsi="Century Schoolbook"/>
        </w:rPr>
        <w:t xml:space="preserve"> rides.  </w:t>
      </w:r>
      <w:r w:rsidR="00B34AE3">
        <w:rPr>
          <w:rFonts w:ascii="Century Schoolbook" w:hAnsi="Century Schoolbook"/>
        </w:rPr>
        <w:t>The training system is designed to</w:t>
      </w:r>
      <w:r w:rsidRPr="00067E4A" w:rsidR="0032366E">
        <w:rPr>
          <w:rFonts w:ascii="Century Schoolbook" w:hAnsi="Century Schoolbook"/>
        </w:rPr>
        <w:t xml:space="preserve"> </w:t>
      </w:r>
      <w:r w:rsidRPr="00067E4A" w:rsidR="00C22479">
        <w:rPr>
          <w:rFonts w:ascii="Century Schoolbook" w:hAnsi="Century Schoolbook"/>
        </w:rPr>
        <w:t xml:space="preserve">ensure there </w:t>
      </w:r>
      <w:r w:rsidRPr="00067E4A" w:rsidR="00096BAE">
        <w:rPr>
          <w:rFonts w:ascii="Century Schoolbook" w:hAnsi="Century Schoolbook"/>
        </w:rPr>
        <w:t>are</w:t>
      </w:r>
      <w:r w:rsidRPr="00067E4A" w:rsidR="00C22479">
        <w:rPr>
          <w:rFonts w:ascii="Century Schoolbook" w:hAnsi="Century Schoolbook"/>
        </w:rPr>
        <w:t xml:space="preserve"> </w:t>
      </w:r>
      <w:r w:rsidR="00F407CA">
        <w:rPr>
          <w:rFonts w:ascii="Century Schoolbook" w:hAnsi="Century Schoolbook"/>
        </w:rPr>
        <w:t xml:space="preserve">enough </w:t>
      </w:r>
      <w:r w:rsidRPr="00067E4A" w:rsidR="00D857E8">
        <w:rPr>
          <w:rFonts w:ascii="Century Schoolbook" w:hAnsi="Century Schoolbook"/>
        </w:rPr>
        <w:t xml:space="preserve">certified </w:t>
      </w:r>
      <w:r w:rsidRPr="00067E4A" w:rsidR="00C22479">
        <w:rPr>
          <w:rFonts w:ascii="Century Schoolbook" w:hAnsi="Century Schoolbook"/>
        </w:rPr>
        <w:t>training ride leaders</w:t>
      </w:r>
      <w:r w:rsidR="00F407CA">
        <w:rPr>
          <w:rFonts w:ascii="Century Schoolbook" w:hAnsi="Century Schoolbook"/>
        </w:rPr>
        <w:t xml:space="preserve"> to support the number of </w:t>
      </w:r>
      <w:r w:rsidRPr="00067E4A" w:rsidR="00717C0A">
        <w:rPr>
          <w:rFonts w:ascii="Century Schoolbook" w:hAnsi="Century Schoolbook"/>
        </w:rPr>
        <w:t>riders</w:t>
      </w:r>
      <w:r w:rsidR="00717C0A">
        <w:rPr>
          <w:rFonts w:ascii="Century Schoolbook" w:hAnsi="Century Schoolbook"/>
        </w:rPr>
        <w:t>,</w:t>
      </w:r>
      <w:r w:rsidRPr="00067E4A" w:rsidR="00273921">
        <w:rPr>
          <w:rFonts w:ascii="Century Schoolbook" w:hAnsi="Century Schoolbook"/>
        </w:rPr>
        <w:t xml:space="preserve"> </w:t>
      </w:r>
      <w:r w:rsidRPr="00067E4A" w:rsidR="009572E4">
        <w:rPr>
          <w:rFonts w:ascii="Century Schoolbook" w:hAnsi="Century Schoolbook"/>
        </w:rPr>
        <w:t>and</w:t>
      </w:r>
      <w:r w:rsidR="00B34AE3">
        <w:rPr>
          <w:rFonts w:ascii="Century Schoolbook" w:hAnsi="Century Schoolbook"/>
        </w:rPr>
        <w:t xml:space="preserve"> the leaders are responsible for informing riders of the </w:t>
      </w:r>
      <w:r w:rsidR="00E1781F">
        <w:rPr>
          <w:rFonts w:ascii="Century Schoolbook" w:hAnsi="Century Schoolbook"/>
        </w:rPr>
        <w:t xml:space="preserve">organization’s code of conduct </w:t>
      </w:r>
      <w:r w:rsidR="00B34AE3">
        <w:rPr>
          <w:rFonts w:ascii="Century Schoolbook" w:hAnsi="Century Schoolbook"/>
        </w:rPr>
        <w:t>and</w:t>
      </w:r>
      <w:r w:rsidR="00E1781F">
        <w:rPr>
          <w:rFonts w:ascii="Century Schoolbook" w:hAnsi="Century Schoolbook"/>
        </w:rPr>
        <w:t xml:space="preserve"> safety rules</w:t>
      </w:r>
      <w:r w:rsidR="00250C84">
        <w:rPr>
          <w:rFonts w:ascii="Century Schoolbook" w:hAnsi="Century Schoolbook"/>
        </w:rPr>
        <w:t xml:space="preserve"> before every ride</w:t>
      </w:r>
      <w:r w:rsidRPr="00067E4A" w:rsidR="00A613E5">
        <w:rPr>
          <w:rFonts w:ascii="Century Schoolbook" w:hAnsi="Century Schoolbook"/>
        </w:rPr>
        <w:t xml:space="preserve">. </w:t>
      </w:r>
      <w:r w:rsidRPr="00C204BE" w:rsidR="008C2564">
        <w:rPr>
          <w:rFonts w:ascii="Century Schoolbook" w:hAnsi="Century Schoolbook"/>
        </w:rPr>
        <w:t xml:space="preserve"> </w:t>
      </w:r>
      <w:r w:rsidR="00F10CC3">
        <w:rPr>
          <w:rFonts w:ascii="Century Schoolbook" w:hAnsi="Century Schoolbook"/>
        </w:rPr>
        <w:t>On longer</w:t>
      </w:r>
      <w:r w:rsidR="00B34AE3">
        <w:rPr>
          <w:rFonts w:ascii="Century Schoolbook" w:hAnsi="Century Schoolbook"/>
        </w:rPr>
        <w:t xml:space="preserve"> training</w:t>
      </w:r>
      <w:r w:rsidR="00F10CC3">
        <w:rPr>
          <w:rFonts w:ascii="Century Schoolbook" w:hAnsi="Century Schoolbook"/>
        </w:rPr>
        <w:t xml:space="preserve"> rides, a “support and gear” person follows the riders by car to offer support.  Training ride leaders are tasked with ensuring p</w:t>
      </w:r>
      <w:r w:rsidRPr="001F2E04" w:rsidR="00F10CC3">
        <w:rPr>
          <w:rFonts w:ascii="Century Schoolbook" w:hAnsi="Century Schoolbook"/>
        </w:rPr>
        <w:t xml:space="preserve">articipants sign </w:t>
      </w:r>
      <w:r w:rsidRPr="00067E4A" w:rsidR="00F10CC3">
        <w:rPr>
          <w:rFonts w:ascii="Century Schoolbook" w:hAnsi="Century Schoolbook"/>
        </w:rPr>
        <w:t>waivers</w:t>
      </w:r>
      <w:r w:rsidR="00F10CC3">
        <w:rPr>
          <w:rFonts w:ascii="Century Schoolbook" w:hAnsi="Century Schoolbook"/>
        </w:rPr>
        <w:t xml:space="preserve"> in order</w:t>
      </w:r>
      <w:r w:rsidRPr="001F2E04" w:rsidR="00F10CC3">
        <w:rPr>
          <w:rFonts w:ascii="Century Schoolbook" w:hAnsi="Century Schoolbook"/>
        </w:rPr>
        <w:t xml:space="preserve"> to participate in training rides. </w:t>
      </w:r>
    </w:p>
    <w:p w:rsidR="009D1126" w:rsidP="00E35159" w14:paraId="7B815415" w14:textId="1B925466">
      <w:pPr>
        <w:spacing w:line="360" w:lineRule="auto"/>
        <w:rPr>
          <w:rFonts w:ascii="Century Schoolbook" w:hAnsi="Century Schoolbook"/>
        </w:rPr>
      </w:pPr>
      <w:r>
        <w:rPr>
          <w:rFonts w:ascii="Century Schoolbook" w:hAnsi="Century Schoolbook"/>
        </w:rPr>
        <w:tab/>
      </w:r>
      <w:r w:rsidR="00BE7A33">
        <w:rPr>
          <w:rFonts w:ascii="Century Schoolbook" w:hAnsi="Century Schoolbook"/>
        </w:rPr>
        <w:t xml:space="preserve">Training ride leaders </w:t>
      </w:r>
      <w:r w:rsidR="00B34AE3">
        <w:rPr>
          <w:rFonts w:ascii="Century Schoolbook" w:hAnsi="Century Schoolbook"/>
        </w:rPr>
        <w:t>must</w:t>
      </w:r>
      <w:r w:rsidR="00BE7A33">
        <w:rPr>
          <w:rFonts w:ascii="Century Schoolbook" w:hAnsi="Century Schoolbook"/>
        </w:rPr>
        <w:t xml:space="preserve"> be “certified</w:t>
      </w:r>
      <w:r w:rsidR="00C61A48">
        <w:rPr>
          <w:rFonts w:ascii="Century Schoolbook" w:hAnsi="Century Schoolbook"/>
        </w:rPr>
        <w:t>,</w:t>
      </w:r>
      <w:r w:rsidR="00BE7A33">
        <w:rPr>
          <w:rFonts w:ascii="Century Schoolbook" w:hAnsi="Century Schoolbook"/>
        </w:rPr>
        <w:t xml:space="preserve">” </w:t>
      </w:r>
      <w:r w:rsidR="00C61A48">
        <w:rPr>
          <w:rFonts w:ascii="Century Schoolbook" w:hAnsi="Century Schoolbook"/>
        </w:rPr>
        <w:t>which involve</w:t>
      </w:r>
      <w:r w:rsidR="00633565">
        <w:rPr>
          <w:rFonts w:ascii="Century Schoolbook" w:hAnsi="Century Schoolbook"/>
        </w:rPr>
        <w:t>s</w:t>
      </w:r>
      <w:r w:rsidR="00C61A48">
        <w:rPr>
          <w:rFonts w:ascii="Century Schoolbook" w:hAnsi="Century Schoolbook"/>
        </w:rPr>
        <w:t xml:space="preserve"> a combination of </w:t>
      </w:r>
      <w:r w:rsidR="0090364C">
        <w:rPr>
          <w:rFonts w:ascii="Century Schoolbook" w:hAnsi="Century Schoolbook"/>
        </w:rPr>
        <w:t xml:space="preserve">in-person </w:t>
      </w:r>
      <w:r w:rsidR="00C61A48">
        <w:rPr>
          <w:rFonts w:ascii="Century Schoolbook" w:hAnsi="Century Schoolbook"/>
        </w:rPr>
        <w:t>classroom</w:t>
      </w:r>
      <w:r w:rsidR="006A3A87">
        <w:rPr>
          <w:rFonts w:ascii="Century Schoolbook" w:hAnsi="Century Schoolbook"/>
        </w:rPr>
        <w:t xml:space="preserve"> instruction by </w:t>
      </w:r>
      <w:r w:rsidRPr="00067E4A" w:rsidR="006A3A87">
        <w:rPr>
          <w:rFonts w:ascii="Century Schoolbook" w:hAnsi="Century Schoolbook"/>
        </w:rPr>
        <w:t>AIDS LifeCycle</w:t>
      </w:r>
      <w:r w:rsidR="006A3A87">
        <w:rPr>
          <w:rFonts w:ascii="Century Schoolbook" w:hAnsi="Century Schoolbook"/>
        </w:rPr>
        <w:t xml:space="preserve"> staff</w:t>
      </w:r>
      <w:r w:rsidR="00C61A48">
        <w:rPr>
          <w:rFonts w:ascii="Century Schoolbook" w:hAnsi="Century Schoolbook"/>
        </w:rPr>
        <w:t xml:space="preserve"> and </w:t>
      </w:r>
      <w:r w:rsidR="00A236C3">
        <w:rPr>
          <w:rFonts w:ascii="Century Schoolbook" w:hAnsi="Century Schoolbook"/>
        </w:rPr>
        <w:t>outdoor bicycling instruction</w:t>
      </w:r>
      <w:r w:rsidR="00633565">
        <w:rPr>
          <w:rFonts w:ascii="Century Schoolbook" w:hAnsi="Century Schoolbook"/>
        </w:rPr>
        <w:t xml:space="preserve">.  </w:t>
      </w:r>
      <w:r w:rsidR="009A0060">
        <w:rPr>
          <w:rFonts w:ascii="Century Schoolbook" w:hAnsi="Century Schoolbook"/>
        </w:rPr>
        <w:t>T</w:t>
      </w:r>
      <w:r w:rsidR="00AD7832">
        <w:rPr>
          <w:rFonts w:ascii="Century Schoolbook" w:hAnsi="Century Schoolbook"/>
        </w:rPr>
        <w:t>he</w:t>
      </w:r>
      <w:r w:rsidR="00F462EC">
        <w:rPr>
          <w:rFonts w:ascii="Century Schoolbook" w:hAnsi="Century Schoolbook"/>
        </w:rPr>
        <w:t xml:space="preserve"> instruction </w:t>
      </w:r>
      <w:r w:rsidR="009A0060">
        <w:rPr>
          <w:rFonts w:ascii="Century Schoolbook" w:hAnsi="Century Schoolbook"/>
        </w:rPr>
        <w:t>emphasizes</w:t>
      </w:r>
      <w:r w:rsidR="00F462EC">
        <w:rPr>
          <w:rFonts w:ascii="Century Schoolbook" w:hAnsi="Century Schoolbook"/>
        </w:rPr>
        <w:t xml:space="preserve"> safety and how to coach riders on safety rules and practices.  </w:t>
      </w:r>
      <w:r w:rsidR="00633565">
        <w:rPr>
          <w:rFonts w:ascii="Century Schoolbook" w:hAnsi="Century Schoolbook"/>
        </w:rPr>
        <w:t xml:space="preserve">Training ride </w:t>
      </w:r>
      <w:r w:rsidR="00981615">
        <w:rPr>
          <w:rFonts w:ascii="Century Schoolbook" w:hAnsi="Century Schoolbook"/>
        </w:rPr>
        <w:t>leaders</w:t>
      </w:r>
      <w:r w:rsidR="00633565">
        <w:rPr>
          <w:rFonts w:ascii="Century Schoolbook" w:hAnsi="Century Schoolbook"/>
        </w:rPr>
        <w:t xml:space="preserve"> must re-certify </w:t>
      </w:r>
      <w:r w:rsidR="00817C2C">
        <w:rPr>
          <w:rFonts w:ascii="Century Schoolbook" w:hAnsi="Century Schoolbook"/>
        </w:rPr>
        <w:t>every two years; re-certification</w:t>
      </w:r>
      <w:r w:rsidR="00633565">
        <w:rPr>
          <w:rFonts w:ascii="Century Schoolbook" w:hAnsi="Century Schoolbook"/>
        </w:rPr>
        <w:t xml:space="preserve"> requires </w:t>
      </w:r>
      <w:r w:rsidR="00D74DD5">
        <w:rPr>
          <w:rFonts w:ascii="Century Schoolbook" w:hAnsi="Century Schoolbook"/>
        </w:rPr>
        <w:t>additional</w:t>
      </w:r>
      <w:r w:rsidR="00633565">
        <w:rPr>
          <w:rFonts w:ascii="Century Schoolbook" w:hAnsi="Century Schoolbook"/>
        </w:rPr>
        <w:t xml:space="preserve"> </w:t>
      </w:r>
      <w:r w:rsidR="00A236C3">
        <w:rPr>
          <w:rFonts w:ascii="Century Schoolbook" w:hAnsi="Century Schoolbook"/>
        </w:rPr>
        <w:t xml:space="preserve">classroom instruction </w:t>
      </w:r>
      <w:r w:rsidR="00981615">
        <w:rPr>
          <w:rFonts w:ascii="Century Schoolbook" w:hAnsi="Century Schoolbook"/>
        </w:rPr>
        <w:t xml:space="preserve">and participation in a minimum </w:t>
      </w:r>
      <w:r w:rsidR="00817C2C">
        <w:rPr>
          <w:rFonts w:ascii="Century Schoolbook" w:hAnsi="Century Schoolbook"/>
        </w:rPr>
        <w:t>of about ten</w:t>
      </w:r>
      <w:r w:rsidR="00981615">
        <w:rPr>
          <w:rFonts w:ascii="Century Schoolbook" w:hAnsi="Century Schoolbook"/>
        </w:rPr>
        <w:t xml:space="preserve"> training rides to remain in “good standing</w:t>
      </w:r>
      <w:r w:rsidR="00A236C3">
        <w:rPr>
          <w:rFonts w:ascii="Century Schoolbook" w:hAnsi="Century Schoolbook"/>
        </w:rPr>
        <w:t>.</w:t>
      </w:r>
      <w:r w:rsidR="00981615">
        <w:rPr>
          <w:rFonts w:ascii="Century Schoolbook" w:hAnsi="Century Schoolbook"/>
        </w:rPr>
        <w:t>”</w:t>
      </w:r>
      <w:r w:rsidR="00A236C3">
        <w:rPr>
          <w:rFonts w:ascii="Century Schoolbook" w:hAnsi="Century Schoolbook"/>
        </w:rPr>
        <w:t xml:space="preserve"> </w:t>
      </w:r>
      <w:r w:rsidR="00AD7832">
        <w:rPr>
          <w:rFonts w:ascii="Century Schoolbook" w:hAnsi="Century Schoolbook"/>
        </w:rPr>
        <w:t xml:space="preserve"> </w:t>
      </w:r>
    </w:p>
    <w:p w:rsidR="008D127B" w:rsidRPr="00283C20" w:rsidP="007F6E3C" w14:paraId="2E4DBBD4" w14:textId="1EEF71D2">
      <w:pPr>
        <w:spacing w:line="360" w:lineRule="auto"/>
        <w:rPr>
          <w:rFonts w:ascii="Century Schoolbook" w:hAnsi="Century Schoolbook"/>
        </w:rPr>
      </w:pPr>
      <w:r w:rsidRPr="00C204BE">
        <w:rPr>
          <w:rFonts w:ascii="Century Schoolbook" w:hAnsi="Century Schoolbook"/>
        </w:rPr>
        <w:tab/>
      </w:r>
      <w:r w:rsidRPr="00067E4A" w:rsidR="008C2564">
        <w:rPr>
          <w:rFonts w:ascii="Century Schoolbook" w:hAnsi="Century Schoolbook"/>
        </w:rPr>
        <w:t xml:space="preserve">The route </w:t>
      </w:r>
      <w:r w:rsidRPr="00067E4A" w:rsidR="000E1FAA">
        <w:rPr>
          <w:rFonts w:ascii="Century Schoolbook" w:hAnsi="Century Schoolbook"/>
        </w:rPr>
        <w:t>for th</w:t>
      </w:r>
      <w:r w:rsidR="00F068B2">
        <w:rPr>
          <w:rFonts w:ascii="Century Schoolbook" w:hAnsi="Century Schoolbook"/>
        </w:rPr>
        <w:t>e</w:t>
      </w:r>
      <w:r w:rsidRPr="00067E4A" w:rsidR="000E1FAA">
        <w:rPr>
          <w:rFonts w:ascii="Century Schoolbook" w:hAnsi="Century Schoolbook"/>
        </w:rPr>
        <w:t xml:space="preserve"> </w:t>
      </w:r>
      <w:r w:rsidRPr="00067E4A" w:rsidR="00096BAE">
        <w:rPr>
          <w:rFonts w:ascii="Century Schoolbook" w:hAnsi="Century Schoolbook"/>
        </w:rPr>
        <w:t xml:space="preserve">training </w:t>
      </w:r>
      <w:r w:rsidRPr="00067E4A" w:rsidR="000E1FAA">
        <w:rPr>
          <w:rFonts w:ascii="Century Schoolbook" w:hAnsi="Century Schoolbook"/>
        </w:rPr>
        <w:t>ride</w:t>
      </w:r>
      <w:r w:rsidR="00F068B2">
        <w:rPr>
          <w:rFonts w:ascii="Century Schoolbook" w:hAnsi="Century Schoolbook"/>
        </w:rPr>
        <w:t xml:space="preserve"> at issue in this case</w:t>
      </w:r>
      <w:r w:rsidRPr="00067E4A" w:rsidR="000E1FAA">
        <w:rPr>
          <w:rFonts w:ascii="Century Schoolbook" w:hAnsi="Century Schoolbook"/>
        </w:rPr>
        <w:t xml:space="preserve"> </w:t>
      </w:r>
      <w:r w:rsidRPr="00067E4A" w:rsidR="008C2564">
        <w:rPr>
          <w:rFonts w:ascii="Century Schoolbook" w:hAnsi="Century Schoolbook"/>
        </w:rPr>
        <w:t>was 50 miles long</w:t>
      </w:r>
      <w:r w:rsidRPr="00067E4A" w:rsidR="0032366E">
        <w:rPr>
          <w:rFonts w:ascii="Century Schoolbook" w:hAnsi="Century Schoolbook"/>
        </w:rPr>
        <w:t xml:space="preserve">, </w:t>
      </w:r>
      <w:r w:rsidRPr="00067E4A" w:rsidR="005216FE">
        <w:rPr>
          <w:rFonts w:ascii="Century Schoolbook" w:hAnsi="Century Schoolbook"/>
        </w:rPr>
        <w:t>which would take roughly</w:t>
      </w:r>
      <w:r w:rsidRPr="00067E4A" w:rsidR="003F2FD5">
        <w:rPr>
          <w:rFonts w:ascii="Century Schoolbook" w:hAnsi="Century Schoolbook"/>
        </w:rPr>
        <w:t xml:space="preserve"> seven to eight hours</w:t>
      </w:r>
      <w:r w:rsidRPr="00067E4A" w:rsidR="005216FE">
        <w:rPr>
          <w:rFonts w:ascii="Century Schoolbook" w:hAnsi="Century Schoolbook"/>
        </w:rPr>
        <w:t xml:space="preserve"> to complete</w:t>
      </w:r>
      <w:r w:rsidRPr="00067E4A" w:rsidR="00916812">
        <w:rPr>
          <w:rFonts w:ascii="Century Schoolbook" w:hAnsi="Century Schoolbook"/>
        </w:rPr>
        <w:t xml:space="preserve">. </w:t>
      </w:r>
      <w:r w:rsidRPr="00067E4A" w:rsidR="008C2564">
        <w:rPr>
          <w:rFonts w:ascii="Century Schoolbook" w:hAnsi="Century Schoolbook"/>
        </w:rPr>
        <w:t xml:space="preserve"> </w:t>
      </w:r>
      <w:r w:rsidR="009A0060">
        <w:rPr>
          <w:rFonts w:ascii="Century Schoolbook" w:hAnsi="Century Schoolbook"/>
        </w:rPr>
        <w:t>A</w:t>
      </w:r>
      <w:r w:rsidRPr="00067E4A" w:rsidR="00A348E4">
        <w:rPr>
          <w:rFonts w:ascii="Century Schoolbook" w:hAnsi="Century Schoolbook"/>
        </w:rPr>
        <w:t>bout</w:t>
      </w:r>
      <w:r w:rsidRPr="00067E4A" w:rsidR="00096BAE">
        <w:rPr>
          <w:rFonts w:ascii="Century Schoolbook" w:hAnsi="Century Schoolbook"/>
        </w:rPr>
        <w:t xml:space="preserve"> 4</w:t>
      </w:r>
      <w:r w:rsidRPr="00067E4A" w:rsidR="00CC6AFD">
        <w:rPr>
          <w:rFonts w:ascii="Century Schoolbook" w:hAnsi="Century Schoolbook"/>
        </w:rPr>
        <w:t>1</w:t>
      </w:r>
      <w:r w:rsidRPr="00067E4A" w:rsidR="008C2564">
        <w:rPr>
          <w:rFonts w:ascii="Century Schoolbook" w:hAnsi="Century Schoolbook"/>
        </w:rPr>
        <w:t xml:space="preserve"> people </w:t>
      </w:r>
      <w:r w:rsidR="009A0060">
        <w:rPr>
          <w:rFonts w:ascii="Century Schoolbook" w:hAnsi="Century Schoolbook"/>
        </w:rPr>
        <w:t>were on</w:t>
      </w:r>
      <w:r w:rsidRPr="00067E4A" w:rsidR="008C2564">
        <w:rPr>
          <w:rFonts w:ascii="Century Schoolbook" w:hAnsi="Century Schoolbook"/>
        </w:rPr>
        <w:t xml:space="preserve"> the training ride with </w:t>
      </w:r>
      <w:r w:rsidR="009A0060">
        <w:rPr>
          <w:rFonts w:ascii="Century Schoolbook" w:hAnsi="Century Schoolbook"/>
        </w:rPr>
        <w:t>plaintiff</w:t>
      </w:r>
      <w:r w:rsidRPr="00067E4A" w:rsidR="008C2564">
        <w:rPr>
          <w:rFonts w:ascii="Century Schoolbook" w:hAnsi="Century Schoolbook"/>
        </w:rPr>
        <w:t xml:space="preserve">.  </w:t>
      </w:r>
      <w:r w:rsidRPr="00283C20" w:rsidR="00694178">
        <w:rPr>
          <w:rFonts w:ascii="Century Schoolbook" w:hAnsi="Century Schoolbook"/>
        </w:rPr>
        <w:t xml:space="preserve">During </w:t>
      </w:r>
      <w:r w:rsidR="008600D0">
        <w:rPr>
          <w:rFonts w:ascii="Century Schoolbook" w:hAnsi="Century Schoolbook"/>
        </w:rPr>
        <w:t>the</w:t>
      </w:r>
      <w:r w:rsidRPr="00283C20" w:rsidR="00694178">
        <w:rPr>
          <w:rFonts w:ascii="Century Schoolbook" w:hAnsi="Century Schoolbook"/>
        </w:rPr>
        <w:t xml:space="preserve"> ride, plaintiff</w:t>
      </w:r>
      <w:r w:rsidRPr="00283C20" w:rsidR="00695C8B">
        <w:rPr>
          <w:rFonts w:ascii="Century Schoolbook" w:hAnsi="Century Schoolbook"/>
        </w:rPr>
        <w:t>—an experienced cyclist</w:t>
      </w:r>
      <w:r w:rsidRPr="00283C20" w:rsidR="00635B4C">
        <w:rPr>
          <w:rFonts w:ascii="Century Schoolbook" w:hAnsi="Century Schoolbook"/>
        </w:rPr>
        <w:t xml:space="preserve"> and a certified training ride leader</w:t>
      </w:r>
      <w:r w:rsidRPr="00283C20" w:rsidR="005500FC">
        <w:rPr>
          <w:rFonts w:ascii="Century Schoolbook" w:hAnsi="Century Schoolbook"/>
        </w:rPr>
        <w:t xml:space="preserve"> himself</w:t>
      </w:r>
      <w:r w:rsidRPr="00283C20" w:rsidR="00781637">
        <w:rPr>
          <w:rFonts w:ascii="Century Schoolbook" w:hAnsi="Century Schoolbook"/>
        </w:rPr>
        <w:t xml:space="preserve"> (though not the leader </w:t>
      </w:r>
      <w:r w:rsidRPr="00283C20" w:rsidR="005500FC">
        <w:rPr>
          <w:rFonts w:ascii="Century Schoolbook" w:hAnsi="Century Schoolbook"/>
        </w:rPr>
        <w:t>for this particular ride</w:t>
      </w:r>
      <w:r w:rsidRPr="00283C20" w:rsidR="00781637">
        <w:rPr>
          <w:rFonts w:ascii="Century Schoolbook" w:hAnsi="Century Schoolbook"/>
        </w:rPr>
        <w:t>)</w:t>
      </w:r>
      <w:r w:rsidRPr="00283C20" w:rsidR="00695C8B">
        <w:rPr>
          <w:rFonts w:ascii="Century Schoolbook" w:hAnsi="Century Schoolbook"/>
        </w:rPr>
        <w:t>—</w:t>
      </w:r>
      <w:r w:rsidRPr="00283C20" w:rsidR="00BB6B97">
        <w:rPr>
          <w:rFonts w:ascii="Century Schoolbook" w:hAnsi="Century Schoolbook"/>
        </w:rPr>
        <w:t xml:space="preserve">hit a pothole </w:t>
      </w:r>
      <w:r w:rsidRPr="00283C20" w:rsidR="00EA4A58">
        <w:rPr>
          <w:rFonts w:ascii="Century Schoolbook" w:hAnsi="Century Schoolbook"/>
        </w:rPr>
        <w:t xml:space="preserve">that was </w:t>
      </w:r>
      <w:r w:rsidRPr="00283C20" w:rsidR="00BB6B97">
        <w:rPr>
          <w:rFonts w:ascii="Century Schoolbook" w:hAnsi="Century Schoolbook"/>
        </w:rPr>
        <w:t>approximately one to two inches deep, 18 inches across, and 14 inches long</w:t>
      </w:r>
      <w:r w:rsidRPr="00283C20" w:rsidR="00225094">
        <w:rPr>
          <w:rFonts w:ascii="Century Schoolbook" w:hAnsi="Century Schoolbook"/>
        </w:rPr>
        <w:t xml:space="preserve">. </w:t>
      </w:r>
      <w:r w:rsidRPr="00283C20" w:rsidR="00286AB9">
        <w:rPr>
          <w:rFonts w:ascii="Century Schoolbook" w:hAnsi="Century Schoolbook"/>
        </w:rPr>
        <w:t xml:space="preserve"> </w:t>
      </w:r>
      <w:r w:rsidRPr="00283C20" w:rsidR="00225094">
        <w:rPr>
          <w:rFonts w:ascii="Century Schoolbook" w:hAnsi="Century Schoolbook"/>
        </w:rPr>
        <w:t>P</w:t>
      </w:r>
      <w:r w:rsidRPr="00283C20" w:rsidR="00286AB9">
        <w:rPr>
          <w:rFonts w:ascii="Century Schoolbook" w:hAnsi="Century Schoolbook"/>
        </w:rPr>
        <w:t>laintiff flip</w:t>
      </w:r>
      <w:r w:rsidRPr="00283C20" w:rsidR="00225094">
        <w:rPr>
          <w:rFonts w:ascii="Century Schoolbook" w:hAnsi="Century Schoolbook"/>
        </w:rPr>
        <w:t>ped</w:t>
      </w:r>
      <w:r w:rsidRPr="00283C20" w:rsidR="00286AB9">
        <w:rPr>
          <w:rFonts w:ascii="Century Schoolbook" w:hAnsi="Century Schoolbook"/>
        </w:rPr>
        <w:t xml:space="preserve"> over his bicycle handle bars</w:t>
      </w:r>
      <w:r w:rsidRPr="00283C20" w:rsidR="00A9576C">
        <w:rPr>
          <w:rFonts w:ascii="Century Schoolbook" w:hAnsi="Century Schoolbook"/>
        </w:rPr>
        <w:t>,</w:t>
      </w:r>
      <w:r w:rsidRPr="00283C20" w:rsidR="00286AB9">
        <w:rPr>
          <w:rFonts w:ascii="Century Schoolbook" w:hAnsi="Century Schoolbook"/>
        </w:rPr>
        <w:t xml:space="preserve"> </w:t>
      </w:r>
      <w:r w:rsidRPr="00283C20" w:rsidR="00225094">
        <w:rPr>
          <w:rFonts w:ascii="Century Schoolbook" w:hAnsi="Century Schoolbook"/>
        </w:rPr>
        <w:t>hit</w:t>
      </w:r>
      <w:r w:rsidRPr="00283C20" w:rsidR="00286AB9">
        <w:rPr>
          <w:rFonts w:ascii="Century Schoolbook" w:hAnsi="Century Schoolbook"/>
        </w:rPr>
        <w:t xml:space="preserve"> his head </w:t>
      </w:r>
      <w:r w:rsidRPr="00283C20" w:rsidR="00225094">
        <w:rPr>
          <w:rFonts w:ascii="Century Schoolbook" w:hAnsi="Century Schoolbook"/>
        </w:rPr>
        <w:t>on</w:t>
      </w:r>
      <w:r w:rsidRPr="00283C20" w:rsidR="00286AB9">
        <w:rPr>
          <w:rFonts w:ascii="Century Schoolbook" w:hAnsi="Century Schoolbook"/>
        </w:rPr>
        <w:t xml:space="preserve"> pavement</w:t>
      </w:r>
      <w:r w:rsidRPr="00283C20" w:rsidR="00A9576C">
        <w:rPr>
          <w:rFonts w:ascii="Century Schoolbook" w:hAnsi="Century Schoolbook"/>
        </w:rPr>
        <w:t>,</w:t>
      </w:r>
      <w:r w:rsidRPr="00283C20" w:rsidR="00EB28B7">
        <w:rPr>
          <w:rFonts w:ascii="Century Schoolbook" w:hAnsi="Century Schoolbook"/>
        </w:rPr>
        <w:t xml:space="preserve"> and suffered </w:t>
      </w:r>
      <w:r w:rsidRPr="00283C20" w:rsidR="00286AB9">
        <w:rPr>
          <w:rFonts w:ascii="Century Schoolbook" w:hAnsi="Century Schoolbook"/>
        </w:rPr>
        <w:t>injury</w:t>
      </w:r>
      <w:r w:rsidRPr="00283C20" w:rsidR="00F45796">
        <w:rPr>
          <w:rFonts w:ascii="Century Schoolbook" w:hAnsi="Century Schoolbook"/>
        </w:rPr>
        <w:t>.</w:t>
      </w:r>
      <w:r w:rsidRPr="00283C20" w:rsidR="00695C8B">
        <w:rPr>
          <w:rFonts w:ascii="Century Schoolbook" w:hAnsi="Century Schoolbook"/>
        </w:rPr>
        <w:t xml:space="preserve"> </w:t>
      </w:r>
      <w:r w:rsidRPr="00283C20" w:rsidR="00225094">
        <w:rPr>
          <w:rFonts w:ascii="Century Schoolbook" w:hAnsi="Century Schoolbook"/>
        </w:rPr>
        <w:t xml:space="preserve"> </w:t>
      </w:r>
      <w:r w:rsidRPr="00283C20">
        <w:rPr>
          <w:rFonts w:ascii="Century Schoolbook" w:hAnsi="Century Schoolbook"/>
        </w:rPr>
        <w:t>The accident occurred on</w:t>
      </w:r>
      <w:r w:rsidRPr="00283C20" w:rsidR="00F52DD7">
        <w:rPr>
          <w:rFonts w:ascii="Century Schoolbook" w:hAnsi="Century Schoolbook"/>
        </w:rPr>
        <w:t xml:space="preserve"> </w:t>
      </w:r>
      <w:r w:rsidRPr="00283C20">
        <w:rPr>
          <w:rFonts w:ascii="Century Schoolbook" w:hAnsi="Century Schoolbook"/>
        </w:rPr>
        <w:t xml:space="preserve">Skyline Boulevard </w:t>
      </w:r>
      <w:r w:rsidRPr="00283C20" w:rsidR="008F6C0C">
        <w:rPr>
          <w:rFonts w:ascii="Century Schoolbook" w:hAnsi="Century Schoolbook"/>
        </w:rPr>
        <w:t>near</w:t>
      </w:r>
      <w:r w:rsidRPr="00283C20" w:rsidR="00F52DD7">
        <w:rPr>
          <w:rFonts w:ascii="Century Schoolbook" w:hAnsi="Century Schoolbook"/>
        </w:rPr>
        <w:t xml:space="preserve"> </w:t>
      </w:r>
      <w:r w:rsidRPr="00283C20" w:rsidR="00F928DC">
        <w:rPr>
          <w:rFonts w:ascii="Century Schoolbook" w:hAnsi="Century Schoolbook"/>
        </w:rPr>
        <w:t xml:space="preserve">the intersection </w:t>
      </w:r>
      <w:r w:rsidR="00103151">
        <w:rPr>
          <w:rFonts w:ascii="Century Schoolbook" w:hAnsi="Century Schoolbook"/>
        </w:rPr>
        <w:t>at</w:t>
      </w:r>
      <w:r w:rsidRPr="00283C20" w:rsidR="00F928DC">
        <w:rPr>
          <w:rFonts w:ascii="Century Schoolbook" w:hAnsi="Century Schoolbook"/>
        </w:rPr>
        <w:t xml:space="preserve"> </w:t>
      </w:r>
      <w:r w:rsidRPr="00283C20">
        <w:rPr>
          <w:rFonts w:ascii="Century Schoolbook" w:hAnsi="Century Schoolbook"/>
        </w:rPr>
        <w:t xml:space="preserve">Grass Valley Road. </w:t>
      </w:r>
    </w:p>
    <w:p w:rsidR="00E912F3" w:rsidRPr="00283C20" w:rsidP="00E912F3" w14:paraId="5DDD71F4" w14:textId="7C26AA8F">
      <w:pPr>
        <w:spacing w:line="360" w:lineRule="auto"/>
        <w:rPr>
          <w:rFonts w:ascii="Century Schoolbook" w:hAnsi="Century Schoolbook"/>
        </w:rPr>
      </w:pPr>
      <w:r w:rsidRPr="00283C20">
        <w:rPr>
          <w:rFonts w:ascii="Century Schoolbook" w:hAnsi="Century Schoolbook"/>
        </w:rPr>
        <w:tab/>
        <w:t xml:space="preserve">Prior to but on the same day as </w:t>
      </w:r>
      <w:r w:rsidRPr="00283C20" w:rsidR="00054305">
        <w:rPr>
          <w:rFonts w:ascii="Century Schoolbook" w:hAnsi="Century Schoolbook"/>
        </w:rPr>
        <w:t xml:space="preserve">the training ride, plaintiff signed a document entitled “AIDS/LifeCycle Training Ride GENERAL </w:t>
      </w:r>
      <w:r w:rsidRPr="00283C20" w:rsidR="006B6277">
        <w:rPr>
          <w:rFonts w:ascii="Century Schoolbook" w:hAnsi="Century Schoolbook"/>
        </w:rPr>
        <w:t xml:space="preserve">INFORMATION AND </w:t>
      </w:r>
      <w:r w:rsidRPr="00283C20" w:rsidR="00054305">
        <w:rPr>
          <w:rFonts w:ascii="Century Schoolbook" w:hAnsi="Century Schoolbook"/>
        </w:rPr>
        <w:t>RELEASE AND WAIVER OF LIABILITY</w:t>
      </w:r>
      <w:r w:rsidRPr="00283C20" w:rsidR="001C00AB">
        <w:rPr>
          <w:rFonts w:ascii="Century Schoolbook" w:hAnsi="Century Schoolbook"/>
        </w:rPr>
        <w:t>, ASSUMPTION OF RISK, AND INDEMNITY AGREEMENT”</w:t>
      </w:r>
      <w:r w:rsidRPr="00283C20" w:rsidR="0048055C">
        <w:rPr>
          <w:rFonts w:ascii="Century Schoolbook" w:hAnsi="Century Schoolbook"/>
        </w:rPr>
        <w:t xml:space="preserve"> (hereafter “the </w:t>
      </w:r>
      <w:r w:rsidRPr="00283C20" w:rsidR="00BB6B45">
        <w:rPr>
          <w:rFonts w:ascii="Century Schoolbook" w:hAnsi="Century Schoolbook"/>
        </w:rPr>
        <w:t>r</w:t>
      </w:r>
      <w:r w:rsidRPr="00283C20" w:rsidR="0048055C">
        <w:rPr>
          <w:rFonts w:ascii="Century Schoolbook" w:hAnsi="Century Schoolbook"/>
        </w:rPr>
        <w:t>elease”).</w:t>
      </w:r>
      <w:r w:rsidRPr="00283C20" w:rsidR="001C00AB">
        <w:rPr>
          <w:rFonts w:ascii="Century Schoolbook" w:hAnsi="Century Schoolbook"/>
        </w:rPr>
        <w:t xml:space="preserve"> </w:t>
      </w:r>
      <w:r w:rsidRPr="00283C20" w:rsidR="00A301EC">
        <w:rPr>
          <w:rFonts w:ascii="Century Schoolbook" w:hAnsi="Century Schoolbook"/>
        </w:rPr>
        <w:t xml:space="preserve"> </w:t>
      </w:r>
      <w:r w:rsidRPr="00283C20" w:rsidR="0048055C">
        <w:rPr>
          <w:rFonts w:ascii="Century Schoolbook" w:hAnsi="Century Schoolbook"/>
        </w:rPr>
        <w:t xml:space="preserve">The </w:t>
      </w:r>
      <w:r w:rsidRPr="00283C20" w:rsidR="00BB6B45">
        <w:rPr>
          <w:rFonts w:ascii="Century Schoolbook" w:hAnsi="Century Schoolbook"/>
        </w:rPr>
        <w:t>r</w:t>
      </w:r>
      <w:r w:rsidRPr="00283C20" w:rsidR="0048055C">
        <w:rPr>
          <w:rFonts w:ascii="Century Schoolbook" w:hAnsi="Century Schoolbook"/>
        </w:rPr>
        <w:t>elease</w:t>
      </w:r>
      <w:r w:rsidRPr="00283C20" w:rsidR="00B61A16">
        <w:rPr>
          <w:rFonts w:ascii="Century Schoolbook" w:hAnsi="Century Schoolbook"/>
        </w:rPr>
        <w:t xml:space="preserve"> </w:t>
      </w:r>
      <w:r w:rsidRPr="00283C20" w:rsidR="00784609">
        <w:rPr>
          <w:rFonts w:ascii="Century Schoolbook" w:hAnsi="Century Schoolbook"/>
        </w:rPr>
        <w:t xml:space="preserve">contained the following </w:t>
      </w:r>
      <w:r w:rsidRPr="00283C20" w:rsidR="000215C2">
        <w:rPr>
          <w:rFonts w:ascii="Century Schoolbook" w:hAnsi="Century Schoolbook"/>
        </w:rPr>
        <w:t>assumption of risk provision</w:t>
      </w:r>
      <w:r w:rsidRPr="00283C20" w:rsidR="00B61A16">
        <w:rPr>
          <w:rFonts w:ascii="Century Schoolbook" w:hAnsi="Century Schoolbook"/>
        </w:rPr>
        <w:t>:</w:t>
      </w:r>
      <w:r w:rsidR="00103151">
        <w:rPr>
          <w:rFonts w:ascii="Century Schoolbook" w:hAnsi="Century Schoolbook"/>
        </w:rPr>
        <w:t xml:space="preserve"> </w:t>
      </w:r>
      <w:r w:rsidRPr="00283C20" w:rsidR="00B61A16">
        <w:rPr>
          <w:rFonts w:ascii="Century Schoolbook" w:hAnsi="Century Schoolbook"/>
        </w:rPr>
        <w:t xml:space="preserve"> “</w:t>
      </w:r>
      <w:r w:rsidRPr="00283C20" w:rsidR="00651B63">
        <w:rPr>
          <w:rFonts w:ascii="Century Schoolbook" w:hAnsi="Century Schoolbook"/>
          <w:b/>
          <w:bCs/>
          <w:u w:val="single"/>
        </w:rPr>
        <w:t>RISKS:  ASSUMPTION OF RISK</w:t>
      </w:r>
      <w:r w:rsidRPr="00283C20" w:rsidR="000B5659">
        <w:rPr>
          <w:rFonts w:ascii="Century Schoolbook" w:hAnsi="Century Schoolbook"/>
        </w:rPr>
        <w:t>.</w:t>
      </w:r>
      <w:r w:rsidRPr="00283C20" w:rsidR="00651B63">
        <w:rPr>
          <w:rFonts w:ascii="Century Schoolbook" w:hAnsi="Century Schoolbook"/>
        </w:rPr>
        <w:t xml:space="preserve">  </w:t>
      </w:r>
      <w:r w:rsidRPr="00283C20" w:rsidR="00B61A16">
        <w:rPr>
          <w:rFonts w:ascii="Century Schoolbook" w:hAnsi="Century Schoolbook"/>
        </w:rPr>
        <w:t xml:space="preserve">I understand that the Event is potentially a </w:t>
      </w:r>
      <w:r w:rsidRPr="00283C20" w:rsidR="00355B04">
        <w:rPr>
          <w:rFonts w:ascii="Century Schoolbook" w:hAnsi="Century Schoolbook"/>
        </w:rPr>
        <w:t>hazardous</w:t>
      </w:r>
      <w:r w:rsidRPr="00283C20" w:rsidR="00B61A16">
        <w:rPr>
          <w:rFonts w:ascii="Century Schoolbook" w:hAnsi="Century Schoolbook"/>
        </w:rPr>
        <w:t xml:space="preserve"> activity, and that accidents during the Event could lead to serious injury, death and/or property damage, both to me and to others.  Risks associated with the Event may include, but are not limited to: </w:t>
      </w:r>
      <w:r w:rsidR="00D053D1">
        <w:rPr>
          <w:rFonts w:ascii="Century Schoolbook" w:hAnsi="Century Schoolbook"/>
        </w:rPr>
        <w:t xml:space="preserve"> </w:t>
      </w:r>
      <w:r w:rsidRPr="00283C20" w:rsidR="00B61A16">
        <w:rPr>
          <w:rFonts w:ascii="Century Schoolbook" w:hAnsi="Century Schoolbook"/>
        </w:rPr>
        <w:t>[¶]</w:t>
      </w:r>
      <w:r w:rsidR="00D053D1">
        <w:rPr>
          <w:rFonts w:ascii="Century Schoolbook" w:hAnsi="Century Schoolbook"/>
        </w:rPr>
        <w:t> </w:t>
      </w:r>
      <w:r w:rsidRPr="00283C20" w:rsidR="00B8254B">
        <w:rPr>
          <w:rFonts w:ascii="Century Schoolbook" w:hAnsi="Century Schoolbook"/>
        </w:rPr>
        <w:t xml:space="preserve">using public streets and facilities where </w:t>
      </w:r>
      <w:r w:rsidRPr="00283C20" w:rsidR="00355B04">
        <w:rPr>
          <w:rFonts w:ascii="Century Schoolbook" w:hAnsi="Century Schoolbook"/>
        </w:rPr>
        <w:t>hazards</w:t>
      </w:r>
      <w:r w:rsidRPr="00283C20" w:rsidR="00B8254B">
        <w:rPr>
          <w:rFonts w:ascii="Century Schoolbook" w:hAnsi="Century Schoolbook"/>
        </w:rPr>
        <w:t xml:space="preserve"> such as broken pavement and road debris may exist; </w:t>
      </w:r>
      <w:r w:rsidRPr="00283C20" w:rsidR="0016259C">
        <w:rPr>
          <w:rFonts w:ascii="Century Schoolbook" w:hAnsi="Century Schoolbook"/>
        </w:rPr>
        <w:t>[¶]</w:t>
      </w:r>
      <w:r w:rsidR="0016259C">
        <w:rPr>
          <w:rFonts w:ascii="Century Schoolbook" w:hAnsi="Century Schoolbook"/>
        </w:rPr>
        <w:t> </w:t>
      </w:r>
      <w:r w:rsidRPr="00283C20" w:rsidR="00B8254B">
        <w:rPr>
          <w:rFonts w:ascii="Century Schoolbook" w:hAnsi="Century Schoolbook"/>
        </w:rPr>
        <w:t>being struck by, or colliding with . . . road debris</w:t>
      </w:r>
      <w:r w:rsidRPr="00283C20" w:rsidR="008E029C">
        <w:rPr>
          <w:rFonts w:ascii="Century Schoolbook" w:hAnsi="Century Schoolbook"/>
        </w:rPr>
        <w:t xml:space="preserve">; </w:t>
      </w:r>
      <w:r w:rsidRPr="00283C20" w:rsidR="00355B04">
        <w:rPr>
          <w:rFonts w:ascii="Century Schoolbook" w:hAnsi="Century Schoolbook"/>
        </w:rPr>
        <w:t>[¶]</w:t>
      </w:r>
      <w:r w:rsidR="00D053D1">
        <w:rPr>
          <w:rFonts w:ascii="Century Schoolbook" w:hAnsi="Century Schoolbook"/>
        </w:rPr>
        <w:t> </w:t>
      </w:r>
      <w:r w:rsidRPr="00283C20" w:rsidR="008E029C">
        <w:rPr>
          <w:rFonts w:ascii="Century Schoolbook" w:hAnsi="Century Schoolbook"/>
        </w:rPr>
        <w:t>. . .</w:t>
      </w:r>
      <w:r w:rsidR="00470355">
        <w:rPr>
          <w:rFonts w:ascii="Century Schoolbook" w:hAnsi="Century Schoolbook"/>
        </w:rPr>
        <w:t> </w:t>
      </w:r>
      <w:r w:rsidR="00D053D1">
        <w:rPr>
          <w:rFonts w:ascii="Century Schoolbook" w:hAnsi="Century Schoolbook"/>
        </w:rPr>
        <w:t xml:space="preserve">; </w:t>
      </w:r>
      <w:r w:rsidRPr="00283C20" w:rsidR="00355B04">
        <w:rPr>
          <w:rFonts w:ascii="Century Schoolbook" w:hAnsi="Century Schoolbook"/>
        </w:rPr>
        <w:t>[¶]</w:t>
      </w:r>
      <w:r w:rsidR="00D053D1">
        <w:rPr>
          <w:rFonts w:ascii="Century Schoolbook" w:hAnsi="Century Schoolbook"/>
        </w:rPr>
        <w:t> </w:t>
      </w:r>
      <w:r w:rsidRPr="00283C20" w:rsidR="008E029C">
        <w:rPr>
          <w:rFonts w:ascii="Century Schoolbook" w:hAnsi="Century Schoolbook"/>
        </w:rPr>
        <w:t xml:space="preserve">negligence or carelessness of </w:t>
      </w:r>
      <w:r w:rsidRPr="00283C20" w:rsidR="004A2374">
        <w:rPr>
          <w:rFonts w:ascii="Century Schoolbook" w:hAnsi="Century Schoolbook"/>
        </w:rPr>
        <w:t xml:space="preserve">. . . </w:t>
      </w:r>
      <w:r w:rsidRPr="00283C20" w:rsidR="008E029C">
        <w:rPr>
          <w:rFonts w:ascii="Century Schoolbook" w:hAnsi="Century Schoolbook"/>
        </w:rPr>
        <w:t xml:space="preserve">owners/lessors of the course or </w:t>
      </w:r>
      <w:r w:rsidRPr="00283C20" w:rsidR="00A22B45">
        <w:rPr>
          <w:rFonts w:ascii="Century Schoolbook" w:hAnsi="Century Schoolbook"/>
        </w:rPr>
        <w:t>facility</w:t>
      </w:r>
      <w:r w:rsidRPr="00283C20" w:rsidR="008E029C">
        <w:rPr>
          <w:rFonts w:ascii="Century Schoolbook" w:hAnsi="Century Schoolbook"/>
        </w:rPr>
        <w:t xml:space="preserve"> owners (which may include state and local governmental entities)</w:t>
      </w:r>
      <w:r w:rsidRPr="00283C20" w:rsidR="00D73EE2">
        <w:rPr>
          <w:rFonts w:ascii="Century Schoolbook" w:hAnsi="Century Schoolbook"/>
        </w:rPr>
        <w:t xml:space="preserve">; </w:t>
      </w:r>
      <w:r w:rsidRPr="00283C20" w:rsidR="0016259C">
        <w:rPr>
          <w:rFonts w:ascii="Century Schoolbook" w:hAnsi="Century Schoolbook"/>
        </w:rPr>
        <w:t>[¶]</w:t>
      </w:r>
      <w:r w:rsidR="0016259C">
        <w:rPr>
          <w:rFonts w:ascii="Century Schoolbook" w:hAnsi="Century Schoolbook"/>
        </w:rPr>
        <w:t> </w:t>
      </w:r>
      <w:r w:rsidRPr="00283C20" w:rsidR="00D73EE2">
        <w:rPr>
          <w:rFonts w:ascii="Century Schoolbook" w:hAnsi="Century Schoolbook"/>
        </w:rPr>
        <w:t>negligence or carelessness in the implementation or enforcement of any rules, regulations or guidelines related to the Events and/or in the selection</w:t>
      </w:r>
      <w:r w:rsidRPr="00283C20" w:rsidR="004A2374">
        <w:rPr>
          <w:rFonts w:ascii="Century Schoolbook" w:hAnsi="Century Schoolbook"/>
        </w:rPr>
        <w:t>,</w:t>
      </w:r>
      <w:r w:rsidRPr="00283C20" w:rsidR="00D73EE2">
        <w:rPr>
          <w:rFonts w:ascii="Century Schoolbook" w:hAnsi="Century Schoolbook"/>
        </w:rPr>
        <w:t xml:space="preserve"> use, or maintenance of any equipment, course, competition, facility or service related to the Events.</w:t>
      </w:r>
      <w:r w:rsidRPr="00283C20" w:rsidR="00A22B45">
        <w:rPr>
          <w:rFonts w:ascii="Century Schoolbook" w:hAnsi="Century Schoolbook"/>
        </w:rPr>
        <w:t xml:space="preserve"> </w:t>
      </w:r>
      <w:r w:rsidRPr="00283C20" w:rsidR="00FD3E21">
        <w:rPr>
          <w:rFonts w:ascii="Century Schoolbook" w:hAnsi="Century Schoolbook"/>
        </w:rPr>
        <w:t xml:space="preserve"> </w:t>
      </w:r>
      <w:r w:rsidRPr="00283C20" w:rsidR="00A22B45">
        <w:rPr>
          <w:rFonts w:ascii="Century Schoolbook" w:hAnsi="Century Schoolbook"/>
        </w:rPr>
        <w:t>[¶]</w:t>
      </w:r>
      <w:r w:rsidR="00D053D1">
        <w:rPr>
          <w:rFonts w:ascii="Century Schoolbook" w:hAnsi="Century Schoolbook"/>
        </w:rPr>
        <w:t> </w:t>
      </w:r>
      <w:r w:rsidRPr="00283C20" w:rsidR="00A22B45">
        <w:rPr>
          <w:rFonts w:ascii="Century Schoolbook" w:hAnsi="Century Schoolbook"/>
        </w:rPr>
        <w:t xml:space="preserve">I understand that the Event may expose me to risks other than those listed above and that the risks may not be reasonably foreseeable to me, [or the </w:t>
      </w:r>
      <w:r w:rsidRPr="00283C20" w:rsidR="00633B28">
        <w:rPr>
          <w:rFonts w:ascii="Century Schoolbook" w:hAnsi="Century Schoolbook"/>
        </w:rPr>
        <w:t>organizers</w:t>
      </w:r>
      <w:r w:rsidRPr="00283C20" w:rsidR="00A22B45">
        <w:rPr>
          <w:rFonts w:ascii="Century Schoolbook" w:hAnsi="Century Schoolbook"/>
        </w:rPr>
        <w:t>].</w:t>
      </w:r>
      <w:r w:rsidRPr="00283C20" w:rsidR="00FD3E21">
        <w:rPr>
          <w:rFonts w:ascii="Century Schoolbook" w:hAnsi="Century Schoolbook"/>
        </w:rPr>
        <w:t xml:space="preserve">  In consideration for being allowed to participate in the Event, I hereby assume all risks associated with the Event, even those risks which are not reasonably foreseeable at this time</w:t>
      </w:r>
      <w:r w:rsidRPr="00283C20" w:rsidR="00244DFA">
        <w:rPr>
          <w:rFonts w:ascii="Century Schoolbook" w:hAnsi="Century Schoolbook"/>
        </w:rPr>
        <w:t>.</w:t>
      </w:r>
      <w:r w:rsidRPr="00283C20" w:rsidR="00D73EE2">
        <w:rPr>
          <w:rFonts w:ascii="Century Schoolbook" w:hAnsi="Century Schoolbook"/>
        </w:rPr>
        <w:t xml:space="preserve">” </w:t>
      </w:r>
      <w:r w:rsidRPr="00283C20" w:rsidR="00845293">
        <w:rPr>
          <w:rFonts w:ascii="Century Schoolbook" w:hAnsi="Century Schoolbook"/>
        </w:rPr>
        <w:t xml:space="preserve"> (Bullet points </w:t>
      </w:r>
      <w:r w:rsidRPr="00283C20" w:rsidR="00244DFA">
        <w:rPr>
          <w:rFonts w:ascii="Century Schoolbook" w:hAnsi="Century Schoolbook"/>
        </w:rPr>
        <w:t xml:space="preserve">and underlining </w:t>
      </w:r>
      <w:r w:rsidRPr="00283C20" w:rsidR="00845293">
        <w:rPr>
          <w:rFonts w:ascii="Century Schoolbook" w:hAnsi="Century Schoolbook"/>
        </w:rPr>
        <w:t xml:space="preserve">omitted.)  The release </w:t>
      </w:r>
      <w:r w:rsidR="006D1CBE">
        <w:rPr>
          <w:rFonts w:ascii="Century Schoolbook" w:hAnsi="Century Schoolbook"/>
        </w:rPr>
        <w:t xml:space="preserve">expressly </w:t>
      </w:r>
      <w:r w:rsidRPr="00283C20" w:rsidR="00845293">
        <w:rPr>
          <w:rFonts w:ascii="Century Schoolbook" w:hAnsi="Century Schoolbook"/>
        </w:rPr>
        <w:t>defined the “Event” as</w:t>
      </w:r>
      <w:r w:rsidR="006D1CBE">
        <w:rPr>
          <w:rFonts w:ascii="Century Schoolbook" w:hAnsi="Century Schoolbook"/>
        </w:rPr>
        <w:t xml:space="preserve"> </w:t>
      </w:r>
      <w:r w:rsidR="001039ED">
        <w:rPr>
          <w:rFonts w:ascii="Century Schoolbook" w:hAnsi="Century Schoolbook"/>
        </w:rPr>
        <w:t xml:space="preserve">including </w:t>
      </w:r>
      <w:r w:rsidRPr="00283C20" w:rsidR="006D1CBE">
        <w:rPr>
          <w:rFonts w:ascii="Century Schoolbook" w:hAnsi="Century Schoolbook"/>
        </w:rPr>
        <w:t xml:space="preserve">training rides </w:t>
      </w:r>
      <w:r w:rsidR="001039ED">
        <w:rPr>
          <w:rFonts w:ascii="Century Schoolbook" w:hAnsi="Century Schoolbook"/>
        </w:rPr>
        <w:t xml:space="preserve">leading up to </w:t>
      </w:r>
      <w:r w:rsidRPr="00283C20" w:rsidR="00845293">
        <w:rPr>
          <w:rFonts w:ascii="Century Schoolbook" w:hAnsi="Century Schoolbook"/>
        </w:rPr>
        <w:t xml:space="preserve">the </w:t>
      </w:r>
      <w:r w:rsidRPr="00283C20" w:rsidR="00DD2FFC">
        <w:rPr>
          <w:rFonts w:ascii="Century Schoolbook" w:hAnsi="Century Schoolbook"/>
        </w:rPr>
        <w:t>seven</w:t>
      </w:r>
      <w:r w:rsidRPr="00283C20" w:rsidR="00651B63">
        <w:rPr>
          <w:rFonts w:ascii="Century Schoolbook" w:hAnsi="Century Schoolbook"/>
        </w:rPr>
        <w:t xml:space="preserve">-day ride </w:t>
      </w:r>
      <w:r w:rsidRPr="00283C20" w:rsidR="00DD2FFC">
        <w:rPr>
          <w:rFonts w:ascii="Century Schoolbook" w:hAnsi="Century Schoolbook"/>
        </w:rPr>
        <w:t xml:space="preserve">from San Francisco </w:t>
      </w:r>
      <w:r w:rsidRPr="00283C20" w:rsidR="00651B63">
        <w:rPr>
          <w:rFonts w:ascii="Century Schoolbook" w:hAnsi="Century Schoolbook"/>
        </w:rPr>
        <w:t xml:space="preserve">to Los Angeles. </w:t>
      </w:r>
    </w:p>
    <w:p w:rsidR="00845293" w:rsidRPr="00283C20" w:rsidP="00E912F3" w14:paraId="258AA481" w14:textId="0CB97A73">
      <w:pPr>
        <w:spacing w:line="360" w:lineRule="auto"/>
        <w:rPr>
          <w:rFonts w:ascii="Century Schoolbook" w:hAnsi="Century Schoolbook"/>
        </w:rPr>
      </w:pPr>
      <w:r w:rsidRPr="00283C20">
        <w:rPr>
          <w:rFonts w:ascii="Century Schoolbook" w:hAnsi="Century Schoolbook"/>
        </w:rPr>
        <w:tab/>
        <w:t xml:space="preserve">The </w:t>
      </w:r>
      <w:r w:rsidRPr="00283C20" w:rsidR="00BB6B45">
        <w:rPr>
          <w:rFonts w:ascii="Century Schoolbook" w:hAnsi="Century Schoolbook"/>
        </w:rPr>
        <w:t>r</w:t>
      </w:r>
      <w:r w:rsidRPr="00283C20">
        <w:rPr>
          <w:rFonts w:ascii="Century Schoolbook" w:hAnsi="Century Schoolbook"/>
        </w:rPr>
        <w:t xml:space="preserve">elease </w:t>
      </w:r>
      <w:r w:rsidRPr="00283C20" w:rsidR="00A301EC">
        <w:rPr>
          <w:rFonts w:ascii="Century Schoolbook" w:hAnsi="Century Schoolbook"/>
        </w:rPr>
        <w:t>also</w:t>
      </w:r>
      <w:r w:rsidRPr="00283C20">
        <w:rPr>
          <w:rFonts w:ascii="Century Schoolbook" w:hAnsi="Century Schoolbook"/>
        </w:rPr>
        <w:t xml:space="preserve"> </w:t>
      </w:r>
      <w:r w:rsidRPr="00283C20" w:rsidR="000A15A4">
        <w:rPr>
          <w:rFonts w:ascii="Century Schoolbook" w:hAnsi="Century Schoolbook"/>
        </w:rPr>
        <w:t xml:space="preserve">included </w:t>
      </w:r>
      <w:r w:rsidRPr="00283C20" w:rsidR="000215C2">
        <w:rPr>
          <w:rFonts w:ascii="Century Schoolbook" w:hAnsi="Century Schoolbook"/>
        </w:rPr>
        <w:t xml:space="preserve">a </w:t>
      </w:r>
      <w:r w:rsidRPr="00283C20" w:rsidR="000A15A4">
        <w:rPr>
          <w:rFonts w:ascii="Century Schoolbook" w:hAnsi="Century Schoolbook"/>
        </w:rPr>
        <w:t>waiver and release</w:t>
      </w:r>
      <w:r w:rsidRPr="00283C20" w:rsidR="000215C2">
        <w:rPr>
          <w:rFonts w:ascii="Century Schoolbook" w:hAnsi="Century Schoolbook"/>
        </w:rPr>
        <w:t xml:space="preserve"> provision</w:t>
      </w:r>
      <w:r w:rsidRPr="00283C20">
        <w:rPr>
          <w:rFonts w:ascii="Century Schoolbook" w:hAnsi="Century Schoolbook"/>
        </w:rPr>
        <w:t xml:space="preserve">:  </w:t>
      </w:r>
      <w:r w:rsidRPr="00283C20" w:rsidR="0029414A">
        <w:rPr>
          <w:rFonts w:ascii="Century Schoolbook" w:hAnsi="Century Schoolbook"/>
        </w:rPr>
        <w:t>“</w:t>
      </w:r>
      <w:r w:rsidRPr="00283C20">
        <w:rPr>
          <w:rFonts w:ascii="Century Schoolbook" w:hAnsi="Century Schoolbook"/>
          <w:b/>
          <w:bCs/>
          <w:u w:val="single"/>
        </w:rPr>
        <w:t>WAIVER AND RELEASE</w:t>
      </w:r>
      <w:r w:rsidRPr="00283C20">
        <w:rPr>
          <w:rFonts w:ascii="Century Schoolbook" w:hAnsi="Century Schoolbook"/>
        </w:rPr>
        <w:t xml:space="preserve">. </w:t>
      </w:r>
      <w:r w:rsidRPr="00283C20" w:rsidR="0029414A">
        <w:rPr>
          <w:rFonts w:ascii="Century Schoolbook" w:hAnsi="Century Schoolbook"/>
        </w:rPr>
        <w:t xml:space="preserve"> To the maximum extent permitted by law, I hereby release, waive, forever discharge and covenant not to sue the Releasees . . . . from all liabilities, claims, costs, expenses, damages, losses</w:t>
      </w:r>
      <w:r w:rsidRPr="00283C20" w:rsidR="00DD2FFC">
        <w:rPr>
          <w:rFonts w:ascii="Century Schoolbook" w:hAnsi="Century Schoolbook"/>
        </w:rPr>
        <w:t xml:space="preserve"> and</w:t>
      </w:r>
      <w:r w:rsidRPr="00283C20" w:rsidR="0029414A">
        <w:rPr>
          <w:rFonts w:ascii="Century Schoolbook" w:hAnsi="Century Schoolbook"/>
        </w:rPr>
        <w:t xml:space="preserve"> obligations, of any kind or nature</w:t>
      </w:r>
      <w:r w:rsidRPr="00283C20" w:rsidR="00BB6B45">
        <w:rPr>
          <w:rFonts w:ascii="Century Schoolbook" w:hAnsi="Century Schoolbook"/>
        </w:rPr>
        <w:t xml:space="preserve"> . . . which may arise or result (either directly or indirectly) from my participation in the Event.”  </w:t>
      </w:r>
      <w:r w:rsidRPr="00283C20" w:rsidR="00246144">
        <w:rPr>
          <w:rFonts w:ascii="Century Schoolbook" w:hAnsi="Century Schoolbook"/>
        </w:rPr>
        <w:t xml:space="preserve">The release </w:t>
      </w:r>
      <w:r w:rsidRPr="00283C20" w:rsidR="009F4796">
        <w:rPr>
          <w:rFonts w:ascii="Century Schoolbook" w:hAnsi="Century Schoolbook"/>
        </w:rPr>
        <w:t>went on</w:t>
      </w:r>
      <w:r w:rsidRPr="00283C20" w:rsidR="00246144">
        <w:rPr>
          <w:rFonts w:ascii="Century Schoolbook" w:hAnsi="Century Schoolbook"/>
        </w:rPr>
        <w:t>:  “For the avoidance of doubt, the Released Liabilities include all bodily injury . . . I may suffer which arises or results (either directly or indirectly) from my participation in the Event, including through any negligence of the Releasees.”</w:t>
      </w:r>
      <w:r w:rsidR="00463666">
        <w:rPr>
          <w:rFonts w:ascii="Century Schoolbook" w:hAnsi="Century Schoolbook"/>
        </w:rPr>
        <w:t xml:space="preserve">  </w:t>
      </w:r>
      <w:r w:rsidRPr="00283C20" w:rsidR="00666121">
        <w:rPr>
          <w:rFonts w:ascii="Century Schoolbook" w:hAnsi="Century Schoolbook"/>
        </w:rPr>
        <w:t>As relevant here, t</w:t>
      </w:r>
      <w:r w:rsidRPr="00283C20" w:rsidR="00BB6B45">
        <w:rPr>
          <w:rFonts w:ascii="Century Schoolbook" w:hAnsi="Century Schoolbook"/>
        </w:rPr>
        <w:t>he release defined “</w:t>
      </w:r>
      <w:r w:rsidRPr="00283C20" w:rsidR="00CE3477">
        <w:rPr>
          <w:rFonts w:ascii="Century Schoolbook" w:hAnsi="Century Schoolbook"/>
        </w:rPr>
        <w:t>R</w:t>
      </w:r>
      <w:r w:rsidRPr="00283C20" w:rsidR="00BB6B45">
        <w:rPr>
          <w:rFonts w:ascii="Century Schoolbook" w:hAnsi="Century Schoolbook"/>
        </w:rPr>
        <w:t>eleasees” as</w:t>
      </w:r>
      <w:r w:rsidRPr="00283C20" w:rsidR="00666121">
        <w:rPr>
          <w:rFonts w:ascii="Century Schoolbook" w:hAnsi="Century Schoolbook"/>
        </w:rPr>
        <w:t xml:space="preserve"> including “</w:t>
      </w:r>
      <w:r w:rsidRPr="00283C20" w:rsidR="00666121">
        <w:rPr>
          <w:rFonts w:ascii="Century Schoolbook" w:hAnsi="Century Schoolbook"/>
          <w:i/>
          <w:iCs/>
        </w:rPr>
        <w:t>the owners/lessors of the course or facilities used in the Event</w:t>
      </w:r>
      <w:r w:rsidR="00103151">
        <w:rPr>
          <w:rFonts w:ascii="Century Schoolbook" w:hAnsi="Century Schoolbook"/>
          <w:i/>
          <w:iCs/>
        </w:rPr>
        <w:t>.</w:t>
      </w:r>
      <w:r w:rsidRPr="00283C20" w:rsidR="00246144">
        <w:rPr>
          <w:rFonts w:ascii="Century Schoolbook" w:hAnsi="Century Schoolbook"/>
        </w:rPr>
        <w:t>”</w:t>
      </w:r>
      <w:r w:rsidR="004E42E2">
        <w:rPr>
          <w:rFonts w:ascii="Century Schoolbook" w:hAnsi="Century Schoolbook"/>
        </w:rPr>
        <w:t xml:space="preserve"> </w:t>
      </w:r>
      <w:r w:rsidR="00727452">
        <w:rPr>
          <w:rFonts w:ascii="Century Schoolbook" w:hAnsi="Century Schoolbook"/>
        </w:rPr>
        <w:t xml:space="preserve"> </w:t>
      </w:r>
      <w:r w:rsidR="004E42E2">
        <w:rPr>
          <w:rFonts w:ascii="Century Schoolbook" w:hAnsi="Century Schoolbook"/>
        </w:rPr>
        <w:t>(Italics added.)</w:t>
      </w:r>
      <w:r w:rsidRPr="00283C20" w:rsidR="00111F23">
        <w:rPr>
          <w:rFonts w:ascii="Century Schoolbook" w:hAnsi="Century Schoolbook"/>
        </w:rPr>
        <w:t xml:space="preserve"> </w:t>
      </w:r>
    </w:p>
    <w:p w:rsidR="00845293" w:rsidRPr="00283C20" w:rsidP="00E912F3" w14:paraId="688ADF63" w14:textId="75C7743E">
      <w:pPr>
        <w:spacing w:line="360" w:lineRule="auto"/>
        <w:rPr>
          <w:rFonts w:ascii="Century Schoolbook" w:hAnsi="Century Schoolbook"/>
        </w:rPr>
      </w:pPr>
      <w:r w:rsidRPr="00283C20">
        <w:rPr>
          <w:rFonts w:ascii="Century Schoolbook" w:hAnsi="Century Schoolbook"/>
        </w:rPr>
        <w:tab/>
      </w:r>
      <w:r w:rsidR="00103151">
        <w:rPr>
          <w:rFonts w:ascii="Century Schoolbook" w:hAnsi="Century Schoolbook"/>
        </w:rPr>
        <w:t>Additionally, t</w:t>
      </w:r>
      <w:r w:rsidRPr="00283C20">
        <w:rPr>
          <w:rFonts w:ascii="Century Schoolbook" w:hAnsi="Century Schoolbook"/>
        </w:rPr>
        <w:t xml:space="preserve">he release expressly relinquished any rights under Civil Code section 1542, which </w:t>
      </w:r>
      <w:r w:rsidRPr="00283C20" w:rsidR="0077591B">
        <w:rPr>
          <w:rFonts w:ascii="Century Schoolbook" w:hAnsi="Century Schoolbook"/>
        </w:rPr>
        <w:t xml:space="preserve">at the time </w:t>
      </w:r>
      <w:r w:rsidRPr="00283C20">
        <w:rPr>
          <w:rFonts w:ascii="Century Schoolbook" w:hAnsi="Century Schoolbook"/>
        </w:rPr>
        <w:t>provide</w:t>
      </w:r>
      <w:r w:rsidRPr="00283C20" w:rsidR="00972C4C">
        <w:rPr>
          <w:rFonts w:ascii="Century Schoolbook" w:hAnsi="Century Schoolbook"/>
        </w:rPr>
        <w:t>d</w:t>
      </w:r>
      <w:r w:rsidRPr="00283C20">
        <w:rPr>
          <w:rFonts w:ascii="Century Schoolbook" w:hAnsi="Century Schoolbook"/>
        </w:rPr>
        <w:t>:  “</w:t>
      </w:r>
      <w:r w:rsidRPr="00283C20" w:rsidR="006E2D4F">
        <w:rPr>
          <w:rFonts w:ascii="Century Schoolbook" w:hAnsi="Century Schoolbook"/>
        </w:rPr>
        <w:t xml:space="preserve">A general release does not extend to claims </w:t>
      </w:r>
      <w:r w:rsidRPr="00283C20" w:rsidR="00274CA4">
        <w:rPr>
          <w:rFonts w:ascii="Century Schoolbook" w:hAnsi="Century Schoolbook"/>
        </w:rPr>
        <w:t>which</w:t>
      </w:r>
      <w:r w:rsidRPr="00283C20" w:rsidR="006E2D4F">
        <w:rPr>
          <w:rFonts w:ascii="Century Schoolbook" w:hAnsi="Century Schoolbook"/>
        </w:rPr>
        <w:t xml:space="preserve"> the creditor does not know or suspect to exist in his or her favor at the time of executing the release,</w:t>
      </w:r>
      <w:r w:rsidRPr="00283C20" w:rsidR="00813878">
        <w:rPr>
          <w:rFonts w:ascii="Century Schoolbook" w:hAnsi="Century Schoolbook"/>
        </w:rPr>
        <w:t xml:space="preserve"> which</w:t>
      </w:r>
      <w:r w:rsidRPr="00283C20" w:rsidR="006E2D4F">
        <w:rPr>
          <w:rFonts w:ascii="Century Schoolbook" w:hAnsi="Century Schoolbook"/>
        </w:rPr>
        <w:t xml:space="preserve"> if known by him or her</w:t>
      </w:r>
      <w:r w:rsidRPr="00283C20" w:rsidR="00813878">
        <w:rPr>
          <w:rFonts w:ascii="Century Schoolbook" w:hAnsi="Century Schoolbook"/>
        </w:rPr>
        <w:t xml:space="preserve"> must</w:t>
      </w:r>
      <w:r w:rsidRPr="00283C20" w:rsidR="006E2D4F">
        <w:rPr>
          <w:rFonts w:ascii="Century Schoolbook" w:hAnsi="Century Schoolbook"/>
        </w:rPr>
        <w:t xml:space="preserve"> have materially affected his or her settlement with the debtor.</w:t>
      </w:r>
      <w:r w:rsidRPr="00283C20">
        <w:rPr>
          <w:rFonts w:ascii="Century Schoolbook" w:hAnsi="Century Schoolbook"/>
        </w:rPr>
        <w:t>”</w:t>
      </w:r>
      <w:r w:rsidRPr="00283C20" w:rsidR="00813878">
        <w:rPr>
          <w:rFonts w:ascii="Century Schoolbook" w:hAnsi="Century Schoolbook"/>
        </w:rPr>
        <w:t xml:space="preserve">  (Former Civ. Code, §</w:t>
      </w:r>
      <w:r w:rsidRPr="00283C20" w:rsidR="00C652F1">
        <w:rPr>
          <w:rFonts w:ascii="Century Schoolbook" w:hAnsi="Century Schoolbook"/>
        </w:rPr>
        <w:t> </w:t>
      </w:r>
      <w:r w:rsidRPr="00283C20" w:rsidR="00813878">
        <w:rPr>
          <w:rFonts w:ascii="Century Schoolbook" w:hAnsi="Century Schoolbook"/>
        </w:rPr>
        <w:t xml:space="preserve">1542, </w:t>
      </w:r>
      <w:r w:rsidRPr="00283C20" w:rsidR="001737FC">
        <w:rPr>
          <w:rFonts w:ascii="Century Schoolbook" w:hAnsi="Century Schoolbook"/>
        </w:rPr>
        <w:t>amended by Stats</w:t>
      </w:r>
      <w:r w:rsidRPr="00283C20" w:rsidR="002A0223">
        <w:rPr>
          <w:rFonts w:ascii="Century Schoolbook" w:hAnsi="Century Schoolbook"/>
        </w:rPr>
        <w:t>. </w:t>
      </w:r>
      <w:r w:rsidRPr="00283C20" w:rsidR="001737FC">
        <w:rPr>
          <w:rFonts w:ascii="Century Schoolbook" w:hAnsi="Century Schoolbook"/>
        </w:rPr>
        <w:t>2018</w:t>
      </w:r>
      <w:r w:rsidRPr="00283C20" w:rsidR="002A0223">
        <w:rPr>
          <w:rFonts w:ascii="Century Schoolbook" w:hAnsi="Century Schoolbook"/>
        </w:rPr>
        <w:t>,</w:t>
      </w:r>
      <w:r w:rsidRPr="00283C20" w:rsidR="001737FC">
        <w:rPr>
          <w:rFonts w:ascii="Century Schoolbook" w:hAnsi="Century Schoolbook"/>
        </w:rPr>
        <w:t xml:space="preserve"> ch</w:t>
      </w:r>
      <w:r w:rsidRPr="00283C20" w:rsidR="002A0223">
        <w:rPr>
          <w:rFonts w:ascii="Century Schoolbook" w:hAnsi="Century Schoolbook"/>
        </w:rPr>
        <w:t>. </w:t>
      </w:r>
      <w:r w:rsidRPr="00283C20" w:rsidR="001737FC">
        <w:rPr>
          <w:rFonts w:ascii="Century Schoolbook" w:hAnsi="Century Schoolbook"/>
        </w:rPr>
        <w:t>157</w:t>
      </w:r>
      <w:r w:rsidRPr="00283C20" w:rsidR="002A0223">
        <w:rPr>
          <w:rFonts w:ascii="Century Schoolbook" w:hAnsi="Century Schoolbook"/>
        </w:rPr>
        <w:t>,</w:t>
      </w:r>
      <w:r w:rsidRPr="00283C20" w:rsidR="001737FC">
        <w:rPr>
          <w:rFonts w:ascii="Century Schoolbook" w:hAnsi="Century Schoolbook"/>
        </w:rPr>
        <w:t xml:space="preserve"> §</w:t>
      </w:r>
      <w:r w:rsidRPr="00283C20" w:rsidR="002A0223">
        <w:rPr>
          <w:rFonts w:ascii="Century Schoolbook" w:hAnsi="Century Schoolbook"/>
        </w:rPr>
        <w:t> </w:t>
      </w:r>
      <w:r w:rsidRPr="00283C20" w:rsidR="001737FC">
        <w:rPr>
          <w:rFonts w:ascii="Century Schoolbook" w:hAnsi="Century Schoolbook"/>
        </w:rPr>
        <w:t>2, eff</w:t>
      </w:r>
      <w:r w:rsidRPr="00283C20" w:rsidR="002A0223">
        <w:rPr>
          <w:rFonts w:ascii="Century Schoolbook" w:hAnsi="Century Schoolbook"/>
        </w:rPr>
        <w:t>.</w:t>
      </w:r>
      <w:r w:rsidRPr="00283C20" w:rsidR="001737FC">
        <w:rPr>
          <w:rFonts w:ascii="Century Schoolbook" w:hAnsi="Century Schoolbook"/>
        </w:rPr>
        <w:t xml:space="preserve"> Jan</w:t>
      </w:r>
      <w:r w:rsidRPr="00283C20" w:rsidR="0077591B">
        <w:rPr>
          <w:rFonts w:ascii="Century Schoolbook" w:hAnsi="Century Schoolbook"/>
        </w:rPr>
        <w:t>.</w:t>
      </w:r>
      <w:r w:rsidR="003D23BB">
        <w:rPr>
          <w:rFonts w:ascii="Century Schoolbook" w:hAnsi="Century Schoolbook"/>
        </w:rPr>
        <w:t> </w:t>
      </w:r>
      <w:r w:rsidRPr="00283C20" w:rsidR="001737FC">
        <w:rPr>
          <w:rFonts w:ascii="Century Schoolbook" w:hAnsi="Century Schoolbook"/>
        </w:rPr>
        <w:t>1, 2019.</w:t>
      </w:r>
      <w:r w:rsidRPr="00283C20" w:rsidR="00813878">
        <w:rPr>
          <w:rFonts w:ascii="Century Schoolbook" w:hAnsi="Century Schoolbook"/>
        </w:rPr>
        <w:t>)</w:t>
      </w:r>
      <w:r w:rsidRPr="00283C20" w:rsidR="0071377D">
        <w:rPr>
          <w:rFonts w:ascii="Century Schoolbook" w:hAnsi="Century Schoolbook"/>
        </w:rPr>
        <w:t xml:space="preserve"> </w:t>
      </w:r>
    </w:p>
    <w:p w:rsidR="00D80BE4" w:rsidRPr="00283C20" w:rsidP="00090820" w14:paraId="34C66924" w14:textId="5B9CE58B">
      <w:pPr>
        <w:spacing w:line="360" w:lineRule="auto"/>
        <w:rPr>
          <w:rFonts w:ascii="Century Schoolbook" w:hAnsi="Century Schoolbook"/>
        </w:rPr>
      </w:pPr>
      <w:r w:rsidRPr="00283C20">
        <w:rPr>
          <w:rFonts w:ascii="Century Schoolbook" w:hAnsi="Century Schoolbook"/>
        </w:rPr>
        <w:tab/>
      </w:r>
      <w:r w:rsidR="00D43AA8">
        <w:rPr>
          <w:rFonts w:ascii="Century Schoolbook" w:hAnsi="Century Schoolbook"/>
        </w:rPr>
        <w:t>P</w:t>
      </w:r>
      <w:r w:rsidRPr="00283C20">
        <w:rPr>
          <w:rFonts w:ascii="Century Schoolbook" w:hAnsi="Century Schoolbook"/>
        </w:rPr>
        <w:t xml:space="preserve">laintiff filed </w:t>
      </w:r>
      <w:r w:rsidR="00D43AA8">
        <w:rPr>
          <w:rFonts w:ascii="Century Schoolbook" w:hAnsi="Century Schoolbook"/>
        </w:rPr>
        <w:t xml:space="preserve">this </w:t>
      </w:r>
      <w:r w:rsidRPr="00283C20">
        <w:rPr>
          <w:rFonts w:ascii="Century Schoolbook" w:hAnsi="Century Schoolbook"/>
        </w:rPr>
        <w:t xml:space="preserve">suit </w:t>
      </w:r>
      <w:r w:rsidRPr="00283C20" w:rsidR="0080086B">
        <w:rPr>
          <w:rFonts w:ascii="Century Schoolbook" w:hAnsi="Century Schoolbook"/>
        </w:rPr>
        <w:t>alleg</w:t>
      </w:r>
      <w:r w:rsidRPr="00283C20" w:rsidR="00F36C04">
        <w:rPr>
          <w:rFonts w:ascii="Century Schoolbook" w:hAnsi="Century Schoolbook"/>
        </w:rPr>
        <w:t>ing</w:t>
      </w:r>
      <w:r w:rsidRPr="00283C20" w:rsidR="0080086B">
        <w:rPr>
          <w:rFonts w:ascii="Century Schoolbook" w:hAnsi="Century Schoolbook"/>
        </w:rPr>
        <w:t xml:space="preserve"> </w:t>
      </w:r>
      <w:r w:rsidR="00D43AA8">
        <w:rPr>
          <w:rFonts w:ascii="Century Schoolbook" w:hAnsi="Century Schoolbook"/>
        </w:rPr>
        <w:t xml:space="preserve">that </w:t>
      </w:r>
      <w:r w:rsidRPr="00283C20" w:rsidR="00CD0913">
        <w:rPr>
          <w:rFonts w:ascii="Century Schoolbook" w:hAnsi="Century Schoolbook"/>
        </w:rPr>
        <w:t xml:space="preserve">defendant failed to </w:t>
      </w:r>
      <w:r w:rsidRPr="00283C20" w:rsidR="00E06326">
        <w:rPr>
          <w:rFonts w:ascii="Century Schoolbook" w:hAnsi="Century Schoolbook"/>
        </w:rPr>
        <w:t>maintain</w:t>
      </w:r>
      <w:r w:rsidRPr="00283C20" w:rsidR="00F36C04">
        <w:rPr>
          <w:rFonts w:ascii="Century Schoolbook" w:hAnsi="Century Schoolbook"/>
        </w:rPr>
        <w:t xml:space="preserve"> and</w:t>
      </w:r>
      <w:r w:rsidRPr="00283C20" w:rsidR="00CD0913">
        <w:rPr>
          <w:rFonts w:ascii="Century Schoolbook" w:hAnsi="Century Schoolbook"/>
        </w:rPr>
        <w:t xml:space="preserve"> repair Skyline Boulevard</w:t>
      </w:r>
      <w:r w:rsidRPr="00283C20" w:rsidR="00E06326">
        <w:rPr>
          <w:rFonts w:ascii="Century Schoolbook" w:hAnsi="Century Schoolbook"/>
        </w:rPr>
        <w:t xml:space="preserve"> and</w:t>
      </w:r>
      <w:r w:rsidRPr="00283C20" w:rsidR="00CD0913">
        <w:rPr>
          <w:rFonts w:ascii="Century Schoolbook" w:hAnsi="Century Schoolbook"/>
        </w:rPr>
        <w:t xml:space="preserve"> </w:t>
      </w:r>
      <w:r w:rsidRPr="00283C20" w:rsidR="00E06326">
        <w:rPr>
          <w:rFonts w:ascii="Century Schoolbook" w:hAnsi="Century Schoolbook"/>
        </w:rPr>
        <w:t>that</w:t>
      </w:r>
      <w:r w:rsidRPr="00283C20" w:rsidR="00F36C04">
        <w:rPr>
          <w:rFonts w:ascii="Century Schoolbook" w:hAnsi="Century Schoolbook"/>
        </w:rPr>
        <w:t xml:space="preserve"> the location of the accident was </w:t>
      </w:r>
      <w:r w:rsidRPr="00283C20" w:rsidR="00CC751C">
        <w:rPr>
          <w:rFonts w:ascii="Century Schoolbook" w:hAnsi="Century Schoolbook"/>
        </w:rPr>
        <w:t xml:space="preserve">in </w:t>
      </w:r>
      <w:r w:rsidRPr="00283C20" w:rsidR="00F36C04">
        <w:rPr>
          <w:rFonts w:ascii="Century Schoolbook" w:hAnsi="Century Schoolbook"/>
        </w:rPr>
        <w:t>a dangerous condition due to the pothole</w:t>
      </w:r>
      <w:r w:rsidRPr="00283C20" w:rsidR="00497E44">
        <w:rPr>
          <w:rFonts w:ascii="Century Schoolbook" w:hAnsi="Century Schoolbook"/>
        </w:rPr>
        <w:t xml:space="preserve"> that plaintiff hit</w:t>
      </w:r>
      <w:r w:rsidRPr="00283C20" w:rsidR="00F36C04">
        <w:rPr>
          <w:rFonts w:ascii="Century Schoolbook" w:hAnsi="Century Schoolbook"/>
        </w:rPr>
        <w:t xml:space="preserve">. </w:t>
      </w:r>
      <w:r w:rsidRPr="00283C20" w:rsidR="00C3797A">
        <w:rPr>
          <w:rFonts w:ascii="Century Schoolbook" w:hAnsi="Century Schoolbook"/>
        </w:rPr>
        <w:t xml:space="preserve"> Plaintiff</w:t>
      </w:r>
      <w:r w:rsidRPr="00283C20" w:rsidR="00C4667C">
        <w:rPr>
          <w:rFonts w:ascii="Century Schoolbook" w:hAnsi="Century Schoolbook"/>
        </w:rPr>
        <w:t>’s</w:t>
      </w:r>
      <w:r w:rsidRPr="00283C20" w:rsidR="00C3797A">
        <w:rPr>
          <w:rFonts w:ascii="Century Schoolbook" w:hAnsi="Century Schoolbook"/>
        </w:rPr>
        <w:t xml:space="preserve"> </w:t>
      </w:r>
      <w:r w:rsidRPr="00283C20" w:rsidR="00C4667C">
        <w:rPr>
          <w:rFonts w:ascii="Century Schoolbook" w:hAnsi="Century Schoolbook"/>
        </w:rPr>
        <w:t>complaint alleged</w:t>
      </w:r>
      <w:r w:rsidRPr="00283C20" w:rsidR="00AF7697">
        <w:rPr>
          <w:rFonts w:ascii="Century Schoolbook" w:hAnsi="Century Schoolbook"/>
        </w:rPr>
        <w:t xml:space="preserve"> </w:t>
      </w:r>
      <w:r w:rsidRPr="00283C20" w:rsidR="00976CD2">
        <w:rPr>
          <w:rFonts w:ascii="Century Schoolbook" w:hAnsi="Century Schoolbook"/>
        </w:rPr>
        <w:t>one</w:t>
      </w:r>
      <w:r w:rsidRPr="00283C20" w:rsidR="00C4667C">
        <w:rPr>
          <w:rFonts w:ascii="Century Schoolbook" w:hAnsi="Century Schoolbook"/>
        </w:rPr>
        <w:t xml:space="preserve"> cause of action for dangerous condition of public property</w:t>
      </w:r>
      <w:r w:rsidRPr="00283C20" w:rsidR="00CC751C">
        <w:rPr>
          <w:rFonts w:ascii="Century Schoolbook" w:hAnsi="Century Schoolbook"/>
        </w:rPr>
        <w:t xml:space="preserve"> (Gov. Code, § 835 et seq.)</w:t>
      </w:r>
      <w:r w:rsidRPr="00283C20" w:rsidR="00C4667C">
        <w:rPr>
          <w:rFonts w:ascii="Century Schoolbook" w:hAnsi="Century Schoolbook"/>
        </w:rPr>
        <w:t xml:space="preserve"> and </w:t>
      </w:r>
      <w:r w:rsidRPr="00283C20" w:rsidR="00976CD2">
        <w:rPr>
          <w:rFonts w:ascii="Century Schoolbook" w:hAnsi="Century Schoolbook"/>
        </w:rPr>
        <w:t>one</w:t>
      </w:r>
      <w:r w:rsidRPr="00283C20" w:rsidR="00AF7697">
        <w:rPr>
          <w:rFonts w:ascii="Century Schoolbook" w:hAnsi="Century Schoolbook"/>
        </w:rPr>
        <w:t xml:space="preserve"> cause of action for </w:t>
      </w:r>
      <w:r w:rsidRPr="00283C20" w:rsidR="00FA1326">
        <w:rPr>
          <w:rFonts w:ascii="Century Schoolbook" w:hAnsi="Century Schoolbook"/>
        </w:rPr>
        <w:t xml:space="preserve">public employee or contractor liability for </w:t>
      </w:r>
      <w:r w:rsidRPr="00283C20" w:rsidR="00CC751C">
        <w:rPr>
          <w:rFonts w:ascii="Century Schoolbook" w:hAnsi="Century Schoolbook"/>
        </w:rPr>
        <w:t>a</w:t>
      </w:r>
      <w:r w:rsidRPr="00283C20" w:rsidR="00FA1326">
        <w:rPr>
          <w:rFonts w:ascii="Century Schoolbook" w:hAnsi="Century Schoolbook"/>
        </w:rPr>
        <w:t xml:space="preserve"> dangerous condition</w:t>
      </w:r>
      <w:r w:rsidRPr="00283C20" w:rsidR="00AF7697">
        <w:rPr>
          <w:rFonts w:ascii="Century Schoolbook" w:hAnsi="Century Schoolbook"/>
        </w:rPr>
        <w:t>.</w:t>
      </w:r>
      <w:r w:rsidRPr="00283C20" w:rsidR="00C4667C">
        <w:rPr>
          <w:rFonts w:ascii="Century Schoolbook" w:hAnsi="Century Schoolbook"/>
        </w:rPr>
        <w:t xml:space="preserve"> </w:t>
      </w:r>
    </w:p>
    <w:p w:rsidR="008A6CCD" w:rsidRPr="00283C20" w:rsidP="004B1F9E" w14:paraId="70CC2C08" w14:textId="12613AF6">
      <w:pPr>
        <w:spacing w:line="360" w:lineRule="auto"/>
        <w:rPr>
          <w:rFonts w:ascii="Century Schoolbook" w:hAnsi="Century Schoolbook"/>
        </w:rPr>
      </w:pPr>
      <w:r w:rsidRPr="00283C20">
        <w:rPr>
          <w:rFonts w:ascii="Century Schoolbook" w:hAnsi="Century Schoolbook"/>
        </w:rPr>
        <w:tab/>
      </w:r>
      <w:r w:rsidR="00D43AA8">
        <w:rPr>
          <w:rFonts w:ascii="Century Schoolbook" w:hAnsi="Century Schoolbook"/>
        </w:rPr>
        <w:t>D</w:t>
      </w:r>
      <w:r w:rsidRPr="00283C20">
        <w:rPr>
          <w:rFonts w:ascii="Century Schoolbook" w:hAnsi="Century Schoolbook"/>
        </w:rPr>
        <w:t>efendant</w:t>
      </w:r>
      <w:r w:rsidR="00D43AA8">
        <w:rPr>
          <w:rFonts w:ascii="Century Schoolbook" w:hAnsi="Century Schoolbook"/>
        </w:rPr>
        <w:t>’s</w:t>
      </w:r>
      <w:r w:rsidRPr="00283C20">
        <w:rPr>
          <w:rFonts w:ascii="Century Schoolbook" w:hAnsi="Century Schoolbook"/>
        </w:rPr>
        <w:t xml:space="preserve"> first motion for summary judgment</w:t>
      </w:r>
      <w:r w:rsidRPr="00283C20" w:rsidR="00976CD2">
        <w:rPr>
          <w:rFonts w:ascii="Century Schoolbook" w:hAnsi="Century Schoolbook"/>
        </w:rPr>
        <w:t xml:space="preserve"> </w:t>
      </w:r>
      <w:r w:rsidR="00D43AA8">
        <w:rPr>
          <w:rFonts w:ascii="Century Schoolbook" w:hAnsi="Century Schoolbook"/>
        </w:rPr>
        <w:t>contended</w:t>
      </w:r>
      <w:r w:rsidRPr="00283C20" w:rsidR="00976CD2">
        <w:rPr>
          <w:rFonts w:ascii="Century Schoolbook" w:hAnsi="Century Schoolbook"/>
        </w:rPr>
        <w:t xml:space="preserve"> </w:t>
      </w:r>
      <w:r w:rsidRPr="00283C20" w:rsidR="00A52A2E">
        <w:rPr>
          <w:rFonts w:ascii="Century Schoolbook" w:hAnsi="Century Schoolbook"/>
        </w:rPr>
        <w:t>in part</w:t>
      </w:r>
      <w:r w:rsidRPr="00283C20" w:rsidR="00976CD2">
        <w:rPr>
          <w:rFonts w:ascii="Century Schoolbook" w:hAnsi="Century Schoolbook"/>
        </w:rPr>
        <w:t xml:space="preserve"> that </w:t>
      </w:r>
      <w:r w:rsidRPr="00283C20" w:rsidR="002C1ED9">
        <w:rPr>
          <w:rFonts w:ascii="Century Schoolbook" w:hAnsi="Century Schoolbook"/>
        </w:rPr>
        <w:t xml:space="preserve">the primary assumption of risk doctrine barred </w:t>
      </w:r>
      <w:r w:rsidR="00785A85">
        <w:rPr>
          <w:rFonts w:ascii="Century Schoolbook" w:hAnsi="Century Schoolbook"/>
        </w:rPr>
        <w:t xml:space="preserve">plaintiff’s </w:t>
      </w:r>
      <w:r w:rsidRPr="00283C20" w:rsidR="002C1ED9">
        <w:rPr>
          <w:rFonts w:ascii="Century Schoolbook" w:hAnsi="Century Schoolbook"/>
        </w:rPr>
        <w:t>recover</w:t>
      </w:r>
      <w:r w:rsidR="00103151">
        <w:rPr>
          <w:rFonts w:ascii="Century Schoolbook" w:hAnsi="Century Schoolbook"/>
        </w:rPr>
        <w:t>y</w:t>
      </w:r>
      <w:r w:rsidRPr="00283C20" w:rsidR="00F928DC">
        <w:rPr>
          <w:rFonts w:ascii="Century Schoolbook" w:hAnsi="Century Schoolbook"/>
        </w:rPr>
        <w:t xml:space="preserve">. </w:t>
      </w:r>
      <w:r w:rsidRPr="00283C20" w:rsidR="0029624E">
        <w:rPr>
          <w:rFonts w:ascii="Century Schoolbook" w:hAnsi="Century Schoolbook"/>
        </w:rPr>
        <w:t xml:space="preserve"> </w:t>
      </w:r>
      <w:r w:rsidR="00103151">
        <w:rPr>
          <w:rFonts w:ascii="Century Schoolbook" w:hAnsi="Century Schoolbook"/>
        </w:rPr>
        <w:t>T</w:t>
      </w:r>
      <w:r w:rsidRPr="00283C20" w:rsidR="0029624E">
        <w:rPr>
          <w:rFonts w:ascii="Century Schoolbook" w:hAnsi="Century Schoolbook"/>
        </w:rPr>
        <w:t xml:space="preserve">he trial court granted </w:t>
      </w:r>
      <w:r w:rsidRPr="00283C20" w:rsidR="000B4A05">
        <w:rPr>
          <w:rFonts w:ascii="Century Schoolbook" w:hAnsi="Century Schoolbook"/>
        </w:rPr>
        <w:t>summary adjudication</w:t>
      </w:r>
      <w:r w:rsidRPr="00283C20" w:rsidR="0029624E">
        <w:rPr>
          <w:rFonts w:ascii="Century Schoolbook" w:hAnsi="Century Schoolbook"/>
        </w:rPr>
        <w:t xml:space="preserve"> </w:t>
      </w:r>
      <w:r w:rsidRPr="00283C20" w:rsidR="000B4A05">
        <w:rPr>
          <w:rFonts w:ascii="Century Schoolbook" w:hAnsi="Century Schoolbook"/>
        </w:rPr>
        <w:t>of</w:t>
      </w:r>
      <w:r w:rsidRPr="00283C20" w:rsidR="0029624E">
        <w:rPr>
          <w:rFonts w:ascii="Century Schoolbook" w:hAnsi="Century Schoolbook"/>
        </w:rPr>
        <w:t xml:space="preserve"> the cause of action for public employee liability </w:t>
      </w:r>
      <w:r w:rsidRPr="00283C20" w:rsidR="006B0EF5">
        <w:rPr>
          <w:rFonts w:ascii="Century Schoolbook" w:hAnsi="Century Schoolbook"/>
        </w:rPr>
        <w:t>because</w:t>
      </w:r>
      <w:r w:rsidRPr="00283C20" w:rsidR="0029624E">
        <w:rPr>
          <w:rFonts w:ascii="Century Schoolbook" w:hAnsi="Century Schoolbook"/>
        </w:rPr>
        <w:t xml:space="preserve"> plaintiff had not sued any of defendant’s employees. </w:t>
      </w:r>
      <w:r w:rsidRPr="00283C20" w:rsidR="004A50E9">
        <w:rPr>
          <w:rFonts w:ascii="Century Schoolbook" w:hAnsi="Century Schoolbook"/>
        </w:rPr>
        <w:t xml:space="preserve"> But the court denied</w:t>
      </w:r>
      <w:r w:rsidRPr="00283C20" w:rsidR="006B0EF5">
        <w:rPr>
          <w:rFonts w:ascii="Century Schoolbook" w:hAnsi="Century Schoolbook"/>
        </w:rPr>
        <w:t xml:space="preserve"> summary judgment</w:t>
      </w:r>
      <w:r w:rsidR="00D43AA8">
        <w:rPr>
          <w:rFonts w:ascii="Century Schoolbook" w:hAnsi="Century Schoolbook"/>
        </w:rPr>
        <w:t>, concluding</w:t>
      </w:r>
      <w:r w:rsidRPr="00283C20" w:rsidR="00CA7EAA">
        <w:rPr>
          <w:rFonts w:ascii="Century Schoolbook" w:hAnsi="Century Schoolbook"/>
        </w:rPr>
        <w:t xml:space="preserve"> defendant had not, as a matter of law, </w:t>
      </w:r>
      <w:r w:rsidRPr="00283C20" w:rsidR="004B1F9E">
        <w:rPr>
          <w:rFonts w:ascii="Century Schoolbook" w:hAnsi="Century Schoolbook"/>
        </w:rPr>
        <w:t>“negated the element of duty under the primary assumption of risk</w:t>
      </w:r>
      <w:r w:rsidR="00D43AA8">
        <w:rPr>
          <w:rFonts w:ascii="Century Schoolbook" w:hAnsi="Century Schoolbook"/>
        </w:rPr>
        <w:t xml:space="preserve"> </w:t>
      </w:r>
      <w:r w:rsidRPr="00283C20" w:rsidR="004B1F9E">
        <w:rPr>
          <w:rFonts w:ascii="Century Schoolbook" w:hAnsi="Century Schoolbook"/>
        </w:rPr>
        <w:t>doctrine</w:t>
      </w:r>
      <w:r w:rsidRPr="00283C20" w:rsidR="000B2C23">
        <w:rPr>
          <w:rFonts w:ascii="Century Schoolbook" w:hAnsi="Century Schoolbook"/>
        </w:rPr>
        <w:t>.</w:t>
      </w:r>
      <w:r w:rsidRPr="00283C20" w:rsidR="004B1F9E">
        <w:rPr>
          <w:rFonts w:ascii="Century Schoolbook" w:hAnsi="Century Schoolbook"/>
        </w:rPr>
        <w:t>”</w:t>
      </w:r>
      <w:r w:rsidRPr="00283C20" w:rsidR="000B2C23">
        <w:rPr>
          <w:rFonts w:ascii="Century Schoolbook" w:hAnsi="Century Schoolbook"/>
        </w:rPr>
        <w:t xml:space="preserve"> </w:t>
      </w:r>
      <w:r w:rsidRPr="00283C20" w:rsidR="00224587">
        <w:rPr>
          <w:rFonts w:ascii="Century Schoolbook" w:hAnsi="Century Schoolbook"/>
        </w:rPr>
        <w:t xml:space="preserve"> </w:t>
      </w:r>
      <w:r w:rsidR="00D43AA8">
        <w:rPr>
          <w:rFonts w:ascii="Century Schoolbook" w:hAnsi="Century Schoolbook"/>
        </w:rPr>
        <w:t>T</w:t>
      </w:r>
      <w:r w:rsidRPr="00283C20">
        <w:rPr>
          <w:rFonts w:ascii="Century Schoolbook" w:hAnsi="Century Schoolbook"/>
        </w:rPr>
        <w:t>he court</w:t>
      </w:r>
      <w:r w:rsidR="00D43AA8">
        <w:rPr>
          <w:rFonts w:ascii="Century Schoolbook" w:hAnsi="Century Schoolbook"/>
        </w:rPr>
        <w:t>, however,</w:t>
      </w:r>
      <w:r w:rsidRPr="00283C20">
        <w:rPr>
          <w:rFonts w:ascii="Century Schoolbook" w:hAnsi="Century Schoolbook"/>
        </w:rPr>
        <w:t xml:space="preserve"> noted it</w:t>
      </w:r>
      <w:r w:rsidR="00493E74">
        <w:rPr>
          <w:rFonts w:ascii="Century Schoolbook" w:hAnsi="Century Schoolbook"/>
        </w:rPr>
        <w:t xml:space="preserve">s ruling </w:t>
      </w:r>
      <w:r w:rsidR="00B64A58">
        <w:rPr>
          <w:rFonts w:ascii="Century Schoolbook" w:hAnsi="Century Schoolbook"/>
        </w:rPr>
        <w:t xml:space="preserve">as to the primary assumption of risk doctrine </w:t>
      </w:r>
      <w:r w:rsidR="00493E74">
        <w:rPr>
          <w:rFonts w:ascii="Century Schoolbook" w:hAnsi="Century Schoolbook"/>
        </w:rPr>
        <w:t>was</w:t>
      </w:r>
      <w:r w:rsidRPr="00283C20">
        <w:rPr>
          <w:rFonts w:ascii="Century Schoolbook" w:hAnsi="Century Schoolbook"/>
        </w:rPr>
        <w:t xml:space="preserve"> “without prejudice” to defendant </w:t>
      </w:r>
      <w:r w:rsidR="00B64A58">
        <w:rPr>
          <w:rFonts w:ascii="Century Schoolbook" w:hAnsi="Century Schoolbook"/>
        </w:rPr>
        <w:t xml:space="preserve">renewing that argument in </w:t>
      </w:r>
      <w:r w:rsidR="00493E74">
        <w:rPr>
          <w:rFonts w:ascii="Century Schoolbook" w:hAnsi="Century Schoolbook"/>
        </w:rPr>
        <w:t xml:space="preserve">a </w:t>
      </w:r>
      <w:r w:rsidR="00AD5E7F">
        <w:rPr>
          <w:rFonts w:ascii="Century Schoolbook" w:hAnsi="Century Schoolbook"/>
        </w:rPr>
        <w:t xml:space="preserve">future </w:t>
      </w:r>
      <w:r w:rsidR="00493E74">
        <w:rPr>
          <w:rFonts w:ascii="Century Schoolbook" w:hAnsi="Century Schoolbook"/>
        </w:rPr>
        <w:t xml:space="preserve">motion </w:t>
      </w:r>
      <w:r w:rsidRPr="00283C20">
        <w:rPr>
          <w:rFonts w:ascii="Century Schoolbook" w:hAnsi="Century Schoolbook"/>
        </w:rPr>
        <w:t>for summary judgment based on the release.</w:t>
      </w:r>
      <w:r>
        <w:rPr>
          <w:rStyle w:val="FootnoteReference"/>
          <w:rFonts w:ascii="Century Schoolbook" w:hAnsi="Century Schoolbook"/>
        </w:rPr>
        <w:footnoteReference w:id="2"/>
      </w:r>
      <w:r w:rsidRPr="00283C20">
        <w:rPr>
          <w:rFonts w:ascii="Century Schoolbook" w:hAnsi="Century Schoolbook"/>
        </w:rPr>
        <w:t xml:space="preserve"> </w:t>
      </w:r>
    </w:p>
    <w:p w:rsidR="004B36CC" w:rsidRPr="00283C20" w:rsidP="00090820" w14:paraId="57A4443D" w14:textId="474DC9B0">
      <w:pPr>
        <w:spacing w:line="360" w:lineRule="auto"/>
        <w:rPr>
          <w:rFonts w:ascii="Century Schoolbook" w:hAnsi="Century Schoolbook"/>
        </w:rPr>
      </w:pPr>
      <w:r w:rsidRPr="00283C20">
        <w:rPr>
          <w:rFonts w:ascii="Century Schoolbook" w:hAnsi="Century Schoolbook"/>
        </w:rPr>
        <w:tab/>
      </w:r>
      <w:r w:rsidR="00493E74">
        <w:rPr>
          <w:rFonts w:ascii="Century Schoolbook" w:hAnsi="Century Schoolbook"/>
        </w:rPr>
        <w:t>P</w:t>
      </w:r>
      <w:r w:rsidRPr="00283C20">
        <w:rPr>
          <w:rFonts w:ascii="Century Schoolbook" w:hAnsi="Century Schoolbook"/>
        </w:rPr>
        <w:t>laintiff</w:t>
      </w:r>
      <w:r w:rsidR="00493E74">
        <w:rPr>
          <w:rFonts w:ascii="Century Schoolbook" w:hAnsi="Century Schoolbook"/>
        </w:rPr>
        <w:t xml:space="preserve"> subsequently</w:t>
      </w:r>
      <w:r w:rsidRPr="00283C20">
        <w:rPr>
          <w:rFonts w:ascii="Century Schoolbook" w:hAnsi="Century Schoolbook"/>
        </w:rPr>
        <w:t xml:space="preserve"> filed a motion for summary adjudication of </w:t>
      </w:r>
      <w:r w:rsidRPr="00283C20" w:rsidR="005D1B84">
        <w:rPr>
          <w:rFonts w:ascii="Century Schoolbook" w:hAnsi="Century Schoolbook"/>
        </w:rPr>
        <w:t>defendant’s affirmative defenses of waiver and</w:t>
      </w:r>
      <w:r w:rsidRPr="00283C20" w:rsidR="00D7318A">
        <w:rPr>
          <w:rFonts w:ascii="Century Schoolbook" w:hAnsi="Century Schoolbook"/>
        </w:rPr>
        <w:t xml:space="preserve"> </w:t>
      </w:r>
      <w:r w:rsidRPr="00283C20" w:rsidR="005D1B84">
        <w:rPr>
          <w:rFonts w:ascii="Century Schoolbook" w:hAnsi="Century Schoolbook"/>
        </w:rPr>
        <w:t xml:space="preserve">assumption of risk. </w:t>
      </w:r>
      <w:r w:rsidRPr="00283C20" w:rsidR="00D7318A">
        <w:rPr>
          <w:rFonts w:ascii="Century Schoolbook" w:hAnsi="Century Schoolbook"/>
        </w:rPr>
        <w:t xml:space="preserve"> </w:t>
      </w:r>
      <w:r w:rsidRPr="00283C20" w:rsidR="00171899">
        <w:rPr>
          <w:rFonts w:ascii="Century Schoolbook" w:hAnsi="Century Schoolbook"/>
        </w:rPr>
        <w:t>Rel</w:t>
      </w:r>
      <w:r w:rsidRPr="00283C20" w:rsidR="00A80769">
        <w:rPr>
          <w:rFonts w:ascii="Century Schoolbook" w:hAnsi="Century Schoolbook"/>
        </w:rPr>
        <w:t>y</w:t>
      </w:r>
      <w:r w:rsidRPr="00283C20" w:rsidR="00171899">
        <w:rPr>
          <w:rFonts w:ascii="Century Schoolbook" w:hAnsi="Century Schoolbook"/>
        </w:rPr>
        <w:t xml:space="preserve">ing on </w:t>
      </w:r>
      <w:r w:rsidRPr="00283C20" w:rsidR="00171899">
        <w:rPr>
          <w:rFonts w:ascii="Century Schoolbook" w:hAnsi="Century Schoolbook"/>
          <w:i/>
          <w:iCs/>
        </w:rPr>
        <w:t xml:space="preserve">Tunkl v. Regents of University of Cal. </w:t>
      </w:r>
      <w:r w:rsidRPr="00283C20" w:rsidR="00171899">
        <w:rPr>
          <w:rFonts w:ascii="Century Schoolbook" w:hAnsi="Century Schoolbook"/>
        </w:rPr>
        <w:t>(1963) 60 Cal.2d 92 (</w:t>
      </w:r>
      <w:r w:rsidRPr="00283C20" w:rsidR="00171899">
        <w:rPr>
          <w:rFonts w:ascii="Century Schoolbook" w:hAnsi="Century Schoolbook"/>
          <w:i/>
          <w:iCs/>
        </w:rPr>
        <w:t>Tunkl</w:t>
      </w:r>
      <w:r w:rsidRPr="00283C20" w:rsidR="00171899">
        <w:rPr>
          <w:rFonts w:ascii="Century Schoolbook" w:hAnsi="Century Schoolbook"/>
        </w:rPr>
        <w:t>), p</w:t>
      </w:r>
      <w:r w:rsidRPr="00283C20" w:rsidR="00D7318A">
        <w:rPr>
          <w:rFonts w:ascii="Century Schoolbook" w:hAnsi="Century Schoolbook"/>
        </w:rPr>
        <w:t xml:space="preserve">laintiff </w:t>
      </w:r>
      <w:r w:rsidR="00493E74">
        <w:rPr>
          <w:rFonts w:ascii="Century Schoolbook" w:hAnsi="Century Schoolbook"/>
        </w:rPr>
        <w:t>contended</w:t>
      </w:r>
      <w:r w:rsidRPr="00283C20" w:rsidR="00D7318A">
        <w:rPr>
          <w:rFonts w:ascii="Century Schoolbook" w:hAnsi="Century Schoolbook"/>
        </w:rPr>
        <w:t xml:space="preserve"> the release </w:t>
      </w:r>
      <w:r w:rsidRPr="00283C20" w:rsidR="00E90A16">
        <w:rPr>
          <w:rFonts w:ascii="Century Schoolbook" w:hAnsi="Century Schoolbook"/>
        </w:rPr>
        <w:t xml:space="preserve">was void because it </w:t>
      </w:r>
      <w:r w:rsidRPr="00283C20" w:rsidR="00D7318A">
        <w:rPr>
          <w:rFonts w:ascii="Century Schoolbook" w:hAnsi="Century Schoolbook"/>
        </w:rPr>
        <w:t>affected a matter of public interest</w:t>
      </w:r>
      <w:r w:rsidRPr="00283C20" w:rsidR="00E90A16">
        <w:rPr>
          <w:rFonts w:ascii="Century Schoolbook" w:hAnsi="Century Schoolbook"/>
        </w:rPr>
        <w:t xml:space="preserve">, </w:t>
      </w:r>
      <w:r w:rsidRPr="00283C20" w:rsidR="00172DC1">
        <w:rPr>
          <w:rFonts w:ascii="Century Schoolbook" w:hAnsi="Century Schoolbook"/>
        </w:rPr>
        <w:t xml:space="preserve">i.e., </w:t>
      </w:r>
      <w:r w:rsidRPr="00283C20" w:rsidR="000946B4">
        <w:rPr>
          <w:rFonts w:ascii="Century Schoolbook" w:hAnsi="Century Schoolbook"/>
        </w:rPr>
        <w:t xml:space="preserve">the </w:t>
      </w:r>
      <w:r w:rsidRPr="00283C20" w:rsidR="00D7318A">
        <w:rPr>
          <w:rFonts w:ascii="Century Schoolbook" w:hAnsi="Century Schoolbook"/>
        </w:rPr>
        <w:t>maintenance</w:t>
      </w:r>
      <w:r w:rsidRPr="00283C20" w:rsidR="000946B4">
        <w:rPr>
          <w:rFonts w:ascii="Century Schoolbook" w:hAnsi="Century Schoolbook"/>
        </w:rPr>
        <w:t xml:space="preserve"> of</w:t>
      </w:r>
      <w:r w:rsidRPr="00283C20" w:rsidR="00D7318A">
        <w:rPr>
          <w:rFonts w:ascii="Century Schoolbook" w:hAnsi="Century Schoolbook"/>
        </w:rPr>
        <w:t xml:space="preserve"> </w:t>
      </w:r>
      <w:r w:rsidRPr="00283C20" w:rsidR="00DD741C">
        <w:rPr>
          <w:rFonts w:ascii="Century Schoolbook" w:hAnsi="Century Schoolbook"/>
        </w:rPr>
        <w:t>safe</w:t>
      </w:r>
      <w:r w:rsidRPr="00283C20" w:rsidR="00D7318A">
        <w:rPr>
          <w:rFonts w:ascii="Century Schoolbook" w:hAnsi="Century Schoolbook"/>
        </w:rPr>
        <w:t xml:space="preserve"> public </w:t>
      </w:r>
      <w:r w:rsidRPr="00283C20" w:rsidR="00F17C6C">
        <w:rPr>
          <w:rFonts w:ascii="Century Schoolbook" w:hAnsi="Century Schoolbook"/>
        </w:rPr>
        <w:t xml:space="preserve">roads. </w:t>
      </w:r>
      <w:r w:rsidRPr="00283C20" w:rsidR="00172DC1">
        <w:rPr>
          <w:rFonts w:ascii="Century Schoolbook" w:hAnsi="Century Schoolbook"/>
        </w:rPr>
        <w:t xml:space="preserve"> Plaintiff also argued defendant could not </w:t>
      </w:r>
      <w:r w:rsidRPr="00283C20" w:rsidR="00C64D57">
        <w:rPr>
          <w:rFonts w:ascii="Century Schoolbook" w:hAnsi="Century Schoolbook"/>
        </w:rPr>
        <w:t xml:space="preserve">rely on the primary assumption of risk doctrine, because </w:t>
      </w:r>
      <w:r w:rsidRPr="00283C20" w:rsidR="00A80769">
        <w:rPr>
          <w:rFonts w:ascii="Century Schoolbook" w:hAnsi="Century Schoolbook"/>
        </w:rPr>
        <w:t>the alleged dangerous condition affected all road users, not just recreational cyclists</w:t>
      </w:r>
      <w:r w:rsidRPr="00283C20" w:rsidR="00C64D57">
        <w:rPr>
          <w:rFonts w:ascii="Century Schoolbook" w:hAnsi="Century Schoolbook"/>
        </w:rPr>
        <w:t xml:space="preserve">. </w:t>
      </w:r>
      <w:r w:rsidRPr="00283C20" w:rsidR="00092A2C">
        <w:rPr>
          <w:rFonts w:ascii="Century Schoolbook" w:hAnsi="Century Schoolbook"/>
        </w:rPr>
        <w:t xml:space="preserve"> </w:t>
      </w:r>
      <w:r w:rsidR="00AD5E7F">
        <w:rPr>
          <w:rFonts w:ascii="Century Schoolbook" w:hAnsi="Century Schoolbook"/>
        </w:rPr>
        <w:t>D</w:t>
      </w:r>
      <w:r w:rsidRPr="00283C20" w:rsidR="002A3A46">
        <w:rPr>
          <w:rFonts w:ascii="Century Schoolbook" w:hAnsi="Century Schoolbook"/>
        </w:rPr>
        <w:t xml:space="preserve">efendant filed a </w:t>
      </w:r>
      <w:r w:rsidR="00493E74">
        <w:rPr>
          <w:rFonts w:ascii="Century Schoolbook" w:hAnsi="Century Schoolbook"/>
        </w:rPr>
        <w:t>cross-</w:t>
      </w:r>
      <w:r w:rsidRPr="00283C20" w:rsidR="002A3A46">
        <w:rPr>
          <w:rFonts w:ascii="Century Schoolbook" w:hAnsi="Century Schoolbook"/>
        </w:rPr>
        <w:t xml:space="preserve">motion for summary judgment </w:t>
      </w:r>
      <w:r w:rsidR="003029A5">
        <w:rPr>
          <w:rFonts w:ascii="Century Schoolbook" w:hAnsi="Century Schoolbook"/>
        </w:rPr>
        <w:t>contending</w:t>
      </w:r>
      <w:r w:rsidR="00AD5E7F">
        <w:rPr>
          <w:rFonts w:ascii="Century Schoolbook" w:hAnsi="Century Schoolbook"/>
        </w:rPr>
        <w:t xml:space="preserve"> plaintiff’s claim was barred by </w:t>
      </w:r>
      <w:r w:rsidRPr="00283C20" w:rsidR="002A3A46">
        <w:rPr>
          <w:rFonts w:ascii="Century Schoolbook" w:hAnsi="Century Schoolbook"/>
        </w:rPr>
        <w:t>the release</w:t>
      </w:r>
      <w:r w:rsidRPr="00283C20" w:rsidR="000035C6">
        <w:rPr>
          <w:rFonts w:ascii="Century Schoolbook" w:hAnsi="Century Schoolbook"/>
        </w:rPr>
        <w:t xml:space="preserve">, </w:t>
      </w:r>
      <w:r w:rsidR="00AD5E7F">
        <w:rPr>
          <w:rFonts w:ascii="Century Schoolbook" w:hAnsi="Century Schoolbook"/>
        </w:rPr>
        <w:t xml:space="preserve">by </w:t>
      </w:r>
      <w:r w:rsidRPr="00283C20" w:rsidR="003B6102">
        <w:rPr>
          <w:rFonts w:ascii="Century Schoolbook" w:hAnsi="Century Schoolbook"/>
        </w:rPr>
        <w:t>plaintiff’s</w:t>
      </w:r>
      <w:r w:rsidRPr="00283C20" w:rsidR="000035C6">
        <w:rPr>
          <w:rFonts w:ascii="Century Schoolbook" w:hAnsi="Century Schoolbook"/>
        </w:rPr>
        <w:t xml:space="preserve"> express assumption of risk,</w:t>
      </w:r>
      <w:r w:rsidRPr="00283C20" w:rsidR="002A3A46">
        <w:rPr>
          <w:rFonts w:ascii="Century Schoolbook" w:hAnsi="Century Schoolbook"/>
        </w:rPr>
        <w:t xml:space="preserve"> and </w:t>
      </w:r>
      <w:r w:rsidR="00AD5E7F">
        <w:rPr>
          <w:rFonts w:ascii="Century Schoolbook" w:hAnsi="Century Schoolbook"/>
        </w:rPr>
        <w:t xml:space="preserve">by </w:t>
      </w:r>
      <w:r w:rsidRPr="00283C20" w:rsidR="000035C6">
        <w:rPr>
          <w:rFonts w:ascii="Century Schoolbook" w:hAnsi="Century Schoolbook"/>
        </w:rPr>
        <w:t xml:space="preserve">the </w:t>
      </w:r>
      <w:r w:rsidRPr="00283C20" w:rsidR="002A3A46">
        <w:rPr>
          <w:rFonts w:ascii="Century Schoolbook" w:hAnsi="Century Schoolbook"/>
        </w:rPr>
        <w:t xml:space="preserve">primary assumption of risk doctrine. </w:t>
      </w:r>
    </w:p>
    <w:p w:rsidR="00484C67" w:rsidRPr="00283C20" w:rsidP="001F0EAC" w14:paraId="11DC5164" w14:textId="01407371">
      <w:pPr>
        <w:spacing w:line="360" w:lineRule="auto"/>
        <w:rPr>
          <w:rFonts w:ascii="Century Schoolbook" w:hAnsi="Century Schoolbook"/>
        </w:rPr>
      </w:pPr>
      <w:r w:rsidRPr="00283C20">
        <w:rPr>
          <w:rFonts w:ascii="Century Schoolbook" w:hAnsi="Century Schoolbook"/>
        </w:rPr>
        <w:tab/>
      </w:r>
      <w:r w:rsidRPr="00283C20" w:rsidR="00FA5198">
        <w:rPr>
          <w:rFonts w:ascii="Century Schoolbook" w:hAnsi="Century Schoolbook"/>
        </w:rPr>
        <w:t xml:space="preserve">The trial court </w:t>
      </w:r>
      <w:r w:rsidRPr="00283C20" w:rsidR="00FE2F4E">
        <w:rPr>
          <w:rFonts w:ascii="Century Schoolbook" w:hAnsi="Century Schoolbook"/>
        </w:rPr>
        <w:t xml:space="preserve">denied </w:t>
      </w:r>
      <w:r w:rsidRPr="00283C20" w:rsidR="00712A43">
        <w:rPr>
          <w:rFonts w:ascii="Century Schoolbook" w:hAnsi="Century Schoolbook"/>
        </w:rPr>
        <w:t>plaintiff’s</w:t>
      </w:r>
      <w:r w:rsidRPr="00283C20" w:rsidR="00FE2F4E">
        <w:rPr>
          <w:rFonts w:ascii="Century Schoolbook" w:hAnsi="Century Schoolbook"/>
        </w:rPr>
        <w:t xml:space="preserve"> summary </w:t>
      </w:r>
      <w:r w:rsidRPr="00283C20" w:rsidR="00EC5379">
        <w:rPr>
          <w:rFonts w:ascii="Century Schoolbook" w:hAnsi="Century Schoolbook"/>
        </w:rPr>
        <w:t>a</w:t>
      </w:r>
      <w:r w:rsidRPr="00283C20" w:rsidR="00FE2F4E">
        <w:rPr>
          <w:rFonts w:ascii="Century Schoolbook" w:hAnsi="Century Schoolbook"/>
        </w:rPr>
        <w:t>djudicatio</w:t>
      </w:r>
      <w:r w:rsidRPr="00283C20" w:rsidR="001F0EAC">
        <w:rPr>
          <w:rFonts w:ascii="Century Schoolbook" w:hAnsi="Century Schoolbook"/>
        </w:rPr>
        <w:t>n</w:t>
      </w:r>
      <w:r w:rsidR="00493E74">
        <w:rPr>
          <w:rFonts w:ascii="Century Schoolbook" w:hAnsi="Century Schoolbook"/>
        </w:rPr>
        <w:t xml:space="preserve"> motion</w:t>
      </w:r>
      <w:r w:rsidRPr="00283C20" w:rsidR="001F0EAC">
        <w:rPr>
          <w:rFonts w:ascii="Century Schoolbook" w:hAnsi="Century Schoolbook"/>
        </w:rPr>
        <w:t xml:space="preserve">, concluding </w:t>
      </w:r>
      <w:r w:rsidRPr="00283C20" w:rsidR="00B479A1">
        <w:rPr>
          <w:rFonts w:ascii="Century Schoolbook" w:hAnsi="Century Schoolbook"/>
        </w:rPr>
        <w:t>plaintiff failed to demonstrate the release was contrary to public policy and void as a matter of law</w:t>
      </w:r>
      <w:r w:rsidRPr="00283C20" w:rsidR="00C61D97">
        <w:rPr>
          <w:rFonts w:ascii="Century Schoolbook" w:hAnsi="Century Schoolbook"/>
        </w:rPr>
        <w:t>.</w:t>
      </w:r>
      <w:r w:rsidRPr="00283C20" w:rsidR="00D5264A">
        <w:rPr>
          <w:rFonts w:ascii="Century Schoolbook" w:hAnsi="Century Schoolbook"/>
        </w:rPr>
        <w:t xml:space="preserve"> </w:t>
      </w:r>
      <w:r w:rsidRPr="00283C20" w:rsidR="00140419">
        <w:rPr>
          <w:rFonts w:ascii="Century Schoolbook" w:hAnsi="Century Schoolbook"/>
        </w:rPr>
        <w:t xml:space="preserve"> </w:t>
      </w:r>
      <w:r w:rsidRPr="00283C20" w:rsidR="00C61D97">
        <w:rPr>
          <w:rFonts w:ascii="Century Schoolbook" w:hAnsi="Century Schoolbook"/>
        </w:rPr>
        <w:t xml:space="preserve">The court </w:t>
      </w:r>
      <w:r w:rsidRPr="00283C20" w:rsidR="00606E8D">
        <w:rPr>
          <w:rFonts w:ascii="Century Schoolbook" w:hAnsi="Century Schoolbook"/>
        </w:rPr>
        <w:t xml:space="preserve">noted </w:t>
      </w:r>
      <w:r w:rsidRPr="00283C20" w:rsidR="001F0EAC">
        <w:rPr>
          <w:rFonts w:ascii="Century Schoolbook" w:hAnsi="Century Schoolbook"/>
        </w:rPr>
        <w:t xml:space="preserve">plaintiff erroneously applied </w:t>
      </w:r>
      <w:r w:rsidRPr="00283C20" w:rsidR="001F0EAC">
        <w:rPr>
          <w:rFonts w:ascii="Century Schoolbook" w:hAnsi="Century Schoolbook"/>
          <w:i/>
          <w:iCs/>
        </w:rPr>
        <w:t>Tunkl</w:t>
      </w:r>
      <w:r w:rsidRPr="00283C20" w:rsidR="001F0EAC">
        <w:rPr>
          <w:rFonts w:ascii="Century Schoolbook" w:hAnsi="Century Schoolbook"/>
        </w:rPr>
        <w:t xml:space="preserve"> to </w:t>
      </w:r>
      <w:r w:rsidRPr="00283C20" w:rsidR="00D71A47">
        <w:rPr>
          <w:rFonts w:ascii="Century Schoolbook" w:hAnsi="Century Schoolbook"/>
        </w:rPr>
        <w:t>defendant’s</w:t>
      </w:r>
      <w:r w:rsidRPr="00283C20" w:rsidR="001F0EAC">
        <w:rPr>
          <w:rFonts w:ascii="Century Schoolbook" w:hAnsi="Century Schoolbook"/>
        </w:rPr>
        <w:t xml:space="preserve"> </w:t>
      </w:r>
      <w:r w:rsidRPr="00283C20" w:rsidR="00D71A47">
        <w:rPr>
          <w:rFonts w:ascii="Century Schoolbook" w:hAnsi="Century Schoolbook"/>
        </w:rPr>
        <w:t>“</w:t>
      </w:r>
      <w:r w:rsidRPr="00283C20" w:rsidR="001F0EAC">
        <w:rPr>
          <w:rFonts w:ascii="Century Schoolbook" w:hAnsi="Century Schoolbook"/>
        </w:rPr>
        <w:t>alleged failure to maintain a safe road and repair the pothole, rather than the subject of the waiver and release, which is the</w:t>
      </w:r>
      <w:r w:rsidRPr="00283C20" w:rsidR="00D71A47">
        <w:rPr>
          <w:rFonts w:ascii="Century Schoolbook" w:hAnsi="Century Schoolbook"/>
        </w:rPr>
        <w:t xml:space="preserve"> </w:t>
      </w:r>
      <w:r w:rsidRPr="00283C20" w:rsidR="001F0EAC">
        <w:rPr>
          <w:rFonts w:ascii="Century Schoolbook" w:hAnsi="Century Schoolbook"/>
        </w:rPr>
        <w:t>organized recreational group training ride.”</w:t>
      </w:r>
      <w:r w:rsidRPr="00283C20" w:rsidR="00EC5379">
        <w:rPr>
          <w:rFonts w:ascii="Century Schoolbook" w:hAnsi="Century Schoolbook"/>
        </w:rPr>
        <w:t xml:space="preserve"> </w:t>
      </w:r>
      <w:r w:rsidRPr="00283C20" w:rsidR="00606E8D">
        <w:rPr>
          <w:rFonts w:ascii="Century Schoolbook" w:hAnsi="Century Schoolbook"/>
        </w:rPr>
        <w:t xml:space="preserve"> </w:t>
      </w:r>
      <w:r w:rsidR="00493E74">
        <w:rPr>
          <w:rFonts w:ascii="Century Schoolbook" w:hAnsi="Century Schoolbook"/>
        </w:rPr>
        <w:t xml:space="preserve">The court </w:t>
      </w:r>
      <w:r w:rsidR="00455507">
        <w:rPr>
          <w:rFonts w:ascii="Century Schoolbook" w:hAnsi="Century Schoolbook"/>
        </w:rPr>
        <w:t xml:space="preserve">also found summary adjudication improper because </w:t>
      </w:r>
      <w:r w:rsidRPr="00283C20" w:rsidR="0031513C">
        <w:rPr>
          <w:rFonts w:ascii="Century Schoolbook" w:hAnsi="Century Schoolbook"/>
        </w:rPr>
        <w:t xml:space="preserve">plaintiff failed to address </w:t>
      </w:r>
      <w:r w:rsidR="00455507">
        <w:rPr>
          <w:rFonts w:ascii="Century Schoolbook" w:hAnsi="Century Schoolbook"/>
        </w:rPr>
        <w:t xml:space="preserve">the portion of </w:t>
      </w:r>
      <w:r w:rsidRPr="00283C20" w:rsidR="00606E8D">
        <w:rPr>
          <w:rFonts w:ascii="Century Schoolbook" w:hAnsi="Century Schoolbook"/>
        </w:rPr>
        <w:t xml:space="preserve">defendant’s defense </w:t>
      </w:r>
      <w:r w:rsidRPr="00283C20" w:rsidR="0031513C">
        <w:rPr>
          <w:rFonts w:ascii="Century Schoolbook" w:hAnsi="Century Schoolbook"/>
        </w:rPr>
        <w:t xml:space="preserve">based on express assumption of risk. </w:t>
      </w:r>
    </w:p>
    <w:p w:rsidR="00CA0FC0" w:rsidRPr="00283C20" w:rsidP="00FF264D" w14:paraId="0B65BD68" w14:textId="5293D2C2">
      <w:pPr>
        <w:spacing w:line="360" w:lineRule="auto"/>
        <w:rPr>
          <w:rFonts w:ascii="Century Schoolbook" w:hAnsi="Century Schoolbook"/>
        </w:rPr>
      </w:pPr>
      <w:r w:rsidRPr="00283C20">
        <w:rPr>
          <w:rFonts w:ascii="Century Schoolbook" w:hAnsi="Century Schoolbook"/>
        </w:rPr>
        <w:tab/>
        <w:t xml:space="preserve">By separate order, the trial court granted </w:t>
      </w:r>
      <w:r w:rsidRPr="00283C20" w:rsidR="006A1FBB">
        <w:rPr>
          <w:rFonts w:ascii="Century Schoolbook" w:hAnsi="Century Schoolbook"/>
        </w:rPr>
        <w:t>defendant’s</w:t>
      </w:r>
      <w:r w:rsidRPr="00283C20">
        <w:rPr>
          <w:rFonts w:ascii="Century Schoolbook" w:hAnsi="Century Schoolbook"/>
        </w:rPr>
        <w:t xml:space="preserve"> motion for summary judgment</w:t>
      </w:r>
      <w:r w:rsidRPr="00283C20" w:rsidR="00FF264D">
        <w:rPr>
          <w:rFonts w:ascii="Century Schoolbook" w:hAnsi="Century Schoolbook"/>
        </w:rPr>
        <w:t xml:space="preserve"> on the ground</w:t>
      </w:r>
      <w:r w:rsidRPr="00283C20" w:rsidR="006A1FBB">
        <w:rPr>
          <w:rFonts w:ascii="Century Schoolbook" w:hAnsi="Century Schoolbook"/>
        </w:rPr>
        <w:t xml:space="preserve"> </w:t>
      </w:r>
      <w:r w:rsidRPr="00283C20" w:rsidR="00FF264D">
        <w:rPr>
          <w:rFonts w:ascii="Century Schoolbook" w:hAnsi="Century Schoolbook"/>
        </w:rPr>
        <w:t xml:space="preserve">that </w:t>
      </w:r>
      <w:r w:rsidR="00455507">
        <w:rPr>
          <w:rFonts w:ascii="Century Schoolbook" w:hAnsi="Century Schoolbook"/>
        </w:rPr>
        <w:t>plaintiff’s execution of the</w:t>
      </w:r>
      <w:r w:rsidRPr="00283C20" w:rsidR="00FF264D">
        <w:rPr>
          <w:rFonts w:ascii="Century Schoolbook" w:hAnsi="Century Schoolbook"/>
        </w:rPr>
        <w:t xml:space="preserve"> release bars </w:t>
      </w:r>
      <w:r w:rsidR="00455507">
        <w:rPr>
          <w:rFonts w:ascii="Century Schoolbook" w:hAnsi="Century Schoolbook"/>
        </w:rPr>
        <w:t>his</w:t>
      </w:r>
      <w:r w:rsidRPr="00283C20" w:rsidR="00FF264D">
        <w:rPr>
          <w:rFonts w:ascii="Century Schoolbook" w:hAnsi="Century Schoolbook"/>
        </w:rPr>
        <w:t xml:space="preserve"> claim for liability arising from a dangerous condition of public</w:t>
      </w:r>
      <w:r w:rsidRPr="00283C20" w:rsidR="00521EE4">
        <w:rPr>
          <w:rFonts w:ascii="Century Schoolbook" w:hAnsi="Century Schoolbook"/>
        </w:rPr>
        <w:t xml:space="preserve"> </w:t>
      </w:r>
      <w:r w:rsidRPr="00283C20" w:rsidR="00FF264D">
        <w:rPr>
          <w:rFonts w:ascii="Century Schoolbook" w:hAnsi="Century Schoolbook"/>
        </w:rPr>
        <w:t>property.</w:t>
      </w:r>
      <w:r w:rsidRPr="00283C20" w:rsidR="00CB7126">
        <w:rPr>
          <w:rFonts w:ascii="Century Schoolbook" w:hAnsi="Century Schoolbook"/>
        </w:rPr>
        <w:t xml:space="preserve">  </w:t>
      </w:r>
      <w:r w:rsidR="00455507">
        <w:rPr>
          <w:rFonts w:ascii="Century Schoolbook" w:hAnsi="Century Schoolbook"/>
        </w:rPr>
        <w:t>Having so ruled</w:t>
      </w:r>
      <w:r w:rsidRPr="00283C20" w:rsidR="002046CD">
        <w:rPr>
          <w:rFonts w:ascii="Century Schoolbook" w:hAnsi="Century Schoolbook"/>
        </w:rPr>
        <w:t>, t</w:t>
      </w:r>
      <w:r w:rsidRPr="00283C20" w:rsidR="00CB7126">
        <w:rPr>
          <w:rFonts w:ascii="Century Schoolbook" w:hAnsi="Century Schoolbook"/>
        </w:rPr>
        <w:t xml:space="preserve">he court expressly declined to </w:t>
      </w:r>
      <w:r w:rsidRPr="00283C20" w:rsidR="00860A31">
        <w:rPr>
          <w:rFonts w:ascii="Century Schoolbook" w:hAnsi="Century Schoolbook"/>
        </w:rPr>
        <w:t>address the parties’ contentions</w:t>
      </w:r>
      <w:r w:rsidRPr="00283C20" w:rsidR="00CB7126">
        <w:rPr>
          <w:rFonts w:ascii="Century Schoolbook" w:hAnsi="Century Schoolbook"/>
        </w:rPr>
        <w:t xml:space="preserve"> </w:t>
      </w:r>
      <w:r w:rsidRPr="00283C20" w:rsidR="00860A31">
        <w:rPr>
          <w:rFonts w:ascii="Century Schoolbook" w:hAnsi="Century Schoolbook"/>
        </w:rPr>
        <w:t>regarding</w:t>
      </w:r>
      <w:r w:rsidRPr="00283C20" w:rsidR="002046CD">
        <w:rPr>
          <w:rFonts w:ascii="Century Schoolbook" w:hAnsi="Century Schoolbook"/>
        </w:rPr>
        <w:t xml:space="preserve"> the primary assumption of risk doctrine. </w:t>
      </w:r>
      <w:r w:rsidRPr="00283C20">
        <w:rPr>
          <w:rFonts w:ascii="Century Schoolbook" w:hAnsi="Century Schoolbook"/>
        </w:rPr>
        <w:t xml:space="preserve"> </w:t>
      </w:r>
    </w:p>
    <w:p w:rsidR="006A4189" w:rsidRPr="00283C20" w:rsidP="00FF264D" w14:paraId="26F4B341" w14:textId="3108342E">
      <w:pPr>
        <w:spacing w:line="360" w:lineRule="auto"/>
        <w:rPr>
          <w:rFonts w:ascii="Century Schoolbook" w:hAnsi="Century Schoolbook"/>
        </w:rPr>
      </w:pPr>
      <w:r w:rsidRPr="00283C20">
        <w:rPr>
          <w:rFonts w:ascii="Century Schoolbook" w:hAnsi="Century Schoolbook"/>
        </w:rPr>
        <w:tab/>
        <w:t xml:space="preserve">After the </w:t>
      </w:r>
      <w:r w:rsidRPr="00283C20" w:rsidR="00E86E12">
        <w:rPr>
          <w:rFonts w:ascii="Century Schoolbook" w:hAnsi="Century Schoolbook"/>
        </w:rPr>
        <w:t xml:space="preserve">trial </w:t>
      </w:r>
      <w:r w:rsidRPr="00283C20">
        <w:rPr>
          <w:rFonts w:ascii="Century Schoolbook" w:hAnsi="Century Schoolbook"/>
        </w:rPr>
        <w:t>court entered judgment</w:t>
      </w:r>
      <w:r w:rsidRPr="00283C20" w:rsidR="00E052A0">
        <w:rPr>
          <w:rFonts w:ascii="Century Schoolbook" w:hAnsi="Century Schoolbook"/>
        </w:rPr>
        <w:t xml:space="preserve"> dismissing the complaint with prejudice</w:t>
      </w:r>
      <w:r w:rsidRPr="00283C20">
        <w:rPr>
          <w:rFonts w:ascii="Century Schoolbook" w:hAnsi="Century Schoolbook"/>
        </w:rPr>
        <w:t>,</w:t>
      </w:r>
      <w:r w:rsidRPr="00283C20" w:rsidR="007C0258">
        <w:rPr>
          <w:rFonts w:ascii="Century Schoolbook" w:hAnsi="Century Schoolbook"/>
        </w:rPr>
        <w:t xml:space="preserve"> </w:t>
      </w:r>
      <w:r w:rsidRPr="00283C20">
        <w:rPr>
          <w:rFonts w:ascii="Century Schoolbook" w:hAnsi="Century Schoolbook"/>
        </w:rPr>
        <w:t>p</w:t>
      </w:r>
      <w:r w:rsidRPr="00283C20" w:rsidR="007C0258">
        <w:rPr>
          <w:rFonts w:ascii="Century Schoolbook" w:hAnsi="Century Schoolbook"/>
        </w:rPr>
        <w:t>laintiff filed a notice of appeal</w:t>
      </w:r>
      <w:r w:rsidRPr="00283C20" w:rsidR="005C50F3">
        <w:rPr>
          <w:rFonts w:ascii="Century Schoolbook" w:hAnsi="Century Schoolbook"/>
        </w:rPr>
        <w:t>, and d</w:t>
      </w:r>
      <w:r w:rsidRPr="00283C20" w:rsidR="00587F78">
        <w:rPr>
          <w:rFonts w:ascii="Century Schoolbook" w:hAnsi="Century Schoolbook"/>
        </w:rPr>
        <w:t xml:space="preserve">efendant filed a notice </w:t>
      </w:r>
      <w:r w:rsidRPr="00283C20" w:rsidR="00D14A83">
        <w:rPr>
          <w:rFonts w:ascii="Century Schoolbook" w:hAnsi="Century Schoolbook"/>
        </w:rPr>
        <w:t>of</w:t>
      </w:r>
      <w:r w:rsidRPr="00283C20" w:rsidR="00587F78">
        <w:rPr>
          <w:rFonts w:ascii="Century Schoolbook" w:hAnsi="Century Schoolbook"/>
        </w:rPr>
        <w:t xml:space="preserve"> cross-appeal. </w:t>
      </w:r>
    </w:p>
    <w:p w:rsidR="00E912F3" w:rsidRPr="00283C20" w:rsidP="00286475" w14:paraId="25F0854F" w14:textId="13802440">
      <w:pPr>
        <w:keepNext/>
        <w:spacing w:line="360" w:lineRule="auto"/>
        <w:jc w:val="center"/>
        <w:rPr>
          <w:rFonts w:ascii="Century Schoolbook" w:hAnsi="Century Schoolbook"/>
          <w:b/>
          <w:bCs/>
          <w:smallCaps/>
        </w:rPr>
      </w:pPr>
      <w:r w:rsidRPr="00283C20">
        <w:rPr>
          <w:rFonts w:ascii="Century Schoolbook" w:hAnsi="Century Schoolbook"/>
          <w:b/>
          <w:bCs/>
          <w:smallCaps/>
        </w:rPr>
        <w:t>Discussion</w:t>
      </w:r>
    </w:p>
    <w:p w:rsidR="00E912F3" w:rsidRPr="00283C20" w:rsidP="00286475" w14:paraId="1DDC9D15" w14:textId="1119E4C3">
      <w:pPr>
        <w:keepNext/>
        <w:spacing w:line="360" w:lineRule="auto"/>
        <w:rPr>
          <w:rFonts w:ascii="Century Schoolbook" w:hAnsi="Century Schoolbook"/>
          <w:b/>
          <w:bCs/>
        </w:rPr>
      </w:pPr>
      <w:r w:rsidRPr="00283C20">
        <w:rPr>
          <w:rFonts w:ascii="Century Schoolbook" w:hAnsi="Century Schoolbook"/>
          <w:b/>
          <w:bCs/>
        </w:rPr>
        <w:tab/>
        <w:t xml:space="preserve">A.  </w:t>
      </w:r>
      <w:r w:rsidR="003029A5">
        <w:rPr>
          <w:rFonts w:ascii="Century Schoolbook" w:hAnsi="Century Schoolbook"/>
          <w:b/>
          <w:bCs/>
        </w:rPr>
        <w:t>T</w:t>
      </w:r>
      <w:r w:rsidRPr="00283C20" w:rsidR="00AC1936">
        <w:rPr>
          <w:rFonts w:ascii="Century Schoolbook" w:hAnsi="Century Schoolbook"/>
          <w:b/>
          <w:bCs/>
        </w:rPr>
        <w:t>he release of liability</w:t>
      </w:r>
      <w:r w:rsidR="003029A5">
        <w:rPr>
          <w:rFonts w:ascii="Century Schoolbook" w:hAnsi="Century Schoolbook"/>
          <w:b/>
          <w:bCs/>
        </w:rPr>
        <w:t xml:space="preserve"> </w:t>
      </w:r>
      <w:r w:rsidR="004C1628">
        <w:rPr>
          <w:rFonts w:ascii="Century Schoolbook" w:hAnsi="Century Schoolbook"/>
          <w:b/>
          <w:bCs/>
        </w:rPr>
        <w:t>i</w:t>
      </w:r>
      <w:r w:rsidR="003029A5">
        <w:rPr>
          <w:rFonts w:ascii="Century Schoolbook" w:hAnsi="Century Schoolbook"/>
          <w:b/>
          <w:bCs/>
        </w:rPr>
        <w:t>s enforceable</w:t>
      </w:r>
    </w:p>
    <w:p w:rsidR="00B17116" w:rsidRPr="00283C20" w:rsidP="001E0169" w14:paraId="0600FFB1" w14:textId="461979C5">
      <w:pPr>
        <w:spacing w:line="360" w:lineRule="auto"/>
        <w:rPr>
          <w:rFonts w:ascii="Century Schoolbook" w:hAnsi="Century Schoolbook"/>
        </w:rPr>
      </w:pPr>
      <w:r w:rsidRPr="00283C20">
        <w:rPr>
          <w:rFonts w:ascii="Century Schoolbook" w:hAnsi="Century Schoolbook"/>
        </w:rPr>
        <w:tab/>
        <w:t>Plaintiff contends the</w:t>
      </w:r>
      <w:r w:rsidRPr="00283C20" w:rsidR="001E0169">
        <w:rPr>
          <w:rFonts w:ascii="Century Schoolbook" w:hAnsi="Century Schoolbook"/>
        </w:rPr>
        <w:t xml:space="preserve"> trial court erred </w:t>
      </w:r>
      <w:r w:rsidR="00455507">
        <w:rPr>
          <w:rFonts w:ascii="Century Schoolbook" w:hAnsi="Century Schoolbook"/>
        </w:rPr>
        <w:t>in</w:t>
      </w:r>
      <w:r w:rsidRPr="00283C20" w:rsidR="001E0169">
        <w:rPr>
          <w:rFonts w:ascii="Century Schoolbook" w:hAnsi="Century Schoolbook"/>
        </w:rPr>
        <w:t xml:space="preserve"> granting summary judgment because the</w:t>
      </w:r>
      <w:r w:rsidRPr="00283C20">
        <w:rPr>
          <w:rFonts w:ascii="Century Schoolbook" w:hAnsi="Century Schoolbook"/>
        </w:rPr>
        <w:t xml:space="preserve"> release </w:t>
      </w:r>
      <w:r w:rsidRPr="00283C20" w:rsidR="0078744A">
        <w:rPr>
          <w:rFonts w:ascii="Century Schoolbook" w:hAnsi="Century Schoolbook"/>
        </w:rPr>
        <w:t xml:space="preserve">he signed </w:t>
      </w:r>
      <w:r w:rsidRPr="00283C20" w:rsidR="000C0F14">
        <w:rPr>
          <w:rFonts w:ascii="Century Schoolbook" w:hAnsi="Century Schoolbook"/>
        </w:rPr>
        <w:t>affected a public interest</w:t>
      </w:r>
      <w:r w:rsidR="00455507">
        <w:rPr>
          <w:rFonts w:ascii="Century Schoolbook" w:hAnsi="Century Schoolbook"/>
        </w:rPr>
        <w:t xml:space="preserve"> and was therefore invalid</w:t>
      </w:r>
      <w:r w:rsidRPr="00283C20">
        <w:rPr>
          <w:rFonts w:ascii="Century Schoolbook" w:hAnsi="Century Schoolbook"/>
        </w:rPr>
        <w:t xml:space="preserve">. </w:t>
      </w:r>
    </w:p>
    <w:p w:rsidR="00595982" w:rsidRPr="00283C20" w:rsidP="00595982" w14:paraId="5E987A5A" w14:textId="615D057F">
      <w:pPr>
        <w:spacing w:line="360" w:lineRule="auto"/>
        <w:rPr>
          <w:rFonts w:ascii="Century Schoolbook" w:hAnsi="Century Schoolbook"/>
        </w:rPr>
      </w:pPr>
      <w:r w:rsidRPr="00283C20">
        <w:rPr>
          <w:rFonts w:ascii="Century Schoolbook" w:hAnsi="Century Schoolbook"/>
        </w:rPr>
        <w:tab/>
      </w:r>
      <w:r w:rsidR="00455507">
        <w:rPr>
          <w:rFonts w:ascii="Century Schoolbook" w:hAnsi="Century Schoolbook"/>
        </w:rPr>
        <w:t>To resolve whether a</w:t>
      </w:r>
      <w:r w:rsidRPr="00283C20" w:rsidR="004F0512">
        <w:rPr>
          <w:rFonts w:ascii="Century Schoolbook" w:hAnsi="Century Schoolbook"/>
        </w:rPr>
        <w:t xml:space="preserve"> release is invalid</w:t>
      </w:r>
      <w:r w:rsidR="00455507">
        <w:rPr>
          <w:rFonts w:ascii="Century Schoolbook" w:hAnsi="Century Schoolbook"/>
        </w:rPr>
        <w:t>, “</w:t>
      </w:r>
      <w:r w:rsidR="003D23BB">
        <w:rPr>
          <w:rFonts w:ascii="Century Schoolbook" w:hAnsi="Century Schoolbook"/>
        </w:rPr>
        <w:t> </w:t>
      </w:r>
      <w:r w:rsidR="002D73A0">
        <w:rPr>
          <w:rFonts w:ascii="Century Schoolbook" w:hAnsi="Century Schoolbook"/>
        </w:rPr>
        <w:t>‘</w:t>
      </w:r>
      <w:r w:rsidRPr="00283C20" w:rsidR="004F0512">
        <w:rPr>
          <w:rFonts w:ascii="Century Schoolbook" w:hAnsi="Century Schoolbook"/>
        </w:rPr>
        <w:t>we conduct not only a de novo examination of the moving and opposing papers to determine whether [defendant] is entitled to judgment as a matter of law [citation], but also conduct a de novo examination of the release document.  Where, as here, no conflicting parol evidence is introduced concerning the interpretation of the document, “construction of the instrument is a question of law, and the appellate court will independently construe the writing.” ’ ”  (</w:t>
      </w:r>
      <w:r w:rsidRPr="00283C20" w:rsidR="004F0512">
        <w:rPr>
          <w:rFonts w:ascii="Century Schoolbook" w:hAnsi="Century Schoolbook"/>
          <w:i/>
          <w:iCs/>
        </w:rPr>
        <w:t>YMCA of Metro. L.A. v. Superior Court</w:t>
      </w:r>
      <w:r w:rsidRPr="00283C20" w:rsidR="004F0512">
        <w:rPr>
          <w:rFonts w:ascii="Century Schoolbook" w:hAnsi="Century Schoolbook"/>
        </w:rPr>
        <w:t xml:space="preserve"> (1997) 55 Cal.App.4th 22, 26.)</w:t>
      </w:r>
    </w:p>
    <w:p w:rsidR="00CA1B1D" w:rsidRPr="00283C20" w:rsidP="00CA1B1D" w14:paraId="2F8825DC" w14:textId="5905C14D">
      <w:pPr>
        <w:spacing w:line="360" w:lineRule="auto"/>
        <w:rPr>
          <w:rFonts w:ascii="Century Schoolbook" w:hAnsi="Century Schoolbook"/>
        </w:rPr>
      </w:pPr>
      <w:r w:rsidRPr="00283C20">
        <w:rPr>
          <w:rFonts w:ascii="Century Schoolbook" w:hAnsi="Century Schoolbook"/>
        </w:rPr>
        <w:tab/>
        <w:t>Civil Code section 1668 provides:  “All contracts which have for their object, directly or indirectly, to exempt anyone from responsibility for his own fraud, or willful injury to the person or property of another, or violation of law, whether willful or negligent, are against the policy of the law.”</w:t>
      </w:r>
    </w:p>
    <w:p w:rsidR="000574FE" w:rsidP="00564C95" w14:paraId="2F65B22A" w14:textId="3199DE9A">
      <w:pPr>
        <w:spacing w:line="360" w:lineRule="auto"/>
        <w:rPr>
          <w:rFonts w:ascii="Century Schoolbook" w:hAnsi="Century Schoolbook"/>
        </w:rPr>
      </w:pPr>
      <w:r w:rsidRPr="00283C20">
        <w:rPr>
          <w:rFonts w:ascii="Century Schoolbook" w:hAnsi="Century Schoolbook"/>
        </w:rPr>
        <w:tab/>
        <w:t xml:space="preserve">In </w:t>
      </w:r>
      <w:r w:rsidRPr="00283C20">
        <w:rPr>
          <w:rFonts w:ascii="Century Schoolbook" w:hAnsi="Century Schoolbook"/>
          <w:i/>
          <w:iCs/>
        </w:rPr>
        <w:t>Tunkl</w:t>
      </w:r>
      <w:r w:rsidRPr="00283C20">
        <w:rPr>
          <w:rFonts w:ascii="Century Schoolbook" w:hAnsi="Century Schoolbook"/>
        </w:rPr>
        <w:t xml:space="preserve">, the California Supreme Court </w:t>
      </w:r>
      <w:r w:rsidRPr="008A2D83">
        <w:rPr>
          <w:rFonts w:ascii="Century Schoolbook" w:hAnsi="Century Schoolbook"/>
        </w:rPr>
        <w:t>considered</w:t>
      </w:r>
      <w:r>
        <w:rPr>
          <w:rFonts w:ascii="Century Schoolbook" w:hAnsi="Century Schoolbook"/>
        </w:rPr>
        <w:t xml:space="preserve"> </w:t>
      </w:r>
      <w:r w:rsidR="00D244A3">
        <w:rPr>
          <w:rFonts w:ascii="Century Schoolbook" w:hAnsi="Century Schoolbook"/>
        </w:rPr>
        <w:t xml:space="preserve">whether </w:t>
      </w:r>
      <w:r>
        <w:rPr>
          <w:rFonts w:ascii="Century Schoolbook" w:hAnsi="Century Schoolbook"/>
        </w:rPr>
        <w:t>“a release from liability for future negligence imposed as a condition for admission to a charitable hospital”</w:t>
      </w:r>
      <w:r w:rsidR="00D244A3">
        <w:rPr>
          <w:rFonts w:ascii="Century Schoolbook" w:hAnsi="Century Schoolbook"/>
        </w:rPr>
        <w:t xml:space="preserve"> was enforceable under section 1668.</w:t>
      </w:r>
      <w:r>
        <w:rPr>
          <w:rFonts w:ascii="Century Schoolbook" w:hAnsi="Century Schoolbook"/>
        </w:rPr>
        <w:t xml:space="preserve">  (</w:t>
      </w:r>
      <w:r w:rsidRPr="00283C20" w:rsidR="003433B6">
        <w:rPr>
          <w:rFonts w:ascii="Century Schoolbook" w:hAnsi="Century Schoolbook"/>
          <w:i/>
          <w:iCs/>
        </w:rPr>
        <w:t>Tunkl</w:t>
      </w:r>
      <w:r w:rsidRPr="00283C20" w:rsidR="003433B6">
        <w:rPr>
          <w:rFonts w:ascii="Century Schoolbook" w:hAnsi="Century Schoolbook"/>
        </w:rPr>
        <w:t xml:space="preserve">, </w:t>
      </w:r>
      <w:r w:rsidRPr="00283C20" w:rsidR="003433B6">
        <w:rPr>
          <w:rFonts w:ascii="Century Schoolbook" w:hAnsi="Century Schoolbook"/>
          <w:i/>
          <w:iCs/>
        </w:rPr>
        <w:t>supra</w:t>
      </w:r>
      <w:r w:rsidRPr="00283C20" w:rsidR="003433B6">
        <w:rPr>
          <w:rFonts w:ascii="Century Schoolbook" w:hAnsi="Century Schoolbook"/>
        </w:rPr>
        <w:t xml:space="preserve">, 60 Cal.2d </w:t>
      </w:r>
      <w:r>
        <w:rPr>
          <w:rFonts w:ascii="Century Schoolbook" w:hAnsi="Century Schoolbook"/>
        </w:rPr>
        <w:t>at p.</w:t>
      </w:r>
      <w:r w:rsidR="007D47BE">
        <w:rPr>
          <w:rFonts w:ascii="Century Schoolbook" w:hAnsi="Century Schoolbook"/>
        </w:rPr>
        <w:t> </w:t>
      </w:r>
      <w:r>
        <w:rPr>
          <w:rFonts w:ascii="Century Schoolbook" w:hAnsi="Century Schoolbook"/>
        </w:rPr>
        <w:t>94.)  Finding that the subject agreement between a hospital and an entering patient affect</w:t>
      </w:r>
      <w:r w:rsidR="003D23BB">
        <w:rPr>
          <w:rFonts w:ascii="Century Schoolbook" w:hAnsi="Century Schoolbook"/>
        </w:rPr>
        <w:t>ed</w:t>
      </w:r>
      <w:r>
        <w:rPr>
          <w:rFonts w:ascii="Century Schoolbook" w:hAnsi="Century Schoolbook"/>
        </w:rPr>
        <w:t xml:space="preserve"> the public interest, </w:t>
      </w:r>
      <w:r w:rsidRPr="00143C1F">
        <w:rPr>
          <w:rFonts w:ascii="Century Schoolbook" w:hAnsi="Century Schoolbook"/>
          <w:i/>
          <w:iCs/>
        </w:rPr>
        <w:t>Tunkl</w:t>
      </w:r>
      <w:r>
        <w:rPr>
          <w:rFonts w:ascii="Century Schoolbook" w:hAnsi="Century Schoolbook"/>
        </w:rPr>
        <w:t xml:space="preserve"> concluded the release included within the agreement was invalid.  (</w:t>
      </w:r>
      <w:r w:rsidRPr="00143C1F">
        <w:rPr>
          <w:rFonts w:ascii="Century Schoolbook" w:hAnsi="Century Schoolbook"/>
          <w:i/>
          <w:iCs/>
        </w:rPr>
        <w:t>I</w:t>
      </w:r>
      <w:r>
        <w:rPr>
          <w:rFonts w:ascii="Century Schoolbook" w:hAnsi="Century Schoolbook"/>
          <w:i/>
          <w:iCs/>
        </w:rPr>
        <w:t>bi</w:t>
      </w:r>
      <w:r w:rsidRPr="00143C1F">
        <w:rPr>
          <w:rFonts w:ascii="Century Schoolbook" w:hAnsi="Century Schoolbook"/>
          <w:i/>
          <w:iCs/>
        </w:rPr>
        <w:t>d</w:t>
      </w:r>
      <w:r>
        <w:rPr>
          <w:rFonts w:ascii="Century Schoolbook" w:hAnsi="Century Schoolbook"/>
        </w:rPr>
        <w:t>.)</w:t>
      </w:r>
    </w:p>
    <w:p w:rsidR="00CA1B1D" w:rsidRPr="00283C20" w:rsidP="00564C95" w14:paraId="1521367A" w14:textId="6960D292">
      <w:pPr>
        <w:spacing w:line="360" w:lineRule="auto"/>
        <w:rPr>
          <w:rFonts w:ascii="Century Schoolbook" w:hAnsi="Century Schoolbook"/>
        </w:rPr>
      </w:pPr>
      <w:r>
        <w:rPr>
          <w:rFonts w:ascii="Century Schoolbook" w:hAnsi="Century Schoolbook"/>
        </w:rPr>
        <w:tab/>
        <w:t xml:space="preserve">In </w:t>
      </w:r>
      <w:r w:rsidR="007D47BE">
        <w:rPr>
          <w:rFonts w:ascii="Century Schoolbook" w:hAnsi="Century Schoolbook"/>
        </w:rPr>
        <w:t xml:space="preserve">examining whether section 1668 invalidated the release, the </w:t>
      </w:r>
      <w:r w:rsidRPr="008A2D83" w:rsidR="007D47BE">
        <w:rPr>
          <w:rFonts w:ascii="Century Schoolbook" w:hAnsi="Century Schoolbook"/>
          <w:i/>
          <w:iCs/>
        </w:rPr>
        <w:t>Tunkl</w:t>
      </w:r>
      <w:r w:rsidR="007D47BE">
        <w:rPr>
          <w:rFonts w:ascii="Century Schoolbook" w:hAnsi="Century Schoolbook"/>
        </w:rPr>
        <w:t xml:space="preserve"> court</w:t>
      </w:r>
      <w:r w:rsidR="00F930C7">
        <w:rPr>
          <w:rFonts w:ascii="Century Schoolbook" w:hAnsi="Century Schoolbook"/>
        </w:rPr>
        <w:t xml:space="preserve"> </w:t>
      </w:r>
      <w:r w:rsidRPr="00283C20">
        <w:rPr>
          <w:rFonts w:ascii="Century Schoolbook" w:hAnsi="Century Schoolbook"/>
        </w:rPr>
        <w:t xml:space="preserve">observed that </w:t>
      </w:r>
      <w:r w:rsidR="00882303">
        <w:rPr>
          <w:rFonts w:ascii="Century Schoolbook" w:hAnsi="Century Schoolbook"/>
        </w:rPr>
        <w:t>judicial</w:t>
      </w:r>
      <w:r w:rsidRPr="00283C20" w:rsidR="00B276A0">
        <w:rPr>
          <w:rFonts w:ascii="Century Schoolbook" w:hAnsi="Century Schoolbook"/>
        </w:rPr>
        <w:t xml:space="preserve"> interpretations of Civil Code section 1668 </w:t>
      </w:r>
      <w:r w:rsidR="00AD5E7F">
        <w:rPr>
          <w:rFonts w:ascii="Century Schoolbook" w:hAnsi="Century Schoolbook"/>
        </w:rPr>
        <w:t>were</w:t>
      </w:r>
      <w:r w:rsidRPr="00283C20" w:rsidR="00B276A0">
        <w:rPr>
          <w:rFonts w:ascii="Century Schoolbook" w:hAnsi="Century Schoolbook"/>
        </w:rPr>
        <w:t xml:space="preserve"> </w:t>
      </w:r>
      <w:r w:rsidR="003029A5">
        <w:rPr>
          <w:rFonts w:ascii="Century Schoolbook" w:hAnsi="Century Schoolbook"/>
        </w:rPr>
        <w:t>consistent in holding</w:t>
      </w:r>
      <w:r w:rsidRPr="00283C20" w:rsidR="00564C95">
        <w:rPr>
          <w:rFonts w:ascii="Century Schoolbook" w:hAnsi="Century Schoolbook"/>
        </w:rPr>
        <w:t xml:space="preserve"> that </w:t>
      </w:r>
      <w:r w:rsidR="003029A5">
        <w:rPr>
          <w:rFonts w:ascii="Century Schoolbook" w:hAnsi="Century Schoolbook"/>
        </w:rPr>
        <w:t>“</w:t>
      </w:r>
      <w:r w:rsidRPr="00283C20" w:rsidR="00564C95">
        <w:rPr>
          <w:rFonts w:ascii="Century Schoolbook" w:hAnsi="Century Schoolbook"/>
        </w:rPr>
        <w:t xml:space="preserve">the </w:t>
      </w:r>
      <w:r w:rsidRPr="00283C20">
        <w:rPr>
          <w:rFonts w:ascii="Century Schoolbook" w:hAnsi="Century Schoolbook"/>
        </w:rPr>
        <w:t xml:space="preserve">exculpatory provision </w:t>
      </w:r>
      <w:r w:rsidR="00E011FD">
        <w:rPr>
          <w:rFonts w:ascii="Century Schoolbook" w:hAnsi="Century Schoolbook"/>
        </w:rPr>
        <w:t xml:space="preserve">[i.e., </w:t>
      </w:r>
      <w:r w:rsidR="00AD5E7F">
        <w:rPr>
          <w:rFonts w:ascii="Century Schoolbook" w:hAnsi="Century Schoolbook"/>
        </w:rPr>
        <w:t>the</w:t>
      </w:r>
      <w:r w:rsidR="00E011FD">
        <w:rPr>
          <w:rFonts w:ascii="Century Schoolbook" w:hAnsi="Century Schoolbook"/>
        </w:rPr>
        <w:t xml:space="preserve"> release] </w:t>
      </w:r>
      <w:r w:rsidRPr="00283C20">
        <w:rPr>
          <w:rFonts w:ascii="Century Schoolbook" w:hAnsi="Century Schoolbook"/>
        </w:rPr>
        <w:t>may stand only if it does not involve ‘the public interest.’ ”  (</w:t>
      </w:r>
      <w:r w:rsidRPr="00283C20" w:rsidR="00682E63">
        <w:rPr>
          <w:rFonts w:ascii="Century Schoolbook" w:hAnsi="Century Schoolbook"/>
          <w:i/>
          <w:iCs/>
        </w:rPr>
        <w:t>Tunkl</w:t>
      </w:r>
      <w:r w:rsidRPr="00283C20" w:rsidR="00682E63">
        <w:rPr>
          <w:rFonts w:ascii="Century Schoolbook" w:hAnsi="Century Schoolbook"/>
        </w:rPr>
        <w:t xml:space="preserve">, </w:t>
      </w:r>
      <w:r w:rsidRPr="00283C20" w:rsidR="00682E63">
        <w:rPr>
          <w:rFonts w:ascii="Century Schoolbook" w:hAnsi="Century Schoolbook"/>
          <w:i/>
          <w:iCs/>
        </w:rPr>
        <w:t>supra</w:t>
      </w:r>
      <w:r w:rsidRPr="00283C20" w:rsidR="00682E63">
        <w:rPr>
          <w:rFonts w:ascii="Century Schoolbook" w:hAnsi="Century Schoolbook"/>
        </w:rPr>
        <w:t>, 60 Cal.2d</w:t>
      </w:r>
      <w:r w:rsidRPr="00283C20">
        <w:rPr>
          <w:rFonts w:ascii="Century Schoolbook" w:hAnsi="Century Schoolbook"/>
        </w:rPr>
        <w:t xml:space="preserve"> at p. 96.)</w:t>
      </w:r>
      <w:r w:rsidR="00F5722F">
        <w:rPr>
          <w:rFonts w:ascii="Century Schoolbook" w:hAnsi="Century Schoolbook"/>
        </w:rPr>
        <w:t xml:space="preserve">  </w:t>
      </w:r>
      <w:bookmarkStart w:id="2" w:name="_Hlk153955652"/>
      <w:r w:rsidR="00882303">
        <w:rPr>
          <w:rFonts w:ascii="Century Schoolbook" w:hAnsi="Century Schoolbook"/>
        </w:rPr>
        <w:t xml:space="preserve">Noting </w:t>
      </w:r>
      <w:r w:rsidRPr="00283C20">
        <w:rPr>
          <w:rFonts w:ascii="Century Schoolbook" w:hAnsi="Century Schoolbook"/>
        </w:rPr>
        <w:t xml:space="preserve">that “[n]o definition of the concept of public interest can be contained within the four corners of a formula,” </w:t>
      </w:r>
      <w:r w:rsidR="00882303">
        <w:rPr>
          <w:rFonts w:ascii="Century Schoolbook" w:hAnsi="Century Schoolbook"/>
        </w:rPr>
        <w:t>the Supreme Court</w:t>
      </w:r>
      <w:r w:rsidRPr="00283C20" w:rsidR="00564C95">
        <w:rPr>
          <w:rFonts w:ascii="Century Schoolbook" w:hAnsi="Century Schoolbook"/>
        </w:rPr>
        <w:t xml:space="preserve"> </w:t>
      </w:r>
      <w:r w:rsidRPr="00283C20">
        <w:rPr>
          <w:rFonts w:ascii="Century Schoolbook" w:hAnsi="Century Schoolbook"/>
        </w:rPr>
        <w:t>set forth a “rough outline</w:t>
      </w:r>
      <w:r w:rsidR="000F5D6F">
        <w:rPr>
          <w:rFonts w:ascii="Century Schoolbook" w:hAnsi="Century Schoolbook"/>
        </w:rPr>
        <w:t xml:space="preserve"> of that </w:t>
      </w:r>
      <w:r w:rsidRPr="008A2D83" w:rsidR="000F5D6F">
        <w:rPr>
          <w:rFonts w:ascii="Century Schoolbook" w:hAnsi="Century Schoolbook"/>
          <w:i/>
          <w:iCs/>
        </w:rPr>
        <w:t>type of transaction</w:t>
      </w:r>
      <w:r w:rsidRPr="000F5D6F" w:rsidR="000F5D6F">
        <w:rPr>
          <w:rFonts w:ascii="Century Schoolbook" w:hAnsi="Century Schoolbook"/>
        </w:rPr>
        <w:t xml:space="preserve"> in which exculpatory provisions will be held invalid</w:t>
      </w:r>
      <w:r w:rsidR="00882303">
        <w:rPr>
          <w:rFonts w:ascii="Century Schoolbook" w:hAnsi="Century Schoolbook"/>
        </w:rPr>
        <w:t>.</w:t>
      </w:r>
      <w:r w:rsidRPr="00283C20" w:rsidR="00951657">
        <w:rPr>
          <w:rFonts w:ascii="Century Schoolbook" w:hAnsi="Century Schoolbook"/>
        </w:rPr>
        <w:t>”</w:t>
      </w:r>
      <w:r w:rsidR="00882303">
        <w:rPr>
          <w:rFonts w:ascii="Century Schoolbook" w:hAnsi="Century Schoolbook"/>
        </w:rPr>
        <w:t xml:space="preserve">  </w:t>
      </w:r>
      <w:r w:rsidRPr="00283C20" w:rsidR="00882303">
        <w:rPr>
          <w:rFonts w:ascii="Century Schoolbook" w:hAnsi="Century Schoolbook"/>
        </w:rPr>
        <w:t>(</w:t>
      </w:r>
      <w:r w:rsidRPr="00F5722F" w:rsidR="00F5722F">
        <w:rPr>
          <w:rFonts w:ascii="Century Schoolbook" w:hAnsi="Century Schoolbook"/>
          <w:i/>
          <w:iCs/>
        </w:rPr>
        <w:t>Id</w:t>
      </w:r>
      <w:r w:rsidR="00F5722F">
        <w:rPr>
          <w:rFonts w:ascii="Century Schoolbook" w:hAnsi="Century Schoolbook"/>
        </w:rPr>
        <w:t xml:space="preserve">. </w:t>
      </w:r>
      <w:r w:rsidRPr="00283C20" w:rsidR="00882303">
        <w:rPr>
          <w:rFonts w:ascii="Century Schoolbook" w:hAnsi="Century Schoolbook"/>
        </w:rPr>
        <w:t>at p. 9</w:t>
      </w:r>
      <w:r w:rsidR="00882303">
        <w:rPr>
          <w:rFonts w:ascii="Century Schoolbook" w:hAnsi="Century Schoolbook"/>
        </w:rPr>
        <w:t>8</w:t>
      </w:r>
      <w:r w:rsidR="00E12DCC">
        <w:rPr>
          <w:rFonts w:ascii="Century Schoolbook" w:hAnsi="Century Schoolbook"/>
        </w:rPr>
        <w:t>, italics added</w:t>
      </w:r>
      <w:r w:rsidR="00882303">
        <w:rPr>
          <w:rFonts w:ascii="Century Schoolbook" w:hAnsi="Century Schoolbook"/>
        </w:rPr>
        <w:t>.)  In the high court’s words</w:t>
      </w:r>
      <w:r w:rsidR="00E011FD">
        <w:rPr>
          <w:rFonts w:ascii="Century Schoolbook" w:hAnsi="Century Schoolbook"/>
        </w:rPr>
        <w:t xml:space="preserve">, </w:t>
      </w:r>
      <w:r w:rsidR="00A60D99">
        <w:rPr>
          <w:rFonts w:ascii="Century Schoolbook" w:hAnsi="Century Schoolbook"/>
        </w:rPr>
        <w:t>“</w:t>
      </w:r>
      <w:r w:rsidR="00A60D99">
        <w:t>t</w:t>
      </w:r>
      <w:r w:rsidRPr="00A60D99" w:rsidR="00A60D99">
        <w:rPr>
          <w:rFonts w:ascii="Century Schoolbook" w:hAnsi="Century Schoolbook"/>
        </w:rPr>
        <w:t xml:space="preserve">he attempted but invalid exemption involves a </w:t>
      </w:r>
      <w:r w:rsidRPr="008A2D83" w:rsidR="00A60D99">
        <w:rPr>
          <w:rFonts w:ascii="Century Schoolbook" w:hAnsi="Century Schoolbook"/>
          <w:i/>
          <w:iCs/>
        </w:rPr>
        <w:t>transaction</w:t>
      </w:r>
      <w:r w:rsidRPr="00A60D99" w:rsidR="00A60D99">
        <w:rPr>
          <w:rFonts w:ascii="Century Schoolbook" w:hAnsi="Century Schoolbook"/>
        </w:rPr>
        <w:t xml:space="preserve"> which exhibits some or all of the following characteristics.</w:t>
      </w:r>
      <w:r w:rsidRPr="00EA3CAB" w:rsidR="00EA3CAB">
        <w:rPr>
          <w:rFonts w:ascii="Century Schoolbook" w:hAnsi="Century Schoolbook"/>
        </w:rPr>
        <w:t xml:space="preserve"> </w:t>
      </w:r>
      <w:r w:rsidR="00EA3CAB">
        <w:rPr>
          <w:rFonts w:ascii="Century Schoolbook" w:hAnsi="Century Schoolbook"/>
        </w:rPr>
        <w:t xml:space="preserve"> </w:t>
      </w:r>
      <w:r w:rsidRPr="00283C20">
        <w:rPr>
          <w:rFonts w:ascii="Century Schoolbook" w:hAnsi="Century Schoolbook"/>
        </w:rPr>
        <w:t>[1]</w:t>
      </w:r>
      <w:r w:rsidRPr="00283C20" w:rsidR="00922E23">
        <w:rPr>
          <w:rFonts w:ascii="Century Schoolbook" w:hAnsi="Century Schoolbook"/>
        </w:rPr>
        <w:t> </w:t>
      </w:r>
      <w:r w:rsidRPr="00283C20">
        <w:rPr>
          <w:rFonts w:ascii="Century Schoolbook" w:hAnsi="Century Schoolbook"/>
        </w:rPr>
        <w:t>It concerns a business of a type generally thought suitable for public regulation.  [2]</w:t>
      </w:r>
      <w:r w:rsidRPr="00283C20" w:rsidR="00922E23">
        <w:rPr>
          <w:rFonts w:ascii="Century Schoolbook" w:hAnsi="Century Schoolbook"/>
        </w:rPr>
        <w:t> </w:t>
      </w:r>
      <w:r w:rsidRPr="00283C20">
        <w:rPr>
          <w:rFonts w:ascii="Century Schoolbook" w:hAnsi="Century Schoolbook"/>
        </w:rPr>
        <w:t>The party seeking exculpation is engaged in performing a service of great importance to the public, which is often a matter of practical necessity for some members of the public.  [3]</w:t>
      </w:r>
      <w:r w:rsidRPr="00283C20" w:rsidR="00922E23">
        <w:rPr>
          <w:rFonts w:ascii="Century Schoolbook" w:hAnsi="Century Schoolbook"/>
        </w:rPr>
        <w:t> </w:t>
      </w:r>
      <w:r w:rsidRPr="00283C20">
        <w:rPr>
          <w:rFonts w:ascii="Century Schoolbook" w:hAnsi="Century Schoolbook"/>
        </w:rPr>
        <w:t>The party holds himself out as willing to perform this service for any member of the public who seeks it, or at least for any member coming within certain established standards.  [4]</w:t>
      </w:r>
      <w:r w:rsidRPr="00283C20" w:rsidR="00922E23">
        <w:rPr>
          <w:rFonts w:ascii="Century Schoolbook" w:hAnsi="Century Schoolbook"/>
        </w:rPr>
        <w:t> </w:t>
      </w:r>
      <w:r w:rsidRPr="00283C20">
        <w:rPr>
          <w:rFonts w:ascii="Century Schoolbook" w:hAnsi="Century Schoolbook"/>
        </w:rPr>
        <w:t>As a result of the essential nature of the service, in the economic setting of the transaction, the party invoking exculpation possesses a decisive advantage of bargaining strength against any member of the public who seeks his services.  [5]</w:t>
      </w:r>
      <w:r w:rsidRPr="00283C20" w:rsidR="00922E23">
        <w:rPr>
          <w:rFonts w:ascii="Century Schoolbook" w:hAnsi="Century Schoolbook"/>
        </w:rPr>
        <w:t> </w:t>
      </w:r>
      <w:r w:rsidRPr="00283C20">
        <w:rPr>
          <w:rFonts w:ascii="Century Schoolbook" w:hAnsi="Century Schoolbook"/>
        </w:rPr>
        <w:t>In exercising a superior bargaining power the party confronts the public with a standardized adhesion contract of exculpation, and makes no provision whereby a purchaser may pay additional reasonable fees and obtain protection against negligence.  [6]</w:t>
      </w:r>
      <w:r w:rsidRPr="00283C20" w:rsidR="00922E23">
        <w:rPr>
          <w:rFonts w:ascii="Century Schoolbook" w:hAnsi="Century Schoolbook"/>
        </w:rPr>
        <w:t> </w:t>
      </w:r>
      <w:r w:rsidRPr="00283C20">
        <w:rPr>
          <w:rFonts w:ascii="Century Schoolbook" w:hAnsi="Century Schoolbook"/>
        </w:rPr>
        <w:t>Finally, as a result of the transaction, the person or property of the purchaser is placed under the control of the seller, subject to the risk of carelessness by the seller or his agents.”  (</w:t>
      </w:r>
      <w:r w:rsidRPr="00F5722F" w:rsidR="00F5722F">
        <w:rPr>
          <w:rFonts w:ascii="Century Schoolbook" w:hAnsi="Century Schoolbook"/>
          <w:i/>
          <w:iCs/>
        </w:rPr>
        <w:t>Id</w:t>
      </w:r>
      <w:r w:rsidR="00F5722F">
        <w:rPr>
          <w:rFonts w:ascii="Century Schoolbook" w:hAnsi="Century Schoolbook"/>
        </w:rPr>
        <w:t>.</w:t>
      </w:r>
      <w:r w:rsidRPr="00283C20" w:rsidR="00564C95">
        <w:rPr>
          <w:rFonts w:ascii="Century Schoolbook" w:hAnsi="Century Schoolbook"/>
        </w:rPr>
        <w:t xml:space="preserve"> at </w:t>
      </w:r>
      <w:r w:rsidRPr="00283C20">
        <w:rPr>
          <w:rFonts w:ascii="Century Schoolbook" w:hAnsi="Century Schoolbook"/>
        </w:rPr>
        <w:t>pp. 9</w:t>
      </w:r>
      <w:r w:rsidRPr="00283C20" w:rsidR="00341DE0">
        <w:rPr>
          <w:rFonts w:ascii="Century Schoolbook" w:hAnsi="Century Schoolbook"/>
        </w:rPr>
        <w:t>8</w:t>
      </w:r>
      <w:r w:rsidRPr="00283C20">
        <w:rPr>
          <w:rFonts w:ascii="Century Schoolbook" w:hAnsi="Century Schoolbook"/>
        </w:rPr>
        <w:t>–101, fns. </w:t>
      </w:r>
      <w:r w:rsidR="00B87E5F">
        <w:rPr>
          <w:rFonts w:ascii="Century Schoolbook" w:hAnsi="Century Schoolbook"/>
        </w:rPr>
        <w:t>o</w:t>
      </w:r>
      <w:r w:rsidRPr="00283C20">
        <w:rPr>
          <w:rFonts w:ascii="Century Schoolbook" w:hAnsi="Century Schoolbook"/>
        </w:rPr>
        <w:t>mitted</w:t>
      </w:r>
      <w:r w:rsidR="008A2D83">
        <w:rPr>
          <w:rFonts w:ascii="Century Schoolbook" w:hAnsi="Century Schoolbook"/>
        </w:rPr>
        <w:t>, italics added</w:t>
      </w:r>
      <w:r w:rsidRPr="00283C20">
        <w:rPr>
          <w:rFonts w:ascii="Century Schoolbook" w:hAnsi="Century Schoolbook"/>
        </w:rPr>
        <w:t>.)</w:t>
      </w:r>
    </w:p>
    <w:bookmarkEnd w:id="2"/>
    <w:p w:rsidR="00984AB0" w:rsidRPr="00283C20" w:rsidP="00CA1B1D" w14:paraId="3908DA0F" w14:textId="38ABE887">
      <w:pPr>
        <w:spacing w:line="360" w:lineRule="auto"/>
        <w:rPr>
          <w:rFonts w:ascii="Century Schoolbook" w:hAnsi="Century Schoolbook"/>
        </w:rPr>
      </w:pPr>
      <w:r w:rsidRPr="00283C20">
        <w:rPr>
          <w:rFonts w:ascii="Century Schoolbook" w:hAnsi="Century Schoolbook"/>
        </w:rPr>
        <w:tab/>
        <w:t>The</w:t>
      </w:r>
      <w:r w:rsidRPr="00283C20" w:rsidR="00881A39">
        <w:rPr>
          <w:rFonts w:ascii="Century Schoolbook" w:hAnsi="Century Schoolbook"/>
        </w:rPr>
        <w:t xml:space="preserve"> </w:t>
      </w:r>
      <w:r w:rsidRPr="00283C20" w:rsidR="00881A39">
        <w:rPr>
          <w:rFonts w:ascii="Century Schoolbook" w:hAnsi="Century Schoolbook"/>
          <w:i/>
          <w:iCs/>
        </w:rPr>
        <w:t>Tunkl</w:t>
      </w:r>
      <w:r w:rsidRPr="00283C20">
        <w:rPr>
          <w:rFonts w:ascii="Century Schoolbook" w:hAnsi="Century Schoolbook"/>
        </w:rPr>
        <w:t xml:space="preserve"> court </w:t>
      </w:r>
      <w:r w:rsidR="00E011FD">
        <w:rPr>
          <w:rFonts w:ascii="Century Schoolbook" w:hAnsi="Century Schoolbook"/>
        </w:rPr>
        <w:t>explained the</w:t>
      </w:r>
      <w:r w:rsidRPr="00283C20" w:rsidR="006152F7">
        <w:rPr>
          <w:rFonts w:ascii="Century Schoolbook" w:hAnsi="Century Schoolbook"/>
        </w:rPr>
        <w:t xml:space="preserve"> rationale </w:t>
      </w:r>
      <w:r w:rsidRPr="00283C20" w:rsidR="008D3B13">
        <w:rPr>
          <w:rFonts w:ascii="Century Schoolbook" w:hAnsi="Century Schoolbook"/>
        </w:rPr>
        <w:t>for</w:t>
      </w:r>
      <w:r w:rsidRPr="00283C20" w:rsidR="006152F7">
        <w:rPr>
          <w:rFonts w:ascii="Century Schoolbook" w:hAnsi="Century Schoolbook"/>
        </w:rPr>
        <w:t xml:space="preserve"> th</w:t>
      </w:r>
      <w:r w:rsidR="00E011FD">
        <w:rPr>
          <w:rFonts w:ascii="Century Schoolbook" w:hAnsi="Century Schoolbook"/>
        </w:rPr>
        <w:t>is</w:t>
      </w:r>
      <w:r w:rsidRPr="00283C20" w:rsidR="006152F7">
        <w:rPr>
          <w:rFonts w:ascii="Century Schoolbook" w:hAnsi="Century Schoolbook"/>
        </w:rPr>
        <w:t xml:space="preserve"> rule</w:t>
      </w:r>
      <w:r w:rsidR="00E011FD">
        <w:rPr>
          <w:rFonts w:ascii="Century Schoolbook" w:hAnsi="Century Schoolbook"/>
        </w:rPr>
        <w:t xml:space="preserve"> as follows</w:t>
      </w:r>
      <w:r w:rsidRPr="00283C20" w:rsidR="006152F7">
        <w:rPr>
          <w:rFonts w:ascii="Century Schoolbook" w:hAnsi="Century Schoolbook"/>
        </w:rPr>
        <w:t xml:space="preserve">: </w:t>
      </w:r>
      <w:r w:rsidRPr="00283C20" w:rsidR="00145A38">
        <w:rPr>
          <w:rFonts w:ascii="Century Schoolbook" w:hAnsi="Century Schoolbook"/>
        </w:rPr>
        <w:t xml:space="preserve"> </w:t>
      </w:r>
      <w:r w:rsidRPr="00283C20" w:rsidR="006152F7">
        <w:rPr>
          <w:rFonts w:ascii="Century Schoolbook" w:hAnsi="Century Schoolbook"/>
        </w:rPr>
        <w:t xml:space="preserve">“While </w:t>
      </w:r>
      <w:r w:rsidRPr="00EA3CAB" w:rsidR="006152F7">
        <w:rPr>
          <w:rFonts w:ascii="Century Schoolbook" w:hAnsi="Century Schoolbook"/>
          <w:i/>
          <w:iCs/>
        </w:rPr>
        <w:t>obviously no public policy opposes private, voluntary transactions in which one party, for a consideration, agrees to shoulder a risk which the law would otherwise have placed upon the other party</w:t>
      </w:r>
      <w:r w:rsidRPr="00283C20" w:rsidR="006152F7">
        <w:rPr>
          <w:rFonts w:ascii="Century Schoolbook" w:hAnsi="Century Schoolbook"/>
        </w:rPr>
        <w:t xml:space="preserve">, the </w:t>
      </w:r>
      <w:r w:rsidR="00AD5E7F">
        <w:rPr>
          <w:rFonts w:ascii="Century Schoolbook" w:hAnsi="Century Schoolbook"/>
        </w:rPr>
        <w:t>[circumstances in which</w:t>
      </w:r>
      <w:r w:rsidR="00A927CF">
        <w:rPr>
          <w:rFonts w:ascii="Century Schoolbook" w:hAnsi="Century Schoolbook"/>
        </w:rPr>
        <w:t xml:space="preserve"> a public interest is involved]</w:t>
      </w:r>
      <w:r w:rsidRPr="00283C20" w:rsidR="006152F7">
        <w:rPr>
          <w:rFonts w:ascii="Century Schoolbook" w:hAnsi="Century Schoolbook"/>
        </w:rPr>
        <w:t xml:space="preserve"> pose a different situation.  </w:t>
      </w:r>
      <w:r w:rsidRPr="00241146" w:rsidR="006152F7">
        <w:rPr>
          <w:rFonts w:ascii="Century Schoolbook" w:hAnsi="Century Schoolbook"/>
          <w:i/>
          <w:iCs/>
        </w:rPr>
        <w:t>In this situation the releasing party does not really acquiesce voluntarily</w:t>
      </w:r>
      <w:r w:rsidRPr="00283C20" w:rsidR="006152F7">
        <w:rPr>
          <w:rFonts w:ascii="Century Schoolbook" w:hAnsi="Century Schoolbook"/>
        </w:rPr>
        <w:t xml:space="preserve"> in the contractual shifting of the risk, nor can we be reasonably certain that he receives an adequate consideration for the transfer.  </w:t>
      </w:r>
      <w:r w:rsidRPr="00241146" w:rsidR="006152F7">
        <w:rPr>
          <w:rFonts w:ascii="Century Schoolbook" w:hAnsi="Century Schoolbook"/>
        </w:rPr>
        <w:t>Since the service is one which each member of the public, presently or potentially, may find essential to him,</w:t>
      </w:r>
      <w:r w:rsidRPr="00241146" w:rsidR="006152F7">
        <w:rPr>
          <w:rFonts w:ascii="Century Schoolbook" w:hAnsi="Century Schoolbook"/>
          <w:i/>
          <w:iCs/>
        </w:rPr>
        <w:t xml:space="preserve"> he faces, despite his economic inability to do so, the prospect of a compulsory assumption of the risk</w:t>
      </w:r>
      <w:r w:rsidRPr="00283C20" w:rsidR="006152F7">
        <w:rPr>
          <w:rFonts w:ascii="Century Schoolbook" w:hAnsi="Century Schoolbook"/>
        </w:rPr>
        <w:t xml:space="preserve"> of another</w:t>
      </w:r>
      <w:r w:rsidRPr="00283C20" w:rsidR="00145A38">
        <w:rPr>
          <w:rFonts w:ascii="Century Schoolbook" w:hAnsi="Century Schoolbook"/>
        </w:rPr>
        <w:t>’</w:t>
      </w:r>
      <w:r w:rsidRPr="00283C20" w:rsidR="006152F7">
        <w:rPr>
          <w:rFonts w:ascii="Century Schoolbook" w:hAnsi="Century Schoolbook"/>
        </w:rPr>
        <w:t>s negligence.”  (</w:t>
      </w:r>
      <w:r w:rsidRPr="00283C20" w:rsidR="00EA3CAB">
        <w:rPr>
          <w:rFonts w:ascii="Century Schoolbook" w:hAnsi="Century Schoolbook"/>
          <w:i/>
          <w:iCs/>
        </w:rPr>
        <w:t>Tunkl</w:t>
      </w:r>
      <w:r w:rsidRPr="00283C20" w:rsidR="00EA3CAB">
        <w:rPr>
          <w:rFonts w:ascii="Century Schoolbook" w:hAnsi="Century Schoolbook"/>
        </w:rPr>
        <w:t xml:space="preserve">, </w:t>
      </w:r>
      <w:r w:rsidRPr="00283C20" w:rsidR="00EA3CAB">
        <w:rPr>
          <w:rFonts w:ascii="Century Schoolbook" w:hAnsi="Century Schoolbook"/>
          <w:i/>
          <w:iCs/>
        </w:rPr>
        <w:t>supra</w:t>
      </w:r>
      <w:r w:rsidRPr="00283C20" w:rsidR="00EA3CAB">
        <w:rPr>
          <w:rFonts w:ascii="Century Schoolbook" w:hAnsi="Century Schoolbook"/>
        </w:rPr>
        <w:t xml:space="preserve">, 60 Cal.2d </w:t>
      </w:r>
      <w:r w:rsidRPr="00283C20" w:rsidR="006152F7">
        <w:rPr>
          <w:rFonts w:ascii="Century Schoolbook" w:hAnsi="Century Schoolbook"/>
        </w:rPr>
        <w:t>at p. 101</w:t>
      </w:r>
      <w:r w:rsidR="00EA3CAB">
        <w:rPr>
          <w:rFonts w:ascii="Century Schoolbook" w:hAnsi="Century Schoolbook"/>
        </w:rPr>
        <w:t>, italics added</w:t>
      </w:r>
      <w:r w:rsidRPr="00283C20" w:rsidR="006152F7">
        <w:rPr>
          <w:rFonts w:ascii="Century Schoolbook" w:hAnsi="Century Schoolbook"/>
        </w:rPr>
        <w:t>.)</w:t>
      </w:r>
      <w:r w:rsidR="005D1C02">
        <w:rPr>
          <w:rFonts w:ascii="Century Schoolbook" w:hAnsi="Century Schoolbook"/>
        </w:rPr>
        <w:t xml:space="preserve">  </w:t>
      </w:r>
    </w:p>
    <w:p w:rsidR="00C76A6C" w:rsidRPr="00283C20" w:rsidP="00F42CF9" w14:paraId="6E196FBB" w14:textId="0F6F041B">
      <w:pPr>
        <w:spacing w:line="360" w:lineRule="auto"/>
        <w:rPr>
          <w:rFonts w:ascii="Century Schoolbook" w:hAnsi="Century Schoolbook"/>
        </w:rPr>
      </w:pPr>
      <w:r w:rsidRPr="00283C20">
        <w:rPr>
          <w:rFonts w:ascii="Century Schoolbook" w:hAnsi="Century Schoolbook"/>
        </w:rPr>
        <w:tab/>
      </w:r>
      <w:r w:rsidR="00FB2CA4">
        <w:rPr>
          <w:rFonts w:ascii="Century Schoolbook" w:hAnsi="Century Schoolbook"/>
        </w:rPr>
        <w:t>Notably</w:t>
      </w:r>
      <w:r w:rsidR="00A927CF">
        <w:rPr>
          <w:rFonts w:ascii="Century Schoolbook" w:hAnsi="Century Schoolbook"/>
        </w:rPr>
        <w:t xml:space="preserve">, </w:t>
      </w:r>
      <w:r w:rsidR="00FB2CA4">
        <w:rPr>
          <w:rFonts w:ascii="Century Schoolbook" w:hAnsi="Century Schoolbook"/>
        </w:rPr>
        <w:t xml:space="preserve">in 2007 </w:t>
      </w:r>
      <w:r w:rsidR="00A927CF">
        <w:rPr>
          <w:rFonts w:ascii="Century Schoolbook" w:hAnsi="Century Schoolbook"/>
        </w:rPr>
        <w:t xml:space="preserve">the Supreme Court observed that </w:t>
      </w:r>
      <w:r w:rsidR="003F339A">
        <w:rPr>
          <w:rFonts w:ascii="Century Schoolbook" w:hAnsi="Century Schoolbook"/>
        </w:rPr>
        <w:t>then-</w:t>
      </w:r>
      <w:r w:rsidR="00057D75">
        <w:rPr>
          <w:rFonts w:ascii="Century Schoolbook" w:hAnsi="Century Schoolbook"/>
        </w:rPr>
        <w:t xml:space="preserve">recent appellate </w:t>
      </w:r>
      <w:r w:rsidR="00A927CF">
        <w:rPr>
          <w:rFonts w:ascii="Century Schoolbook" w:hAnsi="Century Schoolbook"/>
        </w:rPr>
        <w:t>decision</w:t>
      </w:r>
      <w:r w:rsidR="00057D75">
        <w:rPr>
          <w:rFonts w:ascii="Century Schoolbook" w:hAnsi="Century Schoolbook"/>
        </w:rPr>
        <w:t>s</w:t>
      </w:r>
      <w:r w:rsidR="00A927CF">
        <w:rPr>
          <w:rFonts w:ascii="Century Schoolbook" w:hAnsi="Century Schoolbook"/>
        </w:rPr>
        <w:t xml:space="preserve"> </w:t>
      </w:r>
      <w:r w:rsidR="003029A5">
        <w:rPr>
          <w:rFonts w:ascii="Century Schoolbook" w:hAnsi="Century Schoolbook"/>
        </w:rPr>
        <w:t xml:space="preserve">had </w:t>
      </w:r>
      <w:r w:rsidR="00A927CF">
        <w:rPr>
          <w:rFonts w:ascii="Century Schoolbook" w:hAnsi="Century Schoolbook"/>
        </w:rPr>
        <w:t>“</w:t>
      </w:r>
      <w:r w:rsidRPr="00283C20" w:rsidR="001A32B2">
        <w:rPr>
          <w:rFonts w:ascii="Century Schoolbook" w:hAnsi="Century Schoolbook"/>
        </w:rPr>
        <w:t>concluded categorically that private agreements</w:t>
      </w:r>
      <w:r w:rsidR="003029A5">
        <w:rPr>
          <w:rFonts w:ascii="Century Schoolbook" w:hAnsi="Century Schoolbook"/>
        </w:rPr>
        <w:t xml:space="preserve"> </w:t>
      </w:r>
      <w:r w:rsidRPr="00283C20" w:rsidR="001A32B2">
        <w:rPr>
          <w:rFonts w:ascii="Century Schoolbook" w:hAnsi="Century Schoolbook"/>
        </w:rPr>
        <w:t>made ‘in the recreational sports context’ releasing liability for future ordinary negligence ‘do not implicate the public interest and therefore are not void as against public policy</w:t>
      </w:r>
      <w:r w:rsidRPr="00283C20" w:rsidR="00DA2D55">
        <w:rPr>
          <w:rFonts w:ascii="Century Schoolbook" w:hAnsi="Century Schoolbook"/>
        </w:rPr>
        <w:t>.</w:t>
      </w:r>
      <w:r w:rsidRPr="00283C20" w:rsidR="001A32B2">
        <w:rPr>
          <w:rFonts w:ascii="Century Schoolbook" w:hAnsi="Century Schoolbook"/>
        </w:rPr>
        <w:t>’</w:t>
      </w:r>
      <w:r w:rsidRPr="00283C20" w:rsidR="00E27D05">
        <w:rPr>
          <w:rFonts w:ascii="Century Schoolbook" w:hAnsi="Century Schoolbook"/>
        </w:rPr>
        <w:t> </w:t>
      </w:r>
      <w:r w:rsidRPr="00283C20">
        <w:rPr>
          <w:rFonts w:ascii="Century Schoolbook" w:hAnsi="Century Schoolbook"/>
        </w:rPr>
        <w:t>”</w:t>
      </w:r>
      <w:r w:rsidRPr="00283C20" w:rsidR="00DA2D55">
        <w:rPr>
          <w:rFonts w:ascii="Century Schoolbook" w:hAnsi="Century Schoolbook"/>
        </w:rPr>
        <w:t xml:space="preserve">  (</w:t>
      </w:r>
      <w:bookmarkStart w:id="3" w:name="_Hlk153871429"/>
      <w:bookmarkStart w:id="4" w:name="_Hlk153871417"/>
      <w:bookmarkStart w:id="5" w:name="_Hlk156806627"/>
      <w:r w:rsidRPr="00283C20" w:rsidR="005F04F0">
        <w:rPr>
          <w:rFonts w:ascii="Century Schoolbook" w:hAnsi="Century Schoolbook"/>
          <w:i/>
          <w:iCs/>
        </w:rPr>
        <w:t xml:space="preserve">City of Santa Barbara </w:t>
      </w:r>
      <w:bookmarkEnd w:id="3"/>
      <w:r w:rsidRPr="00283C20" w:rsidR="005F04F0">
        <w:rPr>
          <w:rFonts w:ascii="Century Schoolbook" w:hAnsi="Century Schoolbook"/>
          <w:i/>
          <w:iCs/>
        </w:rPr>
        <w:t>v. Superior Court</w:t>
      </w:r>
      <w:r w:rsidRPr="00283C20" w:rsidR="005F04F0">
        <w:rPr>
          <w:rFonts w:ascii="Century Schoolbook" w:hAnsi="Century Schoolbook"/>
        </w:rPr>
        <w:t xml:space="preserve"> (2007) 41 Cal.4th 747, 759</w:t>
      </w:r>
      <w:r w:rsidR="00D75C79">
        <w:rPr>
          <w:rFonts w:ascii="Century Schoolbook" w:hAnsi="Century Schoolbook"/>
        </w:rPr>
        <w:t>–760</w:t>
      </w:r>
      <w:r w:rsidRPr="00283C20" w:rsidR="006520FE">
        <w:rPr>
          <w:rFonts w:ascii="Century Schoolbook" w:hAnsi="Century Schoolbook"/>
        </w:rPr>
        <w:t xml:space="preserve"> &amp; fns. 12–17</w:t>
      </w:r>
      <w:r w:rsidRPr="00283C20" w:rsidR="005F04F0">
        <w:rPr>
          <w:rFonts w:ascii="Century Schoolbook" w:hAnsi="Century Schoolbook"/>
        </w:rPr>
        <w:t xml:space="preserve"> (</w:t>
      </w:r>
      <w:r w:rsidRPr="00283C20" w:rsidR="005F04F0">
        <w:rPr>
          <w:rFonts w:ascii="Century Schoolbook" w:hAnsi="Century Schoolbook"/>
          <w:i/>
          <w:iCs/>
        </w:rPr>
        <w:t>City of Santa Barbara</w:t>
      </w:r>
      <w:r w:rsidRPr="00283C20" w:rsidR="005F04F0">
        <w:rPr>
          <w:rFonts w:ascii="Century Schoolbook" w:hAnsi="Century Schoolbook"/>
        </w:rPr>
        <w:t>)</w:t>
      </w:r>
      <w:bookmarkEnd w:id="4"/>
      <w:r w:rsidRPr="00283C20" w:rsidR="0034217A">
        <w:rPr>
          <w:rFonts w:ascii="Century Schoolbook" w:hAnsi="Century Schoolbook"/>
        </w:rPr>
        <w:t>, and cases cited</w:t>
      </w:r>
      <w:r w:rsidRPr="00283C20" w:rsidR="001A32B2">
        <w:rPr>
          <w:rFonts w:ascii="Century Schoolbook" w:hAnsi="Century Schoolbook"/>
        </w:rPr>
        <w:t>;</w:t>
      </w:r>
      <w:r w:rsidRPr="00283C20" w:rsidR="001A32B2">
        <w:rPr>
          <w:rFonts w:ascii="Century Schoolbook" w:hAnsi="Century Schoolbook"/>
          <w:i/>
          <w:iCs/>
        </w:rPr>
        <w:t xml:space="preserve"> </w:t>
      </w:r>
      <w:r w:rsidR="007F7451">
        <w:rPr>
          <w:rFonts w:ascii="Century Schoolbook" w:hAnsi="Century Schoolbook"/>
          <w:i/>
          <w:iCs/>
        </w:rPr>
        <w:t>Hass</w:t>
      </w:r>
      <w:r w:rsidR="00F15C91">
        <w:rPr>
          <w:rFonts w:ascii="Century Schoolbook" w:hAnsi="Century Schoolbook"/>
          <w:i/>
          <w:iCs/>
        </w:rPr>
        <w:t xml:space="preserve"> v. RhodyCo Productions </w:t>
      </w:r>
      <w:r w:rsidRPr="00A103A7" w:rsidR="00F15C91">
        <w:rPr>
          <w:rFonts w:ascii="Century Schoolbook" w:hAnsi="Century Schoolbook"/>
        </w:rPr>
        <w:t>(2018)</w:t>
      </w:r>
      <w:r w:rsidRPr="00283C20" w:rsidR="001A32B2">
        <w:rPr>
          <w:rFonts w:ascii="Century Schoolbook" w:hAnsi="Century Schoolbook"/>
        </w:rPr>
        <w:t xml:space="preserve"> 26 Cal.App.5th</w:t>
      </w:r>
      <w:r w:rsidR="00202AC7">
        <w:rPr>
          <w:rFonts w:ascii="Century Schoolbook" w:hAnsi="Century Schoolbook"/>
        </w:rPr>
        <w:t xml:space="preserve"> 11</w:t>
      </w:r>
      <w:r w:rsidR="00AA1640">
        <w:rPr>
          <w:rFonts w:ascii="Century Schoolbook" w:hAnsi="Century Schoolbook"/>
        </w:rPr>
        <w:t xml:space="preserve">, </w:t>
      </w:r>
      <w:r w:rsidRPr="00283C20" w:rsidR="001A32B2">
        <w:rPr>
          <w:rFonts w:ascii="Century Schoolbook" w:hAnsi="Century Schoolbook"/>
        </w:rPr>
        <w:t>29</w:t>
      </w:r>
      <w:r w:rsidRPr="00283C20" w:rsidR="006520FE">
        <w:rPr>
          <w:rFonts w:ascii="Century Schoolbook" w:hAnsi="Century Schoolbook"/>
        </w:rPr>
        <w:t>–30</w:t>
      </w:r>
      <w:r w:rsidRPr="00283C20" w:rsidR="001A32B2">
        <w:rPr>
          <w:rFonts w:ascii="Century Schoolbook" w:hAnsi="Century Schoolbook"/>
        </w:rPr>
        <w:t xml:space="preserve"> </w:t>
      </w:r>
      <w:r w:rsidR="00235A61">
        <w:rPr>
          <w:rFonts w:ascii="Century Schoolbook" w:hAnsi="Century Schoolbook"/>
        </w:rPr>
        <w:t>(</w:t>
      </w:r>
      <w:r w:rsidRPr="0052752B" w:rsidR="00235A61">
        <w:rPr>
          <w:rFonts w:ascii="Century Schoolbook" w:hAnsi="Century Schoolbook"/>
          <w:i/>
          <w:iCs/>
        </w:rPr>
        <w:t>Hass</w:t>
      </w:r>
      <w:r w:rsidR="00235A61">
        <w:rPr>
          <w:rFonts w:ascii="Century Schoolbook" w:hAnsi="Century Schoolbook"/>
        </w:rPr>
        <w:t>)</w:t>
      </w:r>
      <w:r w:rsidR="00CC27C1">
        <w:rPr>
          <w:rFonts w:ascii="Century Schoolbook" w:hAnsi="Century Schoolbook"/>
        </w:rPr>
        <w:t>,</w:t>
      </w:r>
      <w:r w:rsidR="00235A61">
        <w:rPr>
          <w:rFonts w:ascii="Century Schoolbook" w:hAnsi="Century Schoolbook"/>
        </w:rPr>
        <w:t xml:space="preserve"> </w:t>
      </w:r>
      <w:r w:rsidRPr="00235A61" w:rsidR="001A32B2">
        <w:rPr>
          <w:rFonts w:ascii="Century Schoolbook" w:hAnsi="Century Schoolbook"/>
        </w:rPr>
        <w:t>and</w:t>
      </w:r>
      <w:r w:rsidRPr="00283C20" w:rsidR="001A32B2">
        <w:rPr>
          <w:rFonts w:ascii="Century Schoolbook" w:hAnsi="Century Schoolbook"/>
        </w:rPr>
        <w:t xml:space="preserve"> cases cited</w:t>
      </w:r>
      <w:r w:rsidRPr="00283C20" w:rsidR="00DA2D55">
        <w:rPr>
          <w:rFonts w:ascii="Century Schoolbook" w:hAnsi="Century Schoolbook"/>
        </w:rPr>
        <w:t>.)</w:t>
      </w:r>
      <w:r w:rsidRPr="00283C20" w:rsidR="006B67BC">
        <w:rPr>
          <w:rFonts w:ascii="Century Schoolbook" w:hAnsi="Century Schoolbook"/>
        </w:rPr>
        <w:t xml:space="preserve">  </w:t>
      </w:r>
      <w:r w:rsidRPr="00283C20" w:rsidR="00C76247">
        <w:rPr>
          <w:rFonts w:ascii="Century Schoolbook" w:hAnsi="Century Schoolbook"/>
        </w:rPr>
        <w:t>P</w:t>
      </w:r>
      <w:r w:rsidRPr="00283C20" w:rsidR="0074377C">
        <w:rPr>
          <w:rFonts w:ascii="Century Schoolbook" w:hAnsi="Century Schoolbook"/>
        </w:rPr>
        <w:t xml:space="preserve">articularly </w:t>
      </w:r>
      <w:r w:rsidRPr="00283C20" w:rsidR="00B55025">
        <w:rPr>
          <w:rFonts w:ascii="Century Schoolbook" w:hAnsi="Century Schoolbook"/>
        </w:rPr>
        <w:t xml:space="preserve">relevant here, </w:t>
      </w:r>
      <w:bookmarkStart w:id="6" w:name="_Hlk153871462"/>
      <w:r w:rsidRPr="00283C20" w:rsidR="00B55025">
        <w:rPr>
          <w:rFonts w:ascii="Century Schoolbook" w:hAnsi="Century Schoolbook"/>
          <w:i/>
          <w:iCs/>
        </w:rPr>
        <w:t>Okura v. United States Cycling Fed</w:t>
      </w:r>
      <w:r w:rsidRPr="00283C20" w:rsidR="007974EE">
        <w:rPr>
          <w:rFonts w:ascii="Century Schoolbook" w:hAnsi="Century Schoolbook"/>
          <w:i/>
          <w:iCs/>
        </w:rPr>
        <w:t>’</w:t>
      </w:r>
      <w:r w:rsidRPr="00283C20" w:rsidR="00B55025">
        <w:rPr>
          <w:rFonts w:ascii="Century Schoolbook" w:hAnsi="Century Schoolbook"/>
          <w:i/>
          <w:iCs/>
        </w:rPr>
        <w:t>n</w:t>
      </w:r>
      <w:r w:rsidRPr="00283C20" w:rsidR="00B55025">
        <w:rPr>
          <w:rFonts w:ascii="Century Schoolbook" w:hAnsi="Century Schoolbook"/>
        </w:rPr>
        <w:t xml:space="preserve"> (1986) 186 Cal.App.3d 1462 (</w:t>
      </w:r>
      <w:r w:rsidRPr="00283C20" w:rsidR="00B55025">
        <w:rPr>
          <w:rFonts w:ascii="Century Schoolbook" w:hAnsi="Century Schoolbook"/>
          <w:i/>
          <w:iCs/>
        </w:rPr>
        <w:t>Okura</w:t>
      </w:r>
      <w:r w:rsidRPr="00283C20" w:rsidR="00B55025">
        <w:rPr>
          <w:rFonts w:ascii="Century Schoolbook" w:hAnsi="Century Schoolbook"/>
        </w:rPr>
        <w:t xml:space="preserve">) </w:t>
      </w:r>
      <w:bookmarkEnd w:id="6"/>
      <w:r w:rsidRPr="00283C20" w:rsidR="0074377C">
        <w:rPr>
          <w:rFonts w:ascii="Century Schoolbook" w:hAnsi="Century Schoolbook"/>
        </w:rPr>
        <w:t>“establishes that bicycle racing .</w:t>
      </w:r>
      <w:r w:rsidRPr="00283C20" w:rsidR="00E27D05">
        <w:rPr>
          <w:rFonts w:ascii="Century Schoolbook" w:hAnsi="Century Schoolbook"/>
        </w:rPr>
        <w:t> </w:t>
      </w:r>
      <w:r w:rsidRPr="00283C20" w:rsidR="0074377C">
        <w:rPr>
          <w:rFonts w:ascii="Century Schoolbook" w:hAnsi="Century Schoolbook"/>
        </w:rPr>
        <w:t>.</w:t>
      </w:r>
      <w:r w:rsidRPr="00283C20" w:rsidR="00E27D05">
        <w:rPr>
          <w:rFonts w:ascii="Century Schoolbook" w:hAnsi="Century Schoolbook"/>
        </w:rPr>
        <w:t> </w:t>
      </w:r>
      <w:r w:rsidRPr="00283C20" w:rsidR="0074377C">
        <w:rPr>
          <w:rFonts w:ascii="Century Schoolbook" w:hAnsi="Century Schoolbook"/>
        </w:rPr>
        <w:t>. is not a matter sufficiently affected with the public interest so as to void clear and unambiguous exculpatory clauses.”</w:t>
      </w:r>
      <w:r w:rsidRPr="00283C20" w:rsidR="00C7036D">
        <w:rPr>
          <w:rFonts w:ascii="Century Schoolbook" w:hAnsi="Century Schoolbook"/>
        </w:rPr>
        <w:t xml:space="preserve">  (</w:t>
      </w:r>
      <w:bookmarkStart w:id="7" w:name="_Hlk153871471"/>
      <w:r w:rsidRPr="00283C20" w:rsidR="00C7036D">
        <w:rPr>
          <w:rFonts w:ascii="Century Schoolbook" w:hAnsi="Century Schoolbook"/>
          <w:i/>
          <w:iCs/>
        </w:rPr>
        <w:t>Buchan v. United States Cycling Fed’n</w:t>
      </w:r>
      <w:r w:rsidRPr="00283C20" w:rsidR="00C7036D">
        <w:rPr>
          <w:rFonts w:ascii="Century Schoolbook" w:hAnsi="Century Schoolbook"/>
        </w:rPr>
        <w:t xml:space="preserve"> (1991) 227 Cal.App.3d 134, 152</w:t>
      </w:r>
      <w:bookmarkEnd w:id="7"/>
      <w:r w:rsidRPr="00283C20" w:rsidR="00C7036D">
        <w:rPr>
          <w:rFonts w:ascii="Century Schoolbook" w:hAnsi="Century Schoolbook"/>
        </w:rPr>
        <w:t>.)</w:t>
      </w:r>
      <w:bookmarkEnd w:id="5"/>
    </w:p>
    <w:p w:rsidR="00320D39" w:rsidRPr="00283C20" w:rsidP="00F42CF9" w14:paraId="37F51AED" w14:textId="7715FF66">
      <w:pPr>
        <w:spacing w:line="360" w:lineRule="auto"/>
        <w:rPr>
          <w:rFonts w:ascii="Century Schoolbook" w:hAnsi="Century Schoolbook"/>
        </w:rPr>
      </w:pPr>
      <w:r w:rsidRPr="00283C20">
        <w:rPr>
          <w:rFonts w:ascii="Century Schoolbook" w:hAnsi="Century Schoolbook"/>
        </w:rPr>
        <w:tab/>
        <w:t>I</w:t>
      </w:r>
      <w:r w:rsidRPr="00283C20" w:rsidR="006B67BC">
        <w:rPr>
          <w:rFonts w:ascii="Century Schoolbook" w:hAnsi="Century Schoolbook"/>
        </w:rPr>
        <w:t xml:space="preserve">n </w:t>
      </w:r>
      <w:r w:rsidRPr="00283C20" w:rsidR="006B67BC">
        <w:rPr>
          <w:rFonts w:ascii="Century Schoolbook" w:hAnsi="Century Schoolbook"/>
          <w:i/>
          <w:iCs/>
        </w:rPr>
        <w:t>Okura</w:t>
      </w:r>
      <w:r w:rsidRPr="00283C20" w:rsidR="006B67BC">
        <w:rPr>
          <w:rFonts w:ascii="Century Schoolbook" w:hAnsi="Century Schoolbook"/>
        </w:rPr>
        <w:t xml:space="preserve">, </w:t>
      </w:r>
      <w:r w:rsidRPr="00283C20" w:rsidR="00DA4788">
        <w:rPr>
          <w:rFonts w:ascii="Century Schoolbook" w:hAnsi="Century Schoolbook"/>
        </w:rPr>
        <w:t xml:space="preserve">the appellant </w:t>
      </w:r>
      <w:r w:rsidR="00FD2DB9">
        <w:rPr>
          <w:rFonts w:ascii="Century Schoolbook" w:hAnsi="Century Schoolbook"/>
        </w:rPr>
        <w:t xml:space="preserve">was injured </w:t>
      </w:r>
      <w:r w:rsidRPr="00283C20" w:rsidR="00FD2DB9">
        <w:rPr>
          <w:rFonts w:ascii="Century Schoolbook" w:hAnsi="Century Schoolbook"/>
        </w:rPr>
        <w:t xml:space="preserve">after hitting loose debris </w:t>
      </w:r>
      <w:r w:rsidRPr="00283C20" w:rsidR="00DA4788">
        <w:rPr>
          <w:rFonts w:ascii="Century Schoolbook" w:hAnsi="Century Schoolbook"/>
        </w:rPr>
        <w:t xml:space="preserve">while participating in a bicycle race on </w:t>
      </w:r>
      <w:r w:rsidR="00B1523A">
        <w:rPr>
          <w:rFonts w:ascii="Century Schoolbook" w:hAnsi="Century Schoolbook"/>
        </w:rPr>
        <w:t xml:space="preserve">closed portions of </w:t>
      </w:r>
      <w:r w:rsidRPr="00283C20" w:rsidR="00DA4788">
        <w:rPr>
          <w:rFonts w:ascii="Century Schoolbook" w:hAnsi="Century Schoolbook"/>
        </w:rPr>
        <w:t xml:space="preserve">the public streets </w:t>
      </w:r>
      <w:r w:rsidR="0008715F">
        <w:rPr>
          <w:rFonts w:ascii="Century Schoolbook" w:hAnsi="Century Schoolbook"/>
        </w:rPr>
        <w:t>in</w:t>
      </w:r>
      <w:r w:rsidRPr="00283C20" w:rsidR="00DA4788">
        <w:rPr>
          <w:rFonts w:ascii="Century Schoolbook" w:hAnsi="Century Schoolbook"/>
        </w:rPr>
        <w:t xml:space="preserve"> </w:t>
      </w:r>
      <w:r w:rsidR="00CD1320">
        <w:rPr>
          <w:rFonts w:ascii="Century Schoolbook" w:hAnsi="Century Schoolbook"/>
        </w:rPr>
        <w:t xml:space="preserve">the City of </w:t>
      </w:r>
      <w:r w:rsidRPr="00283C20" w:rsidR="00DA4788">
        <w:rPr>
          <w:rFonts w:ascii="Century Schoolbook" w:hAnsi="Century Schoolbook"/>
        </w:rPr>
        <w:t>Hermosa Beach.  (</w:t>
      </w:r>
      <w:r w:rsidRPr="00283C20" w:rsidR="00F17198">
        <w:rPr>
          <w:rFonts w:ascii="Century Schoolbook" w:hAnsi="Century Schoolbook"/>
          <w:i/>
          <w:iCs/>
        </w:rPr>
        <w:t>Okura</w:t>
      </w:r>
      <w:r w:rsidRPr="00283C20" w:rsidR="00F17198">
        <w:rPr>
          <w:rFonts w:ascii="Century Schoolbook" w:hAnsi="Century Schoolbook"/>
        </w:rPr>
        <w:t>,</w:t>
      </w:r>
      <w:r w:rsidRPr="00283C20" w:rsidR="00440B6E">
        <w:rPr>
          <w:rFonts w:ascii="Century Schoolbook" w:hAnsi="Century Schoolbook"/>
        </w:rPr>
        <w:t xml:space="preserve"> </w:t>
      </w:r>
      <w:r w:rsidRPr="00283C20" w:rsidR="00440B6E">
        <w:rPr>
          <w:rFonts w:ascii="Century Schoolbook" w:hAnsi="Century Schoolbook"/>
          <w:i/>
          <w:iCs/>
        </w:rPr>
        <w:t>supra</w:t>
      </w:r>
      <w:r w:rsidRPr="00283C20" w:rsidR="00440B6E">
        <w:rPr>
          <w:rFonts w:ascii="Century Schoolbook" w:hAnsi="Century Schoolbook"/>
        </w:rPr>
        <w:t>, 186 Cal.App.3d</w:t>
      </w:r>
      <w:r w:rsidRPr="00283C20" w:rsidR="00F17198">
        <w:rPr>
          <w:rFonts w:ascii="Century Schoolbook" w:hAnsi="Century Schoolbook"/>
        </w:rPr>
        <w:t xml:space="preserve"> at p</w:t>
      </w:r>
      <w:r w:rsidR="00FD2DB9">
        <w:rPr>
          <w:rFonts w:ascii="Century Schoolbook" w:hAnsi="Century Schoolbook"/>
        </w:rPr>
        <w:t>p</w:t>
      </w:r>
      <w:r w:rsidRPr="00283C20" w:rsidR="00F17198">
        <w:rPr>
          <w:rFonts w:ascii="Century Schoolbook" w:hAnsi="Century Schoolbook"/>
        </w:rPr>
        <w:t>. </w:t>
      </w:r>
      <w:r w:rsidRPr="00283C20" w:rsidR="00DA4788">
        <w:rPr>
          <w:rFonts w:ascii="Century Schoolbook" w:hAnsi="Century Schoolbook"/>
        </w:rPr>
        <w:t>1464</w:t>
      </w:r>
      <w:r w:rsidRPr="00283C20" w:rsidR="00FD2DB9">
        <w:rPr>
          <w:rFonts w:ascii="Century Schoolbook" w:hAnsi="Century Schoolbook"/>
        </w:rPr>
        <w:t>–1465</w:t>
      </w:r>
      <w:r w:rsidRPr="00283C20" w:rsidR="00DA4788">
        <w:rPr>
          <w:rFonts w:ascii="Century Schoolbook" w:hAnsi="Century Schoolbook"/>
        </w:rPr>
        <w:t>.)</w:t>
      </w:r>
      <w:r w:rsidRPr="00283C20" w:rsidR="00EC7502">
        <w:rPr>
          <w:rFonts w:ascii="Century Schoolbook" w:hAnsi="Century Schoolbook"/>
        </w:rPr>
        <w:t xml:space="preserve">  The appellant sued the </w:t>
      </w:r>
      <w:r w:rsidR="0008715F">
        <w:rPr>
          <w:rFonts w:ascii="Century Schoolbook" w:hAnsi="Century Schoolbook"/>
        </w:rPr>
        <w:t>city</w:t>
      </w:r>
      <w:r w:rsidR="00FD2DB9">
        <w:rPr>
          <w:rFonts w:ascii="Century Schoolbook" w:hAnsi="Century Schoolbook"/>
        </w:rPr>
        <w:t xml:space="preserve"> and others</w:t>
      </w:r>
      <w:r w:rsidRPr="00283C20" w:rsidR="00EC7502">
        <w:rPr>
          <w:rFonts w:ascii="Century Schoolbook" w:hAnsi="Century Schoolbook"/>
        </w:rPr>
        <w:t>, alleging negligence in the preparation and maintenance of the course.  (</w:t>
      </w:r>
      <w:r w:rsidRPr="00283C20" w:rsidR="001C75FB">
        <w:rPr>
          <w:rFonts w:ascii="Century Schoolbook" w:hAnsi="Century Schoolbook"/>
          <w:i/>
          <w:iCs/>
        </w:rPr>
        <w:t>Id.</w:t>
      </w:r>
      <w:r w:rsidRPr="00283C20" w:rsidR="001C75FB">
        <w:rPr>
          <w:rFonts w:ascii="Century Schoolbook" w:hAnsi="Century Schoolbook"/>
        </w:rPr>
        <w:t xml:space="preserve"> at p. </w:t>
      </w:r>
      <w:r w:rsidRPr="00283C20" w:rsidR="00EC7502">
        <w:rPr>
          <w:rFonts w:ascii="Century Schoolbook" w:hAnsi="Century Schoolbook"/>
        </w:rPr>
        <w:t>1464.)</w:t>
      </w:r>
      <w:r w:rsidRPr="00283C20" w:rsidR="001C75FB">
        <w:rPr>
          <w:rFonts w:ascii="Century Schoolbook" w:hAnsi="Century Schoolbook"/>
        </w:rPr>
        <w:t xml:space="preserve">  </w:t>
      </w:r>
      <w:r w:rsidRPr="00283C20" w:rsidR="00C639C2">
        <w:rPr>
          <w:rFonts w:ascii="Century Schoolbook" w:hAnsi="Century Schoolbook"/>
        </w:rPr>
        <w:t>T</w:t>
      </w:r>
      <w:r w:rsidRPr="00283C20">
        <w:rPr>
          <w:rFonts w:ascii="Century Schoolbook" w:hAnsi="Century Schoolbook"/>
        </w:rPr>
        <w:t xml:space="preserve">he </w:t>
      </w:r>
      <w:r w:rsidRPr="00283C20" w:rsidR="000807CC">
        <w:rPr>
          <w:rFonts w:ascii="Century Schoolbook" w:hAnsi="Century Schoolbook"/>
        </w:rPr>
        <w:t xml:space="preserve">trial court granted summary judgment against the </w:t>
      </w:r>
      <w:r w:rsidRPr="00283C20" w:rsidR="00BF5A2D">
        <w:rPr>
          <w:rFonts w:ascii="Century Schoolbook" w:hAnsi="Century Schoolbook"/>
        </w:rPr>
        <w:t xml:space="preserve">appellant </w:t>
      </w:r>
      <w:r w:rsidRPr="00283C20" w:rsidR="000807CC">
        <w:rPr>
          <w:rFonts w:ascii="Century Schoolbook" w:hAnsi="Century Schoolbook"/>
        </w:rPr>
        <w:t>based on a</w:t>
      </w:r>
      <w:r w:rsidRPr="00283C20" w:rsidR="00BF5A2D">
        <w:rPr>
          <w:rFonts w:ascii="Century Schoolbook" w:hAnsi="Century Schoolbook"/>
        </w:rPr>
        <w:t xml:space="preserve"> release</w:t>
      </w:r>
      <w:r w:rsidRPr="00283C20" w:rsidR="000807CC">
        <w:rPr>
          <w:rFonts w:ascii="Century Schoolbook" w:hAnsi="Century Schoolbook"/>
        </w:rPr>
        <w:t xml:space="preserve"> he signed</w:t>
      </w:r>
      <w:r w:rsidRPr="00283C20" w:rsidR="00BF5A2D">
        <w:rPr>
          <w:rFonts w:ascii="Century Schoolbook" w:hAnsi="Century Schoolbook"/>
        </w:rPr>
        <w:t xml:space="preserve"> that</w:t>
      </w:r>
      <w:r w:rsidRPr="00283C20" w:rsidR="002F3484">
        <w:rPr>
          <w:rFonts w:ascii="Century Schoolbook" w:hAnsi="Century Schoolbook"/>
        </w:rPr>
        <w:t xml:space="preserve"> </w:t>
      </w:r>
      <w:r w:rsidRPr="00283C20" w:rsidR="00F42CF9">
        <w:rPr>
          <w:rFonts w:ascii="Century Schoolbook" w:hAnsi="Century Schoolbook"/>
        </w:rPr>
        <w:t>“</w:t>
      </w:r>
      <w:r w:rsidRPr="00283C20" w:rsidR="002F3484">
        <w:rPr>
          <w:rFonts w:ascii="Century Schoolbook" w:hAnsi="Century Schoolbook"/>
        </w:rPr>
        <w:t>discharge</w:t>
      </w:r>
      <w:r w:rsidRPr="00283C20" w:rsidR="00F42CF9">
        <w:rPr>
          <w:rFonts w:ascii="Century Schoolbook" w:hAnsi="Century Schoolbook"/>
        </w:rPr>
        <w:t>[d]</w:t>
      </w:r>
      <w:r w:rsidRPr="00283C20" w:rsidR="002F3484">
        <w:rPr>
          <w:rFonts w:ascii="Century Schoolbook" w:hAnsi="Century Schoolbook"/>
        </w:rPr>
        <w:t xml:space="preserve"> in advance the promoters, sponsors, </w:t>
      </w:r>
      <w:r w:rsidRPr="00283C20" w:rsidR="00AC3857">
        <w:rPr>
          <w:rFonts w:ascii="Century Schoolbook" w:hAnsi="Century Schoolbook"/>
        </w:rPr>
        <w:t>. . .</w:t>
      </w:r>
      <w:r w:rsidRPr="00283C20" w:rsidR="002F3484">
        <w:rPr>
          <w:rFonts w:ascii="Century Schoolbook" w:hAnsi="Century Schoolbook"/>
        </w:rPr>
        <w:t xml:space="preserve"> the officials, and </w:t>
      </w:r>
      <w:r w:rsidRPr="00283C20" w:rsidR="002F3484">
        <w:rPr>
          <w:rFonts w:ascii="Century Schoolbook" w:hAnsi="Century Schoolbook"/>
          <w:i/>
          <w:iCs/>
        </w:rPr>
        <w:t>any involved municipalities or other public entities</w:t>
      </w:r>
      <w:r w:rsidRPr="00283C20" w:rsidR="002F3484">
        <w:rPr>
          <w:rFonts w:ascii="Century Schoolbook" w:hAnsi="Century Schoolbook"/>
        </w:rPr>
        <w:t xml:space="preserve"> (and their respective agents and employees), from and against any and all liability arising out of or connected in any way with my participation in said event, even though that liability may arise out of negligence or carelessness on the part of the persons or entities mentioned above.</w:t>
      </w:r>
      <w:r w:rsidRPr="00283C20" w:rsidR="00F42CF9">
        <w:rPr>
          <w:rFonts w:ascii="Century Schoolbook" w:hAnsi="Century Schoolbook"/>
        </w:rPr>
        <w:t>”  (</w:t>
      </w:r>
      <w:r w:rsidRPr="00283C20" w:rsidR="00AC3857">
        <w:rPr>
          <w:rFonts w:ascii="Century Schoolbook" w:hAnsi="Century Schoolbook"/>
          <w:i/>
          <w:iCs/>
        </w:rPr>
        <w:t>Id.</w:t>
      </w:r>
      <w:r w:rsidRPr="00283C20" w:rsidR="000807CC">
        <w:rPr>
          <w:rFonts w:ascii="Century Schoolbook" w:hAnsi="Century Schoolbook"/>
          <w:i/>
          <w:iCs/>
        </w:rPr>
        <w:t xml:space="preserve"> </w:t>
      </w:r>
      <w:r w:rsidRPr="00283C20" w:rsidR="000807CC">
        <w:rPr>
          <w:rFonts w:ascii="Century Schoolbook" w:hAnsi="Century Schoolbook"/>
        </w:rPr>
        <w:t>at p. 1465</w:t>
      </w:r>
      <w:r w:rsidRPr="00283C20" w:rsidR="00BF5A2D">
        <w:rPr>
          <w:rFonts w:ascii="Century Schoolbook" w:hAnsi="Century Schoolbook"/>
        </w:rPr>
        <w:t>, italics added</w:t>
      </w:r>
      <w:r w:rsidRPr="00283C20" w:rsidR="000807CC">
        <w:rPr>
          <w:rFonts w:ascii="Century Schoolbook" w:hAnsi="Century Schoolbook"/>
        </w:rPr>
        <w:t xml:space="preserve"> and omitted</w:t>
      </w:r>
      <w:r w:rsidRPr="00283C20" w:rsidR="00BF5A2D">
        <w:rPr>
          <w:rFonts w:ascii="Century Schoolbook" w:hAnsi="Century Schoolbook"/>
        </w:rPr>
        <w:t>.</w:t>
      </w:r>
      <w:r w:rsidRPr="00283C20" w:rsidR="00F42CF9">
        <w:rPr>
          <w:rFonts w:ascii="Century Schoolbook" w:hAnsi="Century Schoolbook"/>
        </w:rPr>
        <w:t>)</w:t>
      </w:r>
    </w:p>
    <w:p w:rsidR="00611BF1" w:rsidP="00F42CF9" w14:paraId="170683AF" w14:textId="61866014">
      <w:pPr>
        <w:spacing w:line="360" w:lineRule="auto"/>
        <w:rPr>
          <w:rFonts w:ascii="Century Schoolbook" w:hAnsi="Century Schoolbook"/>
        </w:rPr>
      </w:pPr>
      <w:r w:rsidRPr="00283C20">
        <w:rPr>
          <w:rFonts w:ascii="Century Schoolbook" w:hAnsi="Century Schoolbook"/>
        </w:rPr>
        <w:tab/>
      </w:r>
      <w:r w:rsidRPr="00111255" w:rsidR="00111255">
        <w:rPr>
          <w:rFonts w:ascii="Century Schoolbook" w:hAnsi="Century Schoolbook"/>
          <w:i/>
          <w:iCs/>
        </w:rPr>
        <w:t>Okura</w:t>
      </w:r>
      <w:r w:rsidR="00111255">
        <w:rPr>
          <w:rFonts w:ascii="Century Schoolbook" w:hAnsi="Century Schoolbook"/>
        </w:rPr>
        <w:t xml:space="preserve"> </w:t>
      </w:r>
      <w:r w:rsidRPr="00283C20" w:rsidR="004F5C3F">
        <w:rPr>
          <w:rFonts w:ascii="Century Schoolbook" w:hAnsi="Century Schoolbook"/>
        </w:rPr>
        <w:t>affirmed</w:t>
      </w:r>
      <w:r w:rsidRPr="00283C20" w:rsidR="00BF5A2D">
        <w:rPr>
          <w:rFonts w:ascii="Century Schoolbook" w:hAnsi="Century Schoolbook"/>
        </w:rPr>
        <w:t xml:space="preserve"> the grant of summary judgment</w:t>
      </w:r>
      <w:r w:rsidRPr="00283C20" w:rsidR="004F5C3F">
        <w:rPr>
          <w:rFonts w:ascii="Century Schoolbook" w:hAnsi="Century Schoolbook"/>
        </w:rPr>
        <w:t xml:space="preserve">, </w:t>
      </w:r>
      <w:r w:rsidR="00FD2DB9">
        <w:rPr>
          <w:rFonts w:ascii="Century Schoolbook" w:hAnsi="Century Schoolbook"/>
        </w:rPr>
        <w:t>finding</w:t>
      </w:r>
      <w:r w:rsidR="00111255">
        <w:rPr>
          <w:rFonts w:ascii="Century Schoolbook" w:hAnsi="Century Schoolbook"/>
        </w:rPr>
        <w:t xml:space="preserve"> </w:t>
      </w:r>
      <w:r w:rsidRPr="00283C20" w:rsidR="004F5C3F">
        <w:rPr>
          <w:rFonts w:ascii="Century Schoolbook" w:hAnsi="Century Schoolbook"/>
        </w:rPr>
        <w:t>the release was</w:t>
      </w:r>
      <w:r w:rsidR="00FD2DB9">
        <w:rPr>
          <w:rFonts w:ascii="Century Schoolbook" w:hAnsi="Century Schoolbook"/>
        </w:rPr>
        <w:t xml:space="preserve"> not</w:t>
      </w:r>
      <w:r w:rsidRPr="00283C20" w:rsidR="004F5C3F">
        <w:rPr>
          <w:rFonts w:ascii="Century Schoolbook" w:hAnsi="Century Schoolbook"/>
        </w:rPr>
        <w:t xml:space="preserve"> void as against public policy.  (</w:t>
      </w:r>
      <w:r w:rsidRPr="00283C20">
        <w:rPr>
          <w:rFonts w:ascii="Century Schoolbook" w:hAnsi="Century Schoolbook"/>
          <w:i/>
          <w:iCs/>
        </w:rPr>
        <w:t>Okura</w:t>
      </w:r>
      <w:r w:rsidRPr="00283C20">
        <w:rPr>
          <w:rFonts w:ascii="Century Schoolbook" w:hAnsi="Century Schoolbook"/>
        </w:rPr>
        <w:t xml:space="preserve">, </w:t>
      </w:r>
      <w:r w:rsidRPr="00283C20">
        <w:rPr>
          <w:rFonts w:ascii="Century Schoolbook" w:hAnsi="Century Schoolbook"/>
          <w:i/>
          <w:iCs/>
        </w:rPr>
        <w:t>supra</w:t>
      </w:r>
      <w:r w:rsidRPr="00283C20">
        <w:rPr>
          <w:rFonts w:ascii="Century Schoolbook" w:hAnsi="Century Schoolbook"/>
        </w:rPr>
        <w:t>, 186 Cal.App.3d</w:t>
      </w:r>
      <w:r w:rsidRPr="00283C20" w:rsidR="004F5C3F">
        <w:rPr>
          <w:rFonts w:ascii="Century Schoolbook" w:hAnsi="Century Schoolbook"/>
        </w:rPr>
        <w:t xml:space="preserve"> at pp. 1465–1466</w:t>
      </w:r>
      <w:r w:rsidRPr="00283C20" w:rsidR="001057DD">
        <w:rPr>
          <w:rFonts w:ascii="Century Schoolbook" w:hAnsi="Century Schoolbook"/>
        </w:rPr>
        <w:t>, 1469</w:t>
      </w:r>
      <w:r w:rsidRPr="00283C20" w:rsidR="004F5C3F">
        <w:rPr>
          <w:rFonts w:ascii="Century Schoolbook" w:hAnsi="Century Schoolbook"/>
        </w:rPr>
        <w:t>.)</w:t>
      </w:r>
      <w:r w:rsidRPr="00283C20" w:rsidR="0007727E">
        <w:rPr>
          <w:rFonts w:ascii="Century Schoolbook" w:hAnsi="Century Schoolbook"/>
        </w:rPr>
        <w:t xml:space="preserve">  </w:t>
      </w:r>
      <w:r w:rsidRPr="00283C20" w:rsidR="001057DD">
        <w:rPr>
          <w:rFonts w:ascii="Century Schoolbook" w:hAnsi="Century Schoolbook"/>
        </w:rPr>
        <w:t>A</w:t>
      </w:r>
      <w:r w:rsidR="00D57056">
        <w:rPr>
          <w:rFonts w:ascii="Century Schoolbook" w:hAnsi="Century Schoolbook"/>
        </w:rPr>
        <w:t>fter a</w:t>
      </w:r>
      <w:r w:rsidRPr="00283C20" w:rsidR="001057DD">
        <w:rPr>
          <w:rFonts w:ascii="Century Schoolbook" w:hAnsi="Century Schoolbook"/>
        </w:rPr>
        <w:t>ssessing each of</w:t>
      </w:r>
      <w:r w:rsidRPr="00283C20" w:rsidR="00C10B3B">
        <w:rPr>
          <w:rFonts w:ascii="Century Schoolbook" w:hAnsi="Century Schoolbook"/>
        </w:rPr>
        <w:t xml:space="preserve"> the</w:t>
      </w:r>
      <w:r w:rsidRPr="00283C20" w:rsidR="0007727E">
        <w:rPr>
          <w:rFonts w:ascii="Century Schoolbook" w:hAnsi="Century Schoolbook"/>
        </w:rPr>
        <w:t xml:space="preserve"> </w:t>
      </w:r>
      <w:r w:rsidRPr="00283C20" w:rsidR="0007727E">
        <w:rPr>
          <w:rFonts w:ascii="Century Schoolbook" w:hAnsi="Century Schoolbook"/>
          <w:i/>
          <w:iCs/>
        </w:rPr>
        <w:t>Tunkl</w:t>
      </w:r>
      <w:r w:rsidRPr="00283C20" w:rsidR="0007727E">
        <w:rPr>
          <w:rFonts w:ascii="Century Schoolbook" w:hAnsi="Century Schoolbook"/>
        </w:rPr>
        <w:t xml:space="preserve"> factors, the court </w:t>
      </w:r>
      <w:r w:rsidRPr="00283C20" w:rsidR="001C7D15">
        <w:rPr>
          <w:rFonts w:ascii="Century Schoolbook" w:hAnsi="Century Schoolbook"/>
        </w:rPr>
        <w:t>concluded “</w:t>
      </w:r>
      <w:r w:rsidRPr="00283C20" w:rsidR="00C10B3B">
        <w:rPr>
          <w:rFonts w:ascii="Century Schoolbook" w:hAnsi="Century Schoolbook"/>
        </w:rPr>
        <w:t>[t]</w:t>
      </w:r>
      <w:r w:rsidRPr="00283C20" w:rsidR="001C7D15">
        <w:rPr>
          <w:rFonts w:ascii="Century Schoolbook" w:hAnsi="Century Schoolbook"/>
        </w:rPr>
        <w:t>his situation does not present a transaction affecting the public interest.”  (</w:t>
      </w:r>
      <w:r w:rsidRPr="00235726" w:rsidR="00F5722F">
        <w:rPr>
          <w:rFonts w:ascii="Century Schoolbook" w:hAnsi="Century Schoolbook"/>
          <w:i/>
          <w:iCs/>
        </w:rPr>
        <w:t>Okura</w:t>
      </w:r>
      <w:r w:rsidR="00235726">
        <w:rPr>
          <w:rFonts w:ascii="Century Schoolbook" w:hAnsi="Century Schoolbook"/>
        </w:rPr>
        <w:t>,</w:t>
      </w:r>
      <w:r w:rsidRPr="00283C20" w:rsidR="001C7D15">
        <w:rPr>
          <w:rFonts w:ascii="Century Schoolbook" w:hAnsi="Century Schoolbook"/>
        </w:rPr>
        <w:t xml:space="preserve"> at p. 1468.)</w:t>
      </w:r>
      <w:r w:rsidRPr="00283C20" w:rsidR="00C10B3B">
        <w:rPr>
          <w:rFonts w:ascii="Century Schoolbook" w:hAnsi="Century Schoolbook"/>
        </w:rPr>
        <w:t xml:space="preserve">  </w:t>
      </w:r>
      <w:r w:rsidR="007D2DCC">
        <w:rPr>
          <w:rFonts w:ascii="Century Schoolbook" w:hAnsi="Century Schoolbook"/>
        </w:rPr>
        <w:t>As</w:t>
      </w:r>
      <w:r w:rsidRPr="00283C20" w:rsidR="00D569DB">
        <w:rPr>
          <w:rFonts w:ascii="Century Schoolbook" w:hAnsi="Century Schoolbook"/>
        </w:rPr>
        <w:t xml:space="preserve"> to the first </w:t>
      </w:r>
      <w:r w:rsidRPr="00111255" w:rsidR="00D569DB">
        <w:rPr>
          <w:rFonts w:ascii="Century Schoolbook" w:hAnsi="Century Schoolbook"/>
          <w:i/>
          <w:iCs/>
        </w:rPr>
        <w:t>Tunkl</w:t>
      </w:r>
      <w:r w:rsidRPr="00283C20" w:rsidR="00D569DB">
        <w:rPr>
          <w:rFonts w:ascii="Century Schoolbook" w:hAnsi="Century Schoolbook"/>
        </w:rPr>
        <w:t xml:space="preserve"> factor</w:t>
      </w:r>
      <w:r w:rsidRPr="00283C20" w:rsidR="00344F56">
        <w:rPr>
          <w:rFonts w:ascii="Century Schoolbook" w:hAnsi="Century Schoolbook"/>
        </w:rPr>
        <w:t xml:space="preserve">—whether the exemption involves a transaction that concerns a business generally </w:t>
      </w:r>
      <w:r w:rsidR="00914C6E">
        <w:rPr>
          <w:rFonts w:ascii="Century Schoolbook" w:hAnsi="Century Schoolbook"/>
        </w:rPr>
        <w:t>considered</w:t>
      </w:r>
      <w:r w:rsidRPr="00283C20" w:rsidR="00344F56">
        <w:rPr>
          <w:rFonts w:ascii="Century Schoolbook" w:hAnsi="Century Schoolbook"/>
        </w:rPr>
        <w:t xml:space="preserve"> suitable for public regulation—the court </w:t>
      </w:r>
      <w:r w:rsidR="00462C47">
        <w:rPr>
          <w:rFonts w:ascii="Century Schoolbook" w:hAnsi="Century Schoolbook"/>
        </w:rPr>
        <w:t>found</w:t>
      </w:r>
      <w:r w:rsidRPr="00283C20" w:rsidR="00344F56">
        <w:rPr>
          <w:rFonts w:ascii="Century Schoolbook" w:hAnsi="Century Schoolbook"/>
        </w:rPr>
        <w:t xml:space="preserve"> the transaction was “entry into a public bicycle race organized by private nonprofit organizations” and “</w:t>
      </w:r>
      <w:r w:rsidRPr="00462C47" w:rsidR="00462C47">
        <w:rPr>
          <w:rFonts w:ascii="Century Schoolbook" w:hAnsi="Century Schoolbook"/>
        </w:rPr>
        <w:t>the organized racing of bicycles is not the subject of public regulation</w:t>
      </w:r>
      <w:r w:rsidRPr="00283C20" w:rsidR="00344F56">
        <w:rPr>
          <w:rFonts w:ascii="Century Schoolbook" w:hAnsi="Century Schoolbook"/>
        </w:rPr>
        <w:t>.”  (</w:t>
      </w:r>
      <w:r w:rsidRPr="00235726" w:rsidR="00235726">
        <w:rPr>
          <w:rFonts w:ascii="Century Schoolbook" w:hAnsi="Century Schoolbook"/>
          <w:i/>
          <w:iCs/>
        </w:rPr>
        <w:t>Okura</w:t>
      </w:r>
      <w:r w:rsidR="00235726">
        <w:rPr>
          <w:rFonts w:ascii="Century Schoolbook" w:hAnsi="Century Schoolbook"/>
        </w:rPr>
        <w:t>,</w:t>
      </w:r>
      <w:r w:rsidRPr="00283C20" w:rsidR="00344F56">
        <w:rPr>
          <w:rFonts w:ascii="Century Schoolbook" w:hAnsi="Century Schoolbook"/>
        </w:rPr>
        <w:t xml:space="preserve"> at p. 1466.)  </w:t>
      </w:r>
      <w:r w:rsidRPr="00283C20" w:rsidR="00AE57BD">
        <w:rPr>
          <w:rFonts w:ascii="Century Schoolbook" w:hAnsi="Century Schoolbook"/>
        </w:rPr>
        <w:t>With regard to</w:t>
      </w:r>
      <w:r w:rsidRPr="00283C20" w:rsidR="000C087C">
        <w:rPr>
          <w:rFonts w:ascii="Century Schoolbook" w:hAnsi="Century Schoolbook"/>
        </w:rPr>
        <w:t xml:space="preserve"> the second </w:t>
      </w:r>
      <w:r w:rsidRPr="00283C20" w:rsidR="000C087C">
        <w:rPr>
          <w:rFonts w:ascii="Century Schoolbook" w:hAnsi="Century Schoolbook"/>
          <w:i/>
          <w:iCs/>
        </w:rPr>
        <w:t>Tunkl</w:t>
      </w:r>
      <w:r w:rsidRPr="00283C20" w:rsidR="000C087C">
        <w:rPr>
          <w:rFonts w:ascii="Century Schoolbook" w:hAnsi="Century Schoolbook"/>
        </w:rPr>
        <w:t xml:space="preserve"> factor—whether the party seeking exculpation is engaged in performing a service of great </w:t>
      </w:r>
      <w:r w:rsidR="00914C6E">
        <w:rPr>
          <w:rFonts w:ascii="Century Schoolbook" w:hAnsi="Century Schoolbook"/>
        </w:rPr>
        <w:t xml:space="preserve">public </w:t>
      </w:r>
      <w:r w:rsidRPr="00283C20" w:rsidR="000C087C">
        <w:rPr>
          <w:rFonts w:ascii="Century Schoolbook" w:hAnsi="Century Schoolbook"/>
        </w:rPr>
        <w:t xml:space="preserve">importance—the court stated: </w:t>
      </w:r>
      <w:r w:rsidR="00CC7A97">
        <w:rPr>
          <w:rFonts w:ascii="Century Schoolbook" w:hAnsi="Century Schoolbook"/>
        </w:rPr>
        <w:t xml:space="preserve"> </w:t>
      </w:r>
      <w:r w:rsidRPr="00283C20" w:rsidR="003E19BE">
        <w:rPr>
          <w:rFonts w:ascii="Century Schoolbook" w:hAnsi="Century Schoolbook"/>
        </w:rPr>
        <w:t>“</w:t>
      </w:r>
      <w:r w:rsidRPr="00283C20" w:rsidR="00296354">
        <w:rPr>
          <w:rFonts w:ascii="Century Schoolbook" w:hAnsi="Century Schoolbook"/>
        </w:rPr>
        <w:t>T</w:t>
      </w:r>
      <w:r w:rsidRPr="00283C20" w:rsidR="003E19BE">
        <w:rPr>
          <w:rFonts w:ascii="Century Schoolbook" w:hAnsi="Century Schoolbook"/>
        </w:rPr>
        <w:t>he service provided here was the organization and running of competitive bicycle races for members of the organizers and the public</w:t>
      </w:r>
      <w:r w:rsidR="00CC7A97">
        <w:rPr>
          <w:rFonts w:ascii="Century Schoolbook" w:hAnsi="Century Schoolbook"/>
        </w:rPr>
        <w:t>,” which “</w:t>
      </w:r>
      <w:r w:rsidRPr="00283C20" w:rsidR="0086737B">
        <w:rPr>
          <w:rFonts w:ascii="Century Schoolbook" w:hAnsi="Century Schoolbook"/>
        </w:rPr>
        <w:t>cannot be termed one that ‘is often a matter of practical necessity for some members of the public.’ </w:t>
      </w:r>
      <w:r w:rsidRPr="00283C20" w:rsidR="003E19BE">
        <w:rPr>
          <w:rFonts w:ascii="Century Schoolbook" w:hAnsi="Century Schoolbook"/>
        </w:rPr>
        <w:t>”</w:t>
      </w:r>
      <w:r w:rsidRPr="00283C20" w:rsidR="0007727E">
        <w:rPr>
          <w:rFonts w:ascii="Century Schoolbook" w:hAnsi="Century Schoolbook"/>
        </w:rPr>
        <w:t xml:space="preserve"> </w:t>
      </w:r>
      <w:r w:rsidRPr="00283C20" w:rsidR="00805597">
        <w:rPr>
          <w:rFonts w:ascii="Century Schoolbook" w:hAnsi="Century Schoolbook"/>
        </w:rPr>
        <w:t xml:space="preserve"> </w:t>
      </w:r>
      <w:r w:rsidRPr="00283C20" w:rsidR="0007727E">
        <w:rPr>
          <w:rFonts w:ascii="Century Schoolbook" w:hAnsi="Century Schoolbook"/>
        </w:rPr>
        <w:t>(</w:t>
      </w:r>
      <w:r w:rsidR="00235726">
        <w:rPr>
          <w:rFonts w:ascii="Century Schoolbook" w:hAnsi="Century Schoolbook"/>
          <w:i/>
          <w:iCs/>
        </w:rPr>
        <w:t>Okura</w:t>
      </w:r>
      <w:r w:rsidRPr="00235726" w:rsidR="00235726">
        <w:rPr>
          <w:rFonts w:ascii="Century Schoolbook" w:hAnsi="Century Schoolbook"/>
        </w:rPr>
        <w:t>,</w:t>
      </w:r>
      <w:r w:rsidRPr="00283C20" w:rsidR="0086737B">
        <w:rPr>
          <w:rFonts w:ascii="Century Schoolbook" w:hAnsi="Century Schoolbook"/>
        </w:rPr>
        <w:t xml:space="preserve"> at pp. </w:t>
      </w:r>
      <w:r w:rsidRPr="00283C20" w:rsidR="0007727E">
        <w:rPr>
          <w:rFonts w:ascii="Century Schoolbook" w:hAnsi="Century Schoolbook"/>
        </w:rPr>
        <w:t>1466</w:t>
      </w:r>
      <w:r w:rsidRPr="00283C20" w:rsidR="00296354">
        <w:rPr>
          <w:rFonts w:ascii="Century Schoolbook" w:hAnsi="Century Schoolbook"/>
        </w:rPr>
        <w:t>–1467</w:t>
      </w:r>
      <w:r w:rsidRPr="00283C20" w:rsidR="0007727E">
        <w:rPr>
          <w:rFonts w:ascii="Century Schoolbook" w:hAnsi="Century Schoolbook"/>
        </w:rPr>
        <w:t>.)</w:t>
      </w:r>
      <w:r w:rsidRPr="00283C20" w:rsidR="00AE57BD">
        <w:rPr>
          <w:rFonts w:ascii="Century Schoolbook" w:hAnsi="Century Schoolbook"/>
        </w:rPr>
        <w:t xml:space="preserve">  </w:t>
      </w:r>
    </w:p>
    <w:p w:rsidR="002F3484" w:rsidRPr="00283C20" w:rsidP="00F42CF9" w14:paraId="1430F6D7" w14:textId="7846AD59">
      <w:pPr>
        <w:spacing w:line="360" w:lineRule="auto"/>
        <w:rPr>
          <w:rFonts w:ascii="Century Schoolbook" w:hAnsi="Century Schoolbook"/>
        </w:rPr>
      </w:pPr>
      <w:r>
        <w:rPr>
          <w:rFonts w:ascii="Century Schoolbook" w:hAnsi="Century Schoolbook"/>
        </w:rPr>
        <w:tab/>
      </w:r>
      <w:r w:rsidR="007D2DCC">
        <w:rPr>
          <w:rFonts w:ascii="Century Schoolbook" w:hAnsi="Century Schoolbook"/>
        </w:rPr>
        <w:t>As</w:t>
      </w:r>
      <w:r w:rsidR="00457072">
        <w:rPr>
          <w:rFonts w:ascii="Century Schoolbook" w:hAnsi="Century Schoolbook"/>
        </w:rPr>
        <w:t xml:space="preserve"> to the third </w:t>
      </w:r>
      <w:r w:rsidRPr="00D57056" w:rsidR="00457072">
        <w:rPr>
          <w:rFonts w:ascii="Century Schoolbook" w:hAnsi="Century Schoolbook"/>
          <w:i/>
          <w:iCs/>
        </w:rPr>
        <w:t>Tunkl</w:t>
      </w:r>
      <w:r w:rsidR="00457072">
        <w:rPr>
          <w:rFonts w:ascii="Century Schoolbook" w:hAnsi="Century Schoolbook"/>
        </w:rPr>
        <w:t xml:space="preserve"> factor—whether the service was open to the public—</w:t>
      </w:r>
      <w:r w:rsidRPr="00611BF1">
        <w:rPr>
          <w:rFonts w:ascii="Century Schoolbook" w:hAnsi="Century Schoolbook"/>
          <w:i/>
          <w:iCs/>
        </w:rPr>
        <w:t>Okura</w:t>
      </w:r>
      <w:r>
        <w:rPr>
          <w:rFonts w:ascii="Century Schoolbook" w:hAnsi="Century Schoolbook"/>
        </w:rPr>
        <w:t xml:space="preserve"> </w:t>
      </w:r>
      <w:r w:rsidR="00457072">
        <w:rPr>
          <w:rFonts w:ascii="Century Schoolbook" w:hAnsi="Century Schoolbook"/>
        </w:rPr>
        <w:t xml:space="preserve">indicated </w:t>
      </w:r>
      <w:r w:rsidR="00C86521">
        <w:rPr>
          <w:rFonts w:ascii="Century Schoolbook" w:hAnsi="Century Schoolbook"/>
        </w:rPr>
        <w:t>anyone with a bicycle and entrance fee could enter.  (</w:t>
      </w:r>
      <w:r w:rsidRPr="00283C20">
        <w:rPr>
          <w:rFonts w:ascii="Century Schoolbook" w:hAnsi="Century Schoolbook"/>
          <w:i/>
          <w:iCs/>
        </w:rPr>
        <w:t>Okura</w:t>
      </w:r>
      <w:r w:rsidRPr="00283C20">
        <w:rPr>
          <w:rFonts w:ascii="Century Schoolbook" w:hAnsi="Century Schoolbook"/>
        </w:rPr>
        <w:t xml:space="preserve">, </w:t>
      </w:r>
      <w:r w:rsidRPr="00283C20">
        <w:rPr>
          <w:rFonts w:ascii="Century Schoolbook" w:hAnsi="Century Schoolbook"/>
          <w:i/>
          <w:iCs/>
        </w:rPr>
        <w:t>supra</w:t>
      </w:r>
      <w:r w:rsidRPr="00283C20">
        <w:rPr>
          <w:rFonts w:ascii="Century Schoolbook" w:hAnsi="Century Schoolbook"/>
        </w:rPr>
        <w:t xml:space="preserve">, 186 Cal.App.3d at </w:t>
      </w:r>
      <w:r w:rsidR="00C86521">
        <w:rPr>
          <w:rFonts w:ascii="Century Schoolbook" w:hAnsi="Century Schoolbook"/>
        </w:rPr>
        <w:t>p. 1467.)</w:t>
      </w:r>
      <w:r w:rsidR="00457072">
        <w:rPr>
          <w:rFonts w:ascii="Century Schoolbook" w:hAnsi="Century Schoolbook"/>
        </w:rPr>
        <w:t xml:space="preserve"> </w:t>
      </w:r>
      <w:r w:rsidR="00C86521">
        <w:rPr>
          <w:rFonts w:ascii="Century Schoolbook" w:hAnsi="Century Schoolbook"/>
        </w:rPr>
        <w:t xml:space="preserve"> </w:t>
      </w:r>
      <w:r w:rsidRPr="00283C20" w:rsidR="00AE57BD">
        <w:rPr>
          <w:rFonts w:ascii="Century Schoolbook" w:hAnsi="Century Schoolbook"/>
        </w:rPr>
        <w:t xml:space="preserve">With regard to the fourth and fifth </w:t>
      </w:r>
      <w:r w:rsidRPr="00283C20" w:rsidR="00AE57BD">
        <w:rPr>
          <w:rFonts w:ascii="Century Schoolbook" w:hAnsi="Century Schoolbook"/>
          <w:i/>
          <w:iCs/>
        </w:rPr>
        <w:t>Tunkl</w:t>
      </w:r>
      <w:r w:rsidRPr="00283C20" w:rsidR="00AE57BD">
        <w:rPr>
          <w:rFonts w:ascii="Century Schoolbook" w:hAnsi="Century Schoolbook"/>
        </w:rPr>
        <w:t xml:space="preserve"> factors—the essential nature of the service</w:t>
      </w:r>
      <w:r w:rsidRPr="00283C20" w:rsidR="00537D6E">
        <w:rPr>
          <w:rFonts w:ascii="Century Schoolbook" w:hAnsi="Century Schoolbook"/>
        </w:rPr>
        <w:t xml:space="preserve"> and </w:t>
      </w:r>
      <w:r w:rsidRPr="00283C20" w:rsidR="00AE57BD">
        <w:rPr>
          <w:rFonts w:ascii="Century Schoolbook" w:hAnsi="Century Schoolbook"/>
        </w:rPr>
        <w:t xml:space="preserve">the economic setting of the transaction, </w:t>
      </w:r>
      <w:r w:rsidRPr="00283C20" w:rsidR="00537D6E">
        <w:rPr>
          <w:rFonts w:ascii="Century Schoolbook" w:hAnsi="Century Schoolbook"/>
        </w:rPr>
        <w:t>and whether the</w:t>
      </w:r>
      <w:r w:rsidRPr="00283C20" w:rsidR="001D6EC6">
        <w:rPr>
          <w:rFonts w:ascii="Century Schoolbook" w:hAnsi="Century Schoolbook"/>
        </w:rPr>
        <w:t xml:space="preserve"> exculpated</w:t>
      </w:r>
      <w:r w:rsidRPr="00283C20" w:rsidR="00537D6E">
        <w:rPr>
          <w:rFonts w:ascii="Century Schoolbook" w:hAnsi="Century Schoolbook"/>
        </w:rPr>
        <w:t xml:space="preserve"> party has </w:t>
      </w:r>
      <w:r w:rsidRPr="00283C20" w:rsidR="00AE57BD">
        <w:rPr>
          <w:rFonts w:ascii="Century Schoolbook" w:hAnsi="Century Schoolbook"/>
        </w:rPr>
        <w:t xml:space="preserve">a superior bargaining power </w:t>
      </w:r>
      <w:r w:rsidRPr="00283C20" w:rsidR="00537D6E">
        <w:rPr>
          <w:rFonts w:ascii="Century Schoolbook" w:hAnsi="Century Schoolbook"/>
        </w:rPr>
        <w:t>and</w:t>
      </w:r>
      <w:r w:rsidRPr="00283C20" w:rsidR="00AE57BD">
        <w:rPr>
          <w:rFonts w:ascii="Century Schoolbook" w:hAnsi="Century Schoolbook"/>
        </w:rPr>
        <w:t xml:space="preserve"> confronts the public with a standardized adhesion contract of exculpation—</w:t>
      </w:r>
      <w:r w:rsidRPr="00283C20" w:rsidR="009E4FE1">
        <w:rPr>
          <w:rFonts w:ascii="Century Schoolbook" w:hAnsi="Century Schoolbook"/>
        </w:rPr>
        <w:t>the court reiterated the service provided</w:t>
      </w:r>
      <w:r w:rsidR="00B87B49">
        <w:rPr>
          <w:rFonts w:ascii="Century Schoolbook" w:hAnsi="Century Schoolbook"/>
        </w:rPr>
        <w:t xml:space="preserve"> was </w:t>
      </w:r>
      <w:r w:rsidRPr="00283C20" w:rsidR="009E4FE1">
        <w:rPr>
          <w:rFonts w:ascii="Century Schoolbook" w:hAnsi="Century Schoolbook"/>
        </w:rPr>
        <w:t xml:space="preserve">a </w:t>
      </w:r>
      <w:r w:rsidRPr="00283C20" w:rsidR="002D67DC">
        <w:rPr>
          <w:rFonts w:ascii="Century Schoolbook" w:hAnsi="Century Schoolbook"/>
        </w:rPr>
        <w:t>leisure time activity</w:t>
      </w:r>
      <w:r w:rsidR="00B87B49">
        <w:rPr>
          <w:rFonts w:ascii="Century Schoolbook" w:hAnsi="Century Schoolbook"/>
        </w:rPr>
        <w:t xml:space="preserve"> that </w:t>
      </w:r>
      <w:r w:rsidRPr="00283C20" w:rsidR="009E4FE1">
        <w:rPr>
          <w:rFonts w:ascii="Century Schoolbook" w:hAnsi="Century Schoolbook"/>
        </w:rPr>
        <w:t>was not essential</w:t>
      </w:r>
      <w:r w:rsidRPr="00283C20" w:rsidR="005E289D">
        <w:rPr>
          <w:rFonts w:ascii="Century Schoolbook" w:hAnsi="Century Schoolbook"/>
        </w:rPr>
        <w:t>.  (</w:t>
      </w:r>
      <w:r w:rsidR="00235726">
        <w:rPr>
          <w:rFonts w:ascii="Century Schoolbook" w:hAnsi="Century Schoolbook"/>
          <w:i/>
          <w:iCs/>
        </w:rPr>
        <w:t>Okura</w:t>
      </w:r>
      <w:r w:rsidRPr="00235726" w:rsidR="00235726">
        <w:rPr>
          <w:rFonts w:ascii="Century Schoolbook" w:hAnsi="Century Schoolbook"/>
        </w:rPr>
        <w:t>,</w:t>
      </w:r>
      <w:r w:rsidRPr="00283C20" w:rsidR="005E289D">
        <w:rPr>
          <w:rFonts w:ascii="Century Schoolbook" w:hAnsi="Century Schoolbook"/>
        </w:rPr>
        <w:t xml:space="preserve"> at p. 1468.)  The court stated</w:t>
      </w:r>
      <w:r w:rsidRPr="00283C20" w:rsidR="00F834F5">
        <w:rPr>
          <w:rFonts w:ascii="Century Schoolbook" w:hAnsi="Century Schoolbook"/>
        </w:rPr>
        <w:t>,</w:t>
      </w:r>
      <w:r w:rsidRPr="00283C20" w:rsidR="005E289D">
        <w:rPr>
          <w:rFonts w:ascii="Century Schoolbook" w:hAnsi="Century Schoolbook"/>
        </w:rPr>
        <w:t xml:space="preserve"> “</w:t>
      </w:r>
      <w:r w:rsidRPr="00283C20" w:rsidR="00F834F5">
        <w:rPr>
          <w:rFonts w:ascii="Century Schoolbook" w:hAnsi="Century Schoolbook"/>
        </w:rPr>
        <w:t>The relative bargaining strengths of the parties does not come into play absent a compelling public interest in the transaction.”</w:t>
      </w:r>
      <w:r w:rsidRPr="00283C20" w:rsidR="009E4FE1">
        <w:rPr>
          <w:rFonts w:ascii="Century Schoolbook" w:hAnsi="Century Schoolbook"/>
        </w:rPr>
        <w:t xml:space="preserve">  (</w:t>
      </w:r>
      <w:r w:rsidRPr="00283C20" w:rsidR="00D90429">
        <w:rPr>
          <w:rFonts w:ascii="Century Schoolbook" w:hAnsi="Century Schoolbook"/>
          <w:i/>
          <w:iCs/>
        </w:rPr>
        <w:t>I</w:t>
      </w:r>
      <w:r w:rsidRPr="00283C20" w:rsidR="00F834F5">
        <w:rPr>
          <w:rFonts w:ascii="Century Schoolbook" w:hAnsi="Century Schoolbook"/>
          <w:i/>
          <w:iCs/>
        </w:rPr>
        <w:t>bi</w:t>
      </w:r>
      <w:r w:rsidRPr="00283C20" w:rsidR="00D90429">
        <w:rPr>
          <w:rFonts w:ascii="Century Schoolbook" w:hAnsi="Century Schoolbook"/>
          <w:i/>
          <w:iCs/>
        </w:rPr>
        <w:t>d.</w:t>
      </w:r>
      <w:r w:rsidRPr="00283C20" w:rsidR="00F834F5">
        <w:rPr>
          <w:rFonts w:ascii="Century Schoolbook" w:hAnsi="Century Schoolbook"/>
        </w:rPr>
        <w:t>)</w:t>
      </w:r>
      <w:r w:rsidR="00C86521">
        <w:rPr>
          <w:rFonts w:ascii="Century Schoolbook" w:hAnsi="Century Schoolbook"/>
        </w:rPr>
        <w:t xml:space="preserve">  As for the last </w:t>
      </w:r>
      <w:r w:rsidRPr="007D2DCC" w:rsidR="00C86521">
        <w:rPr>
          <w:rFonts w:ascii="Century Schoolbook" w:hAnsi="Century Schoolbook"/>
          <w:i/>
          <w:iCs/>
        </w:rPr>
        <w:t>Tunkl</w:t>
      </w:r>
      <w:r w:rsidR="00C86521">
        <w:rPr>
          <w:rFonts w:ascii="Century Schoolbook" w:hAnsi="Century Schoolbook"/>
        </w:rPr>
        <w:t xml:space="preserve"> factor—whether </w:t>
      </w:r>
      <w:r w:rsidRPr="00C86521" w:rsidR="00C86521">
        <w:rPr>
          <w:rFonts w:ascii="Century Schoolbook" w:hAnsi="Century Schoolbook"/>
        </w:rPr>
        <w:t>the person or</w:t>
      </w:r>
      <w:r w:rsidR="00C86521">
        <w:rPr>
          <w:rFonts w:ascii="Century Schoolbook" w:hAnsi="Century Schoolbook"/>
        </w:rPr>
        <w:t xml:space="preserve"> their</w:t>
      </w:r>
      <w:r w:rsidRPr="00C86521" w:rsidR="00C86521">
        <w:rPr>
          <w:rFonts w:ascii="Century Schoolbook" w:hAnsi="Century Schoolbook"/>
        </w:rPr>
        <w:t xml:space="preserve"> property is placed under</w:t>
      </w:r>
      <w:r w:rsidR="00C86521">
        <w:rPr>
          <w:rFonts w:ascii="Century Schoolbook" w:hAnsi="Century Schoolbook"/>
        </w:rPr>
        <w:t xml:space="preserve"> another’s</w:t>
      </w:r>
      <w:r w:rsidRPr="00C86521" w:rsidR="00C86521">
        <w:rPr>
          <w:rFonts w:ascii="Century Schoolbook" w:hAnsi="Century Schoolbook"/>
        </w:rPr>
        <w:t xml:space="preserve"> control</w:t>
      </w:r>
      <w:r w:rsidR="00C86521">
        <w:rPr>
          <w:rFonts w:ascii="Century Schoolbook" w:hAnsi="Century Schoolbook"/>
        </w:rPr>
        <w:t>—</w:t>
      </w:r>
      <w:r w:rsidRPr="00C922FB" w:rsidR="00CC7A97">
        <w:rPr>
          <w:rFonts w:ascii="Century Schoolbook" w:hAnsi="Century Schoolbook"/>
          <w:i/>
          <w:iCs/>
        </w:rPr>
        <w:t>Okura</w:t>
      </w:r>
      <w:r w:rsidR="00CC7A97">
        <w:rPr>
          <w:rFonts w:ascii="Century Schoolbook" w:hAnsi="Century Schoolbook"/>
        </w:rPr>
        <w:t xml:space="preserve"> </w:t>
      </w:r>
      <w:r>
        <w:rPr>
          <w:rFonts w:ascii="Century Schoolbook" w:hAnsi="Century Schoolbook"/>
        </w:rPr>
        <w:t xml:space="preserve">noted there was </w:t>
      </w:r>
      <w:r w:rsidRPr="00D57056" w:rsidR="00D57056">
        <w:rPr>
          <w:rFonts w:ascii="Century Schoolbook" w:hAnsi="Century Schoolbook"/>
        </w:rPr>
        <w:t>no such release of control</w:t>
      </w:r>
      <w:r w:rsidR="00D57056">
        <w:rPr>
          <w:rFonts w:ascii="Century Schoolbook" w:hAnsi="Century Schoolbook"/>
        </w:rPr>
        <w:t xml:space="preserve">.  </w:t>
      </w:r>
      <w:r w:rsidRPr="00283C20" w:rsidR="00235726">
        <w:rPr>
          <w:rFonts w:ascii="Century Schoolbook" w:hAnsi="Century Schoolbook"/>
        </w:rPr>
        <w:t>(</w:t>
      </w:r>
      <w:r w:rsidR="00235726">
        <w:rPr>
          <w:rFonts w:ascii="Century Schoolbook" w:hAnsi="Century Schoolbook"/>
          <w:i/>
          <w:iCs/>
        </w:rPr>
        <w:t>Okura</w:t>
      </w:r>
      <w:r w:rsidRPr="00235726" w:rsidR="00235726">
        <w:rPr>
          <w:rFonts w:ascii="Century Schoolbook" w:hAnsi="Century Schoolbook"/>
        </w:rPr>
        <w:t>,</w:t>
      </w:r>
      <w:r w:rsidRPr="00283C20" w:rsidR="00235726">
        <w:rPr>
          <w:rFonts w:ascii="Century Schoolbook" w:hAnsi="Century Schoolbook"/>
        </w:rPr>
        <w:t xml:space="preserve"> at p. 1468.</w:t>
      </w:r>
      <w:r w:rsidR="00D57056">
        <w:rPr>
          <w:rFonts w:ascii="Century Schoolbook" w:hAnsi="Century Schoolbook"/>
        </w:rPr>
        <w:t>)</w:t>
      </w:r>
    </w:p>
    <w:p w:rsidR="00440B6E" w:rsidRPr="00283C20" w:rsidP="001B4D8B" w14:paraId="2C83B06E" w14:textId="7923289A">
      <w:pPr>
        <w:spacing w:line="360" w:lineRule="auto"/>
        <w:rPr>
          <w:rFonts w:ascii="Century Schoolbook" w:hAnsi="Century Schoolbook"/>
        </w:rPr>
      </w:pPr>
      <w:r w:rsidRPr="00283C20">
        <w:rPr>
          <w:rFonts w:ascii="Century Schoolbook" w:hAnsi="Century Schoolbook"/>
        </w:rPr>
        <w:tab/>
      </w:r>
      <w:r w:rsidRPr="00283C20" w:rsidR="002D67DC">
        <w:rPr>
          <w:rFonts w:ascii="Century Schoolbook" w:hAnsi="Century Schoolbook"/>
        </w:rPr>
        <w:t xml:space="preserve">This case is materially indistinguishable from </w:t>
      </w:r>
      <w:r w:rsidRPr="00283C20" w:rsidR="002D67DC">
        <w:rPr>
          <w:rFonts w:ascii="Century Schoolbook" w:hAnsi="Century Schoolbook"/>
          <w:i/>
          <w:iCs/>
        </w:rPr>
        <w:t>Okura</w:t>
      </w:r>
      <w:r w:rsidRPr="00283C20" w:rsidR="002D67DC">
        <w:rPr>
          <w:rFonts w:ascii="Century Schoolbook" w:hAnsi="Century Schoolbook"/>
        </w:rPr>
        <w:t xml:space="preserve">.  </w:t>
      </w:r>
      <w:r w:rsidRPr="00283C20" w:rsidR="004B565D">
        <w:rPr>
          <w:rFonts w:ascii="Century Schoolbook" w:hAnsi="Century Schoolbook"/>
        </w:rPr>
        <w:t xml:space="preserve">At bottom, </w:t>
      </w:r>
      <w:r w:rsidR="004967CC">
        <w:rPr>
          <w:rFonts w:ascii="Century Schoolbook" w:hAnsi="Century Schoolbook"/>
        </w:rPr>
        <w:t xml:space="preserve">plaintiff executed </w:t>
      </w:r>
      <w:r w:rsidR="00241CCC">
        <w:rPr>
          <w:rFonts w:ascii="Century Schoolbook" w:hAnsi="Century Schoolbook"/>
        </w:rPr>
        <w:t>a</w:t>
      </w:r>
      <w:r w:rsidR="004967CC">
        <w:rPr>
          <w:rFonts w:ascii="Century Schoolbook" w:hAnsi="Century Schoolbook"/>
        </w:rPr>
        <w:t xml:space="preserve"> release</w:t>
      </w:r>
      <w:r w:rsidRPr="00283C20" w:rsidR="004B565D">
        <w:rPr>
          <w:rFonts w:ascii="Century Schoolbook" w:hAnsi="Century Schoolbook"/>
        </w:rPr>
        <w:t xml:space="preserve"> in exchange for </w:t>
      </w:r>
      <w:r w:rsidRPr="00283C20" w:rsidR="00D833B0">
        <w:rPr>
          <w:rFonts w:ascii="Century Schoolbook" w:hAnsi="Century Schoolbook"/>
        </w:rPr>
        <w:t>entry into</w:t>
      </w:r>
      <w:r w:rsidRPr="00283C20" w:rsidR="004B565D">
        <w:rPr>
          <w:rFonts w:ascii="Century Schoolbook" w:hAnsi="Century Schoolbook"/>
        </w:rPr>
        <w:t xml:space="preserve"> a</w:t>
      </w:r>
      <w:r w:rsidRPr="00283C20" w:rsidR="00D833B0">
        <w:rPr>
          <w:rFonts w:ascii="Century Schoolbook" w:hAnsi="Century Schoolbook"/>
        </w:rPr>
        <w:t xml:space="preserve"> recreational cycl</w:t>
      </w:r>
      <w:r w:rsidRPr="00283C20" w:rsidR="004B565D">
        <w:rPr>
          <w:rFonts w:ascii="Century Schoolbook" w:hAnsi="Century Schoolbook"/>
        </w:rPr>
        <w:t>ing</w:t>
      </w:r>
      <w:r w:rsidRPr="00283C20" w:rsidR="00D833B0">
        <w:rPr>
          <w:rFonts w:ascii="Century Schoolbook" w:hAnsi="Century Schoolbook"/>
        </w:rPr>
        <w:t xml:space="preserve"> activity</w:t>
      </w:r>
      <w:r w:rsidRPr="00283C20" w:rsidR="004B565D">
        <w:rPr>
          <w:rFonts w:ascii="Century Schoolbook" w:hAnsi="Century Schoolbook"/>
        </w:rPr>
        <w:t xml:space="preserve"> </w:t>
      </w:r>
      <w:r w:rsidR="004967CC">
        <w:rPr>
          <w:rFonts w:ascii="Century Schoolbook" w:hAnsi="Century Schoolbook"/>
        </w:rPr>
        <w:t xml:space="preserve">that </w:t>
      </w:r>
      <w:r w:rsidR="00601F5D">
        <w:rPr>
          <w:rFonts w:ascii="Century Schoolbook" w:hAnsi="Century Schoolbook"/>
        </w:rPr>
        <w:t xml:space="preserve">was </w:t>
      </w:r>
      <w:r w:rsidR="004967CC">
        <w:rPr>
          <w:rFonts w:ascii="Century Schoolbook" w:hAnsi="Century Schoolbook"/>
        </w:rPr>
        <w:t xml:space="preserve">organized </w:t>
      </w:r>
      <w:r w:rsidRPr="00283C20" w:rsidR="004B565D">
        <w:rPr>
          <w:rFonts w:ascii="Century Schoolbook" w:hAnsi="Century Schoolbook"/>
        </w:rPr>
        <w:t>for fundraising purposes</w:t>
      </w:r>
      <w:r w:rsidRPr="00283C20" w:rsidR="005C711A">
        <w:rPr>
          <w:rFonts w:ascii="Century Schoolbook" w:hAnsi="Century Schoolbook"/>
        </w:rPr>
        <w:t xml:space="preserve">.  </w:t>
      </w:r>
      <w:r w:rsidRPr="00283C20" w:rsidR="0038574F">
        <w:rPr>
          <w:rFonts w:ascii="Century Schoolbook" w:hAnsi="Century Schoolbook"/>
        </w:rPr>
        <w:t xml:space="preserve">In line with </w:t>
      </w:r>
      <w:r w:rsidRPr="00283C20" w:rsidR="0038574F">
        <w:rPr>
          <w:rFonts w:ascii="Century Schoolbook" w:hAnsi="Century Schoolbook"/>
          <w:i/>
          <w:iCs/>
        </w:rPr>
        <w:t>Okura</w:t>
      </w:r>
      <w:r w:rsidRPr="00283C20" w:rsidR="0038574F">
        <w:rPr>
          <w:rFonts w:ascii="Century Schoolbook" w:hAnsi="Century Schoolbook"/>
        </w:rPr>
        <w:t xml:space="preserve"> and </w:t>
      </w:r>
      <w:r w:rsidR="003F339A">
        <w:rPr>
          <w:rFonts w:ascii="Century Schoolbook" w:hAnsi="Century Schoolbook"/>
        </w:rPr>
        <w:t xml:space="preserve">the </w:t>
      </w:r>
      <w:r w:rsidR="004967CC">
        <w:rPr>
          <w:rFonts w:ascii="Century Schoolbook" w:hAnsi="Century Schoolbook"/>
        </w:rPr>
        <w:t xml:space="preserve">other decisions </w:t>
      </w:r>
      <w:r w:rsidR="003F339A">
        <w:rPr>
          <w:rFonts w:ascii="Century Schoolbook" w:hAnsi="Century Schoolbook"/>
        </w:rPr>
        <w:t xml:space="preserve">cited by the Supreme Court in </w:t>
      </w:r>
      <w:r w:rsidRPr="00143C1F" w:rsidR="003F339A">
        <w:rPr>
          <w:rFonts w:ascii="Century Schoolbook" w:hAnsi="Century Schoolbook"/>
          <w:i/>
          <w:iCs/>
        </w:rPr>
        <w:t>City of Santa Barbara</w:t>
      </w:r>
      <w:r w:rsidR="003F339A">
        <w:rPr>
          <w:rFonts w:ascii="Century Schoolbook" w:hAnsi="Century Schoolbook"/>
        </w:rPr>
        <w:t xml:space="preserve">, </w:t>
      </w:r>
      <w:r w:rsidRPr="00143C1F" w:rsidR="003F339A">
        <w:rPr>
          <w:rFonts w:ascii="Century Schoolbook" w:hAnsi="Century Schoolbook"/>
          <w:i/>
          <w:iCs/>
        </w:rPr>
        <w:t>supra</w:t>
      </w:r>
      <w:r w:rsidR="003F339A">
        <w:rPr>
          <w:rFonts w:ascii="Century Schoolbook" w:hAnsi="Century Schoolbook"/>
        </w:rPr>
        <w:t xml:space="preserve">, </w:t>
      </w:r>
      <w:r w:rsidRPr="00283C20" w:rsidR="003F339A">
        <w:rPr>
          <w:rFonts w:ascii="Century Schoolbook" w:hAnsi="Century Schoolbook"/>
        </w:rPr>
        <w:t>41 Cal.4th 747</w:t>
      </w:r>
      <w:r w:rsidRPr="00283C20">
        <w:rPr>
          <w:rFonts w:ascii="Century Schoolbook" w:hAnsi="Century Schoolbook"/>
        </w:rPr>
        <w:t xml:space="preserve">, we conclude </w:t>
      </w:r>
      <w:r w:rsidRPr="00283C20" w:rsidR="00F90B04">
        <w:rPr>
          <w:rFonts w:ascii="Century Schoolbook" w:hAnsi="Century Schoolbook"/>
        </w:rPr>
        <w:t xml:space="preserve">the trial court properly </w:t>
      </w:r>
      <w:r w:rsidRPr="00283C20" w:rsidR="0038574F">
        <w:rPr>
          <w:rFonts w:ascii="Century Schoolbook" w:hAnsi="Century Schoolbook"/>
        </w:rPr>
        <w:t xml:space="preserve">found </w:t>
      </w:r>
      <w:r w:rsidR="004967CC">
        <w:rPr>
          <w:rFonts w:ascii="Century Schoolbook" w:hAnsi="Century Schoolbook"/>
        </w:rPr>
        <w:t>the release</w:t>
      </w:r>
      <w:r w:rsidRPr="00283C20" w:rsidR="004967CC">
        <w:rPr>
          <w:rFonts w:ascii="Century Schoolbook" w:hAnsi="Century Schoolbook"/>
        </w:rPr>
        <w:t xml:space="preserve"> valid and enforceable </w:t>
      </w:r>
      <w:r w:rsidR="004967CC">
        <w:rPr>
          <w:rFonts w:ascii="Century Schoolbook" w:hAnsi="Century Schoolbook"/>
        </w:rPr>
        <w:t xml:space="preserve">because </w:t>
      </w:r>
      <w:r w:rsidRPr="00283C20" w:rsidR="00D569DB">
        <w:rPr>
          <w:rFonts w:ascii="Century Schoolbook" w:hAnsi="Century Schoolbook"/>
        </w:rPr>
        <w:t>th</w:t>
      </w:r>
      <w:r w:rsidR="004967CC">
        <w:rPr>
          <w:rFonts w:ascii="Century Schoolbook" w:hAnsi="Century Schoolbook"/>
        </w:rPr>
        <w:t>e</w:t>
      </w:r>
      <w:r w:rsidRPr="00283C20" w:rsidR="00D569DB">
        <w:rPr>
          <w:rFonts w:ascii="Century Schoolbook" w:hAnsi="Century Schoolbook"/>
        </w:rPr>
        <w:t xml:space="preserve"> </w:t>
      </w:r>
      <w:r w:rsidR="00B87B49">
        <w:rPr>
          <w:rFonts w:ascii="Century Schoolbook" w:hAnsi="Century Schoolbook"/>
        </w:rPr>
        <w:t xml:space="preserve">cycling event was a nonessential sports activity that </w:t>
      </w:r>
      <w:r w:rsidR="004967CC">
        <w:rPr>
          <w:rFonts w:ascii="Century Schoolbook" w:hAnsi="Century Schoolbook"/>
        </w:rPr>
        <w:t xml:space="preserve">did not </w:t>
      </w:r>
      <w:r w:rsidRPr="00283C20" w:rsidR="00D569DB">
        <w:rPr>
          <w:rFonts w:ascii="Century Schoolbook" w:hAnsi="Century Schoolbook"/>
        </w:rPr>
        <w:t>affect the public interest</w:t>
      </w:r>
      <w:r w:rsidRPr="00283C20" w:rsidR="003F339A">
        <w:rPr>
          <w:rFonts w:ascii="Century Schoolbook" w:hAnsi="Century Schoolbook"/>
        </w:rPr>
        <w:t xml:space="preserve"> within the meaning of Civil Code section 1668</w:t>
      </w:r>
      <w:r w:rsidRPr="00283C20" w:rsidR="00D569DB">
        <w:rPr>
          <w:rFonts w:ascii="Century Schoolbook" w:hAnsi="Century Schoolbook"/>
        </w:rPr>
        <w:t>.</w:t>
      </w:r>
    </w:p>
    <w:p w:rsidR="004D6795" w:rsidRPr="00283C20" w:rsidP="008922F7" w14:paraId="0ADC9726" w14:textId="575740FA">
      <w:pPr>
        <w:spacing w:line="360" w:lineRule="auto"/>
        <w:rPr>
          <w:rFonts w:ascii="Century Schoolbook" w:hAnsi="Century Schoolbook"/>
        </w:rPr>
      </w:pPr>
      <w:r w:rsidRPr="00283C20">
        <w:rPr>
          <w:rFonts w:ascii="Century Schoolbook" w:hAnsi="Century Schoolbook"/>
        </w:rPr>
        <w:tab/>
        <w:t xml:space="preserve">Plaintiff argues </w:t>
      </w:r>
      <w:r w:rsidR="00AD3C59">
        <w:rPr>
          <w:rFonts w:ascii="Century Schoolbook" w:hAnsi="Century Schoolbook"/>
        </w:rPr>
        <w:t xml:space="preserve">that, for purposes of </w:t>
      </w:r>
      <w:r w:rsidRPr="00283C20" w:rsidR="008922F7">
        <w:rPr>
          <w:rFonts w:ascii="Century Schoolbook" w:hAnsi="Century Schoolbook"/>
        </w:rPr>
        <w:t xml:space="preserve">the </w:t>
      </w:r>
      <w:r w:rsidRPr="00283C20" w:rsidR="008922F7">
        <w:rPr>
          <w:rFonts w:ascii="Century Schoolbook" w:hAnsi="Century Schoolbook"/>
          <w:i/>
          <w:iCs/>
        </w:rPr>
        <w:t>Tunkl</w:t>
      </w:r>
      <w:r w:rsidRPr="00283C20" w:rsidR="008922F7">
        <w:rPr>
          <w:rFonts w:ascii="Century Schoolbook" w:hAnsi="Century Schoolbook"/>
        </w:rPr>
        <w:t xml:space="preserve"> </w:t>
      </w:r>
      <w:r w:rsidR="005E4FA8">
        <w:rPr>
          <w:rFonts w:ascii="Century Schoolbook" w:hAnsi="Century Schoolbook"/>
        </w:rPr>
        <w:t xml:space="preserve">release </w:t>
      </w:r>
      <w:r w:rsidRPr="00283C20" w:rsidR="008922F7">
        <w:rPr>
          <w:rFonts w:ascii="Century Schoolbook" w:hAnsi="Century Schoolbook"/>
        </w:rPr>
        <w:t>analysis</w:t>
      </w:r>
      <w:r w:rsidR="00AD3C59">
        <w:rPr>
          <w:rFonts w:ascii="Century Schoolbook" w:hAnsi="Century Schoolbook"/>
        </w:rPr>
        <w:t xml:space="preserve">, the focus </w:t>
      </w:r>
      <w:r w:rsidRPr="00283C20" w:rsidR="008922F7">
        <w:rPr>
          <w:rFonts w:ascii="Century Schoolbook" w:hAnsi="Century Schoolbook"/>
        </w:rPr>
        <w:t>should be</w:t>
      </w:r>
      <w:r w:rsidRPr="00283C20" w:rsidR="001D5880">
        <w:rPr>
          <w:rFonts w:ascii="Century Schoolbook" w:hAnsi="Century Schoolbook"/>
        </w:rPr>
        <w:t xml:space="preserve"> </w:t>
      </w:r>
      <w:r w:rsidRPr="00283C20" w:rsidR="008922F7">
        <w:rPr>
          <w:rFonts w:ascii="Century Schoolbook" w:hAnsi="Century Schoolbook"/>
        </w:rPr>
        <w:t xml:space="preserve">on </w:t>
      </w:r>
      <w:r w:rsidR="00B123A3">
        <w:rPr>
          <w:rFonts w:ascii="Century Schoolbook" w:hAnsi="Century Schoolbook"/>
        </w:rPr>
        <w:t>defendant</w:t>
      </w:r>
      <w:r w:rsidR="00AD3C59">
        <w:rPr>
          <w:rFonts w:ascii="Century Schoolbook" w:hAnsi="Century Schoolbook"/>
        </w:rPr>
        <w:t>’s</w:t>
      </w:r>
      <w:r w:rsidRPr="00283C20" w:rsidR="008922F7">
        <w:rPr>
          <w:rFonts w:ascii="Century Schoolbook" w:hAnsi="Century Schoolbook"/>
        </w:rPr>
        <w:t xml:space="preserve"> provision and</w:t>
      </w:r>
      <w:r w:rsidRPr="00283C20" w:rsidR="001D5880">
        <w:rPr>
          <w:rFonts w:ascii="Century Schoolbook" w:hAnsi="Century Schoolbook"/>
        </w:rPr>
        <w:t xml:space="preserve"> </w:t>
      </w:r>
      <w:r w:rsidRPr="00283C20" w:rsidR="008922F7">
        <w:rPr>
          <w:rFonts w:ascii="Century Schoolbook" w:hAnsi="Century Schoolbook"/>
        </w:rPr>
        <w:t xml:space="preserve">maintenance of public streets and highways—and not </w:t>
      </w:r>
      <w:r w:rsidR="005E4FA8">
        <w:rPr>
          <w:rFonts w:ascii="Century Schoolbook" w:hAnsi="Century Schoolbook"/>
        </w:rPr>
        <w:t xml:space="preserve">on </w:t>
      </w:r>
      <w:r w:rsidRPr="00283C20" w:rsidR="008922F7">
        <w:rPr>
          <w:rFonts w:ascii="Century Schoolbook" w:hAnsi="Century Schoolbook"/>
        </w:rPr>
        <w:t>the activity or</w:t>
      </w:r>
      <w:r w:rsidRPr="00283C20" w:rsidR="001D5880">
        <w:rPr>
          <w:rFonts w:ascii="Century Schoolbook" w:hAnsi="Century Schoolbook"/>
        </w:rPr>
        <w:t xml:space="preserve"> </w:t>
      </w:r>
      <w:r w:rsidRPr="00283C20" w:rsidR="008922F7">
        <w:rPr>
          <w:rFonts w:ascii="Century Schoolbook" w:hAnsi="Century Schoolbook"/>
        </w:rPr>
        <w:t>transaction for which the release was given</w:t>
      </w:r>
      <w:r w:rsidR="00AD3C59">
        <w:rPr>
          <w:rFonts w:ascii="Century Schoolbook" w:hAnsi="Century Schoolbook"/>
        </w:rPr>
        <w:t>, i.e.,</w:t>
      </w:r>
      <w:r w:rsidR="00241CCC">
        <w:rPr>
          <w:rFonts w:ascii="Century Schoolbook" w:hAnsi="Century Schoolbook"/>
        </w:rPr>
        <w:t xml:space="preserve"> participation in</w:t>
      </w:r>
      <w:r w:rsidR="00AD3C59">
        <w:rPr>
          <w:rFonts w:ascii="Century Schoolbook" w:hAnsi="Century Schoolbook"/>
        </w:rPr>
        <w:t xml:space="preserve"> </w:t>
      </w:r>
      <w:r w:rsidR="005E4FA8">
        <w:rPr>
          <w:rFonts w:ascii="Century Schoolbook" w:hAnsi="Century Schoolbook"/>
        </w:rPr>
        <w:t xml:space="preserve">the </w:t>
      </w:r>
      <w:r w:rsidRPr="00283C20">
        <w:rPr>
          <w:rFonts w:ascii="Century Schoolbook" w:hAnsi="Century Schoolbook"/>
        </w:rPr>
        <w:t>cycling</w:t>
      </w:r>
      <w:r w:rsidR="005E4FA8">
        <w:rPr>
          <w:rFonts w:ascii="Century Schoolbook" w:hAnsi="Century Schoolbook"/>
        </w:rPr>
        <w:t xml:space="preserve"> </w:t>
      </w:r>
      <w:r w:rsidR="00B31363">
        <w:rPr>
          <w:rFonts w:ascii="Century Schoolbook" w:hAnsi="Century Schoolbook"/>
        </w:rPr>
        <w:t>fundraiser</w:t>
      </w:r>
      <w:r w:rsidRPr="00283C20">
        <w:rPr>
          <w:rFonts w:ascii="Century Schoolbook" w:hAnsi="Century Schoolbook"/>
        </w:rPr>
        <w:t xml:space="preserve">.  </w:t>
      </w:r>
      <w:r w:rsidR="005E4FA8">
        <w:rPr>
          <w:rFonts w:ascii="Century Schoolbook" w:hAnsi="Century Schoolbook"/>
        </w:rPr>
        <w:t>Viewed in this manner</w:t>
      </w:r>
      <w:r w:rsidRPr="00283C20">
        <w:rPr>
          <w:rFonts w:ascii="Century Schoolbook" w:hAnsi="Century Schoolbook"/>
        </w:rPr>
        <w:t xml:space="preserve">, the </w:t>
      </w:r>
      <w:r w:rsidR="004967CC">
        <w:rPr>
          <w:rFonts w:ascii="Century Schoolbook" w:hAnsi="Century Schoolbook"/>
        </w:rPr>
        <w:t>instant</w:t>
      </w:r>
      <w:r w:rsidRPr="00283C20">
        <w:rPr>
          <w:rFonts w:ascii="Century Schoolbook" w:hAnsi="Century Schoolbook"/>
        </w:rPr>
        <w:t xml:space="preserve"> release affected </w:t>
      </w:r>
      <w:r w:rsidR="005E4FA8">
        <w:rPr>
          <w:rFonts w:ascii="Century Schoolbook" w:hAnsi="Century Schoolbook"/>
        </w:rPr>
        <w:t>the</w:t>
      </w:r>
      <w:r w:rsidRPr="00283C20">
        <w:rPr>
          <w:rFonts w:ascii="Century Schoolbook" w:hAnsi="Century Schoolbook"/>
        </w:rPr>
        <w:t xml:space="preserve"> public interest</w:t>
      </w:r>
      <w:r w:rsidR="005E4FA8">
        <w:rPr>
          <w:rFonts w:ascii="Century Schoolbook" w:hAnsi="Century Schoolbook"/>
        </w:rPr>
        <w:t xml:space="preserve"> in</w:t>
      </w:r>
      <w:r w:rsidRPr="00283C20" w:rsidR="00AE54D2">
        <w:rPr>
          <w:rFonts w:ascii="Century Schoolbook" w:hAnsi="Century Schoolbook"/>
        </w:rPr>
        <w:t xml:space="preserve"> </w:t>
      </w:r>
      <w:r w:rsidRPr="00283C20">
        <w:rPr>
          <w:rFonts w:ascii="Century Schoolbook" w:hAnsi="Century Schoolbook"/>
        </w:rPr>
        <w:t>the provision and maintenance of public roads.</w:t>
      </w:r>
      <w:r w:rsidR="00463666">
        <w:rPr>
          <w:rFonts w:ascii="Century Schoolbook" w:hAnsi="Century Schoolbook"/>
        </w:rPr>
        <w:t xml:space="preserve">  </w:t>
      </w:r>
      <w:r w:rsidR="005E4FA8">
        <w:rPr>
          <w:rFonts w:ascii="Century Schoolbook" w:hAnsi="Century Schoolbook"/>
        </w:rPr>
        <w:t xml:space="preserve">This reading of </w:t>
      </w:r>
      <w:r w:rsidRPr="00601F5D" w:rsidR="005E4FA8">
        <w:rPr>
          <w:rFonts w:ascii="Century Schoolbook" w:hAnsi="Century Schoolbook"/>
          <w:i/>
          <w:iCs/>
        </w:rPr>
        <w:t>Tunkl</w:t>
      </w:r>
      <w:r w:rsidR="005E4FA8">
        <w:rPr>
          <w:rFonts w:ascii="Century Schoolbook" w:hAnsi="Century Schoolbook"/>
        </w:rPr>
        <w:t>, however, is off the mark and unconvincing.</w:t>
      </w:r>
    </w:p>
    <w:p w:rsidR="00B31363" w:rsidP="00466A33" w14:paraId="69BE247F" w14:textId="603A221B">
      <w:pPr>
        <w:spacing w:line="360" w:lineRule="auto"/>
        <w:rPr>
          <w:rFonts w:ascii="Century Schoolbook" w:hAnsi="Century Schoolbook"/>
        </w:rPr>
      </w:pPr>
      <w:r w:rsidRPr="00283C20">
        <w:rPr>
          <w:rFonts w:ascii="Century Schoolbook" w:hAnsi="Century Schoolbook"/>
        </w:rPr>
        <w:tab/>
      </w:r>
      <w:r w:rsidRPr="00725D96" w:rsidR="004E4804">
        <w:rPr>
          <w:rFonts w:ascii="Century Schoolbook" w:hAnsi="Century Schoolbook"/>
          <w:i/>
          <w:iCs/>
        </w:rPr>
        <w:t>Tunkl</w:t>
      </w:r>
      <w:r w:rsidR="004E4804">
        <w:rPr>
          <w:rFonts w:ascii="Century Schoolbook" w:hAnsi="Century Schoolbook"/>
        </w:rPr>
        <w:t xml:space="preserve"> itself couched its analysis in terms of determining whether the </w:t>
      </w:r>
      <w:r w:rsidRPr="00725D96" w:rsidR="004E4804">
        <w:rPr>
          <w:rFonts w:ascii="Century Schoolbook" w:hAnsi="Century Schoolbook"/>
          <w:i/>
          <w:iCs/>
        </w:rPr>
        <w:t>transaction</w:t>
      </w:r>
      <w:r w:rsidR="004E4804">
        <w:rPr>
          <w:rFonts w:ascii="Century Schoolbook" w:hAnsi="Century Schoolbook"/>
        </w:rPr>
        <w:t xml:space="preserve"> </w:t>
      </w:r>
      <w:r w:rsidR="00107F66">
        <w:rPr>
          <w:rFonts w:ascii="Century Schoolbook" w:hAnsi="Century Schoolbook"/>
        </w:rPr>
        <w:t>for which</w:t>
      </w:r>
      <w:r w:rsidR="004E4804">
        <w:rPr>
          <w:rFonts w:ascii="Century Schoolbook" w:hAnsi="Century Schoolbook"/>
        </w:rPr>
        <w:t xml:space="preserve"> the release </w:t>
      </w:r>
      <w:r w:rsidR="00107F66">
        <w:rPr>
          <w:rFonts w:ascii="Century Schoolbook" w:hAnsi="Century Schoolbook"/>
        </w:rPr>
        <w:t>was given is</w:t>
      </w:r>
      <w:r w:rsidR="004E4804">
        <w:rPr>
          <w:rFonts w:ascii="Century Schoolbook" w:hAnsi="Century Schoolbook"/>
        </w:rPr>
        <w:t xml:space="preserve"> one that affects the public interest.  (</w:t>
      </w:r>
      <w:r w:rsidR="00B71EC0">
        <w:rPr>
          <w:rFonts w:ascii="Century Schoolbook" w:hAnsi="Century Schoolbook"/>
        </w:rPr>
        <w:t xml:space="preserve">See, e.g., </w:t>
      </w:r>
      <w:r w:rsidRPr="00725D96" w:rsidR="004E4804">
        <w:rPr>
          <w:rFonts w:ascii="Century Schoolbook" w:hAnsi="Century Schoolbook"/>
          <w:i/>
          <w:iCs/>
        </w:rPr>
        <w:t>Tunkl</w:t>
      </w:r>
      <w:r w:rsidR="004E4804">
        <w:rPr>
          <w:rFonts w:ascii="Century Schoolbook" w:hAnsi="Century Schoolbook"/>
        </w:rPr>
        <w:t xml:space="preserve">, </w:t>
      </w:r>
      <w:r w:rsidRPr="00725D96" w:rsidR="004E4804">
        <w:rPr>
          <w:rFonts w:ascii="Century Schoolbook" w:hAnsi="Century Schoolbook"/>
          <w:i/>
          <w:iCs/>
        </w:rPr>
        <w:t>supra</w:t>
      </w:r>
      <w:r w:rsidR="004E4804">
        <w:rPr>
          <w:rFonts w:ascii="Century Schoolbook" w:hAnsi="Century Schoolbook"/>
        </w:rPr>
        <w:t xml:space="preserve">, </w:t>
      </w:r>
      <w:r w:rsidRPr="00725D96" w:rsidR="004E4804">
        <w:rPr>
          <w:rFonts w:ascii="Century Schoolbook" w:hAnsi="Century Schoolbook"/>
        </w:rPr>
        <w:t xml:space="preserve">60 Cal.2d </w:t>
      </w:r>
      <w:r w:rsidR="004E4804">
        <w:rPr>
          <w:rFonts w:ascii="Century Schoolbook" w:hAnsi="Century Schoolbook"/>
        </w:rPr>
        <w:t>at p. 98, italics added [“t</w:t>
      </w:r>
      <w:r w:rsidRPr="00074192" w:rsidR="004E4804">
        <w:rPr>
          <w:rFonts w:ascii="Century Schoolbook" w:hAnsi="Century Schoolbook"/>
        </w:rPr>
        <w:t xml:space="preserve">he courts have revealed a rough outline of that </w:t>
      </w:r>
      <w:r w:rsidRPr="004E4804" w:rsidR="004E4804">
        <w:rPr>
          <w:rFonts w:ascii="Century Schoolbook" w:hAnsi="Century Schoolbook"/>
          <w:i/>
          <w:iCs/>
        </w:rPr>
        <w:t>type of transaction</w:t>
      </w:r>
      <w:r w:rsidRPr="00074192" w:rsidR="004E4804">
        <w:rPr>
          <w:rFonts w:ascii="Century Schoolbook" w:hAnsi="Century Schoolbook"/>
        </w:rPr>
        <w:t xml:space="preserve"> in which exculpatory provisions will be held invalid</w:t>
      </w:r>
      <w:r w:rsidR="004E4804">
        <w:rPr>
          <w:rFonts w:ascii="Century Schoolbook" w:hAnsi="Century Schoolbook"/>
        </w:rPr>
        <w:t xml:space="preserve">”]; </w:t>
      </w:r>
      <w:r w:rsidRPr="004E4804" w:rsidR="004E4804">
        <w:rPr>
          <w:rFonts w:ascii="Century Schoolbook" w:hAnsi="Century Schoolbook"/>
          <w:i/>
          <w:iCs/>
        </w:rPr>
        <w:t>id.</w:t>
      </w:r>
      <w:r w:rsidR="004E4804">
        <w:rPr>
          <w:rFonts w:ascii="Century Schoolbook" w:hAnsi="Century Schoolbook"/>
        </w:rPr>
        <w:t xml:space="preserve"> at p. 101, italics added [“</w:t>
      </w:r>
      <w:r w:rsidRPr="004E4804" w:rsidR="004E4804">
        <w:rPr>
          <w:rFonts w:ascii="Century Schoolbook" w:hAnsi="Century Schoolbook"/>
        </w:rPr>
        <w:t xml:space="preserve">obviously no public policy opposes private, voluntary </w:t>
      </w:r>
      <w:r w:rsidRPr="004E4804" w:rsidR="004E4804">
        <w:rPr>
          <w:rFonts w:ascii="Century Schoolbook" w:hAnsi="Century Schoolbook"/>
          <w:i/>
          <w:iCs/>
        </w:rPr>
        <w:t>transactions</w:t>
      </w:r>
      <w:r w:rsidRPr="004E4804" w:rsidR="004E4804">
        <w:rPr>
          <w:rFonts w:ascii="Century Schoolbook" w:hAnsi="Century Schoolbook"/>
        </w:rPr>
        <w:t xml:space="preserve"> in which one party, for a consideration, agrees to shoulder a risk which the law would otherwise have placed upon the other party</w:t>
      </w:r>
      <w:r w:rsidR="004E4804">
        <w:rPr>
          <w:rFonts w:ascii="Century Schoolbook" w:hAnsi="Century Schoolbook"/>
        </w:rPr>
        <w:t>”]</w:t>
      </w:r>
      <w:r w:rsidR="00107F66">
        <w:rPr>
          <w:rFonts w:ascii="Century Schoolbook" w:hAnsi="Century Schoolbook"/>
        </w:rPr>
        <w:t xml:space="preserve">; </w:t>
      </w:r>
      <w:r w:rsidRPr="00A77EB4" w:rsidR="00A77EB4">
        <w:rPr>
          <w:rFonts w:ascii="Century Schoolbook" w:hAnsi="Century Schoolbook"/>
          <w:i/>
          <w:iCs/>
        </w:rPr>
        <w:t>id.</w:t>
      </w:r>
      <w:r w:rsidR="00A77EB4">
        <w:rPr>
          <w:rFonts w:ascii="Century Schoolbook" w:hAnsi="Century Schoolbook"/>
        </w:rPr>
        <w:t xml:space="preserve"> at p. 102 [“</w:t>
      </w:r>
      <w:r w:rsidRPr="00A77EB4" w:rsidR="00A77EB4">
        <w:rPr>
          <w:rFonts w:ascii="Century Schoolbook" w:hAnsi="Century Schoolbook"/>
        </w:rPr>
        <w:t>The admission room of a hospital contains no bargaining table where, as in a private business transaction, the parties can debate the terms of their contract.</w:t>
      </w:r>
      <w:r w:rsidR="00A77EB4">
        <w:rPr>
          <w:rFonts w:ascii="Century Schoolbook" w:hAnsi="Century Schoolbook"/>
        </w:rPr>
        <w:t>”]</w:t>
      </w:r>
      <w:r w:rsidR="004E4804">
        <w:rPr>
          <w:rFonts w:ascii="Century Schoolbook" w:hAnsi="Century Schoolbook"/>
        </w:rPr>
        <w:t xml:space="preserve">.)  </w:t>
      </w:r>
    </w:p>
    <w:p w:rsidR="008922F7" w:rsidRPr="00283C20" w:rsidP="00466A33" w14:paraId="1B15BD60" w14:textId="7A9141BA">
      <w:pPr>
        <w:spacing w:line="360" w:lineRule="auto"/>
        <w:rPr>
          <w:rFonts w:ascii="Century Schoolbook" w:hAnsi="Century Schoolbook"/>
        </w:rPr>
      </w:pPr>
      <w:r>
        <w:rPr>
          <w:rFonts w:ascii="Century Schoolbook" w:hAnsi="Century Schoolbook"/>
        </w:rPr>
        <w:tab/>
      </w:r>
      <w:r w:rsidR="000E2DF9">
        <w:rPr>
          <w:rFonts w:ascii="Century Schoolbook" w:hAnsi="Century Schoolbook"/>
        </w:rPr>
        <w:t>Likewise</w:t>
      </w:r>
      <w:r w:rsidR="00107F66">
        <w:rPr>
          <w:rFonts w:ascii="Century Schoolbook" w:hAnsi="Century Schoolbook"/>
        </w:rPr>
        <w:t>, i</w:t>
      </w:r>
      <w:r w:rsidRPr="00283C20" w:rsidR="004D6795">
        <w:rPr>
          <w:rFonts w:ascii="Century Schoolbook" w:hAnsi="Century Schoolbook"/>
        </w:rPr>
        <w:t xml:space="preserve">n </w:t>
      </w:r>
      <w:bookmarkStart w:id="8" w:name="_Hlk153871487"/>
      <w:r w:rsidRPr="00283C20" w:rsidR="004D6795">
        <w:rPr>
          <w:rFonts w:ascii="Century Schoolbook" w:hAnsi="Century Schoolbook"/>
          <w:i/>
          <w:iCs/>
        </w:rPr>
        <w:t>Gavin W. v. YMCA of Metropolitan Los Angeles</w:t>
      </w:r>
      <w:r w:rsidRPr="00283C20" w:rsidR="004D6795">
        <w:rPr>
          <w:rFonts w:ascii="Century Schoolbook" w:hAnsi="Century Schoolbook"/>
        </w:rPr>
        <w:t xml:space="preserve"> (2003) 106 Cal.App.4th 662</w:t>
      </w:r>
      <w:bookmarkEnd w:id="8"/>
      <w:r w:rsidRPr="00283C20" w:rsidR="004D6795">
        <w:rPr>
          <w:rFonts w:ascii="Century Schoolbook" w:hAnsi="Century Schoolbook"/>
        </w:rPr>
        <w:t xml:space="preserve">, the court held:  “Under </w:t>
      </w:r>
      <w:r w:rsidRPr="00283C20" w:rsidR="004D6795">
        <w:rPr>
          <w:rFonts w:ascii="Century Schoolbook" w:hAnsi="Century Schoolbook"/>
          <w:i/>
          <w:iCs/>
        </w:rPr>
        <w:t>Tunkl</w:t>
      </w:r>
      <w:r w:rsidRPr="00283C20" w:rsidR="004D6795">
        <w:rPr>
          <w:rFonts w:ascii="Century Schoolbook" w:hAnsi="Century Schoolbook"/>
        </w:rPr>
        <w:t xml:space="preserve"> . . . determining whether a release of liability affects the public interest, and is thus void as a matter of public policy, requires analysis of </w:t>
      </w:r>
      <w:r w:rsidRPr="00283C20" w:rsidR="004D6795">
        <w:rPr>
          <w:rFonts w:ascii="Century Schoolbook" w:hAnsi="Century Schoolbook"/>
          <w:i/>
          <w:iCs/>
        </w:rPr>
        <w:t>the transaction giving rise to the contract</w:t>
      </w:r>
      <w:r w:rsidRPr="00283C20" w:rsidR="004D6795">
        <w:rPr>
          <w:rFonts w:ascii="Century Schoolbook" w:hAnsi="Century Schoolbook"/>
        </w:rPr>
        <w:t>—</w:t>
      </w:r>
      <w:r w:rsidRPr="00241CCC" w:rsidR="004D6795">
        <w:rPr>
          <w:rFonts w:ascii="Century Schoolbook" w:hAnsi="Century Schoolbook"/>
          <w:i/>
          <w:iCs/>
        </w:rPr>
        <w:t>not</w:t>
      </w:r>
      <w:r w:rsidRPr="00ED5696" w:rsidR="004D6795">
        <w:rPr>
          <w:rFonts w:ascii="Century Schoolbook" w:hAnsi="Century Schoolbook"/>
          <w:i/>
          <w:iCs/>
        </w:rPr>
        <w:t xml:space="preserve"> the allegedly negligent conduct by the party invoking the release.</w:t>
      </w:r>
      <w:r w:rsidRPr="00283C20" w:rsidR="004D6795">
        <w:rPr>
          <w:rFonts w:ascii="Century Schoolbook" w:hAnsi="Century Schoolbook"/>
        </w:rPr>
        <w:t>”  (</w:t>
      </w:r>
      <w:r w:rsidRPr="00283C20" w:rsidR="004D6795">
        <w:rPr>
          <w:rFonts w:ascii="Century Schoolbook" w:hAnsi="Century Schoolbook"/>
          <w:i/>
          <w:iCs/>
        </w:rPr>
        <w:t>Gavin W.</w:t>
      </w:r>
      <w:r w:rsidRPr="00283C20" w:rsidR="004D6795">
        <w:rPr>
          <w:rFonts w:ascii="Century Schoolbook" w:hAnsi="Century Schoolbook"/>
        </w:rPr>
        <w:t>,</w:t>
      </w:r>
      <w:r w:rsidRPr="00283C20" w:rsidR="004D6795">
        <w:rPr>
          <w:rFonts w:ascii="Century Schoolbook" w:hAnsi="Century Schoolbook"/>
          <w:i/>
          <w:iCs/>
        </w:rPr>
        <w:t xml:space="preserve"> </w:t>
      </w:r>
      <w:r w:rsidRPr="00283C20" w:rsidR="004D6795">
        <w:rPr>
          <w:rFonts w:ascii="Century Schoolbook" w:hAnsi="Century Schoolbook"/>
        </w:rPr>
        <w:t>at p. 670</w:t>
      </w:r>
      <w:r w:rsidRPr="00283C20" w:rsidR="008B3F03">
        <w:rPr>
          <w:rFonts w:ascii="Century Schoolbook" w:hAnsi="Century Schoolbook"/>
        </w:rPr>
        <w:t>,</w:t>
      </w:r>
      <w:r w:rsidRPr="00283C20" w:rsidR="00C552FF">
        <w:rPr>
          <w:rFonts w:ascii="Century Schoolbook" w:hAnsi="Century Schoolbook"/>
        </w:rPr>
        <w:t xml:space="preserve"> </w:t>
      </w:r>
      <w:r w:rsidRPr="008567FC" w:rsidR="00C552FF">
        <w:rPr>
          <w:rFonts w:ascii="Century Schoolbook" w:hAnsi="Century Schoolbook"/>
        </w:rPr>
        <w:t>some</w:t>
      </w:r>
      <w:r w:rsidRPr="008567FC" w:rsidR="008B3F03">
        <w:rPr>
          <w:rFonts w:ascii="Century Schoolbook" w:hAnsi="Century Schoolbook"/>
        </w:rPr>
        <w:t xml:space="preserve"> italics added</w:t>
      </w:r>
      <w:r w:rsidRPr="00283C20" w:rsidR="004D6795">
        <w:rPr>
          <w:rFonts w:ascii="Century Schoolbook" w:hAnsi="Century Schoolbook"/>
        </w:rPr>
        <w:t>.)</w:t>
      </w:r>
      <w:r w:rsidRPr="00283C20" w:rsidR="00596AB4">
        <w:rPr>
          <w:rFonts w:ascii="Century Schoolbook" w:hAnsi="Century Schoolbook"/>
        </w:rPr>
        <w:t xml:space="preserve">  </w:t>
      </w:r>
      <w:r w:rsidR="00E6238B">
        <w:rPr>
          <w:rFonts w:ascii="Century Schoolbook" w:hAnsi="Century Schoolbook"/>
        </w:rPr>
        <w:t>And m</w:t>
      </w:r>
      <w:r w:rsidRPr="00283C20" w:rsidR="00B44600">
        <w:rPr>
          <w:rFonts w:ascii="Century Schoolbook" w:hAnsi="Century Schoolbook"/>
        </w:rPr>
        <w:t>ore</w:t>
      </w:r>
      <w:r w:rsidRPr="00283C20" w:rsidR="00E640F0">
        <w:rPr>
          <w:rFonts w:ascii="Century Schoolbook" w:hAnsi="Century Schoolbook"/>
        </w:rPr>
        <w:t xml:space="preserve"> recently</w:t>
      </w:r>
      <w:r w:rsidRPr="00283C20" w:rsidR="00B44600">
        <w:rPr>
          <w:rFonts w:ascii="Century Schoolbook" w:hAnsi="Century Schoolbook"/>
        </w:rPr>
        <w:t>, t</w:t>
      </w:r>
      <w:r w:rsidRPr="00283C20" w:rsidR="008E6FC2">
        <w:rPr>
          <w:rFonts w:ascii="Century Schoolbook" w:hAnsi="Century Schoolbook"/>
        </w:rPr>
        <w:t xml:space="preserve">he Supreme Court </w:t>
      </w:r>
      <w:r w:rsidRPr="00283C20" w:rsidR="00103127">
        <w:rPr>
          <w:rFonts w:ascii="Century Schoolbook" w:hAnsi="Century Schoolbook"/>
        </w:rPr>
        <w:t>said this</w:t>
      </w:r>
      <w:r w:rsidRPr="00283C20" w:rsidR="008E6FC2">
        <w:rPr>
          <w:rFonts w:ascii="Century Schoolbook" w:hAnsi="Century Schoolbook"/>
        </w:rPr>
        <w:t>:  “</w:t>
      </w:r>
      <w:r w:rsidRPr="00283C20" w:rsidR="008E6FC2">
        <w:rPr>
          <w:rFonts w:ascii="Century Schoolbook" w:hAnsi="Century Schoolbook"/>
          <w:i/>
          <w:iCs/>
        </w:rPr>
        <w:t>Tunkl’s</w:t>
      </w:r>
      <w:r w:rsidRPr="00283C20" w:rsidR="008E6FC2">
        <w:rPr>
          <w:rFonts w:ascii="Century Schoolbook" w:hAnsi="Century Schoolbook"/>
        </w:rPr>
        <w:t xml:space="preserve"> public interest analysis focuses upon the </w:t>
      </w:r>
      <w:r w:rsidRPr="00283C20" w:rsidR="008E6FC2">
        <w:rPr>
          <w:rFonts w:ascii="Century Schoolbook" w:hAnsi="Century Schoolbook"/>
          <w:i/>
          <w:iCs/>
        </w:rPr>
        <w:t>overall transaction</w:t>
      </w:r>
      <w:r w:rsidRPr="00283C20" w:rsidR="008E6FC2">
        <w:rPr>
          <w:rFonts w:ascii="Century Schoolbook" w:hAnsi="Century Schoolbook"/>
        </w:rPr>
        <w:t>—</w:t>
      </w:r>
      <w:r w:rsidRPr="00283C20" w:rsidR="008E6FC2">
        <w:rPr>
          <w:rFonts w:ascii="Century Schoolbook" w:hAnsi="Century Schoolbook"/>
          <w:i/>
          <w:iCs/>
        </w:rPr>
        <w:t>with special emphasis upon the importance of the underlying service or program, and the relative bargaining relationship of the parties</w:t>
      </w:r>
      <w:r w:rsidRPr="00283C20" w:rsidR="008E6FC2">
        <w:rPr>
          <w:rFonts w:ascii="Century Schoolbook" w:hAnsi="Century Schoolbook"/>
        </w:rPr>
        <w:t>—in order to determine whether an agreement releasing future liability for ordinary negligence is unenforceable.”  (</w:t>
      </w:r>
      <w:r w:rsidRPr="00283C20" w:rsidR="00596AB4">
        <w:rPr>
          <w:rFonts w:ascii="Century Schoolbook" w:hAnsi="Century Schoolbook"/>
          <w:i/>
          <w:iCs/>
        </w:rPr>
        <w:t>City of Santa Barbara</w:t>
      </w:r>
      <w:r w:rsidRPr="00283C20" w:rsidR="00596AB4">
        <w:rPr>
          <w:rFonts w:ascii="Century Schoolbook" w:hAnsi="Century Schoolbook"/>
        </w:rPr>
        <w:t xml:space="preserve">, </w:t>
      </w:r>
      <w:r w:rsidRPr="00283C20" w:rsidR="00596AB4">
        <w:rPr>
          <w:rFonts w:ascii="Century Schoolbook" w:hAnsi="Century Schoolbook"/>
          <w:i/>
          <w:iCs/>
        </w:rPr>
        <w:t>supra</w:t>
      </w:r>
      <w:r w:rsidRPr="00283C20" w:rsidR="00596AB4">
        <w:rPr>
          <w:rFonts w:ascii="Century Schoolbook" w:hAnsi="Century Schoolbook"/>
        </w:rPr>
        <w:t>, 41 Cal.4th at p. 762</w:t>
      </w:r>
      <w:r w:rsidRPr="00283C20" w:rsidR="008B3F03">
        <w:rPr>
          <w:rFonts w:ascii="Century Schoolbook" w:hAnsi="Century Schoolbook"/>
        </w:rPr>
        <w:t>, italics added</w:t>
      </w:r>
      <w:r w:rsidRPr="00283C20" w:rsidR="00596AB4">
        <w:rPr>
          <w:rFonts w:ascii="Century Schoolbook" w:hAnsi="Century Schoolbook"/>
        </w:rPr>
        <w:t>.</w:t>
      </w:r>
      <w:r w:rsidRPr="00283C20" w:rsidR="008E6FC2">
        <w:rPr>
          <w:rFonts w:ascii="Century Schoolbook" w:hAnsi="Century Schoolbook"/>
        </w:rPr>
        <w:t>)</w:t>
      </w:r>
    </w:p>
    <w:p w:rsidR="003800EF" w:rsidRPr="00283C20" w:rsidP="00466A33" w14:paraId="7C73FEB3" w14:textId="340A10DC">
      <w:pPr>
        <w:spacing w:line="360" w:lineRule="auto"/>
        <w:rPr>
          <w:rFonts w:ascii="Century Schoolbook" w:hAnsi="Century Schoolbook"/>
        </w:rPr>
      </w:pPr>
      <w:r w:rsidRPr="00283C20">
        <w:rPr>
          <w:rFonts w:ascii="Century Schoolbook" w:hAnsi="Century Schoolbook"/>
        </w:rPr>
        <w:tab/>
      </w:r>
      <w:r w:rsidRPr="00283C20" w:rsidR="005F04AD">
        <w:rPr>
          <w:rFonts w:ascii="Century Schoolbook" w:hAnsi="Century Schoolbook"/>
        </w:rPr>
        <w:t xml:space="preserve">In this case, the overall transaction was </w:t>
      </w:r>
      <w:r w:rsidRPr="00283C20" w:rsidR="00FD1B8D">
        <w:rPr>
          <w:rFonts w:ascii="Century Schoolbook" w:hAnsi="Century Schoolbook"/>
        </w:rPr>
        <w:t>plaintiff</w:t>
      </w:r>
      <w:r w:rsidR="00E6238B">
        <w:rPr>
          <w:rFonts w:ascii="Century Schoolbook" w:hAnsi="Century Schoolbook"/>
        </w:rPr>
        <w:t>’s</w:t>
      </w:r>
      <w:r w:rsidRPr="00283C20" w:rsidR="00FD1B8D">
        <w:rPr>
          <w:rFonts w:ascii="Century Schoolbook" w:hAnsi="Century Schoolbook"/>
        </w:rPr>
        <w:t xml:space="preserve"> </w:t>
      </w:r>
      <w:r w:rsidRPr="00283C20" w:rsidR="00E640F0">
        <w:rPr>
          <w:rFonts w:ascii="Century Schoolbook" w:hAnsi="Century Schoolbook"/>
        </w:rPr>
        <w:t>signing</w:t>
      </w:r>
      <w:r w:rsidR="00E6238B">
        <w:rPr>
          <w:rFonts w:ascii="Century Schoolbook" w:hAnsi="Century Schoolbook"/>
        </w:rPr>
        <w:t xml:space="preserve"> of</w:t>
      </w:r>
      <w:r w:rsidRPr="00283C20" w:rsidR="00FD1B8D">
        <w:rPr>
          <w:rFonts w:ascii="Century Schoolbook" w:hAnsi="Century Schoolbook"/>
        </w:rPr>
        <w:t xml:space="preserve"> </w:t>
      </w:r>
      <w:r w:rsidRPr="00283C20" w:rsidR="005F04AD">
        <w:rPr>
          <w:rFonts w:ascii="Century Schoolbook" w:hAnsi="Century Schoolbook"/>
        </w:rPr>
        <w:t xml:space="preserve">a release of liability </w:t>
      </w:r>
      <w:r w:rsidR="00241CCC">
        <w:rPr>
          <w:rFonts w:ascii="Century Schoolbook" w:hAnsi="Century Schoolbook"/>
        </w:rPr>
        <w:t>so that he could</w:t>
      </w:r>
      <w:r w:rsidRPr="00283C20" w:rsidR="00FD1B8D">
        <w:rPr>
          <w:rFonts w:ascii="Century Schoolbook" w:hAnsi="Century Schoolbook"/>
        </w:rPr>
        <w:t xml:space="preserve"> </w:t>
      </w:r>
      <w:r w:rsidRPr="00283C20" w:rsidR="005F04AD">
        <w:rPr>
          <w:rFonts w:ascii="Century Schoolbook" w:hAnsi="Century Schoolbook"/>
        </w:rPr>
        <w:t>participat</w:t>
      </w:r>
      <w:r w:rsidRPr="00283C20" w:rsidR="00FD1B8D">
        <w:rPr>
          <w:rFonts w:ascii="Century Schoolbook" w:hAnsi="Century Schoolbook"/>
        </w:rPr>
        <w:t>e</w:t>
      </w:r>
      <w:r w:rsidRPr="00283C20" w:rsidR="005F04AD">
        <w:rPr>
          <w:rFonts w:ascii="Century Schoolbook" w:hAnsi="Century Schoolbook"/>
        </w:rPr>
        <w:t xml:space="preserve"> in </w:t>
      </w:r>
      <w:r w:rsidR="0038541F">
        <w:rPr>
          <w:rFonts w:ascii="Century Schoolbook" w:hAnsi="Century Schoolbook"/>
        </w:rPr>
        <w:t>the AIDS LifeCycle</w:t>
      </w:r>
      <w:r w:rsidRPr="00283C20" w:rsidR="005F04AD">
        <w:rPr>
          <w:rFonts w:ascii="Century Schoolbook" w:hAnsi="Century Schoolbook"/>
        </w:rPr>
        <w:t xml:space="preserve"> </w:t>
      </w:r>
      <w:r w:rsidR="000E2DF9">
        <w:rPr>
          <w:rFonts w:ascii="Century Schoolbook" w:hAnsi="Century Schoolbook"/>
        </w:rPr>
        <w:t>fundrais</w:t>
      </w:r>
      <w:r w:rsidR="0038541F">
        <w:rPr>
          <w:rFonts w:ascii="Century Schoolbook" w:hAnsi="Century Schoolbook"/>
        </w:rPr>
        <w:t>er</w:t>
      </w:r>
      <w:r w:rsidRPr="00283C20" w:rsidR="00FD1B8D">
        <w:rPr>
          <w:rFonts w:ascii="Century Schoolbook" w:hAnsi="Century Schoolbook"/>
        </w:rPr>
        <w:t xml:space="preserve"> </w:t>
      </w:r>
      <w:r w:rsidR="0038541F">
        <w:rPr>
          <w:rFonts w:ascii="Century Schoolbook" w:hAnsi="Century Schoolbook"/>
        </w:rPr>
        <w:t>and its organized</w:t>
      </w:r>
      <w:r w:rsidR="000E2DF9">
        <w:rPr>
          <w:rFonts w:ascii="Century Schoolbook" w:hAnsi="Century Schoolbook"/>
        </w:rPr>
        <w:t xml:space="preserve"> training rides </w:t>
      </w:r>
      <w:r w:rsidRPr="00283C20" w:rsidR="00FD1B8D">
        <w:rPr>
          <w:rFonts w:ascii="Century Schoolbook" w:hAnsi="Century Schoolbook"/>
        </w:rPr>
        <w:t xml:space="preserve">on </w:t>
      </w:r>
      <w:r w:rsidR="000E2DF9">
        <w:rPr>
          <w:rFonts w:ascii="Century Schoolbook" w:hAnsi="Century Schoolbook"/>
        </w:rPr>
        <w:t>defendant’s</w:t>
      </w:r>
      <w:r w:rsidRPr="00283C20" w:rsidR="00FD1B8D">
        <w:rPr>
          <w:rFonts w:ascii="Century Schoolbook" w:hAnsi="Century Schoolbook"/>
        </w:rPr>
        <w:t xml:space="preserve"> streets</w:t>
      </w:r>
      <w:r w:rsidRPr="00283C20" w:rsidR="005F04AD">
        <w:rPr>
          <w:rFonts w:ascii="Century Schoolbook" w:hAnsi="Century Schoolbook"/>
        </w:rPr>
        <w:t>.</w:t>
      </w:r>
      <w:r w:rsidRPr="00283C20" w:rsidR="00F7719D">
        <w:rPr>
          <w:rFonts w:ascii="Century Schoolbook" w:hAnsi="Century Schoolbook"/>
        </w:rPr>
        <w:t xml:space="preserve">  We cannot</w:t>
      </w:r>
      <w:r w:rsidRPr="00283C20" w:rsidR="00BB2527">
        <w:rPr>
          <w:rFonts w:ascii="Century Schoolbook" w:hAnsi="Century Schoolbook"/>
        </w:rPr>
        <w:t>,</w:t>
      </w:r>
      <w:r w:rsidRPr="00283C20" w:rsidR="00F7719D">
        <w:rPr>
          <w:rFonts w:ascii="Century Schoolbook" w:hAnsi="Century Schoolbook"/>
        </w:rPr>
        <w:t xml:space="preserve"> </w:t>
      </w:r>
      <w:r w:rsidRPr="00283C20" w:rsidR="00BB2527">
        <w:rPr>
          <w:rFonts w:ascii="Century Schoolbook" w:hAnsi="Century Schoolbook"/>
        </w:rPr>
        <w:t xml:space="preserve">as </w:t>
      </w:r>
      <w:r w:rsidR="000E2DF9">
        <w:rPr>
          <w:rFonts w:ascii="Century Schoolbook" w:hAnsi="Century Schoolbook"/>
        </w:rPr>
        <w:t>plaintiff</w:t>
      </w:r>
      <w:r w:rsidRPr="00283C20" w:rsidR="00BB2527">
        <w:rPr>
          <w:rFonts w:ascii="Century Schoolbook" w:hAnsi="Century Schoolbook"/>
        </w:rPr>
        <w:t xml:space="preserve"> urges, </w:t>
      </w:r>
      <w:r w:rsidRPr="00283C20" w:rsidR="00F7719D">
        <w:rPr>
          <w:rFonts w:ascii="Century Schoolbook" w:hAnsi="Century Schoolbook"/>
        </w:rPr>
        <w:t xml:space="preserve">ignore </w:t>
      </w:r>
      <w:r w:rsidRPr="00283C20" w:rsidR="000A1D4B">
        <w:rPr>
          <w:rFonts w:ascii="Century Schoolbook" w:hAnsi="Century Schoolbook"/>
        </w:rPr>
        <w:t>this</w:t>
      </w:r>
      <w:r w:rsidRPr="00283C20" w:rsidR="00F7719D">
        <w:rPr>
          <w:rFonts w:ascii="Century Schoolbook" w:hAnsi="Century Schoolbook"/>
        </w:rPr>
        <w:t xml:space="preserve"> aspect of this case</w:t>
      </w:r>
      <w:r w:rsidRPr="00283C20" w:rsidR="00165BFE">
        <w:rPr>
          <w:rFonts w:ascii="Century Schoolbook" w:hAnsi="Century Schoolbook"/>
        </w:rPr>
        <w:t>.</w:t>
      </w:r>
      <w:r w:rsidR="008C2532">
        <w:rPr>
          <w:rFonts w:ascii="Century Schoolbook" w:hAnsi="Century Schoolbook"/>
        </w:rPr>
        <w:t xml:space="preserve"> </w:t>
      </w:r>
      <w:r w:rsidRPr="00283C20" w:rsidR="00165BFE">
        <w:rPr>
          <w:rFonts w:ascii="Century Schoolbook" w:hAnsi="Century Schoolbook"/>
        </w:rPr>
        <w:t xml:space="preserve"> </w:t>
      </w:r>
      <w:r w:rsidR="00E6238B">
        <w:rPr>
          <w:rFonts w:ascii="Century Schoolbook" w:hAnsi="Century Schoolbook"/>
        </w:rPr>
        <w:t>Likewise, it cannot reasonably</w:t>
      </w:r>
      <w:r w:rsidR="005E4FA8">
        <w:rPr>
          <w:rFonts w:ascii="Century Schoolbook" w:hAnsi="Century Schoolbook"/>
        </w:rPr>
        <w:t xml:space="preserve"> be</w:t>
      </w:r>
      <w:r w:rsidR="00E6238B">
        <w:rPr>
          <w:rFonts w:ascii="Century Schoolbook" w:hAnsi="Century Schoolbook"/>
        </w:rPr>
        <w:t xml:space="preserve"> concluded</w:t>
      </w:r>
      <w:r w:rsidRPr="00283C20" w:rsidR="008B1CD0">
        <w:rPr>
          <w:rFonts w:ascii="Century Schoolbook" w:hAnsi="Century Schoolbook"/>
        </w:rPr>
        <w:t xml:space="preserve"> that</w:t>
      </w:r>
      <w:r w:rsidRPr="00283C20" w:rsidR="000A1D4B">
        <w:rPr>
          <w:rFonts w:ascii="Century Schoolbook" w:hAnsi="Century Schoolbook"/>
        </w:rPr>
        <w:t xml:space="preserve"> </w:t>
      </w:r>
      <w:r w:rsidR="000E2DF9">
        <w:rPr>
          <w:rFonts w:ascii="Century Schoolbook" w:hAnsi="Century Schoolbook"/>
        </w:rPr>
        <w:t>a cycling fundraiser</w:t>
      </w:r>
      <w:r w:rsidRPr="00283C20" w:rsidR="000A1D4B">
        <w:rPr>
          <w:rFonts w:ascii="Century Schoolbook" w:hAnsi="Century Schoolbook"/>
        </w:rPr>
        <w:t xml:space="preserve"> is an </w:t>
      </w:r>
      <w:r w:rsidRPr="00283C20" w:rsidR="00EB4D59">
        <w:rPr>
          <w:rFonts w:ascii="Century Schoolbook" w:hAnsi="Century Schoolbook"/>
        </w:rPr>
        <w:t xml:space="preserve">essential service </w:t>
      </w:r>
      <w:r w:rsidR="008C2532">
        <w:rPr>
          <w:rFonts w:ascii="Century Schoolbook" w:hAnsi="Century Schoolbook"/>
        </w:rPr>
        <w:t>such that plaintiff was robbed</w:t>
      </w:r>
      <w:r w:rsidRPr="00283C20" w:rsidR="00DD53DC">
        <w:rPr>
          <w:rFonts w:ascii="Century Schoolbook" w:hAnsi="Century Schoolbook"/>
        </w:rPr>
        <w:t xml:space="preserve"> of his free will in deciding whether to sign the release.  </w:t>
      </w:r>
      <w:r w:rsidR="00E6238B">
        <w:rPr>
          <w:rFonts w:ascii="Century Schoolbook" w:hAnsi="Century Schoolbook"/>
        </w:rPr>
        <w:t xml:space="preserve">As </w:t>
      </w:r>
      <w:r w:rsidRPr="00601F5D" w:rsidR="00E6238B">
        <w:rPr>
          <w:rFonts w:ascii="Century Schoolbook" w:hAnsi="Century Schoolbook"/>
          <w:i/>
          <w:iCs/>
        </w:rPr>
        <w:t>Okura</w:t>
      </w:r>
      <w:r w:rsidR="00E6238B">
        <w:rPr>
          <w:rFonts w:ascii="Century Schoolbook" w:hAnsi="Century Schoolbook"/>
        </w:rPr>
        <w:t xml:space="preserve"> explained, </w:t>
      </w:r>
      <w:r w:rsidRPr="00283C20" w:rsidR="0024685E">
        <w:rPr>
          <w:rFonts w:ascii="Century Schoolbook" w:hAnsi="Century Schoolbook"/>
        </w:rPr>
        <w:t>“</w:t>
      </w:r>
      <w:r w:rsidRPr="00283C20" w:rsidR="00446032">
        <w:rPr>
          <w:rFonts w:ascii="Century Schoolbook" w:hAnsi="Century Schoolbook"/>
        </w:rPr>
        <w:t xml:space="preserve">People </w:t>
      </w:r>
      <w:r w:rsidRPr="00283C20" w:rsidR="0024685E">
        <w:rPr>
          <w:rFonts w:ascii="Century Schoolbook" w:hAnsi="Century Schoolbook"/>
        </w:rPr>
        <w:t xml:space="preserve">are not compelled to enter the event but are merely invited to take part.  If they desire to take part, they are required to sign the entry and release form. </w:t>
      </w:r>
      <w:r w:rsidRPr="00283C20" w:rsidR="00D46FA8">
        <w:rPr>
          <w:rFonts w:ascii="Century Schoolbook" w:hAnsi="Century Schoolbook"/>
        </w:rPr>
        <w:t xml:space="preserve"> </w:t>
      </w:r>
      <w:r w:rsidRPr="00283C20" w:rsidR="0024685E">
        <w:rPr>
          <w:rFonts w:ascii="Century Schoolbook" w:hAnsi="Century Schoolbook"/>
        </w:rPr>
        <w:t>The relative bargaining strengths of the parties does not come into play absent a compelling public interest in the transaction</w:t>
      </w:r>
      <w:r w:rsidRPr="00283C20" w:rsidR="00446032">
        <w:rPr>
          <w:rFonts w:ascii="Century Schoolbook" w:hAnsi="Century Schoolbook"/>
        </w:rPr>
        <w:t>.</w:t>
      </w:r>
      <w:r w:rsidRPr="00283C20" w:rsidR="0024685E">
        <w:rPr>
          <w:rFonts w:ascii="Century Schoolbook" w:hAnsi="Century Schoolbook"/>
        </w:rPr>
        <w:t>”</w:t>
      </w:r>
      <w:r w:rsidR="00E6238B">
        <w:rPr>
          <w:rFonts w:ascii="Century Schoolbook" w:hAnsi="Century Schoolbook"/>
        </w:rPr>
        <w:t xml:space="preserve">  (</w:t>
      </w:r>
      <w:r w:rsidRPr="00283C20" w:rsidR="00E6238B">
        <w:rPr>
          <w:rFonts w:ascii="Century Schoolbook" w:hAnsi="Century Schoolbook"/>
          <w:i/>
          <w:iCs/>
        </w:rPr>
        <w:t>Okura</w:t>
      </w:r>
      <w:r w:rsidRPr="00283C20" w:rsidR="00E6238B">
        <w:rPr>
          <w:rFonts w:ascii="Century Schoolbook" w:hAnsi="Century Schoolbook"/>
        </w:rPr>
        <w:t xml:space="preserve">, </w:t>
      </w:r>
      <w:r w:rsidRPr="00283C20" w:rsidR="00E6238B">
        <w:rPr>
          <w:rFonts w:ascii="Century Schoolbook" w:hAnsi="Century Schoolbook"/>
          <w:i/>
          <w:iCs/>
        </w:rPr>
        <w:t>supra</w:t>
      </w:r>
      <w:r w:rsidRPr="00283C20" w:rsidR="00E6238B">
        <w:rPr>
          <w:rFonts w:ascii="Century Schoolbook" w:hAnsi="Century Schoolbook"/>
        </w:rPr>
        <w:t>, 186 Cal.App.3d at p. 1468</w:t>
      </w:r>
      <w:r w:rsidR="00E6238B">
        <w:rPr>
          <w:rFonts w:ascii="Century Schoolbook" w:hAnsi="Century Schoolbook"/>
        </w:rPr>
        <w:t>; see</w:t>
      </w:r>
      <w:r w:rsidRPr="00283C20" w:rsidR="00D74FD5">
        <w:rPr>
          <w:rFonts w:ascii="Century Schoolbook" w:hAnsi="Century Schoolbook"/>
        </w:rPr>
        <w:t xml:space="preserve"> </w:t>
      </w:r>
      <w:r w:rsidRPr="00283C20" w:rsidR="00A72870">
        <w:rPr>
          <w:rFonts w:ascii="Century Schoolbook" w:hAnsi="Century Schoolbook"/>
          <w:i/>
          <w:iCs/>
        </w:rPr>
        <w:t>Hass</w:t>
      </w:r>
      <w:r w:rsidRPr="00283C20" w:rsidR="00A72870">
        <w:rPr>
          <w:rFonts w:ascii="Century Schoolbook" w:hAnsi="Century Schoolbook"/>
        </w:rPr>
        <w:t xml:space="preserve">, </w:t>
      </w:r>
      <w:r w:rsidRPr="00283C20" w:rsidR="00A72870">
        <w:rPr>
          <w:rFonts w:ascii="Century Schoolbook" w:hAnsi="Century Schoolbook"/>
          <w:i/>
          <w:iCs/>
        </w:rPr>
        <w:t>supra</w:t>
      </w:r>
      <w:r w:rsidRPr="00283C20" w:rsidR="00A72870">
        <w:rPr>
          <w:rFonts w:ascii="Century Schoolbook" w:hAnsi="Century Schoolbook"/>
        </w:rPr>
        <w:t>, 26 Cal.App.5th at p. </w:t>
      </w:r>
      <w:r w:rsidRPr="00283C20" w:rsidR="00D74FD5">
        <w:rPr>
          <w:rFonts w:ascii="Century Schoolbook" w:hAnsi="Century Schoolbook"/>
        </w:rPr>
        <w:t xml:space="preserve">31 [“half marathons are not an activity of great importance to the general public and are certainly not a matter of necessity. </w:t>
      </w:r>
      <w:r w:rsidRPr="00283C20" w:rsidR="00F5397C">
        <w:rPr>
          <w:rFonts w:ascii="Century Schoolbook" w:hAnsi="Century Schoolbook"/>
        </w:rPr>
        <w:t xml:space="preserve"> </w:t>
      </w:r>
      <w:r w:rsidRPr="00283C20" w:rsidR="00D74FD5">
        <w:rPr>
          <w:rFonts w:ascii="Century Schoolbook" w:hAnsi="Century Schoolbook"/>
        </w:rPr>
        <w:t>No racer is required to enter a particular event or to run it in any particular way</w:t>
      </w:r>
      <w:r w:rsidRPr="00283C20" w:rsidR="00446032">
        <w:rPr>
          <w:rFonts w:ascii="Century Schoolbook" w:hAnsi="Century Schoolbook"/>
        </w:rPr>
        <w:t>.</w:t>
      </w:r>
      <w:r w:rsidRPr="00283C20" w:rsidR="00D74FD5">
        <w:rPr>
          <w:rFonts w:ascii="Century Schoolbook" w:hAnsi="Century Schoolbook"/>
        </w:rPr>
        <w:t>”]</w:t>
      </w:r>
      <w:r w:rsidRPr="00283C20" w:rsidR="00A72870">
        <w:rPr>
          <w:rFonts w:ascii="Century Schoolbook" w:hAnsi="Century Schoolbook"/>
        </w:rPr>
        <w:t xml:space="preserve">.) </w:t>
      </w:r>
    </w:p>
    <w:p w:rsidR="00054B6B" w:rsidRPr="00283C20" w:rsidP="004D277C" w14:paraId="358D82A1" w14:textId="19C0C607">
      <w:pPr>
        <w:spacing w:line="360" w:lineRule="auto"/>
        <w:rPr>
          <w:rFonts w:ascii="Century Schoolbook" w:hAnsi="Century Schoolbook"/>
        </w:rPr>
      </w:pPr>
      <w:r w:rsidRPr="00283C20">
        <w:rPr>
          <w:rFonts w:ascii="Century Schoolbook" w:hAnsi="Century Schoolbook"/>
        </w:rPr>
        <w:tab/>
        <w:t xml:space="preserve">Plaintiff contends </w:t>
      </w:r>
      <w:r w:rsidRPr="00283C20" w:rsidR="00DC7F60">
        <w:rPr>
          <w:rFonts w:ascii="Century Schoolbook" w:hAnsi="Century Schoolbook"/>
        </w:rPr>
        <w:t>“</w:t>
      </w:r>
      <w:r w:rsidRPr="00283C20">
        <w:rPr>
          <w:rFonts w:ascii="Century Schoolbook" w:hAnsi="Century Schoolbook"/>
        </w:rPr>
        <w:t>anomalous results</w:t>
      </w:r>
      <w:r w:rsidRPr="00283C20" w:rsidR="00DC7F60">
        <w:rPr>
          <w:rFonts w:ascii="Century Schoolbook" w:hAnsi="Century Schoolbook"/>
        </w:rPr>
        <w:t>”</w:t>
      </w:r>
      <w:r w:rsidRPr="00283C20">
        <w:rPr>
          <w:rFonts w:ascii="Century Schoolbook" w:hAnsi="Century Schoolbook"/>
        </w:rPr>
        <w:t xml:space="preserve"> would </w:t>
      </w:r>
      <w:r w:rsidRPr="00283C20" w:rsidR="00DC7F60">
        <w:rPr>
          <w:rFonts w:ascii="Century Schoolbook" w:hAnsi="Century Schoolbook"/>
        </w:rPr>
        <w:t>result</w:t>
      </w:r>
      <w:r w:rsidRPr="00283C20">
        <w:rPr>
          <w:rFonts w:ascii="Century Schoolbook" w:hAnsi="Century Schoolbook"/>
        </w:rPr>
        <w:t xml:space="preserve"> if “one who provides a service that does </w:t>
      </w:r>
      <w:r w:rsidRPr="00653832">
        <w:rPr>
          <w:rFonts w:ascii="Century Schoolbook" w:hAnsi="Century Schoolbook"/>
        </w:rPr>
        <w:t>not</w:t>
      </w:r>
      <w:r w:rsidRPr="00283C20">
        <w:rPr>
          <w:rFonts w:ascii="Century Schoolbook" w:hAnsi="Century Schoolbook"/>
        </w:rPr>
        <w:t xml:space="preserve"> involve a public interest could require a consumer to exempt from liability another who provides a service that does involve such an interest</w:t>
      </w:r>
      <w:r w:rsidRPr="00283C20" w:rsidR="00DC7F60">
        <w:rPr>
          <w:rFonts w:ascii="Century Schoolbook" w:hAnsi="Century Schoolbook"/>
        </w:rPr>
        <w:t>.</w:t>
      </w:r>
      <w:r w:rsidR="00151C2E">
        <w:rPr>
          <w:rFonts w:ascii="Century Schoolbook" w:hAnsi="Century Schoolbook"/>
        </w:rPr>
        <w:t xml:space="preserve">”  </w:t>
      </w:r>
      <w:r w:rsidRPr="00283C20" w:rsidR="004D277C">
        <w:rPr>
          <w:rFonts w:ascii="Century Schoolbook" w:hAnsi="Century Schoolbook"/>
        </w:rPr>
        <w:t>“</w:t>
      </w:r>
      <w:r w:rsidRPr="00283C20" w:rsidR="00DC7F60">
        <w:rPr>
          <w:rFonts w:ascii="Century Schoolbook" w:hAnsi="Century Schoolbook"/>
        </w:rPr>
        <w:t>By parity of reasoning,</w:t>
      </w:r>
      <w:r w:rsidR="000E2DF9">
        <w:rPr>
          <w:rFonts w:ascii="Century Schoolbook" w:hAnsi="Century Schoolbook"/>
        </w:rPr>
        <w:t xml:space="preserve">” plaintiff </w:t>
      </w:r>
      <w:r w:rsidR="000F5F05">
        <w:rPr>
          <w:rFonts w:ascii="Century Schoolbook" w:hAnsi="Century Schoolbook"/>
        </w:rPr>
        <w:t>asserts</w:t>
      </w:r>
      <w:r w:rsidR="000E2DF9">
        <w:rPr>
          <w:rFonts w:ascii="Century Schoolbook" w:hAnsi="Century Schoolbook"/>
        </w:rPr>
        <w:t>,</w:t>
      </w:r>
      <w:r w:rsidRPr="00283C20" w:rsidR="00DC7F60">
        <w:rPr>
          <w:rFonts w:ascii="Century Schoolbook" w:hAnsi="Century Schoolbook"/>
        </w:rPr>
        <w:t xml:space="preserve"> </w:t>
      </w:r>
      <w:r w:rsidR="000E2DF9">
        <w:rPr>
          <w:rFonts w:ascii="Century Schoolbook" w:hAnsi="Century Schoolbook"/>
        </w:rPr>
        <w:t>“</w:t>
      </w:r>
      <w:r w:rsidRPr="00283C20" w:rsidR="00DC7F60">
        <w:rPr>
          <w:rFonts w:ascii="Century Schoolbook" w:hAnsi="Century Schoolbook"/>
        </w:rPr>
        <w:t xml:space="preserve">the converse would also be true:  </w:t>
      </w:r>
      <w:r w:rsidRPr="00283C20" w:rsidR="004D277C">
        <w:rPr>
          <w:rFonts w:ascii="Century Schoolbook" w:hAnsi="Century Schoolbook"/>
        </w:rPr>
        <w:t>a provider of a service that did not involve a public interest would be entitled to enforce an exemption from liability in its own contract but would be precluded from enforcing it if it was contained in the contract of a provider of a service that did involve a public interest.”</w:t>
      </w:r>
      <w:r w:rsidRPr="00283C20" w:rsidR="00AD404E">
        <w:rPr>
          <w:rFonts w:ascii="Century Schoolbook" w:hAnsi="Century Schoolbook"/>
        </w:rPr>
        <w:t xml:space="preserve"> </w:t>
      </w:r>
      <w:r w:rsidR="00A430FE">
        <w:rPr>
          <w:rFonts w:ascii="Century Schoolbook" w:hAnsi="Century Schoolbook"/>
        </w:rPr>
        <w:t>(</w:t>
      </w:r>
      <w:r w:rsidR="009B2264">
        <w:rPr>
          <w:rFonts w:ascii="Century Schoolbook" w:hAnsi="Century Schoolbook"/>
        </w:rPr>
        <w:t>I</w:t>
      </w:r>
      <w:r w:rsidR="00A430FE">
        <w:rPr>
          <w:rFonts w:ascii="Century Schoolbook" w:hAnsi="Century Schoolbook"/>
        </w:rPr>
        <w:t>talics omitted.)</w:t>
      </w:r>
      <w:r w:rsidRPr="00283C20" w:rsidR="00AD404E">
        <w:rPr>
          <w:rFonts w:ascii="Century Schoolbook" w:hAnsi="Century Schoolbook"/>
        </w:rPr>
        <w:t xml:space="preserve"> </w:t>
      </w:r>
      <w:r w:rsidR="0038541F">
        <w:rPr>
          <w:rFonts w:ascii="Century Schoolbook" w:hAnsi="Century Schoolbook"/>
        </w:rPr>
        <w:t xml:space="preserve"> </w:t>
      </w:r>
      <w:r w:rsidRPr="00283C20" w:rsidR="006B18C0">
        <w:rPr>
          <w:rFonts w:ascii="Century Schoolbook" w:hAnsi="Century Schoolbook"/>
        </w:rPr>
        <w:t xml:space="preserve">To the extent plaintiff </w:t>
      </w:r>
      <w:r w:rsidR="00D526B8">
        <w:rPr>
          <w:rFonts w:ascii="Century Schoolbook" w:hAnsi="Century Schoolbook"/>
        </w:rPr>
        <w:t>offers</w:t>
      </w:r>
      <w:r w:rsidRPr="00283C20" w:rsidR="006B18C0">
        <w:rPr>
          <w:rFonts w:ascii="Century Schoolbook" w:hAnsi="Century Schoolbook"/>
        </w:rPr>
        <w:t xml:space="preserve"> </w:t>
      </w:r>
      <w:r w:rsidR="0038541F">
        <w:rPr>
          <w:rFonts w:ascii="Century Schoolbook" w:hAnsi="Century Schoolbook"/>
        </w:rPr>
        <w:t xml:space="preserve">anomalous </w:t>
      </w:r>
      <w:r w:rsidRPr="00283C20" w:rsidR="006B18C0">
        <w:rPr>
          <w:rFonts w:ascii="Century Schoolbook" w:hAnsi="Century Schoolbook"/>
        </w:rPr>
        <w:t>hypothetical situations to support his point, we are unpersuaded.  We look only to the facts before us</w:t>
      </w:r>
      <w:r w:rsidRPr="00283C20" w:rsidR="00FD0578">
        <w:rPr>
          <w:rFonts w:ascii="Century Schoolbook" w:hAnsi="Century Schoolbook"/>
        </w:rPr>
        <w:t xml:space="preserve">, </w:t>
      </w:r>
      <w:r w:rsidR="00A97791">
        <w:rPr>
          <w:rFonts w:ascii="Century Schoolbook" w:hAnsi="Century Schoolbook"/>
        </w:rPr>
        <w:t>bearing in mind that</w:t>
      </w:r>
      <w:r w:rsidRPr="00283C20" w:rsidR="006B18C0">
        <w:rPr>
          <w:rFonts w:ascii="Century Schoolbook" w:hAnsi="Century Schoolbook"/>
        </w:rPr>
        <w:t xml:space="preserve"> “</w:t>
      </w:r>
      <w:r w:rsidRPr="00283C20" w:rsidR="006B18C0">
        <w:rPr>
          <w:rFonts w:ascii="Century Schoolbook" w:hAnsi="Century Schoolbook"/>
          <w:i/>
          <w:iCs/>
        </w:rPr>
        <w:t>Tunkl’s</w:t>
      </w:r>
      <w:r w:rsidRPr="00283C20" w:rsidR="006B18C0">
        <w:rPr>
          <w:rFonts w:ascii="Century Schoolbook" w:hAnsi="Century Schoolbook"/>
        </w:rPr>
        <w:t xml:space="preserve"> public interest analysis focuses upon the overall transaction.”  (</w:t>
      </w:r>
      <w:r w:rsidRPr="00283C20" w:rsidR="006B18C0">
        <w:rPr>
          <w:rFonts w:ascii="Century Schoolbook" w:hAnsi="Century Schoolbook"/>
          <w:i/>
          <w:iCs/>
        </w:rPr>
        <w:t>City of Santa Barbara</w:t>
      </w:r>
      <w:r w:rsidRPr="00283C20" w:rsidR="006B18C0">
        <w:rPr>
          <w:rFonts w:ascii="Century Schoolbook" w:hAnsi="Century Schoolbook"/>
        </w:rPr>
        <w:t xml:space="preserve">, </w:t>
      </w:r>
      <w:r w:rsidRPr="00283C20" w:rsidR="006B18C0">
        <w:rPr>
          <w:rFonts w:ascii="Century Schoolbook" w:hAnsi="Century Schoolbook"/>
          <w:i/>
          <w:iCs/>
        </w:rPr>
        <w:t>supra</w:t>
      </w:r>
      <w:r w:rsidRPr="00283C20" w:rsidR="006B18C0">
        <w:rPr>
          <w:rFonts w:ascii="Century Schoolbook" w:hAnsi="Century Schoolbook"/>
        </w:rPr>
        <w:t>, 41 Cal.4th at p. 762.)</w:t>
      </w:r>
    </w:p>
    <w:p w:rsidR="00FE0ABE" w:rsidRPr="00283C20" w:rsidP="000702EF" w14:paraId="662F8B32" w14:textId="58406750">
      <w:pPr>
        <w:spacing w:line="360" w:lineRule="auto"/>
        <w:rPr>
          <w:rFonts w:ascii="Century Schoolbook" w:hAnsi="Century Schoolbook"/>
        </w:rPr>
      </w:pPr>
      <w:r w:rsidRPr="00283C20">
        <w:rPr>
          <w:rFonts w:ascii="Century Schoolbook" w:hAnsi="Century Schoolbook"/>
        </w:rPr>
        <w:tab/>
      </w:r>
      <w:r w:rsidRPr="00283C20" w:rsidR="004568A3">
        <w:rPr>
          <w:rFonts w:ascii="Century Schoolbook" w:hAnsi="Century Schoolbook"/>
        </w:rPr>
        <w:t xml:space="preserve">Plaintiff </w:t>
      </w:r>
      <w:r w:rsidRPr="00283C20" w:rsidR="00473947">
        <w:rPr>
          <w:rFonts w:ascii="Century Schoolbook" w:hAnsi="Century Schoolbook"/>
        </w:rPr>
        <w:t>contends</w:t>
      </w:r>
      <w:r w:rsidRPr="00283C20" w:rsidR="004568A3">
        <w:rPr>
          <w:rFonts w:ascii="Century Schoolbook" w:hAnsi="Century Schoolbook"/>
        </w:rPr>
        <w:t xml:space="preserve"> </w:t>
      </w:r>
      <w:r w:rsidRPr="00283C20" w:rsidR="004568A3">
        <w:rPr>
          <w:rFonts w:ascii="Century Schoolbook" w:hAnsi="Century Schoolbook"/>
          <w:i/>
          <w:iCs/>
        </w:rPr>
        <w:t>Okura</w:t>
      </w:r>
      <w:r w:rsidRPr="00283C20" w:rsidR="001A681D">
        <w:rPr>
          <w:rFonts w:ascii="Century Schoolbook" w:hAnsi="Century Schoolbook"/>
        </w:rPr>
        <w:t xml:space="preserve"> </w:t>
      </w:r>
      <w:r w:rsidRPr="00283C20" w:rsidR="00473947">
        <w:rPr>
          <w:rFonts w:ascii="Century Schoolbook" w:hAnsi="Century Schoolbook"/>
        </w:rPr>
        <w:t>is</w:t>
      </w:r>
      <w:r w:rsidRPr="00283C20" w:rsidR="00870BD6">
        <w:rPr>
          <w:rFonts w:ascii="Century Schoolbook" w:hAnsi="Century Schoolbook"/>
        </w:rPr>
        <w:t xml:space="preserve"> factually</w:t>
      </w:r>
      <w:r w:rsidRPr="00283C20" w:rsidR="00473947">
        <w:rPr>
          <w:rFonts w:ascii="Century Schoolbook" w:hAnsi="Century Schoolbook"/>
        </w:rPr>
        <w:t xml:space="preserve"> distinguishable because it involved a competitive race on a closed course, and both the organizers and the </w:t>
      </w:r>
      <w:r w:rsidR="0049644A">
        <w:rPr>
          <w:rFonts w:ascii="Century Schoolbook" w:hAnsi="Century Schoolbook"/>
        </w:rPr>
        <w:t>C</w:t>
      </w:r>
      <w:r w:rsidRPr="00283C20" w:rsidR="00473947">
        <w:rPr>
          <w:rFonts w:ascii="Century Schoolbook" w:hAnsi="Century Schoolbook"/>
        </w:rPr>
        <w:t>ity</w:t>
      </w:r>
      <w:r w:rsidR="0049644A">
        <w:rPr>
          <w:rFonts w:ascii="Century Schoolbook" w:hAnsi="Century Schoolbook"/>
        </w:rPr>
        <w:t xml:space="preserve"> of Hermosa Beach</w:t>
      </w:r>
      <w:r w:rsidRPr="00283C20" w:rsidR="00473947">
        <w:rPr>
          <w:rFonts w:ascii="Century Schoolbook" w:hAnsi="Century Schoolbook"/>
        </w:rPr>
        <w:t xml:space="preserve"> were sued for </w:t>
      </w:r>
      <w:r w:rsidRPr="00283C20" w:rsidR="00321A8A">
        <w:rPr>
          <w:rFonts w:ascii="Century Schoolbook" w:hAnsi="Century Schoolbook"/>
        </w:rPr>
        <w:t xml:space="preserve">alleged negligence in the preparation and maintenance </w:t>
      </w:r>
      <w:r w:rsidRPr="00BE0329" w:rsidR="00321A8A">
        <w:rPr>
          <w:rFonts w:ascii="Century Schoolbook" w:hAnsi="Century Schoolbook"/>
          <w:i/>
          <w:iCs/>
        </w:rPr>
        <w:t>of the course</w:t>
      </w:r>
      <w:r w:rsidRPr="00283C20" w:rsidR="00473947">
        <w:rPr>
          <w:rFonts w:ascii="Century Schoolbook" w:hAnsi="Century Schoolbook"/>
        </w:rPr>
        <w:t xml:space="preserve">. </w:t>
      </w:r>
      <w:r w:rsidRPr="00283C20" w:rsidR="00321A8A">
        <w:rPr>
          <w:rFonts w:ascii="Century Schoolbook" w:hAnsi="Century Schoolbook"/>
        </w:rPr>
        <w:t xml:space="preserve"> </w:t>
      </w:r>
      <w:r w:rsidR="00A002EB">
        <w:rPr>
          <w:rFonts w:ascii="Century Schoolbook" w:hAnsi="Century Schoolbook"/>
        </w:rPr>
        <w:t>But p</w:t>
      </w:r>
      <w:r w:rsidRPr="00283C20" w:rsidR="000702EF">
        <w:rPr>
          <w:rFonts w:ascii="Century Schoolbook" w:hAnsi="Century Schoolbook"/>
        </w:rPr>
        <w:t>laintiff</w:t>
      </w:r>
      <w:r w:rsidRPr="00283C20" w:rsidR="00771CFF">
        <w:rPr>
          <w:rFonts w:ascii="Century Schoolbook" w:hAnsi="Century Schoolbook"/>
        </w:rPr>
        <w:t xml:space="preserve"> cannot </w:t>
      </w:r>
      <w:r w:rsidR="00CF17E9">
        <w:rPr>
          <w:rFonts w:ascii="Century Schoolbook" w:hAnsi="Century Schoolbook"/>
        </w:rPr>
        <w:t>escape</w:t>
      </w:r>
      <w:r w:rsidRPr="00283C20" w:rsidR="00771CFF">
        <w:rPr>
          <w:rFonts w:ascii="Century Schoolbook" w:hAnsi="Century Schoolbook"/>
        </w:rPr>
        <w:t xml:space="preserve"> the </w:t>
      </w:r>
      <w:r w:rsidRPr="00283C20" w:rsidR="00771CFF">
        <w:rPr>
          <w:rFonts w:ascii="Century Schoolbook" w:hAnsi="Century Schoolbook"/>
          <w:i/>
          <w:iCs/>
        </w:rPr>
        <w:t>Tunkl</w:t>
      </w:r>
      <w:r w:rsidRPr="00283C20" w:rsidR="00771CFF">
        <w:rPr>
          <w:rFonts w:ascii="Century Schoolbook" w:hAnsi="Century Schoolbook"/>
        </w:rPr>
        <w:t xml:space="preserve"> analysis</w:t>
      </w:r>
      <w:r w:rsidRPr="00283C20" w:rsidR="00DE5E33">
        <w:rPr>
          <w:rFonts w:ascii="Century Schoolbook" w:hAnsi="Century Schoolbook"/>
        </w:rPr>
        <w:t xml:space="preserve"> </w:t>
      </w:r>
      <w:r w:rsidRPr="00283C20" w:rsidR="00771CFF">
        <w:rPr>
          <w:rFonts w:ascii="Century Schoolbook" w:hAnsi="Century Schoolbook"/>
        </w:rPr>
        <w:t xml:space="preserve">by </w:t>
      </w:r>
      <w:r w:rsidR="0038541F">
        <w:rPr>
          <w:rFonts w:ascii="Century Schoolbook" w:hAnsi="Century Schoolbook"/>
        </w:rPr>
        <w:t xml:space="preserve">simply </w:t>
      </w:r>
      <w:r w:rsidR="00DF6194">
        <w:rPr>
          <w:rFonts w:ascii="Century Schoolbook" w:hAnsi="Century Schoolbook"/>
        </w:rPr>
        <w:t>focusing on</w:t>
      </w:r>
      <w:r w:rsidRPr="00283C20" w:rsidR="00771CFF">
        <w:rPr>
          <w:rFonts w:ascii="Century Schoolbook" w:hAnsi="Century Schoolbook"/>
        </w:rPr>
        <w:t xml:space="preserve"> defendant</w:t>
      </w:r>
      <w:r w:rsidR="005D1675">
        <w:rPr>
          <w:rFonts w:ascii="Century Schoolbook" w:hAnsi="Century Schoolbook"/>
        </w:rPr>
        <w:t>’s</w:t>
      </w:r>
      <w:r w:rsidRPr="00283C20" w:rsidR="00771CFF">
        <w:rPr>
          <w:rFonts w:ascii="Century Schoolbook" w:hAnsi="Century Schoolbook"/>
        </w:rPr>
        <w:t xml:space="preserve"> </w:t>
      </w:r>
      <w:r w:rsidR="005D1675">
        <w:rPr>
          <w:rFonts w:ascii="Century Schoolbook" w:hAnsi="Century Schoolbook"/>
        </w:rPr>
        <w:t xml:space="preserve">allegedly </w:t>
      </w:r>
      <w:r w:rsidRPr="00283C20" w:rsidR="00771CFF">
        <w:rPr>
          <w:rFonts w:ascii="Century Schoolbook" w:hAnsi="Century Schoolbook"/>
        </w:rPr>
        <w:t>negligent maint</w:t>
      </w:r>
      <w:r w:rsidR="005D1675">
        <w:rPr>
          <w:rFonts w:ascii="Century Schoolbook" w:hAnsi="Century Schoolbook"/>
        </w:rPr>
        <w:t>enance of</w:t>
      </w:r>
      <w:r w:rsidRPr="00283C20" w:rsidR="00771CFF">
        <w:rPr>
          <w:rFonts w:ascii="Century Schoolbook" w:hAnsi="Century Schoolbook"/>
        </w:rPr>
        <w:t xml:space="preserve"> </w:t>
      </w:r>
      <w:r w:rsidR="005D1675">
        <w:rPr>
          <w:rFonts w:ascii="Century Schoolbook" w:hAnsi="Century Schoolbook"/>
        </w:rPr>
        <w:t xml:space="preserve">a </w:t>
      </w:r>
      <w:r w:rsidRPr="00283C20" w:rsidR="00771CFF">
        <w:rPr>
          <w:rFonts w:ascii="Century Schoolbook" w:hAnsi="Century Schoolbook"/>
        </w:rPr>
        <w:t>public road</w:t>
      </w:r>
      <w:r w:rsidR="00A002EB">
        <w:rPr>
          <w:rFonts w:ascii="Century Schoolbook" w:hAnsi="Century Schoolbook"/>
        </w:rPr>
        <w:t xml:space="preserve"> and altogether ignoring that he signed the release to participate in a recreational event</w:t>
      </w:r>
      <w:r w:rsidR="00DF6194">
        <w:rPr>
          <w:rFonts w:ascii="Century Schoolbook" w:hAnsi="Century Schoolbook"/>
        </w:rPr>
        <w:t>.  Indeed, he is suing defendant for its</w:t>
      </w:r>
      <w:r w:rsidR="005D1675">
        <w:rPr>
          <w:rFonts w:ascii="Century Schoolbook" w:hAnsi="Century Schoolbook"/>
        </w:rPr>
        <w:t xml:space="preserve"> allegedly </w:t>
      </w:r>
      <w:r w:rsidRPr="00283C20" w:rsidR="00771CFF">
        <w:rPr>
          <w:rFonts w:ascii="Century Schoolbook" w:hAnsi="Century Schoolbook"/>
        </w:rPr>
        <w:t>negligent maint</w:t>
      </w:r>
      <w:r w:rsidR="005D1675">
        <w:rPr>
          <w:rFonts w:ascii="Century Schoolbook" w:hAnsi="Century Schoolbook"/>
        </w:rPr>
        <w:t>enance of</w:t>
      </w:r>
      <w:r w:rsidRPr="00283C20" w:rsidR="00771CFF">
        <w:rPr>
          <w:rFonts w:ascii="Century Schoolbook" w:hAnsi="Century Schoolbook"/>
        </w:rPr>
        <w:t xml:space="preserve"> </w:t>
      </w:r>
      <w:r w:rsidR="00D6541D">
        <w:rPr>
          <w:rFonts w:ascii="Century Schoolbook" w:hAnsi="Century Schoolbook"/>
        </w:rPr>
        <w:t>a public road that was</w:t>
      </w:r>
      <w:r w:rsidR="00DF6194">
        <w:rPr>
          <w:rFonts w:ascii="Century Schoolbook" w:hAnsi="Century Schoolbook"/>
        </w:rPr>
        <w:t xml:space="preserve"> specifically</w:t>
      </w:r>
      <w:r w:rsidR="00D6541D">
        <w:rPr>
          <w:rFonts w:ascii="Century Schoolbook" w:hAnsi="Century Schoolbook"/>
        </w:rPr>
        <w:t xml:space="preserve"> selected </w:t>
      </w:r>
      <w:r w:rsidR="00DF6194">
        <w:rPr>
          <w:rFonts w:ascii="Century Schoolbook" w:hAnsi="Century Schoolbook"/>
        </w:rPr>
        <w:t>as part of the</w:t>
      </w:r>
      <w:r w:rsidR="00D6541D">
        <w:rPr>
          <w:rFonts w:ascii="Century Schoolbook" w:hAnsi="Century Schoolbook"/>
        </w:rPr>
        <w:t xml:space="preserve"> AIDS LifeCycle </w:t>
      </w:r>
      <w:r w:rsidR="00DF6194">
        <w:rPr>
          <w:rFonts w:ascii="Century Schoolbook" w:hAnsi="Century Schoolbook"/>
        </w:rPr>
        <w:t xml:space="preserve">training system </w:t>
      </w:r>
      <w:r w:rsidR="00D6541D">
        <w:rPr>
          <w:rFonts w:ascii="Century Schoolbook" w:hAnsi="Century Schoolbook"/>
        </w:rPr>
        <w:t>for group training purposes</w:t>
      </w:r>
      <w:r w:rsidRPr="00283C20" w:rsidR="00771CFF">
        <w:rPr>
          <w:rFonts w:ascii="Century Schoolbook" w:hAnsi="Century Schoolbook"/>
        </w:rPr>
        <w:t>.</w:t>
      </w:r>
      <w:r w:rsidRPr="00283C20" w:rsidR="005C42E3">
        <w:rPr>
          <w:rFonts w:ascii="Century Schoolbook" w:hAnsi="Century Schoolbook"/>
        </w:rPr>
        <w:t xml:space="preserve"> </w:t>
      </w:r>
      <w:r w:rsidRPr="00283C20" w:rsidR="00DE5E33">
        <w:rPr>
          <w:rFonts w:ascii="Century Schoolbook" w:hAnsi="Century Schoolbook"/>
        </w:rPr>
        <w:t xml:space="preserve"> </w:t>
      </w:r>
      <w:r w:rsidR="00D6541D">
        <w:rPr>
          <w:rFonts w:ascii="Century Schoolbook" w:hAnsi="Century Schoolbook"/>
        </w:rPr>
        <w:t>T</w:t>
      </w:r>
      <w:r w:rsidR="000F5F05">
        <w:rPr>
          <w:rFonts w:ascii="Century Schoolbook" w:hAnsi="Century Schoolbook"/>
        </w:rPr>
        <w:t xml:space="preserve">he release here expressly covered </w:t>
      </w:r>
      <w:r w:rsidR="00A9060C">
        <w:rPr>
          <w:rFonts w:ascii="Century Schoolbook" w:hAnsi="Century Schoolbook"/>
        </w:rPr>
        <w:t xml:space="preserve">any negligence in the maintenance of both the official course and the routes used for training purposes.  </w:t>
      </w:r>
      <w:r w:rsidRPr="00283C20" w:rsidR="007D1906">
        <w:rPr>
          <w:rFonts w:ascii="Century Schoolbook" w:hAnsi="Century Schoolbook"/>
        </w:rPr>
        <w:t>A</w:t>
      </w:r>
      <w:r w:rsidR="00CF17E9">
        <w:rPr>
          <w:rFonts w:ascii="Century Schoolbook" w:hAnsi="Century Schoolbook"/>
        </w:rPr>
        <w:t xml:space="preserve">s </w:t>
      </w:r>
      <w:r w:rsidRPr="00283C20" w:rsidR="005C42E3">
        <w:rPr>
          <w:rFonts w:ascii="Century Schoolbook" w:hAnsi="Century Schoolbook"/>
        </w:rPr>
        <w:t xml:space="preserve">defendant points out, </w:t>
      </w:r>
      <w:r w:rsidRPr="00925B5B" w:rsidR="00925B5B">
        <w:rPr>
          <w:rFonts w:ascii="Century Schoolbook" w:hAnsi="Century Schoolbook"/>
        </w:rPr>
        <w:t xml:space="preserve">there is no distinction between the bicycle race in </w:t>
      </w:r>
      <w:r w:rsidRPr="00925B5B" w:rsidR="00925B5B">
        <w:rPr>
          <w:rFonts w:ascii="Century Schoolbook" w:hAnsi="Century Schoolbook"/>
          <w:i/>
          <w:iCs/>
        </w:rPr>
        <w:t>Okura</w:t>
      </w:r>
      <w:r w:rsidRPr="00925B5B" w:rsidR="00925B5B">
        <w:rPr>
          <w:rFonts w:ascii="Century Schoolbook" w:hAnsi="Century Schoolbook"/>
        </w:rPr>
        <w:t xml:space="preserve"> and the organized cycling events here at issue on the critical point that all the activities were recreational in nature and did not implicate the public interest</w:t>
      </w:r>
      <w:r w:rsidRPr="00283C20" w:rsidR="005C42E3">
        <w:rPr>
          <w:rFonts w:ascii="Century Schoolbook" w:hAnsi="Century Schoolbook"/>
        </w:rPr>
        <w:t>.</w:t>
      </w:r>
    </w:p>
    <w:p w:rsidR="00A5021E" w:rsidRPr="00283C20" w:rsidP="00672258" w14:paraId="5D775F67" w14:textId="73C7AF1D">
      <w:pPr>
        <w:spacing w:line="360" w:lineRule="auto"/>
        <w:rPr>
          <w:rFonts w:ascii="Century Schoolbook" w:hAnsi="Century Schoolbook"/>
        </w:rPr>
      </w:pPr>
      <w:r w:rsidRPr="00283C20">
        <w:rPr>
          <w:rFonts w:ascii="Century Schoolbook" w:hAnsi="Century Schoolbook"/>
        </w:rPr>
        <w:tab/>
      </w:r>
      <w:r w:rsidR="00CF17E9">
        <w:rPr>
          <w:rFonts w:ascii="Century Schoolbook" w:hAnsi="Century Schoolbook"/>
        </w:rPr>
        <w:t xml:space="preserve">Contrary to </w:t>
      </w:r>
      <w:r w:rsidRPr="00283C20">
        <w:rPr>
          <w:rFonts w:ascii="Century Schoolbook" w:hAnsi="Century Schoolbook"/>
        </w:rPr>
        <w:t>p</w:t>
      </w:r>
      <w:r w:rsidRPr="00283C20" w:rsidR="00EA1BB8">
        <w:rPr>
          <w:rFonts w:ascii="Century Schoolbook" w:hAnsi="Century Schoolbook"/>
        </w:rPr>
        <w:t>laintiff</w:t>
      </w:r>
      <w:r w:rsidRPr="00283C20">
        <w:rPr>
          <w:rFonts w:ascii="Century Schoolbook" w:hAnsi="Century Schoolbook"/>
        </w:rPr>
        <w:t>’s</w:t>
      </w:r>
      <w:r w:rsidRPr="00283C20" w:rsidR="00EA1BB8">
        <w:rPr>
          <w:rFonts w:ascii="Century Schoolbook" w:hAnsi="Century Schoolbook"/>
        </w:rPr>
        <w:t xml:space="preserve"> conten</w:t>
      </w:r>
      <w:r w:rsidRPr="00283C20">
        <w:rPr>
          <w:rFonts w:ascii="Century Schoolbook" w:hAnsi="Century Schoolbook"/>
        </w:rPr>
        <w:t>tion</w:t>
      </w:r>
      <w:r w:rsidR="00CF17E9">
        <w:rPr>
          <w:rFonts w:ascii="Century Schoolbook" w:hAnsi="Century Schoolbook"/>
        </w:rPr>
        <w:t>,</w:t>
      </w:r>
      <w:r w:rsidRPr="00283C20" w:rsidR="00EA1BB8">
        <w:rPr>
          <w:rFonts w:ascii="Century Schoolbook" w:hAnsi="Century Schoolbook"/>
        </w:rPr>
        <w:t xml:space="preserve"> </w:t>
      </w:r>
      <w:bookmarkStart w:id="9" w:name="_Hlk156806701"/>
      <w:r w:rsidRPr="00283C20" w:rsidR="001C4A99">
        <w:rPr>
          <w:rFonts w:ascii="Century Schoolbook" w:hAnsi="Century Schoolbook"/>
          <w:i/>
          <w:iCs/>
        </w:rPr>
        <w:t xml:space="preserve">Lewis Operating Corp. v. Superior Court </w:t>
      </w:r>
      <w:r w:rsidRPr="00283C20" w:rsidR="001C4A99">
        <w:rPr>
          <w:rFonts w:ascii="Century Schoolbook" w:hAnsi="Century Schoolbook"/>
        </w:rPr>
        <w:t xml:space="preserve">(2011) </w:t>
      </w:r>
      <w:r w:rsidRPr="00283C20" w:rsidR="00EA1BB8">
        <w:rPr>
          <w:rFonts w:ascii="Century Schoolbook" w:hAnsi="Century Schoolbook"/>
        </w:rPr>
        <w:t>200 Cal.App.4th 940</w:t>
      </w:r>
      <w:r w:rsidRPr="00283C20" w:rsidR="005D0988">
        <w:rPr>
          <w:rFonts w:ascii="Century Schoolbook" w:hAnsi="Century Schoolbook"/>
        </w:rPr>
        <w:t xml:space="preserve"> </w:t>
      </w:r>
      <w:bookmarkEnd w:id="9"/>
      <w:r w:rsidR="005D1675">
        <w:rPr>
          <w:rFonts w:ascii="Century Schoolbook" w:hAnsi="Century Schoolbook"/>
        </w:rPr>
        <w:t>aligns with</w:t>
      </w:r>
      <w:r w:rsidRPr="00283C20">
        <w:rPr>
          <w:rFonts w:ascii="Century Schoolbook" w:hAnsi="Century Schoolbook"/>
        </w:rPr>
        <w:t xml:space="preserve"> </w:t>
      </w:r>
      <w:r w:rsidR="00CF17E9">
        <w:rPr>
          <w:rFonts w:ascii="Century Schoolbook" w:hAnsi="Century Schoolbook"/>
        </w:rPr>
        <w:t xml:space="preserve">our application of </w:t>
      </w:r>
      <w:r w:rsidRPr="00283C20">
        <w:rPr>
          <w:rFonts w:ascii="Century Schoolbook" w:hAnsi="Century Schoolbook"/>
        </w:rPr>
        <w:t xml:space="preserve">the </w:t>
      </w:r>
      <w:r w:rsidRPr="00283C20">
        <w:rPr>
          <w:rFonts w:ascii="Century Schoolbook" w:hAnsi="Century Schoolbook"/>
          <w:i/>
          <w:iCs/>
        </w:rPr>
        <w:t>Tunkl</w:t>
      </w:r>
      <w:r w:rsidRPr="00283C20">
        <w:rPr>
          <w:rFonts w:ascii="Century Schoolbook" w:hAnsi="Century Schoolbook"/>
        </w:rPr>
        <w:t xml:space="preserve"> analysis.  </w:t>
      </w:r>
      <w:r w:rsidRPr="00283C20" w:rsidR="00436FE9">
        <w:rPr>
          <w:rFonts w:ascii="Century Schoolbook" w:hAnsi="Century Schoolbook"/>
        </w:rPr>
        <w:t xml:space="preserve">In </w:t>
      </w:r>
      <w:r w:rsidRPr="00283C20" w:rsidR="00436FE9">
        <w:rPr>
          <w:rFonts w:ascii="Century Schoolbook" w:hAnsi="Century Schoolbook"/>
          <w:i/>
          <w:iCs/>
        </w:rPr>
        <w:t>Lewis</w:t>
      </w:r>
      <w:r w:rsidRPr="00283C20" w:rsidR="007463AF">
        <w:rPr>
          <w:rFonts w:ascii="Century Schoolbook" w:hAnsi="Century Schoolbook"/>
          <w:i/>
          <w:iCs/>
        </w:rPr>
        <w:t xml:space="preserve"> Operating Corp.</w:t>
      </w:r>
      <w:r w:rsidRPr="00283C20" w:rsidR="00436FE9">
        <w:rPr>
          <w:rFonts w:ascii="Century Schoolbook" w:hAnsi="Century Schoolbook"/>
        </w:rPr>
        <w:t xml:space="preserve">, </w:t>
      </w:r>
      <w:r w:rsidRPr="00283C20">
        <w:rPr>
          <w:rFonts w:ascii="Century Schoolbook" w:hAnsi="Century Schoolbook"/>
        </w:rPr>
        <w:t xml:space="preserve">a residential apartment </w:t>
      </w:r>
      <w:r w:rsidR="00814622">
        <w:rPr>
          <w:rFonts w:ascii="Century Schoolbook" w:hAnsi="Century Schoolbook"/>
        </w:rPr>
        <w:t xml:space="preserve">tenant </w:t>
      </w:r>
      <w:r w:rsidRPr="00283C20">
        <w:rPr>
          <w:rFonts w:ascii="Century Schoolbook" w:hAnsi="Century Schoolbook"/>
        </w:rPr>
        <w:t>sued his landlord after suffering injury in the</w:t>
      </w:r>
      <w:r w:rsidRPr="00283C20" w:rsidR="00F11735">
        <w:rPr>
          <w:rFonts w:ascii="Century Schoolbook" w:hAnsi="Century Schoolbook"/>
        </w:rPr>
        <w:t xml:space="preserve"> onsite exercise facility.  (</w:t>
      </w:r>
      <w:r w:rsidRPr="00283C20" w:rsidR="00F11735">
        <w:rPr>
          <w:rFonts w:ascii="Century Schoolbook" w:hAnsi="Century Schoolbook"/>
          <w:i/>
          <w:iCs/>
        </w:rPr>
        <w:t>Lewis</w:t>
      </w:r>
      <w:r w:rsidRPr="00283C20" w:rsidR="007463AF">
        <w:rPr>
          <w:rFonts w:ascii="Century Schoolbook" w:hAnsi="Century Schoolbook"/>
          <w:i/>
          <w:iCs/>
        </w:rPr>
        <w:t xml:space="preserve"> Operating Corp.</w:t>
      </w:r>
      <w:r w:rsidRPr="00283C20" w:rsidR="00F11735">
        <w:rPr>
          <w:rFonts w:ascii="Century Schoolbook" w:hAnsi="Century Schoolbook"/>
        </w:rPr>
        <w:t>, at pp. 943</w:t>
      </w:r>
      <w:r w:rsidRPr="00283C20" w:rsidR="003C39DF">
        <w:rPr>
          <w:rFonts w:ascii="Century Schoolbook" w:hAnsi="Century Schoolbook"/>
        </w:rPr>
        <w:t xml:space="preserve"> &amp;</w:t>
      </w:r>
      <w:r w:rsidRPr="00283C20" w:rsidR="00B82E24">
        <w:rPr>
          <w:rFonts w:ascii="Century Schoolbook" w:hAnsi="Century Schoolbook"/>
        </w:rPr>
        <w:t xml:space="preserve"> fn. 1</w:t>
      </w:r>
      <w:r w:rsidRPr="00283C20" w:rsidR="00F11735">
        <w:rPr>
          <w:rFonts w:ascii="Century Schoolbook" w:hAnsi="Century Schoolbook"/>
        </w:rPr>
        <w:t xml:space="preserve">, 946.)  </w:t>
      </w:r>
      <w:r w:rsidR="00491215">
        <w:rPr>
          <w:rFonts w:ascii="Century Schoolbook" w:hAnsi="Century Schoolbook"/>
        </w:rPr>
        <w:t xml:space="preserve">The </w:t>
      </w:r>
      <w:r w:rsidR="000C6E61">
        <w:rPr>
          <w:rFonts w:ascii="Century Schoolbook" w:hAnsi="Century Schoolbook"/>
        </w:rPr>
        <w:t xml:space="preserve">tenant’s rental agreement included a release governing the use of the on-site exercise facility.  </w:t>
      </w:r>
      <w:r w:rsidRPr="000A4F01" w:rsidR="000A4F01">
        <w:rPr>
          <w:rFonts w:ascii="Century Schoolbook" w:hAnsi="Century Schoolbook"/>
        </w:rPr>
        <w:t xml:space="preserve">By executing the </w:t>
      </w:r>
      <w:r w:rsidR="000A4F01">
        <w:rPr>
          <w:rFonts w:ascii="Century Schoolbook" w:hAnsi="Century Schoolbook"/>
        </w:rPr>
        <w:t>ren</w:t>
      </w:r>
      <w:r w:rsidR="002B0601">
        <w:rPr>
          <w:rFonts w:ascii="Century Schoolbook" w:hAnsi="Century Schoolbook"/>
        </w:rPr>
        <w:t>t</w:t>
      </w:r>
      <w:r w:rsidR="000A4F01">
        <w:rPr>
          <w:rFonts w:ascii="Century Schoolbook" w:hAnsi="Century Schoolbook"/>
        </w:rPr>
        <w:t>al agreement</w:t>
      </w:r>
      <w:r w:rsidRPr="000A4F01" w:rsidR="000A4F01">
        <w:rPr>
          <w:rFonts w:ascii="Century Schoolbook" w:hAnsi="Century Schoolbook"/>
        </w:rPr>
        <w:t xml:space="preserve">, </w:t>
      </w:r>
      <w:r w:rsidR="000A4F01">
        <w:rPr>
          <w:rFonts w:ascii="Century Schoolbook" w:hAnsi="Century Schoolbook"/>
        </w:rPr>
        <w:t>the tenant</w:t>
      </w:r>
      <w:r w:rsidRPr="000A4F01" w:rsidR="000A4F01">
        <w:rPr>
          <w:rFonts w:ascii="Century Schoolbook" w:hAnsi="Century Schoolbook"/>
        </w:rPr>
        <w:t xml:space="preserve"> agreed</w:t>
      </w:r>
      <w:r w:rsidR="000A4F01">
        <w:rPr>
          <w:rFonts w:ascii="Century Schoolbook" w:hAnsi="Century Schoolbook"/>
        </w:rPr>
        <w:t xml:space="preserve"> to the release</w:t>
      </w:r>
      <w:r w:rsidR="00491215">
        <w:rPr>
          <w:rFonts w:ascii="Century Schoolbook" w:hAnsi="Century Schoolbook"/>
        </w:rPr>
        <w:t>.  (</w:t>
      </w:r>
      <w:r w:rsidRPr="00283C20" w:rsidR="00491215">
        <w:rPr>
          <w:rFonts w:ascii="Century Schoolbook" w:hAnsi="Century Schoolbook"/>
          <w:i/>
          <w:iCs/>
        </w:rPr>
        <w:t xml:space="preserve">Id. </w:t>
      </w:r>
      <w:r w:rsidRPr="00283C20" w:rsidR="00491215">
        <w:rPr>
          <w:rFonts w:ascii="Century Schoolbook" w:hAnsi="Century Schoolbook"/>
        </w:rPr>
        <w:t>at p</w:t>
      </w:r>
      <w:r w:rsidR="00491215">
        <w:rPr>
          <w:rFonts w:ascii="Century Schoolbook" w:hAnsi="Century Schoolbook"/>
        </w:rPr>
        <w:t xml:space="preserve">. 943.)  </w:t>
      </w:r>
      <w:r w:rsidRPr="00283C20" w:rsidR="00F11735">
        <w:rPr>
          <w:rFonts w:ascii="Century Schoolbook" w:hAnsi="Century Schoolbook"/>
        </w:rPr>
        <w:t xml:space="preserve">The Court of Appeal </w:t>
      </w:r>
      <w:r w:rsidR="008B0AFC">
        <w:rPr>
          <w:rFonts w:ascii="Century Schoolbook" w:hAnsi="Century Schoolbook"/>
        </w:rPr>
        <w:t>concluded</w:t>
      </w:r>
      <w:r w:rsidRPr="00283C20" w:rsidR="00C45921">
        <w:rPr>
          <w:rFonts w:ascii="Century Schoolbook" w:hAnsi="Century Schoolbook"/>
        </w:rPr>
        <w:t xml:space="preserve"> summary judgment </w:t>
      </w:r>
      <w:r w:rsidR="008B0AFC">
        <w:rPr>
          <w:rFonts w:ascii="Century Schoolbook" w:hAnsi="Century Schoolbook"/>
        </w:rPr>
        <w:t xml:space="preserve">should have been granted in favor of the landlord </w:t>
      </w:r>
      <w:r w:rsidRPr="00283C20" w:rsidR="00C45921">
        <w:rPr>
          <w:rFonts w:ascii="Century Schoolbook" w:hAnsi="Century Schoolbook"/>
        </w:rPr>
        <w:t xml:space="preserve">based on </w:t>
      </w:r>
      <w:r w:rsidR="008B0AFC">
        <w:rPr>
          <w:rFonts w:ascii="Century Schoolbook" w:hAnsi="Century Schoolbook"/>
        </w:rPr>
        <w:t xml:space="preserve">the plaintiff’s execution of </w:t>
      </w:r>
      <w:r w:rsidR="000A4F01">
        <w:rPr>
          <w:rFonts w:ascii="Century Schoolbook" w:hAnsi="Century Schoolbook"/>
        </w:rPr>
        <w:t>the</w:t>
      </w:r>
      <w:r w:rsidRPr="00283C20" w:rsidR="000A4F01">
        <w:rPr>
          <w:rFonts w:ascii="Century Schoolbook" w:hAnsi="Century Schoolbook"/>
        </w:rPr>
        <w:t xml:space="preserve"> </w:t>
      </w:r>
      <w:r w:rsidRPr="00283C20" w:rsidR="00C45921">
        <w:rPr>
          <w:rFonts w:ascii="Century Schoolbook" w:hAnsi="Century Schoolbook"/>
        </w:rPr>
        <w:t>release</w:t>
      </w:r>
      <w:r w:rsidR="008B0AFC">
        <w:rPr>
          <w:rFonts w:ascii="Century Schoolbook" w:hAnsi="Century Schoolbook"/>
        </w:rPr>
        <w:t>.</w:t>
      </w:r>
      <w:r w:rsidRPr="00283C20" w:rsidR="00C45921">
        <w:rPr>
          <w:rFonts w:ascii="Century Schoolbook" w:hAnsi="Century Schoolbook"/>
        </w:rPr>
        <w:t xml:space="preserve">  (</w:t>
      </w:r>
      <w:r w:rsidRPr="00283C20" w:rsidR="00C45921">
        <w:rPr>
          <w:rFonts w:ascii="Century Schoolbook" w:hAnsi="Century Schoolbook"/>
          <w:i/>
          <w:iCs/>
        </w:rPr>
        <w:t xml:space="preserve">Id. </w:t>
      </w:r>
      <w:r w:rsidRPr="00283C20" w:rsidR="00C45921">
        <w:rPr>
          <w:rFonts w:ascii="Century Schoolbook" w:hAnsi="Century Schoolbook"/>
        </w:rPr>
        <w:t>at pp. 943–944.)</w:t>
      </w:r>
      <w:r w:rsidRPr="00283C20" w:rsidR="00F11735">
        <w:rPr>
          <w:rFonts w:ascii="Century Schoolbook" w:hAnsi="Century Schoolbook"/>
        </w:rPr>
        <w:t xml:space="preserve"> </w:t>
      </w:r>
      <w:r w:rsidRPr="00283C20" w:rsidR="00C45921">
        <w:rPr>
          <w:rFonts w:ascii="Century Schoolbook" w:hAnsi="Century Schoolbook"/>
        </w:rPr>
        <w:t xml:space="preserve"> </w:t>
      </w:r>
      <w:r w:rsidR="008B0AFC">
        <w:rPr>
          <w:rFonts w:ascii="Century Schoolbook" w:hAnsi="Century Schoolbook"/>
        </w:rPr>
        <w:t xml:space="preserve">While acknowledging </w:t>
      </w:r>
      <w:r w:rsidRPr="00283C20" w:rsidR="008B0AFC">
        <w:rPr>
          <w:rFonts w:ascii="Century Schoolbook" w:hAnsi="Century Schoolbook"/>
        </w:rPr>
        <w:t>that residential leases affect the public interest</w:t>
      </w:r>
      <w:r w:rsidR="008B0AFC">
        <w:rPr>
          <w:rFonts w:ascii="Century Schoolbook" w:hAnsi="Century Schoolbook"/>
        </w:rPr>
        <w:t>, t</w:t>
      </w:r>
      <w:r w:rsidRPr="00283C20" w:rsidR="00486284">
        <w:rPr>
          <w:rFonts w:ascii="Century Schoolbook" w:hAnsi="Century Schoolbook"/>
        </w:rPr>
        <w:t>he court reasoned that</w:t>
      </w:r>
      <w:r w:rsidRPr="00283C20" w:rsidR="00BB1698">
        <w:rPr>
          <w:rFonts w:ascii="Century Schoolbook" w:hAnsi="Century Schoolbook"/>
        </w:rPr>
        <w:t xml:space="preserve"> providing the amenity of an onsite exercise facility was outside the “basic, heavily regulated offering of a residential dwelling” and </w:t>
      </w:r>
      <w:r w:rsidR="00C062C2">
        <w:rPr>
          <w:rFonts w:ascii="Century Schoolbook" w:hAnsi="Century Schoolbook"/>
        </w:rPr>
        <w:t xml:space="preserve">that </w:t>
      </w:r>
      <w:r w:rsidRPr="00283C20" w:rsidR="00486284">
        <w:rPr>
          <w:rFonts w:ascii="Century Schoolbook" w:hAnsi="Century Schoolbook"/>
        </w:rPr>
        <w:t xml:space="preserve">“providing health club or exercise facility services has repeatedly been held </w:t>
      </w:r>
      <w:r w:rsidRPr="00283C20" w:rsidR="00486284">
        <w:rPr>
          <w:rFonts w:ascii="Century Schoolbook" w:hAnsi="Century Schoolbook"/>
          <w:i/>
          <w:iCs/>
        </w:rPr>
        <w:t>not</w:t>
      </w:r>
      <w:r w:rsidRPr="00283C20" w:rsidR="00486284">
        <w:rPr>
          <w:rFonts w:ascii="Century Schoolbook" w:hAnsi="Century Schoolbook"/>
        </w:rPr>
        <w:t xml:space="preserve"> to invoke the ‘public policy’ rule of </w:t>
      </w:r>
      <w:r w:rsidRPr="00283C20" w:rsidR="00486284">
        <w:rPr>
          <w:rFonts w:ascii="Century Schoolbook" w:hAnsi="Century Schoolbook"/>
          <w:i/>
          <w:iCs/>
        </w:rPr>
        <w:t>Tunkl</w:t>
      </w:r>
      <w:r w:rsidR="008B0AFC">
        <w:rPr>
          <w:rFonts w:ascii="Century Schoolbook" w:hAnsi="Century Schoolbook"/>
        </w:rPr>
        <w:t xml:space="preserve">.”  </w:t>
      </w:r>
      <w:r w:rsidRPr="00283C20" w:rsidR="00BB1698">
        <w:rPr>
          <w:rFonts w:ascii="Century Schoolbook" w:hAnsi="Century Schoolbook"/>
        </w:rPr>
        <w:t>(</w:t>
      </w:r>
      <w:r w:rsidRPr="00283C20" w:rsidR="00D45773">
        <w:rPr>
          <w:rFonts w:ascii="Century Schoolbook" w:hAnsi="Century Schoolbook"/>
          <w:i/>
          <w:iCs/>
        </w:rPr>
        <w:t xml:space="preserve">Id. </w:t>
      </w:r>
      <w:r w:rsidRPr="00283C20" w:rsidR="00D45773">
        <w:rPr>
          <w:rFonts w:ascii="Century Schoolbook" w:hAnsi="Century Schoolbook"/>
        </w:rPr>
        <w:t>at p.</w:t>
      </w:r>
      <w:r w:rsidRPr="00283C20" w:rsidR="00E412D0">
        <w:rPr>
          <w:rFonts w:ascii="Century Schoolbook" w:hAnsi="Century Schoolbook"/>
        </w:rPr>
        <w:t> </w:t>
      </w:r>
      <w:r w:rsidRPr="00283C20" w:rsidR="00BB1698">
        <w:rPr>
          <w:rFonts w:ascii="Century Schoolbook" w:hAnsi="Century Schoolbook"/>
        </w:rPr>
        <w:t>94</w:t>
      </w:r>
      <w:r w:rsidRPr="00283C20" w:rsidR="00486284">
        <w:rPr>
          <w:rFonts w:ascii="Century Schoolbook" w:hAnsi="Century Schoolbook"/>
        </w:rPr>
        <w:t>6.</w:t>
      </w:r>
      <w:r w:rsidRPr="00283C20" w:rsidR="00BB1698">
        <w:rPr>
          <w:rFonts w:ascii="Century Schoolbook" w:hAnsi="Century Schoolbook"/>
        </w:rPr>
        <w:t>)</w:t>
      </w:r>
      <w:r w:rsidRPr="00283C20" w:rsidR="00595033">
        <w:rPr>
          <w:rFonts w:ascii="Century Schoolbook" w:hAnsi="Century Schoolbook"/>
        </w:rPr>
        <w:t xml:space="preserve">  </w:t>
      </w:r>
      <w:r w:rsidRPr="00703F8F" w:rsidR="00C062C2">
        <w:rPr>
          <w:rFonts w:ascii="Century Schoolbook" w:hAnsi="Century Schoolbook"/>
          <w:i/>
          <w:iCs/>
        </w:rPr>
        <w:t>Lewis Operating Corp.</w:t>
      </w:r>
      <w:r w:rsidR="00C062C2">
        <w:rPr>
          <w:rFonts w:ascii="Century Schoolbook" w:hAnsi="Century Schoolbook"/>
        </w:rPr>
        <w:t xml:space="preserve"> </w:t>
      </w:r>
      <w:r w:rsidR="008B0AFC">
        <w:rPr>
          <w:rFonts w:ascii="Century Schoolbook" w:hAnsi="Century Schoolbook"/>
        </w:rPr>
        <w:t>plainly</w:t>
      </w:r>
      <w:r w:rsidRPr="00283C20" w:rsidR="00595033">
        <w:rPr>
          <w:rFonts w:ascii="Century Schoolbook" w:hAnsi="Century Schoolbook"/>
        </w:rPr>
        <w:t xml:space="preserve"> focus</w:t>
      </w:r>
      <w:r w:rsidR="00F976CB">
        <w:rPr>
          <w:rFonts w:ascii="Century Schoolbook" w:hAnsi="Century Schoolbook"/>
        </w:rPr>
        <w:t>ed</w:t>
      </w:r>
      <w:r w:rsidRPr="00283C20" w:rsidR="00595033">
        <w:rPr>
          <w:rFonts w:ascii="Century Schoolbook" w:hAnsi="Century Schoolbook"/>
        </w:rPr>
        <w:t xml:space="preserve"> on the </w:t>
      </w:r>
      <w:r w:rsidRPr="00283C20" w:rsidR="00E92973">
        <w:rPr>
          <w:rFonts w:ascii="Century Schoolbook" w:hAnsi="Century Schoolbook"/>
        </w:rPr>
        <w:t xml:space="preserve">subject </w:t>
      </w:r>
      <w:r w:rsidR="00FF4395">
        <w:rPr>
          <w:rFonts w:ascii="Century Schoolbook" w:hAnsi="Century Schoolbook"/>
        </w:rPr>
        <w:t>of</w:t>
      </w:r>
      <w:r w:rsidRPr="00283C20" w:rsidR="00E92973">
        <w:rPr>
          <w:rFonts w:ascii="Century Schoolbook" w:hAnsi="Century Schoolbook"/>
        </w:rPr>
        <w:t xml:space="preserve"> the contractual release</w:t>
      </w:r>
      <w:r w:rsidR="00C062C2">
        <w:rPr>
          <w:rFonts w:ascii="Century Schoolbook" w:hAnsi="Century Schoolbook"/>
        </w:rPr>
        <w:t xml:space="preserve">, </w:t>
      </w:r>
      <w:r w:rsidR="008304F7">
        <w:rPr>
          <w:rFonts w:ascii="Century Schoolbook" w:hAnsi="Century Schoolbook"/>
        </w:rPr>
        <w:t xml:space="preserve">noting </w:t>
      </w:r>
      <w:r w:rsidR="00C062C2">
        <w:rPr>
          <w:rFonts w:ascii="Century Schoolbook" w:hAnsi="Century Schoolbook"/>
        </w:rPr>
        <w:t>as we do here</w:t>
      </w:r>
      <w:r w:rsidR="008304F7">
        <w:rPr>
          <w:rFonts w:ascii="Century Schoolbook" w:hAnsi="Century Schoolbook"/>
        </w:rPr>
        <w:t xml:space="preserve"> that </w:t>
      </w:r>
      <w:r w:rsidRPr="008304F7" w:rsidR="008304F7">
        <w:rPr>
          <w:rFonts w:ascii="Century Schoolbook" w:hAnsi="Century Schoolbook"/>
          <w:i/>
          <w:iCs/>
        </w:rPr>
        <w:t>Tunkl</w:t>
      </w:r>
      <w:r w:rsidR="008304F7">
        <w:rPr>
          <w:rFonts w:ascii="Century Schoolbook" w:hAnsi="Century Schoolbook"/>
        </w:rPr>
        <w:t xml:space="preserve"> itself focused on the </w:t>
      </w:r>
      <w:r w:rsidR="007F1A58">
        <w:rPr>
          <w:rFonts w:ascii="Century Schoolbook" w:hAnsi="Century Schoolbook"/>
        </w:rPr>
        <w:t>“</w:t>
      </w:r>
      <w:r w:rsidR="008304F7">
        <w:rPr>
          <w:rFonts w:ascii="Century Schoolbook" w:hAnsi="Century Schoolbook"/>
        </w:rPr>
        <w:t>subject transaction</w:t>
      </w:r>
      <w:r w:rsidR="007F1A58">
        <w:rPr>
          <w:rFonts w:ascii="Century Schoolbook" w:hAnsi="Century Schoolbook"/>
        </w:rPr>
        <w:t>”</w:t>
      </w:r>
      <w:r w:rsidRPr="00CB596C" w:rsidR="00CB596C">
        <w:rPr>
          <w:rFonts w:ascii="Century Schoolbook" w:hAnsi="Century Schoolbook"/>
          <w:i/>
          <w:iCs/>
        </w:rPr>
        <w:t xml:space="preserve"> </w:t>
      </w:r>
      <w:r w:rsidR="00CB596C">
        <w:rPr>
          <w:rFonts w:ascii="Century Schoolbook" w:hAnsi="Century Schoolbook"/>
        </w:rPr>
        <w:t>for which the release was given.</w:t>
      </w:r>
      <w:r w:rsidR="008304F7">
        <w:rPr>
          <w:rFonts w:ascii="Century Schoolbook" w:hAnsi="Century Schoolbook"/>
        </w:rPr>
        <w:t xml:space="preserve">  (</w:t>
      </w:r>
      <w:r w:rsidRPr="008304F7" w:rsidR="008304F7">
        <w:rPr>
          <w:rFonts w:ascii="Century Schoolbook" w:hAnsi="Century Schoolbook"/>
          <w:i/>
          <w:iCs/>
        </w:rPr>
        <w:t>Ibid.</w:t>
      </w:r>
      <w:r w:rsidR="008304F7">
        <w:rPr>
          <w:rFonts w:ascii="Century Schoolbook" w:hAnsi="Century Schoolbook"/>
        </w:rPr>
        <w:t>)</w:t>
      </w:r>
    </w:p>
    <w:p w:rsidR="00BE0FF7" w:rsidRPr="00283C20" w:rsidP="00672258" w14:paraId="4FF65290" w14:textId="4F12B17E">
      <w:pPr>
        <w:spacing w:line="360" w:lineRule="auto"/>
        <w:rPr>
          <w:rFonts w:ascii="Century Schoolbook" w:hAnsi="Century Schoolbook"/>
        </w:rPr>
      </w:pPr>
      <w:r w:rsidRPr="00283C20">
        <w:rPr>
          <w:rFonts w:ascii="Century Schoolbook" w:hAnsi="Century Schoolbook"/>
        </w:rPr>
        <w:tab/>
        <w:t xml:space="preserve">In sum, the </w:t>
      </w:r>
      <w:r w:rsidRPr="00283C20" w:rsidR="00973C8B">
        <w:rPr>
          <w:rFonts w:ascii="Century Schoolbook" w:hAnsi="Century Schoolbook"/>
        </w:rPr>
        <w:t xml:space="preserve">trial </w:t>
      </w:r>
      <w:r w:rsidRPr="00283C20">
        <w:rPr>
          <w:rFonts w:ascii="Century Schoolbook" w:hAnsi="Century Schoolbook"/>
        </w:rPr>
        <w:t>court correctly concluded the release was enforceable.</w:t>
      </w:r>
      <w:r>
        <w:rPr>
          <w:rStyle w:val="FootnoteReference"/>
          <w:rFonts w:ascii="Century Schoolbook" w:hAnsi="Century Schoolbook"/>
        </w:rPr>
        <w:footnoteReference w:id="3"/>
      </w:r>
    </w:p>
    <w:p w:rsidR="00AC1936" w:rsidRPr="00283C20" w:rsidP="00703F8F" w14:paraId="57859F22" w14:textId="594EE0CE">
      <w:pPr>
        <w:keepNext/>
        <w:spacing w:line="360" w:lineRule="auto"/>
        <w:rPr>
          <w:rFonts w:ascii="Century Schoolbook" w:hAnsi="Century Schoolbook"/>
          <w:b/>
          <w:bCs/>
        </w:rPr>
      </w:pPr>
      <w:r w:rsidRPr="00283C20">
        <w:rPr>
          <w:rFonts w:ascii="Century Schoolbook" w:hAnsi="Century Schoolbook"/>
        </w:rPr>
        <w:tab/>
      </w:r>
      <w:r w:rsidRPr="00283C20">
        <w:rPr>
          <w:rFonts w:ascii="Century Schoolbook" w:hAnsi="Century Schoolbook"/>
          <w:b/>
          <w:bCs/>
        </w:rPr>
        <w:t xml:space="preserve">B.  </w:t>
      </w:r>
      <w:r w:rsidR="003029A5">
        <w:rPr>
          <w:rFonts w:ascii="Century Schoolbook" w:hAnsi="Century Schoolbook"/>
          <w:b/>
          <w:bCs/>
        </w:rPr>
        <w:t>There was no triable issue of fact regarding g</w:t>
      </w:r>
      <w:r w:rsidRPr="00283C20">
        <w:rPr>
          <w:rFonts w:ascii="Century Schoolbook" w:hAnsi="Century Schoolbook"/>
          <w:b/>
          <w:bCs/>
        </w:rPr>
        <w:t>ross negligence</w:t>
      </w:r>
    </w:p>
    <w:p w:rsidR="00AC1936" w:rsidRPr="00283C20" w:rsidP="00353C0C" w14:paraId="6292F48C" w14:textId="125C055E">
      <w:pPr>
        <w:spacing w:line="360" w:lineRule="auto"/>
        <w:rPr>
          <w:rFonts w:ascii="Century Schoolbook" w:hAnsi="Century Schoolbook"/>
        </w:rPr>
      </w:pPr>
      <w:r w:rsidRPr="00283C20">
        <w:rPr>
          <w:rFonts w:ascii="Century Schoolbook" w:hAnsi="Century Schoolbook"/>
        </w:rPr>
        <w:tab/>
      </w:r>
      <w:r w:rsidRPr="00283C20" w:rsidR="00DD5130">
        <w:rPr>
          <w:rFonts w:ascii="Century Schoolbook" w:hAnsi="Century Schoolbook"/>
        </w:rPr>
        <w:t>P</w:t>
      </w:r>
      <w:r w:rsidRPr="00283C20" w:rsidR="005D1775">
        <w:rPr>
          <w:rFonts w:ascii="Century Schoolbook" w:hAnsi="Century Schoolbook"/>
        </w:rPr>
        <w:t>laintiff</w:t>
      </w:r>
      <w:r w:rsidRPr="00283C20" w:rsidR="00672258">
        <w:rPr>
          <w:rFonts w:ascii="Century Schoolbook" w:hAnsi="Century Schoolbook"/>
        </w:rPr>
        <w:t xml:space="preserve"> argues that even </w:t>
      </w:r>
      <w:r w:rsidRPr="00283C20" w:rsidR="00E8288A">
        <w:rPr>
          <w:rFonts w:ascii="Century Schoolbook" w:hAnsi="Century Schoolbook"/>
        </w:rPr>
        <w:t>if</w:t>
      </w:r>
      <w:r w:rsidRPr="00283C20" w:rsidR="00672258">
        <w:rPr>
          <w:rFonts w:ascii="Century Schoolbook" w:hAnsi="Century Schoolbook"/>
        </w:rPr>
        <w:t xml:space="preserve"> the release</w:t>
      </w:r>
      <w:r w:rsidRPr="00283C20" w:rsidR="00F305DA">
        <w:rPr>
          <w:rFonts w:ascii="Century Schoolbook" w:hAnsi="Century Schoolbook"/>
        </w:rPr>
        <w:t xml:space="preserve"> </w:t>
      </w:r>
      <w:r w:rsidRPr="00283C20" w:rsidR="00672258">
        <w:rPr>
          <w:rFonts w:ascii="Century Schoolbook" w:hAnsi="Century Schoolbook"/>
        </w:rPr>
        <w:t>is enforceable,</w:t>
      </w:r>
      <w:r w:rsidRPr="00283C20" w:rsidR="00E8288A">
        <w:rPr>
          <w:rFonts w:ascii="Century Schoolbook" w:hAnsi="Century Schoolbook"/>
        </w:rPr>
        <w:t xml:space="preserve"> </w:t>
      </w:r>
      <w:r w:rsidRPr="00283C20" w:rsidR="00865B41">
        <w:rPr>
          <w:rFonts w:ascii="Century Schoolbook" w:hAnsi="Century Schoolbook"/>
        </w:rPr>
        <w:t xml:space="preserve">the release could not absolve defendant of liability for gross negligence, and the </w:t>
      </w:r>
      <w:r w:rsidR="00C062C2">
        <w:rPr>
          <w:rFonts w:ascii="Century Schoolbook" w:hAnsi="Century Schoolbook"/>
        </w:rPr>
        <w:t xml:space="preserve">trial </w:t>
      </w:r>
      <w:r w:rsidRPr="00283C20" w:rsidR="00865B41">
        <w:rPr>
          <w:rFonts w:ascii="Century Schoolbook" w:hAnsi="Century Schoolbook"/>
        </w:rPr>
        <w:t xml:space="preserve">court failed to address </w:t>
      </w:r>
      <w:r w:rsidRPr="00283C20" w:rsidR="00672258">
        <w:rPr>
          <w:rFonts w:ascii="Century Schoolbook" w:hAnsi="Century Schoolbook"/>
        </w:rPr>
        <w:t xml:space="preserve">whether the evidence raised a triable issue of fact </w:t>
      </w:r>
      <w:r w:rsidR="00814622">
        <w:rPr>
          <w:rFonts w:ascii="Century Schoolbook" w:hAnsi="Century Schoolbook"/>
        </w:rPr>
        <w:t>on th</w:t>
      </w:r>
      <w:r w:rsidR="00560151">
        <w:rPr>
          <w:rFonts w:ascii="Century Schoolbook" w:hAnsi="Century Schoolbook"/>
        </w:rPr>
        <w:t>is</w:t>
      </w:r>
      <w:r w:rsidR="00814622">
        <w:rPr>
          <w:rFonts w:ascii="Century Schoolbook" w:hAnsi="Century Schoolbook"/>
        </w:rPr>
        <w:t xml:space="preserve"> topic</w:t>
      </w:r>
      <w:r w:rsidRPr="00283C20" w:rsidR="00672258">
        <w:rPr>
          <w:rFonts w:ascii="Century Schoolbook" w:hAnsi="Century Schoolbook"/>
        </w:rPr>
        <w:t xml:space="preserve">. </w:t>
      </w:r>
      <w:r w:rsidRPr="00283C20" w:rsidR="00353C0C">
        <w:rPr>
          <w:rFonts w:ascii="Century Schoolbook" w:hAnsi="Century Schoolbook"/>
        </w:rPr>
        <w:t xml:space="preserve"> </w:t>
      </w:r>
    </w:p>
    <w:p w:rsidR="00044B14" w:rsidRPr="00283C20" w:rsidP="00307C7A" w14:paraId="7F2E387D" w14:textId="2CC00D2A">
      <w:pPr>
        <w:spacing w:line="360" w:lineRule="auto"/>
        <w:rPr>
          <w:rFonts w:ascii="Century Schoolbook" w:hAnsi="Century Schoolbook"/>
        </w:rPr>
      </w:pPr>
      <w:r w:rsidRPr="00283C20">
        <w:rPr>
          <w:rFonts w:ascii="Century Schoolbook" w:hAnsi="Century Schoolbook"/>
        </w:rPr>
        <w:tab/>
      </w:r>
      <w:bookmarkStart w:id="10" w:name="_Hlk153452399"/>
      <w:r w:rsidRPr="00283C20" w:rsidR="00D0001C">
        <w:rPr>
          <w:rFonts w:ascii="Century Schoolbook" w:hAnsi="Century Schoolbook"/>
        </w:rPr>
        <w:t xml:space="preserve">Defendant </w:t>
      </w:r>
      <w:r w:rsidRPr="00283C20" w:rsidR="00F82B94">
        <w:rPr>
          <w:rFonts w:ascii="Century Schoolbook" w:hAnsi="Century Schoolbook"/>
        </w:rPr>
        <w:t>acknowledges</w:t>
      </w:r>
      <w:r w:rsidRPr="00283C20" w:rsidR="000A5B34">
        <w:rPr>
          <w:rFonts w:ascii="Century Schoolbook" w:hAnsi="Century Schoolbook"/>
        </w:rPr>
        <w:t xml:space="preserve"> that </w:t>
      </w:r>
      <w:r w:rsidRPr="00283C20" w:rsidR="00D2194C">
        <w:rPr>
          <w:rFonts w:ascii="Century Schoolbook" w:hAnsi="Century Schoolbook"/>
        </w:rPr>
        <w:t>a</w:t>
      </w:r>
      <w:r w:rsidRPr="00283C20" w:rsidR="000A5B34">
        <w:rPr>
          <w:rFonts w:ascii="Century Schoolbook" w:hAnsi="Century Schoolbook"/>
        </w:rPr>
        <w:t xml:space="preserve"> release cannot absolve a party from liability for gross negligence (</w:t>
      </w:r>
      <w:r w:rsidRPr="00283C20" w:rsidR="00D2194C">
        <w:rPr>
          <w:rFonts w:ascii="Century Schoolbook" w:hAnsi="Century Schoolbook"/>
          <w:i/>
          <w:iCs/>
        </w:rPr>
        <w:t>City of Santa Barbara</w:t>
      </w:r>
      <w:r w:rsidRPr="00283C20" w:rsidR="00D2194C">
        <w:rPr>
          <w:rFonts w:ascii="Century Schoolbook" w:hAnsi="Century Schoolbook"/>
        </w:rPr>
        <w:t xml:space="preserve">, </w:t>
      </w:r>
      <w:r w:rsidRPr="00283C20" w:rsidR="00D2194C">
        <w:rPr>
          <w:rFonts w:ascii="Century Schoolbook" w:hAnsi="Century Schoolbook"/>
          <w:i/>
          <w:iCs/>
        </w:rPr>
        <w:t>supra</w:t>
      </w:r>
      <w:r w:rsidRPr="00283C20" w:rsidR="00D2194C">
        <w:rPr>
          <w:rFonts w:ascii="Century Schoolbook" w:hAnsi="Century Schoolbook"/>
        </w:rPr>
        <w:t xml:space="preserve">, 41 Cal.4th at </w:t>
      </w:r>
      <w:r w:rsidRPr="00283C20" w:rsidR="00F2239C">
        <w:rPr>
          <w:rFonts w:ascii="Century Schoolbook" w:hAnsi="Century Schoolbook"/>
        </w:rPr>
        <w:t>p</w:t>
      </w:r>
      <w:r w:rsidRPr="00283C20" w:rsidR="00D2194C">
        <w:rPr>
          <w:rFonts w:ascii="Century Schoolbook" w:hAnsi="Century Schoolbook"/>
        </w:rPr>
        <w:t>p. 75</w:t>
      </w:r>
      <w:r w:rsidRPr="00283C20" w:rsidR="00F2239C">
        <w:rPr>
          <w:rFonts w:ascii="Century Schoolbook" w:hAnsi="Century Schoolbook"/>
        </w:rPr>
        <w:t>0–751</w:t>
      </w:r>
      <w:r w:rsidRPr="00283C20" w:rsidR="000A5B34">
        <w:rPr>
          <w:rFonts w:ascii="Century Schoolbook" w:hAnsi="Century Schoolbook"/>
        </w:rPr>
        <w:t>)</w:t>
      </w:r>
      <w:r w:rsidRPr="00283C20" w:rsidR="00D2194C">
        <w:rPr>
          <w:rFonts w:ascii="Century Schoolbook" w:hAnsi="Century Schoolbook"/>
        </w:rPr>
        <w:t>,</w:t>
      </w:r>
      <w:r w:rsidRPr="00283C20" w:rsidR="00F82B94">
        <w:rPr>
          <w:rFonts w:ascii="Century Schoolbook" w:hAnsi="Century Schoolbook"/>
        </w:rPr>
        <w:t xml:space="preserve"> but </w:t>
      </w:r>
      <w:r w:rsidR="00A81535">
        <w:rPr>
          <w:rFonts w:ascii="Century Schoolbook" w:hAnsi="Century Schoolbook"/>
        </w:rPr>
        <w:t xml:space="preserve">it </w:t>
      </w:r>
      <w:r w:rsidRPr="00283C20" w:rsidR="00F82B94">
        <w:rPr>
          <w:rFonts w:ascii="Century Schoolbook" w:hAnsi="Century Schoolbook"/>
        </w:rPr>
        <w:t xml:space="preserve">counters </w:t>
      </w:r>
      <w:r w:rsidRPr="00283C20" w:rsidR="00D2194C">
        <w:rPr>
          <w:rFonts w:ascii="Century Schoolbook" w:hAnsi="Century Schoolbook"/>
        </w:rPr>
        <w:t>that</w:t>
      </w:r>
      <w:r w:rsidRPr="00283C20" w:rsidR="00D0001C">
        <w:rPr>
          <w:rFonts w:ascii="Century Schoolbook" w:hAnsi="Century Schoolbook"/>
        </w:rPr>
        <w:t xml:space="preserve"> </w:t>
      </w:r>
      <w:r w:rsidRPr="00283C20" w:rsidR="00546816">
        <w:rPr>
          <w:rFonts w:ascii="Century Schoolbook" w:hAnsi="Century Schoolbook"/>
        </w:rPr>
        <w:t>plaintiff</w:t>
      </w:r>
      <w:r w:rsidRPr="00283C20" w:rsidR="00343497">
        <w:rPr>
          <w:rFonts w:ascii="Century Schoolbook" w:hAnsi="Century Schoolbook"/>
        </w:rPr>
        <w:t xml:space="preserve"> forfeited this claim by</w:t>
      </w:r>
      <w:r w:rsidRPr="00283C20" w:rsidR="00546816">
        <w:rPr>
          <w:rFonts w:ascii="Century Schoolbook" w:hAnsi="Century Schoolbook"/>
        </w:rPr>
        <w:t xml:space="preserve"> fail</w:t>
      </w:r>
      <w:r w:rsidRPr="00283C20" w:rsidR="00343497">
        <w:rPr>
          <w:rFonts w:ascii="Century Schoolbook" w:hAnsi="Century Schoolbook"/>
        </w:rPr>
        <w:t>ing</w:t>
      </w:r>
      <w:r w:rsidRPr="00283C20" w:rsidR="00546816">
        <w:rPr>
          <w:rFonts w:ascii="Century Schoolbook" w:hAnsi="Century Schoolbook"/>
        </w:rPr>
        <w:t xml:space="preserve"> to adequately raise </w:t>
      </w:r>
      <w:r w:rsidRPr="00283C20" w:rsidR="001A6ED2">
        <w:rPr>
          <w:rFonts w:ascii="Century Schoolbook" w:hAnsi="Century Schoolbook"/>
        </w:rPr>
        <w:t>it</w:t>
      </w:r>
      <w:r w:rsidRPr="00283C20" w:rsidR="00343497">
        <w:rPr>
          <w:rFonts w:ascii="Century Schoolbook" w:hAnsi="Century Schoolbook"/>
        </w:rPr>
        <w:t xml:space="preserve"> </w:t>
      </w:r>
      <w:r w:rsidRPr="00283C20" w:rsidR="00973C8B">
        <w:rPr>
          <w:rFonts w:ascii="Century Schoolbook" w:hAnsi="Century Schoolbook"/>
        </w:rPr>
        <w:t>below</w:t>
      </w:r>
      <w:r w:rsidRPr="00283C20" w:rsidR="00343497">
        <w:rPr>
          <w:rFonts w:ascii="Century Schoolbook" w:hAnsi="Century Schoolbook"/>
        </w:rPr>
        <w:t xml:space="preserve">.  </w:t>
      </w:r>
      <w:r w:rsidR="00A81535">
        <w:rPr>
          <w:rFonts w:ascii="Century Schoolbook" w:hAnsi="Century Schoolbook"/>
        </w:rPr>
        <w:t>On this score, d</w:t>
      </w:r>
      <w:r w:rsidRPr="00283C20" w:rsidR="00343497">
        <w:rPr>
          <w:rFonts w:ascii="Century Schoolbook" w:hAnsi="Century Schoolbook"/>
        </w:rPr>
        <w:t xml:space="preserve">efendant </w:t>
      </w:r>
      <w:r w:rsidRPr="00283C20" w:rsidR="00380CB6">
        <w:rPr>
          <w:rFonts w:ascii="Century Schoolbook" w:hAnsi="Century Schoolbook"/>
        </w:rPr>
        <w:t>contends plaintiff present</w:t>
      </w:r>
      <w:r w:rsidR="00A81535">
        <w:rPr>
          <w:rFonts w:ascii="Century Schoolbook" w:hAnsi="Century Schoolbook"/>
        </w:rPr>
        <w:t>ed no</w:t>
      </w:r>
      <w:r w:rsidRPr="00283C20" w:rsidR="00380CB6">
        <w:rPr>
          <w:rFonts w:ascii="Century Schoolbook" w:hAnsi="Century Schoolbook"/>
        </w:rPr>
        <w:t xml:space="preserve"> factual argument </w:t>
      </w:r>
      <w:r w:rsidR="00A81535">
        <w:rPr>
          <w:rFonts w:ascii="Century Schoolbook" w:hAnsi="Century Schoolbook"/>
        </w:rPr>
        <w:t>“</w:t>
      </w:r>
      <w:r w:rsidRPr="00283C20" w:rsidR="00380CB6">
        <w:rPr>
          <w:rFonts w:ascii="Century Schoolbook" w:hAnsi="Century Schoolbook"/>
        </w:rPr>
        <w:t>explaining why or how [defendant’s] conduct rises to the level of gross negligence</w:t>
      </w:r>
      <w:r w:rsidRPr="00283C20" w:rsidR="002B763E">
        <w:rPr>
          <w:rFonts w:ascii="Century Schoolbook" w:hAnsi="Century Schoolbook"/>
        </w:rPr>
        <w:t>.</w:t>
      </w:r>
      <w:r w:rsidRPr="00283C20" w:rsidR="00380CB6">
        <w:rPr>
          <w:rFonts w:ascii="Century Schoolbook" w:hAnsi="Century Schoolbook"/>
        </w:rPr>
        <w:t>”</w:t>
      </w:r>
      <w:r w:rsidRPr="00283C20" w:rsidR="00C02174">
        <w:rPr>
          <w:rFonts w:ascii="Century Schoolbook" w:hAnsi="Century Schoolbook"/>
        </w:rPr>
        <w:t xml:space="preserve"> </w:t>
      </w:r>
    </w:p>
    <w:bookmarkEnd w:id="10"/>
    <w:p w:rsidR="008E730D" w:rsidRPr="00283C20" w:rsidP="00307C7A" w14:paraId="0A270D75" w14:textId="2961D24B">
      <w:pPr>
        <w:spacing w:line="360" w:lineRule="auto"/>
        <w:rPr>
          <w:rFonts w:ascii="Century Schoolbook" w:hAnsi="Century Schoolbook"/>
        </w:rPr>
      </w:pPr>
      <w:r w:rsidRPr="00283C20">
        <w:rPr>
          <w:rFonts w:ascii="Century Schoolbook" w:hAnsi="Century Schoolbook"/>
        </w:rPr>
        <w:tab/>
      </w:r>
      <w:bookmarkStart w:id="11" w:name="_Hlk153527259"/>
      <w:bookmarkStart w:id="12" w:name="_Hlk153537055"/>
      <w:r w:rsidRPr="00283C20" w:rsidR="00016759">
        <w:rPr>
          <w:rFonts w:ascii="Century Schoolbook" w:hAnsi="Century Schoolbook"/>
        </w:rPr>
        <w:t xml:space="preserve">“ ‘Generally, the rules relating to the scope of appellate review apply to appellate review of summary judgments.  [Citation.]  An argument or theory will . . . not be considered if it is raised for the first time on appeal.  [Citation.] </w:t>
      </w:r>
      <w:r w:rsidRPr="00283C20" w:rsidR="000A3AFE">
        <w:rPr>
          <w:rFonts w:ascii="Century Schoolbook" w:hAnsi="Century Schoolbook"/>
        </w:rPr>
        <w:t>.</w:t>
      </w:r>
      <w:r w:rsidRPr="00283C20" w:rsidR="00F67838">
        <w:rPr>
          <w:rFonts w:ascii="Century Schoolbook" w:hAnsi="Century Schoolbook"/>
        </w:rPr>
        <w:t> </w:t>
      </w:r>
      <w:r w:rsidRPr="00283C20" w:rsidR="000A3AFE">
        <w:rPr>
          <w:rFonts w:ascii="Century Schoolbook" w:hAnsi="Century Schoolbook"/>
        </w:rPr>
        <w:t>.</w:t>
      </w:r>
      <w:r w:rsidRPr="00283C20" w:rsidR="00F67838">
        <w:rPr>
          <w:rFonts w:ascii="Century Schoolbook" w:hAnsi="Century Schoolbook"/>
        </w:rPr>
        <w:t> </w:t>
      </w:r>
      <w:r w:rsidRPr="00283C20" w:rsidR="000A3AFE">
        <w:rPr>
          <w:rFonts w:ascii="Century Schoolbook" w:hAnsi="Century Schoolbook"/>
        </w:rPr>
        <w:t>.</w:t>
      </w:r>
      <w:r w:rsidRPr="00283C20" w:rsidR="00016759">
        <w:rPr>
          <w:rFonts w:ascii="Century Schoolbook" w:hAnsi="Century Schoolbook"/>
        </w:rPr>
        <w:t xml:space="preserve"> </w:t>
      </w:r>
      <w:r w:rsidRPr="00283C20" w:rsidR="000A3AFE">
        <w:rPr>
          <w:rFonts w:ascii="Century Schoolbook" w:hAnsi="Century Schoolbook"/>
        </w:rPr>
        <w:t>[P]</w:t>
      </w:r>
      <w:r w:rsidRPr="00283C20" w:rsidR="00016759">
        <w:rPr>
          <w:rFonts w:ascii="Century Schoolbook" w:hAnsi="Century Schoolbook"/>
        </w:rPr>
        <w:t>ossible theories that were not fully developed or factually presented to the trial court cannot create a ‘triable issue’ on</w:t>
      </w:r>
      <w:r w:rsidRPr="00283C20" w:rsidR="007B6E88">
        <w:rPr>
          <w:rFonts w:ascii="Century Schoolbook" w:hAnsi="Century Schoolbook"/>
        </w:rPr>
        <w:t xml:space="preserve"> a</w:t>
      </w:r>
      <w:r w:rsidRPr="00283C20" w:rsidR="00016759">
        <w:rPr>
          <w:rFonts w:ascii="Century Schoolbook" w:hAnsi="Century Schoolbook"/>
        </w:rPr>
        <w:t>ppeal.’</w:t>
      </w:r>
      <w:r w:rsidR="00525E67">
        <w:rPr>
          <w:rFonts w:ascii="Century Schoolbook" w:hAnsi="Century Schoolbook"/>
        </w:rPr>
        <w:t> </w:t>
      </w:r>
      <w:r w:rsidRPr="00283C20" w:rsidR="00016759">
        <w:rPr>
          <w:rFonts w:ascii="Century Schoolbook" w:hAnsi="Century Schoolbook"/>
        </w:rPr>
        <w:t>”  (</w:t>
      </w:r>
      <w:bookmarkStart w:id="13" w:name="_Hlk156806719"/>
      <w:r w:rsidRPr="00283C20" w:rsidR="00016759">
        <w:rPr>
          <w:rFonts w:ascii="Century Schoolbook" w:hAnsi="Century Schoolbook"/>
          <w:i/>
          <w:iCs/>
        </w:rPr>
        <w:t>DiCola v. White Brothers Performance Products, Inc.</w:t>
      </w:r>
      <w:r w:rsidRPr="00283C20" w:rsidR="00016759">
        <w:rPr>
          <w:rFonts w:ascii="Century Schoolbook" w:hAnsi="Century Schoolbook"/>
        </w:rPr>
        <w:t xml:space="preserve"> (2008) 158 Cal.App.4th 666, 676</w:t>
      </w:r>
      <w:bookmarkEnd w:id="11"/>
      <w:bookmarkEnd w:id="13"/>
      <w:r w:rsidRPr="00283C20">
        <w:rPr>
          <w:rFonts w:ascii="Century Schoolbook" w:hAnsi="Century Schoolbook"/>
        </w:rPr>
        <w:t>.)</w:t>
      </w:r>
    </w:p>
    <w:p w:rsidR="008A64E3" w:rsidRPr="00283C20" w:rsidP="00307C7A" w14:paraId="10F55309" w14:textId="1FEBBDD4">
      <w:pPr>
        <w:spacing w:line="360" w:lineRule="auto"/>
        <w:rPr>
          <w:rFonts w:ascii="Century Schoolbook" w:hAnsi="Century Schoolbook"/>
        </w:rPr>
      </w:pPr>
      <w:r w:rsidRPr="00283C20">
        <w:rPr>
          <w:rFonts w:ascii="Century Schoolbook" w:hAnsi="Century Schoolbook"/>
        </w:rPr>
        <w:tab/>
      </w:r>
      <w:bookmarkStart w:id="14" w:name="_Hlk153454245"/>
      <w:r w:rsidRPr="00283C20" w:rsidR="00323BD0">
        <w:rPr>
          <w:rFonts w:ascii="Century Schoolbook" w:hAnsi="Century Schoolbook"/>
        </w:rPr>
        <w:t xml:space="preserve">“[O]rdinary negligence </w:t>
      </w:r>
      <w:r w:rsidRPr="00283C20" w:rsidR="00F70D10">
        <w:rPr>
          <w:rFonts w:ascii="Century Schoolbook" w:hAnsi="Century Schoolbook"/>
        </w:rPr>
        <w:t>‘</w:t>
      </w:r>
      <w:r w:rsidRPr="00283C20" w:rsidR="00323BD0">
        <w:rPr>
          <w:rFonts w:ascii="Century Schoolbook" w:hAnsi="Century Schoolbook"/>
        </w:rPr>
        <w:t>consists of a failure to exercise the degree of care in a given situation that a reasonable person under similar circumstances would employ to protect others from harm.</w:t>
      </w:r>
      <w:r w:rsidRPr="00283C20" w:rsidR="00F70D10">
        <w:rPr>
          <w:rFonts w:ascii="Century Schoolbook" w:hAnsi="Century Schoolbook"/>
        </w:rPr>
        <w:t>’</w:t>
      </w:r>
      <w:r w:rsidRPr="00283C20" w:rsidR="00323BD0">
        <w:rPr>
          <w:rFonts w:ascii="Century Schoolbook" w:hAnsi="Century Schoolbook"/>
        </w:rPr>
        <w:t xml:space="preserve"> </w:t>
      </w:r>
      <w:r w:rsidRPr="00283C20" w:rsidR="00F70D10">
        <w:rPr>
          <w:rFonts w:ascii="Century Schoolbook" w:hAnsi="Century Schoolbook"/>
        </w:rPr>
        <w:t xml:space="preserve"> [Citation.] </w:t>
      </w:r>
      <w:r w:rsidRPr="00283C20" w:rsidR="00323BD0">
        <w:rPr>
          <w:rFonts w:ascii="Century Schoolbook" w:hAnsi="Century Schoolbook"/>
        </w:rPr>
        <w:t xml:space="preserve"> ‘</w:t>
      </w:r>
      <w:r w:rsidRPr="00283C20" w:rsidR="00F70D10">
        <w:rPr>
          <w:rFonts w:ascii="Century Schoolbook" w:hAnsi="Century Schoolbook"/>
        </w:rPr>
        <w:t> “</w:t>
      </w:r>
      <w:r w:rsidRPr="00283C20" w:rsidR="00323BD0">
        <w:rPr>
          <w:rFonts w:ascii="Century Schoolbook" w:hAnsi="Century Schoolbook"/>
        </w:rPr>
        <w:t>[M]ere nonfeasance, such as the failure to discover a dangerous condition or to perform a duty,”</w:t>
      </w:r>
      <w:r w:rsidRPr="00283C20" w:rsidR="00F70D10">
        <w:rPr>
          <w:rFonts w:ascii="Century Schoolbook" w:hAnsi="Century Schoolbook"/>
        </w:rPr>
        <w:t> ’</w:t>
      </w:r>
      <w:r w:rsidRPr="00283C20" w:rsidR="00323BD0">
        <w:rPr>
          <w:rFonts w:ascii="Century Schoolbook" w:hAnsi="Century Schoolbook"/>
        </w:rPr>
        <w:t xml:space="preserve"> amounts to ordinary negligence.</w:t>
      </w:r>
      <w:r w:rsidRPr="00283C20" w:rsidR="00F70D10">
        <w:rPr>
          <w:rFonts w:ascii="Century Schoolbook" w:hAnsi="Century Schoolbook"/>
        </w:rPr>
        <w:t xml:space="preserve">  [Citation.]  However, to support a theory of ‘ “[g]ross negligence,” ’ a plaintiff must allege facts showing ‘either a “ ‘ “want of even scant care” ’ ” or “ ‘ “an </w:t>
      </w:r>
      <w:r w:rsidRPr="00283C20" w:rsidR="00F70D10">
        <w:rPr>
          <w:rFonts w:ascii="Century Schoolbook" w:hAnsi="Century Schoolbook"/>
          <w:i/>
          <w:iCs/>
        </w:rPr>
        <w:t>extreme</w:t>
      </w:r>
      <w:r w:rsidRPr="00283C20" w:rsidR="00F70D10">
        <w:rPr>
          <w:rFonts w:ascii="Century Schoolbook" w:hAnsi="Century Schoolbook"/>
        </w:rPr>
        <w:t xml:space="preserve"> departure from the ordinary standard of conduct.” ’ ”</w:t>
      </w:r>
      <w:r w:rsidRPr="00283C20" w:rsidR="006519FB">
        <w:rPr>
          <w:rFonts w:ascii="Century Schoolbook" w:hAnsi="Century Schoolbook"/>
        </w:rPr>
        <w:t> </w:t>
      </w:r>
      <w:r w:rsidRPr="00283C20" w:rsidR="00F70D10">
        <w:rPr>
          <w:rFonts w:ascii="Century Schoolbook" w:hAnsi="Century Schoolbook"/>
        </w:rPr>
        <w:t>’</w:t>
      </w:r>
      <w:r w:rsidRPr="00283C20" w:rsidR="006519FB">
        <w:rPr>
          <w:rFonts w:ascii="Century Schoolbook" w:hAnsi="Century Schoolbook"/>
        </w:rPr>
        <w:t> </w:t>
      </w:r>
      <w:r w:rsidRPr="00283C20" w:rsidR="00323BD0">
        <w:rPr>
          <w:rFonts w:ascii="Century Schoolbook" w:hAnsi="Century Schoolbook"/>
        </w:rPr>
        <w:t>”</w:t>
      </w:r>
      <w:r w:rsidRPr="00283C20" w:rsidR="00F70D10">
        <w:rPr>
          <w:rFonts w:ascii="Century Schoolbook" w:hAnsi="Century Schoolbook"/>
        </w:rPr>
        <w:t xml:space="preserve">  (</w:t>
      </w:r>
      <w:bookmarkStart w:id="15" w:name="_Hlk156806726"/>
      <w:r w:rsidRPr="00283C20" w:rsidR="00E71610">
        <w:rPr>
          <w:rFonts w:ascii="Century Schoolbook" w:hAnsi="Century Schoolbook"/>
          <w:i/>
          <w:iCs/>
        </w:rPr>
        <w:t xml:space="preserve">Anderson v. Fitness Internat., LLC </w:t>
      </w:r>
      <w:r w:rsidRPr="00283C20" w:rsidR="00E71610">
        <w:rPr>
          <w:rFonts w:ascii="Century Schoolbook" w:hAnsi="Century Schoolbook"/>
        </w:rPr>
        <w:t xml:space="preserve">(2016) </w:t>
      </w:r>
      <w:r w:rsidRPr="00283C20" w:rsidR="00F70D10">
        <w:rPr>
          <w:rFonts w:ascii="Century Schoolbook" w:hAnsi="Century Schoolbook"/>
        </w:rPr>
        <w:t xml:space="preserve">4 Cal.App.5th </w:t>
      </w:r>
      <w:r w:rsidR="00A07566">
        <w:rPr>
          <w:rFonts w:ascii="Century Schoolbook" w:hAnsi="Century Schoolbook"/>
        </w:rPr>
        <w:t>867,</w:t>
      </w:r>
      <w:r w:rsidRPr="00283C20" w:rsidR="006519FB">
        <w:rPr>
          <w:rFonts w:ascii="Century Schoolbook" w:hAnsi="Century Schoolbook"/>
        </w:rPr>
        <w:t> </w:t>
      </w:r>
      <w:r w:rsidRPr="00283C20" w:rsidR="00F70D10">
        <w:rPr>
          <w:rFonts w:ascii="Century Schoolbook" w:hAnsi="Century Schoolbook"/>
        </w:rPr>
        <w:t>881</w:t>
      </w:r>
      <w:r w:rsidR="00161E8D">
        <w:rPr>
          <w:rFonts w:ascii="Century Schoolbook" w:hAnsi="Century Schoolbook"/>
        </w:rPr>
        <w:t xml:space="preserve"> (</w:t>
      </w:r>
      <w:r w:rsidRPr="000A30BA" w:rsidR="00161E8D">
        <w:rPr>
          <w:rFonts w:ascii="Century Schoolbook" w:hAnsi="Century Schoolbook"/>
          <w:i/>
          <w:iCs/>
        </w:rPr>
        <w:t>Anderson</w:t>
      </w:r>
      <w:r w:rsidR="00161E8D">
        <w:rPr>
          <w:rFonts w:ascii="Century Schoolbook" w:hAnsi="Century Schoolbook"/>
        </w:rPr>
        <w:t>)</w:t>
      </w:r>
      <w:bookmarkEnd w:id="15"/>
      <w:r w:rsidRPr="00283C20" w:rsidR="00F70D10">
        <w:rPr>
          <w:rFonts w:ascii="Century Schoolbook" w:hAnsi="Century Schoolbook"/>
        </w:rPr>
        <w:t>.)</w:t>
      </w:r>
      <w:r w:rsidRPr="00283C20" w:rsidR="002E2ED6">
        <w:rPr>
          <w:rFonts w:ascii="Century Schoolbook" w:hAnsi="Century Schoolbook"/>
        </w:rPr>
        <w:t xml:space="preserve">  “[I]n cases involving a waiver of liability for future negligence, courts have held that conduct that substantially or unreasonably increased the inherent risk of an activity or actively concealed a known risk could amount to gross negligence, which would not be barred by a release agreement.  [Citation.]  Evidence of conduct that evinces an extreme departure from manufacturer’s safety directions or an industry standard also could demonstrate gross negligence.  [Citation.]  Conversely, conduct demonstrating the failure to guard against, or warn of, a dangerous condition typically does not rise to the level of gross negligence.”  (</w:t>
      </w:r>
      <w:r w:rsidRPr="00283C20" w:rsidR="002E2ED6">
        <w:rPr>
          <w:rFonts w:ascii="Century Schoolbook" w:hAnsi="Century Schoolbook"/>
          <w:i/>
          <w:iCs/>
        </w:rPr>
        <w:t>Ibid.</w:t>
      </w:r>
      <w:r w:rsidRPr="00283C20" w:rsidR="002E2ED6">
        <w:rPr>
          <w:rFonts w:ascii="Century Schoolbook" w:hAnsi="Century Schoolbook"/>
        </w:rPr>
        <w:t>)</w:t>
      </w:r>
    </w:p>
    <w:bookmarkEnd w:id="12"/>
    <w:bookmarkEnd w:id="14"/>
    <w:p w:rsidR="00002F9F" w:rsidRPr="00283C20" w:rsidP="00002F9F" w14:paraId="604D0BE2" w14:textId="73B3D790">
      <w:pPr>
        <w:spacing w:line="360" w:lineRule="auto"/>
        <w:rPr>
          <w:rFonts w:ascii="Century Schoolbook" w:hAnsi="Century Schoolbook"/>
        </w:rPr>
      </w:pPr>
      <w:r w:rsidRPr="00283C20">
        <w:rPr>
          <w:rFonts w:ascii="Century Schoolbook" w:hAnsi="Century Schoolbook"/>
        </w:rPr>
        <w:tab/>
      </w:r>
      <w:r w:rsidRPr="00283C20" w:rsidR="002B763E">
        <w:rPr>
          <w:rFonts w:ascii="Century Schoolbook" w:hAnsi="Century Schoolbook"/>
        </w:rPr>
        <w:t>Here, p</w:t>
      </w:r>
      <w:r w:rsidRPr="00283C20">
        <w:rPr>
          <w:rFonts w:ascii="Century Schoolbook" w:hAnsi="Century Schoolbook"/>
        </w:rPr>
        <w:t>laintiff</w:t>
      </w:r>
      <w:r w:rsidRPr="00283C20" w:rsidR="00902F36">
        <w:rPr>
          <w:rFonts w:ascii="Century Schoolbook" w:hAnsi="Century Schoolbook"/>
        </w:rPr>
        <w:t>’s opposition to defendant’s motion for summary judgment</w:t>
      </w:r>
      <w:r w:rsidRPr="00283C20" w:rsidR="00D05EBA">
        <w:rPr>
          <w:rFonts w:ascii="Century Schoolbook" w:hAnsi="Century Schoolbook"/>
        </w:rPr>
        <w:t xml:space="preserve"> </w:t>
      </w:r>
      <w:r w:rsidR="00EC1C48">
        <w:rPr>
          <w:rFonts w:ascii="Century Schoolbook" w:hAnsi="Century Schoolbook"/>
        </w:rPr>
        <w:t xml:space="preserve">made multiple, if somewhat brief, </w:t>
      </w:r>
      <w:r w:rsidR="00B13741">
        <w:rPr>
          <w:rFonts w:ascii="Century Schoolbook" w:hAnsi="Century Schoolbook"/>
        </w:rPr>
        <w:t>references</w:t>
      </w:r>
      <w:r w:rsidRPr="00283C20" w:rsidR="00DF2DB4">
        <w:rPr>
          <w:rFonts w:ascii="Century Schoolbook" w:hAnsi="Century Schoolbook"/>
        </w:rPr>
        <w:t xml:space="preserve"> to</w:t>
      </w:r>
      <w:r w:rsidRPr="00283C20" w:rsidR="00902F36">
        <w:rPr>
          <w:rFonts w:ascii="Century Schoolbook" w:hAnsi="Century Schoolbook"/>
        </w:rPr>
        <w:t xml:space="preserve"> gross negligence.  </w:t>
      </w:r>
      <w:r w:rsidRPr="00283C20" w:rsidR="00C74F59">
        <w:rPr>
          <w:rFonts w:ascii="Century Schoolbook" w:hAnsi="Century Schoolbook"/>
        </w:rPr>
        <w:t xml:space="preserve">For example, </w:t>
      </w:r>
      <w:r w:rsidRPr="00283C20" w:rsidR="00902F36">
        <w:rPr>
          <w:rFonts w:ascii="Century Schoolbook" w:hAnsi="Century Schoolbook"/>
        </w:rPr>
        <w:t>the</w:t>
      </w:r>
      <w:r w:rsidRPr="00283C20">
        <w:rPr>
          <w:rFonts w:ascii="Century Schoolbook" w:hAnsi="Century Schoolbook"/>
        </w:rPr>
        <w:t xml:space="preserve"> introduction </w:t>
      </w:r>
      <w:r w:rsidR="00B13741">
        <w:rPr>
          <w:rFonts w:ascii="Century Schoolbook" w:hAnsi="Century Schoolbook"/>
        </w:rPr>
        <w:t>to</w:t>
      </w:r>
      <w:r w:rsidRPr="00283C20">
        <w:rPr>
          <w:rFonts w:ascii="Century Schoolbook" w:hAnsi="Century Schoolbook"/>
        </w:rPr>
        <w:t xml:space="preserve"> his opposition </w:t>
      </w:r>
      <w:r w:rsidR="00EC1C48">
        <w:rPr>
          <w:rFonts w:ascii="Century Schoolbook" w:hAnsi="Century Schoolbook"/>
        </w:rPr>
        <w:t>asserted</w:t>
      </w:r>
      <w:r w:rsidRPr="00283C20">
        <w:rPr>
          <w:rFonts w:ascii="Century Schoolbook" w:hAnsi="Century Schoolbook"/>
        </w:rPr>
        <w:t xml:space="preserve"> defendant’s motion should be denied because “the City increased the risk of harm to the public (which cannot be assumed under primary assumption of the risk or with a written waiver if the risk increases to the level of gross negligence, a question of fact[)].” </w:t>
      </w:r>
      <w:r w:rsidRPr="00283C20" w:rsidR="00CE224E">
        <w:rPr>
          <w:rFonts w:ascii="Century Schoolbook" w:hAnsi="Century Schoolbook"/>
        </w:rPr>
        <w:t xml:space="preserve"> </w:t>
      </w:r>
      <w:r w:rsidR="00151B33">
        <w:rPr>
          <w:rFonts w:ascii="Century Schoolbook" w:hAnsi="Century Schoolbook"/>
        </w:rPr>
        <w:t xml:space="preserve">The </w:t>
      </w:r>
      <w:r w:rsidR="00EC1C48">
        <w:rPr>
          <w:rFonts w:ascii="Century Schoolbook" w:hAnsi="Century Schoolbook"/>
        </w:rPr>
        <w:t>opposition also included assertions</w:t>
      </w:r>
      <w:r w:rsidRPr="00283C20">
        <w:rPr>
          <w:rFonts w:ascii="Century Schoolbook" w:hAnsi="Century Schoolbook"/>
        </w:rPr>
        <w:t xml:space="preserve"> that defendant cannot evade accountability </w:t>
      </w:r>
      <w:r w:rsidRPr="00283C20" w:rsidR="00CE224E">
        <w:rPr>
          <w:rFonts w:ascii="Century Schoolbook" w:hAnsi="Century Schoolbook"/>
        </w:rPr>
        <w:t>through</w:t>
      </w:r>
      <w:r w:rsidRPr="00283C20">
        <w:rPr>
          <w:rFonts w:ascii="Century Schoolbook" w:hAnsi="Century Schoolbook"/>
        </w:rPr>
        <w:t xml:space="preserve"> the release “for increasing the risk of harm that rises to gross negligence (a question of fact)</w:t>
      </w:r>
      <w:r w:rsidR="00151B33">
        <w:rPr>
          <w:rFonts w:ascii="Century Schoolbook" w:hAnsi="Century Schoolbook"/>
        </w:rPr>
        <w:t>,</w:t>
      </w:r>
      <w:r w:rsidRPr="00283C20">
        <w:rPr>
          <w:rFonts w:ascii="Century Schoolbook" w:hAnsi="Century Schoolbook"/>
        </w:rPr>
        <w:t>”</w:t>
      </w:r>
      <w:r w:rsidRPr="00283C20" w:rsidR="002B763E">
        <w:rPr>
          <w:rFonts w:ascii="Century Schoolbook" w:hAnsi="Century Schoolbook"/>
        </w:rPr>
        <w:t xml:space="preserve"> </w:t>
      </w:r>
      <w:r w:rsidR="00151B33">
        <w:rPr>
          <w:rFonts w:ascii="Century Schoolbook" w:hAnsi="Century Schoolbook"/>
        </w:rPr>
        <w:t>and that</w:t>
      </w:r>
      <w:bookmarkStart w:id="16" w:name="_Hlk153526913"/>
      <w:r w:rsidRPr="00283C20" w:rsidR="002B763E">
        <w:rPr>
          <w:rFonts w:ascii="Century Schoolbook" w:hAnsi="Century Schoolbook"/>
        </w:rPr>
        <w:t xml:space="preserve"> defendant “increased the risk of harm on Skyline in multiple ways</w:t>
      </w:r>
      <w:r w:rsidRPr="00283C20" w:rsidR="00DC31C9">
        <w:rPr>
          <w:rFonts w:ascii="Century Schoolbook" w:hAnsi="Century Schoolbook"/>
        </w:rPr>
        <w:t xml:space="preserve">:  Installing the distracting and dangerous ‘rumble strips’ trap just uphill from the pothole; Misprioritizing and delaying repairs, exposing more people to more severe harm; and Poorly maintaining the road based on ‘missing’ data that it never even tried to obtain or provide warning to the public.” </w:t>
      </w:r>
      <w:bookmarkEnd w:id="16"/>
      <w:r w:rsidRPr="00283C20" w:rsidR="00523436">
        <w:rPr>
          <w:rFonts w:ascii="Century Schoolbook" w:hAnsi="Century Schoolbook"/>
        </w:rPr>
        <w:t xml:space="preserve"> Plaintiff’s opposition also reference</w:t>
      </w:r>
      <w:r w:rsidR="00151B33">
        <w:rPr>
          <w:rFonts w:ascii="Century Schoolbook" w:hAnsi="Century Schoolbook"/>
        </w:rPr>
        <w:t>d</w:t>
      </w:r>
      <w:r w:rsidRPr="00283C20" w:rsidR="00523436">
        <w:rPr>
          <w:rFonts w:ascii="Century Schoolbook" w:hAnsi="Century Schoolbook"/>
        </w:rPr>
        <w:t xml:space="preserve"> his motion for summary adjudication, where he cited to</w:t>
      </w:r>
      <w:r w:rsidR="00B00D81">
        <w:rPr>
          <w:rFonts w:ascii="Century Schoolbook" w:hAnsi="Century Schoolbook"/>
        </w:rPr>
        <w:t xml:space="preserve"> </w:t>
      </w:r>
      <w:r w:rsidRPr="00283C20" w:rsidR="00523436">
        <w:rPr>
          <w:rFonts w:ascii="Century Schoolbook" w:hAnsi="Century Schoolbook"/>
        </w:rPr>
        <w:t xml:space="preserve">a portion of </w:t>
      </w:r>
      <w:bookmarkStart w:id="17" w:name="_Hlk156806736"/>
      <w:r w:rsidRPr="00283C20" w:rsidR="00523436">
        <w:rPr>
          <w:rFonts w:ascii="Century Schoolbook" w:hAnsi="Century Schoolbook"/>
          <w:i/>
          <w:iCs/>
        </w:rPr>
        <w:t>Willhide-Michiulis v. Mammoth Mountain Ski Area, LLC</w:t>
      </w:r>
      <w:r w:rsidRPr="00283C20" w:rsidR="00523436">
        <w:rPr>
          <w:rFonts w:ascii="Century Schoolbook" w:hAnsi="Century Schoolbook"/>
        </w:rPr>
        <w:t xml:space="preserve"> (2018) 25 Cal.App.5th 344 </w:t>
      </w:r>
      <w:bookmarkEnd w:id="17"/>
      <w:r w:rsidRPr="00283C20" w:rsidR="00523436">
        <w:rPr>
          <w:rFonts w:ascii="Century Schoolbook" w:hAnsi="Century Schoolbook"/>
        </w:rPr>
        <w:t>stat</w:t>
      </w:r>
      <w:r w:rsidR="00151B33">
        <w:rPr>
          <w:rFonts w:ascii="Century Schoolbook" w:hAnsi="Century Schoolbook"/>
        </w:rPr>
        <w:t>ing</w:t>
      </w:r>
      <w:r w:rsidR="00AB12C3">
        <w:rPr>
          <w:rFonts w:ascii="Century Schoolbook" w:hAnsi="Century Schoolbook"/>
        </w:rPr>
        <w:t xml:space="preserve"> that</w:t>
      </w:r>
      <w:r w:rsidRPr="00283C20" w:rsidR="00523436">
        <w:rPr>
          <w:rFonts w:ascii="Century Schoolbook" w:hAnsi="Century Schoolbook"/>
        </w:rPr>
        <w:t xml:space="preserve"> “conduct that substantially or unreasonably increased the inherent risk of an activity or actively concealed a known risk could amount to gross negligence, which would not be barred by a release agreement.” </w:t>
      </w:r>
    </w:p>
    <w:p w:rsidR="005A1289" w:rsidRPr="00283C20" w:rsidP="005F3E1B" w14:paraId="03B161C3" w14:textId="53920135">
      <w:pPr>
        <w:spacing w:line="360" w:lineRule="auto"/>
        <w:rPr>
          <w:rFonts w:ascii="Century Schoolbook" w:hAnsi="Century Schoolbook"/>
        </w:rPr>
      </w:pPr>
      <w:r w:rsidRPr="00283C20">
        <w:rPr>
          <w:rFonts w:ascii="Century Schoolbook" w:hAnsi="Century Schoolbook"/>
        </w:rPr>
        <w:tab/>
      </w:r>
      <w:r w:rsidR="00151B33">
        <w:rPr>
          <w:rFonts w:ascii="Century Schoolbook" w:hAnsi="Century Schoolbook"/>
        </w:rPr>
        <w:t xml:space="preserve">Notably, however, </w:t>
      </w:r>
      <w:r w:rsidRPr="00283C20" w:rsidR="00FE13AA">
        <w:rPr>
          <w:rFonts w:ascii="Century Schoolbook" w:hAnsi="Century Schoolbook"/>
        </w:rPr>
        <w:t>plaintiff’s</w:t>
      </w:r>
      <w:r w:rsidRPr="00283C20">
        <w:rPr>
          <w:rFonts w:ascii="Century Schoolbook" w:hAnsi="Century Schoolbook"/>
        </w:rPr>
        <w:t xml:space="preserve"> opposition contained no </w:t>
      </w:r>
      <w:r w:rsidRPr="00283C20" w:rsidR="00FA0AA1">
        <w:rPr>
          <w:rFonts w:ascii="Century Schoolbook" w:hAnsi="Century Schoolbook"/>
        </w:rPr>
        <w:t xml:space="preserve">clear </w:t>
      </w:r>
      <w:r w:rsidRPr="00283C20">
        <w:rPr>
          <w:rFonts w:ascii="Century Schoolbook" w:hAnsi="Century Schoolbook"/>
        </w:rPr>
        <w:t xml:space="preserve">argument as to how defendant’s alleged deficiencies </w:t>
      </w:r>
      <w:r w:rsidRPr="00283C20" w:rsidR="00B21ACA">
        <w:rPr>
          <w:rFonts w:ascii="Century Schoolbook" w:hAnsi="Century Schoolbook"/>
        </w:rPr>
        <w:t xml:space="preserve">amounted to gross negligence.  </w:t>
      </w:r>
      <w:r w:rsidR="00823D91">
        <w:rPr>
          <w:rFonts w:ascii="Century Schoolbook" w:hAnsi="Century Schoolbook"/>
        </w:rPr>
        <w:t>As the trial court indicated when plaintiff mentioned gross negligence at the summary judgment hearing</w:t>
      </w:r>
      <w:r w:rsidRPr="00B43FB4" w:rsidR="00823D91">
        <w:rPr>
          <w:rFonts w:ascii="Century Schoolbook" w:hAnsi="Century Schoolbook"/>
          <w:color w:val="000000" w:themeColor="text1"/>
        </w:rPr>
        <w:t xml:space="preserve">, plaintiff had “merely float[ed]” the idea that there was gross negligence, </w:t>
      </w:r>
      <w:r w:rsidR="00AB12C3">
        <w:rPr>
          <w:rFonts w:ascii="Century Schoolbook" w:hAnsi="Century Schoolbook"/>
          <w:color w:val="000000" w:themeColor="text1"/>
        </w:rPr>
        <w:t xml:space="preserve">thus </w:t>
      </w:r>
      <w:r w:rsidRPr="00B43FB4" w:rsidR="00823D91">
        <w:rPr>
          <w:rFonts w:ascii="Century Schoolbook" w:hAnsi="Century Schoolbook"/>
          <w:color w:val="000000" w:themeColor="text1"/>
        </w:rPr>
        <w:t>leaving</w:t>
      </w:r>
      <w:r w:rsidRPr="00B43FB4" w:rsidR="00822409">
        <w:rPr>
          <w:rFonts w:ascii="Century Schoolbook" w:hAnsi="Century Schoolbook"/>
          <w:color w:val="000000" w:themeColor="text1"/>
        </w:rPr>
        <w:t xml:space="preserve"> </w:t>
      </w:r>
      <w:r w:rsidRPr="00283C20" w:rsidR="00822409">
        <w:rPr>
          <w:rFonts w:ascii="Century Schoolbook" w:hAnsi="Century Schoolbook"/>
        </w:rPr>
        <w:t xml:space="preserve">the court to </w:t>
      </w:r>
      <w:r w:rsidRPr="00283C20" w:rsidR="00C74F59">
        <w:rPr>
          <w:rFonts w:ascii="Century Schoolbook" w:hAnsi="Century Schoolbook"/>
        </w:rPr>
        <w:t xml:space="preserve">guess </w:t>
      </w:r>
      <w:r w:rsidRPr="00283C20" w:rsidR="00822409">
        <w:rPr>
          <w:rFonts w:ascii="Century Schoolbook" w:hAnsi="Century Schoolbook"/>
        </w:rPr>
        <w:t xml:space="preserve">what exactly </w:t>
      </w:r>
      <w:r w:rsidRPr="00283C20" w:rsidR="003E7BA7">
        <w:rPr>
          <w:rFonts w:ascii="Century Schoolbook" w:hAnsi="Century Schoolbook"/>
        </w:rPr>
        <w:t>his</w:t>
      </w:r>
      <w:r w:rsidRPr="00283C20" w:rsidR="00E23D68">
        <w:rPr>
          <w:rFonts w:ascii="Century Schoolbook" w:hAnsi="Century Schoolbook"/>
        </w:rPr>
        <w:t xml:space="preserve"> gross negligence</w:t>
      </w:r>
      <w:r w:rsidRPr="00283C20" w:rsidR="00822409">
        <w:rPr>
          <w:rFonts w:ascii="Century Schoolbook" w:hAnsi="Century Schoolbook"/>
        </w:rPr>
        <w:t xml:space="preserve"> theory was.</w:t>
      </w:r>
      <w:r w:rsidRPr="00283C20" w:rsidR="000A4177">
        <w:rPr>
          <w:rFonts w:ascii="Century Schoolbook" w:hAnsi="Century Schoolbook"/>
        </w:rPr>
        <w:t xml:space="preserve"> </w:t>
      </w:r>
      <w:r w:rsidRPr="00283C20" w:rsidR="00822409">
        <w:rPr>
          <w:rFonts w:ascii="Century Schoolbook" w:hAnsi="Century Schoolbook"/>
        </w:rPr>
        <w:t xml:space="preserve"> </w:t>
      </w:r>
      <w:r w:rsidR="00AB12C3">
        <w:rPr>
          <w:rFonts w:ascii="Century Schoolbook" w:hAnsi="Century Schoolbook"/>
        </w:rPr>
        <w:t>The record bears this out.  Although p</w:t>
      </w:r>
      <w:r w:rsidRPr="00283C20" w:rsidR="00EE3324">
        <w:rPr>
          <w:rFonts w:ascii="Century Schoolbook" w:hAnsi="Century Schoolbook"/>
        </w:rPr>
        <w:t>laintiff claimed</w:t>
      </w:r>
      <w:r w:rsidRPr="00283C20">
        <w:rPr>
          <w:rFonts w:ascii="Century Schoolbook" w:hAnsi="Century Schoolbook"/>
        </w:rPr>
        <w:t xml:space="preserve"> defendant increased the risk of harm </w:t>
      </w:r>
      <w:r w:rsidRPr="00283C20" w:rsidR="00EE3324">
        <w:rPr>
          <w:rFonts w:ascii="Century Schoolbook" w:hAnsi="Century Schoolbook"/>
        </w:rPr>
        <w:t xml:space="preserve">in several ways, </w:t>
      </w:r>
      <w:r w:rsidR="00AB12C3">
        <w:rPr>
          <w:rFonts w:ascii="Century Schoolbook" w:hAnsi="Century Schoolbook"/>
        </w:rPr>
        <w:t>he</w:t>
      </w:r>
      <w:r w:rsidRPr="00283C20" w:rsidR="00EE3324">
        <w:rPr>
          <w:rFonts w:ascii="Century Schoolbook" w:hAnsi="Century Schoolbook"/>
        </w:rPr>
        <w:t xml:space="preserve"> never</w:t>
      </w:r>
      <w:r w:rsidRPr="00283C20" w:rsidR="00C74F59">
        <w:rPr>
          <w:rFonts w:ascii="Century Schoolbook" w:hAnsi="Century Schoolbook"/>
        </w:rPr>
        <w:t xml:space="preserve"> explained </w:t>
      </w:r>
      <w:r w:rsidRPr="00283C20" w:rsidR="00612247">
        <w:rPr>
          <w:rFonts w:ascii="Century Schoolbook" w:hAnsi="Century Schoolbook"/>
        </w:rPr>
        <w:t>how</w:t>
      </w:r>
      <w:r w:rsidRPr="00283C20">
        <w:rPr>
          <w:rFonts w:ascii="Century Schoolbook" w:hAnsi="Century Schoolbook"/>
        </w:rPr>
        <w:t xml:space="preserve"> </w:t>
      </w:r>
      <w:r w:rsidR="00AB12C3">
        <w:rPr>
          <w:rFonts w:ascii="Century Schoolbook" w:hAnsi="Century Schoolbook"/>
        </w:rPr>
        <w:t>defendant’s</w:t>
      </w:r>
      <w:r w:rsidRPr="00283C20">
        <w:rPr>
          <w:rFonts w:ascii="Century Schoolbook" w:hAnsi="Century Schoolbook"/>
        </w:rPr>
        <w:t xml:space="preserve"> </w:t>
      </w:r>
      <w:r w:rsidRPr="00283C20" w:rsidR="00612247">
        <w:rPr>
          <w:rFonts w:ascii="Century Schoolbook" w:hAnsi="Century Schoolbook"/>
        </w:rPr>
        <w:t>alleged</w:t>
      </w:r>
      <w:r w:rsidRPr="00283C20">
        <w:rPr>
          <w:rFonts w:ascii="Century Schoolbook" w:hAnsi="Century Schoolbook"/>
        </w:rPr>
        <w:t xml:space="preserve"> conduct </w:t>
      </w:r>
      <w:r w:rsidRPr="00283C20">
        <w:rPr>
          <w:rFonts w:ascii="Century Schoolbook" w:hAnsi="Century Schoolbook"/>
          <w:i/>
          <w:iCs/>
        </w:rPr>
        <w:t>substantially or unreasonably</w:t>
      </w:r>
      <w:r w:rsidRPr="00283C20">
        <w:rPr>
          <w:rFonts w:ascii="Century Schoolbook" w:hAnsi="Century Schoolbook"/>
        </w:rPr>
        <w:t xml:space="preserve"> increased the risk </w:t>
      </w:r>
      <w:r w:rsidRPr="00283C20" w:rsidR="00E23D68">
        <w:rPr>
          <w:rFonts w:ascii="Century Schoolbook" w:hAnsi="Century Schoolbook"/>
        </w:rPr>
        <w:t xml:space="preserve">in </w:t>
      </w:r>
      <w:r w:rsidR="001D3513">
        <w:rPr>
          <w:rFonts w:ascii="Century Schoolbook" w:hAnsi="Century Schoolbook"/>
        </w:rPr>
        <w:t xml:space="preserve">a </w:t>
      </w:r>
      <w:r w:rsidRPr="00283C20" w:rsidR="00E23D68">
        <w:rPr>
          <w:rFonts w:ascii="Century Schoolbook" w:hAnsi="Century Schoolbook"/>
        </w:rPr>
        <w:t>way that</w:t>
      </w:r>
      <w:r w:rsidRPr="00283C20">
        <w:rPr>
          <w:rFonts w:ascii="Century Schoolbook" w:hAnsi="Century Schoolbook"/>
        </w:rPr>
        <w:t xml:space="preserve"> amount</w:t>
      </w:r>
      <w:r w:rsidRPr="00283C20" w:rsidR="00E23D68">
        <w:rPr>
          <w:rFonts w:ascii="Century Schoolbook" w:hAnsi="Century Schoolbook"/>
        </w:rPr>
        <w:t>s</w:t>
      </w:r>
      <w:r w:rsidRPr="00283C20">
        <w:rPr>
          <w:rFonts w:ascii="Century Schoolbook" w:hAnsi="Century Schoolbook"/>
        </w:rPr>
        <w:t xml:space="preserve"> to gross negligence</w:t>
      </w:r>
      <w:r w:rsidR="005F3290">
        <w:rPr>
          <w:rFonts w:ascii="Century Schoolbook" w:hAnsi="Century Schoolbook"/>
        </w:rPr>
        <w:t>, much less point</w:t>
      </w:r>
      <w:r w:rsidR="00925B5B">
        <w:rPr>
          <w:rFonts w:ascii="Century Schoolbook" w:hAnsi="Century Schoolbook"/>
        </w:rPr>
        <w:t>ed</w:t>
      </w:r>
      <w:r w:rsidR="005F3290">
        <w:rPr>
          <w:rFonts w:ascii="Century Schoolbook" w:hAnsi="Century Schoolbook"/>
        </w:rPr>
        <w:t xml:space="preserve"> to evidence </w:t>
      </w:r>
      <w:r w:rsidR="00E0020A">
        <w:rPr>
          <w:rFonts w:ascii="Century Schoolbook" w:hAnsi="Century Schoolbook"/>
        </w:rPr>
        <w:t>of</w:t>
      </w:r>
      <w:r w:rsidR="005F3290">
        <w:rPr>
          <w:rFonts w:ascii="Century Schoolbook" w:hAnsi="Century Schoolbook"/>
        </w:rPr>
        <w:t xml:space="preserve"> </w:t>
      </w:r>
      <w:r w:rsidRPr="00DC0A0A" w:rsidR="00DC0A0A">
        <w:rPr>
          <w:rFonts w:ascii="Century Schoolbook" w:hAnsi="Century Schoolbook"/>
        </w:rPr>
        <w:t>a substantial or unreasonable increase</w:t>
      </w:r>
      <w:r w:rsidR="00DC0A0A">
        <w:rPr>
          <w:rFonts w:ascii="Century Schoolbook" w:hAnsi="Century Schoolbook"/>
        </w:rPr>
        <w:t xml:space="preserve"> in</w:t>
      </w:r>
      <w:r w:rsidRPr="00283C20" w:rsidR="00DC0A0A">
        <w:rPr>
          <w:rFonts w:ascii="Century Schoolbook" w:hAnsi="Century Schoolbook"/>
        </w:rPr>
        <w:t xml:space="preserve"> risk</w:t>
      </w:r>
      <w:r w:rsidRPr="00283C20">
        <w:rPr>
          <w:rFonts w:ascii="Century Schoolbook" w:hAnsi="Century Schoolbook"/>
        </w:rPr>
        <w:t>.</w:t>
      </w:r>
      <w:r w:rsidRPr="00283C20" w:rsidR="00E23D68">
        <w:rPr>
          <w:rFonts w:ascii="Century Schoolbook" w:hAnsi="Century Schoolbook"/>
        </w:rPr>
        <w:t xml:space="preserve"> </w:t>
      </w:r>
    </w:p>
    <w:p w:rsidR="002C654E" w:rsidRPr="00283C20" w:rsidP="002C654E" w14:paraId="29F2F56B" w14:textId="0CDA802C">
      <w:pPr>
        <w:spacing w:line="360" w:lineRule="auto"/>
        <w:rPr>
          <w:rFonts w:ascii="Century Schoolbook" w:hAnsi="Century Schoolbook"/>
        </w:rPr>
      </w:pPr>
      <w:r w:rsidRPr="00283C20">
        <w:rPr>
          <w:rFonts w:ascii="Century Schoolbook" w:hAnsi="Century Schoolbook"/>
          <w:b/>
          <w:bCs/>
        </w:rPr>
        <w:tab/>
      </w:r>
      <w:r w:rsidR="009610F1">
        <w:rPr>
          <w:rFonts w:ascii="Century Schoolbook" w:hAnsi="Century Schoolbook"/>
        </w:rPr>
        <w:t>But e</w:t>
      </w:r>
      <w:r w:rsidRPr="00283C20" w:rsidR="00B11816">
        <w:rPr>
          <w:rFonts w:ascii="Century Schoolbook" w:hAnsi="Century Schoolbook"/>
        </w:rPr>
        <w:t xml:space="preserve">ven </w:t>
      </w:r>
      <w:r w:rsidR="00E0020A">
        <w:rPr>
          <w:rFonts w:ascii="Century Schoolbook" w:hAnsi="Century Schoolbook"/>
        </w:rPr>
        <w:t>assuming</w:t>
      </w:r>
      <w:r w:rsidRPr="00283C20" w:rsidR="00B11816">
        <w:rPr>
          <w:rFonts w:ascii="Century Schoolbook" w:hAnsi="Century Schoolbook"/>
        </w:rPr>
        <w:t xml:space="preserve"> plaintiff adequately raised the issue such that the trial court erred in </w:t>
      </w:r>
      <w:r w:rsidR="00E0020A">
        <w:rPr>
          <w:rFonts w:ascii="Century Schoolbook" w:hAnsi="Century Schoolbook"/>
        </w:rPr>
        <w:t>declin</w:t>
      </w:r>
      <w:r w:rsidRPr="00283C20" w:rsidR="00B11816">
        <w:rPr>
          <w:rFonts w:ascii="Century Schoolbook" w:hAnsi="Century Schoolbook"/>
        </w:rPr>
        <w:t xml:space="preserve">ing to address it, </w:t>
      </w:r>
      <w:r w:rsidR="00AB12C3">
        <w:rPr>
          <w:rFonts w:ascii="Century Schoolbook" w:hAnsi="Century Schoolbook"/>
        </w:rPr>
        <w:t>he</w:t>
      </w:r>
      <w:r w:rsidRPr="00283C20">
        <w:rPr>
          <w:rFonts w:ascii="Century Schoolbook" w:hAnsi="Century Schoolbook"/>
        </w:rPr>
        <w:t xml:space="preserve"> fails to show </w:t>
      </w:r>
      <w:r w:rsidRPr="00283C20" w:rsidR="00CC6F27">
        <w:rPr>
          <w:rFonts w:ascii="Century Schoolbook" w:hAnsi="Century Schoolbook"/>
        </w:rPr>
        <w:t>grounds</w:t>
      </w:r>
      <w:r w:rsidRPr="00283C20" w:rsidR="00B11816">
        <w:rPr>
          <w:rFonts w:ascii="Century Schoolbook" w:hAnsi="Century Schoolbook"/>
        </w:rPr>
        <w:t xml:space="preserve"> for reversal</w:t>
      </w:r>
      <w:r w:rsidRPr="00283C20" w:rsidR="00B81D48">
        <w:rPr>
          <w:rFonts w:ascii="Century Schoolbook" w:hAnsi="Century Schoolbook"/>
        </w:rPr>
        <w:t>.</w:t>
      </w:r>
      <w:r w:rsidRPr="00283C20" w:rsidR="00B11816">
        <w:rPr>
          <w:rFonts w:ascii="Century Schoolbook" w:hAnsi="Century Schoolbook"/>
        </w:rPr>
        <w:t xml:space="preserve">  (Cal</w:t>
      </w:r>
      <w:r w:rsidRPr="00283C20" w:rsidR="00482A46">
        <w:rPr>
          <w:rFonts w:ascii="Century Schoolbook" w:hAnsi="Century Schoolbook"/>
        </w:rPr>
        <w:t>.</w:t>
      </w:r>
      <w:r w:rsidRPr="00283C20" w:rsidR="00B11816">
        <w:rPr>
          <w:rFonts w:ascii="Century Schoolbook" w:hAnsi="Century Schoolbook"/>
        </w:rPr>
        <w:t xml:space="preserve"> Const</w:t>
      </w:r>
      <w:r w:rsidRPr="00283C20" w:rsidR="00482A46">
        <w:rPr>
          <w:rFonts w:ascii="Century Schoolbook" w:hAnsi="Century Schoolbook"/>
        </w:rPr>
        <w:t>.</w:t>
      </w:r>
      <w:r w:rsidRPr="00283C20" w:rsidR="00B11816">
        <w:rPr>
          <w:rFonts w:ascii="Century Schoolbook" w:hAnsi="Century Schoolbook"/>
        </w:rPr>
        <w:t>, art.</w:t>
      </w:r>
      <w:r w:rsidRPr="00283C20" w:rsidR="006519FB">
        <w:rPr>
          <w:rFonts w:ascii="Century Schoolbook" w:hAnsi="Century Schoolbook"/>
        </w:rPr>
        <w:t> </w:t>
      </w:r>
      <w:r w:rsidRPr="00283C20" w:rsidR="00B11816">
        <w:rPr>
          <w:rFonts w:ascii="Century Schoolbook" w:hAnsi="Century Schoolbook"/>
        </w:rPr>
        <w:t>VI, §</w:t>
      </w:r>
      <w:r w:rsidRPr="00283C20" w:rsidR="006519FB">
        <w:rPr>
          <w:rFonts w:ascii="Century Schoolbook" w:hAnsi="Century Schoolbook"/>
        </w:rPr>
        <w:t> </w:t>
      </w:r>
      <w:r w:rsidRPr="00283C20" w:rsidR="00B11816">
        <w:rPr>
          <w:rFonts w:ascii="Century Schoolbook" w:hAnsi="Century Schoolbook"/>
        </w:rPr>
        <w:t>13; Code Civ. Proc., §</w:t>
      </w:r>
      <w:r w:rsidRPr="00283C20" w:rsidR="006519FB">
        <w:rPr>
          <w:rFonts w:ascii="Century Schoolbook" w:hAnsi="Century Schoolbook"/>
        </w:rPr>
        <w:t> </w:t>
      </w:r>
      <w:r w:rsidRPr="00283C20" w:rsidR="00B11816">
        <w:rPr>
          <w:rFonts w:ascii="Century Schoolbook" w:hAnsi="Century Schoolbook"/>
        </w:rPr>
        <w:t>475.)</w:t>
      </w:r>
      <w:r w:rsidRPr="00283C20" w:rsidR="006E6F14">
        <w:rPr>
          <w:rFonts w:ascii="Century Schoolbook" w:hAnsi="Century Schoolbook"/>
        </w:rPr>
        <w:t xml:space="preserve"> </w:t>
      </w:r>
    </w:p>
    <w:p w:rsidR="001606B6" w:rsidRPr="00283C20" w14:paraId="20D1391E" w14:textId="583CE3D1">
      <w:pPr>
        <w:spacing w:line="360" w:lineRule="auto"/>
        <w:rPr>
          <w:rFonts w:ascii="Century Schoolbook" w:hAnsi="Century Schoolbook"/>
        </w:rPr>
      </w:pPr>
      <w:r w:rsidRPr="00283C20">
        <w:rPr>
          <w:rFonts w:ascii="Century Schoolbook" w:hAnsi="Century Schoolbook"/>
        </w:rPr>
        <w:tab/>
      </w:r>
      <w:r w:rsidR="009610F1">
        <w:rPr>
          <w:rFonts w:ascii="Century Schoolbook" w:hAnsi="Century Schoolbook"/>
        </w:rPr>
        <w:t>Plaintiff</w:t>
      </w:r>
      <w:r w:rsidR="00AB12C3">
        <w:rPr>
          <w:rFonts w:ascii="Century Schoolbook" w:hAnsi="Century Schoolbook"/>
        </w:rPr>
        <w:t xml:space="preserve"> points to </w:t>
      </w:r>
      <w:r w:rsidRPr="00283C20" w:rsidR="004E4A56">
        <w:rPr>
          <w:rFonts w:ascii="Century Schoolbook" w:hAnsi="Century Schoolbook"/>
        </w:rPr>
        <w:t>evidence</w:t>
      </w:r>
      <w:r w:rsidR="00AB12C3">
        <w:rPr>
          <w:rFonts w:ascii="Century Schoolbook" w:hAnsi="Century Schoolbook"/>
        </w:rPr>
        <w:t xml:space="preserve"> in the record</w:t>
      </w:r>
      <w:r w:rsidRPr="00283C20" w:rsidR="004E4A56">
        <w:rPr>
          <w:rFonts w:ascii="Century Schoolbook" w:hAnsi="Century Schoolbook"/>
        </w:rPr>
        <w:t xml:space="preserve"> that </w:t>
      </w:r>
      <w:r w:rsidR="00470BC0">
        <w:rPr>
          <w:rFonts w:ascii="Century Schoolbook" w:hAnsi="Century Schoolbook"/>
        </w:rPr>
        <w:t>he claims s</w:t>
      </w:r>
      <w:r w:rsidR="00517478">
        <w:rPr>
          <w:rFonts w:ascii="Century Schoolbook" w:hAnsi="Century Schoolbook"/>
        </w:rPr>
        <w:t>hows</w:t>
      </w:r>
      <w:r w:rsidR="00470BC0">
        <w:rPr>
          <w:rFonts w:ascii="Century Schoolbook" w:hAnsi="Century Schoolbook"/>
        </w:rPr>
        <w:t xml:space="preserve"> </w:t>
      </w:r>
      <w:r w:rsidRPr="00283C20" w:rsidR="004E4A56">
        <w:rPr>
          <w:rFonts w:ascii="Century Schoolbook" w:hAnsi="Century Schoolbook"/>
        </w:rPr>
        <w:t>“[t]he City suspected it was missing data that would</w:t>
      </w:r>
      <w:r w:rsidRPr="00283C20">
        <w:rPr>
          <w:rFonts w:ascii="Century Schoolbook" w:hAnsi="Century Schoolbook"/>
        </w:rPr>
        <w:t xml:space="preserve"> </w:t>
      </w:r>
      <w:r w:rsidRPr="00283C20" w:rsidR="004E4A56">
        <w:rPr>
          <w:rFonts w:ascii="Century Schoolbook" w:hAnsi="Century Schoolbook"/>
        </w:rPr>
        <w:t>help prioritize repairing or repaving bikeways yet failed to take steps to verify its data were complete or obtain additional data</w:t>
      </w:r>
      <w:r w:rsidRPr="00283C20" w:rsidR="008154C9">
        <w:rPr>
          <w:rFonts w:ascii="Century Schoolbook" w:hAnsi="Century Schoolbook"/>
        </w:rPr>
        <w:t>.</w:t>
      </w:r>
      <w:r w:rsidRPr="00283C20" w:rsidR="00C31D01">
        <w:rPr>
          <w:rFonts w:ascii="Century Schoolbook" w:hAnsi="Century Schoolbook"/>
        </w:rPr>
        <w:t>”</w:t>
      </w:r>
      <w:r w:rsidRPr="00283C20">
        <w:rPr>
          <w:rFonts w:ascii="Century Schoolbook" w:hAnsi="Century Schoolbook"/>
        </w:rPr>
        <w:t xml:space="preserve"> </w:t>
      </w:r>
      <w:r w:rsidRPr="00283C20" w:rsidR="007C40CD">
        <w:rPr>
          <w:rFonts w:ascii="Century Schoolbook" w:hAnsi="Century Schoolbook"/>
        </w:rPr>
        <w:t xml:space="preserve"> </w:t>
      </w:r>
      <w:r w:rsidR="005B2A91">
        <w:rPr>
          <w:rFonts w:ascii="Century Schoolbook" w:hAnsi="Century Schoolbook"/>
        </w:rPr>
        <w:t xml:space="preserve">Specifically, </w:t>
      </w:r>
      <w:r w:rsidRPr="00283C20" w:rsidR="009B6E81">
        <w:rPr>
          <w:rFonts w:ascii="Century Schoolbook" w:hAnsi="Century Schoolbook"/>
        </w:rPr>
        <w:t>Jason Patton</w:t>
      </w:r>
      <w:r w:rsidRPr="00283C20" w:rsidR="007C40CD">
        <w:rPr>
          <w:rFonts w:ascii="Century Schoolbook" w:hAnsi="Century Schoolbook"/>
        </w:rPr>
        <w:t xml:space="preserve">, a “Bicycle and Pedestrian Program Manager” with defendant’s Department of Transportation, </w:t>
      </w:r>
      <w:r w:rsidRPr="00283C20" w:rsidR="00B5529F">
        <w:rPr>
          <w:rFonts w:ascii="Century Schoolbook" w:hAnsi="Century Schoolbook"/>
        </w:rPr>
        <w:t xml:space="preserve">testified </w:t>
      </w:r>
      <w:r w:rsidR="00DB1828">
        <w:rPr>
          <w:rFonts w:ascii="Century Schoolbook" w:hAnsi="Century Schoolbook"/>
        </w:rPr>
        <w:t xml:space="preserve">during a deposition </w:t>
      </w:r>
      <w:r w:rsidRPr="00283C20" w:rsidR="006A4B13">
        <w:rPr>
          <w:rFonts w:ascii="Century Schoolbook" w:hAnsi="Century Schoolbook"/>
        </w:rPr>
        <w:t>about a 2007</w:t>
      </w:r>
      <w:r w:rsidRPr="00283C20" w:rsidR="00B5529F">
        <w:rPr>
          <w:rFonts w:ascii="Century Schoolbook" w:hAnsi="Century Schoolbook"/>
        </w:rPr>
        <w:t xml:space="preserve"> email</w:t>
      </w:r>
      <w:r w:rsidRPr="00283C20" w:rsidR="00A978AA">
        <w:rPr>
          <w:rFonts w:ascii="Century Schoolbook" w:hAnsi="Century Schoolbook"/>
        </w:rPr>
        <w:t xml:space="preserve"> </w:t>
      </w:r>
      <w:r w:rsidRPr="00283C20" w:rsidR="006A4B13">
        <w:rPr>
          <w:rFonts w:ascii="Century Schoolbook" w:hAnsi="Century Schoolbook"/>
        </w:rPr>
        <w:t>he wrote</w:t>
      </w:r>
      <w:r w:rsidRPr="00283C20" w:rsidR="00B5529F">
        <w:rPr>
          <w:rFonts w:ascii="Century Schoolbook" w:hAnsi="Century Schoolbook"/>
        </w:rPr>
        <w:t xml:space="preserve"> where</w:t>
      </w:r>
      <w:r w:rsidR="005B2A91">
        <w:rPr>
          <w:rFonts w:ascii="Century Schoolbook" w:hAnsi="Century Schoolbook"/>
        </w:rPr>
        <w:t>in</w:t>
      </w:r>
      <w:r w:rsidRPr="00283C20" w:rsidR="00B5529F">
        <w:rPr>
          <w:rFonts w:ascii="Century Schoolbook" w:hAnsi="Century Schoolbook"/>
        </w:rPr>
        <w:t xml:space="preserve"> he said he suspected “ ‘collisions involving pavement issues </w:t>
      </w:r>
      <w:r w:rsidRPr="00283C20">
        <w:rPr>
          <w:rFonts w:ascii="Century Schoolbook" w:hAnsi="Century Schoolbook"/>
        </w:rPr>
        <w:t>are significantly underreported.</w:t>
      </w:r>
      <w:r w:rsidRPr="00283C20" w:rsidR="00B5529F">
        <w:rPr>
          <w:rFonts w:ascii="Century Schoolbook" w:hAnsi="Century Schoolbook"/>
        </w:rPr>
        <w:t>’ ”</w:t>
      </w:r>
      <w:r w:rsidRPr="00283C20">
        <w:rPr>
          <w:rFonts w:ascii="Century Schoolbook" w:hAnsi="Century Schoolbook"/>
        </w:rPr>
        <w:t xml:space="preserve">  </w:t>
      </w:r>
      <w:r w:rsidRPr="00283C20" w:rsidR="006A4B13">
        <w:rPr>
          <w:rFonts w:ascii="Century Schoolbook" w:hAnsi="Century Schoolbook"/>
        </w:rPr>
        <w:t xml:space="preserve">When asked why he </w:t>
      </w:r>
      <w:r w:rsidRPr="00283C20" w:rsidR="002D24E2">
        <w:rPr>
          <w:rFonts w:ascii="Century Schoolbook" w:hAnsi="Century Schoolbook"/>
        </w:rPr>
        <w:t xml:space="preserve">had </w:t>
      </w:r>
      <w:r w:rsidRPr="00283C20" w:rsidR="006A4B13">
        <w:rPr>
          <w:rFonts w:ascii="Century Schoolbook" w:hAnsi="Century Schoolbook"/>
        </w:rPr>
        <w:t>suspected this,</w:t>
      </w:r>
      <w:r w:rsidRPr="00283C20">
        <w:rPr>
          <w:rFonts w:ascii="Century Schoolbook" w:hAnsi="Century Schoolbook"/>
        </w:rPr>
        <w:t xml:space="preserve"> Patton explained </w:t>
      </w:r>
      <w:r w:rsidRPr="00283C20" w:rsidR="00E84F13">
        <w:rPr>
          <w:rFonts w:ascii="Century Schoolbook" w:hAnsi="Century Schoolbook"/>
        </w:rPr>
        <w:t xml:space="preserve">he has personally seen people fall off their bicycles and </w:t>
      </w:r>
      <w:r w:rsidR="00DB1828">
        <w:rPr>
          <w:rFonts w:ascii="Century Schoolbook" w:hAnsi="Century Schoolbook"/>
        </w:rPr>
        <w:t>rid</w:t>
      </w:r>
      <w:r w:rsidR="00925B5B">
        <w:rPr>
          <w:rFonts w:ascii="Century Schoolbook" w:hAnsi="Century Schoolbook"/>
        </w:rPr>
        <w:t>e</w:t>
      </w:r>
      <w:r w:rsidRPr="00283C20" w:rsidR="00E84F13">
        <w:rPr>
          <w:rFonts w:ascii="Century Schoolbook" w:hAnsi="Century Schoolbook"/>
        </w:rPr>
        <w:t xml:space="preserve"> on</w:t>
      </w:r>
      <w:r w:rsidR="00DB1828">
        <w:rPr>
          <w:rFonts w:ascii="Century Schoolbook" w:hAnsi="Century Schoolbook"/>
        </w:rPr>
        <w:t>, apparently without reporting their fall</w:t>
      </w:r>
      <w:r w:rsidRPr="00283C20" w:rsidR="002D24E2">
        <w:rPr>
          <w:rFonts w:ascii="Century Schoolbook" w:hAnsi="Century Schoolbook"/>
        </w:rPr>
        <w:t xml:space="preserve">. </w:t>
      </w:r>
      <w:r w:rsidRPr="00283C20" w:rsidR="00E84F13">
        <w:rPr>
          <w:rFonts w:ascii="Century Schoolbook" w:hAnsi="Century Schoolbook"/>
        </w:rPr>
        <w:t xml:space="preserve"> </w:t>
      </w:r>
      <w:r w:rsidR="005B2A91">
        <w:rPr>
          <w:rFonts w:ascii="Century Schoolbook" w:hAnsi="Century Schoolbook"/>
        </w:rPr>
        <w:t xml:space="preserve">But </w:t>
      </w:r>
      <w:r w:rsidRPr="00283C20" w:rsidR="002D24E2">
        <w:rPr>
          <w:rFonts w:ascii="Century Schoolbook" w:hAnsi="Century Schoolbook"/>
        </w:rPr>
        <w:t>Patton</w:t>
      </w:r>
      <w:r w:rsidR="005B2A91">
        <w:rPr>
          <w:rFonts w:ascii="Century Schoolbook" w:hAnsi="Century Schoolbook"/>
        </w:rPr>
        <w:t xml:space="preserve"> also stated</w:t>
      </w:r>
      <w:r w:rsidR="00DB1828">
        <w:rPr>
          <w:rFonts w:ascii="Century Schoolbook" w:hAnsi="Century Schoolbook"/>
        </w:rPr>
        <w:t xml:space="preserve"> that</w:t>
      </w:r>
      <w:r w:rsidRPr="00283C20" w:rsidR="006A4B13">
        <w:rPr>
          <w:rFonts w:ascii="Century Schoolbook" w:hAnsi="Century Schoolbook"/>
        </w:rPr>
        <w:t xml:space="preserve"> incidents involving serious injury are most likely to have a police response and </w:t>
      </w:r>
      <w:r w:rsidR="00DB1828">
        <w:rPr>
          <w:rFonts w:ascii="Century Schoolbook" w:hAnsi="Century Schoolbook"/>
        </w:rPr>
        <w:t xml:space="preserve">result in records that come to </w:t>
      </w:r>
      <w:r w:rsidR="005B2A91">
        <w:rPr>
          <w:rFonts w:ascii="Century Schoolbook" w:hAnsi="Century Schoolbook"/>
        </w:rPr>
        <w:t>defendant’</w:t>
      </w:r>
      <w:r w:rsidR="00DB1828">
        <w:rPr>
          <w:rFonts w:ascii="Century Schoolbook" w:hAnsi="Century Schoolbook"/>
        </w:rPr>
        <w:t>s attention</w:t>
      </w:r>
      <w:r w:rsidRPr="00283C20" w:rsidR="00E84F13">
        <w:rPr>
          <w:rFonts w:ascii="Century Schoolbook" w:hAnsi="Century Schoolbook"/>
        </w:rPr>
        <w:t xml:space="preserve">. </w:t>
      </w:r>
      <w:r w:rsidRPr="00283C20" w:rsidR="00B1195F">
        <w:rPr>
          <w:rFonts w:ascii="Century Schoolbook" w:hAnsi="Century Schoolbook"/>
        </w:rPr>
        <w:t xml:space="preserve"> </w:t>
      </w:r>
      <w:r w:rsidRPr="00283C20" w:rsidR="00A272DB">
        <w:rPr>
          <w:rFonts w:ascii="Century Schoolbook" w:hAnsi="Century Schoolbook"/>
        </w:rPr>
        <w:t>Patton</w:t>
      </w:r>
      <w:r w:rsidRPr="00283C20" w:rsidR="00C31D01">
        <w:rPr>
          <w:rFonts w:ascii="Century Schoolbook" w:hAnsi="Century Schoolbook"/>
        </w:rPr>
        <w:t xml:space="preserve"> </w:t>
      </w:r>
      <w:r w:rsidRPr="00283C20" w:rsidR="00A272DB">
        <w:rPr>
          <w:rFonts w:ascii="Century Schoolbook" w:hAnsi="Century Schoolbook"/>
        </w:rPr>
        <w:t xml:space="preserve">asserted it was much more important to have the data </w:t>
      </w:r>
      <w:r w:rsidR="005B2A91">
        <w:rPr>
          <w:rFonts w:ascii="Century Schoolbook" w:hAnsi="Century Schoolbook"/>
        </w:rPr>
        <w:t>defendant</w:t>
      </w:r>
      <w:r w:rsidRPr="00283C20" w:rsidR="00A272DB">
        <w:rPr>
          <w:rFonts w:ascii="Century Schoolbook" w:hAnsi="Century Schoolbook"/>
        </w:rPr>
        <w:t xml:space="preserve"> did have </w:t>
      </w:r>
      <w:r w:rsidR="005B2A91">
        <w:rPr>
          <w:rFonts w:ascii="Century Schoolbook" w:hAnsi="Century Schoolbook"/>
        </w:rPr>
        <w:t xml:space="preserve">(i.e., serious injury data) </w:t>
      </w:r>
      <w:r w:rsidRPr="00283C20" w:rsidR="00A272DB">
        <w:rPr>
          <w:rFonts w:ascii="Century Schoolbook" w:hAnsi="Century Schoolbook"/>
        </w:rPr>
        <w:t xml:space="preserve">rather than </w:t>
      </w:r>
      <w:r w:rsidR="005B2A91">
        <w:rPr>
          <w:rFonts w:ascii="Century Schoolbook" w:hAnsi="Century Schoolbook"/>
        </w:rPr>
        <w:t>data of all unreported falls like the ones he observed</w:t>
      </w:r>
      <w:r w:rsidRPr="00283C20" w:rsidR="00A272DB">
        <w:rPr>
          <w:rFonts w:ascii="Century Schoolbook" w:hAnsi="Century Schoolbook"/>
        </w:rPr>
        <w:t xml:space="preserve">.  </w:t>
      </w:r>
      <w:r w:rsidRPr="00283C20" w:rsidR="00B1195F">
        <w:rPr>
          <w:rFonts w:ascii="Century Schoolbook" w:hAnsi="Century Schoolbook"/>
        </w:rPr>
        <w:t>When asked if he had done anything to increase the accuracy of “collision data” on Oakland bikeways, Patton stated</w:t>
      </w:r>
      <w:r w:rsidRPr="00283C20" w:rsidR="00C31D01">
        <w:rPr>
          <w:rFonts w:ascii="Century Schoolbook" w:hAnsi="Century Schoolbook"/>
        </w:rPr>
        <w:t>,</w:t>
      </w:r>
      <w:r w:rsidRPr="00283C20" w:rsidR="00B1195F">
        <w:rPr>
          <w:rFonts w:ascii="Century Schoolbook" w:hAnsi="Century Schoolbook"/>
        </w:rPr>
        <w:t xml:space="preserve"> </w:t>
      </w:r>
      <w:r w:rsidRPr="00283C20" w:rsidR="00CD0EF8">
        <w:rPr>
          <w:rFonts w:ascii="Century Schoolbook" w:hAnsi="Century Schoolbook"/>
        </w:rPr>
        <w:t xml:space="preserve">“We are not well positioned to improve the accuracy of the data in that the police department creates it and the California Highway Patrol processes it.  We’re not able to change that data, nor should we be changing it.” </w:t>
      </w:r>
      <w:r w:rsidRPr="00283C20" w:rsidR="00A272DB">
        <w:rPr>
          <w:rFonts w:ascii="Century Schoolbook" w:hAnsi="Century Schoolbook"/>
        </w:rPr>
        <w:t xml:space="preserve"> When asked if he had done anything to capture more data,</w:t>
      </w:r>
      <w:r w:rsidRPr="00283C20" w:rsidR="00933B06">
        <w:rPr>
          <w:rFonts w:ascii="Century Schoolbook" w:hAnsi="Century Schoolbook"/>
        </w:rPr>
        <w:t xml:space="preserve"> such as by asking </w:t>
      </w:r>
      <w:r w:rsidRPr="00283C20" w:rsidR="009D316B">
        <w:rPr>
          <w:rFonts w:ascii="Century Schoolbook" w:hAnsi="Century Schoolbook"/>
        </w:rPr>
        <w:t xml:space="preserve">local </w:t>
      </w:r>
      <w:r w:rsidRPr="00283C20" w:rsidR="00933B06">
        <w:rPr>
          <w:rFonts w:ascii="Century Schoolbook" w:hAnsi="Century Schoolbook"/>
        </w:rPr>
        <w:t xml:space="preserve">bicycle groups to report all collisions, he responded he had not made any formal requests though he had encouraged people involved in bicycle crashes to report them. </w:t>
      </w:r>
    </w:p>
    <w:p w:rsidR="002C654E" w:rsidRPr="00283C20" w:rsidP="00C07E96" w14:paraId="7B08C372" w14:textId="734D8DCE">
      <w:pPr>
        <w:spacing w:line="360" w:lineRule="auto"/>
        <w:rPr>
          <w:rFonts w:ascii="Century Schoolbook" w:hAnsi="Century Schoolbook"/>
        </w:rPr>
      </w:pPr>
      <w:r w:rsidRPr="00283C20">
        <w:rPr>
          <w:rFonts w:ascii="Century Schoolbook" w:hAnsi="Century Schoolbook"/>
        </w:rPr>
        <w:tab/>
      </w:r>
      <w:r w:rsidRPr="00283C20" w:rsidR="00C364AC">
        <w:rPr>
          <w:rFonts w:ascii="Century Schoolbook" w:hAnsi="Century Schoolbook"/>
        </w:rPr>
        <w:t>Plaintiff</w:t>
      </w:r>
      <w:r w:rsidRPr="00283C20" w:rsidR="00456C1F">
        <w:rPr>
          <w:rFonts w:ascii="Century Schoolbook" w:hAnsi="Century Schoolbook"/>
        </w:rPr>
        <w:t xml:space="preserve"> also</w:t>
      </w:r>
      <w:r w:rsidRPr="00283C20" w:rsidR="009D316B">
        <w:rPr>
          <w:rFonts w:ascii="Century Schoolbook" w:hAnsi="Century Schoolbook"/>
        </w:rPr>
        <w:t xml:space="preserve"> refers to</w:t>
      </w:r>
      <w:r w:rsidRPr="00283C20">
        <w:rPr>
          <w:rFonts w:ascii="Century Schoolbook" w:hAnsi="Century Schoolbook"/>
        </w:rPr>
        <w:t xml:space="preserve"> a declaration by </w:t>
      </w:r>
      <w:r w:rsidR="00BB52B1">
        <w:rPr>
          <w:rFonts w:ascii="Century Schoolbook" w:hAnsi="Century Schoolbook"/>
        </w:rPr>
        <w:t xml:space="preserve">his expert, </w:t>
      </w:r>
      <w:r w:rsidRPr="00283C20">
        <w:rPr>
          <w:rFonts w:ascii="Century Schoolbook" w:hAnsi="Century Schoolbook"/>
        </w:rPr>
        <w:t>Shakir Shatnawi</w:t>
      </w:r>
      <w:r w:rsidRPr="00283C20" w:rsidR="0019191A">
        <w:rPr>
          <w:rFonts w:ascii="Century Schoolbook" w:hAnsi="Century Schoolbook"/>
        </w:rPr>
        <w:t xml:space="preserve">, Ph.D., </w:t>
      </w:r>
      <w:r w:rsidR="00BB52B1">
        <w:rPr>
          <w:rFonts w:ascii="Century Schoolbook" w:hAnsi="Century Schoolbook"/>
        </w:rPr>
        <w:t>a</w:t>
      </w:r>
      <w:r w:rsidRPr="00283C20" w:rsidR="00BB52B1">
        <w:rPr>
          <w:rFonts w:ascii="Century Schoolbook" w:hAnsi="Century Schoolbook"/>
        </w:rPr>
        <w:t xml:space="preserve"> </w:t>
      </w:r>
      <w:r w:rsidRPr="00283C20" w:rsidR="0019191A">
        <w:rPr>
          <w:rFonts w:ascii="Century Schoolbook" w:hAnsi="Century Schoolbook"/>
        </w:rPr>
        <w:t>civil engineer with training and education in transportation engineering</w:t>
      </w:r>
      <w:r w:rsidR="00BB52B1">
        <w:rPr>
          <w:rFonts w:ascii="Century Schoolbook" w:hAnsi="Century Schoolbook"/>
        </w:rPr>
        <w:t xml:space="preserve">.  </w:t>
      </w:r>
      <w:r w:rsidR="00E0020A">
        <w:rPr>
          <w:rFonts w:ascii="Century Schoolbook" w:hAnsi="Century Schoolbook"/>
        </w:rPr>
        <w:t xml:space="preserve">According to </w:t>
      </w:r>
      <w:r w:rsidR="00BB52B1">
        <w:rPr>
          <w:rFonts w:ascii="Century Schoolbook" w:hAnsi="Century Schoolbook"/>
        </w:rPr>
        <w:t>Shatnawi</w:t>
      </w:r>
      <w:r w:rsidR="00E0020A">
        <w:rPr>
          <w:rFonts w:ascii="Century Schoolbook" w:hAnsi="Century Schoolbook"/>
        </w:rPr>
        <w:t>,</w:t>
      </w:r>
      <w:r w:rsidRPr="00283C20" w:rsidR="008154C9">
        <w:rPr>
          <w:rFonts w:ascii="Century Schoolbook" w:hAnsi="Century Schoolbook"/>
        </w:rPr>
        <w:t xml:space="preserve"> “a municipality that suspects it is ‘missing</w:t>
      </w:r>
      <w:r w:rsidRPr="00283C20" w:rsidR="009D316B">
        <w:rPr>
          <w:rFonts w:ascii="Century Schoolbook" w:hAnsi="Century Schoolbook"/>
        </w:rPr>
        <w:t xml:space="preserve"> </w:t>
      </w:r>
      <w:r w:rsidRPr="00283C20" w:rsidR="0008439F">
        <w:rPr>
          <w:rFonts w:ascii="Century Schoolbook" w:hAnsi="Century Schoolbook"/>
        </w:rPr>
        <w:t>d</w:t>
      </w:r>
      <w:r w:rsidRPr="00283C20" w:rsidR="008154C9">
        <w:rPr>
          <w:rFonts w:ascii="Century Schoolbook" w:hAnsi="Century Schoolbook"/>
        </w:rPr>
        <w:t xml:space="preserve">ata’ that would help to prioritize repairing or repaving a bikeway like Skyline [citation] should take steps </w:t>
      </w:r>
      <w:r w:rsidR="009644BE">
        <w:rPr>
          <w:rFonts w:ascii="Century Schoolbook" w:hAnsi="Century Schoolbook"/>
        </w:rPr>
        <w:t>[</w:t>
      </w:r>
      <w:r w:rsidR="00BB52B1">
        <w:rPr>
          <w:rFonts w:ascii="Century Schoolbook" w:hAnsi="Century Schoolbook"/>
        </w:rPr>
        <w:t>to</w:t>
      </w:r>
      <w:r w:rsidR="009644BE">
        <w:rPr>
          <w:rFonts w:ascii="Century Schoolbook" w:hAnsi="Century Schoolbook"/>
        </w:rPr>
        <w:t>]</w:t>
      </w:r>
      <w:r w:rsidR="00BB52B1">
        <w:rPr>
          <w:rFonts w:ascii="Century Schoolbook" w:hAnsi="Century Schoolbook"/>
        </w:rPr>
        <w:t xml:space="preserve"> </w:t>
      </w:r>
      <w:r w:rsidRPr="00283C20" w:rsidR="008154C9">
        <w:rPr>
          <w:rFonts w:ascii="Century Schoolbook" w:hAnsi="Century Schoolbook"/>
        </w:rPr>
        <w:t>verify that its data are complete or obtain additional data.  At a minimum, a City employee who suspects that data are missing should report that concern to his or her supervisor so that appropriate steps can be taken to address it, like conducting inspections.  Ignoring the fact that data are missing increases the risk of harm to road</w:t>
      </w:r>
      <w:r w:rsidRPr="00283C20" w:rsidR="00CB59B1">
        <w:rPr>
          <w:rFonts w:ascii="Century Schoolbook" w:hAnsi="Century Schoolbook"/>
        </w:rPr>
        <w:t xml:space="preserve"> </w:t>
      </w:r>
      <w:r w:rsidRPr="00283C20" w:rsidR="008154C9">
        <w:rPr>
          <w:rFonts w:ascii="Century Schoolbook" w:hAnsi="Century Schoolbook"/>
        </w:rPr>
        <w:t>users (motorists, bicyclists, etc.)</w:t>
      </w:r>
      <w:r w:rsidRPr="00283C20" w:rsidR="00456C1F">
        <w:rPr>
          <w:rFonts w:ascii="Century Schoolbook" w:hAnsi="Century Schoolbook"/>
        </w:rPr>
        <w:t>,</w:t>
      </w:r>
      <w:r w:rsidRPr="00283C20" w:rsidR="008154C9">
        <w:rPr>
          <w:rFonts w:ascii="Century Schoolbook" w:hAnsi="Century Schoolbook"/>
        </w:rPr>
        <w:t xml:space="preserve"> because it delays repairing or repaving the road.  The longer that a pavement defect exists, the more dangerous it becomes.” </w:t>
      </w:r>
    </w:p>
    <w:p w:rsidR="009B2630" w:rsidRPr="00283C20" w:rsidP="009B2630" w14:paraId="4CC2A4ED" w14:textId="6C3E51A0">
      <w:pPr>
        <w:spacing w:line="360" w:lineRule="auto"/>
        <w:rPr>
          <w:rFonts w:ascii="Century Schoolbook" w:hAnsi="Century Schoolbook"/>
        </w:rPr>
      </w:pPr>
      <w:r w:rsidRPr="00283C20">
        <w:rPr>
          <w:rFonts w:ascii="Century Schoolbook" w:hAnsi="Century Schoolbook"/>
        </w:rPr>
        <w:tab/>
        <w:t xml:space="preserve">The </w:t>
      </w:r>
      <w:r w:rsidR="00D41803">
        <w:rPr>
          <w:rFonts w:ascii="Century Schoolbook" w:hAnsi="Century Schoolbook"/>
        </w:rPr>
        <w:t>evidence</w:t>
      </w:r>
      <w:r w:rsidR="00413DFE">
        <w:rPr>
          <w:rFonts w:ascii="Century Schoolbook" w:hAnsi="Century Schoolbook"/>
        </w:rPr>
        <w:t xml:space="preserve"> that a city employee suspected </w:t>
      </w:r>
      <w:r w:rsidR="00D41803">
        <w:rPr>
          <w:rFonts w:ascii="Century Schoolbook" w:hAnsi="Century Schoolbook"/>
        </w:rPr>
        <w:t xml:space="preserve">underreporting of </w:t>
      </w:r>
      <w:r w:rsidRPr="00283C20">
        <w:rPr>
          <w:rFonts w:ascii="Century Schoolbook" w:hAnsi="Century Schoolbook"/>
        </w:rPr>
        <w:t>data</w:t>
      </w:r>
      <w:r w:rsidR="00413DFE">
        <w:rPr>
          <w:rFonts w:ascii="Century Schoolbook" w:hAnsi="Century Schoolbook"/>
        </w:rPr>
        <w:t xml:space="preserve"> </w:t>
      </w:r>
      <w:r w:rsidR="00D41803">
        <w:rPr>
          <w:rFonts w:ascii="Century Schoolbook" w:hAnsi="Century Schoolbook"/>
        </w:rPr>
        <w:t xml:space="preserve">concerning falls or collisions </w:t>
      </w:r>
      <w:r w:rsidR="00BB52B1">
        <w:rPr>
          <w:rFonts w:ascii="Century Schoolbook" w:hAnsi="Century Schoolbook"/>
        </w:rPr>
        <w:t>based on his personal observations</w:t>
      </w:r>
      <w:r w:rsidR="00D41803">
        <w:rPr>
          <w:rFonts w:ascii="Century Schoolbook" w:hAnsi="Century Schoolbook"/>
        </w:rPr>
        <w:t xml:space="preserve"> </w:t>
      </w:r>
      <w:r w:rsidR="00413DFE">
        <w:rPr>
          <w:rFonts w:ascii="Century Schoolbook" w:hAnsi="Century Schoolbook"/>
        </w:rPr>
        <w:t xml:space="preserve">does not constitute </w:t>
      </w:r>
      <w:r w:rsidR="00A24360">
        <w:rPr>
          <w:rFonts w:ascii="Century Schoolbook" w:hAnsi="Century Schoolbook"/>
        </w:rPr>
        <w:t xml:space="preserve">evidence that data material to </w:t>
      </w:r>
      <w:r w:rsidR="00F5011F">
        <w:rPr>
          <w:rFonts w:ascii="Century Schoolbook" w:hAnsi="Century Schoolbook"/>
        </w:rPr>
        <w:t>the issue of</w:t>
      </w:r>
      <w:r w:rsidR="00A24360">
        <w:rPr>
          <w:rFonts w:ascii="Century Schoolbook" w:hAnsi="Century Schoolbook"/>
        </w:rPr>
        <w:t xml:space="preserve"> gross negligence actually existed</w:t>
      </w:r>
      <w:r w:rsidRPr="00283C20" w:rsidR="00A9365A">
        <w:rPr>
          <w:rFonts w:ascii="Century Schoolbook" w:hAnsi="Century Schoolbook"/>
        </w:rPr>
        <w:t xml:space="preserve">.  </w:t>
      </w:r>
      <w:r w:rsidR="00D41803">
        <w:rPr>
          <w:rFonts w:ascii="Century Schoolbook" w:hAnsi="Century Schoolbook"/>
        </w:rPr>
        <w:t>Plaintiff’s theory is at best speculative and does not create</w:t>
      </w:r>
      <w:r w:rsidRPr="00283C20" w:rsidR="005A6076">
        <w:rPr>
          <w:rFonts w:ascii="Century Schoolbook" w:hAnsi="Century Schoolbook"/>
        </w:rPr>
        <w:t xml:space="preserve"> a triable issue as to whether</w:t>
      </w:r>
      <w:r w:rsidRPr="00283C20">
        <w:rPr>
          <w:rFonts w:ascii="Century Schoolbook" w:hAnsi="Century Schoolbook"/>
        </w:rPr>
        <w:t xml:space="preserve"> defendant</w:t>
      </w:r>
      <w:r w:rsidR="00161E8D">
        <w:rPr>
          <w:rFonts w:ascii="Century Schoolbook" w:hAnsi="Century Schoolbook"/>
        </w:rPr>
        <w:t xml:space="preserve">’s conduct marked </w:t>
      </w:r>
      <w:r w:rsidRPr="00283C20">
        <w:rPr>
          <w:rFonts w:ascii="Century Schoolbook" w:hAnsi="Century Schoolbook"/>
        </w:rPr>
        <w:t xml:space="preserve">an extreme departure from the ordinary standard of conduct or </w:t>
      </w:r>
      <w:r w:rsidR="00E0020A">
        <w:rPr>
          <w:rFonts w:ascii="Century Schoolbook" w:hAnsi="Century Schoolbook"/>
        </w:rPr>
        <w:t xml:space="preserve">whether it </w:t>
      </w:r>
      <w:r w:rsidRPr="00283C20">
        <w:rPr>
          <w:rFonts w:ascii="Century Schoolbook" w:hAnsi="Century Schoolbook"/>
        </w:rPr>
        <w:t>substantially or unreasonably increased the inherent risk of an activity or actively concealed a known risk</w:t>
      </w:r>
      <w:r w:rsidRPr="00283C20" w:rsidR="005A6076">
        <w:rPr>
          <w:rFonts w:ascii="Century Schoolbook" w:hAnsi="Century Schoolbook"/>
        </w:rPr>
        <w:t>.</w:t>
      </w:r>
      <w:r w:rsidRPr="00161E8D" w:rsidR="00161E8D">
        <w:rPr>
          <w:rFonts w:ascii="Century Schoolbook" w:hAnsi="Century Schoolbook"/>
        </w:rPr>
        <w:t xml:space="preserve"> </w:t>
      </w:r>
      <w:r w:rsidR="00161E8D">
        <w:rPr>
          <w:rFonts w:ascii="Century Schoolbook" w:hAnsi="Century Schoolbook"/>
        </w:rPr>
        <w:t xml:space="preserve"> (See </w:t>
      </w:r>
      <w:r w:rsidRPr="00283C20" w:rsidR="00161E8D">
        <w:rPr>
          <w:rFonts w:ascii="Century Schoolbook" w:hAnsi="Century Schoolbook"/>
          <w:i/>
          <w:iCs/>
        </w:rPr>
        <w:t>Anderson</w:t>
      </w:r>
      <w:r w:rsidR="00161E8D">
        <w:rPr>
          <w:rFonts w:ascii="Century Schoolbook" w:hAnsi="Century Schoolbook"/>
        </w:rPr>
        <w:t xml:space="preserve">, </w:t>
      </w:r>
      <w:r w:rsidRPr="000A30BA" w:rsidR="00161E8D">
        <w:rPr>
          <w:rFonts w:ascii="Century Schoolbook" w:hAnsi="Century Schoolbook"/>
          <w:i/>
          <w:iCs/>
        </w:rPr>
        <w:t>supra</w:t>
      </w:r>
      <w:r w:rsidR="00161E8D">
        <w:rPr>
          <w:rFonts w:ascii="Century Schoolbook" w:hAnsi="Century Schoolbook"/>
        </w:rPr>
        <w:t xml:space="preserve">, </w:t>
      </w:r>
      <w:r w:rsidRPr="00283C20" w:rsidR="00161E8D">
        <w:rPr>
          <w:rFonts w:ascii="Century Schoolbook" w:hAnsi="Century Schoolbook"/>
        </w:rPr>
        <w:t xml:space="preserve">4 Cal.App.5th </w:t>
      </w:r>
      <w:r w:rsidR="00161E8D">
        <w:rPr>
          <w:rFonts w:ascii="Century Schoolbook" w:hAnsi="Century Schoolbook"/>
        </w:rPr>
        <w:t>at p.</w:t>
      </w:r>
      <w:r w:rsidRPr="00283C20" w:rsidR="00161E8D">
        <w:rPr>
          <w:rFonts w:ascii="Century Schoolbook" w:hAnsi="Century Schoolbook"/>
        </w:rPr>
        <w:t> 881</w:t>
      </w:r>
      <w:r w:rsidR="00161E8D">
        <w:rPr>
          <w:rFonts w:ascii="Century Schoolbook" w:hAnsi="Century Schoolbook"/>
        </w:rPr>
        <w:t>.)</w:t>
      </w:r>
    </w:p>
    <w:p w:rsidR="00213151" w:rsidRPr="00283C20" w:rsidP="002B76D1" w14:paraId="5F5BBF10" w14:textId="733FB2FC">
      <w:pPr>
        <w:spacing w:line="360" w:lineRule="auto"/>
        <w:rPr>
          <w:rFonts w:ascii="Century Schoolbook" w:hAnsi="Century Schoolbook"/>
        </w:rPr>
      </w:pPr>
      <w:r w:rsidRPr="00283C20">
        <w:rPr>
          <w:rFonts w:ascii="Century Schoolbook" w:hAnsi="Century Schoolbook"/>
        </w:rPr>
        <w:tab/>
      </w:r>
      <w:r w:rsidR="00F5011F">
        <w:rPr>
          <w:rFonts w:ascii="Century Schoolbook" w:hAnsi="Century Schoolbook"/>
        </w:rPr>
        <w:t>Plaintiff also points to portions of Shatnawi’s declarations opining that</w:t>
      </w:r>
      <w:r w:rsidRPr="00283C20" w:rsidR="00E67458">
        <w:rPr>
          <w:rFonts w:ascii="Century Schoolbook" w:hAnsi="Century Schoolbook"/>
        </w:rPr>
        <w:t xml:space="preserve"> the pavement in the area of </w:t>
      </w:r>
      <w:r w:rsidRPr="00283C20" w:rsidR="00257480">
        <w:rPr>
          <w:rFonts w:ascii="Century Schoolbook" w:hAnsi="Century Schoolbook"/>
        </w:rPr>
        <w:t>plaintiff’s</w:t>
      </w:r>
      <w:r w:rsidRPr="00283C20" w:rsidR="00E67458">
        <w:rPr>
          <w:rFonts w:ascii="Century Schoolbook" w:hAnsi="Century Schoolbook"/>
        </w:rPr>
        <w:t xml:space="preserve"> incident was in “major structural distress and had failed”</w:t>
      </w:r>
      <w:r w:rsidRPr="00283C20" w:rsidR="00257480">
        <w:rPr>
          <w:rFonts w:ascii="Century Schoolbook" w:hAnsi="Century Schoolbook"/>
        </w:rPr>
        <w:t>;</w:t>
      </w:r>
      <w:r w:rsidRPr="00283C20" w:rsidR="00E67458">
        <w:rPr>
          <w:rFonts w:ascii="Century Schoolbook" w:hAnsi="Century Schoolbook"/>
        </w:rPr>
        <w:t xml:space="preserve"> the City knew or should have known there was a risk of potholes on such a road and a high risk such potholes would present a dangerous condition to bicyclists</w:t>
      </w:r>
      <w:r w:rsidRPr="00283C20" w:rsidR="00257480">
        <w:rPr>
          <w:rFonts w:ascii="Century Schoolbook" w:hAnsi="Century Schoolbook"/>
        </w:rPr>
        <w:t xml:space="preserve"> on Skyline; City personnel patched a pothole in the area in September 2015</w:t>
      </w:r>
      <w:r w:rsidRPr="00283C20" w:rsidR="00C1083D">
        <w:rPr>
          <w:rFonts w:ascii="Century Schoolbook" w:hAnsi="Century Schoolbook"/>
        </w:rPr>
        <w:t>;</w:t>
      </w:r>
      <w:r w:rsidRPr="00283C20" w:rsidR="00257480">
        <w:rPr>
          <w:rFonts w:ascii="Century Schoolbook" w:hAnsi="Century Schoolbook"/>
        </w:rPr>
        <w:t xml:space="preserve"> and at a minimum the City should have returned to the area to inspect it regularly. </w:t>
      </w:r>
      <w:r w:rsidRPr="00283C20" w:rsidR="008C2ED5">
        <w:rPr>
          <w:rFonts w:ascii="Century Schoolbook" w:hAnsi="Century Schoolbook"/>
        </w:rPr>
        <w:t xml:space="preserve"> </w:t>
      </w:r>
      <w:r w:rsidRPr="00283C20" w:rsidR="00E0497C">
        <w:rPr>
          <w:rFonts w:ascii="Century Schoolbook" w:hAnsi="Century Schoolbook"/>
        </w:rPr>
        <w:t xml:space="preserve">Shatnawi </w:t>
      </w:r>
      <w:r w:rsidR="00F5011F">
        <w:rPr>
          <w:rFonts w:ascii="Century Schoolbook" w:hAnsi="Century Schoolbook"/>
        </w:rPr>
        <w:t xml:space="preserve">also </w:t>
      </w:r>
      <w:r w:rsidRPr="00283C20">
        <w:rPr>
          <w:rFonts w:ascii="Century Schoolbook" w:hAnsi="Century Schoolbook"/>
        </w:rPr>
        <w:t>asserted</w:t>
      </w:r>
      <w:r w:rsidRPr="00283C20" w:rsidR="00E0497C">
        <w:rPr>
          <w:rFonts w:ascii="Century Schoolbook" w:hAnsi="Century Schoolbook"/>
        </w:rPr>
        <w:t xml:space="preserve"> that</w:t>
      </w:r>
      <w:r w:rsidRPr="00283C20" w:rsidR="00A14C50">
        <w:rPr>
          <w:rFonts w:ascii="Century Schoolbook" w:hAnsi="Century Schoolbook"/>
        </w:rPr>
        <w:t xml:space="preserve"> </w:t>
      </w:r>
      <w:r w:rsidRPr="00283C20" w:rsidR="00E0497C">
        <w:rPr>
          <w:rFonts w:ascii="Century Schoolbook" w:hAnsi="Century Schoolbook"/>
        </w:rPr>
        <w:t>“</w:t>
      </w:r>
      <w:r w:rsidR="00C120F8">
        <w:rPr>
          <w:rFonts w:ascii="Century Schoolbook" w:hAnsi="Century Schoolbook"/>
        </w:rPr>
        <w:t> </w:t>
      </w:r>
      <w:r w:rsidR="001C1FCB">
        <w:rPr>
          <w:rFonts w:ascii="Century Schoolbook" w:hAnsi="Century Schoolbook"/>
        </w:rPr>
        <w:t>‘</w:t>
      </w:r>
      <w:r w:rsidRPr="00283C20" w:rsidR="00E0497C">
        <w:rPr>
          <w:rFonts w:ascii="Century Schoolbook" w:hAnsi="Century Schoolbook"/>
        </w:rPr>
        <w:t>alligator cracking</w:t>
      </w:r>
      <w:r w:rsidR="001C1FCB">
        <w:rPr>
          <w:rFonts w:ascii="Century Schoolbook" w:hAnsi="Century Schoolbook"/>
        </w:rPr>
        <w:t>’</w:t>
      </w:r>
      <w:r w:rsidR="00C120F8">
        <w:rPr>
          <w:rFonts w:ascii="Century Schoolbook" w:hAnsi="Century Schoolbook"/>
        </w:rPr>
        <w:t> </w:t>
      </w:r>
      <w:r w:rsidRPr="00283C20" w:rsidR="00E0497C">
        <w:rPr>
          <w:rFonts w:ascii="Century Schoolbook" w:hAnsi="Century Schoolbook"/>
        </w:rPr>
        <w:t>”</w:t>
      </w:r>
      <w:r w:rsidRPr="00283C20" w:rsidR="008C2ED5">
        <w:rPr>
          <w:rFonts w:ascii="Century Schoolbook" w:hAnsi="Century Schoolbook"/>
        </w:rPr>
        <w:t>—</w:t>
      </w:r>
      <w:r w:rsidRPr="00283C20" w:rsidR="00A14C50">
        <w:rPr>
          <w:rFonts w:ascii="Century Schoolbook" w:hAnsi="Century Schoolbook"/>
        </w:rPr>
        <w:t>which is</w:t>
      </w:r>
      <w:r w:rsidRPr="00283C20" w:rsidR="00E0497C">
        <w:rPr>
          <w:rFonts w:ascii="Century Schoolbook" w:hAnsi="Century Schoolbook"/>
        </w:rPr>
        <w:t xml:space="preserve"> “a series of interconnecting cracks caused by fatigue failure of the asphalt concrete surface under repeated traffic loading”</w:t>
      </w:r>
      <w:r w:rsidRPr="00283C20" w:rsidR="008C2ED5">
        <w:rPr>
          <w:rFonts w:ascii="Century Schoolbook" w:hAnsi="Century Schoolbook"/>
        </w:rPr>
        <w:t>—is considered “</w:t>
      </w:r>
      <w:r w:rsidRPr="00283C20" w:rsidR="009B65DD">
        <w:rPr>
          <w:rFonts w:ascii="Century Schoolbook" w:hAnsi="Century Schoolbook"/>
        </w:rPr>
        <w:t> </w:t>
      </w:r>
      <w:r w:rsidRPr="00283C20" w:rsidR="008C2ED5">
        <w:rPr>
          <w:rFonts w:ascii="Century Schoolbook" w:hAnsi="Century Schoolbook"/>
        </w:rPr>
        <w:t>‘a major structural distress’</w:t>
      </w:r>
      <w:r w:rsidRPr="00283C20" w:rsidR="009B65DD">
        <w:rPr>
          <w:rFonts w:ascii="Century Schoolbook" w:hAnsi="Century Schoolbook"/>
        </w:rPr>
        <w:t> </w:t>
      </w:r>
      <w:r w:rsidRPr="00283C20" w:rsidR="008C2ED5">
        <w:rPr>
          <w:rFonts w:ascii="Century Schoolbook" w:hAnsi="Century Schoolbook"/>
        </w:rPr>
        <w:t xml:space="preserve">” </w:t>
      </w:r>
      <w:r w:rsidRPr="00283C20" w:rsidR="00E0497C">
        <w:rPr>
          <w:rFonts w:ascii="Century Schoolbook" w:hAnsi="Century Schoolbook"/>
        </w:rPr>
        <w:t xml:space="preserve">and that potholes </w:t>
      </w:r>
      <w:r w:rsidR="00BB52B1">
        <w:rPr>
          <w:rFonts w:ascii="Century Schoolbook" w:hAnsi="Century Schoolbook"/>
        </w:rPr>
        <w:t xml:space="preserve">generally </w:t>
      </w:r>
      <w:r w:rsidRPr="00283C20" w:rsidR="00E0497C">
        <w:rPr>
          <w:rFonts w:ascii="Century Schoolbook" w:hAnsi="Century Schoolbook"/>
        </w:rPr>
        <w:t>“</w:t>
      </w:r>
      <w:r w:rsidRPr="00283C20" w:rsidR="009B65DD">
        <w:rPr>
          <w:rFonts w:ascii="Century Schoolbook" w:hAnsi="Century Schoolbook"/>
        </w:rPr>
        <w:t> </w:t>
      </w:r>
      <w:r w:rsidRPr="00283C20" w:rsidR="00E0497C">
        <w:rPr>
          <w:rFonts w:ascii="Century Schoolbook" w:hAnsi="Century Schoolbook"/>
        </w:rPr>
        <w:t>‘are recorded as high severity alligator cracking.’</w:t>
      </w:r>
      <w:r w:rsidRPr="00283C20" w:rsidR="009B65DD">
        <w:rPr>
          <w:rFonts w:ascii="Century Schoolbook" w:hAnsi="Century Schoolbook"/>
        </w:rPr>
        <w:t> </w:t>
      </w:r>
      <w:r w:rsidRPr="00283C20" w:rsidR="00E0497C">
        <w:rPr>
          <w:rFonts w:ascii="Century Schoolbook" w:hAnsi="Century Schoolbook"/>
        </w:rPr>
        <w:t xml:space="preserve">” </w:t>
      </w:r>
    </w:p>
    <w:p w:rsidR="001602F6" w:rsidRPr="00283C20" w:rsidP="002B76D1" w14:paraId="597841CB" w14:textId="0FFAB0C7">
      <w:pPr>
        <w:spacing w:line="360" w:lineRule="auto"/>
        <w:rPr>
          <w:rFonts w:ascii="Century Schoolbook" w:hAnsi="Century Schoolbook"/>
        </w:rPr>
      </w:pPr>
      <w:r w:rsidRPr="00283C20">
        <w:rPr>
          <w:rFonts w:ascii="Century Schoolbook" w:hAnsi="Century Schoolbook"/>
        </w:rPr>
        <w:tab/>
      </w:r>
      <w:r w:rsidRPr="00283C20" w:rsidR="004C0032">
        <w:rPr>
          <w:rFonts w:ascii="Century Schoolbook" w:hAnsi="Century Schoolbook"/>
        </w:rPr>
        <w:t xml:space="preserve">Plaintiff fails to explain how this </w:t>
      </w:r>
      <w:r w:rsidRPr="00283C20" w:rsidR="00572779">
        <w:rPr>
          <w:rFonts w:ascii="Century Schoolbook" w:hAnsi="Century Schoolbook"/>
        </w:rPr>
        <w:t xml:space="preserve">evidence </w:t>
      </w:r>
      <w:r w:rsidRPr="00283C20" w:rsidR="004C0032">
        <w:rPr>
          <w:rFonts w:ascii="Century Schoolbook" w:hAnsi="Century Schoolbook"/>
        </w:rPr>
        <w:t xml:space="preserve">supports a triable claim of gross negligence.  </w:t>
      </w:r>
      <w:r w:rsidRPr="00283C20">
        <w:rPr>
          <w:rFonts w:ascii="Century Schoolbook" w:hAnsi="Century Schoolbook"/>
        </w:rPr>
        <w:t xml:space="preserve">Shatnawi appears to </w:t>
      </w:r>
      <w:r w:rsidR="00BB1A8C">
        <w:rPr>
          <w:rFonts w:ascii="Century Schoolbook" w:hAnsi="Century Schoolbook"/>
        </w:rPr>
        <w:t>say</w:t>
      </w:r>
      <w:r w:rsidRPr="00283C20">
        <w:rPr>
          <w:rFonts w:ascii="Century Schoolbook" w:hAnsi="Century Schoolbook"/>
        </w:rPr>
        <w:t xml:space="preserve"> that whenever a street shows signs of alligator cracking</w:t>
      </w:r>
      <w:r w:rsidRPr="00283C20" w:rsidR="004C0032">
        <w:rPr>
          <w:rFonts w:ascii="Century Schoolbook" w:hAnsi="Century Schoolbook"/>
        </w:rPr>
        <w:t xml:space="preserve"> or </w:t>
      </w:r>
      <w:r w:rsidR="00BB1A8C">
        <w:rPr>
          <w:rFonts w:ascii="Century Schoolbook" w:hAnsi="Century Schoolbook"/>
        </w:rPr>
        <w:t xml:space="preserve">there </w:t>
      </w:r>
      <w:r w:rsidRPr="00283C20" w:rsidR="004C0032">
        <w:rPr>
          <w:rFonts w:ascii="Century Schoolbook" w:hAnsi="Century Schoolbook"/>
        </w:rPr>
        <w:t>is a risk of potholes</w:t>
      </w:r>
      <w:r w:rsidR="00BB1A8C">
        <w:rPr>
          <w:rFonts w:ascii="Century Schoolbook" w:hAnsi="Century Schoolbook"/>
        </w:rPr>
        <w:t xml:space="preserve"> forming,</w:t>
      </w:r>
      <w:r w:rsidRPr="00283C20" w:rsidR="004C0032">
        <w:rPr>
          <w:rFonts w:ascii="Century Schoolbook" w:hAnsi="Century Schoolbook"/>
        </w:rPr>
        <w:t xml:space="preserve"> a city should inspect it regularly.  </w:t>
      </w:r>
      <w:r w:rsidRPr="00283C20">
        <w:rPr>
          <w:rFonts w:ascii="Century Schoolbook" w:hAnsi="Century Schoolbook"/>
        </w:rPr>
        <w:t xml:space="preserve">But </w:t>
      </w:r>
      <w:r w:rsidR="00972FBC">
        <w:rPr>
          <w:rFonts w:ascii="Century Schoolbook" w:hAnsi="Century Schoolbook"/>
        </w:rPr>
        <w:t>“</w:t>
      </w:r>
      <w:r w:rsidRPr="00283C20" w:rsidR="00972FBC">
        <w:rPr>
          <w:rFonts w:ascii="Century Schoolbook" w:hAnsi="Century Schoolbook"/>
        </w:rPr>
        <w:t>conduct demonstrating the failure to guard against, or warn of, a dangerous condition typically does not rise to the level of gross negligence</w:t>
      </w:r>
      <w:r w:rsidR="00972FBC">
        <w:rPr>
          <w:rFonts w:ascii="Century Schoolbook" w:hAnsi="Century Schoolbook"/>
        </w:rPr>
        <w:t>.</w:t>
      </w:r>
      <w:r w:rsidRPr="00283C20" w:rsidR="00972FBC">
        <w:rPr>
          <w:rFonts w:ascii="Century Schoolbook" w:hAnsi="Century Schoolbook"/>
        </w:rPr>
        <w:t>”</w:t>
      </w:r>
      <w:r w:rsidR="00972FBC">
        <w:rPr>
          <w:rFonts w:ascii="Century Schoolbook" w:hAnsi="Century Schoolbook"/>
        </w:rPr>
        <w:t xml:space="preserve">  (</w:t>
      </w:r>
      <w:r w:rsidRPr="00C657C5" w:rsidR="00972FBC">
        <w:rPr>
          <w:rFonts w:ascii="Century Schoolbook" w:hAnsi="Century Schoolbook"/>
          <w:i/>
          <w:iCs/>
        </w:rPr>
        <w:t>Anderson</w:t>
      </w:r>
      <w:r w:rsidR="00972FBC">
        <w:rPr>
          <w:rFonts w:ascii="Century Schoolbook" w:hAnsi="Century Schoolbook"/>
        </w:rPr>
        <w:t xml:space="preserve">, </w:t>
      </w:r>
      <w:r w:rsidRPr="00C657C5" w:rsidR="00972FBC">
        <w:rPr>
          <w:rFonts w:ascii="Century Schoolbook" w:hAnsi="Century Schoolbook"/>
          <w:i/>
          <w:iCs/>
        </w:rPr>
        <w:t>supra</w:t>
      </w:r>
      <w:r w:rsidR="00972FBC">
        <w:rPr>
          <w:rFonts w:ascii="Century Schoolbook" w:hAnsi="Century Schoolbook"/>
        </w:rPr>
        <w:t xml:space="preserve">, </w:t>
      </w:r>
      <w:r w:rsidRPr="00283C20" w:rsidR="00972FBC">
        <w:rPr>
          <w:rFonts w:ascii="Century Schoolbook" w:hAnsi="Century Schoolbook"/>
        </w:rPr>
        <w:t xml:space="preserve">4 Cal.App.5th </w:t>
      </w:r>
      <w:r w:rsidR="00972FBC">
        <w:rPr>
          <w:rFonts w:ascii="Century Schoolbook" w:hAnsi="Century Schoolbook"/>
        </w:rPr>
        <w:t>at p.</w:t>
      </w:r>
      <w:r w:rsidRPr="00283C20" w:rsidR="00972FBC">
        <w:rPr>
          <w:rFonts w:ascii="Century Schoolbook" w:hAnsi="Century Schoolbook"/>
        </w:rPr>
        <w:t> 881</w:t>
      </w:r>
      <w:r w:rsidR="00972FBC">
        <w:rPr>
          <w:rFonts w:ascii="Century Schoolbook" w:hAnsi="Century Schoolbook"/>
        </w:rPr>
        <w:t xml:space="preserve">.)  Here, </w:t>
      </w:r>
      <w:r w:rsidRPr="00283C20">
        <w:rPr>
          <w:rFonts w:ascii="Century Schoolbook" w:hAnsi="Century Schoolbook"/>
        </w:rPr>
        <w:t>Shatnawi</w:t>
      </w:r>
      <w:r w:rsidR="00972FBC">
        <w:rPr>
          <w:rFonts w:ascii="Century Schoolbook" w:hAnsi="Century Schoolbook"/>
        </w:rPr>
        <w:t xml:space="preserve"> </w:t>
      </w:r>
      <w:r w:rsidR="00F5011F">
        <w:rPr>
          <w:rFonts w:ascii="Century Schoolbook" w:hAnsi="Century Schoolbook"/>
        </w:rPr>
        <w:t xml:space="preserve">offered no </w:t>
      </w:r>
      <w:r w:rsidR="00972FBC">
        <w:rPr>
          <w:rFonts w:ascii="Century Schoolbook" w:hAnsi="Century Schoolbook"/>
        </w:rPr>
        <w:t>basis for a conclusion</w:t>
      </w:r>
      <w:r w:rsidR="00537916">
        <w:rPr>
          <w:rFonts w:ascii="Century Schoolbook" w:hAnsi="Century Schoolbook"/>
        </w:rPr>
        <w:t xml:space="preserve"> </w:t>
      </w:r>
      <w:r w:rsidR="00F5011F">
        <w:rPr>
          <w:rFonts w:ascii="Century Schoolbook" w:hAnsi="Century Schoolbook"/>
        </w:rPr>
        <w:t>that</w:t>
      </w:r>
      <w:r w:rsidR="00780136">
        <w:rPr>
          <w:rFonts w:ascii="Century Schoolbook" w:hAnsi="Century Schoolbook"/>
        </w:rPr>
        <w:t xml:space="preserve"> </w:t>
      </w:r>
      <w:r w:rsidR="00BB52B1">
        <w:rPr>
          <w:rFonts w:ascii="Century Schoolbook" w:hAnsi="Century Schoolbook"/>
        </w:rPr>
        <w:t>defendant</w:t>
      </w:r>
      <w:r w:rsidR="00161E8D">
        <w:rPr>
          <w:rFonts w:ascii="Century Schoolbook" w:hAnsi="Century Schoolbook"/>
        </w:rPr>
        <w:t xml:space="preserve">’s conduct </w:t>
      </w:r>
      <w:r w:rsidR="00972FBC">
        <w:rPr>
          <w:rFonts w:ascii="Century Schoolbook" w:hAnsi="Century Schoolbook"/>
        </w:rPr>
        <w:t>exceeded such ordinary negligence.</w:t>
      </w:r>
      <w:r w:rsidRPr="00283C20" w:rsidR="00C535FC">
        <w:rPr>
          <w:rFonts w:ascii="Century Schoolbook" w:hAnsi="Century Schoolbook"/>
        </w:rPr>
        <w:t xml:space="preserve">  </w:t>
      </w:r>
      <w:r w:rsidR="00F5011F">
        <w:rPr>
          <w:rFonts w:ascii="Century Schoolbook" w:hAnsi="Century Schoolbook"/>
        </w:rPr>
        <w:t xml:space="preserve">Indeed, </w:t>
      </w:r>
      <w:r w:rsidRPr="00283C20">
        <w:rPr>
          <w:rFonts w:ascii="Century Schoolbook" w:hAnsi="Century Schoolbook"/>
        </w:rPr>
        <w:t>defendant’s evidence</w:t>
      </w:r>
      <w:r w:rsidR="00F5011F">
        <w:rPr>
          <w:rFonts w:ascii="Century Schoolbook" w:hAnsi="Century Schoolbook"/>
        </w:rPr>
        <w:t xml:space="preserve"> established without contradiction</w:t>
      </w:r>
      <w:r w:rsidRPr="00283C20">
        <w:rPr>
          <w:rFonts w:ascii="Century Schoolbook" w:hAnsi="Century Schoolbook"/>
        </w:rPr>
        <w:t xml:space="preserve"> that </w:t>
      </w:r>
      <w:r w:rsidRPr="00283C20" w:rsidR="00A3506A">
        <w:rPr>
          <w:rFonts w:ascii="Century Schoolbook" w:hAnsi="Century Schoolbook"/>
        </w:rPr>
        <w:t xml:space="preserve">predicting the development of potholes from existing cracking cannot be done reliably, </w:t>
      </w:r>
      <w:r w:rsidRPr="00283C20" w:rsidR="000C44F9">
        <w:rPr>
          <w:rFonts w:ascii="Century Schoolbook" w:hAnsi="Century Schoolbook"/>
        </w:rPr>
        <w:t xml:space="preserve">and </w:t>
      </w:r>
      <w:r w:rsidR="00F5011F">
        <w:rPr>
          <w:rFonts w:ascii="Century Schoolbook" w:hAnsi="Century Schoolbook"/>
        </w:rPr>
        <w:t xml:space="preserve">that </w:t>
      </w:r>
      <w:r w:rsidR="00BB52B1">
        <w:rPr>
          <w:rFonts w:ascii="Century Schoolbook" w:hAnsi="Century Schoolbook"/>
        </w:rPr>
        <w:t>defendant had</w:t>
      </w:r>
      <w:r w:rsidRPr="00283C20" w:rsidR="000C44F9">
        <w:rPr>
          <w:rFonts w:ascii="Century Schoolbook" w:hAnsi="Century Schoolbook"/>
        </w:rPr>
        <w:t xml:space="preserve"> never received any complaint or noti</w:t>
      </w:r>
      <w:r w:rsidRPr="00283C20" w:rsidR="006212B3">
        <w:rPr>
          <w:rFonts w:ascii="Century Schoolbook" w:hAnsi="Century Schoolbook"/>
        </w:rPr>
        <w:t>fication</w:t>
      </w:r>
      <w:r w:rsidRPr="00283C20" w:rsidR="000C44F9">
        <w:rPr>
          <w:rFonts w:ascii="Century Schoolbook" w:hAnsi="Century Schoolbook"/>
        </w:rPr>
        <w:t xml:space="preserve"> of the pothole at issue</w:t>
      </w:r>
      <w:r w:rsidRPr="00283C20">
        <w:rPr>
          <w:rFonts w:ascii="Century Schoolbook" w:hAnsi="Century Schoolbook"/>
        </w:rPr>
        <w:t xml:space="preserve">. </w:t>
      </w:r>
    </w:p>
    <w:p w:rsidR="006A6FC2" w:rsidRPr="00283C20" w:rsidP="008172C4" w14:paraId="6FE78BB6" w14:textId="3C04C5D1">
      <w:pPr>
        <w:spacing w:line="360" w:lineRule="auto"/>
        <w:rPr>
          <w:rFonts w:ascii="Century Schoolbook" w:hAnsi="Century Schoolbook"/>
        </w:rPr>
      </w:pPr>
      <w:r w:rsidRPr="00283C20">
        <w:rPr>
          <w:rFonts w:ascii="Century Schoolbook" w:hAnsi="Century Schoolbook"/>
        </w:rPr>
        <w:tab/>
      </w:r>
      <w:r w:rsidR="00E0020A">
        <w:rPr>
          <w:rFonts w:ascii="Century Schoolbook" w:hAnsi="Century Schoolbook"/>
        </w:rPr>
        <w:t>Finally</w:t>
      </w:r>
      <w:r w:rsidRPr="00283C20">
        <w:rPr>
          <w:rFonts w:ascii="Century Schoolbook" w:hAnsi="Century Schoolbook"/>
        </w:rPr>
        <w:t xml:space="preserve">, plaintiff argues </w:t>
      </w:r>
      <w:r w:rsidR="008172C4">
        <w:rPr>
          <w:rFonts w:ascii="Century Schoolbook" w:hAnsi="Century Schoolbook"/>
        </w:rPr>
        <w:t>there was</w:t>
      </w:r>
      <w:r w:rsidRPr="00283C20">
        <w:rPr>
          <w:rFonts w:ascii="Century Schoolbook" w:hAnsi="Century Schoolbook"/>
        </w:rPr>
        <w:t xml:space="preserve"> evidence that </w:t>
      </w:r>
      <w:r w:rsidR="00B123A3">
        <w:rPr>
          <w:rFonts w:ascii="Century Schoolbook" w:hAnsi="Century Schoolbook"/>
        </w:rPr>
        <w:t xml:space="preserve">defendant </w:t>
      </w:r>
      <w:r w:rsidRPr="00283C20">
        <w:rPr>
          <w:rFonts w:ascii="Century Schoolbook" w:hAnsi="Century Schoolbook"/>
        </w:rPr>
        <w:t xml:space="preserve">“increased the risk of harm by misclassifying defects on Skyline.” </w:t>
      </w:r>
      <w:r w:rsidRPr="00283C20" w:rsidR="00E70B56">
        <w:rPr>
          <w:rFonts w:ascii="Century Schoolbook" w:hAnsi="Century Schoolbook"/>
        </w:rPr>
        <w:t xml:space="preserve"> </w:t>
      </w:r>
      <w:r w:rsidR="008172C4">
        <w:rPr>
          <w:rFonts w:ascii="Century Schoolbook" w:hAnsi="Century Schoolbook"/>
        </w:rPr>
        <w:t>For this he cites</w:t>
      </w:r>
      <w:r w:rsidRPr="00283C20" w:rsidR="00E70B56">
        <w:rPr>
          <w:rFonts w:ascii="Century Schoolbook" w:hAnsi="Century Schoolbook"/>
        </w:rPr>
        <w:t xml:space="preserve"> to </w:t>
      </w:r>
      <w:r w:rsidR="00BB52B1">
        <w:rPr>
          <w:rFonts w:ascii="Century Schoolbook" w:hAnsi="Century Schoolbook"/>
        </w:rPr>
        <w:t xml:space="preserve">the portion of </w:t>
      </w:r>
      <w:r w:rsidR="00A95402">
        <w:rPr>
          <w:rFonts w:ascii="Century Schoolbook" w:hAnsi="Century Schoolbook"/>
        </w:rPr>
        <w:t xml:space="preserve">Kenneth </w:t>
      </w:r>
      <w:r w:rsidR="00BB52B1">
        <w:rPr>
          <w:rFonts w:ascii="Century Schoolbook" w:hAnsi="Century Schoolbook"/>
        </w:rPr>
        <w:t>Patton’s</w:t>
      </w:r>
      <w:r w:rsidRPr="00283C20" w:rsidR="00BD4018">
        <w:rPr>
          <w:rFonts w:ascii="Century Schoolbook" w:hAnsi="Century Schoolbook"/>
        </w:rPr>
        <w:t xml:space="preserve"> </w:t>
      </w:r>
      <w:r w:rsidRPr="00283C20" w:rsidR="00E70B56">
        <w:rPr>
          <w:rFonts w:ascii="Century Schoolbook" w:hAnsi="Century Schoolbook"/>
        </w:rPr>
        <w:t xml:space="preserve">declaration </w:t>
      </w:r>
      <w:r w:rsidRPr="00283C20" w:rsidR="005A0B2F">
        <w:rPr>
          <w:rFonts w:ascii="Century Schoolbook" w:hAnsi="Century Schoolbook"/>
        </w:rPr>
        <w:t>explain</w:t>
      </w:r>
      <w:r w:rsidR="00BB52B1">
        <w:rPr>
          <w:rFonts w:ascii="Century Schoolbook" w:hAnsi="Century Schoolbook"/>
        </w:rPr>
        <w:t>ing</w:t>
      </w:r>
      <w:r w:rsidR="008172C4">
        <w:rPr>
          <w:rFonts w:ascii="Century Schoolbook" w:hAnsi="Century Schoolbook"/>
        </w:rPr>
        <w:t xml:space="preserve"> that</w:t>
      </w:r>
      <w:r w:rsidRPr="00283C20" w:rsidR="00E70B56">
        <w:rPr>
          <w:rFonts w:ascii="Century Schoolbook" w:hAnsi="Century Schoolbook"/>
        </w:rPr>
        <w:t xml:space="preserve"> </w:t>
      </w:r>
      <w:r w:rsidR="008172C4">
        <w:rPr>
          <w:rFonts w:ascii="Century Schoolbook" w:hAnsi="Century Schoolbook"/>
        </w:rPr>
        <w:t xml:space="preserve">service requests for </w:t>
      </w:r>
      <w:r w:rsidRPr="00283C20" w:rsidR="00E70B56">
        <w:rPr>
          <w:rFonts w:ascii="Century Schoolbook" w:hAnsi="Century Schoolbook"/>
        </w:rPr>
        <w:t xml:space="preserve">reports of potholes or defects in bicycle lanes are always assigned </w:t>
      </w:r>
      <w:r w:rsidR="008172C4">
        <w:rPr>
          <w:rFonts w:ascii="Century Schoolbook" w:hAnsi="Century Schoolbook"/>
        </w:rPr>
        <w:t>“</w:t>
      </w:r>
      <w:r w:rsidRPr="00283C20" w:rsidR="00E70B56">
        <w:rPr>
          <w:rFonts w:ascii="Century Schoolbook" w:hAnsi="Century Schoolbook"/>
        </w:rPr>
        <w:t>priority 1</w:t>
      </w:r>
      <w:r w:rsidR="008172C4">
        <w:rPr>
          <w:rFonts w:ascii="Century Schoolbook" w:hAnsi="Century Schoolbook"/>
        </w:rPr>
        <w:t>” (the most urgent priority for repair)</w:t>
      </w:r>
      <w:r w:rsidRPr="00283C20" w:rsidR="00E70B56">
        <w:rPr>
          <w:rFonts w:ascii="Century Schoolbook" w:hAnsi="Century Schoolbook"/>
        </w:rPr>
        <w:t xml:space="preserve">, while potholes or other defects in bicycle routes are assigned a </w:t>
      </w:r>
      <w:r w:rsidR="00E0020A">
        <w:rPr>
          <w:rFonts w:ascii="Century Schoolbook" w:hAnsi="Century Schoolbook"/>
        </w:rPr>
        <w:t>“</w:t>
      </w:r>
      <w:r w:rsidRPr="00283C20" w:rsidR="00E70B56">
        <w:rPr>
          <w:rFonts w:ascii="Century Schoolbook" w:hAnsi="Century Schoolbook"/>
        </w:rPr>
        <w:t>priority 2</w:t>
      </w:r>
      <w:r w:rsidR="00E0020A">
        <w:rPr>
          <w:rFonts w:ascii="Century Schoolbook" w:hAnsi="Century Schoolbook"/>
        </w:rPr>
        <w:t>”</w:t>
      </w:r>
      <w:r w:rsidRPr="00283C20" w:rsidR="00E70B56">
        <w:rPr>
          <w:rFonts w:ascii="Century Schoolbook" w:hAnsi="Century Schoolbook"/>
        </w:rPr>
        <w:t xml:space="preserve">; and </w:t>
      </w:r>
      <w:r w:rsidR="00DB05CA">
        <w:rPr>
          <w:rFonts w:ascii="Century Schoolbook" w:hAnsi="Century Schoolbook"/>
        </w:rPr>
        <w:t xml:space="preserve">that </w:t>
      </w:r>
      <w:r w:rsidRPr="00283C20" w:rsidR="00E70B56">
        <w:rPr>
          <w:rFonts w:ascii="Century Schoolbook" w:hAnsi="Century Schoolbook"/>
        </w:rPr>
        <w:t xml:space="preserve">priority 1 potholes are repaired within 1 to 5 days, </w:t>
      </w:r>
      <w:r w:rsidR="00DB05CA">
        <w:rPr>
          <w:rFonts w:ascii="Century Schoolbook" w:hAnsi="Century Schoolbook"/>
        </w:rPr>
        <w:t xml:space="preserve">while </w:t>
      </w:r>
      <w:r w:rsidRPr="00283C20" w:rsidR="00E70B56">
        <w:rPr>
          <w:rFonts w:ascii="Century Schoolbook" w:hAnsi="Century Schoolbook"/>
        </w:rPr>
        <w:t>priority 2</w:t>
      </w:r>
      <w:r w:rsidR="00DB05CA">
        <w:rPr>
          <w:rFonts w:ascii="Century Schoolbook" w:hAnsi="Century Schoolbook"/>
        </w:rPr>
        <w:t xml:space="preserve"> repairs are made</w:t>
      </w:r>
      <w:r w:rsidRPr="00283C20" w:rsidR="00E70B56">
        <w:rPr>
          <w:rFonts w:ascii="Century Schoolbook" w:hAnsi="Century Schoolbook"/>
        </w:rPr>
        <w:t xml:space="preserve"> within weeks.  </w:t>
      </w:r>
      <w:r w:rsidR="008172C4">
        <w:rPr>
          <w:rFonts w:ascii="Century Schoolbook" w:hAnsi="Century Schoolbook"/>
        </w:rPr>
        <w:t>During his deposition, Patton reviewed</w:t>
      </w:r>
      <w:r w:rsidRPr="00283C20">
        <w:rPr>
          <w:rFonts w:ascii="Century Schoolbook" w:hAnsi="Century Schoolbook"/>
        </w:rPr>
        <w:t xml:space="preserve"> </w:t>
      </w:r>
      <w:r w:rsidRPr="00283C20" w:rsidR="003546E4">
        <w:rPr>
          <w:rFonts w:ascii="Century Schoolbook" w:hAnsi="Century Schoolbook"/>
        </w:rPr>
        <w:t>various</w:t>
      </w:r>
      <w:r w:rsidRPr="00283C20" w:rsidR="00E70B56">
        <w:rPr>
          <w:rFonts w:ascii="Century Schoolbook" w:hAnsi="Century Schoolbook"/>
        </w:rPr>
        <w:t xml:space="preserve"> service requests for pothole</w:t>
      </w:r>
      <w:r w:rsidRPr="00283C20" w:rsidR="006E4D7F">
        <w:rPr>
          <w:rFonts w:ascii="Century Schoolbook" w:hAnsi="Century Schoolbook"/>
        </w:rPr>
        <w:t xml:space="preserve">s </w:t>
      </w:r>
      <w:r w:rsidRPr="00283C20" w:rsidR="00F40457">
        <w:rPr>
          <w:rFonts w:ascii="Century Schoolbook" w:hAnsi="Century Schoolbook"/>
        </w:rPr>
        <w:t xml:space="preserve">or defects </w:t>
      </w:r>
      <w:r w:rsidRPr="00283C20" w:rsidR="00E70B56">
        <w:rPr>
          <w:rFonts w:ascii="Century Schoolbook" w:hAnsi="Century Schoolbook"/>
        </w:rPr>
        <w:t>on Skyline Boulevard</w:t>
      </w:r>
      <w:r w:rsidRPr="00283C20" w:rsidR="004A3E17">
        <w:rPr>
          <w:rFonts w:ascii="Century Schoolbook" w:hAnsi="Century Schoolbook"/>
        </w:rPr>
        <w:t xml:space="preserve"> dating back</w:t>
      </w:r>
      <w:r w:rsidRPr="00283C20" w:rsidR="00E70B56">
        <w:rPr>
          <w:rFonts w:ascii="Century Schoolbook" w:hAnsi="Century Schoolbook"/>
        </w:rPr>
        <w:t xml:space="preserve"> </w:t>
      </w:r>
      <w:r w:rsidRPr="00283C20" w:rsidR="00C85A2E">
        <w:rPr>
          <w:rFonts w:ascii="Century Schoolbook" w:hAnsi="Century Schoolbook"/>
        </w:rPr>
        <w:t>to</w:t>
      </w:r>
      <w:r w:rsidRPr="00283C20" w:rsidR="00C62EA9">
        <w:rPr>
          <w:rFonts w:ascii="Century Schoolbook" w:hAnsi="Century Schoolbook"/>
        </w:rPr>
        <w:t xml:space="preserve"> 2009</w:t>
      </w:r>
      <w:r w:rsidR="00327003">
        <w:rPr>
          <w:rFonts w:ascii="Century Schoolbook" w:hAnsi="Century Schoolbook"/>
        </w:rPr>
        <w:t>.  He</w:t>
      </w:r>
      <w:r w:rsidR="008172C4">
        <w:rPr>
          <w:rFonts w:ascii="Century Schoolbook" w:hAnsi="Century Schoolbook"/>
        </w:rPr>
        <w:t xml:space="preserve"> </w:t>
      </w:r>
      <w:r w:rsidR="00327003">
        <w:rPr>
          <w:rFonts w:ascii="Century Schoolbook" w:hAnsi="Century Schoolbook"/>
        </w:rPr>
        <w:t xml:space="preserve">could not explain </w:t>
      </w:r>
      <w:r w:rsidRPr="00283C20">
        <w:rPr>
          <w:rFonts w:ascii="Century Schoolbook" w:hAnsi="Century Schoolbook"/>
        </w:rPr>
        <w:t xml:space="preserve">why </w:t>
      </w:r>
      <w:r w:rsidR="00327003">
        <w:rPr>
          <w:rFonts w:ascii="Century Schoolbook" w:hAnsi="Century Schoolbook"/>
        </w:rPr>
        <w:t>“</w:t>
      </w:r>
      <w:r w:rsidRPr="00283C20">
        <w:rPr>
          <w:rFonts w:ascii="Century Schoolbook" w:hAnsi="Century Schoolbook"/>
        </w:rPr>
        <w:t xml:space="preserve">priority </w:t>
      </w:r>
      <w:r w:rsidRPr="00283C20" w:rsidR="00F40457">
        <w:rPr>
          <w:rFonts w:ascii="Century Schoolbook" w:hAnsi="Century Schoolbook"/>
        </w:rPr>
        <w:t>3</w:t>
      </w:r>
      <w:r w:rsidR="00327003">
        <w:rPr>
          <w:rFonts w:ascii="Century Schoolbook" w:hAnsi="Century Schoolbook"/>
        </w:rPr>
        <w:t>” (the least urgent priority for repair)</w:t>
      </w:r>
      <w:r w:rsidRPr="00283C20">
        <w:rPr>
          <w:rFonts w:ascii="Century Schoolbook" w:hAnsi="Century Schoolbook"/>
        </w:rPr>
        <w:t xml:space="preserve"> was </w:t>
      </w:r>
      <w:r w:rsidR="00327003">
        <w:rPr>
          <w:rFonts w:ascii="Century Schoolbook" w:hAnsi="Century Schoolbook"/>
        </w:rPr>
        <w:t>assigned</w:t>
      </w:r>
      <w:r w:rsidRPr="00283C20" w:rsidR="00720211">
        <w:rPr>
          <w:rFonts w:ascii="Century Schoolbook" w:hAnsi="Century Schoolbook"/>
        </w:rPr>
        <w:t xml:space="preserve"> to </w:t>
      </w:r>
      <w:r w:rsidR="00327003">
        <w:rPr>
          <w:rFonts w:ascii="Century Schoolbook" w:hAnsi="Century Schoolbook"/>
        </w:rPr>
        <w:t xml:space="preserve">some of </w:t>
      </w:r>
      <w:r w:rsidRPr="00283C20" w:rsidR="00720211">
        <w:rPr>
          <w:rFonts w:ascii="Century Schoolbook" w:hAnsi="Century Schoolbook"/>
        </w:rPr>
        <w:t>the</w:t>
      </w:r>
      <w:r w:rsidRPr="00283C20" w:rsidR="00F40457">
        <w:rPr>
          <w:rFonts w:ascii="Century Schoolbook" w:hAnsi="Century Schoolbook"/>
        </w:rPr>
        <w:t>se service</w:t>
      </w:r>
      <w:r w:rsidRPr="00283C20" w:rsidR="00720211">
        <w:rPr>
          <w:rFonts w:ascii="Century Schoolbook" w:hAnsi="Century Schoolbook"/>
        </w:rPr>
        <w:t xml:space="preserve"> requests</w:t>
      </w:r>
      <w:r w:rsidRPr="00283C20" w:rsidR="00AA4B01">
        <w:rPr>
          <w:rFonts w:ascii="Century Schoolbook" w:hAnsi="Century Schoolbook"/>
        </w:rPr>
        <w:t>,</w:t>
      </w:r>
      <w:r w:rsidRPr="00283C20" w:rsidR="005A0B2F">
        <w:rPr>
          <w:rFonts w:ascii="Century Schoolbook" w:hAnsi="Century Schoolbook"/>
        </w:rPr>
        <w:t xml:space="preserve"> </w:t>
      </w:r>
      <w:r w:rsidR="00327003">
        <w:rPr>
          <w:rFonts w:ascii="Century Schoolbook" w:hAnsi="Century Schoolbook"/>
        </w:rPr>
        <w:t xml:space="preserve">which </w:t>
      </w:r>
      <w:r w:rsidRPr="00283C20" w:rsidR="008B7FFD">
        <w:rPr>
          <w:rFonts w:ascii="Century Schoolbook" w:hAnsi="Century Schoolbook"/>
        </w:rPr>
        <w:t>indicat</w:t>
      </w:r>
      <w:r w:rsidR="00327003">
        <w:rPr>
          <w:rFonts w:ascii="Century Schoolbook" w:hAnsi="Century Schoolbook"/>
        </w:rPr>
        <w:t>ed potential errors in the priority assignment or perhaps initial</w:t>
      </w:r>
      <w:r w:rsidRPr="00283C20" w:rsidR="00F145B1">
        <w:rPr>
          <w:rFonts w:ascii="Century Schoolbook" w:hAnsi="Century Schoolbook"/>
        </w:rPr>
        <w:t xml:space="preserve"> </w:t>
      </w:r>
      <w:r w:rsidRPr="00283C20" w:rsidR="005B17D5">
        <w:rPr>
          <w:rFonts w:ascii="Century Schoolbook" w:hAnsi="Century Schoolbook"/>
        </w:rPr>
        <w:t>misdescri</w:t>
      </w:r>
      <w:r w:rsidR="00327003">
        <w:rPr>
          <w:rFonts w:ascii="Century Schoolbook" w:hAnsi="Century Schoolbook"/>
        </w:rPr>
        <w:t>ptions of the issue</w:t>
      </w:r>
      <w:r w:rsidRPr="00283C20">
        <w:rPr>
          <w:rFonts w:ascii="Century Schoolbook" w:hAnsi="Century Schoolbook"/>
        </w:rPr>
        <w:t>.</w:t>
      </w:r>
      <w:r w:rsidRPr="00283C20" w:rsidR="00BF362B">
        <w:rPr>
          <w:rFonts w:ascii="Century Schoolbook" w:hAnsi="Century Schoolbook"/>
        </w:rPr>
        <w:t xml:space="preserve"> </w:t>
      </w:r>
    </w:p>
    <w:p w:rsidR="00672258" w:rsidRPr="00283C20" w:rsidP="008478CD" w14:paraId="5EC20BF2" w14:textId="1732F369">
      <w:pPr>
        <w:spacing w:line="360" w:lineRule="auto"/>
        <w:rPr>
          <w:rFonts w:ascii="Century Schoolbook" w:hAnsi="Century Schoolbook"/>
        </w:rPr>
      </w:pPr>
      <w:r w:rsidRPr="00283C20">
        <w:rPr>
          <w:rFonts w:ascii="Century Schoolbook" w:hAnsi="Century Schoolbook"/>
        </w:rPr>
        <w:tab/>
      </w:r>
      <w:r w:rsidR="0008715F">
        <w:rPr>
          <w:rFonts w:ascii="Century Schoolbook" w:hAnsi="Century Schoolbook"/>
        </w:rPr>
        <w:t>T</w:t>
      </w:r>
      <w:r w:rsidR="00327003">
        <w:rPr>
          <w:rFonts w:ascii="Century Schoolbook" w:hAnsi="Century Schoolbook"/>
        </w:rPr>
        <w:t xml:space="preserve">hat </w:t>
      </w:r>
      <w:r w:rsidRPr="00283C20" w:rsidR="00061EA0">
        <w:rPr>
          <w:rFonts w:ascii="Century Schoolbook" w:hAnsi="Century Schoolbook"/>
        </w:rPr>
        <w:t xml:space="preserve">mistakes </w:t>
      </w:r>
      <w:r w:rsidR="00327003">
        <w:rPr>
          <w:rFonts w:ascii="Century Schoolbook" w:hAnsi="Century Schoolbook"/>
        </w:rPr>
        <w:t>may have</w:t>
      </w:r>
      <w:r w:rsidRPr="00283C20" w:rsidR="00061EA0">
        <w:rPr>
          <w:rFonts w:ascii="Century Schoolbook" w:hAnsi="Century Schoolbook"/>
        </w:rPr>
        <w:t xml:space="preserve"> </w:t>
      </w:r>
      <w:r w:rsidR="00C8144F">
        <w:rPr>
          <w:rFonts w:ascii="Century Schoolbook" w:hAnsi="Century Schoolbook"/>
        </w:rPr>
        <w:t xml:space="preserve">been </w:t>
      </w:r>
      <w:r w:rsidRPr="00283C20" w:rsidR="00061EA0">
        <w:rPr>
          <w:rFonts w:ascii="Century Schoolbook" w:hAnsi="Century Schoolbook"/>
        </w:rPr>
        <w:t xml:space="preserve">made in prioritizing </w:t>
      </w:r>
      <w:r w:rsidR="00BB1A8C">
        <w:rPr>
          <w:rFonts w:ascii="Century Schoolbook" w:hAnsi="Century Schoolbook"/>
        </w:rPr>
        <w:t>service requests</w:t>
      </w:r>
      <w:r w:rsidR="00327003">
        <w:rPr>
          <w:rFonts w:ascii="Century Schoolbook" w:hAnsi="Century Schoolbook"/>
        </w:rPr>
        <w:t xml:space="preserve"> does not assist plaintiff’s case</w:t>
      </w:r>
      <w:r w:rsidRPr="00283C20" w:rsidR="004A1A88">
        <w:rPr>
          <w:rFonts w:ascii="Century Schoolbook" w:hAnsi="Century Schoolbook"/>
        </w:rPr>
        <w:t xml:space="preserve">.  The evidence of misprioritization </w:t>
      </w:r>
      <w:r w:rsidR="00327003">
        <w:rPr>
          <w:rFonts w:ascii="Century Schoolbook" w:hAnsi="Century Schoolbook"/>
        </w:rPr>
        <w:t>concerned</w:t>
      </w:r>
      <w:r w:rsidRPr="00283C20" w:rsidR="004A1A88">
        <w:rPr>
          <w:rFonts w:ascii="Century Schoolbook" w:hAnsi="Century Schoolbook"/>
        </w:rPr>
        <w:t xml:space="preserve"> a </w:t>
      </w:r>
      <w:r w:rsidR="00327003">
        <w:rPr>
          <w:rFonts w:ascii="Century Schoolbook" w:hAnsi="Century Schoolbook"/>
        </w:rPr>
        <w:t xml:space="preserve">mere </w:t>
      </w:r>
      <w:r w:rsidRPr="00283C20" w:rsidR="004A1A88">
        <w:rPr>
          <w:rFonts w:ascii="Century Schoolbook" w:hAnsi="Century Schoolbook"/>
        </w:rPr>
        <w:t xml:space="preserve">handful of service requests, some </w:t>
      </w:r>
      <w:r w:rsidRPr="00283C20" w:rsidR="005B17D5">
        <w:rPr>
          <w:rFonts w:ascii="Century Schoolbook" w:hAnsi="Century Schoolbook"/>
        </w:rPr>
        <w:t xml:space="preserve">of which were </w:t>
      </w:r>
      <w:r w:rsidR="00327003">
        <w:rPr>
          <w:rFonts w:ascii="Century Schoolbook" w:hAnsi="Century Schoolbook"/>
        </w:rPr>
        <w:t xml:space="preserve">made </w:t>
      </w:r>
      <w:r w:rsidRPr="00283C20" w:rsidR="004A1A88">
        <w:rPr>
          <w:rFonts w:ascii="Century Schoolbook" w:hAnsi="Century Schoolbook"/>
        </w:rPr>
        <w:t>many years before the incident in question</w:t>
      </w:r>
      <w:r w:rsidR="0008715F">
        <w:rPr>
          <w:rFonts w:ascii="Century Schoolbook" w:hAnsi="Century Schoolbook"/>
        </w:rPr>
        <w:t>.  Such evidence</w:t>
      </w:r>
      <w:r w:rsidR="00327003">
        <w:rPr>
          <w:rFonts w:ascii="Century Schoolbook" w:hAnsi="Century Schoolbook"/>
        </w:rPr>
        <w:t xml:space="preserve"> falls far short of establishing a triable issue that defendant’s conduct reflected </w:t>
      </w:r>
      <w:r w:rsidRPr="00283C20" w:rsidR="00F62204">
        <w:rPr>
          <w:rFonts w:ascii="Century Schoolbook" w:hAnsi="Century Schoolbook"/>
        </w:rPr>
        <w:t>an extreme departure from the ordinary standard of conduct</w:t>
      </w:r>
      <w:r w:rsidR="00DB144B">
        <w:rPr>
          <w:rFonts w:ascii="Century Schoolbook" w:hAnsi="Century Schoolbook"/>
        </w:rPr>
        <w:t xml:space="preserve">.  </w:t>
      </w:r>
      <w:r w:rsidR="0008715F">
        <w:rPr>
          <w:rFonts w:ascii="Century Schoolbook" w:hAnsi="Century Schoolbook"/>
        </w:rPr>
        <w:t>Moreover</w:t>
      </w:r>
      <w:r w:rsidRPr="00283C20" w:rsidR="008478CD">
        <w:rPr>
          <w:rFonts w:ascii="Century Schoolbook" w:hAnsi="Century Schoolbook"/>
        </w:rPr>
        <w:t>,</w:t>
      </w:r>
      <w:r w:rsidRPr="00283C20" w:rsidR="00747F27">
        <w:rPr>
          <w:rFonts w:ascii="Century Schoolbook" w:hAnsi="Century Schoolbook"/>
        </w:rPr>
        <w:t xml:space="preserve"> </w:t>
      </w:r>
      <w:r w:rsidRPr="00283C20" w:rsidR="008B79EA">
        <w:rPr>
          <w:rFonts w:ascii="Century Schoolbook" w:hAnsi="Century Schoolbook"/>
        </w:rPr>
        <w:t>there is no evidence</w:t>
      </w:r>
      <w:r w:rsidRPr="00283C20" w:rsidR="00747F27">
        <w:rPr>
          <w:rFonts w:ascii="Century Schoolbook" w:hAnsi="Century Schoolbook"/>
        </w:rPr>
        <w:t xml:space="preserve"> that these select mistakes</w:t>
      </w:r>
      <w:r w:rsidRPr="00283C20" w:rsidR="008478CD">
        <w:rPr>
          <w:rFonts w:ascii="Century Schoolbook" w:hAnsi="Century Schoolbook"/>
        </w:rPr>
        <w:t xml:space="preserve"> substantially or unreasonably increased the inherent risk of </w:t>
      </w:r>
      <w:r w:rsidRPr="00283C20" w:rsidR="002F1884">
        <w:rPr>
          <w:rFonts w:ascii="Century Schoolbook" w:hAnsi="Century Schoolbook"/>
        </w:rPr>
        <w:t xml:space="preserve">the </w:t>
      </w:r>
      <w:r w:rsidR="00A002EB">
        <w:rPr>
          <w:rFonts w:ascii="Century Schoolbook" w:hAnsi="Century Schoolbook"/>
        </w:rPr>
        <w:t>cycling</w:t>
      </w:r>
      <w:r w:rsidR="00DB05CA">
        <w:rPr>
          <w:rFonts w:ascii="Century Schoolbook" w:hAnsi="Century Schoolbook"/>
        </w:rPr>
        <w:t xml:space="preserve"> </w:t>
      </w:r>
      <w:r w:rsidRPr="00283C20" w:rsidR="002F1884">
        <w:rPr>
          <w:rFonts w:ascii="Century Schoolbook" w:hAnsi="Century Schoolbook"/>
        </w:rPr>
        <w:t>activity at issue</w:t>
      </w:r>
      <w:r w:rsidRPr="00283C20" w:rsidR="00F62204">
        <w:rPr>
          <w:rFonts w:ascii="Century Schoolbook" w:hAnsi="Century Schoolbook"/>
        </w:rPr>
        <w:t>.</w:t>
      </w:r>
      <w:r w:rsidRPr="00283C20" w:rsidR="007B457C">
        <w:rPr>
          <w:rFonts w:ascii="Century Schoolbook" w:hAnsi="Century Schoolbook"/>
        </w:rPr>
        <w:t xml:space="preserve"> </w:t>
      </w:r>
    </w:p>
    <w:p w:rsidR="001D1ABD" w:rsidRPr="00283C20" w:rsidP="009B5571" w14:paraId="2BBEB524" w14:textId="30A74DF8">
      <w:pPr>
        <w:spacing w:line="360" w:lineRule="auto"/>
        <w:rPr>
          <w:rFonts w:ascii="Century Schoolbook" w:hAnsi="Century Schoolbook"/>
        </w:rPr>
      </w:pPr>
      <w:r w:rsidRPr="00283C20">
        <w:rPr>
          <w:rFonts w:ascii="Century Schoolbook" w:hAnsi="Century Schoolbook"/>
        </w:rPr>
        <w:tab/>
        <w:t xml:space="preserve">In sum, the trial court correctly granted summary judgment based on the release.  In light of this conclusion, we need not and do not address </w:t>
      </w:r>
      <w:r w:rsidR="00B77C72">
        <w:rPr>
          <w:rFonts w:ascii="Century Schoolbook" w:hAnsi="Century Schoolbook"/>
        </w:rPr>
        <w:t>the dispute between the parties as to whether</w:t>
      </w:r>
      <w:r w:rsidRPr="00283C20" w:rsidR="009B5571">
        <w:rPr>
          <w:rFonts w:ascii="Century Schoolbook" w:hAnsi="Century Schoolbook"/>
        </w:rPr>
        <w:t xml:space="preserve"> the doctrine of primary assumption of risk forecloses plaintiff’s</w:t>
      </w:r>
      <w:r w:rsidRPr="00283C20" w:rsidR="0074154A">
        <w:rPr>
          <w:rFonts w:ascii="Century Schoolbook" w:hAnsi="Century Schoolbook"/>
        </w:rPr>
        <w:t xml:space="preserve"> </w:t>
      </w:r>
      <w:r w:rsidRPr="00283C20" w:rsidR="009B5571">
        <w:rPr>
          <w:rFonts w:ascii="Century Schoolbook" w:hAnsi="Century Schoolbook"/>
        </w:rPr>
        <w:t>claim.</w:t>
      </w:r>
    </w:p>
    <w:p w:rsidR="00E912F3" w:rsidRPr="00283C20" w:rsidP="00E44ED6" w14:paraId="0A3DE8B4" w14:textId="06049490">
      <w:pPr>
        <w:keepNext/>
        <w:spacing w:line="360" w:lineRule="auto"/>
        <w:jc w:val="center"/>
        <w:rPr>
          <w:rFonts w:ascii="Century Schoolbook" w:hAnsi="Century Schoolbook"/>
          <w:b/>
          <w:bCs/>
          <w:smallCaps/>
        </w:rPr>
      </w:pPr>
      <w:r w:rsidRPr="00283C20">
        <w:rPr>
          <w:rFonts w:ascii="Century Schoolbook" w:hAnsi="Century Schoolbook"/>
          <w:b/>
          <w:bCs/>
          <w:smallCaps/>
        </w:rPr>
        <w:t>Disposition</w:t>
      </w:r>
    </w:p>
    <w:p w:rsidR="00145FBF" w:rsidP="00672258" w14:paraId="44F096E8" w14:textId="6E88500F">
      <w:pPr>
        <w:spacing w:line="360" w:lineRule="auto"/>
        <w:rPr>
          <w:rFonts w:ascii="Century Schoolbook" w:hAnsi="Century Schoolbook"/>
        </w:rPr>
      </w:pPr>
      <w:r w:rsidRPr="00283C20">
        <w:rPr>
          <w:rFonts w:ascii="Century Schoolbook" w:hAnsi="Century Schoolbook"/>
        </w:rPr>
        <w:tab/>
      </w:r>
      <w:r w:rsidRPr="00283C20" w:rsidR="00672258">
        <w:rPr>
          <w:rFonts w:ascii="Century Schoolbook" w:hAnsi="Century Schoolbook"/>
        </w:rPr>
        <w:t>The judgment is affirmed.  Defendant is entitled to costs on appeal.</w:t>
      </w:r>
      <w:r w:rsidRPr="00283C20" w:rsidR="00AF1B89">
        <w:rPr>
          <w:rFonts w:ascii="Century Schoolbook" w:hAnsi="Century Schoolbook"/>
        </w:rPr>
        <w:t xml:space="preserve">  (Cal. Rules of Court, rule</w:t>
      </w:r>
      <w:r w:rsidRPr="00283C20" w:rsidR="00B01311">
        <w:rPr>
          <w:rFonts w:ascii="Century Schoolbook" w:hAnsi="Century Schoolbook"/>
        </w:rPr>
        <w:t> </w:t>
      </w:r>
      <w:r w:rsidRPr="00283C20" w:rsidR="00AF1B89">
        <w:rPr>
          <w:rFonts w:ascii="Century Schoolbook" w:hAnsi="Century Schoolbook"/>
        </w:rPr>
        <w:t>8.278.)</w:t>
      </w:r>
    </w:p>
    <w:p w:rsidR="00463666" w:rsidRPr="002A774E" w:rsidP="00672258" w14:paraId="7E745305" w14:textId="77777777">
      <w:pPr>
        <w:spacing w:line="360" w:lineRule="auto"/>
        <w:rPr>
          <w:rFonts w:ascii="Century Schoolbook" w:hAnsi="Century Schoolbook"/>
        </w:rPr>
      </w:pPr>
    </w:p>
    <w:p w:rsidR="00145FBF" w:rsidRPr="00422F41" w:rsidP="00145FBF" w14:paraId="65A016CF" w14:textId="77777777">
      <w:pPr>
        <w:spacing w:line="240" w:lineRule="auto"/>
        <w:ind w:left="4320"/>
        <w:rPr>
          <w:rFonts w:ascii="Century Schoolbook" w:eastAsia="Calibri" w:hAnsi="Century Schoolbook"/>
        </w:rPr>
      </w:pPr>
      <w:r w:rsidRPr="00422F41">
        <w:rPr>
          <w:rFonts w:ascii="Century Schoolbook" w:eastAsia="Calibri" w:hAnsi="Century Schoolbook"/>
        </w:rPr>
        <w:t>_________________________</w:t>
      </w:r>
    </w:p>
    <w:p w:rsidR="00145FBF" w:rsidRPr="00422F41" w:rsidP="00145FBF" w14:paraId="651E16BD" w14:textId="7167D8E5">
      <w:pPr>
        <w:spacing w:line="240" w:lineRule="auto"/>
        <w:rPr>
          <w:rFonts w:ascii="Century Schoolbook" w:eastAsia="Calibri" w:hAnsi="Century Schoolbook"/>
        </w:rPr>
      </w:pPr>
      <w:r w:rsidRPr="00422F41">
        <w:rPr>
          <w:rFonts w:ascii="Century Schoolbook" w:eastAsia="Calibri" w:hAnsi="Century Schoolbook"/>
        </w:rPr>
        <w:tab/>
      </w:r>
      <w:r w:rsidRPr="00422F41">
        <w:rPr>
          <w:rFonts w:ascii="Century Schoolbook" w:eastAsia="Calibri" w:hAnsi="Century Schoolbook"/>
        </w:rPr>
        <w:tab/>
      </w:r>
      <w:r w:rsidRPr="00422F41">
        <w:rPr>
          <w:rFonts w:ascii="Century Schoolbook" w:eastAsia="Calibri" w:hAnsi="Century Schoolbook"/>
        </w:rPr>
        <w:tab/>
      </w:r>
      <w:r w:rsidRPr="00422F41">
        <w:rPr>
          <w:rFonts w:ascii="Century Schoolbook" w:eastAsia="Calibri" w:hAnsi="Century Schoolbook"/>
        </w:rPr>
        <w:tab/>
      </w:r>
      <w:r w:rsidRPr="00422F41">
        <w:rPr>
          <w:rFonts w:ascii="Century Schoolbook" w:eastAsia="Calibri" w:hAnsi="Century Schoolbook"/>
        </w:rPr>
        <w:tab/>
      </w:r>
      <w:r w:rsidRPr="00422F41">
        <w:rPr>
          <w:rFonts w:ascii="Century Schoolbook" w:eastAsia="Calibri" w:hAnsi="Century Schoolbook"/>
        </w:rPr>
        <w:tab/>
        <w:t>Fujisaki, J.</w:t>
      </w:r>
    </w:p>
    <w:p w:rsidR="00145FBF" w:rsidRPr="00422F41" w:rsidP="00145FBF" w14:paraId="4E5B3BA8" w14:textId="77777777">
      <w:pPr>
        <w:spacing w:line="240" w:lineRule="auto"/>
        <w:rPr>
          <w:rFonts w:ascii="Century Schoolbook" w:eastAsia="Calibri" w:hAnsi="Century Schoolbook"/>
        </w:rPr>
      </w:pPr>
    </w:p>
    <w:p w:rsidR="00145FBF" w:rsidRPr="00422F41" w:rsidP="00145FBF" w14:paraId="1D0C848F" w14:textId="77777777">
      <w:pPr>
        <w:spacing w:line="240" w:lineRule="auto"/>
        <w:rPr>
          <w:rFonts w:ascii="Century Schoolbook" w:eastAsia="Calibri" w:hAnsi="Century Schoolbook"/>
        </w:rPr>
      </w:pPr>
      <w:r w:rsidRPr="00422F41">
        <w:rPr>
          <w:rFonts w:ascii="Century Schoolbook" w:eastAsia="Calibri" w:hAnsi="Century Schoolbook"/>
        </w:rPr>
        <w:t>WE CONCUR:</w:t>
      </w:r>
    </w:p>
    <w:p w:rsidR="00145FBF" w:rsidRPr="00422F41" w:rsidP="00145FBF" w14:paraId="04462457" w14:textId="77777777">
      <w:pPr>
        <w:spacing w:line="240" w:lineRule="auto"/>
        <w:rPr>
          <w:rFonts w:ascii="Century Schoolbook" w:eastAsia="Calibri" w:hAnsi="Century Schoolbook"/>
        </w:rPr>
      </w:pPr>
    </w:p>
    <w:p w:rsidR="00145FBF" w:rsidRPr="00422F41" w:rsidP="00145FBF" w14:paraId="11ECCE89" w14:textId="77777777">
      <w:pPr>
        <w:spacing w:line="240" w:lineRule="auto"/>
        <w:rPr>
          <w:rFonts w:ascii="Century Schoolbook" w:eastAsia="Calibri" w:hAnsi="Century Schoolbook"/>
        </w:rPr>
      </w:pPr>
    </w:p>
    <w:p w:rsidR="00145FBF" w:rsidRPr="00422F41" w:rsidP="00145FBF" w14:paraId="44BC28B3" w14:textId="77777777">
      <w:pPr>
        <w:spacing w:line="240" w:lineRule="auto"/>
        <w:rPr>
          <w:rFonts w:ascii="Century Schoolbook" w:eastAsia="Calibri" w:hAnsi="Century Schoolbook"/>
        </w:rPr>
      </w:pPr>
      <w:r w:rsidRPr="00422F41">
        <w:rPr>
          <w:rFonts w:ascii="Century Schoolbook" w:eastAsia="Calibri" w:hAnsi="Century Schoolbook"/>
        </w:rPr>
        <w:t>_________________________</w:t>
      </w:r>
    </w:p>
    <w:p w:rsidR="00145FBF" w:rsidRPr="00422F41" w:rsidP="00145FBF" w14:paraId="01722715" w14:textId="3BEF2D80">
      <w:pPr>
        <w:spacing w:line="240" w:lineRule="auto"/>
        <w:rPr>
          <w:rFonts w:ascii="Century Schoolbook" w:eastAsia="Calibri" w:hAnsi="Century Schoolbook"/>
        </w:rPr>
      </w:pPr>
      <w:r w:rsidRPr="00422F41">
        <w:rPr>
          <w:rFonts w:ascii="Century Schoolbook" w:eastAsia="Calibri" w:hAnsi="Century Schoolbook"/>
        </w:rPr>
        <w:t xml:space="preserve">Tucher, </w:t>
      </w:r>
      <w:r w:rsidR="008A7CB2">
        <w:rPr>
          <w:rFonts w:ascii="Century Schoolbook" w:eastAsia="Calibri" w:hAnsi="Century Schoolbook"/>
        </w:rPr>
        <w:t>P.</w:t>
      </w:r>
      <w:r w:rsidRPr="00422F41">
        <w:rPr>
          <w:rFonts w:ascii="Century Schoolbook" w:eastAsia="Calibri" w:hAnsi="Century Schoolbook"/>
        </w:rPr>
        <w:t>J.</w:t>
      </w:r>
    </w:p>
    <w:p w:rsidR="00145FBF" w:rsidRPr="00422F41" w:rsidP="00145FBF" w14:paraId="1352121F" w14:textId="77777777">
      <w:pPr>
        <w:spacing w:line="240" w:lineRule="auto"/>
        <w:rPr>
          <w:rFonts w:ascii="Century Schoolbook" w:eastAsia="Calibri" w:hAnsi="Century Schoolbook"/>
        </w:rPr>
      </w:pPr>
    </w:p>
    <w:p w:rsidR="00145FBF" w:rsidRPr="00422F41" w:rsidP="00145FBF" w14:paraId="4E8DD94C" w14:textId="77777777">
      <w:pPr>
        <w:spacing w:line="240" w:lineRule="auto"/>
        <w:rPr>
          <w:rFonts w:ascii="Century Schoolbook" w:eastAsia="Calibri" w:hAnsi="Century Schoolbook"/>
        </w:rPr>
      </w:pPr>
    </w:p>
    <w:p w:rsidR="00145FBF" w:rsidRPr="00422F41" w:rsidP="00145FBF" w14:paraId="32D61A21" w14:textId="77777777">
      <w:pPr>
        <w:spacing w:line="240" w:lineRule="auto"/>
        <w:rPr>
          <w:rFonts w:ascii="Century Schoolbook" w:eastAsia="Calibri" w:hAnsi="Century Schoolbook"/>
        </w:rPr>
      </w:pPr>
      <w:r w:rsidRPr="00422F41">
        <w:rPr>
          <w:rFonts w:ascii="Century Schoolbook" w:eastAsia="Calibri" w:hAnsi="Century Schoolbook"/>
        </w:rPr>
        <w:t>_________________________</w:t>
      </w:r>
    </w:p>
    <w:p w:rsidR="00145FBF" w:rsidRPr="00422F41" w:rsidP="00145FBF" w14:paraId="5AB53A28" w14:textId="6991AA7C">
      <w:pPr>
        <w:spacing w:line="240" w:lineRule="auto"/>
        <w:rPr>
          <w:rFonts w:ascii="Century Schoolbook" w:eastAsia="Calibri" w:hAnsi="Century Schoolbook"/>
        </w:rPr>
      </w:pPr>
      <w:r w:rsidRPr="00422F41">
        <w:rPr>
          <w:rFonts w:ascii="Century Schoolbook" w:eastAsia="Calibri" w:hAnsi="Century Schoolbook"/>
        </w:rPr>
        <w:t>Petrou, J.</w:t>
      </w:r>
    </w:p>
    <w:p w:rsidR="00F67973" w:rsidRPr="00422F41" w:rsidP="00145FBF" w14:paraId="14464139" w14:textId="1D9778FA">
      <w:pPr>
        <w:spacing w:line="240" w:lineRule="auto"/>
        <w:rPr>
          <w:rFonts w:ascii="Century Schoolbook" w:eastAsia="Calibri" w:hAnsi="Century Schoolbook"/>
        </w:rPr>
      </w:pPr>
    </w:p>
    <w:p w:rsidR="00DF5553" w:rsidRPr="00422F41" w:rsidP="00145FBF" w14:paraId="5708C9DD" w14:textId="07350239">
      <w:pPr>
        <w:spacing w:line="240" w:lineRule="auto"/>
        <w:rPr>
          <w:rFonts w:ascii="Century Schoolbook" w:eastAsia="Calibri" w:hAnsi="Century Schoolbook"/>
        </w:rPr>
      </w:pPr>
    </w:p>
    <w:p w:rsidR="00DF5553" w:rsidRPr="00422F41" w:rsidP="00145FBF" w14:paraId="027BCC72" w14:textId="625EDCDF">
      <w:pPr>
        <w:spacing w:line="240" w:lineRule="auto"/>
        <w:rPr>
          <w:rFonts w:ascii="Century Schoolbook" w:eastAsia="Calibri" w:hAnsi="Century Schoolbook"/>
        </w:rPr>
      </w:pPr>
    </w:p>
    <w:p w:rsidR="00DF5553" w:rsidRPr="00422F41" w:rsidP="00145FBF" w14:paraId="6C4C3E56" w14:textId="44006C97">
      <w:pPr>
        <w:spacing w:line="240" w:lineRule="auto"/>
        <w:rPr>
          <w:rFonts w:ascii="Century Schoolbook" w:eastAsia="Calibri" w:hAnsi="Century Schoolbook"/>
        </w:rPr>
      </w:pPr>
    </w:p>
    <w:p w:rsidR="00DF5553" w:rsidRPr="00422F41" w:rsidP="00145FBF" w14:paraId="5F52C6BA" w14:textId="059EC0AA">
      <w:pPr>
        <w:spacing w:line="240" w:lineRule="auto"/>
        <w:rPr>
          <w:rFonts w:ascii="Century Schoolbook" w:eastAsia="Calibri" w:hAnsi="Century Schoolbook"/>
        </w:rPr>
      </w:pPr>
    </w:p>
    <w:p w:rsidR="00DF5553" w:rsidRPr="00422F41" w:rsidP="00145FBF" w14:paraId="3651ED3C" w14:textId="0006E879">
      <w:pPr>
        <w:spacing w:line="240" w:lineRule="auto"/>
        <w:rPr>
          <w:rFonts w:ascii="Century Schoolbook" w:eastAsia="Calibri" w:hAnsi="Century Schoolbook"/>
        </w:rPr>
      </w:pPr>
    </w:p>
    <w:p w:rsidR="00DF5553" w:rsidRPr="00422F41" w:rsidP="00145FBF" w14:paraId="24111CFC" w14:textId="3F91BDC6">
      <w:pPr>
        <w:spacing w:line="240" w:lineRule="auto"/>
        <w:rPr>
          <w:rFonts w:ascii="Century Schoolbook" w:eastAsia="Calibri" w:hAnsi="Century Schoolbook"/>
        </w:rPr>
      </w:pPr>
    </w:p>
    <w:p w:rsidR="00DF5553" w:rsidRPr="00422F41" w:rsidP="00145FBF" w14:paraId="552A2E51" w14:textId="4E3FCE03">
      <w:pPr>
        <w:spacing w:line="240" w:lineRule="auto"/>
        <w:rPr>
          <w:rFonts w:ascii="Century Schoolbook" w:eastAsia="Calibri" w:hAnsi="Century Schoolbook"/>
        </w:rPr>
      </w:pPr>
    </w:p>
    <w:p w:rsidR="00DF5553" w:rsidRPr="00422F41" w:rsidP="00145FBF" w14:paraId="0CD2165F" w14:textId="77777777">
      <w:pPr>
        <w:spacing w:line="240" w:lineRule="auto"/>
        <w:rPr>
          <w:rFonts w:ascii="Century Schoolbook" w:eastAsia="Calibri" w:hAnsi="Century Schoolbook"/>
        </w:rPr>
      </w:pPr>
    </w:p>
    <w:p w:rsidR="00145FBF" w:rsidRPr="00422F41" w:rsidP="00145FBF" w14:paraId="067957B0" w14:textId="1AE2F827">
      <w:pPr>
        <w:spacing w:line="240" w:lineRule="auto"/>
        <w:rPr>
          <w:rFonts w:ascii="Century Schoolbook" w:eastAsia="Calibri" w:hAnsi="Century Schoolbook"/>
          <w:sz w:val="16"/>
          <w:szCs w:val="16"/>
        </w:rPr>
      </w:pPr>
      <w:r w:rsidRPr="00422F41">
        <w:rPr>
          <w:rFonts w:ascii="Century Schoolbook" w:eastAsia="Calibri" w:hAnsi="Century Schoolbook"/>
          <w:i/>
          <w:sz w:val="16"/>
          <w:szCs w:val="16"/>
        </w:rPr>
        <w:t xml:space="preserve">Whitehead v. City of Oakland </w:t>
      </w:r>
      <w:r w:rsidRPr="00422F41">
        <w:rPr>
          <w:rFonts w:ascii="Century Schoolbook" w:eastAsia="Calibri" w:hAnsi="Century Schoolbook"/>
          <w:sz w:val="16"/>
          <w:szCs w:val="16"/>
        </w:rPr>
        <w:t>(A1</w:t>
      </w:r>
      <w:r w:rsidRPr="00422F41" w:rsidR="00D47FF4">
        <w:rPr>
          <w:rFonts w:ascii="Century Schoolbook" w:eastAsia="Calibri" w:hAnsi="Century Schoolbook"/>
          <w:sz w:val="16"/>
          <w:szCs w:val="16"/>
        </w:rPr>
        <w:t>64483</w:t>
      </w:r>
      <w:r w:rsidRPr="00422F41">
        <w:rPr>
          <w:rFonts w:ascii="Century Schoolbook" w:eastAsia="Calibri" w:hAnsi="Century Schoolbook"/>
          <w:sz w:val="16"/>
          <w:szCs w:val="16"/>
        </w:rPr>
        <w:t>)</w:t>
      </w:r>
    </w:p>
    <w:p w:rsidR="000C2427" w:rsidP="00672258" w14:paraId="6B850342" w14:textId="77777777">
      <w:pPr>
        <w:spacing w:line="360" w:lineRule="auto"/>
        <w:rPr>
          <w:rFonts w:ascii="Century Schoolbook" w:hAnsi="Century Schoolbook"/>
        </w:rPr>
        <w:sectPr w:rsidSect="00713C72">
          <w:footerReference w:type="even" r:id="rId6"/>
          <w:footerReference w:type="default" r:id="rId7"/>
          <w:pgSz w:w="12240" w:h="15840"/>
          <w:pgMar w:top="1440" w:right="1440" w:bottom="1440" w:left="1440" w:header="720" w:footer="720" w:gutter="0"/>
          <w:cols w:space="720"/>
          <w:docGrid w:linePitch="360"/>
        </w:sectPr>
      </w:pPr>
    </w:p>
    <w:p w:rsidR="000C2427" w:rsidRPr="000C2427" w:rsidP="000C2427" w14:paraId="4DEE69A1" w14:textId="77777777">
      <w:pPr>
        <w:suppressAutoHyphens/>
        <w:autoSpaceDN w:val="0"/>
        <w:spacing w:line="240" w:lineRule="auto"/>
        <w:rPr>
          <w:rFonts w:ascii="Century Schoolbook" w:eastAsia="Calibri" w:hAnsi="Century Schoolbook"/>
          <w:sz w:val="20"/>
        </w:rPr>
      </w:pPr>
      <w:r w:rsidRPr="000C2427">
        <w:rPr>
          <w:rFonts w:ascii="Century Schoolbook" w:eastAsia="Calibri" w:hAnsi="Century Schoolbook"/>
          <w:sz w:val="20"/>
        </w:rPr>
        <w:t>Filed 2/13/24</w:t>
      </w:r>
    </w:p>
    <w:p w:rsidR="000C2427" w:rsidRPr="000C2427" w:rsidP="000C2427" w14:paraId="4E572206" w14:textId="77777777">
      <w:pPr>
        <w:suppressAutoHyphens/>
        <w:autoSpaceDN w:val="0"/>
        <w:spacing w:line="240" w:lineRule="auto"/>
        <w:jc w:val="center"/>
        <w:rPr>
          <w:rFonts w:ascii="Century Schoolbook" w:eastAsia="Calibri" w:hAnsi="Century Schoolbook"/>
          <w:b/>
        </w:rPr>
      </w:pPr>
      <w:r w:rsidRPr="000C2427">
        <w:rPr>
          <w:rFonts w:ascii="Century Schoolbook" w:eastAsia="Calibri" w:hAnsi="Century Schoolbook"/>
          <w:b/>
        </w:rPr>
        <w:t>CERTIFIED FOR PUBLICATION</w:t>
      </w:r>
    </w:p>
    <w:p w:rsidR="000C2427" w:rsidRPr="000C2427" w:rsidP="000C2427" w14:paraId="7FC12687" w14:textId="77777777">
      <w:pPr>
        <w:suppressAutoHyphens/>
        <w:autoSpaceDN w:val="0"/>
        <w:spacing w:line="240" w:lineRule="auto"/>
        <w:rPr>
          <w:rFonts w:ascii="Century Schoolbook" w:eastAsia="Calibri" w:hAnsi="Century Schoolbook"/>
          <w:b/>
        </w:rPr>
      </w:pPr>
    </w:p>
    <w:p w:rsidR="000C2427" w:rsidRPr="000C2427" w:rsidP="000C2427" w14:paraId="2FF00DE4" w14:textId="77777777">
      <w:pPr>
        <w:suppressAutoHyphens/>
        <w:autoSpaceDN w:val="0"/>
        <w:spacing w:line="240" w:lineRule="auto"/>
        <w:jc w:val="center"/>
        <w:rPr>
          <w:rFonts w:ascii="Century Schoolbook" w:eastAsia="Calibri" w:hAnsi="Century Schoolbook"/>
        </w:rPr>
      </w:pPr>
      <w:r w:rsidRPr="000C2427">
        <w:rPr>
          <w:rFonts w:ascii="Century Schoolbook" w:eastAsia="Calibri" w:hAnsi="Century Schoolbook"/>
        </w:rPr>
        <w:t>IN THE COURT OF APPEAL OF THE STATE OF CALIFORNIA</w:t>
      </w:r>
    </w:p>
    <w:p w:rsidR="000C2427" w:rsidRPr="000C2427" w:rsidP="000C2427" w14:paraId="2751BF9E" w14:textId="77777777">
      <w:pPr>
        <w:suppressAutoHyphens/>
        <w:autoSpaceDN w:val="0"/>
        <w:spacing w:line="240" w:lineRule="auto"/>
        <w:jc w:val="center"/>
        <w:rPr>
          <w:rFonts w:ascii="Century Schoolbook" w:eastAsia="Calibri" w:hAnsi="Century Schoolbook"/>
        </w:rPr>
      </w:pPr>
    </w:p>
    <w:p w:rsidR="000C2427" w:rsidRPr="000C2427" w:rsidP="000C2427" w14:paraId="0630D76F" w14:textId="77777777">
      <w:pPr>
        <w:suppressAutoHyphens/>
        <w:autoSpaceDN w:val="0"/>
        <w:spacing w:line="240" w:lineRule="auto"/>
        <w:jc w:val="center"/>
        <w:rPr>
          <w:rFonts w:ascii="Century Schoolbook" w:eastAsia="Calibri" w:hAnsi="Century Schoolbook"/>
        </w:rPr>
      </w:pPr>
      <w:r w:rsidRPr="000C2427">
        <w:rPr>
          <w:rFonts w:ascii="Century Schoolbook" w:eastAsia="Calibri" w:hAnsi="Century Schoolbook"/>
        </w:rPr>
        <w:t>FIRST APPELLATE DISTRICT</w:t>
      </w:r>
    </w:p>
    <w:p w:rsidR="000C2427" w:rsidRPr="000C2427" w:rsidP="000C2427" w14:paraId="1AC5784C" w14:textId="77777777">
      <w:pPr>
        <w:suppressAutoHyphens/>
        <w:autoSpaceDN w:val="0"/>
        <w:spacing w:line="240" w:lineRule="auto"/>
        <w:jc w:val="center"/>
        <w:rPr>
          <w:rFonts w:ascii="Century Schoolbook" w:eastAsia="Calibri" w:hAnsi="Century Schoolbook"/>
        </w:rPr>
      </w:pPr>
    </w:p>
    <w:p w:rsidR="000C2427" w:rsidRPr="000C2427" w:rsidP="000C2427" w14:paraId="24A4AD37" w14:textId="77777777">
      <w:pPr>
        <w:suppressAutoHyphens/>
        <w:autoSpaceDN w:val="0"/>
        <w:spacing w:line="240" w:lineRule="auto"/>
        <w:jc w:val="center"/>
        <w:rPr>
          <w:rFonts w:ascii="Century Schoolbook" w:eastAsia="Calibri" w:hAnsi="Century Schoolbook"/>
        </w:rPr>
      </w:pPr>
      <w:r w:rsidRPr="000C2427">
        <w:rPr>
          <w:rFonts w:ascii="Century Schoolbook" w:eastAsia="Calibri" w:hAnsi="Century Schoolbook"/>
        </w:rPr>
        <w:t>DIVISION THREE</w:t>
      </w:r>
    </w:p>
    <w:p w:rsidR="000C2427" w:rsidRPr="000C2427" w:rsidP="000C2427" w14:paraId="5C95D3E5" w14:textId="77777777">
      <w:pPr>
        <w:suppressAutoHyphens/>
        <w:autoSpaceDN w:val="0"/>
        <w:spacing w:line="240" w:lineRule="auto"/>
        <w:jc w:val="center"/>
        <w:rPr>
          <w:rFonts w:ascii="Century Schoolbook" w:eastAsia="Calibri" w:hAnsi="Century Schoolbook"/>
        </w:rPr>
      </w:pPr>
    </w:p>
    <w:p w:rsidR="000C2427" w:rsidRPr="000C2427" w:rsidP="000C2427" w14:paraId="7AEEEBE1" w14:textId="77777777">
      <w:pPr>
        <w:suppressAutoHyphens/>
        <w:autoSpaceDN w:val="0"/>
        <w:spacing w:line="240" w:lineRule="auto"/>
        <w:jc w:val="center"/>
        <w:rPr>
          <w:rFonts w:ascii="Century Schoolbook" w:eastAsia="Calibri" w:hAnsi="Century Schoolbook"/>
        </w:rPr>
      </w:pPr>
    </w:p>
    <w:tbl>
      <w:tblPr>
        <w:tblW w:w="8748" w:type="dxa"/>
        <w:tblLayout w:type="fixed"/>
        <w:tblCellMar>
          <w:left w:w="10" w:type="dxa"/>
          <w:right w:w="10" w:type="dxa"/>
        </w:tblCellMar>
        <w:tblLook w:val="04A0"/>
      </w:tblPr>
      <w:tblGrid>
        <w:gridCol w:w="4909"/>
        <w:gridCol w:w="3839"/>
      </w:tblGrid>
      <w:tr w14:paraId="4554AEBE" w14:textId="77777777" w:rsidTr="00AB42DC">
        <w:tblPrEx>
          <w:tblW w:w="8748" w:type="dxa"/>
          <w:tblLayout w:type="fixed"/>
          <w:tblCellMar>
            <w:left w:w="10" w:type="dxa"/>
            <w:right w:w="10" w:type="dxa"/>
          </w:tblCellMar>
          <w:tblLook w:val="04A0"/>
        </w:tblPrEx>
        <w:trPr>
          <w:trHeight w:val="2709"/>
        </w:trPr>
        <w:tc>
          <w:tcPr>
            <w:tcW w:w="4909" w:type="dxa"/>
            <w:tcBorders>
              <w:bottom w:val="single" w:sz="4" w:space="0" w:color="000000"/>
              <w:right w:val="single" w:sz="4" w:space="0" w:color="000000"/>
            </w:tcBorders>
            <w:shd w:val="clear" w:color="auto" w:fill="auto"/>
            <w:tcMar>
              <w:top w:w="0" w:type="dxa"/>
              <w:left w:w="108" w:type="dxa"/>
              <w:bottom w:w="0" w:type="dxa"/>
              <w:right w:w="108" w:type="dxa"/>
            </w:tcMar>
          </w:tcPr>
          <w:p w:rsidR="000C2427" w:rsidRPr="000C2427" w:rsidP="000C2427" w14:paraId="3ADC01F6" w14:textId="77777777">
            <w:pPr>
              <w:suppressAutoHyphens/>
              <w:autoSpaceDN w:val="0"/>
              <w:spacing w:after="120" w:line="240" w:lineRule="auto"/>
              <w:rPr>
                <w:rFonts w:ascii="Century Schoolbook" w:eastAsia="Calibri" w:hAnsi="Century Schoolbook"/>
              </w:rPr>
            </w:pPr>
            <w:r w:rsidRPr="000C2427">
              <w:rPr>
                <w:rFonts w:ascii="Century Schoolbook" w:eastAsia="Calibri" w:hAnsi="Century Schoolbook"/>
                <w:smallCaps/>
              </w:rPr>
              <w:t>TY WHITEHEAD</w:t>
            </w:r>
            <w:r w:rsidRPr="000C2427">
              <w:rPr>
                <w:rFonts w:ascii="Century Schoolbook" w:eastAsia="Calibri" w:hAnsi="Century Schoolbook"/>
              </w:rPr>
              <w:t>,</w:t>
            </w:r>
          </w:p>
          <w:p w:rsidR="000C2427" w:rsidRPr="000C2427" w:rsidP="000C2427" w14:paraId="25441183" w14:textId="77777777">
            <w:pPr>
              <w:suppressAutoHyphens/>
              <w:autoSpaceDN w:val="0"/>
              <w:spacing w:after="120" w:line="240" w:lineRule="auto"/>
              <w:rPr>
                <w:rFonts w:ascii="Century Schoolbook" w:eastAsia="Calibri" w:hAnsi="Century Schoolbook"/>
              </w:rPr>
            </w:pPr>
            <w:r w:rsidRPr="000C2427">
              <w:rPr>
                <w:rFonts w:ascii="Century Schoolbook" w:eastAsia="Calibri" w:hAnsi="Century Schoolbook"/>
              </w:rPr>
              <w:tab/>
              <w:t>Plaintiff and Appellant,</w:t>
            </w:r>
          </w:p>
          <w:p w:rsidR="000C2427" w:rsidRPr="000C2427" w:rsidP="000C2427" w14:paraId="3F608B95" w14:textId="77777777">
            <w:pPr>
              <w:suppressAutoHyphens/>
              <w:autoSpaceDN w:val="0"/>
              <w:spacing w:after="120" w:line="240" w:lineRule="auto"/>
              <w:rPr>
                <w:rFonts w:ascii="Century Schoolbook" w:eastAsia="Calibri" w:hAnsi="Century Schoolbook"/>
              </w:rPr>
            </w:pPr>
            <w:r w:rsidRPr="000C2427">
              <w:rPr>
                <w:rFonts w:ascii="Century Schoolbook" w:eastAsia="Calibri" w:hAnsi="Century Schoolbook"/>
              </w:rPr>
              <w:t>v.</w:t>
            </w:r>
          </w:p>
          <w:p w:rsidR="000C2427" w:rsidRPr="000C2427" w:rsidP="000C2427" w14:paraId="75D7A76C" w14:textId="77777777">
            <w:pPr>
              <w:suppressAutoHyphens/>
              <w:autoSpaceDN w:val="0"/>
              <w:spacing w:after="120" w:line="240" w:lineRule="auto"/>
              <w:rPr>
                <w:rFonts w:ascii="Century Schoolbook" w:eastAsia="Calibri" w:hAnsi="Century Schoolbook"/>
              </w:rPr>
            </w:pPr>
            <w:r w:rsidRPr="000C2427">
              <w:rPr>
                <w:rFonts w:ascii="Century Schoolbook" w:eastAsia="Calibri" w:hAnsi="Century Schoolbook"/>
              </w:rPr>
              <w:t>CITY OF OAKLAND,</w:t>
            </w:r>
          </w:p>
          <w:p w:rsidR="000C2427" w:rsidRPr="000C2427" w:rsidP="000C2427" w14:paraId="6D3EC155" w14:textId="77777777">
            <w:pPr>
              <w:suppressAutoHyphens/>
              <w:autoSpaceDN w:val="0"/>
              <w:spacing w:after="120" w:line="240" w:lineRule="auto"/>
              <w:rPr>
                <w:rFonts w:ascii="Century Schoolbook" w:eastAsia="Calibri" w:hAnsi="Century Schoolbook"/>
              </w:rPr>
            </w:pPr>
            <w:r w:rsidRPr="000C2427">
              <w:rPr>
                <w:rFonts w:ascii="Century Schoolbook" w:eastAsia="Calibri" w:hAnsi="Century Schoolbook"/>
              </w:rPr>
              <w:tab/>
              <w:t>Defendant and Respondent.</w:t>
            </w:r>
          </w:p>
        </w:tc>
        <w:tc>
          <w:tcPr>
            <w:tcW w:w="3839" w:type="dxa"/>
            <w:tcBorders>
              <w:left w:val="single" w:sz="4" w:space="0" w:color="000000"/>
            </w:tcBorders>
            <w:shd w:val="clear" w:color="auto" w:fill="auto"/>
            <w:tcMar>
              <w:top w:w="0" w:type="dxa"/>
              <w:left w:w="108" w:type="dxa"/>
              <w:bottom w:w="0" w:type="dxa"/>
              <w:right w:w="108" w:type="dxa"/>
            </w:tcMar>
          </w:tcPr>
          <w:p w:rsidR="000C2427" w:rsidRPr="000C2427" w:rsidP="000C2427" w14:paraId="1B8BD7B0" w14:textId="77777777">
            <w:pPr>
              <w:suppressAutoHyphens/>
              <w:autoSpaceDN w:val="0"/>
              <w:spacing w:line="240" w:lineRule="auto"/>
              <w:rPr>
                <w:rFonts w:ascii="Century Schoolbook" w:eastAsia="Calibri" w:hAnsi="Century Schoolbook"/>
              </w:rPr>
            </w:pPr>
          </w:p>
          <w:p w:rsidR="000C2427" w:rsidRPr="000C2427" w:rsidP="000C2427" w14:paraId="5EDE2D83" w14:textId="77777777">
            <w:pPr>
              <w:suppressAutoHyphens/>
              <w:autoSpaceDN w:val="0"/>
              <w:spacing w:line="240" w:lineRule="auto"/>
              <w:rPr>
                <w:rFonts w:ascii="Century Schoolbook" w:eastAsia="Calibri" w:hAnsi="Century Schoolbook"/>
              </w:rPr>
            </w:pPr>
          </w:p>
          <w:p w:rsidR="000C2427" w:rsidRPr="000C2427" w:rsidP="000C2427" w14:paraId="0C84EBBC" w14:textId="77777777">
            <w:pPr>
              <w:suppressAutoHyphens/>
              <w:autoSpaceDN w:val="0"/>
              <w:spacing w:line="240" w:lineRule="auto"/>
              <w:rPr>
                <w:rFonts w:ascii="Century Schoolbook" w:eastAsia="Calibri" w:hAnsi="Century Schoolbook"/>
              </w:rPr>
            </w:pPr>
            <w:r w:rsidRPr="000C2427">
              <w:rPr>
                <w:rFonts w:ascii="Century Schoolbook" w:eastAsia="Calibri" w:hAnsi="Century Schoolbook"/>
              </w:rPr>
              <w:t xml:space="preserve">  A164483</w:t>
            </w:r>
          </w:p>
          <w:p w:rsidR="000C2427" w:rsidRPr="000C2427" w:rsidP="000C2427" w14:paraId="62544969" w14:textId="77777777">
            <w:pPr>
              <w:suppressAutoHyphens/>
              <w:autoSpaceDN w:val="0"/>
              <w:spacing w:line="240" w:lineRule="auto"/>
              <w:rPr>
                <w:rFonts w:ascii="Century Schoolbook" w:eastAsia="Calibri" w:hAnsi="Century Schoolbook"/>
              </w:rPr>
            </w:pPr>
          </w:p>
          <w:p w:rsidR="000C2427" w:rsidRPr="000C2427" w:rsidP="000C2427" w14:paraId="5691313C" w14:textId="77777777">
            <w:pPr>
              <w:suppressAutoHyphens/>
              <w:autoSpaceDN w:val="0"/>
              <w:spacing w:line="240" w:lineRule="auto"/>
              <w:rPr>
                <w:rFonts w:ascii="Century Schoolbook" w:eastAsia="Calibri" w:hAnsi="Century Schoolbook"/>
              </w:rPr>
            </w:pPr>
            <w:r w:rsidRPr="000C2427">
              <w:rPr>
                <w:rFonts w:ascii="Century Schoolbook" w:eastAsia="Calibri" w:hAnsi="Century Schoolbook"/>
              </w:rPr>
              <w:t xml:space="preserve">  (Alameda County </w:t>
            </w:r>
          </w:p>
          <w:p w:rsidR="000C2427" w:rsidRPr="000C2427" w:rsidP="000C2427" w14:paraId="1B1AC0D0" w14:textId="77777777">
            <w:pPr>
              <w:suppressAutoHyphens/>
              <w:autoSpaceDN w:val="0"/>
              <w:spacing w:line="240" w:lineRule="auto"/>
              <w:rPr>
                <w:rFonts w:ascii="Century Schoolbook" w:eastAsia="Calibri" w:hAnsi="Century Schoolbook"/>
              </w:rPr>
            </w:pPr>
            <w:r w:rsidRPr="000C2427">
              <w:rPr>
                <w:rFonts w:ascii="Century Schoolbook" w:eastAsia="Calibri" w:hAnsi="Century Schoolbook"/>
              </w:rPr>
              <w:t xml:space="preserve">  Super. Ct. No. RG18896233)</w:t>
            </w:r>
          </w:p>
          <w:p w:rsidR="000C2427" w:rsidRPr="000C2427" w:rsidP="000C2427" w14:paraId="6C63A242" w14:textId="77777777">
            <w:pPr>
              <w:suppressAutoHyphens/>
              <w:autoSpaceDN w:val="0"/>
              <w:spacing w:line="240" w:lineRule="auto"/>
              <w:rPr>
                <w:rFonts w:ascii="Century Schoolbook" w:eastAsia="Calibri" w:hAnsi="Century Schoolbook"/>
              </w:rPr>
            </w:pPr>
          </w:p>
        </w:tc>
      </w:tr>
    </w:tbl>
    <w:p w:rsidR="000C2427" w:rsidRPr="000C2427" w:rsidP="000C2427" w14:paraId="5CC09719" w14:textId="77777777">
      <w:pPr>
        <w:suppressAutoHyphens/>
        <w:autoSpaceDN w:val="0"/>
        <w:spacing w:line="360" w:lineRule="auto"/>
        <w:rPr>
          <w:rFonts w:ascii="Century Schoolbook" w:eastAsia="Calibri" w:hAnsi="Century Schoolbook"/>
        </w:rPr>
      </w:pPr>
    </w:p>
    <w:p w:rsidR="000C2427" w:rsidRPr="000C2427" w:rsidP="000C2427" w14:paraId="63717F62" w14:textId="77777777">
      <w:pPr>
        <w:suppressAutoHyphens/>
        <w:autoSpaceDN w:val="0"/>
        <w:spacing w:line="360" w:lineRule="auto"/>
        <w:rPr>
          <w:rFonts w:ascii="Century Schoolbook" w:eastAsia="Calibri" w:hAnsi="Century Schoolbook"/>
        </w:rPr>
      </w:pPr>
      <w:r w:rsidRPr="000C2427">
        <w:rPr>
          <w:rFonts w:ascii="Century Schoolbook" w:eastAsia="Calibri" w:hAnsi="Century Schoolbook"/>
        </w:rPr>
        <w:t>BY THE COURT:</w:t>
      </w:r>
      <w:r>
        <w:rPr>
          <w:rFonts w:ascii="Century Schoolbook" w:eastAsia="Calibri" w:hAnsi="Century Schoolbook"/>
          <w:vertAlign w:val="superscript"/>
        </w:rPr>
        <w:footnoteReference w:id="4"/>
      </w:r>
    </w:p>
    <w:p w:rsidR="000C2427" w:rsidRPr="000C2427" w:rsidP="000C2427" w14:paraId="1430C29F" w14:textId="77777777">
      <w:pPr>
        <w:suppressAutoHyphens/>
        <w:autoSpaceDN w:val="0"/>
        <w:spacing w:line="360" w:lineRule="auto"/>
        <w:rPr>
          <w:rFonts w:ascii="Century Schoolbook" w:eastAsia="Calibri" w:hAnsi="Century Schoolbook"/>
        </w:rPr>
      </w:pPr>
      <w:r w:rsidRPr="000C2427">
        <w:rPr>
          <w:rFonts w:ascii="Century Schoolbook" w:eastAsia="Calibri" w:hAnsi="Century Schoolbook"/>
        </w:rPr>
        <w:tab/>
        <w:t>The written opinion which was filed on January 22, 2024, has now been certified for publication pursuant to rule 8.1105(b) of the California Rules of Court, and it is ordered published in the official reports.</w:t>
      </w:r>
    </w:p>
    <w:p w:rsidR="000C2427" w:rsidRPr="000C2427" w:rsidP="000C2427" w14:paraId="2DA71672" w14:textId="77777777">
      <w:pPr>
        <w:suppressAutoHyphens/>
        <w:autoSpaceDN w:val="0"/>
        <w:spacing w:line="240" w:lineRule="auto"/>
        <w:rPr>
          <w:rFonts w:ascii="Century Schoolbook" w:eastAsia="Calibri" w:hAnsi="Century Schoolbook"/>
        </w:rPr>
      </w:pPr>
    </w:p>
    <w:p w:rsidR="000C2427" w:rsidRPr="000C2427" w:rsidP="000C2427" w14:paraId="7E14CE3B" w14:textId="77777777">
      <w:pPr>
        <w:suppressAutoHyphens/>
        <w:autoSpaceDN w:val="0"/>
        <w:spacing w:line="240" w:lineRule="auto"/>
        <w:rPr>
          <w:rFonts w:ascii="Century Schoolbook" w:eastAsia="Calibri" w:hAnsi="Century Schoolbook"/>
        </w:rPr>
      </w:pPr>
    </w:p>
    <w:p w:rsidR="000C2427" w:rsidRPr="000C2427" w:rsidP="000C2427" w14:paraId="7F389DD3" w14:textId="77777777">
      <w:pPr>
        <w:suppressAutoHyphens/>
        <w:autoSpaceDN w:val="0"/>
        <w:spacing w:line="240" w:lineRule="auto"/>
        <w:rPr>
          <w:rFonts w:ascii="Century Schoolbook" w:eastAsia="Calibri" w:hAnsi="Century Schoolbook"/>
        </w:rPr>
      </w:pPr>
    </w:p>
    <w:p w:rsidR="000C2427" w:rsidRPr="000C2427" w:rsidP="000C2427" w14:paraId="3A0B932D" w14:textId="77777777">
      <w:pPr>
        <w:suppressAutoHyphens/>
        <w:autoSpaceDN w:val="0"/>
        <w:spacing w:line="240" w:lineRule="auto"/>
        <w:rPr>
          <w:rFonts w:ascii="Century Schoolbook" w:eastAsia="Calibri" w:hAnsi="Century Schoolbook"/>
        </w:rPr>
      </w:pPr>
    </w:p>
    <w:p w:rsidR="000C2427" w:rsidRPr="000C2427" w:rsidP="000C2427" w14:paraId="6919F1FF" w14:textId="77777777">
      <w:pPr>
        <w:suppressAutoHyphens/>
        <w:autoSpaceDN w:val="0"/>
        <w:spacing w:line="240" w:lineRule="auto"/>
        <w:rPr>
          <w:rFonts w:ascii="Century Schoolbook" w:eastAsia="Calibri" w:hAnsi="Century Schoolbook"/>
        </w:rPr>
      </w:pPr>
    </w:p>
    <w:p w:rsidR="000C2427" w:rsidRPr="000C2427" w:rsidP="000C2427" w14:paraId="2365BCDF" w14:textId="77777777">
      <w:pPr>
        <w:suppressAutoHyphens/>
        <w:autoSpaceDN w:val="0"/>
        <w:spacing w:line="240" w:lineRule="auto"/>
        <w:rPr>
          <w:rFonts w:ascii="Century Schoolbook" w:eastAsia="Calibri" w:hAnsi="Century Schoolbook"/>
        </w:rPr>
      </w:pPr>
      <w:r w:rsidRPr="000C2427">
        <w:rPr>
          <w:rFonts w:ascii="Century Schoolbook" w:eastAsia="Calibri" w:hAnsi="Century Schoolbook"/>
        </w:rPr>
        <w:t xml:space="preserve">Dated: </w:t>
      </w:r>
      <w:r w:rsidRPr="000C2427">
        <w:rPr>
          <w:rFonts w:ascii="Century Schoolbook" w:eastAsia="Calibri" w:hAnsi="Century Schoolbook"/>
          <w:u w:val="single"/>
        </w:rPr>
        <w:t xml:space="preserve">2/13/2024           </w:t>
      </w:r>
      <w:r w:rsidRPr="000C2427">
        <w:rPr>
          <w:rFonts w:ascii="Century Schoolbook" w:eastAsia="Calibri" w:hAnsi="Century Schoolbook"/>
        </w:rPr>
        <w:t xml:space="preserve">             </w:t>
      </w:r>
      <w:r w:rsidRPr="000C2427">
        <w:rPr>
          <w:rFonts w:ascii="Century Schoolbook" w:eastAsia="Calibri" w:hAnsi="Century Schoolbook"/>
        </w:rPr>
        <w:tab/>
        <w:t xml:space="preserve">           _</w:t>
      </w:r>
      <w:r w:rsidRPr="000C2427">
        <w:rPr>
          <w:rFonts w:ascii="Century Schoolbook" w:eastAsia="Calibri" w:hAnsi="Century Schoolbook"/>
          <w:u w:val="single"/>
        </w:rPr>
        <w:t>Tucher, P.J.</w:t>
      </w:r>
      <w:r w:rsidRPr="000C2427">
        <w:rPr>
          <w:rFonts w:ascii="Century Schoolbook" w:eastAsia="Calibri" w:hAnsi="Century Schoolbook"/>
        </w:rPr>
        <w:t>___________________</w:t>
      </w:r>
    </w:p>
    <w:p w:rsidR="000C2427" w:rsidRPr="000C2427" w:rsidP="000C2427" w14:paraId="110B8CCF" w14:textId="77777777">
      <w:pPr>
        <w:widowControl w:val="0"/>
        <w:tabs>
          <w:tab w:val="left" w:pos="1440"/>
          <w:tab w:val="left" w:pos="2880"/>
          <w:tab w:val="left" w:pos="4320"/>
          <w:tab w:val="left" w:pos="5040"/>
          <w:tab w:val="left" w:pos="5760"/>
          <w:tab w:val="left" w:pos="7200"/>
          <w:tab w:val="left" w:pos="8640"/>
        </w:tabs>
        <w:suppressAutoHyphens/>
        <w:autoSpaceDE w:val="0"/>
        <w:autoSpaceDN w:val="0"/>
        <w:adjustRightInd w:val="0"/>
        <w:spacing w:line="240" w:lineRule="auto"/>
        <w:rPr>
          <w:rFonts w:ascii="Century Schoolbook" w:eastAsia="Calibri" w:hAnsi="Century Schoolbook" w:cs="Century Schoolbook"/>
        </w:rPr>
      </w:pPr>
      <w:r w:rsidRPr="000C2427">
        <w:rPr>
          <w:rFonts w:ascii="Century Schoolbook" w:eastAsia="Calibri" w:hAnsi="Century Schoolbook"/>
        </w:rPr>
        <w:tab/>
      </w:r>
      <w:r w:rsidRPr="000C2427">
        <w:rPr>
          <w:rFonts w:ascii="Century Schoolbook" w:eastAsia="Calibri" w:hAnsi="Century Schoolbook"/>
        </w:rPr>
        <w:tab/>
      </w:r>
      <w:r w:rsidRPr="000C2427">
        <w:rPr>
          <w:rFonts w:ascii="Century Schoolbook" w:eastAsia="Calibri" w:hAnsi="Century Schoolbook"/>
        </w:rPr>
        <w:tab/>
        <w:t xml:space="preserve">   </w:t>
      </w:r>
      <w:r w:rsidRPr="000C2427">
        <w:rPr>
          <w:rFonts w:ascii="Century Schoolbook" w:eastAsia="Calibri" w:hAnsi="Century Schoolbook"/>
        </w:rPr>
        <w:tab/>
      </w:r>
      <w:r w:rsidRPr="000C2427">
        <w:rPr>
          <w:rFonts w:ascii="Century Schoolbook" w:eastAsia="Calibri" w:hAnsi="Century Schoolbook"/>
        </w:rPr>
        <w:tab/>
        <w:t xml:space="preserve"> </w:t>
      </w:r>
      <w:r w:rsidRPr="000C2427">
        <w:rPr>
          <w:rFonts w:ascii="Century Schoolbook" w:eastAsia="Calibri" w:hAnsi="Century Schoolbook" w:cs="Century Schoolbook"/>
        </w:rPr>
        <w:t xml:space="preserve">  Presiding Justice</w:t>
      </w:r>
    </w:p>
    <w:p w:rsidR="000C2427" w:rsidRPr="000C2427" w:rsidP="000C2427" w14:paraId="032593DB" w14:textId="77777777">
      <w:pPr>
        <w:suppressAutoHyphens/>
        <w:autoSpaceDN w:val="0"/>
        <w:spacing w:line="240" w:lineRule="auto"/>
        <w:rPr>
          <w:rFonts w:ascii="Century Schoolbook" w:eastAsia="Calibri" w:hAnsi="Century Schoolbook"/>
        </w:rPr>
      </w:pPr>
    </w:p>
    <w:p w:rsidR="000C2427" w:rsidRPr="000C2427" w:rsidP="000C2427" w14:paraId="53A5E3F1" w14:textId="77777777">
      <w:pPr>
        <w:pageBreakBefore/>
        <w:suppressAutoHyphens/>
        <w:spacing w:line="240" w:lineRule="auto"/>
        <w:rPr>
          <w:rFonts w:ascii="Century Schoolbook" w:eastAsia="Calibri" w:hAnsi="Century Schoolbook"/>
        </w:rPr>
      </w:pPr>
      <w:r w:rsidRPr="000C2427">
        <w:rPr>
          <w:rFonts w:ascii="Century Schoolbook" w:eastAsia="Calibri" w:hAnsi="Century Schoolbook"/>
        </w:rPr>
        <w:t>Trial Court:</w:t>
      </w:r>
      <w:r w:rsidRPr="000C2427">
        <w:rPr>
          <w:rFonts w:ascii="Century Schoolbook" w:eastAsia="Calibri" w:hAnsi="Century Schoolbook"/>
        </w:rPr>
        <w:tab/>
      </w:r>
      <w:r w:rsidRPr="000C2427">
        <w:rPr>
          <w:rFonts w:ascii="Century Schoolbook" w:eastAsia="Calibri" w:hAnsi="Century Schoolbook"/>
        </w:rPr>
        <w:tab/>
        <w:t xml:space="preserve">Alameda County Superior Court </w:t>
      </w:r>
    </w:p>
    <w:p w:rsidR="000C2427" w:rsidRPr="000C2427" w:rsidP="000C2427" w14:paraId="1E2674EA" w14:textId="77777777">
      <w:pPr>
        <w:suppressAutoHyphens/>
        <w:spacing w:line="240" w:lineRule="auto"/>
        <w:rPr>
          <w:rFonts w:ascii="Century Schoolbook" w:eastAsia="Calibri" w:hAnsi="Century Schoolbook"/>
        </w:rPr>
      </w:pPr>
    </w:p>
    <w:p w:rsidR="000C2427" w:rsidRPr="000C2427" w:rsidP="000C2427" w14:paraId="445FEFC0" w14:textId="77777777">
      <w:pPr>
        <w:suppressAutoHyphens/>
        <w:spacing w:line="240" w:lineRule="auto"/>
        <w:rPr>
          <w:rFonts w:ascii="Century Schoolbook" w:eastAsia="Calibri" w:hAnsi="Century Schoolbook"/>
        </w:rPr>
      </w:pPr>
      <w:r w:rsidRPr="000C2427">
        <w:rPr>
          <w:rFonts w:ascii="Century Schoolbook" w:eastAsia="Calibri" w:hAnsi="Century Schoolbook"/>
        </w:rPr>
        <w:t>Trial Judge:</w:t>
      </w:r>
      <w:r w:rsidRPr="000C2427">
        <w:rPr>
          <w:rFonts w:ascii="Century Schoolbook" w:eastAsia="Calibri" w:hAnsi="Century Schoolbook"/>
        </w:rPr>
        <w:tab/>
        <w:t>Hon. Richard L. Seabolt</w:t>
      </w:r>
    </w:p>
    <w:p w:rsidR="000C2427" w:rsidRPr="000C2427" w:rsidP="000C2427" w14:paraId="2F7D822D" w14:textId="77777777">
      <w:pPr>
        <w:suppressAutoHyphens/>
        <w:spacing w:line="240" w:lineRule="auto"/>
        <w:rPr>
          <w:rFonts w:ascii="Century Schoolbook" w:eastAsia="Calibri" w:hAnsi="Century Schoolbook"/>
        </w:rPr>
      </w:pPr>
    </w:p>
    <w:p w:rsidR="000C2427" w:rsidRPr="000C2427" w:rsidP="000C2427" w14:paraId="7CF7C1A0" w14:textId="77777777">
      <w:pPr>
        <w:tabs>
          <w:tab w:val="left" w:pos="1440"/>
          <w:tab w:val="left" w:pos="2160"/>
        </w:tabs>
        <w:suppressAutoHyphens/>
        <w:spacing w:line="240" w:lineRule="auto"/>
        <w:ind w:left="2520" w:hanging="2520"/>
        <w:rPr>
          <w:rFonts w:ascii="Century Schoolbook" w:eastAsia="Calibri" w:hAnsi="Century Schoolbook" w:cs="Calibri"/>
        </w:rPr>
      </w:pPr>
      <w:r w:rsidRPr="000C2427">
        <w:rPr>
          <w:rFonts w:ascii="Century Schoolbook" w:eastAsia="Calibri" w:hAnsi="Century Schoolbook" w:cs="Calibri"/>
        </w:rPr>
        <w:t>Counsel:</w:t>
      </w:r>
      <w:r w:rsidRPr="000C2427">
        <w:rPr>
          <w:rFonts w:ascii="Century Schoolbook" w:eastAsia="Calibri" w:hAnsi="Century Schoolbook" w:cs="Calibri"/>
        </w:rPr>
        <w:tab/>
      </w:r>
      <w:r w:rsidRPr="000C2427">
        <w:rPr>
          <w:rFonts w:ascii="Century Schoolbook" w:eastAsia="Calibri" w:hAnsi="Century Schoolbook" w:cs="Calibri"/>
        </w:rPr>
        <w:tab/>
        <w:t>Law Office of Gerald Clausen, Gerald A. Clausen; The Veen Firm P.C., Anthony L. Label and Steven A. Kronenberg, for Plaintiff and Appellant</w:t>
      </w:r>
    </w:p>
    <w:p w:rsidR="000C2427" w:rsidRPr="000C2427" w:rsidP="000C2427" w14:paraId="47CC09B1" w14:textId="77777777">
      <w:pPr>
        <w:tabs>
          <w:tab w:val="left" w:pos="1440"/>
          <w:tab w:val="left" w:pos="2160"/>
        </w:tabs>
        <w:suppressAutoHyphens/>
        <w:spacing w:line="240" w:lineRule="auto"/>
        <w:ind w:left="2520" w:hanging="2520"/>
        <w:rPr>
          <w:rFonts w:ascii="Century Schoolbook" w:eastAsia="Calibri" w:hAnsi="Century Schoolbook" w:cs="Calibri"/>
        </w:rPr>
      </w:pPr>
      <w:r w:rsidRPr="000C2427">
        <w:rPr>
          <w:rFonts w:ascii="Century Schoolbook" w:eastAsia="Calibri" w:hAnsi="Century Schoolbook" w:cs="Calibri"/>
        </w:rPr>
        <w:tab/>
      </w:r>
    </w:p>
    <w:p w:rsidR="000C2427" w:rsidRPr="000C2427" w:rsidP="000C2427" w14:paraId="799C9ACC" w14:textId="77777777">
      <w:pPr>
        <w:tabs>
          <w:tab w:val="left" w:pos="1440"/>
          <w:tab w:val="left" w:pos="2160"/>
        </w:tabs>
        <w:suppressAutoHyphens/>
        <w:spacing w:line="240" w:lineRule="auto"/>
        <w:ind w:left="2520" w:hanging="2610"/>
        <w:rPr>
          <w:rFonts w:ascii="Century Schoolbook" w:eastAsia="Calibri" w:hAnsi="Century Schoolbook" w:cs="Calibri"/>
        </w:rPr>
      </w:pPr>
      <w:r w:rsidRPr="000C2427">
        <w:rPr>
          <w:rFonts w:ascii="Century Schoolbook" w:eastAsia="Calibri" w:hAnsi="Century Schoolbook" w:cs="Calibri"/>
        </w:rPr>
        <w:tab/>
      </w:r>
      <w:r w:rsidRPr="000C2427">
        <w:rPr>
          <w:rFonts w:ascii="Century Schoolbook" w:eastAsia="Calibri" w:hAnsi="Century Schoolbook" w:cs="Calibri"/>
        </w:rPr>
        <w:tab/>
      </w:r>
      <w:r w:rsidRPr="000C2427">
        <w:rPr>
          <w:rFonts w:ascii="Century Schoolbook" w:eastAsia="Calibri" w:hAnsi="Century Schoolbook" w:cs="Calibri"/>
        </w:rPr>
        <w:tab/>
        <w:t>Barbara J. Parker, Oakland City Attorney, Maria Bee, Chief Assistant City Attorney, Kevin P. McLaughlin, Supervising Deputy City Attorney and Allison L. Ehlert, Deputy City Attorney, for Defendant and Respondent</w:t>
      </w:r>
    </w:p>
    <w:p w:rsidR="000C2427" w:rsidRPr="000C2427" w:rsidP="000C2427" w14:paraId="07EB799A" w14:textId="77777777">
      <w:pPr>
        <w:tabs>
          <w:tab w:val="left" w:pos="1440"/>
          <w:tab w:val="left" w:pos="2160"/>
        </w:tabs>
        <w:suppressAutoHyphens/>
        <w:spacing w:line="240" w:lineRule="auto"/>
        <w:ind w:left="2520" w:hanging="2610"/>
        <w:rPr>
          <w:rFonts w:ascii="Century Schoolbook" w:eastAsia="Calibri" w:hAnsi="Century Schoolbook" w:cs="Calibri"/>
        </w:rPr>
      </w:pPr>
    </w:p>
    <w:p w:rsidR="000C2427" w:rsidRPr="000C2427" w:rsidP="000C2427" w14:paraId="6FA4B53A" w14:textId="77777777">
      <w:pPr>
        <w:tabs>
          <w:tab w:val="left" w:pos="1440"/>
          <w:tab w:val="left" w:pos="2160"/>
        </w:tabs>
        <w:suppressAutoHyphens/>
        <w:spacing w:line="240" w:lineRule="auto"/>
        <w:ind w:left="2520" w:hanging="2610"/>
        <w:rPr>
          <w:rFonts w:ascii="Century Schoolbook" w:eastAsia="Calibri" w:hAnsi="Century Schoolbook" w:cs="Calibri"/>
        </w:rPr>
      </w:pPr>
      <w:r w:rsidRPr="000C2427">
        <w:rPr>
          <w:rFonts w:ascii="Century Schoolbook" w:eastAsia="Calibri" w:hAnsi="Century Schoolbook" w:cs="Calibri"/>
        </w:rPr>
        <w:tab/>
      </w:r>
      <w:r w:rsidRPr="000C2427">
        <w:rPr>
          <w:rFonts w:ascii="Century Schoolbook" w:eastAsia="Calibri" w:hAnsi="Century Schoolbook" w:cs="Calibri"/>
        </w:rPr>
        <w:tab/>
      </w:r>
      <w:r w:rsidRPr="000C2427">
        <w:rPr>
          <w:rFonts w:ascii="Century Schoolbook" w:eastAsia="Calibri" w:hAnsi="Century Schoolbook" w:cs="Calibri"/>
        </w:rPr>
        <w:tab/>
        <w:t xml:space="preserve"> </w:t>
      </w:r>
    </w:p>
    <w:p w:rsidR="000C2427" w:rsidRPr="000C2427" w:rsidP="000C2427" w14:paraId="1CC95953" w14:textId="77777777">
      <w:pPr>
        <w:suppressAutoHyphens/>
        <w:autoSpaceDN w:val="0"/>
        <w:spacing w:line="360" w:lineRule="auto"/>
        <w:rPr>
          <w:rFonts w:ascii="Century Schoolbook" w:eastAsia="Calibri" w:hAnsi="Century Schoolbook"/>
        </w:rPr>
      </w:pPr>
    </w:p>
    <w:p w:rsidR="000C2427" w:rsidRPr="000C2427" w:rsidP="000C2427" w14:paraId="73748450" w14:textId="77777777">
      <w:pPr>
        <w:suppressAutoHyphens/>
        <w:autoSpaceDN w:val="0"/>
        <w:spacing w:line="360" w:lineRule="auto"/>
        <w:rPr>
          <w:rFonts w:ascii="Century Schoolbook" w:eastAsia="Calibri" w:hAnsi="Century Schoolbook"/>
        </w:rPr>
      </w:pPr>
    </w:p>
    <w:p w:rsidR="000C2427" w:rsidRPr="000C2427" w:rsidP="000C2427" w14:paraId="5804F5FC" w14:textId="77777777">
      <w:pPr>
        <w:suppressAutoHyphens/>
        <w:autoSpaceDN w:val="0"/>
        <w:spacing w:line="360" w:lineRule="auto"/>
        <w:rPr>
          <w:rFonts w:ascii="Century Schoolbook" w:eastAsia="Calibri" w:hAnsi="Century Schoolbook"/>
        </w:rPr>
      </w:pPr>
    </w:p>
    <w:p w:rsidR="000C2427" w:rsidRPr="000C2427" w:rsidP="000C2427" w14:paraId="515DA760" w14:textId="77777777">
      <w:pPr>
        <w:suppressAutoHyphens/>
        <w:autoSpaceDN w:val="0"/>
        <w:spacing w:line="360" w:lineRule="auto"/>
        <w:rPr>
          <w:rFonts w:ascii="Century Schoolbook" w:eastAsia="Calibri" w:hAnsi="Century Schoolbook"/>
        </w:rPr>
      </w:pPr>
    </w:p>
    <w:p w:rsidR="000C2427" w:rsidRPr="000C2427" w:rsidP="000C2427" w14:paraId="10EAFE1F" w14:textId="77777777">
      <w:pPr>
        <w:suppressAutoHyphens/>
        <w:autoSpaceDN w:val="0"/>
        <w:spacing w:line="360" w:lineRule="auto"/>
        <w:rPr>
          <w:rFonts w:ascii="Century Schoolbook" w:eastAsia="Calibri" w:hAnsi="Century Schoolbook"/>
        </w:rPr>
      </w:pPr>
    </w:p>
    <w:p w:rsidR="000C2427" w:rsidRPr="000C2427" w:rsidP="000C2427" w14:paraId="2223A27C" w14:textId="77777777">
      <w:pPr>
        <w:suppressAutoHyphens/>
        <w:autoSpaceDN w:val="0"/>
        <w:spacing w:line="360" w:lineRule="auto"/>
        <w:rPr>
          <w:rFonts w:ascii="Century Schoolbook" w:eastAsia="Calibri" w:hAnsi="Century Schoolbook"/>
        </w:rPr>
      </w:pPr>
    </w:p>
    <w:p w:rsidR="000C2427" w:rsidRPr="000C2427" w:rsidP="000C2427" w14:paraId="4C1D43DE" w14:textId="77777777">
      <w:pPr>
        <w:suppressAutoHyphens/>
        <w:autoSpaceDN w:val="0"/>
        <w:spacing w:line="360" w:lineRule="auto"/>
        <w:rPr>
          <w:rFonts w:ascii="Century Schoolbook" w:eastAsia="Calibri" w:hAnsi="Century Schoolbook"/>
        </w:rPr>
      </w:pPr>
    </w:p>
    <w:p w:rsidR="000C2427" w:rsidRPr="000C2427" w:rsidP="000C2427" w14:paraId="19C166CE" w14:textId="77777777">
      <w:pPr>
        <w:suppressAutoHyphens/>
        <w:autoSpaceDN w:val="0"/>
        <w:spacing w:line="360" w:lineRule="auto"/>
        <w:rPr>
          <w:rFonts w:ascii="Century Schoolbook" w:eastAsia="Calibri" w:hAnsi="Century Schoolbook"/>
        </w:rPr>
      </w:pPr>
    </w:p>
    <w:p w:rsidR="000C2427" w:rsidRPr="000C2427" w:rsidP="000C2427" w14:paraId="2B91A76E" w14:textId="77777777">
      <w:pPr>
        <w:suppressAutoHyphens/>
        <w:autoSpaceDN w:val="0"/>
        <w:spacing w:line="360" w:lineRule="auto"/>
        <w:rPr>
          <w:rFonts w:ascii="Century Schoolbook" w:eastAsia="Calibri" w:hAnsi="Century Schoolbook"/>
        </w:rPr>
      </w:pPr>
    </w:p>
    <w:p w:rsidR="000C2427" w:rsidRPr="000C2427" w:rsidP="000C2427" w14:paraId="0DD10274" w14:textId="77777777">
      <w:pPr>
        <w:suppressAutoHyphens/>
        <w:autoSpaceDN w:val="0"/>
        <w:spacing w:line="360" w:lineRule="auto"/>
        <w:rPr>
          <w:rFonts w:ascii="Century Schoolbook" w:eastAsia="Calibri" w:hAnsi="Century Schoolbook"/>
        </w:rPr>
      </w:pPr>
    </w:p>
    <w:p w:rsidR="000C2427" w:rsidRPr="000C2427" w:rsidP="000C2427" w14:paraId="2657C74D" w14:textId="77777777">
      <w:pPr>
        <w:suppressAutoHyphens/>
        <w:autoSpaceDN w:val="0"/>
        <w:spacing w:line="360" w:lineRule="auto"/>
        <w:rPr>
          <w:rFonts w:ascii="Century Schoolbook" w:eastAsia="Calibri" w:hAnsi="Century Schoolbook"/>
        </w:rPr>
      </w:pPr>
    </w:p>
    <w:p w:rsidR="000C2427" w:rsidRPr="000C2427" w:rsidP="000C2427" w14:paraId="1085A06E" w14:textId="77777777">
      <w:pPr>
        <w:suppressAutoHyphens/>
        <w:autoSpaceDN w:val="0"/>
        <w:spacing w:line="360" w:lineRule="auto"/>
        <w:rPr>
          <w:rFonts w:ascii="Century Schoolbook" w:eastAsia="Calibri" w:hAnsi="Century Schoolbook"/>
        </w:rPr>
      </w:pPr>
    </w:p>
    <w:p w:rsidR="000C2427" w:rsidRPr="000C2427" w:rsidP="000C2427" w14:paraId="71684C10" w14:textId="77777777">
      <w:pPr>
        <w:suppressAutoHyphens/>
        <w:autoSpaceDN w:val="0"/>
        <w:spacing w:line="360" w:lineRule="auto"/>
        <w:rPr>
          <w:rFonts w:ascii="Century Schoolbook" w:eastAsia="Calibri" w:hAnsi="Century Schoolbook"/>
        </w:rPr>
      </w:pPr>
    </w:p>
    <w:p w:rsidR="000C2427" w:rsidRPr="000C2427" w:rsidP="000C2427" w14:paraId="493AF32E" w14:textId="77777777">
      <w:pPr>
        <w:suppressAutoHyphens/>
        <w:autoSpaceDN w:val="0"/>
        <w:spacing w:line="360" w:lineRule="auto"/>
        <w:rPr>
          <w:rFonts w:ascii="Century Schoolbook" w:eastAsia="Calibri" w:hAnsi="Century Schoolbook"/>
        </w:rPr>
      </w:pPr>
    </w:p>
    <w:p w:rsidR="000C2427" w:rsidRPr="000C2427" w:rsidP="000C2427" w14:paraId="758FFECE" w14:textId="77777777">
      <w:pPr>
        <w:suppressAutoHyphens/>
        <w:autoSpaceDN w:val="0"/>
        <w:spacing w:line="360" w:lineRule="auto"/>
        <w:rPr>
          <w:rFonts w:ascii="Century Schoolbook" w:eastAsia="Calibri" w:hAnsi="Century Schoolbook"/>
        </w:rPr>
      </w:pPr>
    </w:p>
    <w:p w:rsidR="000C2427" w:rsidRPr="000C2427" w:rsidP="000C2427" w14:paraId="302F0F89" w14:textId="77777777">
      <w:pPr>
        <w:suppressAutoHyphens/>
        <w:autoSpaceDN w:val="0"/>
        <w:spacing w:line="360" w:lineRule="auto"/>
        <w:rPr>
          <w:rFonts w:ascii="Century Schoolbook" w:eastAsia="Calibri" w:hAnsi="Century Schoolbook"/>
          <w:sz w:val="16"/>
          <w:szCs w:val="16"/>
        </w:rPr>
      </w:pPr>
      <w:r w:rsidRPr="000C2427">
        <w:rPr>
          <w:rFonts w:ascii="Century Schoolbook" w:eastAsia="Calibri" w:hAnsi="Century Schoolbook"/>
          <w:i/>
          <w:sz w:val="16"/>
          <w:szCs w:val="16"/>
        </w:rPr>
        <w:t xml:space="preserve">Whitehead v. City of Oakland </w:t>
      </w:r>
      <w:r w:rsidRPr="000C2427">
        <w:rPr>
          <w:rFonts w:ascii="Century Schoolbook" w:eastAsia="Calibri" w:hAnsi="Century Schoolbook"/>
          <w:sz w:val="16"/>
          <w:szCs w:val="16"/>
        </w:rPr>
        <w:t>(A164483)</w:t>
      </w:r>
    </w:p>
    <w:p w:rsidR="000C2427" w:rsidRPr="000C2427" w:rsidP="000C2427" w14:paraId="1873C76D" w14:textId="77777777">
      <w:pPr>
        <w:suppressAutoHyphens/>
        <w:autoSpaceDN w:val="0"/>
        <w:spacing w:line="360" w:lineRule="auto"/>
        <w:rPr>
          <w:rFonts w:ascii="Century Schoolbook" w:eastAsia="Calibri" w:hAnsi="Century Schoolbook"/>
        </w:rPr>
      </w:pPr>
    </w:p>
    <w:p w:rsidR="000C2427" w:rsidRPr="000C2427" w:rsidP="000C2427" w14:paraId="2CB64D1B" w14:textId="77777777">
      <w:pPr>
        <w:suppressAutoHyphens/>
        <w:autoSpaceDN w:val="0"/>
        <w:spacing w:line="360" w:lineRule="auto"/>
        <w:rPr>
          <w:rFonts w:ascii="Century Schoolbook" w:eastAsia="Calibri" w:hAnsi="Century Schoolbook"/>
        </w:rPr>
      </w:pPr>
    </w:p>
    <w:p w:rsidR="00145FBF" w:rsidRPr="002A774E" w:rsidP="00672258" w14:paraId="376CD7D0" w14:textId="77777777">
      <w:pPr>
        <w:spacing w:line="360" w:lineRule="auto"/>
        <w:rPr>
          <w:rFonts w:ascii="Century Schoolbook" w:hAnsi="Century Schoolbook"/>
        </w:rPr>
      </w:pPr>
    </w:p>
    <w:sectPr w:rsidSect="000C2427">
      <w:footerReference w:type="default" r:id="rId8"/>
      <w:pgSz w:w="12240" w:h="15840"/>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2203" w:rsidP="00713C72" w14:paraId="09663B69" w14:textId="01701BF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53832">
      <w:rPr>
        <w:rStyle w:val="PageNumber"/>
        <w:noProof/>
      </w:rPr>
      <w:t>2</w:t>
    </w:r>
    <w:r>
      <w:rPr>
        <w:rStyle w:val="PageNumber"/>
      </w:rPr>
      <w:fldChar w:fldCharType="end"/>
    </w:r>
  </w:p>
  <w:p w:rsidR="00A52203" w:rsidP="00713C72" w14:paraId="09663B6A" w14:textId="47D4BAE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53832">
      <w:rPr>
        <w:rStyle w:val="PageNumber"/>
        <w:noProof/>
      </w:rPr>
      <w:t>2</w:t>
    </w:r>
    <w:r>
      <w:rPr>
        <w:rStyle w:val="PageNumber"/>
      </w:rPr>
      <w:fldChar w:fldCharType="end"/>
    </w:r>
  </w:p>
  <w:p w:rsidR="00A52203" w14:paraId="09663B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2203" w:rsidP="00713C72" w14:paraId="09663B6C" w14:textId="7777777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rsidR="00A52203" w14:paraId="09663B6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2427" w14:paraId="16A71EF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0C2427" w14:paraId="245B951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51E8" w:rsidP="00713C72" w14:paraId="09063643" w14:textId="77777777">
      <w:pPr>
        <w:spacing w:line="240" w:lineRule="auto"/>
      </w:pPr>
      <w:r>
        <w:separator/>
      </w:r>
    </w:p>
  </w:footnote>
  <w:footnote w:type="continuationSeparator" w:id="1">
    <w:p w:rsidR="00A051E8" w:rsidP="00713C72" w14:paraId="473E3DFA" w14:textId="77777777">
      <w:pPr>
        <w:spacing w:line="240" w:lineRule="auto"/>
      </w:pPr>
      <w:r>
        <w:continuationSeparator/>
      </w:r>
    </w:p>
  </w:footnote>
  <w:footnote w:id="2">
    <w:p w:rsidR="001074CA" w:rsidRPr="00D91578" w:rsidP="00D91578" w14:paraId="33FEF589" w14:textId="3D18D70D">
      <w:pPr>
        <w:pStyle w:val="FootnoteText"/>
        <w:spacing w:after="120"/>
        <w:rPr>
          <w:rFonts w:ascii="Century Schoolbook" w:hAnsi="Century Schoolbook"/>
        </w:rPr>
      </w:pPr>
      <w:r w:rsidRPr="00D91578">
        <w:rPr>
          <w:rStyle w:val="FootnoteReference"/>
          <w:rFonts w:ascii="Century Schoolbook" w:hAnsi="Century Schoolbook"/>
        </w:rPr>
        <w:footnoteRef/>
      </w:r>
      <w:r w:rsidRPr="00D91578">
        <w:rPr>
          <w:rFonts w:ascii="Century Schoolbook" w:hAnsi="Century Schoolbook"/>
        </w:rPr>
        <w:t xml:space="preserve"> </w:t>
      </w:r>
      <w:r w:rsidRPr="00D91578">
        <w:rPr>
          <w:rFonts w:ascii="Century Schoolbook" w:hAnsi="Century Schoolbook"/>
        </w:rPr>
        <w:tab/>
      </w:r>
      <w:r w:rsidR="00F322EB">
        <w:rPr>
          <w:rFonts w:ascii="Century Schoolbook" w:hAnsi="Century Schoolbook"/>
        </w:rPr>
        <w:t>D</w:t>
      </w:r>
      <w:r w:rsidRPr="00D91578">
        <w:rPr>
          <w:rFonts w:ascii="Century Schoolbook" w:hAnsi="Century Schoolbook"/>
        </w:rPr>
        <w:t xml:space="preserve">efendant </w:t>
      </w:r>
      <w:r w:rsidRPr="006C5CDA">
        <w:rPr>
          <w:rFonts w:ascii="Century Schoolbook" w:hAnsi="Century Schoolbook"/>
        </w:rPr>
        <w:t>indicate</w:t>
      </w:r>
      <w:r w:rsidR="005D1C02">
        <w:rPr>
          <w:rFonts w:ascii="Century Schoolbook" w:hAnsi="Century Schoolbook"/>
        </w:rPr>
        <w:t>d</w:t>
      </w:r>
      <w:r w:rsidRPr="006C5CDA">
        <w:rPr>
          <w:rFonts w:ascii="Century Schoolbook" w:hAnsi="Century Schoolbook"/>
        </w:rPr>
        <w:t xml:space="preserve"> it learned </w:t>
      </w:r>
      <w:r w:rsidR="00493E74">
        <w:rPr>
          <w:rFonts w:ascii="Century Schoolbook" w:hAnsi="Century Schoolbook"/>
        </w:rPr>
        <w:t xml:space="preserve">of </w:t>
      </w:r>
      <w:r w:rsidRPr="006C5CDA">
        <w:rPr>
          <w:rFonts w:ascii="Century Schoolbook" w:hAnsi="Century Schoolbook"/>
        </w:rPr>
        <w:t>plaintiff</w:t>
      </w:r>
      <w:r w:rsidR="00493E74">
        <w:rPr>
          <w:rFonts w:ascii="Century Schoolbook" w:hAnsi="Century Schoolbook"/>
        </w:rPr>
        <w:t>’s execution of</w:t>
      </w:r>
      <w:r w:rsidRPr="006C5CDA">
        <w:rPr>
          <w:rFonts w:ascii="Century Schoolbook" w:hAnsi="Century Schoolbook"/>
        </w:rPr>
        <w:t xml:space="preserve"> the release </w:t>
      </w:r>
      <w:r w:rsidRPr="006C5CDA" w:rsidR="00E65C38">
        <w:rPr>
          <w:rFonts w:ascii="Century Schoolbook" w:hAnsi="Century Schoolbook"/>
        </w:rPr>
        <w:t xml:space="preserve">after filing its first summary judgment motion. </w:t>
      </w:r>
    </w:p>
  </w:footnote>
  <w:footnote w:id="3">
    <w:p w:rsidR="00CA148D" w:rsidRPr="00D867A0" w:rsidP="00D867A0" w14:paraId="1B301919" w14:textId="60E9F694">
      <w:pPr>
        <w:pStyle w:val="FootnoteText"/>
        <w:spacing w:after="120"/>
        <w:rPr>
          <w:rFonts w:ascii="Century Schoolbook" w:hAnsi="Century Schoolbook"/>
        </w:rPr>
      </w:pPr>
      <w:r w:rsidRPr="00D867A0">
        <w:rPr>
          <w:rStyle w:val="FootnoteReference"/>
          <w:rFonts w:ascii="Century Schoolbook" w:hAnsi="Century Schoolbook"/>
        </w:rPr>
        <w:footnoteRef/>
      </w:r>
      <w:r w:rsidRPr="00D867A0">
        <w:rPr>
          <w:rFonts w:ascii="Century Schoolbook" w:hAnsi="Century Schoolbook"/>
        </w:rPr>
        <w:t xml:space="preserve"> </w:t>
      </w:r>
      <w:r w:rsidRPr="00D867A0">
        <w:rPr>
          <w:rFonts w:ascii="Century Schoolbook" w:hAnsi="Century Schoolbook"/>
        </w:rPr>
        <w:tab/>
      </w:r>
      <w:r w:rsidR="00A9060C">
        <w:rPr>
          <w:rFonts w:ascii="Century Schoolbook" w:hAnsi="Century Schoolbook"/>
        </w:rPr>
        <w:t xml:space="preserve">Our opinion is limited to the facts before us and should not be read as opining on the validity of a release in </w:t>
      </w:r>
      <w:r w:rsidR="004A444A">
        <w:rPr>
          <w:rFonts w:ascii="Century Schoolbook" w:hAnsi="Century Schoolbook"/>
        </w:rPr>
        <w:t>other</w:t>
      </w:r>
      <w:r w:rsidR="00A9060C">
        <w:rPr>
          <w:rFonts w:ascii="Century Schoolbook" w:hAnsi="Century Schoolbook"/>
        </w:rPr>
        <w:t xml:space="preserve"> context</w:t>
      </w:r>
      <w:r w:rsidR="004A444A">
        <w:rPr>
          <w:rFonts w:ascii="Century Schoolbook" w:hAnsi="Century Schoolbook"/>
        </w:rPr>
        <w:t>s, e.g., where an AIDS LifeCycle</w:t>
      </w:r>
      <w:r w:rsidR="00A9060C">
        <w:rPr>
          <w:rFonts w:ascii="Century Schoolbook" w:hAnsi="Century Schoolbook"/>
        </w:rPr>
        <w:t xml:space="preserve"> participant is injured </w:t>
      </w:r>
      <w:r w:rsidR="004A444A">
        <w:rPr>
          <w:rFonts w:ascii="Century Schoolbook" w:hAnsi="Century Schoolbook"/>
        </w:rPr>
        <w:t xml:space="preserve">during a practice ride that is not part of </w:t>
      </w:r>
      <w:r w:rsidR="00A9060C">
        <w:rPr>
          <w:rFonts w:ascii="Century Schoolbook" w:hAnsi="Century Schoolbook"/>
        </w:rPr>
        <w:t xml:space="preserve">the </w:t>
      </w:r>
      <w:r w:rsidR="004A444A">
        <w:rPr>
          <w:rFonts w:ascii="Century Schoolbook" w:hAnsi="Century Schoolbook"/>
        </w:rPr>
        <w:t>AIDS LifeCycle</w:t>
      </w:r>
      <w:r w:rsidR="00A9060C">
        <w:rPr>
          <w:rFonts w:ascii="Century Schoolbook" w:hAnsi="Century Schoolbook"/>
        </w:rPr>
        <w:t xml:space="preserve"> training program</w:t>
      </w:r>
      <w:r w:rsidR="004A444A">
        <w:rPr>
          <w:rFonts w:ascii="Century Schoolbook" w:hAnsi="Century Schoolbook"/>
        </w:rPr>
        <w:t xml:space="preserve"> or </w:t>
      </w:r>
      <w:r w:rsidR="00827A66">
        <w:rPr>
          <w:rFonts w:ascii="Century Schoolbook" w:hAnsi="Century Schoolbook"/>
        </w:rPr>
        <w:t xml:space="preserve">where an injured participant </w:t>
      </w:r>
      <w:r w:rsidR="004A444A">
        <w:rPr>
          <w:rFonts w:ascii="Century Schoolbook" w:hAnsi="Century Schoolbook"/>
        </w:rPr>
        <w:t>suffers additional harm as a result of medical malpractice at a treating hospital.</w:t>
      </w:r>
    </w:p>
  </w:footnote>
  <w:footnote w:id="4">
    <w:p w:rsidR="000C2427" w:rsidP="000C2427" w14:paraId="68B8DA99" w14:textId="77777777">
      <w:pPr>
        <w:pStyle w:val="FootnoteText"/>
      </w:pPr>
      <w:r>
        <w:rPr>
          <w:rStyle w:val="FootnoteReference"/>
        </w:rPr>
        <w:footnoteRef/>
      </w:r>
      <w:r>
        <w:t xml:space="preserve"> </w:t>
      </w:r>
      <w:r>
        <w:tab/>
        <w:t>Tucher</w:t>
      </w:r>
      <w:r w:rsidRPr="00266AC2">
        <w:t xml:space="preserve">, P.J., </w:t>
      </w:r>
      <w:r w:rsidRPr="00A47077">
        <w:t>Fujisaki</w:t>
      </w:r>
      <w:r w:rsidRPr="00266AC2">
        <w:t xml:space="preserve">, J., and </w:t>
      </w:r>
      <w:r>
        <w:t>Petrou</w:t>
      </w:r>
      <w:r w:rsidRPr="00266AC2">
        <w:t xml:space="preserve">, J.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D826C2"/>
    <w:multiLevelType w:val="hybridMultilevel"/>
    <w:tmpl w:val="B8947D9C"/>
    <w:lvl w:ilvl="0">
      <w:start w:val="1"/>
      <w:numFmt w:val="upperLetter"/>
      <w:lvlText w:val="%1."/>
      <w:lvlJc w:val="left"/>
      <w:pPr>
        <w:ind w:left="1104" w:hanging="384"/>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2D277257"/>
    <w:multiLevelType w:val="hybridMultilevel"/>
    <w:tmpl w:val="55B2E78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6CC47AD7"/>
    <w:multiLevelType w:val="hybridMultilevel"/>
    <w:tmpl w:val="67D609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64"/>
    <w:rsid w:val="0000085A"/>
    <w:rsid w:val="000011BD"/>
    <w:rsid w:val="000020AC"/>
    <w:rsid w:val="00002F9F"/>
    <w:rsid w:val="000035C6"/>
    <w:rsid w:val="0000570A"/>
    <w:rsid w:val="00006E0D"/>
    <w:rsid w:val="0001097E"/>
    <w:rsid w:val="00010EF2"/>
    <w:rsid w:val="00012213"/>
    <w:rsid w:val="0001228C"/>
    <w:rsid w:val="000123DD"/>
    <w:rsid w:val="00012AF2"/>
    <w:rsid w:val="00013C28"/>
    <w:rsid w:val="00015421"/>
    <w:rsid w:val="000164E5"/>
    <w:rsid w:val="00016759"/>
    <w:rsid w:val="000172D6"/>
    <w:rsid w:val="000176A9"/>
    <w:rsid w:val="00017ECC"/>
    <w:rsid w:val="00020736"/>
    <w:rsid w:val="000215C2"/>
    <w:rsid w:val="00023667"/>
    <w:rsid w:val="0002551D"/>
    <w:rsid w:val="00025EEF"/>
    <w:rsid w:val="00026353"/>
    <w:rsid w:val="00030180"/>
    <w:rsid w:val="00031FC4"/>
    <w:rsid w:val="00032218"/>
    <w:rsid w:val="00033B28"/>
    <w:rsid w:val="000342A6"/>
    <w:rsid w:val="00037D52"/>
    <w:rsid w:val="0004453E"/>
    <w:rsid w:val="00044B14"/>
    <w:rsid w:val="00045598"/>
    <w:rsid w:val="000459D8"/>
    <w:rsid w:val="00047C7A"/>
    <w:rsid w:val="00047D79"/>
    <w:rsid w:val="00050C19"/>
    <w:rsid w:val="0005165D"/>
    <w:rsid w:val="00051742"/>
    <w:rsid w:val="00051908"/>
    <w:rsid w:val="00053790"/>
    <w:rsid w:val="00054305"/>
    <w:rsid w:val="0005466D"/>
    <w:rsid w:val="00054987"/>
    <w:rsid w:val="00054AF5"/>
    <w:rsid w:val="00054B6B"/>
    <w:rsid w:val="00056AF5"/>
    <w:rsid w:val="00057446"/>
    <w:rsid w:val="000574FE"/>
    <w:rsid w:val="00057615"/>
    <w:rsid w:val="00057D75"/>
    <w:rsid w:val="000605F5"/>
    <w:rsid w:val="00060EDF"/>
    <w:rsid w:val="00061A48"/>
    <w:rsid w:val="00061EA0"/>
    <w:rsid w:val="000625ED"/>
    <w:rsid w:val="00062DCE"/>
    <w:rsid w:val="00067E4A"/>
    <w:rsid w:val="000702EF"/>
    <w:rsid w:val="00070435"/>
    <w:rsid w:val="0007082E"/>
    <w:rsid w:val="00072320"/>
    <w:rsid w:val="00074192"/>
    <w:rsid w:val="00074807"/>
    <w:rsid w:val="00074E1D"/>
    <w:rsid w:val="00076C5D"/>
    <w:rsid w:val="0007727E"/>
    <w:rsid w:val="000801AD"/>
    <w:rsid w:val="000807CC"/>
    <w:rsid w:val="00080D19"/>
    <w:rsid w:val="00080FD0"/>
    <w:rsid w:val="000831DF"/>
    <w:rsid w:val="00084001"/>
    <w:rsid w:val="0008439F"/>
    <w:rsid w:val="000844E5"/>
    <w:rsid w:val="00085C25"/>
    <w:rsid w:val="000867C6"/>
    <w:rsid w:val="0008715F"/>
    <w:rsid w:val="00087493"/>
    <w:rsid w:val="000878A4"/>
    <w:rsid w:val="00087F75"/>
    <w:rsid w:val="00090820"/>
    <w:rsid w:val="00090B96"/>
    <w:rsid w:val="0009217B"/>
    <w:rsid w:val="00092A2C"/>
    <w:rsid w:val="00092CE0"/>
    <w:rsid w:val="0009307A"/>
    <w:rsid w:val="000946B4"/>
    <w:rsid w:val="0009586D"/>
    <w:rsid w:val="000958DE"/>
    <w:rsid w:val="00095ED6"/>
    <w:rsid w:val="00096BAE"/>
    <w:rsid w:val="00097232"/>
    <w:rsid w:val="00097FB6"/>
    <w:rsid w:val="000A05FF"/>
    <w:rsid w:val="000A15A4"/>
    <w:rsid w:val="000A1D4B"/>
    <w:rsid w:val="000A24AC"/>
    <w:rsid w:val="000A30BA"/>
    <w:rsid w:val="000A31FE"/>
    <w:rsid w:val="000A3AFE"/>
    <w:rsid w:val="000A4177"/>
    <w:rsid w:val="000A4F01"/>
    <w:rsid w:val="000A5B34"/>
    <w:rsid w:val="000A6B65"/>
    <w:rsid w:val="000A71DE"/>
    <w:rsid w:val="000A7BD6"/>
    <w:rsid w:val="000B1752"/>
    <w:rsid w:val="000B1D72"/>
    <w:rsid w:val="000B2C23"/>
    <w:rsid w:val="000B301C"/>
    <w:rsid w:val="000B325B"/>
    <w:rsid w:val="000B35B8"/>
    <w:rsid w:val="000B3875"/>
    <w:rsid w:val="000B3E90"/>
    <w:rsid w:val="000B4A05"/>
    <w:rsid w:val="000B55A3"/>
    <w:rsid w:val="000B5659"/>
    <w:rsid w:val="000B774C"/>
    <w:rsid w:val="000C0650"/>
    <w:rsid w:val="000C071D"/>
    <w:rsid w:val="000C087C"/>
    <w:rsid w:val="000C0F14"/>
    <w:rsid w:val="000C2427"/>
    <w:rsid w:val="000C44F9"/>
    <w:rsid w:val="000C460F"/>
    <w:rsid w:val="000C4D51"/>
    <w:rsid w:val="000C5466"/>
    <w:rsid w:val="000C6132"/>
    <w:rsid w:val="000C6BFA"/>
    <w:rsid w:val="000C6E61"/>
    <w:rsid w:val="000D0369"/>
    <w:rsid w:val="000D1E01"/>
    <w:rsid w:val="000D2CB6"/>
    <w:rsid w:val="000D4FE3"/>
    <w:rsid w:val="000D7046"/>
    <w:rsid w:val="000D7E20"/>
    <w:rsid w:val="000E1FAA"/>
    <w:rsid w:val="000E2DF9"/>
    <w:rsid w:val="000E4136"/>
    <w:rsid w:val="000E417E"/>
    <w:rsid w:val="000E4908"/>
    <w:rsid w:val="000E4D0C"/>
    <w:rsid w:val="000E54EB"/>
    <w:rsid w:val="000E59E9"/>
    <w:rsid w:val="000E6963"/>
    <w:rsid w:val="000E6F0E"/>
    <w:rsid w:val="000F06C2"/>
    <w:rsid w:val="000F1656"/>
    <w:rsid w:val="000F2485"/>
    <w:rsid w:val="000F3D95"/>
    <w:rsid w:val="000F42F3"/>
    <w:rsid w:val="000F5797"/>
    <w:rsid w:val="000F5B0C"/>
    <w:rsid w:val="000F5D6F"/>
    <w:rsid w:val="000F5F05"/>
    <w:rsid w:val="000F73CB"/>
    <w:rsid w:val="00102B19"/>
    <w:rsid w:val="00102BE0"/>
    <w:rsid w:val="00103127"/>
    <w:rsid w:val="00103151"/>
    <w:rsid w:val="001035E1"/>
    <w:rsid w:val="001039ED"/>
    <w:rsid w:val="00103C43"/>
    <w:rsid w:val="0010576F"/>
    <w:rsid w:val="001057DD"/>
    <w:rsid w:val="001060B7"/>
    <w:rsid w:val="0010744C"/>
    <w:rsid w:val="001074CA"/>
    <w:rsid w:val="00107657"/>
    <w:rsid w:val="00107F66"/>
    <w:rsid w:val="001106FB"/>
    <w:rsid w:val="00110A5F"/>
    <w:rsid w:val="0011106A"/>
    <w:rsid w:val="00111255"/>
    <w:rsid w:val="00111F23"/>
    <w:rsid w:val="00111FB6"/>
    <w:rsid w:val="00115A76"/>
    <w:rsid w:val="00120E45"/>
    <w:rsid w:val="001221A6"/>
    <w:rsid w:val="001225AE"/>
    <w:rsid w:val="00122D95"/>
    <w:rsid w:val="00123CBE"/>
    <w:rsid w:val="00124B54"/>
    <w:rsid w:val="00125BA0"/>
    <w:rsid w:val="00127733"/>
    <w:rsid w:val="00127C36"/>
    <w:rsid w:val="00127E24"/>
    <w:rsid w:val="001311FC"/>
    <w:rsid w:val="00131324"/>
    <w:rsid w:val="00140419"/>
    <w:rsid w:val="001404D9"/>
    <w:rsid w:val="00140E03"/>
    <w:rsid w:val="0014174B"/>
    <w:rsid w:val="00143A68"/>
    <w:rsid w:val="00143C1F"/>
    <w:rsid w:val="00145A38"/>
    <w:rsid w:val="00145FBF"/>
    <w:rsid w:val="001460FC"/>
    <w:rsid w:val="00147DC2"/>
    <w:rsid w:val="00151B33"/>
    <w:rsid w:val="00151C2E"/>
    <w:rsid w:val="00151CAA"/>
    <w:rsid w:val="00152F60"/>
    <w:rsid w:val="00153A52"/>
    <w:rsid w:val="001542F5"/>
    <w:rsid w:val="001569F4"/>
    <w:rsid w:val="001602F6"/>
    <w:rsid w:val="001606B6"/>
    <w:rsid w:val="00161010"/>
    <w:rsid w:val="00161A01"/>
    <w:rsid w:val="00161AA3"/>
    <w:rsid w:val="00161E8D"/>
    <w:rsid w:val="0016259C"/>
    <w:rsid w:val="001636BA"/>
    <w:rsid w:val="00163DCB"/>
    <w:rsid w:val="00164B53"/>
    <w:rsid w:val="00164D57"/>
    <w:rsid w:val="00164EED"/>
    <w:rsid w:val="00165BFE"/>
    <w:rsid w:val="0016749F"/>
    <w:rsid w:val="00167512"/>
    <w:rsid w:val="00170124"/>
    <w:rsid w:val="001713AD"/>
    <w:rsid w:val="00171899"/>
    <w:rsid w:val="00172495"/>
    <w:rsid w:val="00172DC1"/>
    <w:rsid w:val="001737FC"/>
    <w:rsid w:val="00174D02"/>
    <w:rsid w:val="00175A2C"/>
    <w:rsid w:val="001800F8"/>
    <w:rsid w:val="0018120D"/>
    <w:rsid w:val="00181C7F"/>
    <w:rsid w:val="00182CBB"/>
    <w:rsid w:val="0018669F"/>
    <w:rsid w:val="0018728A"/>
    <w:rsid w:val="0019191A"/>
    <w:rsid w:val="0019215C"/>
    <w:rsid w:val="00192426"/>
    <w:rsid w:val="00192A7E"/>
    <w:rsid w:val="00193128"/>
    <w:rsid w:val="0019351C"/>
    <w:rsid w:val="001938A1"/>
    <w:rsid w:val="001950C8"/>
    <w:rsid w:val="001964A5"/>
    <w:rsid w:val="0019695F"/>
    <w:rsid w:val="00196F23"/>
    <w:rsid w:val="001970D4"/>
    <w:rsid w:val="00197364"/>
    <w:rsid w:val="001A0943"/>
    <w:rsid w:val="001A1D9C"/>
    <w:rsid w:val="001A2E33"/>
    <w:rsid w:val="001A3121"/>
    <w:rsid w:val="001A32B2"/>
    <w:rsid w:val="001A41E6"/>
    <w:rsid w:val="001A4523"/>
    <w:rsid w:val="001A4895"/>
    <w:rsid w:val="001A5A15"/>
    <w:rsid w:val="001A67C9"/>
    <w:rsid w:val="001A681D"/>
    <w:rsid w:val="001A6ED2"/>
    <w:rsid w:val="001B2543"/>
    <w:rsid w:val="001B2BF3"/>
    <w:rsid w:val="001B31BB"/>
    <w:rsid w:val="001B39C7"/>
    <w:rsid w:val="001B3C1A"/>
    <w:rsid w:val="001B3D3A"/>
    <w:rsid w:val="001B406A"/>
    <w:rsid w:val="001B4D8B"/>
    <w:rsid w:val="001B56FE"/>
    <w:rsid w:val="001B5AD6"/>
    <w:rsid w:val="001B5FEA"/>
    <w:rsid w:val="001B6970"/>
    <w:rsid w:val="001C00AB"/>
    <w:rsid w:val="001C1FCB"/>
    <w:rsid w:val="001C2CAD"/>
    <w:rsid w:val="001C2CB4"/>
    <w:rsid w:val="001C4700"/>
    <w:rsid w:val="001C4A99"/>
    <w:rsid w:val="001C4B76"/>
    <w:rsid w:val="001C505E"/>
    <w:rsid w:val="001C5688"/>
    <w:rsid w:val="001C6665"/>
    <w:rsid w:val="001C75FB"/>
    <w:rsid w:val="001C7D15"/>
    <w:rsid w:val="001D11C6"/>
    <w:rsid w:val="001D1643"/>
    <w:rsid w:val="001D1ABD"/>
    <w:rsid w:val="001D2940"/>
    <w:rsid w:val="001D2A7E"/>
    <w:rsid w:val="001D2C8C"/>
    <w:rsid w:val="001D2E26"/>
    <w:rsid w:val="001D3513"/>
    <w:rsid w:val="001D3F95"/>
    <w:rsid w:val="001D5787"/>
    <w:rsid w:val="001D5880"/>
    <w:rsid w:val="001D64BD"/>
    <w:rsid w:val="001D691E"/>
    <w:rsid w:val="001D6EC6"/>
    <w:rsid w:val="001E0169"/>
    <w:rsid w:val="001E2750"/>
    <w:rsid w:val="001E3115"/>
    <w:rsid w:val="001E3222"/>
    <w:rsid w:val="001E340C"/>
    <w:rsid w:val="001E3A66"/>
    <w:rsid w:val="001E4E2D"/>
    <w:rsid w:val="001E513F"/>
    <w:rsid w:val="001E56A4"/>
    <w:rsid w:val="001E70E7"/>
    <w:rsid w:val="001F0EAC"/>
    <w:rsid w:val="001F1295"/>
    <w:rsid w:val="001F13BA"/>
    <w:rsid w:val="001F186E"/>
    <w:rsid w:val="001F2E04"/>
    <w:rsid w:val="001F37D6"/>
    <w:rsid w:val="001F3B71"/>
    <w:rsid w:val="001F3D6B"/>
    <w:rsid w:val="001F51ED"/>
    <w:rsid w:val="001F60B1"/>
    <w:rsid w:val="001F796F"/>
    <w:rsid w:val="00201360"/>
    <w:rsid w:val="00202AC7"/>
    <w:rsid w:val="00202E81"/>
    <w:rsid w:val="002033CD"/>
    <w:rsid w:val="0020346A"/>
    <w:rsid w:val="00203E15"/>
    <w:rsid w:val="00203F62"/>
    <w:rsid w:val="002044CE"/>
    <w:rsid w:val="0020455E"/>
    <w:rsid w:val="002046CD"/>
    <w:rsid w:val="0020522E"/>
    <w:rsid w:val="00206B95"/>
    <w:rsid w:val="002079F4"/>
    <w:rsid w:val="0021116F"/>
    <w:rsid w:val="00212C54"/>
    <w:rsid w:val="00212F59"/>
    <w:rsid w:val="00213151"/>
    <w:rsid w:val="00213168"/>
    <w:rsid w:val="00215035"/>
    <w:rsid w:val="00215432"/>
    <w:rsid w:val="00220EB0"/>
    <w:rsid w:val="00223B0F"/>
    <w:rsid w:val="00224587"/>
    <w:rsid w:val="00225094"/>
    <w:rsid w:val="00227513"/>
    <w:rsid w:val="0022762B"/>
    <w:rsid w:val="00230E1A"/>
    <w:rsid w:val="00230F40"/>
    <w:rsid w:val="00233E4D"/>
    <w:rsid w:val="002353E9"/>
    <w:rsid w:val="00235726"/>
    <w:rsid w:val="00235A61"/>
    <w:rsid w:val="00236E37"/>
    <w:rsid w:val="00241146"/>
    <w:rsid w:val="00241CCC"/>
    <w:rsid w:val="00243602"/>
    <w:rsid w:val="00244B02"/>
    <w:rsid w:val="00244DFA"/>
    <w:rsid w:val="0024554B"/>
    <w:rsid w:val="00246144"/>
    <w:rsid w:val="0024685E"/>
    <w:rsid w:val="00246D4E"/>
    <w:rsid w:val="002475D8"/>
    <w:rsid w:val="0025098B"/>
    <w:rsid w:val="00250C84"/>
    <w:rsid w:val="00253769"/>
    <w:rsid w:val="002551FA"/>
    <w:rsid w:val="00255482"/>
    <w:rsid w:val="0025581E"/>
    <w:rsid w:val="00256BF9"/>
    <w:rsid w:val="00257480"/>
    <w:rsid w:val="002604A9"/>
    <w:rsid w:val="00260830"/>
    <w:rsid w:val="002617CB"/>
    <w:rsid w:val="00261D3F"/>
    <w:rsid w:val="00261FEA"/>
    <w:rsid w:val="00262460"/>
    <w:rsid w:val="00263348"/>
    <w:rsid w:val="00264C5B"/>
    <w:rsid w:val="00265F92"/>
    <w:rsid w:val="00266472"/>
    <w:rsid w:val="00266AC2"/>
    <w:rsid w:val="00267FE1"/>
    <w:rsid w:val="0027127D"/>
    <w:rsid w:val="00272BC0"/>
    <w:rsid w:val="00273921"/>
    <w:rsid w:val="00273E98"/>
    <w:rsid w:val="002748E9"/>
    <w:rsid w:val="00274C57"/>
    <w:rsid w:val="00274CA4"/>
    <w:rsid w:val="00275386"/>
    <w:rsid w:val="00276327"/>
    <w:rsid w:val="00276729"/>
    <w:rsid w:val="002810DC"/>
    <w:rsid w:val="002823A8"/>
    <w:rsid w:val="00282FF3"/>
    <w:rsid w:val="00283C20"/>
    <w:rsid w:val="00284988"/>
    <w:rsid w:val="0028607D"/>
    <w:rsid w:val="00286475"/>
    <w:rsid w:val="00286AB9"/>
    <w:rsid w:val="00287BF0"/>
    <w:rsid w:val="00290216"/>
    <w:rsid w:val="0029059C"/>
    <w:rsid w:val="00291171"/>
    <w:rsid w:val="002913C6"/>
    <w:rsid w:val="002938E9"/>
    <w:rsid w:val="0029414A"/>
    <w:rsid w:val="00294C4D"/>
    <w:rsid w:val="00296237"/>
    <w:rsid w:val="0029624E"/>
    <w:rsid w:val="00296354"/>
    <w:rsid w:val="00296BD1"/>
    <w:rsid w:val="002972FF"/>
    <w:rsid w:val="00297705"/>
    <w:rsid w:val="002A0223"/>
    <w:rsid w:val="002A0807"/>
    <w:rsid w:val="002A1747"/>
    <w:rsid w:val="002A25F5"/>
    <w:rsid w:val="002A32F4"/>
    <w:rsid w:val="002A3A46"/>
    <w:rsid w:val="002A3CCA"/>
    <w:rsid w:val="002A4787"/>
    <w:rsid w:val="002A4CBA"/>
    <w:rsid w:val="002A5CDB"/>
    <w:rsid w:val="002A630F"/>
    <w:rsid w:val="002A63E3"/>
    <w:rsid w:val="002A6CD3"/>
    <w:rsid w:val="002A774E"/>
    <w:rsid w:val="002B012B"/>
    <w:rsid w:val="002B0601"/>
    <w:rsid w:val="002B15A6"/>
    <w:rsid w:val="002B389C"/>
    <w:rsid w:val="002B5FC2"/>
    <w:rsid w:val="002B68B8"/>
    <w:rsid w:val="002B763E"/>
    <w:rsid w:val="002B76D1"/>
    <w:rsid w:val="002C0108"/>
    <w:rsid w:val="002C164D"/>
    <w:rsid w:val="002C1ED9"/>
    <w:rsid w:val="002C4E5E"/>
    <w:rsid w:val="002C5420"/>
    <w:rsid w:val="002C5CF1"/>
    <w:rsid w:val="002C654E"/>
    <w:rsid w:val="002C717D"/>
    <w:rsid w:val="002D0385"/>
    <w:rsid w:val="002D24E2"/>
    <w:rsid w:val="002D2543"/>
    <w:rsid w:val="002D42AF"/>
    <w:rsid w:val="002D67DC"/>
    <w:rsid w:val="002D73A0"/>
    <w:rsid w:val="002E0F10"/>
    <w:rsid w:val="002E231B"/>
    <w:rsid w:val="002E280F"/>
    <w:rsid w:val="002E2BB9"/>
    <w:rsid w:val="002E2ED6"/>
    <w:rsid w:val="002E37F4"/>
    <w:rsid w:val="002E4BCA"/>
    <w:rsid w:val="002E61B2"/>
    <w:rsid w:val="002E70A2"/>
    <w:rsid w:val="002E71E3"/>
    <w:rsid w:val="002F0C9D"/>
    <w:rsid w:val="002F0D8A"/>
    <w:rsid w:val="002F1884"/>
    <w:rsid w:val="002F32AE"/>
    <w:rsid w:val="002F3484"/>
    <w:rsid w:val="002F51C2"/>
    <w:rsid w:val="003000B5"/>
    <w:rsid w:val="00300928"/>
    <w:rsid w:val="003013FE"/>
    <w:rsid w:val="003029A5"/>
    <w:rsid w:val="00302EF2"/>
    <w:rsid w:val="00304251"/>
    <w:rsid w:val="003056BA"/>
    <w:rsid w:val="00306529"/>
    <w:rsid w:val="003072AC"/>
    <w:rsid w:val="00307C7A"/>
    <w:rsid w:val="00310318"/>
    <w:rsid w:val="0031143B"/>
    <w:rsid w:val="003119AC"/>
    <w:rsid w:val="003126D3"/>
    <w:rsid w:val="003128D6"/>
    <w:rsid w:val="00313D28"/>
    <w:rsid w:val="00314357"/>
    <w:rsid w:val="00314492"/>
    <w:rsid w:val="0031513C"/>
    <w:rsid w:val="003152BC"/>
    <w:rsid w:val="003170EC"/>
    <w:rsid w:val="003172C9"/>
    <w:rsid w:val="00320D39"/>
    <w:rsid w:val="00321167"/>
    <w:rsid w:val="00321A8A"/>
    <w:rsid w:val="0032366E"/>
    <w:rsid w:val="00323BD0"/>
    <w:rsid w:val="00325EDE"/>
    <w:rsid w:val="00327003"/>
    <w:rsid w:val="00330360"/>
    <w:rsid w:val="00330B7C"/>
    <w:rsid w:val="00331A0D"/>
    <w:rsid w:val="003323C1"/>
    <w:rsid w:val="0033269C"/>
    <w:rsid w:val="00332782"/>
    <w:rsid w:val="00333C4E"/>
    <w:rsid w:val="00335DDA"/>
    <w:rsid w:val="00336E33"/>
    <w:rsid w:val="003403C9"/>
    <w:rsid w:val="00341DE0"/>
    <w:rsid w:val="0034217A"/>
    <w:rsid w:val="003433B6"/>
    <w:rsid w:val="00343497"/>
    <w:rsid w:val="00343ED2"/>
    <w:rsid w:val="00344F56"/>
    <w:rsid w:val="0035175E"/>
    <w:rsid w:val="003519D8"/>
    <w:rsid w:val="00351DB3"/>
    <w:rsid w:val="00353C0C"/>
    <w:rsid w:val="003546E4"/>
    <w:rsid w:val="00354C4E"/>
    <w:rsid w:val="00354F8E"/>
    <w:rsid w:val="003552C4"/>
    <w:rsid w:val="00355B04"/>
    <w:rsid w:val="003569BC"/>
    <w:rsid w:val="00356EDA"/>
    <w:rsid w:val="00357EED"/>
    <w:rsid w:val="00362C0A"/>
    <w:rsid w:val="00363ABC"/>
    <w:rsid w:val="00364135"/>
    <w:rsid w:val="00365C5A"/>
    <w:rsid w:val="003664E9"/>
    <w:rsid w:val="00366864"/>
    <w:rsid w:val="00367517"/>
    <w:rsid w:val="00370246"/>
    <w:rsid w:val="00370636"/>
    <w:rsid w:val="00370770"/>
    <w:rsid w:val="00370EBF"/>
    <w:rsid w:val="00371817"/>
    <w:rsid w:val="00371F22"/>
    <w:rsid w:val="00373600"/>
    <w:rsid w:val="00376D04"/>
    <w:rsid w:val="003779BE"/>
    <w:rsid w:val="003800EF"/>
    <w:rsid w:val="00380CB6"/>
    <w:rsid w:val="00381750"/>
    <w:rsid w:val="00382066"/>
    <w:rsid w:val="003829E4"/>
    <w:rsid w:val="00383EE5"/>
    <w:rsid w:val="003853CF"/>
    <w:rsid w:val="0038541F"/>
    <w:rsid w:val="0038574F"/>
    <w:rsid w:val="00385A85"/>
    <w:rsid w:val="00387D4A"/>
    <w:rsid w:val="00387D72"/>
    <w:rsid w:val="00390F24"/>
    <w:rsid w:val="003910E7"/>
    <w:rsid w:val="00391C42"/>
    <w:rsid w:val="00392084"/>
    <w:rsid w:val="00392BB6"/>
    <w:rsid w:val="00392F97"/>
    <w:rsid w:val="003930A4"/>
    <w:rsid w:val="00393D48"/>
    <w:rsid w:val="00394CC1"/>
    <w:rsid w:val="00395277"/>
    <w:rsid w:val="00395C14"/>
    <w:rsid w:val="003967FC"/>
    <w:rsid w:val="003A268B"/>
    <w:rsid w:val="003A352C"/>
    <w:rsid w:val="003A38CD"/>
    <w:rsid w:val="003A3DED"/>
    <w:rsid w:val="003B295E"/>
    <w:rsid w:val="003B35F3"/>
    <w:rsid w:val="003B6102"/>
    <w:rsid w:val="003C0B72"/>
    <w:rsid w:val="003C338A"/>
    <w:rsid w:val="003C39DF"/>
    <w:rsid w:val="003C413D"/>
    <w:rsid w:val="003C4145"/>
    <w:rsid w:val="003C6C26"/>
    <w:rsid w:val="003C75B3"/>
    <w:rsid w:val="003C7D19"/>
    <w:rsid w:val="003C7DF3"/>
    <w:rsid w:val="003D0224"/>
    <w:rsid w:val="003D134D"/>
    <w:rsid w:val="003D202E"/>
    <w:rsid w:val="003D23BB"/>
    <w:rsid w:val="003D41CF"/>
    <w:rsid w:val="003D4509"/>
    <w:rsid w:val="003D4B76"/>
    <w:rsid w:val="003D6044"/>
    <w:rsid w:val="003E0211"/>
    <w:rsid w:val="003E0835"/>
    <w:rsid w:val="003E19BE"/>
    <w:rsid w:val="003E19D5"/>
    <w:rsid w:val="003E26FA"/>
    <w:rsid w:val="003E303D"/>
    <w:rsid w:val="003E75DA"/>
    <w:rsid w:val="003E7BA7"/>
    <w:rsid w:val="003F01C1"/>
    <w:rsid w:val="003F1D4B"/>
    <w:rsid w:val="003F1F98"/>
    <w:rsid w:val="003F2F21"/>
    <w:rsid w:val="003F2FD5"/>
    <w:rsid w:val="003F339A"/>
    <w:rsid w:val="003F3786"/>
    <w:rsid w:val="003F3DBB"/>
    <w:rsid w:val="003F593D"/>
    <w:rsid w:val="003F6463"/>
    <w:rsid w:val="003F66B8"/>
    <w:rsid w:val="003F6C23"/>
    <w:rsid w:val="00401B54"/>
    <w:rsid w:val="00403E96"/>
    <w:rsid w:val="00404F98"/>
    <w:rsid w:val="004072A0"/>
    <w:rsid w:val="00407A9B"/>
    <w:rsid w:val="00410DDB"/>
    <w:rsid w:val="0041106E"/>
    <w:rsid w:val="00411E56"/>
    <w:rsid w:val="00413DFE"/>
    <w:rsid w:val="00414635"/>
    <w:rsid w:val="00415247"/>
    <w:rsid w:val="004154B6"/>
    <w:rsid w:val="004157C2"/>
    <w:rsid w:val="00415860"/>
    <w:rsid w:val="004167FB"/>
    <w:rsid w:val="00420A76"/>
    <w:rsid w:val="00420CEF"/>
    <w:rsid w:val="0042180B"/>
    <w:rsid w:val="00422F41"/>
    <w:rsid w:val="004233F1"/>
    <w:rsid w:val="00424BAA"/>
    <w:rsid w:val="00424DF1"/>
    <w:rsid w:val="00425268"/>
    <w:rsid w:val="004253F4"/>
    <w:rsid w:val="004254F6"/>
    <w:rsid w:val="00425B2B"/>
    <w:rsid w:val="0042603B"/>
    <w:rsid w:val="00426A9F"/>
    <w:rsid w:val="00426FFD"/>
    <w:rsid w:val="00430B09"/>
    <w:rsid w:val="00430CD9"/>
    <w:rsid w:val="00430E75"/>
    <w:rsid w:val="004311DB"/>
    <w:rsid w:val="004317B7"/>
    <w:rsid w:val="00431AD4"/>
    <w:rsid w:val="00431E9A"/>
    <w:rsid w:val="00432039"/>
    <w:rsid w:val="004329B2"/>
    <w:rsid w:val="00432BE3"/>
    <w:rsid w:val="004362A1"/>
    <w:rsid w:val="00436C27"/>
    <w:rsid w:val="00436E07"/>
    <w:rsid w:val="00436FE9"/>
    <w:rsid w:val="004375E9"/>
    <w:rsid w:val="00440879"/>
    <w:rsid w:val="00440B6E"/>
    <w:rsid w:val="00441A0E"/>
    <w:rsid w:val="00442314"/>
    <w:rsid w:val="0044443E"/>
    <w:rsid w:val="00446032"/>
    <w:rsid w:val="0044646C"/>
    <w:rsid w:val="00452BD5"/>
    <w:rsid w:val="00455507"/>
    <w:rsid w:val="004568A3"/>
    <w:rsid w:val="00456C1F"/>
    <w:rsid w:val="00457072"/>
    <w:rsid w:val="00460FE4"/>
    <w:rsid w:val="00461373"/>
    <w:rsid w:val="004620D2"/>
    <w:rsid w:val="00462C47"/>
    <w:rsid w:val="00463666"/>
    <w:rsid w:val="00463B64"/>
    <w:rsid w:val="00463C12"/>
    <w:rsid w:val="00464697"/>
    <w:rsid w:val="004663DC"/>
    <w:rsid w:val="00466A33"/>
    <w:rsid w:val="0046739C"/>
    <w:rsid w:val="00467675"/>
    <w:rsid w:val="0047017B"/>
    <w:rsid w:val="00470355"/>
    <w:rsid w:val="004706F1"/>
    <w:rsid w:val="00470BC0"/>
    <w:rsid w:val="00471569"/>
    <w:rsid w:val="00473422"/>
    <w:rsid w:val="00473947"/>
    <w:rsid w:val="0047557D"/>
    <w:rsid w:val="00475E97"/>
    <w:rsid w:val="0047662A"/>
    <w:rsid w:val="00477240"/>
    <w:rsid w:val="0048043C"/>
    <w:rsid w:val="0048055C"/>
    <w:rsid w:val="0048061D"/>
    <w:rsid w:val="00482A46"/>
    <w:rsid w:val="00483EAE"/>
    <w:rsid w:val="00484C67"/>
    <w:rsid w:val="00484CA9"/>
    <w:rsid w:val="004856D2"/>
    <w:rsid w:val="00486284"/>
    <w:rsid w:val="00486F28"/>
    <w:rsid w:val="00491215"/>
    <w:rsid w:val="00491707"/>
    <w:rsid w:val="00493E74"/>
    <w:rsid w:val="0049644A"/>
    <w:rsid w:val="004967CC"/>
    <w:rsid w:val="00496938"/>
    <w:rsid w:val="00496FBA"/>
    <w:rsid w:val="004975C3"/>
    <w:rsid w:val="00497E44"/>
    <w:rsid w:val="004A014F"/>
    <w:rsid w:val="004A0292"/>
    <w:rsid w:val="004A1A88"/>
    <w:rsid w:val="004A1FBB"/>
    <w:rsid w:val="004A2374"/>
    <w:rsid w:val="004A26BD"/>
    <w:rsid w:val="004A30CE"/>
    <w:rsid w:val="004A32AD"/>
    <w:rsid w:val="004A3E17"/>
    <w:rsid w:val="004A444A"/>
    <w:rsid w:val="004A50E9"/>
    <w:rsid w:val="004A5494"/>
    <w:rsid w:val="004A6220"/>
    <w:rsid w:val="004A7370"/>
    <w:rsid w:val="004B0F2A"/>
    <w:rsid w:val="004B1F9E"/>
    <w:rsid w:val="004B36CC"/>
    <w:rsid w:val="004B41EA"/>
    <w:rsid w:val="004B565D"/>
    <w:rsid w:val="004B73F4"/>
    <w:rsid w:val="004B7961"/>
    <w:rsid w:val="004C0032"/>
    <w:rsid w:val="004C02F1"/>
    <w:rsid w:val="004C1628"/>
    <w:rsid w:val="004C28CF"/>
    <w:rsid w:val="004C3156"/>
    <w:rsid w:val="004C569A"/>
    <w:rsid w:val="004C5E9B"/>
    <w:rsid w:val="004D05F9"/>
    <w:rsid w:val="004D277C"/>
    <w:rsid w:val="004D4183"/>
    <w:rsid w:val="004D6639"/>
    <w:rsid w:val="004D66EA"/>
    <w:rsid w:val="004D6795"/>
    <w:rsid w:val="004D6D90"/>
    <w:rsid w:val="004E0EEC"/>
    <w:rsid w:val="004E42E2"/>
    <w:rsid w:val="004E4804"/>
    <w:rsid w:val="004E4A56"/>
    <w:rsid w:val="004E4F61"/>
    <w:rsid w:val="004E51BD"/>
    <w:rsid w:val="004E708B"/>
    <w:rsid w:val="004E7573"/>
    <w:rsid w:val="004F0512"/>
    <w:rsid w:val="004F0FEA"/>
    <w:rsid w:val="004F138E"/>
    <w:rsid w:val="004F20B7"/>
    <w:rsid w:val="004F5891"/>
    <w:rsid w:val="004F5A06"/>
    <w:rsid w:val="004F5C3F"/>
    <w:rsid w:val="004F5D74"/>
    <w:rsid w:val="004F6937"/>
    <w:rsid w:val="004F746F"/>
    <w:rsid w:val="004F74BA"/>
    <w:rsid w:val="00501AD2"/>
    <w:rsid w:val="0050402F"/>
    <w:rsid w:val="0050420A"/>
    <w:rsid w:val="005045ED"/>
    <w:rsid w:val="0050483E"/>
    <w:rsid w:val="0050510B"/>
    <w:rsid w:val="00505C38"/>
    <w:rsid w:val="00505CA9"/>
    <w:rsid w:val="00505FCB"/>
    <w:rsid w:val="0050628F"/>
    <w:rsid w:val="00507232"/>
    <w:rsid w:val="00510217"/>
    <w:rsid w:val="005115BA"/>
    <w:rsid w:val="00511F48"/>
    <w:rsid w:val="005123F3"/>
    <w:rsid w:val="0051255F"/>
    <w:rsid w:val="005129FB"/>
    <w:rsid w:val="005131B5"/>
    <w:rsid w:val="00513D34"/>
    <w:rsid w:val="00514594"/>
    <w:rsid w:val="00516B6A"/>
    <w:rsid w:val="00516CA8"/>
    <w:rsid w:val="00517478"/>
    <w:rsid w:val="005216FE"/>
    <w:rsid w:val="00521D80"/>
    <w:rsid w:val="00521EE4"/>
    <w:rsid w:val="005229B0"/>
    <w:rsid w:val="00522E31"/>
    <w:rsid w:val="00523436"/>
    <w:rsid w:val="00523C2C"/>
    <w:rsid w:val="005240EF"/>
    <w:rsid w:val="00525B81"/>
    <w:rsid w:val="00525E67"/>
    <w:rsid w:val="0052752B"/>
    <w:rsid w:val="00530775"/>
    <w:rsid w:val="005316F6"/>
    <w:rsid w:val="005328A0"/>
    <w:rsid w:val="00533257"/>
    <w:rsid w:val="00533642"/>
    <w:rsid w:val="005340FD"/>
    <w:rsid w:val="00535089"/>
    <w:rsid w:val="00535090"/>
    <w:rsid w:val="00536CD4"/>
    <w:rsid w:val="00536F19"/>
    <w:rsid w:val="00537596"/>
    <w:rsid w:val="00537916"/>
    <w:rsid w:val="00537D6E"/>
    <w:rsid w:val="00541A1E"/>
    <w:rsid w:val="00541B01"/>
    <w:rsid w:val="0054529C"/>
    <w:rsid w:val="00546816"/>
    <w:rsid w:val="00547944"/>
    <w:rsid w:val="005500FC"/>
    <w:rsid w:val="005503C9"/>
    <w:rsid w:val="00550D4E"/>
    <w:rsid w:val="00551749"/>
    <w:rsid w:val="00552076"/>
    <w:rsid w:val="00552190"/>
    <w:rsid w:val="00552A53"/>
    <w:rsid w:val="00553F4B"/>
    <w:rsid w:val="0055455C"/>
    <w:rsid w:val="0055491C"/>
    <w:rsid w:val="00560151"/>
    <w:rsid w:val="00560DA4"/>
    <w:rsid w:val="00560E00"/>
    <w:rsid w:val="00564C95"/>
    <w:rsid w:val="00565729"/>
    <w:rsid w:val="005660FF"/>
    <w:rsid w:val="00566188"/>
    <w:rsid w:val="00570E74"/>
    <w:rsid w:val="0057130C"/>
    <w:rsid w:val="00572753"/>
    <w:rsid w:val="00572779"/>
    <w:rsid w:val="00572CA9"/>
    <w:rsid w:val="005730AC"/>
    <w:rsid w:val="00573FCC"/>
    <w:rsid w:val="00574172"/>
    <w:rsid w:val="00574C1A"/>
    <w:rsid w:val="00576A3F"/>
    <w:rsid w:val="00576F31"/>
    <w:rsid w:val="0057756C"/>
    <w:rsid w:val="0058052E"/>
    <w:rsid w:val="00580BB6"/>
    <w:rsid w:val="00581943"/>
    <w:rsid w:val="00582C93"/>
    <w:rsid w:val="00583E7D"/>
    <w:rsid w:val="005849EF"/>
    <w:rsid w:val="00585492"/>
    <w:rsid w:val="00586359"/>
    <w:rsid w:val="00587F78"/>
    <w:rsid w:val="005907C2"/>
    <w:rsid w:val="00591F10"/>
    <w:rsid w:val="00593DFD"/>
    <w:rsid w:val="00594492"/>
    <w:rsid w:val="00595033"/>
    <w:rsid w:val="0059516E"/>
    <w:rsid w:val="00595982"/>
    <w:rsid w:val="00595CD0"/>
    <w:rsid w:val="00596AB4"/>
    <w:rsid w:val="005A0608"/>
    <w:rsid w:val="005A09E3"/>
    <w:rsid w:val="005A0B2F"/>
    <w:rsid w:val="005A1289"/>
    <w:rsid w:val="005A1935"/>
    <w:rsid w:val="005A26C7"/>
    <w:rsid w:val="005A33DB"/>
    <w:rsid w:val="005A38E0"/>
    <w:rsid w:val="005A4371"/>
    <w:rsid w:val="005A438C"/>
    <w:rsid w:val="005A6076"/>
    <w:rsid w:val="005A6AD3"/>
    <w:rsid w:val="005B0BA9"/>
    <w:rsid w:val="005B17D5"/>
    <w:rsid w:val="005B26A0"/>
    <w:rsid w:val="005B2A91"/>
    <w:rsid w:val="005B3F31"/>
    <w:rsid w:val="005B3FCA"/>
    <w:rsid w:val="005B5C15"/>
    <w:rsid w:val="005B5CD3"/>
    <w:rsid w:val="005C0F9F"/>
    <w:rsid w:val="005C17BD"/>
    <w:rsid w:val="005C1A0D"/>
    <w:rsid w:val="005C1BA0"/>
    <w:rsid w:val="005C1E00"/>
    <w:rsid w:val="005C2B6D"/>
    <w:rsid w:val="005C3689"/>
    <w:rsid w:val="005C42E3"/>
    <w:rsid w:val="005C4777"/>
    <w:rsid w:val="005C50F3"/>
    <w:rsid w:val="005C6674"/>
    <w:rsid w:val="005C711A"/>
    <w:rsid w:val="005C7E94"/>
    <w:rsid w:val="005D0988"/>
    <w:rsid w:val="005D1675"/>
    <w:rsid w:val="005D1775"/>
    <w:rsid w:val="005D1B84"/>
    <w:rsid w:val="005D1C02"/>
    <w:rsid w:val="005D2321"/>
    <w:rsid w:val="005D296A"/>
    <w:rsid w:val="005D43B6"/>
    <w:rsid w:val="005D774F"/>
    <w:rsid w:val="005D7BA3"/>
    <w:rsid w:val="005E17F1"/>
    <w:rsid w:val="005E1CA7"/>
    <w:rsid w:val="005E289D"/>
    <w:rsid w:val="005E4063"/>
    <w:rsid w:val="005E4FA8"/>
    <w:rsid w:val="005E5434"/>
    <w:rsid w:val="005E5515"/>
    <w:rsid w:val="005E6D39"/>
    <w:rsid w:val="005F04AD"/>
    <w:rsid w:val="005F04F0"/>
    <w:rsid w:val="005F1014"/>
    <w:rsid w:val="005F3290"/>
    <w:rsid w:val="005F352C"/>
    <w:rsid w:val="005F3E1B"/>
    <w:rsid w:val="005F45D8"/>
    <w:rsid w:val="005F4CE4"/>
    <w:rsid w:val="005F4FBF"/>
    <w:rsid w:val="005F574B"/>
    <w:rsid w:val="005F7263"/>
    <w:rsid w:val="005F75F1"/>
    <w:rsid w:val="006014AF"/>
    <w:rsid w:val="00601E6E"/>
    <w:rsid w:val="00601F5D"/>
    <w:rsid w:val="00602754"/>
    <w:rsid w:val="00603778"/>
    <w:rsid w:val="0060492B"/>
    <w:rsid w:val="006050D3"/>
    <w:rsid w:val="006062E9"/>
    <w:rsid w:val="00606E8D"/>
    <w:rsid w:val="00606FD9"/>
    <w:rsid w:val="00607BE8"/>
    <w:rsid w:val="006105EE"/>
    <w:rsid w:val="0061081F"/>
    <w:rsid w:val="006109D5"/>
    <w:rsid w:val="0061167C"/>
    <w:rsid w:val="006117E4"/>
    <w:rsid w:val="00611BF1"/>
    <w:rsid w:val="00612247"/>
    <w:rsid w:val="00612445"/>
    <w:rsid w:val="00613D41"/>
    <w:rsid w:val="006142F4"/>
    <w:rsid w:val="006152F7"/>
    <w:rsid w:val="00615E5D"/>
    <w:rsid w:val="00615ED2"/>
    <w:rsid w:val="00616D72"/>
    <w:rsid w:val="00620A4F"/>
    <w:rsid w:val="00620DF6"/>
    <w:rsid w:val="006212B3"/>
    <w:rsid w:val="00622E5A"/>
    <w:rsid w:val="0062309B"/>
    <w:rsid w:val="006241C3"/>
    <w:rsid w:val="00626AFA"/>
    <w:rsid w:val="00626DF9"/>
    <w:rsid w:val="006270CA"/>
    <w:rsid w:val="00627791"/>
    <w:rsid w:val="00630D5C"/>
    <w:rsid w:val="006330D9"/>
    <w:rsid w:val="00633565"/>
    <w:rsid w:val="00633B28"/>
    <w:rsid w:val="006353EE"/>
    <w:rsid w:val="00635B4C"/>
    <w:rsid w:val="00635CA4"/>
    <w:rsid w:val="00637B14"/>
    <w:rsid w:val="00640423"/>
    <w:rsid w:val="0064116F"/>
    <w:rsid w:val="00642EE4"/>
    <w:rsid w:val="00644CB6"/>
    <w:rsid w:val="00645305"/>
    <w:rsid w:val="0064578E"/>
    <w:rsid w:val="00647414"/>
    <w:rsid w:val="0064775D"/>
    <w:rsid w:val="00647985"/>
    <w:rsid w:val="006503E6"/>
    <w:rsid w:val="006519FB"/>
    <w:rsid w:val="00651B63"/>
    <w:rsid w:val="00651D09"/>
    <w:rsid w:val="006520FE"/>
    <w:rsid w:val="00653832"/>
    <w:rsid w:val="00653A18"/>
    <w:rsid w:val="00655703"/>
    <w:rsid w:val="00656ED8"/>
    <w:rsid w:val="00660307"/>
    <w:rsid w:val="00661D44"/>
    <w:rsid w:val="00662C50"/>
    <w:rsid w:val="00662FE0"/>
    <w:rsid w:val="006637DE"/>
    <w:rsid w:val="00663D40"/>
    <w:rsid w:val="0066571C"/>
    <w:rsid w:val="00666121"/>
    <w:rsid w:val="0066649A"/>
    <w:rsid w:val="0066662A"/>
    <w:rsid w:val="00670917"/>
    <w:rsid w:val="00672258"/>
    <w:rsid w:val="00675CC0"/>
    <w:rsid w:val="00675D17"/>
    <w:rsid w:val="006777D5"/>
    <w:rsid w:val="00677BAF"/>
    <w:rsid w:val="0068025C"/>
    <w:rsid w:val="006808D0"/>
    <w:rsid w:val="00682782"/>
    <w:rsid w:val="00682E63"/>
    <w:rsid w:val="00687152"/>
    <w:rsid w:val="006872EA"/>
    <w:rsid w:val="00687E75"/>
    <w:rsid w:val="0069213A"/>
    <w:rsid w:val="006925B8"/>
    <w:rsid w:val="006925C5"/>
    <w:rsid w:val="006926F1"/>
    <w:rsid w:val="00692B89"/>
    <w:rsid w:val="00693BDC"/>
    <w:rsid w:val="00694138"/>
    <w:rsid w:val="00694178"/>
    <w:rsid w:val="00695C8B"/>
    <w:rsid w:val="006976CB"/>
    <w:rsid w:val="00697CF5"/>
    <w:rsid w:val="006A1FBB"/>
    <w:rsid w:val="006A3A87"/>
    <w:rsid w:val="006A4189"/>
    <w:rsid w:val="006A4919"/>
    <w:rsid w:val="006A4B13"/>
    <w:rsid w:val="006A5323"/>
    <w:rsid w:val="006A53A8"/>
    <w:rsid w:val="006A6FC2"/>
    <w:rsid w:val="006A75E7"/>
    <w:rsid w:val="006B0766"/>
    <w:rsid w:val="006B08BF"/>
    <w:rsid w:val="006B0A57"/>
    <w:rsid w:val="006B0EF5"/>
    <w:rsid w:val="006B10E1"/>
    <w:rsid w:val="006B14AF"/>
    <w:rsid w:val="006B18C0"/>
    <w:rsid w:val="006B19E4"/>
    <w:rsid w:val="006B278C"/>
    <w:rsid w:val="006B588B"/>
    <w:rsid w:val="006B6277"/>
    <w:rsid w:val="006B67BC"/>
    <w:rsid w:val="006B6906"/>
    <w:rsid w:val="006B7FB8"/>
    <w:rsid w:val="006C0AA2"/>
    <w:rsid w:val="006C0B7C"/>
    <w:rsid w:val="006C100B"/>
    <w:rsid w:val="006C1AA5"/>
    <w:rsid w:val="006C1B22"/>
    <w:rsid w:val="006C350C"/>
    <w:rsid w:val="006C453B"/>
    <w:rsid w:val="006C5CDA"/>
    <w:rsid w:val="006C5FF0"/>
    <w:rsid w:val="006C61A8"/>
    <w:rsid w:val="006C7CB7"/>
    <w:rsid w:val="006D1139"/>
    <w:rsid w:val="006D1290"/>
    <w:rsid w:val="006D12D6"/>
    <w:rsid w:val="006D1961"/>
    <w:rsid w:val="006D1CBE"/>
    <w:rsid w:val="006D21CD"/>
    <w:rsid w:val="006D2371"/>
    <w:rsid w:val="006D3393"/>
    <w:rsid w:val="006D5613"/>
    <w:rsid w:val="006D5B2E"/>
    <w:rsid w:val="006D5D42"/>
    <w:rsid w:val="006D79F2"/>
    <w:rsid w:val="006E0AD3"/>
    <w:rsid w:val="006E0F3B"/>
    <w:rsid w:val="006E19AF"/>
    <w:rsid w:val="006E2D4F"/>
    <w:rsid w:val="006E3381"/>
    <w:rsid w:val="006E4D7F"/>
    <w:rsid w:val="006E50C6"/>
    <w:rsid w:val="006E52F0"/>
    <w:rsid w:val="006E6288"/>
    <w:rsid w:val="006E6F14"/>
    <w:rsid w:val="006E7BD3"/>
    <w:rsid w:val="006F0778"/>
    <w:rsid w:val="006F08C4"/>
    <w:rsid w:val="006F3984"/>
    <w:rsid w:val="006F4257"/>
    <w:rsid w:val="006F7A5C"/>
    <w:rsid w:val="00701E73"/>
    <w:rsid w:val="00703859"/>
    <w:rsid w:val="00703F8F"/>
    <w:rsid w:val="00704300"/>
    <w:rsid w:val="00706579"/>
    <w:rsid w:val="007069BF"/>
    <w:rsid w:val="0070722A"/>
    <w:rsid w:val="00712A43"/>
    <w:rsid w:val="00712A56"/>
    <w:rsid w:val="0071324E"/>
    <w:rsid w:val="0071377D"/>
    <w:rsid w:val="00713C72"/>
    <w:rsid w:val="0071582D"/>
    <w:rsid w:val="007159FD"/>
    <w:rsid w:val="00715EDF"/>
    <w:rsid w:val="00716198"/>
    <w:rsid w:val="007166C3"/>
    <w:rsid w:val="00717C0A"/>
    <w:rsid w:val="00720211"/>
    <w:rsid w:val="0072088F"/>
    <w:rsid w:val="0072106F"/>
    <w:rsid w:val="00721694"/>
    <w:rsid w:val="00722165"/>
    <w:rsid w:val="00723B18"/>
    <w:rsid w:val="00723D9B"/>
    <w:rsid w:val="0072588E"/>
    <w:rsid w:val="00725D96"/>
    <w:rsid w:val="00726D12"/>
    <w:rsid w:val="00727452"/>
    <w:rsid w:val="0073106A"/>
    <w:rsid w:val="00731EDB"/>
    <w:rsid w:val="0073383C"/>
    <w:rsid w:val="00734A5A"/>
    <w:rsid w:val="007352E4"/>
    <w:rsid w:val="007361F8"/>
    <w:rsid w:val="00737E41"/>
    <w:rsid w:val="00740381"/>
    <w:rsid w:val="007407AB"/>
    <w:rsid w:val="0074154A"/>
    <w:rsid w:val="007415D2"/>
    <w:rsid w:val="00742781"/>
    <w:rsid w:val="00742D51"/>
    <w:rsid w:val="00742D79"/>
    <w:rsid w:val="007430AC"/>
    <w:rsid w:val="0074377C"/>
    <w:rsid w:val="00743896"/>
    <w:rsid w:val="0074457F"/>
    <w:rsid w:val="00744AC1"/>
    <w:rsid w:val="007463AF"/>
    <w:rsid w:val="0074762E"/>
    <w:rsid w:val="00747BCF"/>
    <w:rsid w:val="00747F27"/>
    <w:rsid w:val="00756522"/>
    <w:rsid w:val="00756534"/>
    <w:rsid w:val="0076029F"/>
    <w:rsid w:val="007609A9"/>
    <w:rsid w:val="0076102E"/>
    <w:rsid w:val="007610D6"/>
    <w:rsid w:val="00761873"/>
    <w:rsid w:val="00761F8B"/>
    <w:rsid w:val="007632B7"/>
    <w:rsid w:val="0076399E"/>
    <w:rsid w:val="00763A5B"/>
    <w:rsid w:val="00763ABB"/>
    <w:rsid w:val="00763BA9"/>
    <w:rsid w:val="0076680C"/>
    <w:rsid w:val="00766822"/>
    <w:rsid w:val="00767BD1"/>
    <w:rsid w:val="00771CBB"/>
    <w:rsid w:val="00771CFF"/>
    <w:rsid w:val="00773358"/>
    <w:rsid w:val="00773DA7"/>
    <w:rsid w:val="007749CA"/>
    <w:rsid w:val="00774E59"/>
    <w:rsid w:val="0077591B"/>
    <w:rsid w:val="007762BE"/>
    <w:rsid w:val="00777C01"/>
    <w:rsid w:val="00777D56"/>
    <w:rsid w:val="00780136"/>
    <w:rsid w:val="00780694"/>
    <w:rsid w:val="00781637"/>
    <w:rsid w:val="00782F8B"/>
    <w:rsid w:val="007834DA"/>
    <w:rsid w:val="00784517"/>
    <w:rsid w:val="00784609"/>
    <w:rsid w:val="00785382"/>
    <w:rsid w:val="00785A85"/>
    <w:rsid w:val="007869E2"/>
    <w:rsid w:val="00787386"/>
    <w:rsid w:val="0078744A"/>
    <w:rsid w:val="00787547"/>
    <w:rsid w:val="0079003B"/>
    <w:rsid w:val="007908DE"/>
    <w:rsid w:val="007946B5"/>
    <w:rsid w:val="00795762"/>
    <w:rsid w:val="00796572"/>
    <w:rsid w:val="007966CE"/>
    <w:rsid w:val="00797127"/>
    <w:rsid w:val="007974EE"/>
    <w:rsid w:val="007A0163"/>
    <w:rsid w:val="007A044F"/>
    <w:rsid w:val="007A0846"/>
    <w:rsid w:val="007A1E39"/>
    <w:rsid w:val="007A2B54"/>
    <w:rsid w:val="007A38EE"/>
    <w:rsid w:val="007A48A6"/>
    <w:rsid w:val="007A530C"/>
    <w:rsid w:val="007A5466"/>
    <w:rsid w:val="007A6DB6"/>
    <w:rsid w:val="007A7499"/>
    <w:rsid w:val="007B1909"/>
    <w:rsid w:val="007B1AC8"/>
    <w:rsid w:val="007B300B"/>
    <w:rsid w:val="007B457C"/>
    <w:rsid w:val="007B50CD"/>
    <w:rsid w:val="007B5395"/>
    <w:rsid w:val="007B550A"/>
    <w:rsid w:val="007B6E88"/>
    <w:rsid w:val="007C0258"/>
    <w:rsid w:val="007C127C"/>
    <w:rsid w:val="007C2091"/>
    <w:rsid w:val="007C233E"/>
    <w:rsid w:val="007C3608"/>
    <w:rsid w:val="007C40CD"/>
    <w:rsid w:val="007C4BC4"/>
    <w:rsid w:val="007C6039"/>
    <w:rsid w:val="007C609D"/>
    <w:rsid w:val="007C6A56"/>
    <w:rsid w:val="007C7B3A"/>
    <w:rsid w:val="007C7FF2"/>
    <w:rsid w:val="007D0A6A"/>
    <w:rsid w:val="007D1434"/>
    <w:rsid w:val="007D16CF"/>
    <w:rsid w:val="007D1906"/>
    <w:rsid w:val="007D27C6"/>
    <w:rsid w:val="007D2B19"/>
    <w:rsid w:val="007D2DCC"/>
    <w:rsid w:val="007D47BE"/>
    <w:rsid w:val="007D5C41"/>
    <w:rsid w:val="007D6A6A"/>
    <w:rsid w:val="007D6DB6"/>
    <w:rsid w:val="007E15FF"/>
    <w:rsid w:val="007E3411"/>
    <w:rsid w:val="007E3C15"/>
    <w:rsid w:val="007E4977"/>
    <w:rsid w:val="007E4BBF"/>
    <w:rsid w:val="007E50FE"/>
    <w:rsid w:val="007E516E"/>
    <w:rsid w:val="007E550E"/>
    <w:rsid w:val="007F06C7"/>
    <w:rsid w:val="007F1556"/>
    <w:rsid w:val="007F1A58"/>
    <w:rsid w:val="007F6882"/>
    <w:rsid w:val="007F6D4C"/>
    <w:rsid w:val="007F6E3C"/>
    <w:rsid w:val="007F7451"/>
    <w:rsid w:val="007F7593"/>
    <w:rsid w:val="0080086B"/>
    <w:rsid w:val="008025A8"/>
    <w:rsid w:val="00802C69"/>
    <w:rsid w:val="0080351A"/>
    <w:rsid w:val="00805597"/>
    <w:rsid w:val="008056FD"/>
    <w:rsid w:val="00805834"/>
    <w:rsid w:val="00806202"/>
    <w:rsid w:val="00806949"/>
    <w:rsid w:val="00812DEA"/>
    <w:rsid w:val="00813878"/>
    <w:rsid w:val="00813CFB"/>
    <w:rsid w:val="00813E1F"/>
    <w:rsid w:val="00814622"/>
    <w:rsid w:val="008154C9"/>
    <w:rsid w:val="00815521"/>
    <w:rsid w:val="00815623"/>
    <w:rsid w:val="00816D11"/>
    <w:rsid w:val="008172C4"/>
    <w:rsid w:val="008175C8"/>
    <w:rsid w:val="00817C2C"/>
    <w:rsid w:val="008207D6"/>
    <w:rsid w:val="0082147F"/>
    <w:rsid w:val="00821644"/>
    <w:rsid w:val="0082168B"/>
    <w:rsid w:val="00822409"/>
    <w:rsid w:val="00823028"/>
    <w:rsid w:val="00823D91"/>
    <w:rsid w:val="0082502F"/>
    <w:rsid w:val="00826098"/>
    <w:rsid w:val="00827A66"/>
    <w:rsid w:val="00827B26"/>
    <w:rsid w:val="00827DC5"/>
    <w:rsid w:val="008302B2"/>
    <w:rsid w:val="008304F7"/>
    <w:rsid w:val="00831C3B"/>
    <w:rsid w:val="00832E41"/>
    <w:rsid w:val="00833731"/>
    <w:rsid w:val="008339E5"/>
    <w:rsid w:val="008340BD"/>
    <w:rsid w:val="00834D15"/>
    <w:rsid w:val="008363F3"/>
    <w:rsid w:val="00837408"/>
    <w:rsid w:val="00841784"/>
    <w:rsid w:val="008417A4"/>
    <w:rsid w:val="00841B7B"/>
    <w:rsid w:val="00841DC4"/>
    <w:rsid w:val="00844AA4"/>
    <w:rsid w:val="00844C34"/>
    <w:rsid w:val="00845293"/>
    <w:rsid w:val="008460B5"/>
    <w:rsid w:val="008478CD"/>
    <w:rsid w:val="008502D5"/>
    <w:rsid w:val="00850A29"/>
    <w:rsid w:val="00851C87"/>
    <w:rsid w:val="008548E5"/>
    <w:rsid w:val="008561A7"/>
    <w:rsid w:val="008567FC"/>
    <w:rsid w:val="00856930"/>
    <w:rsid w:val="00856A3B"/>
    <w:rsid w:val="00857B47"/>
    <w:rsid w:val="00857C4D"/>
    <w:rsid w:val="008600D0"/>
    <w:rsid w:val="00860A21"/>
    <w:rsid w:val="00860A31"/>
    <w:rsid w:val="00863A2A"/>
    <w:rsid w:val="00864239"/>
    <w:rsid w:val="00865B41"/>
    <w:rsid w:val="0086636D"/>
    <w:rsid w:val="00866A4F"/>
    <w:rsid w:val="00866DD8"/>
    <w:rsid w:val="0086737B"/>
    <w:rsid w:val="00867B12"/>
    <w:rsid w:val="00870BD6"/>
    <w:rsid w:val="008720D4"/>
    <w:rsid w:val="0087387E"/>
    <w:rsid w:val="00874A99"/>
    <w:rsid w:val="008752F6"/>
    <w:rsid w:val="008758E6"/>
    <w:rsid w:val="00875EDB"/>
    <w:rsid w:val="00876C2C"/>
    <w:rsid w:val="00877E05"/>
    <w:rsid w:val="00877E75"/>
    <w:rsid w:val="00881A39"/>
    <w:rsid w:val="00882303"/>
    <w:rsid w:val="00884D94"/>
    <w:rsid w:val="0088697C"/>
    <w:rsid w:val="00886B7A"/>
    <w:rsid w:val="00886C82"/>
    <w:rsid w:val="00890E39"/>
    <w:rsid w:val="008922F7"/>
    <w:rsid w:val="008927ED"/>
    <w:rsid w:val="0089346F"/>
    <w:rsid w:val="00893FA0"/>
    <w:rsid w:val="0089691D"/>
    <w:rsid w:val="00896AD0"/>
    <w:rsid w:val="008A0867"/>
    <w:rsid w:val="008A11C5"/>
    <w:rsid w:val="008A1604"/>
    <w:rsid w:val="008A2643"/>
    <w:rsid w:val="008A2D83"/>
    <w:rsid w:val="008A3184"/>
    <w:rsid w:val="008A3383"/>
    <w:rsid w:val="008A5F8B"/>
    <w:rsid w:val="008A64E3"/>
    <w:rsid w:val="008A6CCD"/>
    <w:rsid w:val="008A7CB2"/>
    <w:rsid w:val="008B03CB"/>
    <w:rsid w:val="008B0AFC"/>
    <w:rsid w:val="008B165E"/>
    <w:rsid w:val="008B1C98"/>
    <w:rsid w:val="008B1CD0"/>
    <w:rsid w:val="008B1E45"/>
    <w:rsid w:val="008B3F03"/>
    <w:rsid w:val="008B614E"/>
    <w:rsid w:val="008B63A4"/>
    <w:rsid w:val="008B6A47"/>
    <w:rsid w:val="008B6A5D"/>
    <w:rsid w:val="008B79EA"/>
    <w:rsid w:val="008B7FFD"/>
    <w:rsid w:val="008C2532"/>
    <w:rsid w:val="008C2564"/>
    <w:rsid w:val="008C2ED5"/>
    <w:rsid w:val="008C3726"/>
    <w:rsid w:val="008C4029"/>
    <w:rsid w:val="008C4121"/>
    <w:rsid w:val="008C559E"/>
    <w:rsid w:val="008C70AC"/>
    <w:rsid w:val="008C7A96"/>
    <w:rsid w:val="008C7CFB"/>
    <w:rsid w:val="008D127B"/>
    <w:rsid w:val="008D13F0"/>
    <w:rsid w:val="008D1528"/>
    <w:rsid w:val="008D1BB5"/>
    <w:rsid w:val="008D1D55"/>
    <w:rsid w:val="008D31E6"/>
    <w:rsid w:val="008D3B13"/>
    <w:rsid w:val="008D4171"/>
    <w:rsid w:val="008D4510"/>
    <w:rsid w:val="008D5EC5"/>
    <w:rsid w:val="008D6945"/>
    <w:rsid w:val="008D6E05"/>
    <w:rsid w:val="008E029C"/>
    <w:rsid w:val="008E0715"/>
    <w:rsid w:val="008E0B3B"/>
    <w:rsid w:val="008E2A59"/>
    <w:rsid w:val="008E389F"/>
    <w:rsid w:val="008E3BE3"/>
    <w:rsid w:val="008E4730"/>
    <w:rsid w:val="008E4E8A"/>
    <w:rsid w:val="008E66F0"/>
    <w:rsid w:val="008E6FC2"/>
    <w:rsid w:val="008E730D"/>
    <w:rsid w:val="008F0133"/>
    <w:rsid w:val="008F05AD"/>
    <w:rsid w:val="008F108F"/>
    <w:rsid w:val="008F266B"/>
    <w:rsid w:val="008F473E"/>
    <w:rsid w:val="008F4DE6"/>
    <w:rsid w:val="008F5951"/>
    <w:rsid w:val="008F64C8"/>
    <w:rsid w:val="008F6C0C"/>
    <w:rsid w:val="00901341"/>
    <w:rsid w:val="009015A5"/>
    <w:rsid w:val="00901BD5"/>
    <w:rsid w:val="00901D26"/>
    <w:rsid w:val="00901D97"/>
    <w:rsid w:val="00901EC2"/>
    <w:rsid w:val="00902F36"/>
    <w:rsid w:val="00903379"/>
    <w:rsid w:val="0090364C"/>
    <w:rsid w:val="00903F95"/>
    <w:rsid w:val="00905E71"/>
    <w:rsid w:val="00907E6C"/>
    <w:rsid w:val="00911379"/>
    <w:rsid w:val="009115B1"/>
    <w:rsid w:val="00911DD3"/>
    <w:rsid w:val="00912C80"/>
    <w:rsid w:val="00913AA3"/>
    <w:rsid w:val="00914711"/>
    <w:rsid w:val="00914C6E"/>
    <w:rsid w:val="00915370"/>
    <w:rsid w:val="00916812"/>
    <w:rsid w:val="0091775A"/>
    <w:rsid w:val="00921869"/>
    <w:rsid w:val="00921D99"/>
    <w:rsid w:val="00922D31"/>
    <w:rsid w:val="00922E23"/>
    <w:rsid w:val="009242B2"/>
    <w:rsid w:val="0092473E"/>
    <w:rsid w:val="00924AA1"/>
    <w:rsid w:val="00925B5B"/>
    <w:rsid w:val="009268D0"/>
    <w:rsid w:val="009272A8"/>
    <w:rsid w:val="00927CF2"/>
    <w:rsid w:val="00932848"/>
    <w:rsid w:val="00932CC5"/>
    <w:rsid w:val="00932E0B"/>
    <w:rsid w:val="00933287"/>
    <w:rsid w:val="00933558"/>
    <w:rsid w:val="00933B06"/>
    <w:rsid w:val="00934D00"/>
    <w:rsid w:val="009353D0"/>
    <w:rsid w:val="00935A93"/>
    <w:rsid w:val="009408A7"/>
    <w:rsid w:val="00941908"/>
    <w:rsid w:val="00941FCF"/>
    <w:rsid w:val="009433E3"/>
    <w:rsid w:val="0094512D"/>
    <w:rsid w:val="009471DE"/>
    <w:rsid w:val="00947BD7"/>
    <w:rsid w:val="00950763"/>
    <w:rsid w:val="00951657"/>
    <w:rsid w:val="00953C34"/>
    <w:rsid w:val="00954746"/>
    <w:rsid w:val="009564C9"/>
    <w:rsid w:val="009572E4"/>
    <w:rsid w:val="009610F1"/>
    <w:rsid w:val="00961282"/>
    <w:rsid w:val="0096304D"/>
    <w:rsid w:val="009644BE"/>
    <w:rsid w:val="00965078"/>
    <w:rsid w:val="0096590A"/>
    <w:rsid w:val="00966558"/>
    <w:rsid w:val="009668C3"/>
    <w:rsid w:val="009670F6"/>
    <w:rsid w:val="009700E2"/>
    <w:rsid w:val="00970609"/>
    <w:rsid w:val="00970A5E"/>
    <w:rsid w:val="00970F8B"/>
    <w:rsid w:val="009729AC"/>
    <w:rsid w:val="00972C4C"/>
    <w:rsid w:val="00972CE7"/>
    <w:rsid w:val="00972FBC"/>
    <w:rsid w:val="00973C8B"/>
    <w:rsid w:val="00974EB2"/>
    <w:rsid w:val="009760F4"/>
    <w:rsid w:val="00976CD2"/>
    <w:rsid w:val="00977DF2"/>
    <w:rsid w:val="00980D15"/>
    <w:rsid w:val="009810BC"/>
    <w:rsid w:val="0098159F"/>
    <w:rsid w:val="00981615"/>
    <w:rsid w:val="0098171B"/>
    <w:rsid w:val="00981A23"/>
    <w:rsid w:val="00984501"/>
    <w:rsid w:val="00984AB0"/>
    <w:rsid w:val="009865DF"/>
    <w:rsid w:val="00986EB0"/>
    <w:rsid w:val="00987902"/>
    <w:rsid w:val="00992B8D"/>
    <w:rsid w:val="0099314E"/>
    <w:rsid w:val="00993BE0"/>
    <w:rsid w:val="00994FE3"/>
    <w:rsid w:val="00995445"/>
    <w:rsid w:val="009A0060"/>
    <w:rsid w:val="009A07BE"/>
    <w:rsid w:val="009A09A7"/>
    <w:rsid w:val="009A4177"/>
    <w:rsid w:val="009A552B"/>
    <w:rsid w:val="009A6A0F"/>
    <w:rsid w:val="009B2264"/>
    <w:rsid w:val="009B2630"/>
    <w:rsid w:val="009B2FB4"/>
    <w:rsid w:val="009B416F"/>
    <w:rsid w:val="009B5571"/>
    <w:rsid w:val="009B59E7"/>
    <w:rsid w:val="009B65DD"/>
    <w:rsid w:val="009B6E81"/>
    <w:rsid w:val="009B7B0E"/>
    <w:rsid w:val="009C1E9B"/>
    <w:rsid w:val="009C5E72"/>
    <w:rsid w:val="009C6105"/>
    <w:rsid w:val="009C6CEF"/>
    <w:rsid w:val="009C7A15"/>
    <w:rsid w:val="009D1126"/>
    <w:rsid w:val="009D138F"/>
    <w:rsid w:val="009D17D9"/>
    <w:rsid w:val="009D185B"/>
    <w:rsid w:val="009D1C65"/>
    <w:rsid w:val="009D1D97"/>
    <w:rsid w:val="009D2390"/>
    <w:rsid w:val="009D316B"/>
    <w:rsid w:val="009D53A4"/>
    <w:rsid w:val="009D640E"/>
    <w:rsid w:val="009D681A"/>
    <w:rsid w:val="009D6FC1"/>
    <w:rsid w:val="009E00BF"/>
    <w:rsid w:val="009E122B"/>
    <w:rsid w:val="009E2623"/>
    <w:rsid w:val="009E26A7"/>
    <w:rsid w:val="009E4FE1"/>
    <w:rsid w:val="009E5721"/>
    <w:rsid w:val="009E6209"/>
    <w:rsid w:val="009E767A"/>
    <w:rsid w:val="009F0395"/>
    <w:rsid w:val="009F1F5F"/>
    <w:rsid w:val="009F2CBD"/>
    <w:rsid w:val="009F3299"/>
    <w:rsid w:val="009F4796"/>
    <w:rsid w:val="009F47DE"/>
    <w:rsid w:val="009F4894"/>
    <w:rsid w:val="009F60CC"/>
    <w:rsid w:val="009F67BA"/>
    <w:rsid w:val="009F6CAA"/>
    <w:rsid w:val="009F6F90"/>
    <w:rsid w:val="009F7D7B"/>
    <w:rsid w:val="00A002EB"/>
    <w:rsid w:val="00A01B71"/>
    <w:rsid w:val="00A0244B"/>
    <w:rsid w:val="00A030FC"/>
    <w:rsid w:val="00A051E8"/>
    <w:rsid w:val="00A07566"/>
    <w:rsid w:val="00A07777"/>
    <w:rsid w:val="00A103A7"/>
    <w:rsid w:val="00A106DD"/>
    <w:rsid w:val="00A10E0C"/>
    <w:rsid w:val="00A13CDB"/>
    <w:rsid w:val="00A13DF3"/>
    <w:rsid w:val="00A14C50"/>
    <w:rsid w:val="00A17949"/>
    <w:rsid w:val="00A20954"/>
    <w:rsid w:val="00A20DA3"/>
    <w:rsid w:val="00A21BF0"/>
    <w:rsid w:val="00A22247"/>
    <w:rsid w:val="00A22B45"/>
    <w:rsid w:val="00A233DB"/>
    <w:rsid w:val="00A236C3"/>
    <w:rsid w:val="00A23C4F"/>
    <w:rsid w:val="00A24360"/>
    <w:rsid w:val="00A2437F"/>
    <w:rsid w:val="00A25F92"/>
    <w:rsid w:val="00A26543"/>
    <w:rsid w:val="00A26E45"/>
    <w:rsid w:val="00A272DB"/>
    <w:rsid w:val="00A301EC"/>
    <w:rsid w:val="00A31712"/>
    <w:rsid w:val="00A3267E"/>
    <w:rsid w:val="00A348E4"/>
    <w:rsid w:val="00A3506A"/>
    <w:rsid w:val="00A36051"/>
    <w:rsid w:val="00A36949"/>
    <w:rsid w:val="00A37608"/>
    <w:rsid w:val="00A40D7A"/>
    <w:rsid w:val="00A414FB"/>
    <w:rsid w:val="00A430FE"/>
    <w:rsid w:val="00A46A06"/>
    <w:rsid w:val="00A47077"/>
    <w:rsid w:val="00A5021E"/>
    <w:rsid w:val="00A509AB"/>
    <w:rsid w:val="00A51093"/>
    <w:rsid w:val="00A513DF"/>
    <w:rsid w:val="00A52203"/>
    <w:rsid w:val="00A52A2E"/>
    <w:rsid w:val="00A55269"/>
    <w:rsid w:val="00A55766"/>
    <w:rsid w:val="00A558A6"/>
    <w:rsid w:val="00A565CB"/>
    <w:rsid w:val="00A57A30"/>
    <w:rsid w:val="00A60156"/>
    <w:rsid w:val="00A60AE8"/>
    <w:rsid w:val="00A60D99"/>
    <w:rsid w:val="00A613E5"/>
    <w:rsid w:val="00A62E23"/>
    <w:rsid w:val="00A63777"/>
    <w:rsid w:val="00A63FF7"/>
    <w:rsid w:val="00A71B66"/>
    <w:rsid w:val="00A72600"/>
    <w:rsid w:val="00A72870"/>
    <w:rsid w:val="00A73427"/>
    <w:rsid w:val="00A73A5A"/>
    <w:rsid w:val="00A75653"/>
    <w:rsid w:val="00A77EB4"/>
    <w:rsid w:val="00A80769"/>
    <w:rsid w:val="00A809B4"/>
    <w:rsid w:val="00A81535"/>
    <w:rsid w:val="00A827DD"/>
    <w:rsid w:val="00A831E0"/>
    <w:rsid w:val="00A842CF"/>
    <w:rsid w:val="00A86764"/>
    <w:rsid w:val="00A87E7B"/>
    <w:rsid w:val="00A90104"/>
    <w:rsid w:val="00A9060C"/>
    <w:rsid w:val="00A91280"/>
    <w:rsid w:val="00A91488"/>
    <w:rsid w:val="00A91F1C"/>
    <w:rsid w:val="00A91FF2"/>
    <w:rsid w:val="00A927CF"/>
    <w:rsid w:val="00A935D7"/>
    <w:rsid w:val="00A9365A"/>
    <w:rsid w:val="00A95402"/>
    <w:rsid w:val="00A9576C"/>
    <w:rsid w:val="00A97102"/>
    <w:rsid w:val="00A97638"/>
    <w:rsid w:val="00A97791"/>
    <w:rsid w:val="00A978AA"/>
    <w:rsid w:val="00AA0757"/>
    <w:rsid w:val="00AA1640"/>
    <w:rsid w:val="00AA396E"/>
    <w:rsid w:val="00AA4541"/>
    <w:rsid w:val="00AA4B01"/>
    <w:rsid w:val="00AA4D5D"/>
    <w:rsid w:val="00AA6C56"/>
    <w:rsid w:val="00AA6C58"/>
    <w:rsid w:val="00AA7988"/>
    <w:rsid w:val="00AB05C7"/>
    <w:rsid w:val="00AB12C3"/>
    <w:rsid w:val="00AB19BB"/>
    <w:rsid w:val="00AB3729"/>
    <w:rsid w:val="00AB3763"/>
    <w:rsid w:val="00AB5273"/>
    <w:rsid w:val="00AB54FB"/>
    <w:rsid w:val="00AB5CE9"/>
    <w:rsid w:val="00AB72F1"/>
    <w:rsid w:val="00AB7B37"/>
    <w:rsid w:val="00AC0AD1"/>
    <w:rsid w:val="00AC1936"/>
    <w:rsid w:val="00AC2D51"/>
    <w:rsid w:val="00AC2DF5"/>
    <w:rsid w:val="00AC3857"/>
    <w:rsid w:val="00AC4140"/>
    <w:rsid w:val="00AC4FEE"/>
    <w:rsid w:val="00AC5403"/>
    <w:rsid w:val="00AC5E79"/>
    <w:rsid w:val="00AD00CC"/>
    <w:rsid w:val="00AD087B"/>
    <w:rsid w:val="00AD2FE1"/>
    <w:rsid w:val="00AD3C59"/>
    <w:rsid w:val="00AD404E"/>
    <w:rsid w:val="00AD5E7F"/>
    <w:rsid w:val="00AD606F"/>
    <w:rsid w:val="00AD6762"/>
    <w:rsid w:val="00AD6A1C"/>
    <w:rsid w:val="00AD7832"/>
    <w:rsid w:val="00AE1E34"/>
    <w:rsid w:val="00AE2CA2"/>
    <w:rsid w:val="00AE2E09"/>
    <w:rsid w:val="00AE41C1"/>
    <w:rsid w:val="00AE44A9"/>
    <w:rsid w:val="00AE54D2"/>
    <w:rsid w:val="00AE57BD"/>
    <w:rsid w:val="00AE649D"/>
    <w:rsid w:val="00AE7293"/>
    <w:rsid w:val="00AE7FA8"/>
    <w:rsid w:val="00AF1B89"/>
    <w:rsid w:val="00AF1DA7"/>
    <w:rsid w:val="00AF21C7"/>
    <w:rsid w:val="00AF4726"/>
    <w:rsid w:val="00AF5753"/>
    <w:rsid w:val="00AF5C1B"/>
    <w:rsid w:val="00AF69C4"/>
    <w:rsid w:val="00AF6BBB"/>
    <w:rsid w:val="00AF7697"/>
    <w:rsid w:val="00AF78C1"/>
    <w:rsid w:val="00B007F8"/>
    <w:rsid w:val="00B00D81"/>
    <w:rsid w:val="00B00FFA"/>
    <w:rsid w:val="00B01311"/>
    <w:rsid w:val="00B03C89"/>
    <w:rsid w:val="00B04D7B"/>
    <w:rsid w:val="00B05516"/>
    <w:rsid w:val="00B0694C"/>
    <w:rsid w:val="00B07328"/>
    <w:rsid w:val="00B07F6E"/>
    <w:rsid w:val="00B11816"/>
    <w:rsid w:val="00B1195F"/>
    <w:rsid w:val="00B11B2C"/>
    <w:rsid w:val="00B12094"/>
    <w:rsid w:val="00B123A3"/>
    <w:rsid w:val="00B12933"/>
    <w:rsid w:val="00B13741"/>
    <w:rsid w:val="00B13974"/>
    <w:rsid w:val="00B14011"/>
    <w:rsid w:val="00B1523A"/>
    <w:rsid w:val="00B15364"/>
    <w:rsid w:val="00B1652C"/>
    <w:rsid w:val="00B168C9"/>
    <w:rsid w:val="00B16D20"/>
    <w:rsid w:val="00B17116"/>
    <w:rsid w:val="00B21ACA"/>
    <w:rsid w:val="00B23045"/>
    <w:rsid w:val="00B2414C"/>
    <w:rsid w:val="00B243F6"/>
    <w:rsid w:val="00B26E39"/>
    <w:rsid w:val="00B26F7E"/>
    <w:rsid w:val="00B276A0"/>
    <w:rsid w:val="00B31363"/>
    <w:rsid w:val="00B34AE3"/>
    <w:rsid w:val="00B34FA8"/>
    <w:rsid w:val="00B35441"/>
    <w:rsid w:val="00B37545"/>
    <w:rsid w:val="00B375B1"/>
    <w:rsid w:val="00B4069F"/>
    <w:rsid w:val="00B409B3"/>
    <w:rsid w:val="00B412E6"/>
    <w:rsid w:val="00B4144D"/>
    <w:rsid w:val="00B41A0E"/>
    <w:rsid w:val="00B429EF"/>
    <w:rsid w:val="00B42FB0"/>
    <w:rsid w:val="00B43FB4"/>
    <w:rsid w:val="00B44600"/>
    <w:rsid w:val="00B47114"/>
    <w:rsid w:val="00B479A1"/>
    <w:rsid w:val="00B511C2"/>
    <w:rsid w:val="00B51F63"/>
    <w:rsid w:val="00B521A1"/>
    <w:rsid w:val="00B52480"/>
    <w:rsid w:val="00B52B56"/>
    <w:rsid w:val="00B53C6C"/>
    <w:rsid w:val="00B54395"/>
    <w:rsid w:val="00B55025"/>
    <w:rsid w:val="00B55261"/>
    <w:rsid w:val="00B5529F"/>
    <w:rsid w:val="00B569A2"/>
    <w:rsid w:val="00B575C7"/>
    <w:rsid w:val="00B57BA5"/>
    <w:rsid w:val="00B613FD"/>
    <w:rsid w:val="00B61A16"/>
    <w:rsid w:val="00B62D76"/>
    <w:rsid w:val="00B63B61"/>
    <w:rsid w:val="00B647CC"/>
    <w:rsid w:val="00B64A58"/>
    <w:rsid w:val="00B65D2D"/>
    <w:rsid w:val="00B661A6"/>
    <w:rsid w:val="00B67562"/>
    <w:rsid w:val="00B710D8"/>
    <w:rsid w:val="00B71EC0"/>
    <w:rsid w:val="00B73904"/>
    <w:rsid w:val="00B73F60"/>
    <w:rsid w:val="00B74E3B"/>
    <w:rsid w:val="00B75354"/>
    <w:rsid w:val="00B77547"/>
    <w:rsid w:val="00B77AF8"/>
    <w:rsid w:val="00B77C72"/>
    <w:rsid w:val="00B8001E"/>
    <w:rsid w:val="00B8107A"/>
    <w:rsid w:val="00B810ED"/>
    <w:rsid w:val="00B81D48"/>
    <w:rsid w:val="00B81D62"/>
    <w:rsid w:val="00B8250A"/>
    <w:rsid w:val="00B8254B"/>
    <w:rsid w:val="00B829AA"/>
    <w:rsid w:val="00B82E24"/>
    <w:rsid w:val="00B82E77"/>
    <w:rsid w:val="00B8394C"/>
    <w:rsid w:val="00B83A75"/>
    <w:rsid w:val="00B83D0C"/>
    <w:rsid w:val="00B84125"/>
    <w:rsid w:val="00B8565F"/>
    <w:rsid w:val="00B86645"/>
    <w:rsid w:val="00B875CC"/>
    <w:rsid w:val="00B87B49"/>
    <w:rsid w:val="00B87E5F"/>
    <w:rsid w:val="00B90D66"/>
    <w:rsid w:val="00B913B1"/>
    <w:rsid w:val="00B91473"/>
    <w:rsid w:val="00B915C9"/>
    <w:rsid w:val="00B9213A"/>
    <w:rsid w:val="00B93A68"/>
    <w:rsid w:val="00B94482"/>
    <w:rsid w:val="00B95920"/>
    <w:rsid w:val="00B965F0"/>
    <w:rsid w:val="00B96BCB"/>
    <w:rsid w:val="00B96C58"/>
    <w:rsid w:val="00B977BA"/>
    <w:rsid w:val="00B97FCE"/>
    <w:rsid w:val="00BA122B"/>
    <w:rsid w:val="00BA30FF"/>
    <w:rsid w:val="00BA3658"/>
    <w:rsid w:val="00BA5ED6"/>
    <w:rsid w:val="00BA69BA"/>
    <w:rsid w:val="00BB0647"/>
    <w:rsid w:val="00BB0FCA"/>
    <w:rsid w:val="00BB1698"/>
    <w:rsid w:val="00BB1A8C"/>
    <w:rsid w:val="00BB2527"/>
    <w:rsid w:val="00BB5271"/>
    <w:rsid w:val="00BB52B1"/>
    <w:rsid w:val="00BB5E9F"/>
    <w:rsid w:val="00BB66D9"/>
    <w:rsid w:val="00BB6B45"/>
    <w:rsid w:val="00BB6B97"/>
    <w:rsid w:val="00BC0035"/>
    <w:rsid w:val="00BC008F"/>
    <w:rsid w:val="00BC070A"/>
    <w:rsid w:val="00BC0E3F"/>
    <w:rsid w:val="00BC19E0"/>
    <w:rsid w:val="00BC39B8"/>
    <w:rsid w:val="00BC39D9"/>
    <w:rsid w:val="00BC6025"/>
    <w:rsid w:val="00BC606F"/>
    <w:rsid w:val="00BC65CB"/>
    <w:rsid w:val="00BC7166"/>
    <w:rsid w:val="00BC77E4"/>
    <w:rsid w:val="00BD0C00"/>
    <w:rsid w:val="00BD2392"/>
    <w:rsid w:val="00BD2C3A"/>
    <w:rsid w:val="00BD328C"/>
    <w:rsid w:val="00BD3B9B"/>
    <w:rsid w:val="00BD4018"/>
    <w:rsid w:val="00BE0329"/>
    <w:rsid w:val="00BE0FF7"/>
    <w:rsid w:val="00BE1882"/>
    <w:rsid w:val="00BE2799"/>
    <w:rsid w:val="00BE3613"/>
    <w:rsid w:val="00BE3B22"/>
    <w:rsid w:val="00BE3E8B"/>
    <w:rsid w:val="00BE4995"/>
    <w:rsid w:val="00BE54B7"/>
    <w:rsid w:val="00BE581E"/>
    <w:rsid w:val="00BE5ECA"/>
    <w:rsid w:val="00BE66C0"/>
    <w:rsid w:val="00BE6EDA"/>
    <w:rsid w:val="00BE6EFE"/>
    <w:rsid w:val="00BE7A33"/>
    <w:rsid w:val="00BF362B"/>
    <w:rsid w:val="00BF3C0B"/>
    <w:rsid w:val="00BF4D45"/>
    <w:rsid w:val="00BF5A2D"/>
    <w:rsid w:val="00BF5F12"/>
    <w:rsid w:val="00C0061E"/>
    <w:rsid w:val="00C01E45"/>
    <w:rsid w:val="00C02174"/>
    <w:rsid w:val="00C02C50"/>
    <w:rsid w:val="00C03E12"/>
    <w:rsid w:val="00C062C2"/>
    <w:rsid w:val="00C062C5"/>
    <w:rsid w:val="00C0665F"/>
    <w:rsid w:val="00C07E96"/>
    <w:rsid w:val="00C07F85"/>
    <w:rsid w:val="00C107C1"/>
    <w:rsid w:val="00C1083D"/>
    <w:rsid w:val="00C10B3B"/>
    <w:rsid w:val="00C11CA1"/>
    <w:rsid w:val="00C120F8"/>
    <w:rsid w:val="00C12190"/>
    <w:rsid w:val="00C14149"/>
    <w:rsid w:val="00C15847"/>
    <w:rsid w:val="00C16ACD"/>
    <w:rsid w:val="00C20160"/>
    <w:rsid w:val="00C204BE"/>
    <w:rsid w:val="00C20697"/>
    <w:rsid w:val="00C2235B"/>
    <w:rsid w:val="00C22479"/>
    <w:rsid w:val="00C30E6C"/>
    <w:rsid w:val="00C31A30"/>
    <w:rsid w:val="00C31D01"/>
    <w:rsid w:val="00C32132"/>
    <w:rsid w:val="00C32851"/>
    <w:rsid w:val="00C33430"/>
    <w:rsid w:val="00C344CC"/>
    <w:rsid w:val="00C35D0B"/>
    <w:rsid w:val="00C35E70"/>
    <w:rsid w:val="00C364AC"/>
    <w:rsid w:val="00C367DA"/>
    <w:rsid w:val="00C36887"/>
    <w:rsid w:val="00C3709A"/>
    <w:rsid w:val="00C3797A"/>
    <w:rsid w:val="00C37E9D"/>
    <w:rsid w:val="00C403D7"/>
    <w:rsid w:val="00C42999"/>
    <w:rsid w:val="00C42E4A"/>
    <w:rsid w:val="00C42F12"/>
    <w:rsid w:val="00C4385D"/>
    <w:rsid w:val="00C452A6"/>
    <w:rsid w:val="00C45921"/>
    <w:rsid w:val="00C45CA8"/>
    <w:rsid w:val="00C46244"/>
    <w:rsid w:val="00C4667C"/>
    <w:rsid w:val="00C470FF"/>
    <w:rsid w:val="00C50396"/>
    <w:rsid w:val="00C503BA"/>
    <w:rsid w:val="00C535FC"/>
    <w:rsid w:val="00C53A6C"/>
    <w:rsid w:val="00C5513A"/>
    <w:rsid w:val="00C552FF"/>
    <w:rsid w:val="00C55C6E"/>
    <w:rsid w:val="00C55D45"/>
    <w:rsid w:val="00C5700D"/>
    <w:rsid w:val="00C573C6"/>
    <w:rsid w:val="00C600BD"/>
    <w:rsid w:val="00C6130A"/>
    <w:rsid w:val="00C61A48"/>
    <w:rsid w:val="00C61D97"/>
    <w:rsid w:val="00C62EA9"/>
    <w:rsid w:val="00C63048"/>
    <w:rsid w:val="00C639C2"/>
    <w:rsid w:val="00C6402F"/>
    <w:rsid w:val="00C64326"/>
    <w:rsid w:val="00C64D57"/>
    <w:rsid w:val="00C650AB"/>
    <w:rsid w:val="00C652F1"/>
    <w:rsid w:val="00C657C5"/>
    <w:rsid w:val="00C67C35"/>
    <w:rsid w:val="00C67CD4"/>
    <w:rsid w:val="00C7036D"/>
    <w:rsid w:val="00C72A33"/>
    <w:rsid w:val="00C72ACC"/>
    <w:rsid w:val="00C74F59"/>
    <w:rsid w:val="00C76247"/>
    <w:rsid w:val="00C76477"/>
    <w:rsid w:val="00C7666A"/>
    <w:rsid w:val="00C76A6C"/>
    <w:rsid w:val="00C76C63"/>
    <w:rsid w:val="00C77182"/>
    <w:rsid w:val="00C77A46"/>
    <w:rsid w:val="00C809C7"/>
    <w:rsid w:val="00C8144F"/>
    <w:rsid w:val="00C83F5B"/>
    <w:rsid w:val="00C8461F"/>
    <w:rsid w:val="00C84965"/>
    <w:rsid w:val="00C858A6"/>
    <w:rsid w:val="00C85A2E"/>
    <w:rsid w:val="00C85B47"/>
    <w:rsid w:val="00C86521"/>
    <w:rsid w:val="00C86766"/>
    <w:rsid w:val="00C8721E"/>
    <w:rsid w:val="00C91B37"/>
    <w:rsid w:val="00C921E3"/>
    <w:rsid w:val="00C922FB"/>
    <w:rsid w:val="00C933DF"/>
    <w:rsid w:val="00C9445C"/>
    <w:rsid w:val="00C95F0E"/>
    <w:rsid w:val="00C95FA6"/>
    <w:rsid w:val="00C96067"/>
    <w:rsid w:val="00CA02C5"/>
    <w:rsid w:val="00CA0FC0"/>
    <w:rsid w:val="00CA148D"/>
    <w:rsid w:val="00CA1B1D"/>
    <w:rsid w:val="00CA1D76"/>
    <w:rsid w:val="00CA2FAF"/>
    <w:rsid w:val="00CA6413"/>
    <w:rsid w:val="00CA6514"/>
    <w:rsid w:val="00CA68EA"/>
    <w:rsid w:val="00CA789B"/>
    <w:rsid w:val="00CA7EAA"/>
    <w:rsid w:val="00CA7EAC"/>
    <w:rsid w:val="00CA7F74"/>
    <w:rsid w:val="00CB07E0"/>
    <w:rsid w:val="00CB11E7"/>
    <w:rsid w:val="00CB2961"/>
    <w:rsid w:val="00CB333B"/>
    <w:rsid w:val="00CB3814"/>
    <w:rsid w:val="00CB3905"/>
    <w:rsid w:val="00CB4875"/>
    <w:rsid w:val="00CB4C99"/>
    <w:rsid w:val="00CB5498"/>
    <w:rsid w:val="00CB5735"/>
    <w:rsid w:val="00CB596C"/>
    <w:rsid w:val="00CB59B1"/>
    <w:rsid w:val="00CB5C17"/>
    <w:rsid w:val="00CB7126"/>
    <w:rsid w:val="00CB75D2"/>
    <w:rsid w:val="00CB7E5E"/>
    <w:rsid w:val="00CC22EA"/>
    <w:rsid w:val="00CC27C1"/>
    <w:rsid w:val="00CC2E0C"/>
    <w:rsid w:val="00CC30EB"/>
    <w:rsid w:val="00CC582C"/>
    <w:rsid w:val="00CC5B64"/>
    <w:rsid w:val="00CC6474"/>
    <w:rsid w:val="00CC6AFD"/>
    <w:rsid w:val="00CC6DE8"/>
    <w:rsid w:val="00CC6F27"/>
    <w:rsid w:val="00CC751C"/>
    <w:rsid w:val="00CC7A97"/>
    <w:rsid w:val="00CC7E35"/>
    <w:rsid w:val="00CD0913"/>
    <w:rsid w:val="00CD0A4D"/>
    <w:rsid w:val="00CD0EF8"/>
    <w:rsid w:val="00CD1320"/>
    <w:rsid w:val="00CD2B87"/>
    <w:rsid w:val="00CD30B3"/>
    <w:rsid w:val="00CD626E"/>
    <w:rsid w:val="00CD70DF"/>
    <w:rsid w:val="00CD7D96"/>
    <w:rsid w:val="00CE023E"/>
    <w:rsid w:val="00CE0A9C"/>
    <w:rsid w:val="00CE224E"/>
    <w:rsid w:val="00CE3477"/>
    <w:rsid w:val="00CE45FF"/>
    <w:rsid w:val="00CE4C5E"/>
    <w:rsid w:val="00CE6FF8"/>
    <w:rsid w:val="00CE764F"/>
    <w:rsid w:val="00CF09BD"/>
    <w:rsid w:val="00CF0E12"/>
    <w:rsid w:val="00CF13A9"/>
    <w:rsid w:val="00CF17E9"/>
    <w:rsid w:val="00CF1B83"/>
    <w:rsid w:val="00CF215B"/>
    <w:rsid w:val="00CF2337"/>
    <w:rsid w:val="00CF27CC"/>
    <w:rsid w:val="00CF4471"/>
    <w:rsid w:val="00CF5378"/>
    <w:rsid w:val="00CF5F8A"/>
    <w:rsid w:val="00CF63B8"/>
    <w:rsid w:val="00D0001C"/>
    <w:rsid w:val="00D01787"/>
    <w:rsid w:val="00D02B85"/>
    <w:rsid w:val="00D0429B"/>
    <w:rsid w:val="00D04652"/>
    <w:rsid w:val="00D053D1"/>
    <w:rsid w:val="00D05EBA"/>
    <w:rsid w:val="00D061CA"/>
    <w:rsid w:val="00D06766"/>
    <w:rsid w:val="00D07235"/>
    <w:rsid w:val="00D112C2"/>
    <w:rsid w:val="00D11B23"/>
    <w:rsid w:val="00D146C4"/>
    <w:rsid w:val="00D14A83"/>
    <w:rsid w:val="00D15D8F"/>
    <w:rsid w:val="00D1634D"/>
    <w:rsid w:val="00D167A7"/>
    <w:rsid w:val="00D20970"/>
    <w:rsid w:val="00D20E90"/>
    <w:rsid w:val="00D21626"/>
    <w:rsid w:val="00D2194C"/>
    <w:rsid w:val="00D233AA"/>
    <w:rsid w:val="00D233BE"/>
    <w:rsid w:val="00D24443"/>
    <w:rsid w:val="00D244A3"/>
    <w:rsid w:val="00D244BB"/>
    <w:rsid w:val="00D24533"/>
    <w:rsid w:val="00D25665"/>
    <w:rsid w:val="00D2664C"/>
    <w:rsid w:val="00D30930"/>
    <w:rsid w:val="00D31BB8"/>
    <w:rsid w:val="00D3301C"/>
    <w:rsid w:val="00D339EC"/>
    <w:rsid w:val="00D34BD2"/>
    <w:rsid w:val="00D3521C"/>
    <w:rsid w:val="00D35AB0"/>
    <w:rsid w:val="00D3621B"/>
    <w:rsid w:val="00D370E9"/>
    <w:rsid w:val="00D3714E"/>
    <w:rsid w:val="00D4089A"/>
    <w:rsid w:val="00D41803"/>
    <w:rsid w:val="00D42244"/>
    <w:rsid w:val="00D43328"/>
    <w:rsid w:val="00D43AA8"/>
    <w:rsid w:val="00D449E4"/>
    <w:rsid w:val="00D45773"/>
    <w:rsid w:val="00D45849"/>
    <w:rsid w:val="00D46FA8"/>
    <w:rsid w:val="00D47FF4"/>
    <w:rsid w:val="00D50368"/>
    <w:rsid w:val="00D5203A"/>
    <w:rsid w:val="00D5229D"/>
    <w:rsid w:val="00D5264A"/>
    <w:rsid w:val="00D526B8"/>
    <w:rsid w:val="00D532B2"/>
    <w:rsid w:val="00D537CB"/>
    <w:rsid w:val="00D567A2"/>
    <w:rsid w:val="00D569B6"/>
    <w:rsid w:val="00D569DB"/>
    <w:rsid w:val="00D57056"/>
    <w:rsid w:val="00D5735E"/>
    <w:rsid w:val="00D57EE7"/>
    <w:rsid w:val="00D60C05"/>
    <w:rsid w:val="00D61348"/>
    <w:rsid w:val="00D617D0"/>
    <w:rsid w:val="00D62F52"/>
    <w:rsid w:val="00D6541D"/>
    <w:rsid w:val="00D65AB5"/>
    <w:rsid w:val="00D67116"/>
    <w:rsid w:val="00D67920"/>
    <w:rsid w:val="00D67C09"/>
    <w:rsid w:val="00D7008F"/>
    <w:rsid w:val="00D718E5"/>
    <w:rsid w:val="00D71A47"/>
    <w:rsid w:val="00D71B6F"/>
    <w:rsid w:val="00D7318A"/>
    <w:rsid w:val="00D73EE2"/>
    <w:rsid w:val="00D740FC"/>
    <w:rsid w:val="00D74DD5"/>
    <w:rsid w:val="00D74FD5"/>
    <w:rsid w:val="00D75686"/>
    <w:rsid w:val="00D75985"/>
    <w:rsid w:val="00D75C79"/>
    <w:rsid w:val="00D76F99"/>
    <w:rsid w:val="00D80A62"/>
    <w:rsid w:val="00D80BE4"/>
    <w:rsid w:val="00D82827"/>
    <w:rsid w:val="00D833AD"/>
    <w:rsid w:val="00D833B0"/>
    <w:rsid w:val="00D83C5C"/>
    <w:rsid w:val="00D857E8"/>
    <w:rsid w:val="00D85D6D"/>
    <w:rsid w:val="00D864EC"/>
    <w:rsid w:val="00D86727"/>
    <w:rsid w:val="00D867A0"/>
    <w:rsid w:val="00D86900"/>
    <w:rsid w:val="00D86D07"/>
    <w:rsid w:val="00D87E54"/>
    <w:rsid w:val="00D90429"/>
    <w:rsid w:val="00D906B6"/>
    <w:rsid w:val="00D91578"/>
    <w:rsid w:val="00D918E5"/>
    <w:rsid w:val="00DA0552"/>
    <w:rsid w:val="00DA13D0"/>
    <w:rsid w:val="00DA1BB3"/>
    <w:rsid w:val="00DA2D55"/>
    <w:rsid w:val="00DA410D"/>
    <w:rsid w:val="00DA4788"/>
    <w:rsid w:val="00DA48EA"/>
    <w:rsid w:val="00DA5E31"/>
    <w:rsid w:val="00DA7828"/>
    <w:rsid w:val="00DB05CA"/>
    <w:rsid w:val="00DB144B"/>
    <w:rsid w:val="00DB1828"/>
    <w:rsid w:val="00DB3B10"/>
    <w:rsid w:val="00DB5253"/>
    <w:rsid w:val="00DB533C"/>
    <w:rsid w:val="00DB5526"/>
    <w:rsid w:val="00DB6CAA"/>
    <w:rsid w:val="00DC0992"/>
    <w:rsid w:val="00DC0A0A"/>
    <w:rsid w:val="00DC0A19"/>
    <w:rsid w:val="00DC1CBF"/>
    <w:rsid w:val="00DC28CB"/>
    <w:rsid w:val="00DC31C9"/>
    <w:rsid w:val="00DC47DC"/>
    <w:rsid w:val="00DC5045"/>
    <w:rsid w:val="00DC7F60"/>
    <w:rsid w:val="00DD1413"/>
    <w:rsid w:val="00DD18FF"/>
    <w:rsid w:val="00DD1C3D"/>
    <w:rsid w:val="00DD22FB"/>
    <w:rsid w:val="00DD2712"/>
    <w:rsid w:val="00DD2897"/>
    <w:rsid w:val="00DD2FFC"/>
    <w:rsid w:val="00DD3D08"/>
    <w:rsid w:val="00DD4067"/>
    <w:rsid w:val="00DD42EE"/>
    <w:rsid w:val="00DD464C"/>
    <w:rsid w:val="00DD5130"/>
    <w:rsid w:val="00DD53DC"/>
    <w:rsid w:val="00DD6231"/>
    <w:rsid w:val="00DD6872"/>
    <w:rsid w:val="00DD6D38"/>
    <w:rsid w:val="00DD6FD8"/>
    <w:rsid w:val="00DD741C"/>
    <w:rsid w:val="00DE1016"/>
    <w:rsid w:val="00DE3EE8"/>
    <w:rsid w:val="00DE508D"/>
    <w:rsid w:val="00DE5448"/>
    <w:rsid w:val="00DE59B1"/>
    <w:rsid w:val="00DE5E33"/>
    <w:rsid w:val="00DE7A5A"/>
    <w:rsid w:val="00DE7D59"/>
    <w:rsid w:val="00DF1188"/>
    <w:rsid w:val="00DF2434"/>
    <w:rsid w:val="00DF2DB4"/>
    <w:rsid w:val="00DF340A"/>
    <w:rsid w:val="00DF357D"/>
    <w:rsid w:val="00DF5553"/>
    <w:rsid w:val="00DF589F"/>
    <w:rsid w:val="00DF6194"/>
    <w:rsid w:val="00DF6872"/>
    <w:rsid w:val="00DF6C75"/>
    <w:rsid w:val="00DF6D93"/>
    <w:rsid w:val="00DF76FE"/>
    <w:rsid w:val="00E001B1"/>
    <w:rsid w:val="00E0020A"/>
    <w:rsid w:val="00E00267"/>
    <w:rsid w:val="00E004D4"/>
    <w:rsid w:val="00E011FD"/>
    <w:rsid w:val="00E029FF"/>
    <w:rsid w:val="00E041AE"/>
    <w:rsid w:val="00E0497C"/>
    <w:rsid w:val="00E052A0"/>
    <w:rsid w:val="00E05C50"/>
    <w:rsid w:val="00E05F9D"/>
    <w:rsid w:val="00E05FA8"/>
    <w:rsid w:val="00E06326"/>
    <w:rsid w:val="00E067CB"/>
    <w:rsid w:val="00E077B5"/>
    <w:rsid w:val="00E1137F"/>
    <w:rsid w:val="00E11FBF"/>
    <w:rsid w:val="00E12125"/>
    <w:rsid w:val="00E12DCC"/>
    <w:rsid w:val="00E13A9C"/>
    <w:rsid w:val="00E14B1D"/>
    <w:rsid w:val="00E155B8"/>
    <w:rsid w:val="00E17198"/>
    <w:rsid w:val="00E1781F"/>
    <w:rsid w:val="00E2086F"/>
    <w:rsid w:val="00E20956"/>
    <w:rsid w:val="00E23D68"/>
    <w:rsid w:val="00E240C7"/>
    <w:rsid w:val="00E26EC1"/>
    <w:rsid w:val="00E27319"/>
    <w:rsid w:val="00E27D05"/>
    <w:rsid w:val="00E27F21"/>
    <w:rsid w:val="00E31228"/>
    <w:rsid w:val="00E31F3E"/>
    <w:rsid w:val="00E35159"/>
    <w:rsid w:val="00E37799"/>
    <w:rsid w:val="00E379B7"/>
    <w:rsid w:val="00E405B1"/>
    <w:rsid w:val="00E407CC"/>
    <w:rsid w:val="00E412D0"/>
    <w:rsid w:val="00E42B8C"/>
    <w:rsid w:val="00E43041"/>
    <w:rsid w:val="00E43340"/>
    <w:rsid w:val="00E44D67"/>
    <w:rsid w:val="00E44DED"/>
    <w:rsid w:val="00E44ED6"/>
    <w:rsid w:val="00E44EE9"/>
    <w:rsid w:val="00E45662"/>
    <w:rsid w:val="00E46EB4"/>
    <w:rsid w:val="00E47833"/>
    <w:rsid w:val="00E51CC0"/>
    <w:rsid w:val="00E52F2B"/>
    <w:rsid w:val="00E5490F"/>
    <w:rsid w:val="00E559FB"/>
    <w:rsid w:val="00E55E9B"/>
    <w:rsid w:val="00E56C9F"/>
    <w:rsid w:val="00E57770"/>
    <w:rsid w:val="00E577C4"/>
    <w:rsid w:val="00E5782D"/>
    <w:rsid w:val="00E57BAC"/>
    <w:rsid w:val="00E57C7D"/>
    <w:rsid w:val="00E60448"/>
    <w:rsid w:val="00E6238B"/>
    <w:rsid w:val="00E63043"/>
    <w:rsid w:val="00E640F0"/>
    <w:rsid w:val="00E65C07"/>
    <w:rsid w:val="00E65C38"/>
    <w:rsid w:val="00E67458"/>
    <w:rsid w:val="00E67DAC"/>
    <w:rsid w:val="00E70B56"/>
    <w:rsid w:val="00E71610"/>
    <w:rsid w:val="00E72509"/>
    <w:rsid w:val="00E733A2"/>
    <w:rsid w:val="00E734F9"/>
    <w:rsid w:val="00E74537"/>
    <w:rsid w:val="00E754E8"/>
    <w:rsid w:val="00E76E87"/>
    <w:rsid w:val="00E77C2A"/>
    <w:rsid w:val="00E818CF"/>
    <w:rsid w:val="00E81975"/>
    <w:rsid w:val="00E81B54"/>
    <w:rsid w:val="00E81B9C"/>
    <w:rsid w:val="00E8288A"/>
    <w:rsid w:val="00E833E6"/>
    <w:rsid w:val="00E84E9B"/>
    <w:rsid w:val="00E84F13"/>
    <w:rsid w:val="00E86105"/>
    <w:rsid w:val="00E866E1"/>
    <w:rsid w:val="00E86D98"/>
    <w:rsid w:val="00E86E12"/>
    <w:rsid w:val="00E86F04"/>
    <w:rsid w:val="00E87067"/>
    <w:rsid w:val="00E87B01"/>
    <w:rsid w:val="00E90A16"/>
    <w:rsid w:val="00E912F3"/>
    <w:rsid w:val="00E9170E"/>
    <w:rsid w:val="00E92973"/>
    <w:rsid w:val="00E94944"/>
    <w:rsid w:val="00E94D48"/>
    <w:rsid w:val="00E97385"/>
    <w:rsid w:val="00EA1998"/>
    <w:rsid w:val="00EA1BB8"/>
    <w:rsid w:val="00EA2308"/>
    <w:rsid w:val="00EA2D10"/>
    <w:rsid w:val="00EA35FD"/>
    <w:rsid w:val="00EA3CAB"/>
    <w:rsid w:val="00EA4A58"/>
    <w:rsid w:val="00EA4F4D"/>
    <w:rsid w:val="00EB00F2"/>
    <w:rsid w:val="00EB07CD"/>
    <w:rsid w:val="00EB0E9A"/>
    <w:rsid w:val="00EB0F32"/>
    <w:rsid w:val="00EB28B7"/>
    <w:rsid w:val="00EB30AF"/>
    <w:rsid w:val="00EB3262"/>
    <w:rsid w:val="00EB4D59"/>
    <w:rsid w:val="00EB6E4B"/>
    <w:rsid w:val="00EC18AA"/>
    <w:rsid w:val="00EC1C48"/>
    <w:rsid w:val="00EC2D64"/>
    <w:rsid w:val="00EC3025"/>
    <w:rsid w:val="00EC3A7F"/>
    <w:rsid w:val="00EC4194"/>
    <w:rsid w:val="00EC483A"/>
    <w:rsid w:val="00EC5191"/>
    <w:rsid w:val="00EC5379"/>
    <w:rsid w:val="00EC64B1"/>
    <w:rsid w:val="00EC7502"/>
    <w:rsid w:val="00ED2451"/>
    <w:rsid w:val="00ED2FA6"/>
    <w:rsid w:val="00ED34AA"/>
    <w:rsid w:val="00ED385E"/>
    <w:rsid w:val="00ED5116"/>
    <w:rsid w:val="00ED5432"/>
    <w:rsid w:val="00ED5696"/>
    <w:rsid w:val="00ED6E3B"/>
    <w:rsid w:val="00ED77AE"/>
    <w:rsid w:val="00ED7CFF"/>
    <w:rsid w:val="00ED7E21"/>
    <w:rsid w:val="00EE1007"/>
    <w:rsid w:val="00EE177F"/>
    <w:rsid w:val="00EE3324"/>
    <w:rsid w:val="00EE4B2B"/>
    <w:rsid w:val="00EE4C21"/>
    <w:rsid w:val="00EE6375"/>
    <w:rsid w:val="00EF0319"/>
    <w:rsid w:val="00EF0712"/>
    <w:rsid w:val="00EF096D"/>
    <w:rsid w:val="00EF0F8E"/>
    <w:rsid w:val="00EF26DE"/>
    <w:rsid w:val="00EF2CAE"/>
    <w:rsid w:val="00EF44D7"/>
    <w:rsid w:val="00EF4BF1"/>
    <w:rsid w:val="00EF4F52"/>
    <w:rsid w:val="00EF627E"/>
    <w:rsid w:val="00EF72E6"/>
    <w:rsid w:val="00EF7E62"/>
    <w:rsid w:val="00F0161A"/>
    <w:rsid w:val="00F02A96"/>
    <w:rsid w:val="00F04E64"/>
    <w:rsid w:val="00F05AFA"/>
    <w:rsid w:val="00F068B2"/>
    <w:rsid w:val="00F07711"/>
    <w:rsid w:val="00F102B7"/>
    <w:rsid w:val="00F10742"/>
    <w:rsid w:val="00F10CC3"/>
    <w:rsid w:val="00F110E9"/>
    <w:rsid w:val="00F11735"/>
    <w:rsid w:val="00F11807"/>
    <w:rsid w:val="00F11C5B"/>
    <w:rsid w:val="00F12C34"/>
    <w:rsid w:val="00F14069"/>
    <w:rsid w:val="00F145B1"/>
    <w:rsid w:val="00F154DD"/>
    <w:rsid w:val="00F155C4"/>
    <w:rsid w:val="00F156E9"/>
    <w:rsid w:val="00F15B03"/>
    <w:rsid w:val="00F15B22"/>
    <w:rsid w:val="00F15C91"/>
    <w:rsid w:val="00F16D8E"/>
    <w:rsid w:val="00F16E0F"/>
    <w:rsid w:val="00F17142"/>
    <w:rsid w:val="00F17198"/>
    <w:rsid w:val="00F17C6C"/>
    <w:rsid w:val="00F20B7F"/>
    <w:rsid w:val="00F2100D"/>
    <w:rsid w:val="00F220EA"/>
    <w:rsid w:val="00F2239C"/>
    <w:rsid w:val="00F228F8"/>
    <w:rsid w:val="00F23816"/>
    <w:rsid w:val="00F23C0C"/>
    <w:rsid w:val="00F24EF2"/>
    <w:rsid w:val="00F265C4"/>
    <w:rsid w:val="00F26862"/>
    <w:rsid w:val="00F3014B"/>
    <w:rsid w:val="00F305DA"/>
    <w:rsid w:val="00F3198E"/>
    <w:rsid w:val="00F322EB"/>
    <w:rsid w:val="00F32CA4"/>
    <w:rsid w:val="00F32FBA"/>
    <w:rsid w:val="00F331E6"/>
    <w:rsid w:val="00F33CFC"/>
    <w:rsid w:val="00F34360"/>
    <w:rsid w:val="00F34DCA"/>
    <w:rsid w:val="00F35295"/>
    <w:rsid w:val="00F365D0"/>
    <w:rsid w:val="00F36C04"/>
    <w:rsid w:val="00F3741C"/>
    <w:rsid w:val="00F40457"/>
    <w:rsid w:val="00F407CA"/>
    <w:rsid w:val="00F40CC8"/>
    <w:rsid w:val="00F4186B"/>
    <w:rsid w:val="00F4194B"/>
    <w:rsid w:val="00F41BA8"/>
    <w:rsid w:val="00F42CF9"/>
    <w:rsid w:val="00F43DBA"/>
    <w:rsid w:val="00F43F3C"/>
    <w:rsid w:val="00F45796"/>
    <w:rsid w:val="00F45AF2"/>
    <w:rsid w:val="00F462EC"/>
    <w:rsid w:val="00F4709E"/>
    <w:rsid w:val="00F475B2"/>
    <w:rsid w:val="00F5011F"/>
    <w:rsid w:val="00F50250"/>
    <w:rsid w:val="00F50645"/>
    <w:rsid w:val="00F52473"/>
    <w:rsid w:val="00F52B9D"/>
    <w:rsid w:val="00F52DD7"/>
    <w:rsid w:val="00F5397C"/>
    <w:rsid w:val="00F55D63"/>
    <w:rsid w:val="00F5722F"/>
    <w:rsid w:val="00F57623"/>
    <w:rsid w:val="00F57E69"/>
    <w:rsid w:val="00F601E5"/>
    <w:rsid w:val="00F60E8A"/>
    <w:rsid w:val="00F61CED"/>
    <w:rsid w:val="00F62204"/>
    <w:rsid w:val="00F62818"/>
    <w:rsid w:val="00F629C6"/>
    <w:rsid w:val="00F6420B"/>
    <w:rsid w:val="00F64FC6"/>
    <w:rsid w:val="00F65816"/>
    <w:rsid w:val="00F66DE1"/>
    <w:rsid w:val="00F6704B"/>
    <w:rsid w:val="00F67268"/>
    <w:rsid w:val="00F67838"/>
    <w:rsid w:val="00F67973"/>
    <w:rsid w:val="00F67D4B"/>
    <w:rsid w:val="00F7006B"/>
    <w:rsid w:val="00F70D10"/>
    <w:rsid w:val="00F71532"/>
    <w:rsid w:val="00F738DD"/>
    <w:rsid w:val="00F76768"/>
    <w:rsid w:val="00F7719D"/>
    <w:rsid w:val="00F77AF2"/>
    <w:rsid w:val="00F804DF"/>
    <w:rsid w:val="00F80B28"/>
    <w:rsid w:val="00F80C5C"/>
    <w:rsid w:val="00F81A57"/>
    <w:rsid w:val="00F82B94"/>
    <w:rsid w:val="00F831CC"/>
    <w:rsid w:val="00F834F5"/>
    <w:rsid w:val="00F84446"/>
    <w:rsid w:val="00F84950"/>
    <w:rsid w:val="00F85ACB"/>
    <w:rsid w:val="00F873E8"/>
    <w:rsid w:val="00F90AC4"/>
    <w:rsid w:val="00F90B04"/>
    <w:rsid w:val="00F90E15"/>
    <w:rsid w:val="00F91B21"/>
    <w:rsid w:val="00F91BAF"/>
    <w:rsid w:val="00F91D86"/>
    <w:rsid w:val="00F92875"/>
    <w:rsid w:val="00F928DC"/>
    <w:rsid w:val="00F930C7"/>
    <w:rsid w:val="00F93323"/>
    <w:rsid w:val="00F9333C"/>
    <w:rsid w:val="00F93FD1"/>
    <w:rsid w:val="00F944E4"/>
    <w:rsid w:val="00F950C0"/>
    <w:rsid w:val="00F95485"/>
    <w:rsid w:val="00F96416"/>
    <w:rsid w:val="00F967BF"/>
    <w:rsid w:val="00F976CB"/>
    <w:rsid w:val="00F97BAA"/>
    <w:rsid w:val="00FA0AA1"/>
    <w:rsid w:val="00FA0F84"/>
    <w:rsid w:val="00FA1326"/>
    <w:rsid w:val="00FA1C0E"/>
    <w:rsid w:val="00FA21E8"/>
    <w:rsid w:val="00FA4C8C"/>
    <w:rsid w:val="00FA5198"/>
    <w:rsid w:val="00FA68B8"/>
    <w:rsid w:val="00FA6AE7"/>
    <w:rsid w:val="00FB2CA4"/>
    <w:rsid w:val="00FB772C"/>
    <w:rsid w:val="00FC17DA"/>
    <w:rsid w:val="00FC2D82"/>
    <w:rsid w:val="00FC2FB5"/>
    <w:rsid w:val="00FC35D2"/>
    <w:rsid w:val="00FC400A"/>
    <w:rsid w:val="00FC4AA2"/>
    <w:rsid w:val="00FC65F7"/>
    <w:rsid w:val="00FC766E"/>
    <w:rsid w:val="00FC780A"/>
    <w:rsid w:val="00FC7AB8"/>
    <w:rsid w:val="00FC7ABB"/>
    <w:rsid w:val="00FD0578"/>
    <w:rsid w:val="00FD113F"/>
    <w:rsid w:val="00FD1B8D"/>
    <w:rsid w:val="00FD2DB9"/>
    <w:rsid w:val="00FD358A"/>
    <w:rsid w:val="00FD3A41"/>
    <w:rsid w:val="00FD3E21"/>
    <w:rsid w:val="00FD41FB"/>
    <w:rsid w:val="00FD440A"/>
    <w:rsid w:val="00FD58CB"/>
    <w:rsid w:val="00FD65F2"/>
    <w:rsid w:val="00FD6CF8"/>
    <w:rsid w:val="00FD7BB0"/>
    <w:rsid w:val="00FE0957"/>
    <w:rsid w:val="00FE0ABE"/>
    <w:rsid w:val="00FE0F3F"/>
    <w:rsid w:val="00FE13AA"/>
    <w:rsid w:val="00FE158B"/>
    <w:rsid w:val="00FE2BEF"/>
    <w:rsid w:val="00FE2F4E"/>
    <w:rsid w:val="00FE3277"/>
    <w:rsid w:val="00FE601C"/>
    <w:rsid w:val="00FE7E8A"/>
    <w:rsid w:val="00FE7E9C"/>
    <w:rsid w:val="00FF0176"/>
    <w:rsid w:val="00FF16A1"/>
    <w:rsid w:val="00FF1772"/>
    <w:rsid w:val="00FF1E04"/>
    <w:rsid w:val="00FF264D"/>
    <w:rsid w:val="00FF2BAB"/>
    <w:rsid w:val="00FF39A9"/>
    <w:rsid w:val="00FF4395"/>
    <w:rsid w:val="00FF451C"/>
    <w:rsid w:val="00FF4E66"/>
    <w:rsid w:val="00FF60A7"/>
    <w:rsid w:val="00FF6671"/>
    <w:rsid w:val="00FF6ECB"/>
    <w:rsid w:val="00FF6FD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line="480" w:lineRule="atLeast"/>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743"/>
    <w:pPr>
      <w:tabs>
        <w:tab w:val="center" w:pos="4680"/>
        <w:tab w:val="right" w:pos="9360"/>
      </w:tabs>
      <w:spacing w:line="240" w:lineRule="auto"/>
    </w:pPr>
  </w:style>
  <w:style w:type="character" w:customStyle="1" w:styleId="HeaderChar">
    <w:name w:val="Header Char"/>
    <w:basedOn w:val="DefaultParagraphFont"/>
    <w:link w:val="Header"/>
    <w:uiPriority w:val="99"/>
    <w:rsid w:val="00874743"/>
  </w:style>
  <w:style w:type="paragraph" w:styleId="Footer">
    <w:name w:val="footer"/>
    <w:basedOn w:val="Normal"/>
    <w:link w:val="FooterChar"/>
    <w:uiPriority w:val="99"/>
    <w:unhideWhenUsed/>
    <w:rsid w:val="00874743"/>
    <w:pPr>
      <w:tabs>
        <w:tab w:val="center" w:pos="4680"/>
        <w:tab w:val="right" w:pos="9360"/>
      </w:tabs>
      <w:spacing w:line="240" w:lineRule="auto"/>
    </w:pPr>
  </w:style>
  <w:style w:type="character" w:customStyle="1" w:styleId="FooterChar">
    <w:name w:val="Footer Char"/>
    <w:basedOn w:val="DefaultParagraphFont"/>
    <w:link w:val="Footer"/>
    <w:uiPriority w:val="99"/>
    <w:rsid w:val="00874743"/>
  </w:style>
  <w:style w:type="character" w:styleId="PageNumber">
    <w:name w:val="page number"/>
    <w:basedOn w:val="DefaultParagraphFont"/>
    <w:uiPriority w:val="99"/>
    <w:semiHidden/>
    <w:unhideWhenUsed/>
    <w:rsid w:val="00874743"/>
  </w:style>
  <w:style w:type="paragraph" w:styleId="FootnoteText">
    <w:name w:val="footnote text"/>
    <w:link w:val="FootnoteTextChar"/>
    <w:uiPriority w:val="99"/>
    <w:unhideWhenUsed/>
    <w:rsid w:val="00874743"/>
    <w:pPr>
      <w:spacing w:line="240" w:lineRule="auto"/>
    </w:pPr>
    <w:rPr>
      <w:rFonts w:cs="Times New Roman"/>
      <w:szCs w:val="20"/>
    </w:rPr>
  </w:style>
  <w:style w:type="character" w:customStyle="1" w:styleId="FootnoteTextChar">
    <w:name w:val="Footnote Text Char"/>
    <w:basedOn w:val="DefaultParagraphFont"/>
    <w:link w:val="FootnoteText"/>
    <w:uiPriority w:val="99"/>
    <w:rsid w:val="00874743"/>
    <w:rPr>
      <w:rFonts w:cs="Times New Roman"/>
      <w:szCs w:val="20"/>
    </w:rPr>
  </w:style>
  <w:style w:type="paragraph" w:styleId="ListParagraph">
    <w:name w:val="List Paragraph"/>
    <w:basedOn w:val="Normal"/>
    <w:uiPriority w:val="34"/>
    <w:qFormat/>
    <w:rsid w:val="00712F44"/>
    <w:pPr>
      <w:ind w:left="720"/>
      <w:contextualSpacing/>
    </w:pPr>
  </w:style>
  <w:style w:type="character" w:styleId="FootnoteReference">
    <w:name w:val="footnote reference"/>
    <w:basedOn w:val="DefaultParagraphFont"/>
    <w:uiPriority w:val="99"/>
    <w:semiHidden/>
    <w:unhideWhenUsed/>
    <w:rsid w:val="00EC7B95"/>
    <w:rPr>
      <w:vertAlign w:val="superscript"/>
    </w:rPr>
  </w:style>
  <w:style w:type="paragraph" w:styleId="BalloonText">
    <w:name w:val="Balloon Text"/>
    <w:basedOn w:val="Normal"/>
    <w:link w:val="BalloonTextChar"/>
    <w:uiPriority w:val="99"/>
    <w:semiHidden/>
    <w:unhideWhenUsed/>
    <w:rsid w:val="00CB7F0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0C"/>
    <w:rPr>
      <w:rFonts w:ascii="Segoe UI" w:hAnsi="Segoe UI" w:cs="Segoe UI"/>
      <w:sz w:val="18"/>
      <w:szCs w:val="18"/>
    </w:rPr>
  </w:style>
  <w:style w:type="character" w:styleId="CommentReference">
    <w:name w:val="annotation reference"/>
    <w:basedOn w:val="DefaultParagraphFont"/>
    <w:uiPriority w:val="99"/>
    <w:semiHidden/>
    <w:unhideWhenUsed/>
    <w:rsid w:val="00BF7EFA"/>
    <w:rPr>
      <w:sz w:val="18"/>
      <w:szCs w:val="18"/>
    </w:rPr>
  </w:style>
  <w:style w:type="paragraph" w:styleId="CommentText">
    <w:name w:val="annotation text"/>
    <w:basedOn w:val="Normal"/>
    <w:link w:val="CommentTextChar"/>
    <w:uiPriority w:val="99"/>
    <w:unhideWhenUsed/>
    <w:rsid w:val="00BF7EFA"/>
    <w:pPr>
      <w:spacing w:line="240" w:lineRule="auto"/>
    </w:pPr>
    <w:rPr>
      <w:sz w:val="24"/>
      <w:szCs w:val="24"/>
    </w:rPr>
  </w:style>
  <w:style w:type="character" w:customStyle="1" w:styleId="CommentTextChar">
    <w:name w:val="Comment Text Char"/>
    <w:basedOn w:val="DefaultParagraphFont"/>
    <w:link w:val="CommentText"/>
    <w:uiPriority w:val="99"/>
    <w:rsid w:val="00BF7EFA"/>
    <w:rPr>
      <w:rFonts w:cs="Times New Roman"/>
      <w:sz w:val="24"/>
      <w:szCs w:val="24"/>
    </w:rPr>
  </w:style>
  <w:style w:type="paragraph" w:styleId="CommentSubject">
    <w:name w:val="annotation subject"/>
    <w:basedOn w:val="CommentText"/>
    <w:next w:val="CommentText"/>
    <w:link w:val="CommentSubjectChar"/>
    <w:uiPriority w:val="99"/>
    <w:semiHidden/>
    <w:unhideWhenUsed/>
    <w:rsid w:val="00BF7EFA"/>
    <w:rPr>
      <w:b/>
      <w:bCs/>
      <w:sz w:val="20"/>
      <w:szCs w:val="20"/>
    </w:rPr>
  </w:style>
  <w:style w:type="character" w:customStyle="1" w:styleId="CommentSubjectChar">
    <w:name w:val="Comment Subject Char"/>
    <w:basedOn w:val="CommentTextChar"/>
    <w:link w:val="CommentSubject"/>
    <w:uiPriority w:val="99"/>
    <w:semiHidden/>
    <w:rsid w:val="00BF7EFA"/>
    <w:rPr>
      <w:rFonts w:cs="Times New Roman"/>
      <w:b/>
      <w:bCs/>
      <w:sz w:val="20"/>
      <w:szCs w:val="20"/>
    </w:rPr>
  </w:style>
  <w:style w:type="paragraph" w:styleId="Revision">
    <w:name w:val="Revision"/>
    <w:hidden/>
    <w:uiPriority w:val="99"/>
    <w:semiHidden/>
    <w:rsid w:val="003F2498"/>
    <w:pPr>
      <w:spacing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3964A-80C6-4D05-BAAB-2902E324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5543</Words>
  <Characters>31597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2024-02-13T23:36:24Z</dcterms:created>
  <dcterms:modified xsi:type="dcterms:W3CDTF">2024-02-13T23:36:24Z</dcterms:modified>
</cp:coreProperties>
</file>