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6F753D" w14:textId="1D008025" w:rsidR="00E748F1" w:rsidRPr="00C226A8" w:rsidRDefault="00E748F1" w:rsidP="00E14E01">
      <w:pPr>
        <w:spacing w:line="240" w:lineRule="auto"/>
        <w:rPr>
          <w:sz w:val="20"/>
          <w:szCs w:val="24"/>
        </w:rPr>
      </w:pPr>
      <w:r w:rsidRPr="00C226A8">
        <w:rPr>
          <w:sz w:val="20"/>
          <w:szCs w:val="24"/>
        </w:rPr>
        <w:t>Filed</w:t>
      </w:r>
      <w:r w:rsidRPr="00C226A8">
        <w:rPr>
          <w:sz w:val="20"/>
          <w:szCs w:val="24"/>
        </w:rPr>
        <w:t xml:space="preserve"> 4/8/24</w:t>
      </w:r>
    </w:p>
    <w:p w14:paraId="25F18452" w14:textId="77777777" w:rsidR="00E748F1" w:rsidRPr="00E14E01" w:rsidRDefault="00E748F1" w:rsidP="00E14E01">
      <w:pPr>
        <w:spacing w:line="240" w:lineRule="auto"/>
        <w:jc w:val="center"/>
        <w:rPr>
          <w:bCs/>
          <w:szCs w:val="24"/>
        </w:rPr>
      </w:pPr>
      <w:r>
        <w:rPr>
          <w:b/>
          <w:bCs/>
          <w:szCs w:val="24"/>
        </w:rPr>
        <w:t>CERTIFIED FOR PARTIAL PUBLICATION</w:t>
      </w:r>
      <w:r>
        <w:rPr>
          <w:rStyle w:val="FootnoteReference"/>
          <w:b/>
          <w:bCs/>
          <w:szCs w:val="24"/>
        </w:rPr>
        <w:footnoteReference w:customMarkFollows="1" w:id="2"/>
        <w:t>*</w:t>
      </w:r>
    </w:p>
    <w:p w14:paraId="3D6E0B7D" w14:textId="77777777" w:rsidR="00E748F1" w:rsidRPr="001D0533" w:rsidRDefault="00E748F1" w:rsidP="000528A6">
      <w:pPr>
        <w:spacing w:line="240" w:lineRule="auto"/>
        <w:rPr>
          <w:b/>
          <w:bCs/>
          <w:sz w:val="24"/>
          <w:szCs w:val="24"/>
        </w:rPr>
      </w:pPr>
    </w:p>
    <w:p w14:paraId="41BBA21C" w14:textId="77777777" w:rsidR="00E748F1" w:rsidRPr="00A05C2E" w:rsidRDefault="00E748F1" w:rsidP="00761302">
      <w:pPr>
        <w:spacing w:line="240" w:lineRule="auto"/>
        <w:jc w:val="center"/>
      </w:pPr>
      <w:r w:rsidRPr="00A05C2E">
        <w:t>IN THE COURT OF APPEAL OF THE STATE OF CALIFORNIA</w:t>
      </w:r>
    </w:p>
    <w:p w14:paraId="5646F4FF" w14:textId="77777777" w:rsidR="00E748F1" w:rsidRPr="00A05C2E" w:rsidRDefault="00E748F1" w:rsidP="00761302">
      <w:pPr>
        <w:spacing w:line="240" w:lineRule="auto"/>
        <w:jc w:val="center"/>
      </w:pPr>
    </w:p>
    <w:p w14:paraId="7B31B8E5" w14:textId="77777777" w:rsidR="00E748F1" w:rsidRPr="00A05C2E" w:rsidRDefault="00E748F1" w:rsidP="00761302">
      <w:pPr>
        <w:spacing w:line="240" w:lineRule="auto"/>
        <w:jc w:val="center"/>
      </w:pPr>
      <w:r w:rsidRPr="00A05C2E">
        <w:t>FIRST APPELLATE DISTRICT</w:t>
      </w:r>
    </w:p>
    <w:p w14:paraId="3D8F165D" w14:textId="77777777" w:rsidR="00E748F1" w:rsidRPr="00A05C2E" w:rsidRDefault="00E748F1" w:rsidP="00761302">
      <w:pPr>
        <w:spacing w:line="240" w:lineRule="auto"/>
        <w:jc w:val="center"/>
      </w:pPr>
    </w:p>
    <w:p w14:paraId="3559BA4A" w14:textId="77777777" w:rsidR="00E748F1" w:rsidRPr="00A05C2E" w:rsidRDefault="00E748F1" w:rsidP="00092A9F">
      <w:pPr>
        <w:spacing w:line="240" w:lineRule="auto"/>
        <w:jc w:val="center"/>
      </w:pPr>
      <w:r w:rsidRPr="00A05C2E">
        <w:t>DIVISION FIVE</w:t>
      </w:r>
    </w:p>
    <w:p w14:paraId="4E4C6DD1" w14:textId="77777777" w:rsidR="00E748F1" w:rsidRPr="00A05C2E" w:rsidRDefault="00E748F1" w:rsidP="00761302">
      <w:pPr>
        <w:spacing w:line="240" w:lineRule="auto"/>
        <w:jc w:val="center"/>
      </w:pPr>
    </w:p>
    <w:tbl>
      <w:tblPr>
        <w:tblW w:w="9576" w:type="dxa"/>
        <w:tblLayout w:type="fixed"/>
        <w:tblLook w:val="0000" w:firstRow="0" w:lastRow="0" w:firstColumn="0" w:lastColumn="0" w:noHBand="0" w:noVBand="0"/>
      </w:tblPr>
      <w:tblGrid>
        <w:gridCol w:w="4860"/>
        <w:gridCol w:w="4716"/>
      </w:tblGrid>
      <w:tr w:rsidR="0075274A" w14:paraId="287C3250" w14:textId="77777777" w:rsidTr="00A37D80">
        <w:tc>
          <w:tcPr>
            <w:tcW w:w="4860" w:type="dxa"/>
            <w:tcBorders>
              <w:right w:val="single" w:sz="4" w:space="0" w:color="auto"/>
            </w:tcBorders>
            <w:shd w:val="clear" w:color="auto" w:fill="auto"/>
          </w:tcPr>
          <w:p w14:paraId="651DC8F5" w14:textId="77777777" w:rsidR="00E748F1" w:rsidRPr="00D07A19" w:rsidRDefault="00E748F1" w:rsidP="00FA19FB">
            <w:pPr>
              <w:spacing w:after="120" w:line="240" w:lineRule="auto"/>
              <w:rPr>
                <w:rFonts w:cs="Times New Roman"/>
              </w:rPr>
            </w:pPr>
            <w:r>
              <w:rPr>
                <w:rFonts w:cs="Times New Roman"/>
              </w:rPr>
              <w:t>GAUTAM SHAH</w:t>
            </w:r>
            <w:r>
              <w:rPr>
                <w:rFonts w:cs="Times New Roman"/>
              </w:rPr>
              <w:t>,</w:t>
            </w:r>
          </w:p>
          <w:p w14:paraId="42B35DA2" w14:textId="77777777" w:rsidR="00E748F1" w:rsidRDefault="00E748F1" w:rsidP="00FA19FB">
            <w:pPr>
              <w:spacing w:after="120" w:line="240" w:lineRule="auto"/>
              <w:rPr>
                <w:rFonts w:cs="Times New Roman"/>
              </w:rPr>
            </w:pPr>
            <w:r w:rsidRPr="00D07A19">
              <w:rPr>
                <w:rFonts w:cs="Times New Roman"/>
              </w:rPr>
              <w:tab/>
            </w:r>
            <w:r>
              <w:rPr>
                <w:rFonts w:cs="Times New Roman"/>
              </w:rPr>
              <w:t>Plaintiff</w:t>
            </w:r>
            <w:r w:rsidRPr="00D07A19">
              <w:rPr>
                <w:rFonts w:cs="Times New Roman"/>
              </w:rPr>
              <w:t xml:space="preserve"> and </w:t>
            </w:r>
            <w:r>
              <w:rPr>
                <w:rFonts w:cs="Times New Roman"/>
              </w:rPr>
              <w:t>Appellant</w:t>
            </w:r>
            <w:r>
              <w:rPr>
                <w:rFonts w:cs="Times New Roman"/>
              </w:rPr>
              <w:t>,</w:t>
            </w:r>
          </w:p>
          <w:p w14:paraId="761BE8A3" w14:textId="77777777" w:rsidR="00E748F1" w:rsidRPr="00D07A19" w:rsidRDefault="00E748F1" w:rsidP="00FA19FB">
            <w:pPr>
              <w:spacing w:after="120" w:line="240" w:lineRule="auto"/>
              <w:rPr>
                <w:rFonts w:cs="Times New Roman"/>
              </w:rPr>
            </w:pPr>
            <w:r w:rsidRPr="00D07A19">
              <w:rPr>
                <w:rFonts w:cs="Times New Roman"/>
              </w:rPr>
              <w:t>v.</w:t>
            </w:r>
          </w:p>
          <w:p w14:paraId="27B8BEC9" w14:textId="77777777" w:rsidR="00E748F1" w:rsidRPr="00D07A19" w:rsidRDefault="00E748F1" w:rsidP="00070D94">
            <w:pPr>
              <w:spacing w:after="120" w:line="240" w:lineRule="auto"/>
              <w:rPr>
                <w:rFonts w:cs="Times New Roman"/>
              </w:rPr>
            </w:pPr>
            <w:r>
              <w:rPr>
                <w:rFonts w:cs="Times New Roman"/>
              </w:rPr>
              <w:t>SKILLZ INC.</w:t>
            </w:r>
            <w:r>
              <w:rPr>
                <w:rFonts w:cs="Times New Roman"/>
              </w:rPr>
              <w:t>,</w:t>
            </w:r>
          </w:p>
          <w:p w14:paraId="757BEB60" w14:textId="77777777" w:rsidR="00E748F1" w:rsidRPr="00357122" w:rsidRDefault="00E748F1" w:rsidP="00772CD1">
            <w:pPr>
              <w:spacing w:after="120" w:line="240" w:lineRule="auto"/>
              <w:rPr>
                <w:rFonts w:cs="Times New Roman"/>
              </w:rPr>
            </w:pPr>
            <w:r w:rsidRPr="00D07A19">
              <w:rPr>
                <w:rFonts w:cs="Times New Roman"/>
              </w:rPr>
              <w:tab/>
            </w:r>
            <w:r>
              <w:rPr>
                <w:rFonts w:cs="Times New Roman"/>
              </w:rPr>
              <w:t>Defendant and Appellant</w:t>
            </w:r>
            <w:r>
              <w:rPr>
                <w:rFonts w:cs="Times New Roman"/>
              </w:rPr>
              <w:t>.</w:t>
            </w:r>
          </w:p>
        </w:tc>
        <w:tc>
          <w:tcPr>
            <w:tcW w:w="4716" w:type="dxa"/>
            <w:tcBorders>
              <w:left w:val="single" w:sz="4" w:space="0" w:color="auto"/>
            </w:tcBorders>
            <w:shd w:val="clear" w:color="auto" w:fill="auto"/>
          </w:tcPr>
          <w:p w14:paraId="2E01B138" w14:textId="77777777" w:rsidR="00E748F1" w:rsidRPr="00A05C2E" w:rsidRDefault="00E748F1" w:rsidP="005F65F0">
            <w:pPr>
              <w:spacing w:line="240" w:lineRule="auto"/>
            </w:pPr>
          </w:p>
          <w:p w14:paraId="11F88830" w14:textId="77777777" w:rsidR="00E748F1" w:rsidRPr="00A05C2E" w:rsidRDefault="00E748F1" w:rsidP="005F65F0">
            <w:pPr>
              <w:spacing w:line="240" w:lineRule="auto"/>
            </w:pPr>
            <w:r w:rsidRPr="00A05C2E">
              <w:t xml:space="preserve">      </w:t>
            </w:r>
            <w:r>
              <w:t>A1</w:t>
            </w:r>
            <w:r>
              <w:t>65372</w:t>
            </w:r>
          </w:p>
          <w:p w14:paraId="068D60EC" w14:textId="77777777" w:rsidR="00E748F1" w:rsidRPr="00A05C2E" w:rsidRDefault="00E748F1" w:rsidP="005F65F0">
            <w:pPr>
              <w:spacing w:line="240" w:lineRule="auto"/>
            </w:pPr>
          </w:p>
          <w:p w14:paraId="78CBFC26" w14:textId="77777777" w:rsidR="00E748F1" w:rsidRDefault="00E748F1" w:rsidP="007318F3">
            <w:pPr>
              <w:spacing w:line="240" w:lineRule="auto"/>
            </w:pPr>
            <w:r w:rsidRPr="00A05C2E">
              <w:t xml:space="preserve">      (</w:t>
            </w:r>
            <w:r>
              <w:t xml:space="preserve">City &amp; County of San Francisco  </w:t>
            </w:r>
          </w:p>
          <w:p w14:paraId="44952368" w14:textId="77777777" w:rsidR="00E748F1" w:rsidRPr="00A05C2E" w:rsidRDefault="00E748F1" w:rsidP="007318F3">
            <w:pPr>
              <w:spacing w:line="240" w:lineRule="auto"/>
            </w:pPr>
            <w:r>
              <w:t xml:space="preserve">        Super. Ct. No. CGC-</w:t>
            </w:r>
            <w:r>
              <w:t>19-576014</w:t>
            </w:r>
            <w:r>
              <w:t>)</w:t>
            </w:r>
          </w:p>
        </w:tc>
      </w:tr>
      <w:tr w:rsidR="0075274A" w14:paraId="6A541456" w14:textId="77777777" w:rsidTr="00A37D80">
        <w:tc>
          <w:tcPr>
            <w:tcW w:w="4860" w:type="dxa"/>
            <w:tcBorders>
              <w:bottom w:val="single" w:sz="4" w:space="0" w:color="auto"/>
              <w:right w:val="single" w:sz="4" w:space="0" w:color="auto"/>
            </w:tcBorders>
            <w:shd w:val="clear" w:color="auto" w:fill="auto"/>
          </w:tcPr>
          <w:p w14:paraId="3FA2DF42" w14:textId="77777777" w:rsidR="00E748F1" w:rsidRPr="00A05C2E" w:rsidRDefault="00E748F1" w:rsidP="00357122">
            <w:pPr>
              <w:spacing w:line="240" w:lineRule="auto"/>
            </w:pPr>
          </w:p>
        </w:tc>
        <w:tc>
          <w:tcPr>
            <w:tcW w:w="4716" w:type="dxa"/>
            <w:tcBorders>
              <w:left w:val="single" w:sz="4" w:space="0" w:color="auto"/>
            </w:tcBorders>
            <w:shd w:val="clear" w:color="auto" w:fill="auto"/>
          </w:tcPr>
          <w:p w14:paraId="665BC9A8" w14:textId="77777777" w:rsidR="00E748F1" w:rsidRPr="00A05C2E" w:rsidRDefault="00E748F1" w:rsidP="005F65F0">
            <w:pPr>
              <w:spacing w:line="240" w:lineRule="auto"/>
            </w:pPr>
          </w:p>
        </w:tc>
      </w:tr>
    </w:tbl>
    <w:p w14:paraId="369D0D12" w14:textId="77777777" w:rsidR="00E748F1" w:rsidRPr="00A05C2E" w:rsidRDefault="00E748F1" w:rsidP="00100508">
      <w:pPr>
        <w:spacing w:line="240" w:lineRule="auto"/>
      </w:pPr>
    </w:p>
    <w:p w14:paraId="420B3F9C" w14:textId="77777777" w:rsidR="00E748F1" w:rsidRDefault="00E748F1" w:rsidP="00085776">
      <w:pPr>
        <w:spacing w:line="360" w:lineRule="auto"/>
      </w:pPr>
      <w:r w:rsidRPr="00A05C2E">
        <w:tab/>
      </w:r>
      <w:r>
        <w:t>Plaintiff Gaut</w:t>
      </w:r>
      <w:r>
        <w:t>a</w:t>
      </w:r>
      <w:r>
        <w:t xml:space="preserve">m Shah joined defendant </w:t>
      </w:r>
      <w:proofErr w:type="spellStart"/>
      <w:r>
        <w:t>Skillz</w:t>
      </w:r>
      <w:proofErr w:type="spellEnd"/>
      <w:r>
        <w:t>, Inc. (</w:t>
      </w:r>
      <w:proofErr w:type="spellStart"/>
      <w:r>
        <w:t>Skillz</w:t>
      </w:r>
      <w:proofErr w:type="spellEnd"/>
      <w:r>
        <w:t xml:space="preserve">), a private company, as an employee in 2015.  Like many people in Silicon Valley who join startups, Shah accepted less cash compensation in exchange for options to buy </w:t>
      </w:r>
      <w:proofErr w:type="spellStart"/>
      <w:r>
        <w:t>Skillz</w:t>
      </w:r>
      <w:proofErr w:type="spellEnd"/>
      <w:r>
        <w:t xml:space="preserve"> stock at a </w:t>
      </w:r>
      <w:r>
        <w:t xml:space="preserve">predetermined </w:t>
      </w:r>
      <w:r>
        <w:t xml:space="preserve">exercise price.  “The unique value of” these stock options to employees like Shah “is that when the market price of the optioned stock surpasses the . . . ‘exercise’ price, he can buy at the lower figure for a virtually certain profitable investment </w:t>
      </w:r>
      <w:proofErr w:type="gramStart"/>
      <w:r>
        <w:t>. . . .</w:t>
      </w:r>
      <w:proofErr w:type="gramEnd"/>
      <w:r>
        <w:t>”  (</w:t>
      </w:r>
      <w:r>
        <w:rPr>
          <w:i/>
          <w:iCs/>
        </w:rPr>
        <w:t>Berter</w:t>
      </w:r>
      <w:r>
        <w:rPr>
          <w:i/>
          <w:iCs/>
        </w:rPr>
        <w:t xml:space="preserve">o v. Natl. General Corp. </w:t>
      </w:r>
      <w:r>
        <w:t>(1967) 254 Cal.App.2d 126, 141 (</w:t>
      </w:r>
      <w:r>
        <w:rPr>
          <w:i/>
          <w:iCs/>
        </w:rPr>
        <w:t>Bertero</w:t>
      </w:r>
      <w:r>
        <w:t xml:space="preserve">).)  For </w:t>
      </w:r>
      <w:r>
        <w:t>startup employees</w:t>
      </w:r>
      <w:r>
        <w:t xml:space="preserve"> like Shah, the hope is that the company will undergo an initial public offering (IPO)</w:t>
      </w:r>
      <w:r>
        <w:t>—</w:t>
      </w:r>
      <w:r>
        <w:t>which would allow those employees to sell their stock on the open market at a significant profit.</w:t>
      </w:r>
      <w:r>
        <w:rPr>
          <w:rStyle w:val="FootnoteReference"/>
        </w:rPr>
        <w:footnoteReference w:id="3"/>
      </w:r>
      <w:r>
        <w:t xml:space="preserve">  Indeed, the primary value of </w:t>
      </w:r>
      <w:r>
        <w:lastRenderedPageBreak/>
        <w:t>stock options like the ones granted to Shah lies with the ability to cash out those options if the company is successful</w:t>
      </w:r>
      <w:r>
        <w:t xml:space="preserve"> and goes public</w:t>
      </w:r>
      <w:r>
        <w:t xml:space="preserve">. </w:t>
      </w:r>
    </w:p>
    <w:p w14:paraId="449415DE" w14:textId="77777777" w:rsidR="00E748F1" w:rsidRDefault="00E748F1" w:rsidP="00085776">
      <w:pPr>
        <w:spacing w:line="360" w:lineRule="auto"/>
      </w:pPr>
      <w:r>
        <w:tab/>
      </w:r>
      <w:proofErr w:type="spellStart"/>
      <w:r>
        <w:t>Skillz</w:t>
      </w:r>
      <w:proofErr w:type="spellEnd"/>
      <w:r>
        <w:t xml:space="preserve"> had an IPO in December 2020.  But Shah was not able to realize the Silicon Valley dream because </w:t>
      </w:r>
      <w:r>
        <w:t xml:space="preserve">he </w:t>
      </w:r>
      <w:r>
        <w:t xml:space="preserve">lost </w:t>
      </w:r>
      <w:proofErr w:type="gramStart"/>
      <w:r>
        <w:t>all of</w:t>
      </w:r>
      <w:proofErr w:type="gramEnd"/>
      <w:r>
        <w:t xml:space="preserve"> </w:t>
      </w:r>
      <w:r>
        <w:t xml:space="preserve">his stock options when </w:t>
      </w:r>
      <w:proofErr w:type="spellStart"/>
      <w:r>
        <w:t>Skillz</w:t>
      </w:r>
      <w:proofErr w:type="spellEnd"/>
      <w:r>
        <w:t xml:space="preserve"> terminated him for cause in 2018.  As a result, Shah </w:t>
      </w:r>
      <w:r>
        <w:t>could not</w:t>
      </w:r>
      <w:r>
        <w:t xml:space="preserve"> exercise his options and sell the </w:t>
      </w:r>
      <w:proofErr w:type="spellStart"/>
      <w:r>
        <w:t>Skillz</w:t>
      </w:r>
      <w:proofErr w:type="spellEnd"/>
      <w:r>
        <w:t xml:space="preserve"> stock he would have acquired upon doing so at a huge profit after the IPO like other former and current </w:t>
      </w:r>
      <w:proofErr w:type="spellStart"/>
      <w:r>
        <w:t>Skillz</w:t>
      </w:r>
      <w:proofErr w:type="spellEnd"/>
      <w:r>
        <w:t xml:space="preserve"> </w:t>
      </w:r>
      <w:r>
        <w:t>employees.</w:t>
      </w:r>
    </w:p>
    <w:p w14:paraId="0017C975" w14:textId="77777777" w:rsidR="00E748F1" w:rsidRDefault="00E748F1" w:rsidP="00085776">
      <w:pPr>
        <w:spacing w:line="360" w:lineRule="auto"/>
      </w:pPr>
      <w:r>
        <w:tab/>
        <w:t xml:space="preserve">Shah sued </w:t>
      </w:r>
      <w:proofErr w:type="spellStart"/>
      <w:r>
        <w:t>Skillz</w:t>
      </w:r>
      <w:proofErr w:type="spellEnd"/>
      <w:r>
        <w:t xml:space="preserve"> for breach of contract, alleging that </w:t>
      </w:r>
      <w:proofErr w:type="spellStart"/>
      <w:r>
        <w:t>Skillz</w:t>
      </w:r>
      <w:proofErr w:type="spellEnd"/>
      <w:r>
        <w:t xml:space="preserve"> did not have cause to terminate him and wrongfully prevented him from exercising the stock options he had earned as a </w:t>
      </w:r>
      <w:proofErr w:type="spellStart"/>
      <w:r>
        <w:t>Skillz</w:t>
      </w:r>
      <w:proofErr w:type="spellEnd"/>
      <w:r>
        <w:t xml:space="preserve"> </w:t>
      </w:r>
      <w:r>
        <w:t xml:space="preserve">employee.  A jury found that </w:t>
      </w:r>
      <w:proofErr w:type="spellStart"/>
      <w:r>
        <w:t>Skillz</w:t>
      </w:r>
      <w:proofErr w:type="spellEnd"/>
      <w:r>
        <w:t xml:space="preserve"> breached its contracts with Shah and awarded Shah over $11.5 million in damages for the lost options.  The trial court, however, conditioned the denial of </w:t>
      </w:r>
      <w:proofErr w:type="spellStart"/>
      <w:r>
        <w:t>Skillz’s</w:t>
      </w:r>
      <w:proofErr w:type="spellEnd"/>
      <w:r>
        <w:t xml:space="preserve"> new trial motion on Shah’s acceptance of a remittitur in the amount of $4,358,358.  After Shah accepted the remittitur, the court entered judgment for Shah in that amount.</w:t>
      </w:r>
    </w:p>
    <w:p w14:paraId="2B983EE2" w14:textId="77777777" w:rsidR="00E748F1" w:rsidRDefault="00E748F1" w:rsidP="00085776">
      <w:pPr>
        <w:spacing w:line="360" w:lineRule="auto"/>
      </w:pPr>
      <w:r>
        <w:tab/>
        <w:t xml:space="preserve">Both parties appealed.  </w:t>
      </w:r>
      <w:proofErr w:type="spellStart"/>
      <w:r>
        <w:t>Skillz</w:t>
      </w:r>
      <w:proofErr w:type="spellEnd"/>
      <w:r>
        <w:t xml:space="preserve"> contends that the judgment must be reversed due to defects in the jury instructions and special verdict forms.  </w:t>
      </w:r>
      <w:proofErr w:type="spellStart"/>
      <w:r>
        <w:t>Skillz</w:t>
      </w:r>
      <w:proofErr w:type="spellEnd"/>
      <w:r>
        <w:t xml:space="preserve"> further contends that the damages awarded to Shah are “contrary to law” </w:t>
      </w:r>
      <w:r>
        <w:t xml:space="preserve">because they were not measured as of the date of breach, </w:t>
      </w:r>
      <w:r>
        <w:t>requiring either a far lower award or a new trial</w:t>
      </w:r>
      <w:r>
        <w:t xml:space="preserve"> on damages</w:t>
      </w:r>
      <w:r>
        <w:t xml:space="preserve">.  Meanwhile, Shah contends that the jury verdict </w:t>
      </w:r>
      <w:proofErr w:type="gramStart"/>
      <w:r>
        <w:t>in excess of</w:t>
      </w:r>
      <w:proofErr w:type="gramEnd"/>
      <w:r>
        <w:t xml:space="preserve"> $11.5 million </w:t>
      </w:r>
      <w:r>
        <w:t xml:space="preserve">should be reinstated because of errors in the trial court’s new trial orders and remittitur.  Shah </w:t>
      </w:r>
      <w:r>
        <w:lastRenderedPageBreak/>
        <w:t>also contends that th</w:t>
      </w:r>
      <w:r>
        <w:t>e court erred in dismissing his tort claims before trial because his stock options are “wages” under the Labor Code.  We conclude that the court abused its discretion by excluding approximately $2.3 million in damages attributable to the loss of some of Shah’s stock options from the amount of the remittitur but affirm in all other respects.</w:t>
      </w:r>
      <w:r>
        <w:t xml:space="preserve">  </w:t>
      </w:r>
    </w:p>
    <w:p w14:paraId="0AB1327B" w14:textId="77777777" w:rsidR="00E748F1" w:rsidRPr="003434FC" w:rsidRDefault="00E748F1" w:rsidP="00085776">
      <w:pPr>
        <w:spacing w:line="360" w:lineRule="auto"/>
      </w:pPr>
      <w:r>
        <w:tab/>
      </w:r>
      <w:r w:rsidRPr="00E14E01">
        <w:t xml:space="preserve">In the portions of our opinion certified for publication, we </w:t>
      </w:r>
      <w:r w:rsidRPr="00E14E01">
        <w:t>hold</w:t>
      </w:r>
      <w:r w:rsidRPr="00E14E01">
        <w:t xml:space="preserve"> that</w:t>
      </w:r>
      <w:r w:rsidRPr="00E14E01">
        <w:t xml:space="preserve">:  </w:t>
      </w:r>
      <w:r w:rsidRPr="00E14E01">
        <w:br/>
      </w:r>
      <w:r w:rsidRPr="00E14E01">
        <w:t>(1)</w:t>
      </w:r>
      <w:r w:rsidRPr="00E14E01">
        <w:t xml:space="preserve"> </w:t>
      </w:r>
      <w:r w:rsidRPr="00E14E01">
        <w:t>under both California and Delaware law,</w:t>
      </w:r>
      <w:r w:rsidRPr="00E14E01">
        <w:t xml:space="preserve"> </w:t>
      </w:r>
      <w:r w:rsidRPr="00E14E01">
        <w:t>Shah’s damages were properly measured</w:t>
      </w:r>
      <w:r w:rsidRPr="00E14E01">
        <w:t xml:space="preserve"> </w:t>
      </w:r>
      <w:r w:rsidRPr="00E14E01">
        <w:t xml:space="preserve">after </w:t>
      </w:r>
      <w:r w:rsidRPr="00E14E01">
        <w:t>the date of breach</w:t>
      </w:r>
      <w:r w:rsidRPr="00E14E01">
        <w:t xml:space="preserve">, following </w:t>
      </w:r>
      <w:r w:rsidRPr="00E14E01">
        <w:t>the IPO</w:t>
      </w:r>
      <w:r w:rsidRPr="00E14E01">
        <w:t xml:space="preserve">; (2) </w:t>
      </w:r>
      <w:r w:rsidRPr="00E14E01">
        <w:t xml:space="preserve">the </w:t>
      </w:r>
      <w:r w:rsidRPr="00E14E01">
        <w:t xml:space="preserve">operative </w:t>
      </w:r>
      <w:r w:rsidRPr="00E14E01">
        <w:t xml:space="preserve">pleading </w:t>
      </w:r>
      <w:r w:rsidRPr="00E14E01">
        <w:t>gave</w:t>
      </w:r>
      <w:r w:rsidRPr="00E14E01">
        <w:t xml:space="preserve"> </w:t>
      </w:r>
      <w:proofErr w:type="spellStart"/>
      <w:r w:rsidRPr="00E14E01">
        <w:t>Skillz</w:t>
      </w:r>
      <w:proofErr w:type="spellEnd"/>
      <w:r w:rsidRPr="00E14E01">
        <w:t xml:space="preserve"> adequ</w:t>
      </w:r>
      <w:r w:rsidRPr="00E14E01">
        <w:t xml:space="preserve">ate notice that Shah sought damages for </w:t>
      </w:r>
      <w:r w:rsidRPr="00E14E01">
        <w:t xml:space="preserve">the loss of the </w:t>
      </w:r>
      <w:r w:rsidRPr="00E14E01">
        <w:t xml:space="preserve">performance </w:t>
      </w:r>
      <w:r w:rsidRPr="00E14E01">
        <w:t xml:space="preserve">stock options he was </w:t>
      </w:r>
      <w:r w:rsidRPr="00E14E01">
        <w:t>granted in</w:t>
      </w:r>
      <w:r w:rsidRPr="00E14E01">
        <w:t xml:space="preserve"> </w:t>
      </w:r>
      <w:r w:rsidRPr="00E14E01">
        <w:t>late</w:t>
      </w:r>
      <w:r w:rsidRPr="00E14E01">
        <w:t xml:space="preserve"> 2016;</w:t>
      </w:r>
      <w:r w:rsidRPr="00E14E01">
        <w:t xml:space="preserve"> </w:t>
      </w:r>
      <w:r w:rsidRPr="00E14E01">
        <w:t>and</w:t>
      </w:r>
      <w:r w:rsidRPr="00E14E01">
        <w:t xml:space="preserve"> (3)</w:t>
      </w:r>
      <w:r w:rsidRPr="00E14E01">
        <w:t xml:space="preserve"> </w:t>
      </w:r>
      <w:r w:rsidRPr="00E14E01">
        <w:t xml:space="preserve">stock options are not wages under </w:t>
      </w:r>
      <w:r>
        <w:t>the Labor Code</w:t>
      </w:r>
      <w:r w:rsidRPr="00E14E01">
        <w:t xml:space="preserve">.  In the unpublished portion of our opinion, we </w:t>
      </w:r>
      <w:r w:rsidRPr="00E14E01">
        <w:t>reject</w:t>
      </w:r>
      <w:r w:rsidRPr="00E14E01">
        <w:t xml:space="preserve"> </w:t>
      </w:r>
      <w:r w:rsidRPr="00E14E01">
        <w:t>the parties’ other arguments.</w:t>
      </w:r>
      <w:r>
        <w:t xml:space="preserve"> </w:t>
      </w:r>
    </w:p>
    <w:p w14:paraId="4AEA59A5" w14:textId="77777777" w:rsidR="00E748F1" w:rsidRPr="003B573D" w:rsidRDefault="00E748F1" w:rsidP="00085776">
      <w:pPr>
        <w:tabs>
          <w:tab w:val="clear" w:pos="720"/>
          <w:tab w:val="left" w:pos="0"/>
        </w:tabs>
        <w:spacing w:line="360" w:lineRule="auto"/>
        <w:jc w:val="center"/>
        <w:rPr>
          <w:b/>
          <w:bCs/>
          <w:u w:val="single"/>
        </w:rPr>
      </w:pPr>
      <w:r w:rsidRPr="003B573D">
        <w:rPr>
          <w:b/>
          <w:bCs/>
        </w:rPr>
        <w:t>I.</w:t>
      </w:r>
      <w:r w:rsidRPr="003B573D">
        <w:rPr>
          <w:b/>
          <w:bCs/>
        </w:rPr>
        <w:t xml:space="preserve">  </w:t>
      </w:r>
      <w:r w:rsidRPr="003B573D">
        <w:rPr>
          <w:b/>
          <w:bCs/>
          <w:u w:val="single"/>
        </w:rPr>
        <w:t>BACKGROUND</w:t>
      </w:r>
    </w:p>
    <w:p w14:paraId="1B7DFB4A" w14:textId="77777777" w:rsidR="00E748F1" w:rsidRDefault="00E748F1" w:rsidP="00085776">
      <w:pPr>
        <w:tabs>
          <w:tab w:val="clear" w:pos="720"/>
          <w:tab w:val="left" w:pos="0"/>
        </w:tabs>
        <w:spacing w:line="360" w:lineRule="auto"/>
        <w:rPr>
          <w:u w:val="single"/>
        </w:rPr>
      </w:pPr>
      <w:r>
        <w:tab/>
      </w:r>
      <w:r w:rsidRPr="00E86CB1">
        <w:t xml:space="preserve">A.  </w:t>
      </w:r>
      <w:r>
        <w:rPr>
          <w:u w:val="single"/>
        </w:rPr>
        <w:t>Facts</w:t>
      </w:r>
    </w:p>
    <w:p w14:paraId="4B1E1262" w14:textId="77777777" w:rsidR="00E748F1" w:rsidRDefault="00E748F1" w:rsidP="00085776">
      <w:pPr>
        <w:tabs>
          <w:tab w:val="clear" w:pos="720"/>
          <w:tab w:val="left" w:pos="0"/>
        </w:tabs>
        <w:spacing w:line="360" w:lineRule="auto"/>
      </w:pPr>
      <w:r>
        <w:tab/>
      </w:r>
      <w:proofErr w:type="spellStart"/>
      <w:r>
        <w:t>Skillz</w:t>
      </w:r>
      <w:proofErr w:type="spellEnd"/>
      <w:r>
        <w:t xml:space="preserve"> </w:t>
      </w:r>
      <w:r>
        <w:t>is a mobile gaming company</w:t>
      </w:r>
      <w:r>
        <w:t xml:space="preserve"> </w:t>
      </w:r>
      <w:r>
        <w:t>founded</w:t>
      </w:r>
      <w:r>
        <w:t xml:space="preserve"> in 2012</w:t>
      </w:r>
      <w:r>
        <w:t xml:space="preserve"> by Andrew Paradise and Casey </w:t>
      </w:r>
      <w:proofErr w:type="spellStart"/>
      <w:r>
        <w:t>Chafkin</w:t>
      </w:r>
      <w:proofErr w:type="spellEnd"/>
      <w:r>
        <w:t xml:space="preserve">.  </w:t>
      </w:r>
      <w:r>
        <w:t>The company</w:t>
      </w:r>
      <w:r>
        <w:t xml:space="preserve"> provides a</w:t>
      </w:r>
      <w:r>
        <w:t>n online</w:t>
      </w:r>
      <w:r>
        <w:t xml:space="preserve"> platform</w:t>
      </w:r>
      <w:r>
        <w:t xml:space="preserve"> where</w:t>
      </w:r>
      <w:r>
        <w:t xml:space="preserve"> users can play</w:t>
      </w:r>
      <w:r>
        <w:t xml:space="preserve"> video games</w:t>
      </w:r>
      <w:r>
        <w:t xml:space="preserve"> and compete with </w:t>
      </w:r>
      <w:r>
        <w:t>others on their mobile devices</w:t>
      </w:r>
      <w:r>
        <w:t>.</w:t>
      </w:r>
      <w:r>
        <w:t xml:space="preserve"> </w:t>
      </w:r>
      <w:r>
        <w:t xml:space="preserve"> Paradise </w:t>
      </w:r>
      <w:r>
        <w:t xml:space="preserve">is </w:t>
      </w:r>
      <w:proofErr w:type="spellStart"/>
      <w:r>
        <w:t>Skillz’s</w:t>
      </w:r>
      <w:proofErr w:type="spellEnd"/>
      <w:r>
        <w:t xml:space="preserve"> Chief Executive Officer</w:t>
      </w:r>
      <w:r>
        <w:t xml:space="preserve"> and </w:t>
      </w:r>
      <w:proofErr w:type="spellStart"/>
      <w:r>
        <w:t>Chafkin</w:t>
      </w:r>
      <w:proofErr w:type="spellEnd"/>
      <w:r>
        <w:t xml:space="preserve"> is </w:t>
      </w:r>
      <w:r>
        <w:t>its</w:t>
      </w:r>
      <w:r>
        <w:t xml:space="preserve"> Chief Re</w:t>
      </w:r>
      <w:r>
        <w:t>venue Officer.</w:t>
      </w:r>
      <w:r>
        <w:t xml:space="preserve"> </w:t>
      </w:r>
      <w:r>
        <w:t xml:space="preserve"> </w:t>
      </w:r>
    </w:p>
    <w:p w14:paraId="5BB424E6" w14:textId="77777777" w:rsidR="00E748F1" w:rsidRDefault="00E748F1" w:rsidP="00085776">
      <w:pPr>
        <w:tabs>
          <w:tab w:val="clear" w:pos="720"/>
          <w:tab w:val="left" w:pos="0"/>
        </w:tabs>
        <w:spacing w:line="360" w:lineRule="auto"/>
      </w:pPr>
      <w:r>
        <w:tab/>
      </w:r>
      <w:r>
        <w:t xml:space="preserve">In October 2015, </w:t>
      </w:r>
      <w:proofErr w:type="spellStart"/>
      <w:r>
        <w:t>Skillz</w:t>
      </w:r>
      <w:proofErr w:type="spellEnd"/>
      <w:r>
        <w:t xml:space="preserve"> hired Shah </w:t>
      </w:r>
      <w:r>
        <w:t xml:space="preserve">as Director of </w:t>
      </w:r>
      <w:proofErr w:type="spellStart"/>
      <w:r>
        <w:t>Skillz</w:t>
      </w:r>
      <w:proofErr w:type="spellEnd"/>
      <w:r>
        <w:t xml:space="preserve"> Live</w:t>
      </w:r>
      <w:r>
        <w:t>,</w:t>
      </w:r>
      <w:r>
        <w:t xml:space="preserve"> a </w:t>
      </w:r>
      <w:r>
        <w:t>new program</w:t>
      </w:r>
      <w:r>
        <w:t xml:space="preserve"> </w:t>
      </w:r>
      <w:proofErr w:type="spellStart"/>
      <w:r>
        <w:t>Skillz</w:t>
      </w:r>
      <w:proofErr w:type="spellEnd"/>
      <w:r>
        <w:t xml:space="preserve"> was launching</w:t>
      </w:r>
      <w:r>
        <w:t xml:space="preserve"> at the time</w:t>
      </w:r>
      <w:r>
        <w:t>.</w:t>
      </w:r>
      <w:r>
        <w:t xml:space="preserve"> </w:t>
      </w:r>
      <w:r>
        <w:t xml:space="preserve"> </w:t>
      </w:r>
      <w:r>
        <w:t xml:space="preserve">Shah’s title later changed to </w:t>
      </w:r>
      <w:r>
        <w:t xml:space="preserve">Director of Finance and Strategy in mid-2017. </w:t>
      </w:r>
      <w:r>
        <w:t xml:space="preserve"> At the time Shah joined </w:t>
      </w:r>
      <w:proofErr w:type="spellStart"/>
      <w:r>
        <w:t>Skillz</w:t>
      </w:r>
      <w:proofErr w:type="spellEnd"/>
      <w:r>
        <w:t>, two contracts governed his employment</w:t>
      </w:r>
      <w:proofErr w:type="gramStart"/>
      <w:r>
        <w:t>:  (</w:t>
      </w:r>
      <w:proofErr w:type="gramEnd"/>
      <w:r>
        <w:t>1)</w:t>
      </w:r>
      <w:r>
        <w:t xml:space="preserve"> the September </w:t>
      </w:r>
      <w:r>
        <w:t xml:space="preserve">30, 2015 </w:t>
      </w:r>
      <w:r>
        <w:t>offer letter</w:t>
      </w:r>
      <w:r>
        <w:t xml:space="preserve"> (Employment Contract)</w:t>
      </w:r>
      <w:r>
        <w:t xml:space="preserve"> </w:t>
      </w:r>
      <w:r>
        <w:t xml:space="preserve">that Shah </w:t>
      </w:r>
      <w:r>
        <w:t>accepted and sign</w:t>
      </w:r>
      <w:r>
        <w:t>ed</w:t>
      </w:r>
      <w:r>
        <w:t xml:space="preserve">; and (2) the Notice of </w:t>
      </w:r>
      <w:r>
        <w:t>Stock Option Grant</w:t>
      </w:r>
      <w:r>
        <w:t xml:space="preserve"> (Notice).</w:t>
      </w:r>
      <w:r>
        <w:t xml:space="preserve"> </w:t>
      </w:r>
    </w:p>
    <w:p w14:paraId="28F86997" w14:textId="77777777" w:rsidR="00E748F1" w:rsidRDefault="00E748F1" w:rsidP="00085776">
      <w:pPr>
        <w:tabs>
          <w:tab w:val="clear" w:pos="720"/>
        </w:tabs>
        <w:spacing w:line="360" w:lineRule="auto"/>
      </w:pPr>
      <w:r>
        <w:tab/>
        <w:t>Shah’s Employment Contract</w:t>
      </w:r>
      <w:r>
        <w:t xml:space="preserve"> </w:t>
      </w:r>
      <w:r>
        <w:t xml:space="preserve">established </w:t>
      </w:r>
      <w:r>
        <w:t xml:space="preserve">that </w:t>
      </w:r>
      <w:r>
        <w:t xml:space="preserve">his </w:t>
      </w:r>
      <w:r>
        <w:t xml:space="preserve">employment was </w:t>
      </w:r>
      <w:r>
        <w:br/>
      </w:r>
      <w:r>
        <w:t xml:space="preserve">at-will </w:t>
      </w:r>
      <w:r>
        <w:t xml:space="preserve">and “may be terminated by [him] or the Company at any time for any </w:t>
      </w:r>
      <w:r>
        <w:lastRenderedPageBreak/>
        <w:t xml:space="preserve">reason with or without advance notice.” </w:t>
      </w:r>
      <w:r>
        <w:t xml:space="preserve"> </w:t>
      </w:r>
      <w:r w:rsidRPr="007F5BF5">
        <w:t>(Bolding and italics omitted.)</w:t>
      </w:r>
      <w:r>
        <w:t xml:space="preserve"> </w:t>
      </w:r>
      <w:r>
        <w:t xml:space="preserve"> </w:t>
      </w:r>
      <w:r>
        <w:t>It</w:t>
      </w:r>
      <w:r>
        <w:t xml:space="preserve"> </w:t>
      </w:r>
      <w:r>
        <w:t xml:space="preserve">also </w:t>
      </w:r>
      <w:r>
        <w:t xml:space="preserve">referenced and </w:t>
      </w:r>
      <w:r>
        <w:t>incorporat</w:t>
      </w:r>
      <w:r>
        <w:t>ed</w:t>
      </w:r>
      <w:r>
        <w:t xml:space="preserve"> </w:t>
      </w:r>
      <w:r>
        <w:t xml:space="preserve">a </w:t>
      </w:r>
      <w:r>
        <w:t>mandatory</w:t>
      </w:r>
      <w:r>
        <w:t xml:space="preserve"> confidentiality agreement</w:t>
      </w:r>
      <w:r>
        <w:t xml:space="preserve"> that</w:t>
      </w:r>
      <w:r>
        <w:t xml:space="preserve"> </w:t>
      </w:r>
      <w:r>
        <w:t xml:space="preserve">Shah </w:t>
      </w:r>
      <w:r>
        <w:t xml:space="preserve">separately </w:t>
      </w:r>
      <w:r>
        <w:t>sign</w:t>
      </w:r>
      <w:r>
        <w:t>ed</w:t>
      </w:r>
      <w:r>
        <w:t xml:space="preserve"> and returned</w:t>
      </w:r>
      <w:r>
        <w:t>.</w:t>
      </w:r>
      <w:r>
        <w:t xml:space="preserve"> </w:t>
      </w:r>
      <w:r>
        <w:t xml:space="preserve"> </w:t>
      </w:r>
      <w:r>
        <w:t xml:space="preserve">As relevant here, </w:t>
      </w:r>
      <w:r>
        <w:t xml:space="preserve">the </w:t>
      </w:r>
      <w:r>
        <w:t xml:space="preserve">confidentiality agreement </w:t>
      </w:r>
      <w:r>
        <w:t xml:space="preserve">prohibited Shah, “without the prior written consent of the Company, </w:t>
      </w:r>
      <w:r>
        <w:t>[</w:t>
      </w:r>
      <w:r>
        <w:t>from</w:t>
      </w:r>
      <w:r>
        <w:t xml:space="preserve">] </w:t>
      </w:r>
      <w:r>
        <w:t>us[</w:t>
      </w:r>
      <w:proofErr w:type="spellStart"/>
      <w:r>
        <w:t>ing</w:t>
      </w:r>
      <w:proofErr w:type="spellEnd"/>
      <w:r>
        <w:t>]</w:t>
      </w:r>
      <w:r>
        <w:t>, except in the course of performance of [his</w:t>
      </w:r>
      <w:r>
        <w:t>] duties for the Company or by court order</w:t>
      </w:r>
      <w:r>
        <w:t>,</w:t>
      </w:r>
      <w:r>
        <w:t xml:space="preserve"> </w:t>
      </w:r>
      <w:proofErr w:type="spellStart"/>
      <w:r>
        <w:t>disclos</w:t>
      </w:r>
      <w:proofErr w:type="spellEnd"/>
      <w:r>
        <w:t>[</w:t>
      </w:r>
      <w:proofErr w:type="spellStart"/>
      <w:r>
        <w:t>ing</w:t>
      </w:r>
      <w:proofErr w:type="spellEnd"/>
      <w:r>
        <w:t xml:space="preserve">] </w:t>
      </w:r>
      <w:r>
        <w:t xml:space="preserve">or </w:t>
      </w:r>
      <w:proofErr w:type="spellStart"/>
      <w:r>
        <w:t>giv</w:t>
      </w:r>
      <w:proofErr w:type="spellEnd"/>
      <w:r>
        <w:t>[</w:t>
      </w:r>
      <w:proofErr w:type="spellStart"/>
      <w:r>
        <w:t>ing</w:t>
      </w:r>
      <w:proofErr w:type="spellEnd"/>
      <w:r>
        <w:t>]</w:t>
      </w:r>
      <w:r>
        <w:t xml:space="preserve"> to</w:t>
      </w:r>
      <w:r>
        <w:t xml:space="preserve"> </w:t>
      </w:r>
      <w:r>
        <w:t>others an</w:t>
      </w:r>
      <w:r>
        <w:t>y</w:t>
      </w:r>
      <w:r>
        <w:t xml:space="preserve"> Confidential Information.”</w:t>
      </w:r>
      <w:r>
        <w:t xml:space="preserve"> </w:t>
      </w:r>
      <w:r>
        <w:t xml:space="preserve"> </w:t>
      </w:r>
      <w:r>
        <w:t>The</w:t>
      </w:r>
      <w:r>
        <w:t xml:space="preserve"> Contract</w:t>
      </w:r>
      <w:r>
        <w:t xml:space="preserve"> </w:t>
      </w:r>
      <w:r>
        <w:t xml:space="preserve">stated </w:t>
      </w:r>
      <w:r>
        <w:t>that Shah’s annual salary was $160,000 and tha</w:t>
      </w:r>
      <w:r>
        <w:t>t he would be granted</w:t>
      </w:r>
      <w:r>
        <w:t xml:space="preserve"> </w:t>
      </w:r>
      <w:r>
        <w:t>6</w:t>
      </w:r>
      <w:r>
        <w:t>9,487 stock options</w:t>
      </w:r>
      <w:r>
        <w:t xml:space="preserve"> </w:t>
      </w:r>
      <w:r>
        <w:t>on</w:t>
      </w:r>
      <w:r>
        <w:t xml:space="preserve"> a four-year vesting schedule</w:t>
      </w:r>
      <w:r>
        <w:t xml:space="preserve"> (</w:t>
      </w:r>
      <w:r>
        <w:t>25 percent after one year, and 6.25 percent every three months thereafter).</w:t>
      </w:r>
      <w:r>
        <w:t xml:space="preserve"> </w:t>
      </w:r>
      <w:r>
        <w:t xml:space="preserve"> Any</w:t>
      </w:r>
      <w:r>
        <w:t xml:space="preserve"> </w:t>
      </w:r>
      <w:r>
        <w:t>unvested</w:t>
      </w:r>
      <w:r>
        <w:t xml:space="preserve"> options</w:t>
      </w:r>
      <w:r>
        <w:t xml:space="preserve"> </w:t>
      </w:r>
      <w:r>
        <w:t>were to be</w:t>
      </w:r>
      <w:r>
        <w:t xml:space="preserve"> forfeited</w:t>
      </w:r>
      <w:r>
        <w:t xml:space="preserve"> if Shah left </w:t>
      </w:r>
      <w:proofErr w:type="spellStart"/>
      <w:r>
        <w:t>Skillz</w:t>
      </w:r>
      <w:proofErr w:type="spellEnd"/>
      <w:r>
        <w:t xml:space="preserve"> before </w:t>
      </w:r>
      <w:proofErr w:type="gramStart"/>
      <w:r>
        <w:t xml:space="preserve">all </w:t>
      </w:r>
      <w:r>
        <w:t>of</w:t>
      </w:r>
      <w:proofErr w:type="gramEnd"/>
      <w:r>
        <w:t xml:space="preserve"> </w:t>
      </w:r>
      <w:r>
        <w:t xml:space="preserve">his options </w:t>
      </w:r>
      <w:proofErr w:type="gramStart"/>
      <w:r>
        <w:t>vested</w:t>
      </w:r>
      <w:proofErr w:type="gramEnd"/>
      <w:r>
        <w:t>.</w:t>
      </w:r>
      <w:r>
        <w:t xml:space="preserve"> </w:t>
      </w:r>
    </w:p>
    <w:p w14:paraId="5CF79E1F" w14:textId="77777777" w:rsidR="00E748F1" w:rsidRDefault="00E748F1" w:rsidP="00085776">
      <w:pPr>
        <w:tabs>
          <w:tab w:val="clear" w:pos="720"/>
        </w:tabs>
        <w:spacing w:line="360" w:lineRule="auto"/>
      </w:pPr>
      <w:r>
        <w:tab/>
      </w:r>
      <w:r>
        <w:t xml:space="preserve">The Employment Contract </w:t>
      </w:r>
      <w:r>
        <w:t xml:space="preserve">further </w:t>
      </w:r>
      <w:r>
        <w:t>specified</w:t>
      </w:r>
      <w:r>
        <w:t xml:space="preserve"> that</w:t>
      </w:r>
      <w:r>
        <w:t xml:space="preserve"> the grant of </w:t>
      </w:r>
      <w:r>
        <w:t>Shah’s</w:t>
      </w:r>
      <w:r>
        <w:t xml:space="preserve"> </w:t>
      </w:r>
      <w:r>
        <w:t xml:space="preserve">stock options </w:t>
      </w:r>
      <w:r>
        <w:t>was “subject to and exclusively governed by</w:t>
      </w:r>
      <w:r>
        <w:t xml:space="preserve">” </w:t>
      </w:r>
      <w:r>
        <w:t xml:space="preserve">the </w:t>
      </w:r>
      <w:r>
        <w:t xml:space="preserve">Notice, the </w:t>
      </w:r>
      <w:r>
        <w:t>2012 Equity Incentive Plan</w:t>
      </w:r>
      <w:r>
        <w:t xml:space="preserve"> (Plan)</w:t>
      </w:r>
      <w:r>
        <w:t>,</w:t>
      </w:r>
      <w:r>
        <w:rPr>
          <w:rStyle w:val="FootnoteReference"/>
        </w:rPr>
        <w:footnoteReference w:id="4"/>
      </w:r>
      <w:r>
        <w:t xml:space="preserve"> </w:t>
      </w:r>
      <w:r>
        <w:t>and the Option Award Agreement.</w:t>
      </w:r>
      <w:r>
        <w:rPr>
          <w:rStyle w:val="FootnoteReference"/>
        </w:rPr>
        <w:footnoteReference w:id="5"/>
      </w:r>
      <w:r>
        <w:t xml:space="preserve"> </w:t>
      </w:r>
      <w:r>
        <w:t xml:space="preserve"> </w:t>
      </w:r>
      <w:r>
        <w:t>The Plan</w:t>
      </w:r>
      <w:r>
        <w:t xml:space="preserve"> </w:t>
      </w:r>
      <w:r>
        <w:t xml:space="preserve">provided </w:t>
      </w:r>
      <w:r>
        <w:t xml:space="preserve">that </w:t>
      </w:r>
      <w:r>
        <w:t>if Shah</w:t>
      </w:r>
      <w:r>
        <w:t xml:space="preserve"> was terminated</w:t>
      </w:r>
      <w:r>
        <w:t xml:space="preserve"> without cause</w:t>
      </w:r>
      <w:r>
        <w:t xml:space="preserve">, </w:t>
      </w:r>
      <w:r>
        <w:t xml:space="preserve">he would have three months </w:t>
      </w:r>
      <w:r>
        <w:t xml:space="preserve">from his termination date to exercise </w:t>
      </w:r>
      <w:r>
        <w:t xml:space="preserve">his </w:t>
      </w:r>
      <w:r>
        <w:t>vested</w:t>
      </w:r>
      <w:r>
        <w:t xml:space="preserve"> options</w:t>
      </w:r>
      <w:r>
        <w:t>.</w:t>
      </w:r>
      <w:r>
        <w:t xml:space="preserve"> </w:t>
      </w:r>
      <w:r>
        <w:t xml:space="preserve"> If </w:t>
      </w:r>
      <w:r>
        <w:t xml:space="preserve">Shah was </w:t>
      </w:r>
      <w:r>
        <w:t>terminated for cause</w:t>
      </w:r>
      <w:r>
        <w:t>,</w:t>
      </w:r>
      <w:r>
        <w:t xml:space="preserve"> however</w:t>
      </w:r>
      <w:r>
        <w:t xml:space="preserve">, </w:t>
      </w:r>
      <w:r>
        <w:t>hi</w:t>
      </w:r>
      <w:r>
        <w:t xml:space="preserve">s options </w:t>
      </w:r>
      <w:r>
        <w:t xml:space="preserve">would expire on the date of his termination. </w:t>
      </w:r>
      <w:r>
        <w:t xml:space="preserve"> The Plan defined</w:t>
      </w:r>
      <w:r>
        <w:t xml:space="preserve"> “cause”</w:t>
      </w:r>
      <w:r>
        <w:t xml:space="preserve"> </w:t>
      </w:r>
      <w:r>
        <w:t xml:space="preserve">to include </w:t>
      </w:r>
      <w:r>
        <w:t xml:space="preserve">various </w:t>
      </w:r>
      <w:r>
        <w:t>offenses</w:t>
      </w:r>
      <w:r>
        <w:t>,</w:t>
      </w:r>
      <w:r>
        <w:t xml:space="preserve"> </w:t>
      </w:r>
      <w:r>
        <w:t xml:space="preserve">including </w:t>
      </w:r>
      <w:r>
        <w:t xml:space="preserve">the employee’s </w:t>
      </w:r>
      <w:r>
        <w:t>“</w:t>
      </w:r>
      <w:r>
        <w:t xml:space="preserve">breach of his or her fiduciary </w:t>
      </w:r>
      <w:r>
        <w:t>trust or duty,</w:t>
      </w:r>
      <w:r>
        <w:t>” “</w:t>
      </w:r>
      <w:r>
        <w:t>material breach</w:t>
      </w:r>
      <w:r>
        <w:t xml:space="preserve">” of the confidentiality agreement, </w:t>
      </w:r>
      <w:r>
        <w:t xml:space="preserve">“gross misconduct or any act which is injurious” to </w:t>
      </w:r>
      <w:proofErr w:type="spellStart"/>
      <w:r>
        <w:t>Skillz</w:t>
      </w:r>
      <w:proofErr w:type="spellEnd"/>
      <w:r>
        <w:t>.</w:t>
      </w:r>
      <w:r>
        <w:t xml:space="preserve"> </w:t>
      </w:r>
      <w:r>
        <w:t xml:space="preserve"> </w:t>
      </w:r>
      <w:r>
        <w:t>Theft</w:t>
      </w:r>
      <w:r>
        <w:t xml:space="preserve"> was </w:t>
      </w:r>
      <w:r>
        <w:t xml:space="preserve">also </w:t>
      </w:r>
      <w:r>
        <w:t>considered</w:t>
      </w:r>
      <w:r>
        <w:t xml:space="preserve"> a “cause” offense</w:t>
      </w:r>
      <w:r>
        <w:t xml:space="preserve">, </w:t>
      </w:r>
      <w:r>
        <w:lastRenderedPageBreak/>
        <w:t xml:space="preserve">even </w:t>
      </w:r>
      <w:r>
        <w:t xml:space="preserve">though </w:t>
      </w:r>
      <w:r>
        <w:t xml:space="preserve">it was not </w:t>
      </w:r>
      <w:r>
        <w:t>specifically enumerated in the Plan.</w:t>
      </w:r>
      <w:r>
        <w:t xml:space="preserve"> </w:t>
      </w:r>
      <w:r>
        <w:t xml:space="preserve"> </w:t>
      </w:r>
      <w:r>
        <w:t>A finding of</w:t>
      </w:r>
      <w:r>
        <w:t xml:space="preserve"> “cause” </w:t>
      </w:r>
      <w:r>
        <w:t xml:space="preserve">was </w:t>
      </w:r>
      <w:r>
        <w:t>to be made by</w:t>
      </w:r>
      <w:r>
        <w:t xml:space="preserve"> </w:t>
      </w:r>
      <w:proofErr w:type="spellStart"/>
      <w:r>
        <w:t>Skillz’s</w:t>
      </w:r>
      <w:proofErr w:type="spellEnd"/>
      <w:r>
        <w:t xml:space="preserve"> Board of Directors (Board). </w:t>
      </w:r>
    </w:p>
    <w:p w14:paraId="2279E40E" w14:textId="77777777" w:rsidR="00E748F1" w:rsidRDefault="00E748F1" w:rsidP="00085776">
      <w:pPr>
        <w:tabs>
          <w:tab w:val="clear" w:pos="720"/>
          <w:tab w:val="left" w:pos="0"/>
        </w:tabs>
        <w:spacing w:line="360" w:lineRule="auto"/>
      </w:pPr>
      <w:r>
        <w:tab/>
        <w:t xml:space="preserve">The </w:t>
      </w:r>
      <w:r>
        <w:t xml:space="preserve">Notice, the </w:t>
      </w:r>
      <w:r>
        <w:t>second contract</w:t>
      </w:r>
      <w:r>
        <w:t xml:space="preserve"> </w:t>
      </w:r>
      <w:r>
        <w:t>governing Shah’s employment,</w:t>
      </w:r>
      <w:r>
        <w:t xml:space="preserve"> is a</w:t>
      </w:r>
      <w:r>
        <w:t xml:space="preserve"> </w:t>
      </w:r>
      <w:r>
        <w:t xml:space="preserve">one-page document </w:t>
      </w:r>
      <w:r>
        <w:t>that</w:t>
      </w:r>
      <w:r>
        <w:t xml:space="preserve"> </w:t>
      </w:r>
      <w:r>
        <w:t xml:space="preserve">summarizes the terms of </w:t>
      </w:r>
      <w:r>
        <w:t>Shah’s initial stock o</w:t>
      </w:r>
      <w:r>
        <w:t>ption gran</w:t>
      </w:r>
      <w:r>
        <w:t>t</w:t>
      </w:r>
      <w:r>
        <w:t>.</w:t>
      </w:r>
      <w:r>
        <w:t xml:space="preserve">  </w:t>
      </w:r>
      <w:r>
        <w:t>It</w:t>
      </w:r>
      <w:r>
        <w:t xml:space="preserve"> </w:t>
      </w:r>
      <w:r>
        <w:t xml:space="preserve">established </w:t>
      </w:r>
      <w:r>
        <w:t xml:space="preserve">an exercise price of 34 cents per share. </w:t>
      </w:r>
      <w:r>
        <w:t xml:space="preserve"> It </w:t>
      </w:r>
      <w:r>
        <w:t xml:space="preserve">also mistakenly </w:t>
      </w:r>
      <w:r>
        <w:t xml:space="preserve">included a two-year vesting </w:t>
      </w:r>
      <w:r>
        <w:t>schedule</w:t>
      </w:r>
      <w:r>
        <w:t xml:space="preserve"> instead of </w:t>
      </w:r>
      <w:r>
        <w:t xml:space="preserve">the </w:t>
      </w:r>
      <w:r>
        <w:t xml:space="preserve">four-year </w:t>
      </w:r>
      <w:r>
        <w:t xml:space="preserve">vesting schedule </w:t>
      </w:r>
      <w:r>
        <w:t>contained in</w:t>
      </w:r>
      <w:r>
        <w:t xml:space="preserve"> Shah</w:t>
      </w:r>
      <w:r>
        <w:t>’</w:t>
      </w:r>
      <w:r>
        <w:t>s Employment Contract</w:t>
      </w:r>
      <w:r>
        <w:t>.</w:t>
      </w:r>
      <w:r>
        <w:t xml:space="preserve"> </w:t>
      </w:r>
      <w:r>
        <w:t xml:space="preserve"> </w:t>
      </w:r>
      <w:proofErr w:type="spellStart"/>
      <w:r>
        <w:t>Skillz</w:t>
      </w:r>
      <w:proofErr w:type="spellEnd"/>
      <w:r>
        <w:t xml:space="preserve"> </w:t>
      </w:r>
      <w:r>
        <w:t>later</w:t>
      </w:r>
      <w:r>
        <w:t xml:space="preserve"> </w:t>
      </w:r>
      <w:r>
        <w:t xml:space="preserve">informed Shah </w:t>
      </w:r>
      <w:r>
        <w:t>of this</w:t>
      </w:r>
      <w:r>
        <w:t xml:space="preserve"> error and sent him </w:t>
      </w:r>
      <w:r>
        <w:t xml:space="preserve">a correction letter </w:t>
      </w:r>
      <w:r>
        <w:t xml:space="preserve">to sign. </w:t>
      </w:r>
      <w:r>
        <w:t xml:space="preserve"> </w:t>
      </w:r>
      <w:r>
        <w:t xml:space="preserve">But </w:t>
      </w:r>
      <w:r>
        <w:t>Shah did not sign th</w:t>
      </w:r>
      <w:r>
        <w:t>e</w:t>
      </w:r>
      <w:r>
        <w:t xml:space="preserve"> letter</w:t>
      </w:r>
      <w:r>
        <w:t xml:space="preserve"> despite repeated </w:t>
      </w:r>
      <w:r>
        <w:t>request</w:t>
      </w:r>
      <w:r>
        <w:t xml:space="preserve">s from </w:t>
      </w:r>
      <w:proofErr w:type="spellStart"/>
      <w:r>
        <w:t>Skillz</w:t>
      </w:r>
      <w:proofErr w:type="spellEnd"/>
      <w:r>
        <w:t>.</w:t>
      </w:r>
      <w:r>
        <w:rPr>
          <w:rStyle w:val="FootnoteReference"/>
        </w:rPr>
        <w:footnoteReference w:id="6"/>
      </w:r>
      <w:r>
        <w:t xml:space="preserve"> </w:t>
      </w:r>
      <w:r>
        <w:t xml:space="preserve"> </w:t>
      </w:r>
      <w:r>
        <w:t>Finally, t</w:t>
      </w:r>
      <w:r>
        <w:t xml:space="preserve">he Notice </w:t>
      </w:r>
      <w:r>
        <w:t>“incorporated”</w:t>
      </w:r>
      <w:r>
        <w:t xml:space="preserve"> </w:t>
      </w:r>
      <w:r>
        <w:t>the Plan and</w:t>
      </w:r>
      <w:r>
        <w:t xml:space="preserve"> Option Award Agreement</w:t>
      </w:r>
      <w:r>
        <w:t xml:space="preserve"> </w:t>
      </w:r>
      <w:r>
        <w:t>“</w:t>
      </w:r>
      <w:r>
        <w:t>by reference.</w:t>
      </w:r>
      <w:r>
        <w:t>”</w:t>
      </w:r>
      <w:r>
        <w:t xml:space="preserve"> </w:t>
      </w:r>
    </w:p>
    <w:p w14:paraId="392EA9EE" w14:textId="77777777" w:rsidR="00E748F1" w:rsidRDefault="00E748F1" w:rsidP="00085776">
      <w:pPr>
        <w:tabs>
          <w:tab w:val="clear" w:pos="720"/>
        </w:tabs>
        <w:spacing w:line="360" w:lineRule="auto"/>
      </w:pPr>
      <w:r>
        <w:tab/>
      </w:r>
      <w:r>
        <w:t>In late</w:t>
      </w:r>
      <w:r>
        <w:t xml:space="preserve"> 2016, </w:t>
      </w:r>
      <w:proofErr w:type="spellStart"/>
      <w:r>
        <w:t>Skillz</w:t>
      </w:r>
      <w:proofErr w:type="spellEnd"/>
      <w:r>
        <w:t xml:space="preserve"> was in financial trouble and</w:t>
      </w:r>
      <w:r>
        <w:t xml:space="preserve"> </w:t>
      </w:r>
      <w:r>
        <w:t>asked higher</w:t>
      </w:r>
      <w:r>
        <w:t xml:space="preserve"> </w:t>
      </w:r>
      <w:r>
        <w:t>earning</w:t>
      </w:r>
      <w:r>
        <w:t xml:space="preserve"> employees</w:t>
      </w:r>
      <w:r>
        <w:t xml:space="preserve"> like Shah </w:t>
      </w:r>
      <w:r>
        <w:t xml:space="preserve">to </w:t>
      </w:r>
      <w:r>
        <w:t>voluntarily reduce their cash compensation</w:t>
      </w:r>
      <w:r>
        <w:t>.</w:t>
      </w:r>
      <w:r>
        <w:t xml:space="preserve"> </w:t>
      </w:r>
      <w:r>
        <w:t xml:space="preserve"> </w:t>
      </w:r>
      <w:r>
        <w:t xml:space="preserve">Specifically, </w:t>
      </w:r>
      <w:proofErr w:type="spellStart"/>
      <w:r>
        <w:t>Skillz</w:t>
      </w:r>
      <w:proofErr w:type="spellEnd"/>
      <w:r>
        <w:t xml:space="preserve"> asked Shah to </w:t>
      </w:r>
      <w:r>
        <w:t xml:space="preserve">take a </w:t>
      </w:r>
      <w:r>
        <w:t>$62,00</w:t>
      </w:r>
      <w:r>
        <w:t>0</w:t>
      </w:r>
      <w:r>
        <w:t xml:space="preserve"> reduction </w:t>
      </w:r>
      <w:r>
        <w:t xml:space="preserve">in compensation, consisting </w:t>
      </w:r>
      <w:r>
        <w:t xml:space="preserve">of </w:t>
      </w:r>
      <w:r>
        <w:t xml:space="preserve">a </w:t>
      </w:r>
      <w:r>
        <w:t xml:space="preserve">$20,000 </w:t>
      </w:r>
      <w:r>
        <w:t xml:space="preserve">reduction in </w:t>
      </w:r>
      <w:r>
        <w:t xml:space="preserve">Shah’s </w:t>
      </w:r>
      <w:r>
        <w:t xml:space="preserve">annual </w:t>
      </w:r>
      <w:r>
        <w:t xml:space="preserve">salary and </w:t>
      </w:r>
      <w:r>
        <w:t xml:space="preserve">the elimination of his </w:t>
      </w:r>
      <w:r>
        <w:t>$42,000</w:t>
      </w:r>
      <w:r>
        <w:t xml:space="preserve"> bonus.</w:t>
      </w:r>
      <w:r>
        <w:t xml:space="preserve"> </w:t>
      </w:r>
      <w:r>
        <w:t xml:space="preserve"> </w:t>
      </w:r>
      <w:r>
        <w:t xml:space="preserve">In exchange, </w:t>
      </w:r>
      <w:proofErr w:type="spellStart"/>
      <w:r>
        <w:t>Skillz</w:t>
      </w:r>
      <w:proofErr w:type="spellEnd"/>
      <w:r>
        <w:t xml:space="preserve"> </w:t>
      </w:r>
      <w:r>
        <w:t>granted</w:t>
      </w:r>
      <w:r>
        <w:t xml:space="preserve"> </w:t>
      </w:r>
      <w:r>
        <w:t xml:space="preserve">21,000 </w:t>
      </w:r>
      <w:r>
        <w:t>additional stock options</w:t>
      </w:r>
      <w:r>
        <w:t xml:space="preserve"> to Shah</w:t>
      </w:r>
      <w:r>
        <w:t xml:space="preserve">. </w:t>
      </w:r>
      <w:r>
        <w:t xml:space="preserve"> </w:t>
      </w:r>
      <w:r>
        <w:t>This additional grant</w:t>
      </w:r>
      <w:r>
        <w:t xml:space="preserve"> </w:t>
      </w:r>
      <w:r>
        <w:t>was</w:t>
      </w:r>
      <w:r>
        <w:t xml:space="preserve"> memorialized </w:t>
      </w:r>
      <w:r>
        <w:t xml:space="preserve">in a December 5, </w:t>
      </w:r>
      <w:proofErr w:type="gramStart"/>
      <w:r>
        <w:t>2016</w:t>
      </w:r>
      <w:proofErr w:type="gramEnd"/>
      <w:r>
        <w:t xml:space="preserve"> Compensation and Title Adjustment </w:t>
      </w:r>
      <w:r>
        <w:t>L</w:t>
      </w:r>
      <w:r>
        <w:t>etter</w:t>
      </w:r>
      <w:r>
        <w:t xml:space="preserve"> (Performance Grant</w:t>
      </w:r>
      <w:r>
        <w:t>)—</w:t>
      </w:r>
      <w:r>
        <w:t>the third contract at issue</w:t>
      </w:r>
      <w:r>
        <w:t xml:space="preserve"> in this case</w:t>
      </w:r>
      <w:r>
        <w:t xml:space="preserve">. </w:t>
      </w:r>
      <w:r>
        <w:t xml:space="preserve"> The</w:t>
      </w:r>
      <w:r>
        <w:t xml:space="preserve">se </w:t>
      </w:r>
      <w:r>
        <w:t xml:space="preserve">options </w:t>
      </w:r>
      <w:r>
        <w:t xml:space="preserve">were granted </w:t>
      </w:r>
      <w:r>
        <w:t xml:space="preserve">to Shah </w:t>
      </w:r>
      <w:r>
        <w:t>quarterly and vested immediately</w:t>
      </w:r>
      <w:r>
        <w:t xml:space="preserve"> upon each grant</w:t>
      </w:r>
      <w:r>
        <w:t xml:space="preserve">. </w:t>
      </w:r>
      <w:r>
        <w:t xml:space="preserve"> 14,250 of these </w:t>
      </w:r>
      <w:r>
        <w:t xml:space="preserve">options </w:t>
      </w:r>
      <w:r>
        <w:t xml:space="preserve">had an exercise price of 38 cents </w:t>
      </w:r>
      <w:r>
        <w:t xml:space="preserve">per share </w:t>
      </w:r>
      <w:r>
        <w:t>while</w:t>
      </w:r>
      <w:r>
        <w:t xml:space="preserve"> the remaining 6,750 </w:t>
      </w:r>
      <w:r>
        <w:t xml:space="preserve">options </w:t>
      </w:r>
      <w:r>
        <w:t xml:space="preserve">had an exercise price of </w:t>
      </w:r>
      <w:r>
        <w:t>$1.12</w:t>
      </w:r>
      <w:r>
        <w:t xml:space="preserve"> per </w:t>
      </w:r>
      <w:r>
        <w:t>shar</w:t>
      </w:r>
      <w:r>
        <w:t>e</w:t>
      </w:r>
      <w:r>
        <w:t>.</w:t>
      </w:r>
      <w:r>
        <w:t xml:space="preserve"> </w:t>
      </w:r>
      <w:r>
        <w:t xml:space="preserve"> In September 2017, </w:t>
      </w:r>
      <w:proofErr w:type="spellStart"/>
      <w:r>
        <w:t>Skillz</w:t>
      </w:r>
      <w:proofErr w:type="spellEnd"/>
      <w:r>
        <w:t xml:space="preserve"> reinstated</w:t>
      </w:r>
      <w:r>
        <w:t xml:space="preserve"> the $62,</w:t>
      </w:r>
      <w:r>
        <w:t>000 in Shah’s cash compensation and</w:t>
      </w:r>
      <w:r>
        <w:t xml:space="preserve"> ended the Performance Grant.</w:t>
      </w:r>
      <w:r>
        <w:t xml:space="preserve"> </w:t>
      </w:r>
    </w:p>
    <w:p w14:paraId="4E39D5D1" w14:textId="77777777" w:rsidR="00E748F1" w:rsidRDefault="00E748F1" w:rsidP="00085776">
      <w:pPr>
        <w:tabs>
          <w:tab w:val="clear" w:pos="720"/>
        </w:tabs>
        <w:spacing w:line="360" w:lineRule="auto"/>
      </w:pPr>
      <w:r>
        <w:lastRenderedPageBreak/>
        <w:tab/>
        <w:t xml:space="preserve">In </w:t>
      </w:r>
      <w:r>
        <w:t>January 2018, Shah</w:t>
      </w:r>
      <w:r>
        <w:t xml:space="preserve"> </w:t>
      </w:r>
      <w:r>
        <w:t>was scheduled</w:t>
      </w:r>
      <w:r>
        <w:t xml:space="preserve"> to go on a trip </w:t>
      </w:r>
      <w:proofErr w:type="gramStart"/>
      <w:r>
        <w:t>with</w:t>
      </w:r>
      <w:proofErr w:type="gramEnd"/>
      <w:r>
        <w:t xml:space="preserve"> Paradise to me</w:t>
      </w:r>
      <w:r>
        <w:t xml:space="preserve">et </w:t>
      </w:r>
      <w:r>
        <w:t xml:space="preserve">with </w:t>
      </w:r>
      <w:r>
        <w:t>potential investors</w:t>
      </w:r>
      <w:r>
        <w:t xml:space="preserve"> </w:t>
      </w:r>
      <w:r>
        <w:t xml:space="preserve">to obtain </w:t>
      </w:r>
      <w:r>
        <w:t xml:space="preserve">additional </w:t>
      </w:r>
      <w:r>
        <w:t>funding</w:t>
      </w:r>
      <w:r>
        <w:t xml:space="preserve"> for the company</w:t>
      </w:r>
      <w:r>
        <w:t xml:space="preserve">. </w:t>
      </w:r>
      <w:r>
        <w:t xml:space="preserve"> </w:t>
      </w:r>
      <w:r>
        <w:t>Right before</w:t>
      </w:r>
      <w:r>
        <w:t xml:space="preserve"> th</w:t>
      </w:r>
      <w:r>
        <w:t>is</w:t>
      </w:r>
      <w:r>
        <w:t xml:space="preserve"> trip</w:t>
      </w:r>
      <w:r>
        <w:t>,</w:t>
      </w:r>
      <w:r>
        <w:t xml:space="preserve"> Shah sent </w:t>
      </w:r>
      <w:r>
        <w:t>Paradise an email</w:t>
      </w:r>
      <w:r>
        <w:t xml:space="preserve"> shortly after midnight on January 18, 2018</w:t>
      </w:r>
      <w:r>
        <w:t>,</w:t>
      </w:r>
      <w:r>
        <w:t xml:space="preserve"> </w:t>
      </w:r>
      <w:r>
        <w:t xml:space="preserve">asking </w:t>
      </w:r>
      <w:r>
        <w:t xml:space="preserve">to </w:t>
      </w:r>
      <w:r>
        <w:t>discuss</w:t>
      </w:r>
      <w:r>
        <w:t xml:space="preserve"> </w:t>
      </w:r>
      <w:r>
        <w:t>“</w:t>
      </w:r>
      <w:r>
        <w:t xml:space="preserve">[his] future at the company and </w:t>
      </w:r>
      <w:proofErr w:type="spellStart"/>
      <w:r>
        <w:t>formaliz</w:t>
      </w:r>
      <w:proofErr w:type="spellEnd"/>
      <w:r>
        <w:t xml:space="preserve">[e] </w:t>
      </w:r>
      <w:r>
        <w:t>[his] associated compensation</w:t>
      </w:r>
      <w:r>
        <w:t>.</w:t>
      </w:r>
      <w:r>
        <w:t>”</w:t>
      </w:r>
      <w:r>
        <w:t xml:space="preserve"> </w:t>
      </w:r>
      <w:r>
        <w:t xml:space="preserve"> </w:t>
      </w:r>
      <w:r>
        <w:t>He acknowledged</w:t>
      </w:r>
      <w:r>
        <w:t xml:space="preserve"> </w:t>
      </w:r>
      <w:r>
        <w:t xml:space="preserve">that </w:t>
      </w:r>
      <w:r>
        <w:t>it</w:t>
      </w:r>
      <w:r>
        <w:t xml:space="preserve"> was a busy time but that this </w:t>
      </w:r>
      <w:r>
        <w:t>was important to him.</w:t>
      </w:r>
      <w:r>
        <w:t xml:space="preserve">  </w:t>
      </w:r>
      <w:r>
        <w:t xml:space="preserve">Paradise </w:t>
      </w:r>
      <w:r>
        <w:t>promptly</w:t>
      </w:r>
      <w:r>
        <w:t xml:space="preserve"> responded</w:t>
      </w:r>
      <w:r>
        <w:t xml:space="preserve"> </w:t>
      </w:r>
      <w:r>
        <w:t xml:space="preserve">that </w:t>
      </w:r>
      <w:r>
        <w:t xml:space="preserve">human resources </w:t>
      </w:r>
      <w:r>
        <w:t xml:space="preserve">“will follow up” </w:t>
      </w:r>
      <w:r>
        <w:t>but</w:t>
      </w:r>
      <w:r>
        <w:t xml:space="preserve"> that given the timing of Shah’s email, it would </w:t>
      </w:r>
      <w:r>
        <w:t xml:space="preserve">be best to cancel his involvement in the investor trip. </w:t>
      </w:r>
      <w:r>
        <w:t xml:space="preserve"> </w:t>
      </w:r>
      <w:r>
        <w:t xml:space="preserve">Paradise then </w:t>
      </w:r>
      <w:r>
        <w:t>“asked company counsel and [</w:t>
      </w:r>
      <w:proofErr w:type="spellStart"/>
      <w:r>
        <w:t>Chafkin</w:t>
      </w:r>
      <w:proofErr w:type="spellEnd"/>
      <w:r>
        <w:t>] to deal with this” so he could focus on the trip.</w:t>
      </w:r>
      <w:r>
        <w:t xml:space="preserve"> </w:t>
      </w:r>
      <w:r>
        <w:t xml:space="preserve"> </w:t>
      </w:r>
    </w:p>
    <w:p w14:paraId="1BCCA246" w14:textId="77777777" w:rsidR="00E748F1" w:rsidRDefault="00E748F1" w:rsidP="00085776">
      <w:pPr>
        <w:tabs>
          <w:tab w:val="clear" w:pos="720"/>
          <w:tab w:val="left" w:pos="0"/>
        </w:tabs>
        <w:spacing w:line="360" w:lineRule="auto"/>
      </w:pPr>
      <w:r>
        <w:tab/>
      </w:r>
      <w:r>
        <w:t xml:space="preserve">Later that </w:t>
      </w:r>
      <w:r>
        <w:t xml:space="preserve">same </w:t>
      </w:r>
      <w:r>
        <w:t xml:space="preserve">day, </w:t>
      </w:r>
      <w:r>
        <w:t xml:space="preserve">Shah met with </w:t>
      </w:r>
      <w:proofErr w:type="spellStart"/>
      <w:r>
        <w:t>Chafkin</w:t>
      </w:r>
      <w:proofErr w:type="spellEnd"/>
      <w:r>
        <w:t xml:space="preserve"> and </w:t>
      </w:r>
      <w:r>
        <w:t>told him he wanted</w:t>
      </w:r>
      <w:r>
        <w:t xml:space="preserve"> a promotion and </w:t>
      </w:r>
      <w:r>
        <w:t>more</w:t>
      </w:r>
      <w:r>
        <w:t xml:space="preserve"> compensation.</w:t>
      </w:r>
      <w:r>
        <w:t xml:space="preserve"> </w:t>
      </w:r>
      <w:r>
        <w:t xml:space="preserve"> </w:t>
      </w:r>
      <w:proofErr w:type="spellStart"/>
      <w:r>
        <w:t>Chafkin</w:t>
      </w:r>
      <w:proofErr w:type="spellEnd"/>
      <w:r>
        <w:t xml:space="preserve"> </w:t>
      </w:r>
      <w:r>
        <w:t>responded</w:t>
      </w:r>
      <w:r>
        <w:t xml:space="preserve"> that a promotion was not appropriate </w:t>
      </w:r>
      <w:r>
        <w:t>given Shah’s current performance.</w:t>
      </w:r>
      <w:r>
        <w:t xml:space="preserve"> </w:t>
      </w:r>
      <w:r>
        <w:t xml:space="preserve"> Shah </w:t>
      </w:r>
      <w:r>
        <w:t xml:space="preserve">also </w:t>
      </w:r>
      <w:r>
        <w:t xml:space="preserve">brought up </w:t>
      </w:r>
      <w:r>
        <w:t xml:space="preserve">his </w:t>
      </w:r>
      <w:r>
        <w:t xml:space="preserve">vesting </w:t>
      </w:r>
      <w:r>
        <w:t xml:space="preserve">schedule </w:t>
      </w:r>
      <w:r>
        <w:t xml:space="preserve">and the correction letter he </w:t>
      </w:r>
      <w:r>
        <w:t xml:space="preserve">had </w:t>
      </w:r>
      <w:r>
        <w:t>not</w:t>
      </w:r>
      <w:r>
        <w:t xml:space="preserve"> yet</w:t>
      </w:r>
      <w:r>
        <w:t xml:space="preserve"> signed</w:t>
      </w:r>
      <w:r>
        <w:t>.</w:t>
      </w:r>
      <w:r>
        <w:t xml:space="preserve"> </w:t>
      </w:r>
      <w:r>
        <w:t xml:space="preserve"> </w:t>
      </w:r>
      <w:proofErr w:type="spellStart"/>
      <w:r>
        <w:t>Chafkin</w:t>
      </w:r>
      <w:proofErr w:type="spellEnd"/>
      <w:r>
        <w:t xml:space="preserve"> believed Shah </w:t>
      </w:r>
      <w:r>
        <w:t>“</w:t>
      </w:r>
      <w:r>
        <w:t xml:space="preserve">was </w:t>
      </w:r>
      <w:r>
        <w:t xml:space="preserve">looking for something in exchange for signing </w:t>
      </w:r>
      <w:r>
        <w:t>. . .</w:t>
      </w:r>
      <w:r>
        <w:t xml:space="preserve"> the correction letter.”</w:t>
      </w:r>
      <w:r>
        <w:t xml:space="preserve"> </w:t>
      </w:r>
      <w:r>
        <w:t xml:space="preserve"> The </w:t>
      </w:r>
      <w:r>
        <w:t>next</w:t>
      </w:r>
      <w:r>
        <w:t xml:space="preserve"> day, </w:t>
      </w:r>
      <w:r>
        <w:t xml:space="preserve">Shah spoke with </w:t>
      </w:r>
      <w:r>
        <w:t xml:space="preserve">Paradise and </w:t>
      </w:r>
      <w:proofErr w:type="spellStart"/>
      <w:r>
        <w:t>Chafkin</w:t>
      </w:r>
      <w:proofErr w:type="spellEnd"/>
      <w:r>
        <w:t xml:space="preserve"> </w:t>
      </w:r>
      <w:r>
        <w:t xml:space="preserve">over the phone </w:t>
      </w:r>
      <w:r>
        <w:t xml:space="preserve">about his future at </w:t>
      </w:r>
      <w:r>
        <w:t xml:space="preserve">the company </w:t>
      </w:r>
      <w:r>
        <w:t xml:space="preserve">and </w:t>
      </w:r>
      <w:r>
        <w:t>the correction letter</w:t>
      </w:r>
      <w:r>
        <w:t xml:space="preserve"> </w:t>
      </w:r>
      <w:proofErr w:type="spellStart"/>
      <w:r>
        <w:t>Skillz</w:t>
      </w:r>
      <w:proofErr w:type="spellEnd"/>
      <w:r>
        <w:t xml:space="preserve"> was “forcing” him to sign</w:t>
      </w:r>
      <w:r>
        <w:t>.</w:t>
      </w:r>
      <w:r>
        <w:t xml:space="preserve"> </w:t>
      </w:r>
      <w:r>
        <w:t xml:space="preserve"> Shah</w:t>
      </w:r>
      <w:r>
        <w:t xml:space="preserve"> </w:t>
      </w:r>
      <w:r>
        <w:t>commented that</w:t>
      </w:r>
      <w:r>
        <w:t xml:space="preserve"> </w:t>
      </w:r>
      <w:r>
        <w:t>it did not make sense for him to remain at the company</w:t>
      </w:r>
      <w:r>
        <w:t xml:space="preserve"> </w:t>
      </w:r>
      <w:r>
        <w:t>if</w:t>
      </w:r>
      <w:r>
        <w:t xml:space="preserve"> </w:t>
      </w:r>
      <w:proofErr w:type="spellStart"/>
      <w:r>
        <w:t>Skillz</w:t>
      </w:r>
      <w:proofErr w:type="spellEnd"/>
      <w:r>
        <w:t xml:space="preserve"> </w:t>
      </w:r>
      <w:r>
        <w:t xml:space="preserve">did not plan to </w:t>
      </w:r>
      <w:r>
        <w:t xml:space="preserve">promote </w:t>
      </w:r>
      <w:r>
        <w:t>him</w:t>
      </w:r>
      <w:r>
        <w:t xml:space="preserve"> </w:t>
      </w:r>
      <w:r>
        <w:t>or increas</w:t>
      </w:r>
      <w:r>
        <w:t>e</w:t>
      </w:r>
      <w:r>
        <w:t xml:space="preserve"> his </w:t>
      </w:r>
      <w:r>
        <w:t>compensation</w:t>
      </w:r>
      <w:r>
        <w:t>.</w:t>
      </w:r>
      <w:r>
        <w:t xml:space="preserve"> </w:t>
      </w:r>
      <w:r w:rsidRPr="00F66D1C">
        <w:t xml:space="preserve"> </w:t>
      </w:r>
      <w:r>
        <w:t>At the end of th</w:t>
      </w:r>
      <w:r>
        <w:t>is</w:t>
      </w:r>
      <w:r>
        <w:t xml:space="preserve"> call, </w:t>
      </w:r>
      <w:proofErr w:type="spellStart"/>
      <w:r>
        <w:t>Chafkin</w:t>
      </w:r>
      <w:proofErr w:type="spellEnd"/>
      <w:r>
        <w:t xml:space="preserve"> and Paradise asked Shah </w:t>
      </w:r>
      <w:r>
        <w:t>for</w:t>
      </w:r>
      <w:r>
        <w:t xml:space="preserve"> an outline of what he was looking for. </w:t>
      </w:r>
    </w:p>
    <w:p w14:paraId="147A07C3" w14:textId="77777777" w:rsidR="00E748F1" w:rsidRDefault="00E748F1" w:rsidP="00085776">
      <w:pPr>
        <w:tabs>
          <w:tab w:val="clear" w:pos="720"/>
          <w:tab w:val="left" w:pos="0"/>
        </w:tabs>
        <w:spacing w:line="360" w:lineRule="auto"/>
      </w:pPr>
      <w:r>
        <w:tab/>
        <w:t xml:space="preserve">On January 21, 2018, </w:t>
      </w:r>
      <w:r>
        <w:t xml:space="preserve">Shah </w:t>
      </w:r>
      <w:r>
        <w:t>emailed</w:t>
      </w:r>
      <w:r>
        <w:t xml:space="preserve"> </w:t>
      </w:r>
      <w:r>
        <w:t xml:space="preserve">a proposal to </w:t>
      </w:r>
      <w:proofErr w:type="spellStart"/>
      <w:r>
        <w:t>Chafkin</w:t>
      </w:r>
      <w:proofErr w:type="spellEnd"/>
      <w:r>
        <w:t xml:space="preserve"> and Paradise </w:t>
      </w:r>
      <w:r>
        <w:t xml:space="preserve">about </w:t>
      </w:r>
      <w:r>
        <w:t xml:space="preserve">transitioning to consultant work for </w:t>
      </w:r>
      <w:proofErr w:type="spellStart"/>
      <w:r>
        <w:t>Skillz</w:t>
      </w:r>
      <w:proofErr w:type="spellEnd"/>
      <w:r>
        <w:t>.</w:t>
      </w:r>
      <w:r>
        <w:t xml:space="preserve"> </w:t>
      </w:r>
      <w:r>
        <w:t xml:space="preserve"> The proposal</w:t>
      </w:r>
      <w:r>
        <w:t xml:space="preserve"> outlined</w:t>
      </w:r>
      <w:r>
        <w:t xml:space="preserve"> two </w:t>
      </w:r>
      <w:r>
        <w:t>alternatives for compensation</w:t>
      </w:r>
      <w:r>
        <w:t xml:space="preserve">.  The </w:t>
      </w:r>
      <w:r>
        <w:t>first</w:t>
      </w:r>
      <w:r>
        <w:t xml:space="preserve"> </w:t>
      </w:r>
      <w:r>
        <w:t xml:space="preserve">proposed </w:t>
      </w:r>
      <w:r>
        <w:t xml:space="preserve">a </w:t>
      </w:r>
      <w:r>
        <w:t xml:space="preserve">$192,000 annual </w:t>
      </w:r>
      <w:r>
        <w:t xml:space="preserve">cash salary </w:t>
      </w:r>
      <w:r>
        <w:t xml:space="preserve">and </w:t>
      </w:r>
      <w:r>
        <w:t xml:space="preserve">an </w:t>
      </w:r>
      <w:r>
        <w:t>equity bonus</w:t>
      </w:r>
      <w:r>
        <w:t xml:space="preserve"> of “0.50% of FDSO</w:t>
      </w:r>
      <w:r>
        <w:t xml:space="preserve"> </w:t>
      </w:r>
      <w:r>
        <w:t>[</w:t>
      </w:r>
      <w:r>
        <w:t xml:space="preserve">fully </w:t>
      </w:r>
      <w:r>
        <w:t>diluted shares outstanding</w:t>
      </w:r>
      <w:r>
        <w:t>] upon completion of Qualified Financing</w:t>
      </w:r>
      <w:r>
        <w:t>.</w:t>
      </w:r>
      <w:r>
        <w:t>”</w:t>
      </w:r>
      <w:r>
        <w:t xml:space="preserve"> </w:t>
      </w:r>
      <w:r>
        <w:t xml:space="preserve"> </w:t>
      </w:r>
      <w:r w:rsidRPr="003B24ED">
        <w:t xml:space="preserve">The second included </w:t>
      </w:r>
      <w:r w:rsidRPr="003B24ED">
        <w:t xml:space="preserve">no cash salary </w:t>
      </w:r>
      <w:r w:rsidRPr="003B24ED">
        <w:t xml:space="preserve">but </w:t>
      </w:r>
      <w:r w:rsidRPr="003B24ED">
        <w:t xml:space="preserve">proposed that Shah receive </w:t>
      </w:r>
      <w:r w:rsidRPr="003B24ED">
        <w:t xml:space="preserve">176,050 </w:t>
      </w:r>
      <w:proofErr w:type="spellStart"/>
      <w:r>
        <w:t>Skillz</w:t>
      </w:r>
      <w:proofErr w:type="spellEnd"/>
      <w:r>
        <w:t xml:space="preserve"> </w:t>
      </w:r>
      <w:r w:rsidRPr="003B24ED">
        <w:t>shares</w:t>
      </w:r>
      <w:r w:rsidRPr="003B24ED">
        <w:t xml:space="preserve"> as an </w:t>
      </w:r>
      <w:r w:rsidRPr="003B24ED">
        <w:lastRenderedPageBreak/>
        <w:t>equity salary</w:t>
      </w:r>
      <w:r w:rsidRPr="003B24ED">
        <w:t xml:space="preserve"> </w:t>
      </w:r>
      <w:r w:rsidRPr="003B24ED">
        <w:t xml:space="preserve">with </w:t>
      </w:r>
      <w:r w:rsidRPr="003B24ED">
        <w:t>the same equity bonus</w:t>
      </w:r>
      <w:r w:rsidRPr="003B24ED">
        <w:t>.</w:t>
      </w:r>
      <w:r w:rsidRPr="003B24ED">
        <w:t xml:space="preserve"> </w:t>
      </w:r>
      <w:r>
        <w:t xml:space="preserve"> </w:t>
      </w:r>
      <w:proofErr w:type="spellStart"/>
      <w:r>
        <w:t>Chaf</w:t>
      </w:r>
      <w:r>
        <w:t>kin</w:t>
      </w:r>
      <w:proofErr w:type="spellEnd"/>
      <w:r>
        <w:t xml:space="preserve"> </w:t>
      </w:r>
      <w:r>
        <w:t xml:space="preserve">found </w:t>
      </w:r>
      <w:r>
        <w:t>this</w:t>
      </w:r>
      <w:r>
        <w:t xml:space="preserve"> proposal “comical” </w:t>
      </w:r>
      <w:r>
        <w:t>because</w:t>
      </w:r>
      <w:r>
        <w:t xml:space="preserve"> the</w:t>
      </w:r>
      <w:r>
        <w:t xml:space="preserve"> compensation </w:t>
      </w:r>
      <w:r>
        <w:t xml:space="preserve">requested by Shah </w:t>
      </w:r>
      <w:r>
        <w:t>was</w:t>
      </w:r>
      <w:r>
        <w:t xml:space="preserve"> worth “a couple </w:t>
      </w:r>
      <w:r>
        <w:t>[]</w:t>
      </w:r>
      <w:r>
        <w:t xml:space="preserve"> millio</w:t>
      </w:r>
      <w:r>
        <w:t>n dollars.”</w:t>
      </w:r>
      <w:r>
        <w:t xml:space="preserve"> </w:t>
      </w:r>
      <w:r>
        <w:t xml:space="preserve"> </w:t>
      </w:r>
      <w:proofErr w:type="spellStart"/>
      <w:r>
        <w:t>Skillz</w:t>
      </w:r>
      <w:proofErr w:type="spellEnd"/>
      <w:r>
        <w:t xml:space="preserve"> did not respond to </w:t>
      </w:r>
      <w:r>
        <w:t xml:space="preserve">Shah’s </w:t>
      </w:r>
      <w:r>
        <w:t>proposal.</w:t>
      </w:r>
      <w:r>
        <w:t xml:space="preserve"> </w:t>
      </w:r>
    </w:p>
    <w:p w14:paraId="28887D63" w14:textId="77777777" w:rsidR="00E748F1" w:rsidRDefault="00E748F1" w:rsidP="00085776">
      <w:pPr>
        <w:tabs>
          <w:tab w:val="clear" w:pos="720"/>
          <w:tab w:val="left" w:pos="0"/>
        </w:tabs>
        <w:spacing w:line="360" w:lineRule="auto"/>
      </w:pPr>
      <w:r>
        <w:tab/>
        <w:t xml:space="preserve">On January 22, 2018, </w:t>
      </w:r>
      <w:r>
        <w:t xml:space="preserve">Shah </w:t>
      </w:r>
      <w:r>
        <w:t xml:space="preserve">forwarded an email from his work account to his personal </w:t>
      </w:r>
      <w:r>
        <w:t>email</w:t>
      </w:r>
      <w:r>
        <w:t xml:space="preserve"> account</w:t>
      </w:r>
      <w:r>
        <w:t>.  That email</w:t>
      </w:r>
      <w:r>
        <w:t xml:space="preserve"> contained</w:t>
      </w:r>
      <w:r>
        <w:t xml:space="preserve"> </w:t>
      </w:r>
      <w:r>
        <w:t xml:space="preserve">a </w:t>
      </w:r>
      <w:r>
        <w:t>confidential business report prepared by</w:t>
      </w:r>
      <w:r>
        <w:t xml:space="preserve"> Mike </w:t>
      </w:r>
      <w:proofErr w:type="spellStart"/>
      <w:r>
        <w:t>Termezy</w:t>
      </w:r>
      <w:proofErr w:type="spellEnd"/>
      <w:r>
        <w:t xml:space="preserve"> (</w:t>
      </w:r>
      <w:proofErr w:type="spellStart"/>
      <w:r>
        <w:t>Termezy</w:t>
      </w:r>
      <w:proofErr w:type="spellEnd"/>
      <w:r>
        <w:t xml:space="preserve"> </w:t>
      </w:r>
      <w:r>
        <w:t>r</w:t>
      </w:r>
      <w:r>
        <w:t>eport).</w:t>
      </w:r>
      <w:r>
        <w:t xml:space="preserve"> </w:t>
      </w:r>
      <w:r>
        <w:t xml:space="preserve"> </w:t>
      </w:r>
      <w:proofErr w:type="spellStart"/>
      <w:r>
        <w:t>Termezy</w:t>
      </w:r>
      <w:proofErr w:type="spellEnd"/>
      <w:r>
        <w:t xml:space="preserve"> </w:t>
      </w:r>
      <w:r>
        <w:t xml:space="preserve">was a consultant </w:t>
      </w:r>
      <w:r>
        <w:t xml:space="preserve">hired by </w:t>
      </w:r>
      <w:proofErr w:type="spellStart"/>
      <w:r>
        <w:t>Skillz</w:t>
      </w:r>
      <w:proofErr w:type="spellEnd"/>
      <w:r>
        <w:t xml:space="preserve"> to analyze its </w:t>
      </w:r>
      <w:r>
        <w:t>“most confidential business data to determine where [it] had opportunities to grow [its] business in</w:t>
      </w:r>
      <w:r>
        <w:t xml:space="preserve"> </w:t>
      </w:r>
      <w:r>
        <w:t>. . .</w:t>
      </w:r>
      <w:r>
        <w:t xml:space="preserve"> a very competitive market space.”</w:t>
      </w:r>
      <w:r>
        <w:t xml:space="preserve"> </w:t>
      </w:r>
      <w:r>
        <w:t xml:space="preserve"> </w:t>
      </w:r>
    </w:p>
    <w:p w14:paraId="173F05A0" w14:textId="77777777" w:rsidR="00E748F1" w:rsidRDefault="00E748F1" w:rsidP="00085776">
      <w:pPr>
        <w:tabs>
          <w:tab w:val="clear" w:pos="720"/>
        </w:tabs>
        <w:spacing w:line="360" w:lineRule="auto"/>
      </w:pPr>
      <w:r>
        <w:tab/>
      </w:r>
      <w:r>
        <w:t xml:space="preserve">On January 24, 2018, </w:t>
      </w:r>
      <w:proofErr w:type="spellStart"/>
      <w:r>
        <w:t>Chafkin</w:t>
      </w:r>
      <w:proofErr w:type="spellEnd"/>
      <w:r>
        <w:t xml:space="preserve"> asked </w:t>
      </w:r>
      <w:proofErr w:type="spellStart"/>
      <w:r>
        <w:t>Skillz’s</w:t>
      </w:r>
      <w:proofErr w:type="spellEnd"/>
      <w:r>
        <w:t xml:space="preserve"> then Vice President of Engineering to</w:t>
      </w:r>
      <w:r>
        <w:t xml:space="preserve"> </w:t>
      </w:r>
      <w:r>
        <w:t>conduct “a forensic analysis of the company property that Mr. Shah had access to”</w:t>
      </w:r>
      <w:r>
        <w:rPr>
          <w:rStyle w:val="CommentReference"/>
        </w:rPr>
        <w:t>,</w:t>
      </w:r>
      <w:r>
        <w:t xml:space="preserve"> </w:t>
      </w:r>
      <w:r>
        <w:t xml:space="preserve">including </w:t>
      </w:r>
      <w:r>
        <w:t>Shah’s emails.</w:t>
      </w:r>
      <w:r>
        <w:t xml:space="preserve"> </w:t>
      </w:r>
      <w:r>
        <w:t xml:space="preserve"> </w:t>
      </w:r>
      <w:proofErr w:type="spellStart"/>
      <w:r>
        <w:t>Chafkin</w:t>
      </w:r>
      <w:proofErr w:type="spellEnd"/>
      <w:r>
        <w:t xml:space="preserve"> testified that given</w:t>
      </w:r>
      <w:r>
        <w:t xml:space="preserve"> Shah’s representation about leaving the company and </w:t>
      </w:r>
      <w:r>
        <w:t>compensation request</w:t>
      </w:r>
      <w:r>
        <w:t xml:space="preserve">, he wanted </w:t>
      </w:r>
      <w:r>
        <w:t xml:space="preserve">to </w:t>
      </w:r>
      <w:r>
        <w:t>find out</w:t>
      </w:r>
      <w:r>
        <w:t xml:space="preserve"> whether Shah had done anything </w:t>
      </w:r>
      <w:r>
        <w:t xml:space="preserve">harmful </w:t>
      </w:r>
      <w:r>
        <w:t xml:space="preserve">to the company’s interests. </w:t>
      </w:r>
      <w:r>
        <w:t xml:space="preserve"> </w:t>
      </w:r>
    </w:p>
    <w:p w14:paraId="67C7899D" w14:textId="77777777" w:rsidR="00E748F1" w:rsidRDefault="00E748F1" w:rsidP="00085776">
      <w:pPr>
        <w:tabs>
          <w:tab w:val="clear" w:pos="720"/>
          <w:tab w:val="left" w:pos="0"/>
        </w:tabs>
        <w:spacing w:line="360" w:lineRule="auto"/>
      </w:pPr>
      <w:r>
        <w:tab/>
      </w:r>
      <w:r>
        <w:t>The search</w:t>
      </w:r>
      <w:r>
        <w:t>—</w:t>
      </w:r>
      <w:r>
        <w:t xml:space="preserve">which was completed on the same day that </w:t>
      </w:r>
      <w:proofErr w:type="spellStart"/>
      <w:r>
        <w:t>Chafkin</w:t>
      </w:r>
      <w:proofErr w:type="spellEnd"/>
      <w:r>
        <w:t xml:space="preserve"> made the request</w:t>
      </w:r>
      <w:r>
        <w:t>—</w:t>
      </w:r>
      <w:r>
        <w:t xml:space="preserve">revealed that Shah had forwarded the </w:t>
      </w:r>
      <w:proofErr w:type="spellStart"/>
      <w:r>
        <w:t>Termezy</w:t>
      </w:r>
      <w:proofErr w:type="spellEnd"/>
      <w:r>
        <w:t xml:space="preserve"> report to his personal email. </w:t>
      </w:r>
      <w:r>
        <w:t xml:space="preserve"> </w:t>
      </w:r>
      <w:proofErr w:type="spellStart"/>
      <w:r>
        <w:t>Chafkin</w:t>
      </w:r>
      <w:proofErr w:type="spellEnd"/>
      <w:r>
        <w:t xml:space="preserve"> testified that </w:t>
      </w:r>
      <w:r>
        <w:t>there was no legitimate business reason for Shah to have done this</w:t>
      </w:r>
      <w:r>
        <w:t xml:space="preserve"> because</w:t>
      </w:r>
      <w:r>
        <w:t xml:space="preserve"> he could have</w:t>
      </w:r>
      <w:r>
        <w:t xml:space="preserve"> </w:t>
      </w:r>
      <w:r>
        <w:t xml:space="preserve">just </w:t>
      </w:r>
      <w:r>
        <w:t xml:space="preserve">logged </w:t>
      </w:r>
      <w:r>
        <w:t>into</w:t>
      </w:r>
      <w:r>
        <w:t xml:space="preserve"> his work email to view the report.</w:t>
      </w:r>
      <w:r>
        <w:t xml:space="preserve"> </w:t>
      </w:r>
      <w:r>
        <w:t xml:space="preserve"> </w:t>
      </w:r>
      <w:r>
        <w:t xml:space="preserve">A committee </w:t>
      </w:r>
      <w:r>
        <w:t xml:space="preserve">formed </w:t>
      </w:r>
      <w:r>
        <w:t>within</w:t>
      </w:r>
      <w:r>
        <w:t xml:space="preserve"> </w:t>
      </w:r>
      <w:proofErr w:type="spellStart"/>
      <w:r>
        <w:t>Skillz</w:t>
      </w:r>
      <w:proofErr w:type="spellEnd"/>
      <w:r>
        <w:t xml:space="preserve"> </w:t>
      </w:r>
      <w:r>
        <w:t xml:space="preserve">to investigate this matter, </w:t>
      </w:r>
      <w:r>
        <w:t xml:space="preserve">which included </w:t>
      </w:r>
      <w:proofErr w:type="spellStart"/>
      <w:r>
        <w:t>Chafkin</w:t>
      </w:r>
      <w:proofErr w:type="spellEnd"/>
      <w:r>
        <w:t xml:space="preserve"> and company counsel</w:t>
      </w:r>
      <w:r>
        <w:t>,</w:t>
      </w:r>
      <w:r>
        <w:t xml:space="preserve"> recommended terminating Shah for cause</w:t>
      </w:r>
      <w:r>
        <w:t xml:space="preserve"> that same day</w:t>
      </w:r>
      <w:r>
        <w:t>.</w:t>
      </w:r>
      <w:r>
        <w:t xml:space="preserve"> </w:t>
      </w:r>
      <w:r>
        <w:t xml:space="preserve"> </w:t>
      </w:r>
      <w:r>
        <w:t>The committee, however, never spok</w:t>
      </w:r>
      <w:r>
        <w:t>e with Shah before making its recommendation.</w:t>
      </w:r>
      <w:r>
        <w:t xml:space="preserve"> </w:t>
      </w:r>
      <w:r>
        <w:t xml:space="preserve"> </w:t>
      </w:r>
      <w:r>
        <w:t>Para</w:t>
      </w:r>
      <w:r>
        <w:t xml:space="preserve">dise </w:t>
      </w:r>
      <w:r>
        <w:t xml:space="preserve">discussed </w:t>
      </w:r>
      <w:r>
        <w:t xml:space="preserve">the committee’s </w:t>
      </w:r>
      <w:r>
        <w:t xml:space="preserve">recommendation with </w:t>
      </w:r>
      <w:r>
        <w:t xml:space="preserve">a Board member, who then </w:t>
      </w:r>
      <w:r>
        <w:t>discussed it with other Board members</w:t>
      </w:r>
      <w:r>
        <w:t>.</w:t>
      </w:r>
      <w:r>
        <w:t xml:space="preserve"> </w:t>
      </w:r>
      <w:r>
        <w:t xml:space="preserve"> </w:t>
      </w:r>
      <w:r>
        <w:t xml:space="preserve">Paradise </w:t>
      </w:r>
      <w:r>
        <w:t>stated</w:t>
      </w:r>
      <w:r>
        <w:t xml:space="preserve"> that </w:t>
      </w:r>
      <w:r>
        <w:t xml:space="preserve">as far as he knew, </w:t>
      </w:r>
      <w:r>
        <w:t>the Board “agreed with</w:t>
      </w:r>
      <w:r>
        <w:t xml:space="preserve"> the recommendation from the team, that cause was appropriate.”</w:t>
      </w:r>
      <w:r>
        <w:t xml:space="preserve"> </w:t>
      </w:r>
      <w:r>
        <w:t xml:space="preserve"> </w:t>
      </w:r>
    </w:p>
    <w:p w14:paraId="6CF7389B" w14:textId="77777777" w:rsidR="00E748F1" w:rsidRDefault="00E748F1" w:rsidP="00085776">
      <w:pPr>
        <w:tabs>
          <w:tab w:val="clear" w:pos="720"/>
          <w:tab w:val="left" w:pos="0"/>
        </w:tabs>
        <w:spacing w:line="360" w:lineRule="auto"/>
      </w:pPr>
      <w:r>
        <w:lastRenderedPageBreak/>
        <w:tab/>
      </w:r>
      <w:r>
        <w:t xml:space="preserve">Later that </w:t>
      </w:r>
      <w:r>
        <w:t>same</w:t>
      </w:r>
      <w:r>
        <w:t xml:space="preserve"> </w:t>
      </w:r>
      <w:r>
        <w:t>afternoon</w:t>
      </w:r>
      <w:r>
        <w:t xml:space="preserve">, </w:t>
      </w:r>
      <w:proofErr w:type="spellStart"/>
      <w:r>
        <w:t>Chafkin</w:t>
      </w:r>
      <w:proofErr w:type="spellEnd"/>
      <w:r>
        <w:t xml:space="preserve"> met with Shah and told him that he was being terminated for cause for violating </w:t>
      </w:r>
      <w:r>
        <w:t xml:space="preserve">company policy </w:t>
      </w:r>
      <w:r>
        <w:t xml:space="preserve">on </w:t>
      </w:r>
      <w:r>
        <w:t>confidential information</w:t>
      </w:r>
      <w:r>
        <w:t xml:space="preserve"> and theft</w:t>
      </w:r>
      <w:r>
        <w:t xml:space="preserve">. </w:t>
      </w:r>
      <w:r>
        <w:t xml:space="preserve"> </w:t>
      </w:r>
      <w:r>
        <w:t>Sha</w:t>
      </w:r>
      <w:r>
        <w:t>h</w:t>
      </w:r>
      <w:r>
        <w:t xml:space="preserve"> </w:t>
      </w:r>
      <w:r>
        <w:t>stated</w:t>
      </w:r>
      <w:r>
        <w:t xml:space="preserve"> that he wanted to exercise his </w:t>
      </w:r>
      <w:r>
        <w:t xml:space="preserve">stock </w:t>
      </w:r>
      <w:r>
        <w:t>options</w:t>
      </w:r>
      <w:r>
        <w:t>,</w:t>
      </w:r>
      <w:r>
        <w:rPr>
          <w:rStyle w:val="FootnoteReference"/>
        </w:rPr>
        <w:footnoteReference w:id="7"/>
      </w:r>
      <w:r>
        <w:t xml:space="preserve"> but </w:t>
      </w:r>
      <w:proofErr w:type="spellStart"/>
      <w:r>
        <w:t>Chafkin</w:t>
      </w:r>
      <w:proofErr w:type="spellEnd"/>
      <w:r>
        <w:t xml:space="preserve"> responded that “the penalty for being terminated with cause is the company takes back all the options.”  </w:t>
      </w:r>
      <w:r>
        <w:t xml:space="preserve">At the end of the meeting, </w:t>
      </w:r>
      <w:proofErr w:type="spellStart"/>
      <w:r>
        <w:t>Chafkin</w:t>
      </w:r>
      <w:proofErr w:type="spellEnd"/>
      <w:r>
        <w:t xml:space="preserve"> walked Shah out the </w:t>
      </w:r>
      <w:r>
        <w:t>door</w:t>
      </w:r>
      <w:r>
        <w:t xml:space="preserve">. </w:t>
      </w:r>
      <w:r>
        <w:t xml:space="preserve"> </w:t>
      </w:r>
      <w:r>
        <w:t xml:space="preserve">A month or </w:t>
      </w:r>
      <w:r>
        <w:t xml:space="preserve">so </w:t>
      </w:r>
      <w:r>
        <w:t>later</w:t>
      </w:r>
      <w:r>
        <w:t>,</w:t>
      </w:r>
      <w:r>
        <w:t xml:space="preserve"> Shah tried to exercise a small portion of his options</w:t>
      </w:r>
      <w:r>
        <w:t xml:space="preserve"> </w:t>
      </w:r>
      <w:r>
        <w:t xml:space="preserve">because </w:t>
      </w:r>
      <w:r>
        <w:t xml:space="preserve">he had not </w:t>
      </w:r>
      <w:r>
        <w:t xml:space="preserve">received anything in writing from </w:t>
      </w:r>
      <w:proofErr w:type="spellStart"/>
      <w:r>
        <w:t>Skillz</w:t>
      </w:r>
      <w:proofErr w:type="spellEnd"/>
      <w:r>
        <w:t xml:space="preserve"> </w:t>
      </w:r>
      <w:r>
        <w:t xml:space="preserve">prohibiting him from </w:t>
      </w:r>
      <w:r>
        <w:t>doing so</w:t>
      </w:r>
      <w:r>
        <w:t>.</w:t>
      </w:r>
      <w:r>
        <w:t xml:space="preserve">  Shah</w:t>
      </w:r>
      <w:r>
        <w:t xml:space="preserve"> </w:t>
      </w:r>
      <w:r>
        <w:t>sent</w:t>
      </w:r>
      <w:r>
        <w:t xml:space="preserve"> </w:t>
      </w:r>
      <w:proofErr w:type="spellStart"/>
      <w:r>
        <w:t>Skillz</w:t>
      </w:r>
      <w:proofErr w:type="spellEnd"/>
      <w:r>
        <w:t xml:space="preserve"> a check for </w:t>
      </w:r>
      <w:r>
        <w:t xml:space="preserve">exercising </w:t>
      </w:r>
      <w:r>
        <w:t xml:space="preserve">100 </w:t>
      </w:r>
      <w:r>
        <w:t>options but</w:t>
      </w:r>
      <w:r>
        <w:t xml:space="preserve"> was </w:t>
      </w:r>
      <w:r>
        <w:t>notified</w:t>
      </w:r>
      <w:r>
        <w:t xml:space="preserve"> by </w:t>
      </w:r>
      <w:proofErr w:type="spellStart"/>
      <w:r>
        <w:t>Skillz</w:t>
      </w:r>
      <w:proofErr w:type="spellEnd"/>
      <w:r>
        <w:t xml:space="preserve"> that </w:t>
      </w:r>
      <w:r>
        <w:t xml:space="preserve">his </w:t>
      </w:r>
      <w:r>
        <w:t xml:space="preserve">options were void under his stock option agreement. </w:t>
      </w:r>
    </w:p>
    <w:p w14:paraId="634373B7" w14:textId="77777777" w:rsidR="00E748F1" w:rsidRDefault="00E748F1" w:rsidP="00085776">
      <w:pPr>
        <w:tabs>
          <w:tab w:val="clear" w:pos="720"/>
          <w:tab w:val="left" w:pos="0"/>
        </w:tabs>
        <w:spacing w:line="360" w:lineRule="auto"/>
      </w:pPr>
      <w:r>
        <w:tab/>
      </w:r>
      <w:r>
        <w:t xml:space="preserve">In December 2020, </w:t>
      </w:r>
      <w:proofErr w:type="spellStart"/>
      <w:r>
        <w:t>Skillz</w:t>
      </w:r>
      <w:proofErr w:type="spellEnd"/>
      <w:r>
        <w:t xml:space="preserve"> </w:t>
      </w:r>
      <w:r>
        <w:t xml:space="preserve">had </w:t>
      </w:r>
      <w:r>
        <w:t>its</w:t>
      </w:r>
      <w:r>
        <w:t xml:space="preserve"> </w:t>
      </w:r>
      <w:r>
        <w:t>IPO</w:t>
      </w:r>
      <w:r>
        <w:t>, with an opening stock price of $17.89 per share.</w:t>
      </w:r>
      <w:r>
        <w:rPr>
          <w:rStyle w:val="FootnoteReference"/>
        </w:rPr>
        <w:footnoteReference w:id="8"/>
      </w:r>
      <w:r>
        <w:t xml:space="preserve"> </w:t>
      </w:r>
      <w:r>
        <w:t xml:space="preserve"> </w:t>
      </w:r>
      <w:r>
        <w:t xml:space="preserve">Current and former </w:t>
      </w:r>
      <w:proofErr w:type="spellStart"/>
      <w:r>
        <w:t>Skillz</w:t>
      </w:r>
      <w:proofErr w:type="spellEnd"/>
      <w:r>
        <w:t xml:space="preserve"> </w:t>
      </w:r>
      <w:r>
        <w:t>employees</w:t>
      </w:r>
      <w:r>
        <w:t xml:space="preserve"> </w:t>
      </w:r>
      <w:r>
        <w:t>like Shah</w:t>
      </w:r>
      <w:r>
        <w:t>,</w:t>
      </w:r>
      <w:r>
        <w:t xml:space="preserve"> however, </w:t>
      </w:r>
      <w:r>
        <w:t xml:space="preserve">were subject to a six-month </w:t>
      </w:r>
      <w:r>
        <w:t xml:space="preserve">“lock-up” </w:t>
      </w:r>
      <w:r>
        <w:t>period</w:t>
      </w:r>
      <w:r>
        <w:t>.  As a result, they</w:t>
      </w:r>
      <w:r>
        <w:t xml:space="preserve"> </w:t>
      </w:r>
      <w:r>
        <w:t xml:space="preserve">could </w:t>
      </w:r>
      <w:r>
        <w:t>s</w:t>
      </w:r>
      <w:r>
        <w:t>ell</w:t>
      </w:r>
      <w:r>
        <w:t xml:space="preserve"> their </w:t>
      </w:r>
      <w:proofErr w:type="spellStart"/>
      <w:r>
        <w:t>Skillz</w:t>
      </w:r>
      <w:proofErr w:type="spellEnd"/>
      <w:r>
        <w:t xml:space="preserve"> </w:t>
      </w:r>
      <w:r>
        <w:t>shares</w:t>
      </w:r>
      <w:r>
        <w:t xml:space="preserve"> on the public exchange </w:t>
      </w:r>
      <w:r>
        <w:t xml:space="preserve">no earlier than </w:t>
      </w:r>
      <w:r>
        <w:t>June 14, 2021.</w:t>
      </w:r>
      <w:r>
        <w:t xml:space="preserve"> </w:t>
      </w:r>
      <w:r>
        <w:t xml:space="preserve"> </w:t>
      </w:r>
      <w:r>
        <w:t>But there was one exception to this limitation.  As part of an</w:t>
      </w:r>
      <w:r>
        <w:t xml:space="preserve"> early release</w:t>
      </w:r>
      <w:r>
        <w:t>,</w:t>
      </w:r>
      <w:r>
        <w:t xml:space="preserve"> </w:t>
      </w:r>
      <w:proofErr w:type="spellStart"/>
      <w:r>
        <w:t>Skillz</w:t>
      </w:r>
      <w:proofErr w:type="spellEnd"/>
      <w:r>
        <w:t xml:space="preserve"> employees </w:t>
      </w:r>
      <w:r>
        <w:t xml:space="preserve">could </w:t>
      </w:r>
      <w:r>
        <w:t>sell up to 18.9 percent of their shares</w:t>
      </w:r>
      <w:r>
        <w:t xml:space="preserve"> on March 23, 2021</w:t>
      </w:r>
      <w:r>
        <w:t xml:space="preserve">. </w:t>
      </w:r>
      <w:r>
        <w:t xml:space="preserve"> </w:t>
      </w:r>
      <w:r>
        <w:t xml:space="preserve">On </w:t>
      </w:r>
      <w:r>
        <w:t>that date</w:t>
      </w:r>
      <w:r>
        <w:t xml:space="preserve">, </w:t>
      </w:r>
      <w:proofErr w:type="spellStart"/>
      <w:r>
        <w:t>Skillz</w:t>
      </w:r>
      <w:proofErr w:type="spellEnd"/>
      <w:r>
        <w:t xml:space="preserve"> stock</w:t>
      </w:r>
      <w:r>
        <w:t xml:space="preserve"> sold </w:t>
      </w:r>
      <w:r>
        <w:t>for</w:t>
      </w:r>
      <w:r>
        <w:t xml:space="preserve"> $23.34 per share.</w:t>
      </w:r>
      <w:r>
        <w:t xml:space="preserve"> </w:t>
      </w:r>
      <w:r>
        <w:t xml:space="preserve"> </w:t>
      </w:r>
      <w:r>
        <w:t xml:space="preserve">Eighty-four </w:t>
      </w:r>
      <w:r>
        <w:t>shareholders</w:t>
      </w:r>
      <w:r>
        <w:t xml:space="preserve"> (which included employees, former employees, and investors)</w:t>
      </w:r>
      <w:r>
        <w:t xml:space="preserve"> sold a total of </w:t>
      </w:r>
      <w:r>
        <w:t>36</w:t>
      </w:r>
      <w:r>
        <w:t>.8</w:t>
      </w:r>
      <w:r>
        <w:t xml:space="preserve"> million shares </w:t>
      </w:r>
      <w:r>
        <w:t>that day</w:t>
      </w:r>
      <w:r>
        <w:t>.</w:t>
      </w:r>
      <w:r>
        <w:rPr>
          <w:rStyle w:val="FootnoteReference"/>
        </w:rPr>
        <w:footnoteReference w:id="9"/>
      </w:r>
      <w:r>
        <w:t xml:space="preserve"> </w:t>
      </w:r>
      <w:r>
        <w:t xml:space="preserve"> </w:t>
      </w:r>
      <w:r>
        <w:t>Between June 14</w:t>
      </w:r>
      <w:r>
        <w:t xml:space="preserve"> and </w:t>
      </w:r>
      <w:r>
        <w:t>3</w:t>
      </w:r>
      <w:r>
        <w:t xml:space="preserve">0, 2021, </w:t>
      </w:r>
      <w:proofErr w:type="spellStart"/>
      <w:r>
        <w:t>Skillz</w:t>
      </w:r>
      <w:proofErr w:type="spellEnd"/>
      <w:r>
        <w:t xml:space="preserve"> </w:t>
      </w:r>
      <w:r>
        <w:t xml:space="preserve">stock sold </w:t>
      </w:r>
      <w:r>
        <w:t xml:space="preserve">for </w:t>
      </w:r>
      <w:r>
        <w:t xml:space="preserve">an average price of $20.01 per share. </w:t>
      </w:r>
      <w:r>
        <w:t xml:space="preserve"> </w:t>
      </w:r>
    </w:p>
    <w:p w14:paraId="2DBB126B" w14:textId="77777777" w:rsidR="00E748F1" w:rsidRDefault="00E748F1" w:rsidP="00085776">
      <w:pPr>
        <w:tabs>
          <w:tab w:val="clear" w:pos="720"/>
          <w:tab w:val="left" w:pos="0"/>
        </w:tabs>
        <w:spacing w:line="360" w:lineRule="auto"/>
      </w:pPr>
      <w:r>
        <w:lastRenderedPageBreak/>
        <w:tab/>
      </w:r>
      <w:r>
        <w:t>Before</w:t>
      </w:r>
      <w:r>
        <w:t xml:space="preserve"> </w:t>
      </w:r>
      <w:r>
        <w:t xml:space="preserve">the </w:t>
      </w:r>
      <w:r>
        <w:t xml:space="preserve">IPO, there </w:t>
      </w:r>
      <w:r>
        <w:t xml:space="preserve">may have been </w:t>
      </w:r>
      <w:r>
        <w:t xml:space="preserve">private </w:t>
      </w:r>
      <w:r>
        <w:t>secondary markets</w:t>
      </w:r>
      <w:r>
        <w:t xml:space="preserve"> where </w:t>
      </w:r>
      <w:r>
        <w:t xml:space="preserve">certain </w:t>
      </w:r>
      <w:proofErr w:type="spellStart"/>
      <w:r>
        <w:t>Skillz</w:t>
      </w:r>
      <w:proofErr w:type="spellEnd"/>
      <w:r>
        <w:t xml:space="preserve"> </w:t>
      </w:r>
      <w:r>
        <w:t xml:space="preserve">shareholders </w:t>
      </w:r>
      <w:r>
        <w:t>could</w:t>
      </w:r>
      <w:r>
        <w:t xml:space="preserve"> sell</w:t>
      </w:r>
      <w:r>
        <w:t xml:space="preserve"> their </w:t>
      </w:r>
      <w:proofErr w:type="spellStart"/>
      <w:r>
        <w:t>Skillz</w:t>
      </w:r>
      <w:proofErr w:type="spellEnd"/>
      <w:r>
        <w:t xml:space="preserve"> </w:t>
      </w:r>
      <w:r>
        <w:t>s</w:t>
      </w:r>
      <w:r>
        <w:t>tock</w:t>
      </w:r>
      <w:r>
        <w:t>.</w:t>
      </w:r>
      <w:r>
        <w:t xml:space="preserve"> </w:t>
      </w:r>
      <w:r>
        <w:t xml:space="preserve"> </w:t>
      </w:r>
      <w:proofErr w:type="spellStart"/>
      <w:r>
        <w:t>Skillz</w:t>
      </w:r>
      <w:proofErr w:type="spellEnd"/>
      <w:r>
        <w:t xml:space="preserve"> facilitated some of these </w:t>
      </w:r>
      <w:r>
        <w:t xml:space="preserve">private </w:t>
      </w:r>
      <w:r>
        <w:t>sales</w:t>
      </w:r>
      <w:r>
        <w:t>,</w:t>
      </w:r>
      <w:r>
        <w:t xml:space="preserve"> the first of which </w:t>
      </w:r>
      <w:r>
        <w:t>occurred</w:t>
      </w:r>
      <w:r>
        <w:t xml:space="preserve"> at the end of 2018</w:t>
      </w:r>
      <w:r>
        <w:t xml:space="preserve"> with a</w:t>
      </w:r>
      <w:r>
        <w:t xml:space="preserve"> </w:t>
      </w:r>
      <w:r>
        <w:t>purchase price of 96 cents per share.</w:t>
      </w:r>
      <w:r>
        <w:t xml:space="preserve"> </w:t>
      </w:r>
    </w:p>
    <w:p w14:paraId="7CBE4BAA" w14:textId="77777777" w:rsidR="00E748F1" w:rsidRDefault="00E748F1" w:rsidP="00085776">
      <w:pPr>
        <w:tabs>
          <w:tab w:val="clear" w:pos="720"/>
          <w:tab w:val="left" w:pos="0"/>
        </w:tabs>
        <w:spacing w:line="360" w:lineRule="auto"/>
        <w:rPr>
          <w:u w:val="single"/>
        </w:rPr>
      </w:pPr>
      <w:r>
        <w:tab/>
        <w:t xml:space="preserve">B.  </w:t>
      </w:r>
      <w:r>
        <w:rPr>
          <w:u w:val="single"/>
        </w:rPr>
        <w:t>Procedural History</w:t>
      </w:r>
    </w:p>
    <w:p w14:paraId="2B69ACD3" w14:textId="77777777" w:rsidR="00E748F1" w:rsidRDefault="00E748F1" w:rsidP="00085776">
      <w:pPr>
        <w:tabs>
          <w:tab w:val="clear" w:pos="720"/>
        </w:tabs>
        <w:spacing w:line="360" w:lineRule="auto"/>
      </w:pPr>
      <w:r>
        <w:tab/>
      </w:r>
      <w:r>
        <w:t xml:space="preserve">In May 2019, Shah sued </w:t>
      </w:r>
      <w:proofErr w:type="spellStart"/>
      <w:r>
        <w:t>Skillz</w:t>
      </w:r>
      <w:proofErr w:type="spellEnd"/>
      <w:r>
        <w:t xml:space="preserve"> for</w:t>
      </w:r>
      <w:r>
        <w:t xml:space="preserve"> </w:t>
      </w:r>
      <w:r>
        <w:t>breach of contract</w:t>
      </w:r>
      <w:r>
        <w:t xml:space="preserve">, breach of the </w:t>
      </w:r>
      <w:r>
        <w:t>implied covenant</w:t>
      </w:r>
      <w:r>
        <w:t xml:space="preserve"> of good faith and fair dealing, wrongful termination</w:t>
      </w:r>
      <w:r>
        <w:t>, retaliation, and conversion.</w:t>
      </w:r>
      <w:r>
        <w:rPr>
          <w:rStyle w:val="FootnoteReference"/>
        </w:rPr>
        <w:footnoteReference w:id="10"/>
      </w:r>
      <w:r>
        <w:t xml:space="preserve"> </w:t>
      </w:r>
      <w:r>
        <w:t xml:space="preserve"> </w:t>
      </w:r>
      <w:proofErr w:type="spellStart"/>
      <w:r>
        <w:t>Skillz</w:t>
      </w:r>
      <w:proofErr w:type="spellEnd"/>
      <w:r>
        <w:t xml:space="preserve"> </w:t>
      </w:r>
      <w:r>
        <w:t>later</w:t>
      </w:r>
      <w:r>
        <w:t xml:space="preserve"> filed </w:t>
      </w:r>
      <w:r>
        <w:t xml:space="preserve">a </w:t>
      </w:r>
      <w:r>
        <w:t xml:space="preserve">First Amended Complaint (FAC), which </w:t>
      </w:r>
      <w:r>
        <w:t xml:space="preserve">omitted </w:t>
      </w:r>
      <w:r>
        <w:t xml:space="preserve">the </w:t>
      </w:r>
      <w:r>
        <w:t>breach of implied covenant</w:t>
      </w:r>
      <w:r>
        <w:t xml:space="preserve"> </w:t>
      </w:r>
      <w:r>
        <w:t>claim</w:t>
      </w:r>
      <w:r>
        <w:t xml:space="preserve"> but otherwise mirrored</w:t>
      </w:r>
      <w:r>
        <w:t xml:space="preserve"> </w:t>
      </w:r>
      <w:r>
        <w:t xml:space="preserve">his original </w:t>
      </w:r>
      <w:r>
        <w:t>complaint</w:t>
      </w:r>
      <w:r>
        <w:t>.</w:t>
      </w:r>
      <w:r>
        <w:t xml:space="preserve"> </w:t>
      </w:r>
      <w:r>
        <w:t xml:space="preserve"> </w:t>
      </w:r>
      <w:r>
        <w:t>The</w:t>
      </w:r>
      <w:r>
        <w:t xml:space="preserve"> FAC </w:t>
      </w:r>
      <w:r>
        <w:t>alleged</w:t>
      </w:r>
      <w:r>
        <w:t xml:space="preserve"> that “the thin pretextual ‘reasoning’ for </w:t>
      </w:r>
      <w:r>
        <w:t xml:space="preserve">[Shah’s] </w:t>
      </w:r>
      <w:r>
        <w:t>termination demonstrate</w:t>
      </w:r>
      <w:r>
        <w:t>[d]</w:t>
      </w:r>
      <w:r>
        <w:t xml:space="preserve"> that </w:t>
      </w:r>
      <w:r>
        <w:t>[</w:t>
      </w:r>
      <w:r>
        <w:t>his</w:t>
      </w:r>
      <w:r>
        <w:t>]</w:t>
      </w:r>
      <w:r>
        <w:t xml:space="preserve"> termination was taken in retaliation for </w:t>
      </w:r>
      <w:r>
        <w:t>[]</w:t>
      </w:r>
      <w:r>
        <w:t xml:space="preserve"> </w:t>
      </w:r>
      <w:r>
        <w:t xml:space="preserve">asserting his rights to his vested benefits.” </w:t>
      </w:r>
      <w:r>
        <w:t xml:space="preserve"> </w:t>
      </w:r>
      <w:r>
        <w:t>The</w:t>
      </w:r>
      <w:r>
        <w:t xml:space="preserve"> </w:t>
      </w:r>
      <w:r>
        <w:t>breach of contract cause of action</w:t>
      </w:r>
      <w:r>
        <w:t xml:space="preserve"> </w:t>
      </w:r>
      <w:r>
        <w:t>alleged</w:t>
      </w:r>
      <w:r>
        <w:t xml:space="preserve"> </w:t>
      </w:r>
      <w:r>
        <w:t xml:space="preserve">that </w:t>
      </w:r>
      <w:proofErr w:type="spellStart"/>
      <w:r>
        <w:t>Skillz</w:t>
      </w:r>
      <w:proofErr w:type="spellEnd"/>
      <w:r>
        <w:t xml:space="preserve"> breached the Employment Contract and </w:t>
      </w:r>
      <w:r>
        <w:t>Notice</w:t>
      </w:r>
      <w:r>
        <w:t xml:space="preserve">, and </w:t>
      </w:r>
      <w:r>
        <w:t xml:space="preserve">the FAC </w:t>
      </w:r>
      <w:r>
        <w:t xml:space="preserve">attached </w:t>
      </w:r>
      <w:r>
        <w:t xml:space="preserve">both documents </w:t>
      </w:r>
      <w:r>
        <w:t>as exhibits</w:t>
      </w:r>
      <w:r>
        <w:t>.</w:t>
      </w:r>
      <w:r>
        <w:t xml:space="preserve"> </w:t>
      </w:r>
      <w:r>
        <w:t xml:space="preserve"> </w:t>
      </w:r>
      <w:r>
        <w:t>T</w:t>
      </w:r>
      <w:r>
        <w:t>he</w:t>
      </w:r>
      <w:r>
        <w:t xml:space="preserve"> FAC </w:t>
      </w:r>
      <w:r>
        <w:t xml:space="preserve">also </w:t>
      </w:r>
      <w:r>
        <w:t>referen</w:t>
      </w:r>
      <w:r>
        <w:t>ced the Performance Grant</w:t>
      </w:r>
      <w:r>
        <w:t xml:space="preserve"> and </w:t>
      </w:r>
      <w:r>
        <w:t xml:space="preserve">expressly </w:t>
      </w:r>
      <w:r>
        <w:t xml:space="preserve">sought </w:t>
      </w:r>
      <w:r>
        <w:t>Shah’s “fully vested option</w:t>
      </w:r>
      <w:r>
        <w:t>[</w:t>
      </w:r>
      <w:r>
        <w:t>s</w:t>
      </w:r>
      <w:r>
        <w:t>]</w:t>
      </w:r>
      <w:r>
        <w:t xml:space="preserve"> . . .</w:t>
      </w:r>
      <w:r>
        <w:t xml:space="preserve"> granted pursuant to the Performance Grant</w:t>
      </w:r>
      <w:r>
        <w:t>”</w:t>
      </w:r>
      <w:r>
        <w:t xml:space="preserve"> as a remedy.</w:t>
      </w:r>
      <w:r>
        <w:t xml:space="preserve"> </w:t>
      </w:r>
      <w:r>
        <w:t xml:space="preserve"> </w:t>
      </w:r>
      <w:r>
        <w:t xml:space="preserve">The FAC did not, however, attach the Performance Grant </w:t>
      </w:r>
      <w:r>
        <w:t>itself</w:t>
      </w:r>
      <w:r>
        <w:t xml:space="preserve"> as an exhibit</w:t>
      </w:r>
      <w:r>
        <w:t xml:space="preserve">.  </w:t>
      </w:r>
      <w:r>
        <w:t>The FAC also sought</w:t>
      </w:r>
      <w:r>
        <w:t xml:space="preserve"> tort damages, including punitive damages and attorney fees, in connection with </w:t>
      </w:r>
      <w:r>
        <w:t xml:space="preserve">Shah’s </w:t>
      </w:r>
      <w:r>
        <w:t>causes of action for</w:t>
      </w:r>
      <w:r>
        <w:t xml:space="preserve"> </w:t>
      </w:r>
      <w:r>
        <w:t xml:space="preserve">wrongful termination and </w:t>
      </w:r>
      <w:r>
        <w:t>retaliation</w:t>
      </w:r>
      <w:r>
        <w:t>.</w:t>
      </w:r>
      <w:r>
        <w:t xml:space="preserve"> </w:t>
      </w:r>
    </w:p>
    <w:p w14:paraId="1017DC11" w14:textId="77777777" w:rsidR="00E748F1" w:rsidRDefault="00E748F1" w:rsidP="00085776">
      <w:pPr>
        <w:tabs>
          <w:tab w:val="clear" w:pos="720"/>
          <w:tab w:val="left" w:pos="0"/>
        </w:tabs>
        <w:spacing w:line="360" w:lineRule="auto"/>
      </w:pPr>
      <w:r>
        <w:tab/>
      </w:r>
      <w:r>
        <w:t>Before</w:t>
      </w:r>
      <w:r>
        <w:t xml:space="preserve"> trial, t</w:t>
      </w:r>
      <w:r>
        <w:t>he</w:t>
      </w:r>
      <w:r>
        <w:t xml:space="preserve"> trial</w:t>
      </w:r>
      <w:r>
        <w:t xml:space="preserve"> court</w:t>
      </w:r>
      <w:r>
        <w:t xml:space="preserve"> made several pertinent rulings </w:t>
      </w:r>
      <w:r>
        <w:t>on</w:t>
      </w:r>
      <w:r>
        <w:t xml:space="preserve"> the parties’ motions in </w:t>
      </w:r>
      <w:proofErr w:type="spellStart"/>
      <w:r>
        <w:t>limine</w:t>
      </w:r>
      <w:proofErr w:type="spellEnd"/>
      <w:r>
        <w:t xml:space="preserve">. </w:t>
      </w:r>
      <w:r>
        <w:t xml:space="preserve"> </w:t>
      </w:r>
      <w:r>
        <w:t>First, the court rule</w:t>
      </w:r>
      <w:r>
        <w:t xml:space="preserve">d that Shah’s stock options </w:t>
      </w:r>
      <w:r>
        <w:t>were</w:t>
      </w:r>
      <w:r>
        <w:t xml:space="preserve"> not</w:t>
      </w:r>
      <w:r>
        <w:t xml:space="preserve"> </w:t>
      </w:r>
      <w:r>
        <w:t>“</w:t>
      </w:r>
      <w:r>
        <w:t xml:space="preserve">wages” under </w:t>
      </w:r>
      <w:r>
        <w:t>the Labor Code</w:t>
      </w:r>
      <w:r>
        <w:t>.</w:t>
      </w:r>
      <w:r>
        <w:t xml:space="preserve"> </w:t>
      </w:r>
      <w:r>
        <w:t xml:space="preserve"> </w:t>
      </w:r>
      <w:r>
        <w:t xml:space="preserve">This </w:t>
      </w:r>
      <w:r>
        <w:t>ruling</w:t>
      </w:r>
      <w:r>
        <w:t xml:space="preserve"> </w:t>
      </w:r>
      <w:r>
        <w:t xml:space="preserve">negated Shah’s retaliation and wrongful termination </w:t>
      </w:r>
      <w:r>
        <w:t>claims</w:t>
      </w:r>
      <w:r>
        <w:t>—</w:t>
      </w:r>
      <w:r>
        <w:t>which the</w:t>
      </w:r>
      <w:r>
        <w:t xml:space="preserve"> court dismissed</w:t>
      </w:r>
      <w:r>
        <w:t xml:space="preserve"> </w:t>
      </w:r>
      <w:r>
        <w:t xml:space="preserve">following </w:t>
      </w:r>
      <w:proofErr w:type="spellStart"/>
      <w:r>
        <w:t>Skillz’s</w:t>
      </w:r>
      <w:proofErr w:type="spellEnd"/>
      <w:r>
        <w:t xml:space="preserve"> motion for directed verdict</w:t>
      </w:r>
      <w:r>
        <w:t xml:space="preserve">. </w:t>
      </w:r>
      <w:r>
        <w:t xml:space="preserve"> </w:t>
      </w:r>
      <w:r>
        <w:t>The court also</w:t>
      </w:r>
      <w:r>
        <w:t xml:space="preserve"> granted </w:t>
      </w:r>
      <w:proofErr w:type="spellStart"/>
      <w:r>
        <w:t>Skillz’s</w:t>
      </w:r>
      <w:proofErr w:type="spellEnd"/>
      <w:r>
        <w:t xml:space="preserve"> </w:t>
      </w:r>
      <w:r>
        <w:lastRenderedPageBreak/>
        <w:t>motion</w:t>
      </w:r>
      <w:r>
        <w:t xml:space="preserve"> to preclude evidence and argument regarding any unpled causes of action, </w:t>
      </w:r>
      <w:r>
        <w:t>including</w:t>
      </w:r>
      <w:r>
        <w:t xml:space="preserve"> </w:t>
      </w:r>
      <w:r>
        <w:t xml:space="preserve">Shah’s </w:t>
      </w:r>
      <w:r>
        <w:t>dismissed claim for breach of the implied covenant</w:t>
      </w:r>
      <w:r>
        <w:t>.</w:t>
      </w:r>
      <w:r>
        <w:t xml:space="preserve"> </w:t>
      </w:r>
      <w:r>
        <w:t xml:space="preserve"> </w:t>
      </w:r>
    </w:p>
    <w:p w14:paraId="7E62419A" w14:textId="77777777" w:rsidR="00E748F1" w:rsidRDefault="00E748F1" w:rsidP="00085776">
      <w:pPr>
        <w:tabs>
          <w:tab w:val="clear" w:pos="720"/>
        </w:tabs>
        <w:spacing w:line="360" w:lineRule="auto"/>
      </w:pPr>
      <w:r>
        <w:tab/>
      </w:r>
      <w:r>
        <w:t xml:space="preserve">Finally, with respect to </w:t>
      </w:r>
      <w:r>
        <w:t xml:space="preserve">his </w:t>
      </w:r>
      <w:r>
        <w:t>breach of contract</w:t>
      </w:r>
      <w:r>
        <w:t xml:space="preserve"> claim</w:t>
      </w:r>
      <w:r>
        <w:t xml:space="preserve">, </w:t>
      </w:r>
      <w:r>
        <w:t xml:space="preserve">Shah </w:t>
      </w:r>
      <w:r>
        <w:t>asked the trial court to find</w:t>
      </w:r>
      <w:r>
        <w:t xml:space="preserve"> </w:t>
      </w:r>
      <w:r>
        <w:t>that damages</w:t>
      </w:r>
      <w:r>
        <w:t xml:space="preserve"> </w:t>
      </w:r>
      <w:r>
        <w:t>for his</w:t>
      </w:r>
      <w:r>
        <w:t xml:space="preserve"> lost stock options</w:t>
      </w:r>
      <w:r>
        <w:t xml:space="preserve"> should not be measured at the </w:t>
      </w:r>
      <w:r>
        <w:t xml:space="preserve">time of breach </w:t>
      </w:r>
      <w:r>
        <w:t>(</w:t>
      </w:r>
      <w:r>
        <w:t xml:space="preserve">the date of Shah’s </w:t>
      </w:r>
      <w:r>
        <w:t xml:space="preserve">termination) but </w:t>
      </w:r>
      <w:r>
        <w:t>at the time Shah could have first sold his shares</w:t>
      </w:r>
      <w:r>
        <w:t xml:space="preserve"> </w:t>
      </w:r>
      <w:r>
        <w:t>after the IPO</w:t>
      </w:r>
      <w:r>
        <w:t xml:space="preserve"> in</w:t>
      </w:r>
      <w:r>
        <w:t xml:space="preserve"> March and June 2021</w:t>
      </w:r>
      <w:r>
        <w:t>.</w:t>
      </w:r>
      <w:r>
        <w:t xml:space="preserve"> </w:t>
      </w:r>
      <w:r>
        <w:t xml:space="preserve"> </w:t>
      </w:r>
      <w:proofErr w:type="spellStart"/>
      <w:r>
        <w:t>Skillz</w:t>
      </w:r>
      <w:proofErr w:type="spellEnd"/>
      <w:r>
        <w:t xml:space="preserve"> opposed</w:t>
      </w:r>
      <w:r>
        <w:t>,</w:t>
      </w:r>
      <w:r>
        <w:t xml:space="preserve"> </w:t>
      </w:r>
      <w:r>
        <w:t xml:space="preserve">arguing </w:t>
      </w:r>
      <w:r>
        <w:t xml:space="preserve">that </w:t>
      </w:r>
      <w:r>
        <w:t xml:space="preserve">the measure of damages should be “the difference between the fair market value of </w:t>
      </w:r>
      <w:proofErr w:type="spellStart"/>
      <w:r>
        <w:t>Skillz</w:t>
      </w:r>
      <w:proofErr w:type="spellEnd"/>
      <w:r>
        <w:t>’</w:t>
      </w:r>
      <w:r>
        <w:t>[s]</w:t>
      </w:r>
      <w:r>
        <w:t xml:space="preserve"> shares at the time of breach and the agreed upon exercise price per share.” </w:t>
      </w:r>
      <w:r>
        <w:t xml:space="preserve"> </w:t>
      </w:r>
      <w:r>
        <w:t>According to</w:t>
      </w:r>
      <w:r>
        <w:t xml:space="preserve"> </w:t>
      </w:r>
      <w:proofErr w:type="spellStart"/>
      <w:r>
        <w:t>Skillz</w:t>
      </w:r>
      <w:proofErr w:type="spellEnd"/>
      <w:r>
        <w:t xml:space="preserve">, the </w:t>
      </w:r>
      <w:r>
        <w:t>fair market value</w:t>
      </w:r>
      <w:r>
        <w:t xml:space="preserve"> at the time of breach</w:t>
      </w:r>
      <w:r>
        <w:t xml:space="preserve"> </w:t>
      </w:r>
      <w:r>
        <w:t>was</w:t>
      </w:r>
      <w:r>
        <w:t xml:space="preserve"> </w:t>
      </w:r>
      <w:r>
        <w:t>equal to the</w:t>
      </w:r>
      <w:r>
        <w:t xml:space="preserve"> “409A” valuation.</w:t>
      </w:r>
      <w:r>
        <w:rPr>
          <w:rStyle w:val="FootnoteReference"/>
        </w:rPr>
        <w:footnoteReference w:id="11"/>
      </w:r>
      <w:r>
        <w:t xml:space="preserve"> </w:t>
      </w:r>
      <w:r>
        <w:t xml:space="preserve"> </w:t>
      </w:r>
      <w:r>
        <w:t>The court</w:t>
      </w:r>
      <w:r>
        <w:t xml:space="preserve"> tentatively agreed with </w:t>
      </w:r>
      <w:proofErr w:type="spellStart"/>
      <w:r>
        <w:t>Skillz</w:t>
      </w:r>
      <w:proofErr w:type="spellEnd"/>
      <w:r>
        <w:t xml:space="preserve"> </w:t>
      </w:r>
      <w:r>
        <w:t xml:space="preserve">that damages should be measured </w:t>
      </w:r>
      <w:r>
        <w:t xml:space="preserve">at the </w:t>
      </w:r>
      <w:r>
        <w:t xml:space="preserve">date </w:t>
      </w:r>
      <w:r>
        <w:t>of breach</w:t>
      </w:r>
      <w:r>
        <w:t>.</w:t>
      </w:r>
      <w:r>
        <w:t xml:space="preserve"> </w:t>
      </w:r>
      <w:r>
        <w:t xml:space="preserve"> </w:t>
      </w:r>
      <w:r>
        <w:t xml:space="preserve">The </w:t>
      </w:r>
      <w:r>
        <w:t>next</w:t>
      </w:r>
      <w:r>
        <w:t xml:space="preserve"> day</w:t>
      </w:r>
      <w:r>
        <w:t>,</w:t>
      </w:r>
      <w:r>
        <w:t xml:space="preserve"> however, </w:t>
      </w:r>
      <w:r>
        <w:t>the court</w:t>
      </w:r>
      <w:r>
        <w:t xml:space="preserve"> changed</w:t>
      </w:r>
      <w:r>
        <w:t xml:space="preserve"> </w:t>
      </w:r>
      <w:r>
        <w:t xml:space="preserve">its </w:t>
      </w:r>
      <w:r>
        <w:t>mind</w:t>
      </w:r>
      <w:r>
        <w:t xml:space="preserve"> and</w:t>
      </w:r>
      <w:r>
        <w:t xml:space="preserve"> ruled that Shah’s motion was premature.  The court reasoned that</w:t>
      </w:r>
      <w:r>
        <w:t xml:space="preserve"> </w:t>
      </w:r>
      <w:r>
        <w:t>there were “</w:t>
      </w:r>
      <w:r>
        <w:t>f</w:t>
      </w:r>
      <w:r>
        <w:t>actual issues that need to be decided by the jury”</w:t>
      </w:r>
      <w:r>
        <w:t xml:space="preserve"> </w:t>
      </w:r>
      <w:r>
        <w:t>as to whether Shah was terminated for cause</w:t>
      </w:r>
      <w:r>
        <w:t xml:space="preserve"> before it could determine the </w:t>
      </w:r>
      <w:r>
        <w:t xml:space="preserve">proper </w:t>
      </w:r>
      <w:r>
        <w:t>measure of damages</w:t>
      </w:r>
      <w:r>
        <w:t>.</w:t>
      </w:r>
      <w:r>
        <w:t xml:space="preserve">  </w:t>
      </w:r>
    </w:p>
    <w:p w14:paraId="1A7BB173" w14:textId="77777777" w:rsidR="00E748F1" w:rsidRDefault="00E748F1" w:rsidP="00085776">
      <w:pPr>
        <w:tabs>
          <w:tab w:val="clear" w:pos="720"/>
          <w:tab w:val="left" w:pos="0"/>
        </w:tabs>
        <w:spacing w:line="360" w:lineRule="auto"/>
      </w:pPr>
      <w:r>
        <w:tab/>
      </w:r>
      <w:r>
        <w:t xml:space="preserve">The case proceeded to </w:t>
      </w:r>
      <w:r>
        <w:t xml:space="preserve">trial on </w:t>
      </w:r>
      <w:r>
        <w:t>Shah’s</w:t>
      </w:r>
      <w:r>
        <w:t xml:space="preserve"> </w:t>
      </w:r>
      <w:r>
        <w:t>only remaining</w:t>
      </w:r>
      <w:r>
        <w:t xml:space="preserve"> cause of action for breach of contract.</w:t>
      </w:r>
      <w:r>
        <w:t xml:space="preserve"> </w:t>
      </w:r>
      <w:r>
        <w:t xml:space="preserve"> </w:t>
      </w:r>
      <w:r>
        <w:t>Shah</w:t>
      </w:r>
      <w:r>
        <w:t xml:space="preserve"> </w:t>
      </w:r>
      <w:r>
        <w:t xml:space="preserve">argued that </w:t>
      </w:r>
      <w:proofErr w:type="spellStart"/>
      <w:r>
        <w:t>Skillz</w:t>
      </w:r>
      <w:proofErr w:type="spellEnd"/>
      <w:r>
        <w:t xml:space="preserve"> breached </w:t>
      </w:r>
      <w:r>
        <w:t xml:space="preserve">various </w:t>
      </w:r>
      <w:r>
        <w:t>contract</w:t>
      </w:r>
      <w:r>
        <w:t>s</w:t>
      </w:r>
      <w:r>
        <w:t xml:space="preserve"> </w:t>
      </w:r>
      <w:r>
        <w:t xml:space="preserve">by preventing him </w:t>
      </w:r>
      <w:r>
        <w:t>from</w:t>
      </w:r>
      <w:r>
        <w:t xml:space="preserve"> exercis</w:t>
      </w:r>
      <w:r>
        <w:t>ing</w:t>
      </w:r>
      <w:r>
        <w:t xml:space="preserve"> his vested stock options under the pretext that cause existed for his termination.</w:t>
      </w:r>
      <w:r>
        <w:t xml:space="preserve"> </w:t>
      </w:r>
      <w:r>
        <w:t xml:space="preserve"> Shah testified </w:t>
      </w:r>
      <w:r>
        <w:t xml:space="preserve">that </w:t>
      </w:r>
      <w:r>
        <w:t xml:space="preserve">he sent the </w:t>
      </w:r>
      <w:proofErr w:type="spellStart"/>
      <w:r>
        <w:t>Termezy</w:t>
      </w:r>
      <w:proofErr w:type="spellEnd"/>
      <w:r>
        <w:t xml:space="preserve"> </w:t>
      </w:r>
      <w:r>
        <w:t xml:space="preserve">report to his personal email </w:t>
      </w:r>
      <w:r>
        <w:t xml:space="preserve">so </w:t>
      </w:r>
      <w:r>
        <w:t xml:space="preserve">he </w:t>
      </w:r>
      <w:r>
        <w:t xml:space="preserve">could </w:t>
      </w:r>
      <w:r>
        <w:t xml:space="preserve">read </w:t>
      </w:r>
      <w:r>
        <w:t xml:space="preserve">it </w:t>
      </w:r>
      <w:r>
        <w:t xml:space="preserve">on his iPad at home </w:t>
      </w:r>
      <w:r>
        <w:lastRenderedPageBreak/>
        <w:t>after</w:t>
      </w:r>
      <w:r>
        <w:t xml:space="preserve"> he was criticized by</w:t>
      </w:r>
      <w:r>
        <w:t xml:space="preserve"> </w:t>
      </w:r>
      <w:proofErr w:type="spellStart"/>
      <w:r>
        <w:t>Chafkin</w:t>
      </w:r>
      <w:proofErr w:type="spellEnd"/>
      <w:r>
        <w:t xml:space="preserve"> </w:t>
      </w:r>
      <w:r>
        <w:t>for not reading it at a prior meeting</w:t>
      </w:r>
      <w:r>
        <w:t>.</w:t>
      </w:r>
      <w:r>
        <w:t xml:space="preserve">  Shah </w:t>
      </w:r>
      <w:r>
        <w:t xml:space="preserve">also </w:t>
      </w:r>
      <w:r>
        <w:t xml:space="preserve">testified that he had done </w:t>
      </w:r>
      <w:r>
        <w:t>this before with</w:t>
      </w:r>
      <w:r>
        <w:t xml:space="preserve"> other</w:t>
      </w:r>
      <w:r>
        <w:t xml:space="preserve"> </w:t>
      </w:r>
      <w:r>
        <w:t xml:space="preserve">emails “from time to time.” </w:t>
      </w:r>
      <w:r>
        <w:t xml:space="preserve"> </w:t>
      </w:r>
      <w:r>
        <w:t xml:space="preserve">According to </w:t>
      </w:r>
      <w:r>
        <w:t>Shah</w:t>
      </w:r>
      <w:r>
        <w:t>,</w:t>
      </w:r>
      <w:r>
        <w:t xml:space="preserve"> </w:t>
      </w:r>
      <w:r>
        <w:t xml:space="preserve">there was no evidence </w:t>
      </w:r>
      <w:r>
        <w:t xml:space="preserve">he </w:t>
      </w:r>
      <w:r>
        <w:t>intended to</w:t>
      </w:r>
      <w:r>
        <w:t xml:space="preserve"> commit theft or </w:t>
      </w:r>
      <w:r>
        <w:t>use the</w:t>
      </w:r>
      <w:r>
        <w:t xml:space="preserve"> report for </w:t>
      </w:r>
      <w:r>
        <w:t>an</w:t>
      </w:r>
      <w:r>
        <w:t>y</w:t>
      </w:r>
      <w:r>
        <w:t xml:space="preserve"> improper purpose.</w:t>
      </w:r>
      <w:r>
        <w:t xml:space="preserve"> </w:t>
      </w:r>
      <w:r>
        <w:t xml:space="preserve"> </w:t>
      </w:r>
    </w:p>
    <w:p w14:paraId="16535009" w14:textId="77777777" w:rsidR="00E748F1" w:rsidRDefault="00E748F1" w:rsidP="00085776">
      <w:pPr>
        <w:tabs>
          <w:tab w:val="clear" w:pos="720"/>
          <w:tab w:val="left" w:pos="0"/>
        </w:tabs>
        <w:spacing w:line="360" w:lineRule="auto"/>
      </w:pPr>
      <w:r>
        <w:tab/>
      </w:r>
      <w:r>
        <w:t>The</w:t>
      </w:r>
      <w:r>
        <w:t xml:space="preserve"> parties</w:t>
      </w:r>
      <w:r>
        <w:t>’ experts</w:t>
      </w:r>
      <w:r>
        <w:t xml:space="preserve"> presented </w:t>
      </w:r>
      <w:r>
        <w:t xml:space="preserve">differing </w:t>
      </w:r>
      <w:r>
        <w:t>testimony</w:t>
      </w:r>
      <w:r>
        <w:t xml:space="preserve"> </w:t>
      </w:r>
      <w:r>
        <w:t xml:space="preserve">on the damages suffered by Shah due to the </w:t>
      </w:r>
      <w:r>
        <w:t>lost</w:t>
      </w:r>
      <w:r>
        <w:t xml:space="preserve"> stock options</w:t>
      </w:r>
      <w:r>
        <w:t xml:space="preserve">.  </w:t>
      </w:r>
      <w:proofErr w:type="gramStart"/>
      <w:r>
        <w:t>Shah’s</w:t>
      </w:r>
      <w:proofErr w:type="gramEnd"/>
      <w:r>
        <w:t xml:space="preserve"> expert</w:t>
      </w:r>
      <w:r>
        <w:t xml:space="preserve"> </w:t>
      </w:r>
      <w:r>
        <w:t>opined</w:t>
      </w:r>
      <w:r>
        <w:t xml:space="preserve"> that Shah</w:t>
      </w:r>
      <w:r>
        <w:t xml:space="preserve"> suffered</w:t>
      </w:r>
      <w:r>
        <w:t xml:space="preserve"> </w:t>
      </w:r>
      <w:r>
        <w:t xml:space="preserve">approximately </w:t>
      </w:r>
      <w:r>
        <w:t>$11</w:t>
      </w:r>
      <w:r>
        <w:t>.5 million</w:t>
      </w:r>
      <w:r>
        <w:t xml:space="preserve"> </w:t>
      </w:r>
      <w:r>
        <w:t xml:space="preserve">in damages assuming </w:t>
      </w:r>
      <w:r>
        <w:t>a four-year vesting schedule</w:t>
      </w:r>
      <w:r>
        <w:t>.</w:t>
      </w:r>
      <w:r>
        <w:t xml:space="preserve"> </w:t>
      </w:r>
      <w:r>
        <w:t xml:space="preserve"> </w:t>
      </w:r>
      <w:r>
        <w:t>In reaching this opinion, he assumed</w:t>
      </w:r>
      <w:r>
        <w:t xml:space="preserve"> that Shah </w:t>
      </w:r>
      <w:r>
        <w:t xml:space="preserve">would </w:t>
      </w:r>
      <w:r>
        <w:t>have ex</w:t>
      </w:r>
      <w:r>
        <w:t xml:space="preserve">ercised </w:t>
      </w:r>
      <w:proofErr w:type="gramStart"/>
      <w:r>
        <w:t>all of</w:t>
      </w:r>
      <w:proofErr w:type="gramEnd"/>
      <w:r>
        <w:t xml:space="preserve"> his </w:t>
      </w:r>
      <w:r>
        <w:t xml:space="preserve">vested </w:t>
      </w:r>
      <w:r>
        <w:t>options</w:t>
      </w:r>
      <w:r>
        <w:t xml:space="preserve"> </w:t>
      </w:r>
      <w:r>
        <w:t>shortly after he was terminated in</w:t>
      </w:r>
      <w:r>
        <w:t xml:space="preserve"> </w:t>
      </w:r>
      <w:r>
        <w:t xml:space="preserve">January </w:t>
      </w:r>
      <w:r>
        <w:t>2018</w:t>
      </w:r>
      <w:r>
        <w:t xml:space="preserve"> </w:t>
      </w:r>
      <w:r>
        <w:t>and held onto</w:t>
      </w:r>
      <w:r>
        <w:t xml:space="preserve"> them until the IPO</w:t>
      </w:r>
      <w:r>
        <w:t xml:space="preserve"> in </w:t>
      </w:r>
      <w:r>
        <w:t xml:space="preserve">late </w:t>
      </w:r>
      <w:r>
        <w:t>2020</w:t>
      </w:r>
      <w:r>
        <w:t xml:space="preserve">.  He </w:t>
      </w:r>
      <w:r>
        <w:t xml:space="preserve">further assumed that Shah </w:t>
      </w:r>
      <w:r>
        <w:t>would have sold</w:t>
      </w:r>
      <w:r>
        <w:t xml:space="preserve"> 18.9 percent</w:t>
      </w:r>
      <w:r>
        <w:t xml:space="preserve"> of </w:t>
      </w:r>
      <w:r>
        <w:t xml:space="preserve">his </w:t>
      </w:r>
      <w:r>
        <w:t>shares</w:t>
      </w:r>
      <w:r>
        <w:t xml:space="preserve"> </w:t>
      </w:r>
      <w:r>
        <w:t>at the</w:t>
      </w:r>
      <w:r>
        <w:t xml:space="preserve"> early release </w:t>
      </w:r>
      <w:r>
        <w:t>in March</w:t>
      </w:r>
      <w:r>
        <w:t xml:space="preserve"> 2021</w:t>
      </w:r>
      <w:r>
        <w:t xml:space="preserve"> </w:t>
      </w:r>
      <w:r>
        <w:t xml:space="preserve">and </w:t>
      </w:r>
      <w:r>
        <w:t xml:space="preserve">his </w:t>
      </w:r>
      <w:r>
        <w:t>remaining</w:t>
      </w:r>
      <w:r>
        <w:t xml:space="preserve"> shares</w:t>
      </w:r>
      <w:r>
        <w:t xml:space="preserve"> </w:t>
      </w:r>
      <w:r>
        <w:t xml:space="preserve">over a two-week period between </w:t>
      </w:r>
      <w:r>
        <w:t>June 14 and 30</w:t>
      </w:r>
      <w:r>
        <w:t>, 2021</w:t>
      </w:r>
      <w:r>
        <w:t>, immediately</w:t>
      </w:r>
      <w:r>
        <w:t xml:space="preserve"> after the lock-up </w:t>
      </w:r>
      <w:r>
        <w:t xml:space="preserve">period </w:t>
      </w:r>
      <w:r>
        <w:t>ended.</w:t>
      </w:r>
      <w:r>
        <w:t xml:space="preserve"> </w:t>
      </w:r>
      <w:r>
        <w:t xml:space="preserve"> </w:t>
      </w:r>
    </w:p>
    <w:p w14:paraId="15323925" w14:textId="77777777" w:rsidR="00E748F1" w:rsidRDefault="00E748F1" w:rsidP="00085776">
      <w:pPr>
        <w:tabs>
          <w:tab w:val="clear" w:pos="720"/>
          <w:tab w:val="left" w:pos="0"/>
        </w:tabs>
        <w:spacing w:line="360" w:lineRule="auto"/>
      </w:pPr>
      <w:r>
        <w:tab/>
      </w:r>
      <w:proofErr w:type="spellStart"/>
      <w:r>
        <w:t>Skillz’s</w:t>
      </w:r>
      <w:proofErr w:type="spellEnd"/>
      <w:r>
        <w:t xml:space="preserve"> expert</w:t>
      </w:r>
      <w:r>
        <w:t xml:space="preserve"> </w:t>
      </w:r>
      <w:r>
        <w:t>testified</w:t>
      </w:r>
      <w:r>
        <w:t xml:space="preserve"> that </w:t>
      </w:r>
      <w:r>
        <w:t xml:space="preserve">Shah suffered only $41,032 in damages </w:t>
      </w:r>
      <w:r>
        <w:t>due to the loss of his</w:t>
      </w:r>
      <w:r>
        <w:t xml:space="preserve"> stock options </w:t>
      </w:r>
      <w:r>
        <w:t xml:space="preserve">(39,086 shares from his </w:t>
      </w:r>
      <w:r>
        <w:t>initial grant and 21,000 shares from the Performance Grant</w:t>
      </w:r>
      <w:r>
        <w:t>)</w:t>
      </w:r>
      <w:r>
        <w:t xml:space="preserve"> </w:t>
      </w:r>
      <w:r>
        <w:t xml:space="preserve">as of </w:t>
      </w:r>
      <w:r>
        <w:t>the date of his termination</w:t>
      </w:r>
      <w:r>
        <w:t>.</w:t>
      </w:r>
      <w:r>
        <w:t xml:space="preserve"> </w:t>
      </w:r>
      <w:r>
        <w:t xml:space="preserve"> </w:t>
      </w:r>
      <w:r>
        <w:t xml:space="preserve">According to </w:t>
      </w:r>
      <w:proofErr w:type="spellStart"/>
      <w:r>
        <w:t>Skillz’s</w:t>
      </w:r>
      <w:proofErr w:type="spellEnd"/>
      <w:r>
        <w:t xml:space="preserve"> expert, the </w:t>
      </w:r>
      <w:r>
        <w:t xml:space="preserve">options were </w:t>
      </w:r>
      <w:r>
        <w:t>only worth</w:t>
      </w:r>
      <w:r>
        <w:t xml:space="preserve"> $1.12 per share</w:t>
      </w:r>
      <w:r>
        <w:t xml:space="preserve"> </w:t>
      </w:r>
      <w:r>
        <w:t xml:space="preserve">at that time </w:t>
      </w:r>
      <w:r>
        <w:t xml:space="preserve">based on </w:t>
      </w:r>
      <w:r>
        <w:t xml:space="preserve">the most recent </w:t>
      </w:r>
      <w:r>
        <w:t>409A valuation</w:t>
      </w:r>
      <w:r>
        <w:t xml:space="preserve"> </w:t>
      </w:r>
      <w:r>
        <w:t>before</w:t>
      </w:r>
      <w:r>
        <w:t xml:space="preserve"> </w:t>
      </w:r>
      <w:r>
        <w:t xml:space="preserve">Shah’s </w:t>
      </w:r>
      <w:r>
        <w:t xml:space="preserve">termination. </w:t>
      </w:r>
      <w:r>
        <w:t xml:space="preserve"> </w:t>
      </w:r>
    </w:p>
    <w:p w14:paraId="42C70C0B" w14:textId="77777777" w:rsidR="00E748F1" w:rsidRDefault="00E748F1" w:rsidP="00085776">
      <w:pPr>
        <w:tabs>
          <w:tab w:val="clear" w:pos="720"/>
          <w:tab w:val="left" w:pos="0"/>
        </w:tabs>
        <w:spacing w:line="360" w:lineRule="auto"/>
      </w:pPr>
      <w:r>
        <w:tab/>
      </w:r>
      <w:proofErr w:type="spellStart"/>
      <w:r>
        <w:t>Skillz’s</w:t>
      </w:r>
      <w:proofErr w:type="spellEnd"/>
      <w:r>
        <w:t xml:space="preserve"> expert </w:t>
      </w:r>
      <w:r>
        <w:t xml:space="preserve">also </w:t>
      </w:r>
      <w:r>
        <w:t xml:space="preserve">offered an alternative </w:t>
      </w:r>
      <w:r>
        <w:t>calculation of Shah’s damages if they were not determined as of the date of Shah’s termination</w:t>
      </w:r>
      <w:r>
        <w:t>.</w:t>
      </w:r>
      <w:r>
        <w:t xml:space="preserve">  According to </w:t>
      </w:r>
      <w:proofErr w:type="spellStart"/>
      <w:r>
        <w:t>Skillz’s</w:t>
      </w:r>
      <w:proofErr w:type="spellEnd"/>
      <w:r>
        <w:t xml:space="preserve"> expert, </w:t>
      </w:r>
      <w:r>
        <w:t>Shah</w:t>
      </w:r>
      <w:r>
        <w:t xml:space="preserve">’s expert </w:t>
      </w:r>
      <w:r>
        <w:t>made</w:t>
      </w:r>
      <w:r>
        <w:t xml:space="preserve"> “inappropriate assumptions</w:t>
      </w:r>
      <w:r>
        <w:t>.</w:t>
      </w:r>
      <w:r>
        <w:t xml:space="preserve">” </w:t>
      </w:r>
      <w:r>
        <w:t xml:space="preserve"> </w:t>
      </w:r>
      <w:r>
        <w:t>Instead of</w:t>
      </w:r>
      <w:r>
        <w:t xml:space="preserve"> assuming that Shah would have sold </w:t>
      </w:r>
      <w:r>
        <w:t>18.9 percent of</w:t>
      </w:r>
      <w:r>
        <w:t xml:space="preserve"> his </w:t>
      </w:r>
      <w:r>
        <w:t xml:space="preserve">shares </w:t>
      </w:r>
      <w:r>
        <w:t>in March</w:t>
      </w:r>
      <w:r>
        <w:t xml:space="preserve"> 2021</w:t>
      </w:r>
      <w:r>
        <w:t xml:space="preserve"> and the</w:t>
      </w:r>
      <w:r>
        <w:t xml:space="preserve"> rest </w:t>
      </w:r>
      <w:r>
        <w:t>immediately</w:t>
      </w:r>
      <w:r>
        <w:t xml:space="preserve"> after the lock</w:t>
      </w:r>
      <w:r>
        <w:t>-</w:t>
      </w:r>
      <w:r>
        <w:t xml:space="preserve">up </w:t>
      </w:r>
      <w:r>
        <w:t xml:space="preserve">period </w:t>
      </w:r>
      <w:r>
        <w:t>ended in June</w:t>
      </w:r>
      <w:r>
        <w:t xml:space="preserve"> 2021</w:t>
      </w:r>
      <w:r>
        <w:t>,</w:t>
      </w:r>
      <w:r>
        <w:t xml:space="preserve"> </w:t>
      </w:r>
      <w:proofErr w:type="spellStart"/>
      <w:r>
        <w:t>Skillz’s</w:t>
      </w:r>
      <w:proofErr w:type="spellEnd"/>
      <w:r>
        <w:t xml:space="preserve"> expert </w:t>
      </w:r>
      <w:r>
        <w:t xml:space="preserve">used </w:t>
      </w:r>
      <w:r>
        <w:t>the average</w:t>
      </w:r>
      <w:r>
        <w:t xml:space="preserve"> price</w:t>
      </w:r>
      <w:r>
        <w:t xml:space="preserve"> </w:t>
      </w:r>
      <w:r>
        <w:t xml:space="preserve">of </w:t>
      </w:r>
      <w:proofErr w:type="spellStart"/>
      <w:r>
        <w:t>Skillz</w:t>
      </w:r>
      <w:proofErr w:type="spellEnd"/>
      <w:r>
        <w:t xml:space="preserve"> stock </w:t>
      </w:r>
      <w:r>
        <w:t xml:space="preserve">between June 14, 2021 </w:t>
      </w:r>
      <w:r>
        <w:t xml:space="preserve">(the date the lock-up period ended) </w:t>
      </w:r>
      <w:r>
        <w:t>and September 8, 202</w:t>
      </w:r>
      <w:r>
        <w:t>1</w:t>
      </w:r>
      <w:r>
        <w:t xml:space="preserve"> (the </w:t>
      </w:r>
      <w:r>
        <w:t>day before</w:t>
      </w:r>
      <w:r>
        <w:t xml:space="preserve"> his testimony</w:t>
      </w:r>
      <w:r>
        <w:t>)</w:t>
      </w:r>
      <w:r>
        <w:t xml:space="preserve"> </w:t>
      </w:r>
      <w:r>
        <w:t xml:space="preserve">to calculate Shah’s damages. </w:t>
      </w:r>
      <w:r>
        <w:t xml:space="preserve"> </w:t>
      </w:r>
      <w:r>
        <w:t xml:space="preserve">Based on this price, </w:t>
      </w:r>
      <w:proofErr w:type="spellStart"/>
      <w:r>
        <w:t>Skillz’s</w:t>
      </w:r>
      <w:proofErr w:type="spellEnd"/>
      <w:r>
        <w:t xml:space="preserve"> expert </w:t>
      </w:r>
      <w:r>
        <w:t xml:space="preserve">determined </w:t>
      </w:r>
      <w:r>
        <w:t xml:space="preserve">that </w:t>
      </w:r>
      <w:r>
        <w:t>Shah suffered</w:t>
      </w:r>
      <w:r>
        <w:t xml:space="preserve"> </w:t>
      </w:r>
      <w:r>
        <w:t>about</w:t>
      </w:r>
      <w:r>
        <w:t xml:space="preserve"> $6.7 million</w:t>
      </w:r>
      <w:r>
        <w:t xml:space="preserve"> in damages,</w:t>
      </w:r>
      <w:r>
        <w:t xml:space="preserve"> </w:t>
      </w:r>
      <w:r>
        <w:t>consisting</w:t>
      </w:r>
      <w:r>
        <w:t xml:space="preserve"> of </w:t>
      </w:r>
      <w:r>
        <w:lastRenderedPageBreak/>
        <w:t xml:space="preserve">approximately </w:t>
      </w:r>
      <w:r>
        <w:t>$4.</w:t>
      </w:r>
      <w:r>
        <w:t>4</w:t>
      </w:r>
      <w:r>
        <w:t xml:space="preserve"> million from the initial grant and $2.</w:t>
      </w:r>
      <w:r>
        <w:t xml:space="preserve">3 million from the Performance Grant. </w:t>
      </w:r>
    </w:p>
    <w:p w14:paraId="6925E666" w14:textId="77777777" w:rsidR="00E748F1" w:rsidRDefault="00E748F1" w:rsidP="00085776">
      <w:pPr>
        <w:tabs>
          <w:tab w:val="clear" w:pos="720"/>
          <w:tab w:val="left" w:pos="0"/>
        </w:tabs>
        <w:spacing w:line="360" w:lineRule="auto"/>
      </w:pPr>
      <w:r>
        <w:tab/>
      </w:r>
      <w:r>
        <w:t>A</w:t>
      </w:r>
      <w:r>
        <w:t>t the close of evidence, the parties</w:t>
      </w:r>
      <w:r>
        <w:t xml:space="preserve"> asked the trial court </w:t>
      </w:r>
      <w:r>
        <w:t xml:space="preserve">to instruct </w:t>
      </w:r>
      <w:r>
        <w:t>the jury</w:t>
      </w:r>
      <w:r>
        <w:t xml:space="preserve"> as to wh</w:t>
      </w:r>
      <w:r>
        <w:t>at date it should</w:t>
      </w:r>
      <w:r>
        <w:t xml:space="preserve"> use to measure the value of Shah’s </w:t>
      </w:r>
      <w:r>
        <w:t xml:space="preserve">lost </w:t>
      </w:r>
      <w:r>
        <w:t>stock options.</w:t>
      </w:r>
      <w:r>
        <w:t xml:space="preserve"> </w:t>
      </w:r>
      <w:r>
        <w:t xml:space="preserve"> </w:t>
      </w:r>
      <w:r>
        <w:t>The court</w:t>
      </w:r>
      <w:r>
        <w:t>, however,</w:t>
      </w:r>
      <w:r>
        <w:t xml:space="preserve"> declined</w:t>
      </w:r>
      <w:r>
        <w:t xml:space="preserve"> to do so</w:t>
      </w:r>
      <w:r>
        <w:t xml:space="preserve"> and</w:t>
      </w:r>
      <w:r>
        <w:t xml:space="preserve"> </w:t>
      </w:r>
      <w:r>
        <w:t xml:space="preserve">instructed the jury to </w:t>
      </w:r>
      <w:r>
        <w:t xml:space="preserve">determine the </w:t>
      </w:r>
      <w:r>
        <w:t xml:space="preserve">valuation </w:t>
      </w:r>
      <w:r>
        <w:t>date</w:t>
      </w:r>
      <w:r>
        <w:t>.  It did, however,</w:t>
      </w:r>
      <w:r>
        <w:t xml:space="preserve"> </w:t>
      </w:r>
      <w:r>
        <w:t xml:space="preserve">caution the jury </w:t>
      </w:r>
      <w:r>
        <w:t xml:space="preserve">that </w:t>
      </w:r>
      <w:r>
        <w:t xml:space="preserve">damages </w:t>
      </w:r>
      <w:r>
        <w:t>that are</w:t>
      </w:r>
      <w:r>
        <w:t xml:space="preserve"> “speculative, remote, imaginary, contingent, or merely possible</w:t>
      </w:r>
      <w:r>
        <w:t xml:space="preserve"> cannot serve as a legal basis for recovery.</w:t>
      </w:r>
      <w:r>
        <w:t>”</w:t>
      </w:r>
      <w:r>
        <w:t xml:space="preserve"> </w:t>
      </w:r>
      <w:r>
        <w:t xml:space="preserve"> </w:t>
      </w:r>
      <w:r>
        <w:t xml:space="preserve">As </w:t>
      </w:r>
      <w:r>
        <w:t>to each of the</w:t>
      </w:r>
      <w:r>
        <w:t xml:space="preserve"> three</w:t>
      </w:r>
      <w:r>
        <w:t xml:space="preserve"> contracts</w:t>
      </w:r>
      <w:r>
        <w:t xml:space="preserve"> (Employment Contract, Notice, and Performance Grant)</w:t>
      </w:r>
      <w:r>
        <w:t>, the jury found</w:t>
      </w:r>
      <w:r>
        <w:t xml:space="preserve"> that </w:t>
      </w:r>
      <w:proofErr w:type="spellStart"/>
      <w:r>
        <w:t>S</w:t>
      </w:r>
      <w:r>
        <w:t>killz</w:t>
      </w:r>
      <w:proofErr w:type="spellEnd"/>
      <w:r>
        <w:t xml:space="preserve"> </w:t>
      </w:r>
      <w:r>
        <w:t xml:space="preserve">breached the contract “by not allowing Shah to exercise his vested stock options under the pretext that </w:t>
      </w:r>
      <w:proofErr w:type="spellStart"/>
      <w:r>
        <w:t>‘cause</w:t>
      </w:r>
      <w:proofErr w:type="spellEnd"/>
      <w:r>
        <w:t>’ existed for his termination</w:t>
      </w:r>
      <w:proofErr w:type="gramStart"/>
      <w:r>
        <w:t>[.]”</w:t>
      </w:r>
      <w:r>
        <w:t xml:space="preserve">  (</w:t>
      </w:r>
      <w:proofErr w:type="gramEnd"/>
      <w:r>
        <w:t>Bolding omitted.)</w:t>
      </w:r>
      <w:r>
        <w:t xml:space="preserve"> </w:t>
      </w:r>
      <w:r>
        <w:t xml:space="preserve"> The jury awa</w:t>
      </w:r>
      <w:r>
        <w:t xml:space="preserve">rded Shah </w:t>
      </w:r>
      <w:r>
        <w:t xml:space="preserve">$7,528,637 </w:t>
      </w:r>
      <w:r>
        <w:t>for the</w:t>
      </w:r>
      <w:r>
        <w:t xml:space="preserve"> </w:t>
      </w:r>
      <w:r>
        <w:t>loss</w:t>
      </w:r>
      <w:r>
        <w:t xml:space="preserve"> of </w:t>
      </w:r>
      <w:r>
        <w:t>his</w:t>
      </w:r>
      <w:r>
        <w:t xml:space="preserve"> stock</w:t>
      </w:r>
      <w:r>
        <w:t xml:space="preserve"> options under the initial grant </w:t>
      </w:r>
      <w:r>
        <w:t>and $4,028,536</w:t>
      </w:r>
      <w:r>
        <w:t xml:space="preserve"> for the </w:t>
      </w:r>
      <w:r>
        <w:t>loss</w:t>
      </w:r>
      <w:r>
        <w:t xml:space="preserve"> of his options under the Performance Grant</w:t>
      </w:r>
      <w:r>
        <w:t>, for a total of</w:t>
      </w:r>
      <w:r>
        <w:t xml:space="preserve"> $11,557,173.</w:t>
      </w:r>
      <w:r>
        <w:t xml:space="preserve"> </w:t>
      </w:r>
      <w:r>
        <w:t xml:space="preserve"> The </w:t>
      </w:r>
      <w:r>
        <w:t>court entered judgment on the</w:t>
      </w:r>
      <w:r>
        <w:t xml:space="preserve"> jury’s verdict. </w:t>
      </w:r>
    </w:p>
    <w:p w14:paraId="6E04C02D" w14:textId="77777777" w:rsidR="00E748F1" w:rsidRDefault="00E748F1" w:rsidP="00085776">
      <w:pPr>
        <w:tabs>
          <w:tab w:val="clear" w:pos="720"/>
          <w:tab w:val="left" w:pos="0"/>
        </w:tabs>
        <w:spacing w:line="360" w:lineRule="auto"/>
      </w:pPr>
      <w:r>
        <w:tab/>
      </w:r>
      <w:proofErr w:type="spellStart"/>
      <w:r>
        <w:t>Skillz</w:t>
      </w:r>
      <w:proofErr w:type="spellEnd"/>
      <w:r>
        <w:t xml:space="preserve"> </w:t>
      </w:r>
      <w:r>
        <w:t>moved for</w:t>
      </w:r>
      <w:r>
        <w:t xml:space="preserve"> </w:t>
      </w:r>
      <w:r>
        <w:t xml:space="preserve">a </w:t>
      </w:r>
      <w:r>
        <w:t>JNOV and new trial.</w:t>
      </w:r>
      <w:r>
        <w:t xml:space="preserve"> </w:t>
      </w:r>
      <w:r>
        <w:t xml:space="preserve"> In its JNOV</w:t>
      </w:r>
      <w:r>
        <w:t xml:space="preserve"> motion</w:t>
      </w:r>
      <w:r>
        <w:t xml:space="preserve">, </w:t>
      </w:r>
      <w:proofErr w:type="spellStart"/>
      <w:r>
        <w:t>Skillz</w:t>
      </w:r>
      <w:proofErr w:type="spellEnd"/>
      <w:r>
        <w:t xml:space="preserve"> argued that</w:t>
      </w:r>
      <w:r>
        <w:t xml:space="preserve">: </w:t>
      </w:r>
      <w:r>
        <w:t xml:space="preserve"> </w:t>
      </w:r>
      <w:r>
        <w:t xml:space="preserve">(1) </w:t>
      </w:r>
      <w:r>
        <w:t xml:space="preserve">Shah </w:t>
      </w:r>
      <w:r>
        <w:t>cannot recover damages for</w:t>
      </w:r>
      <w:r>
        <w:t xml:space="preserve"> breach of</w:t>
      </w:r>
      <w:r>
        <w:t xml:space="preserve"> the</w:t>
      </w:r>
      <w:r>
        <w:t xml:space="preserve"> </w:t>
      </w:r>
      <w:r>
        <w:t>Performance Grant</w:t>
      </w:r>
      <w:r>
        <w:t xml:space="preserve"> because it</w:t>
      </w:r>
      <w:r>
        <w:t>s breach</w:t>
      </w:r>
      <w:r>
        <w:t xml:space="preserve"> was not pled in the FAC</w:t>
      </w:r>
      <w:r>
        <w:t>;</w:t>
      </w:r>
      <w:r>
        <w:t xml:space="preserve"> (2) </w:t>
      </w:r>
      <w:r>
        <w:t xml:space="preserve">there </w:t>
      </w:r>
      <w:r>
        <w:t>was</w:t>
      </w:r>
      <w:r>
        <w:t xml:space="preserve"> no</w:t>
      </w:r>
      <w:r>
        <w:t xml:space="preserve"> evidence that </w:t>
      </w:r>
      <w:proofErr w:type="spellStart"/>
      <w:r>
        <w:t>Skillz</w:t>
      </w:r>
      <w:proofErr w:type="spellEnd"/>
      <w:r>
        <w:t xml:space="preserve"> breached </w:t>
      </w:r>
      <w:r>
        <w:t>any contract</w:t>
      </w:r>
      <w:r>
        <w:t xml:space="preserve"> </w:t>
      </w:r>
      <w:r>
        <w:t xml:space="preserve">by </w:t>
      </w:r>
      <w:r>
        <w:t>firing Shah for cause</w:t>
      </w:r>
      <w:r>
        <w:t>; and (3)</w:t>
      </w:r>
      <w:r>
        <w:t xml:space="preserve"> the jury’s </w:t>
      </w:r>
      <w:r>
        <w:t xml:space="preserve">award of $11.5 million </w:t>
      </w:r>
      <w:r>
        <w:t xml:space="preserve">was </w:t>
      </w:r>
      <w:r>
        <w:t>improper because damages</w:t>
      </w:r>
      <w:r>
        <w:t xml:space="preserve"> for lost stock options</w:t>
      </w:r>
      <w:r>
        <w:t xml:space="preserve"> </w:t>
      </w:r>
      <w:r>
        <w:t>must be</w:t>
      </w:r>
      <w:r>
        <w:t xml:space="preserve"> measured </w:t>
      </w:r>
      <w:r>
        <w:t>as of the date of breach (Shah’s termination)</w:t>
      </w:r>
      <w:r>
        <w:t>.</w:t>
      </w:r>
      <w:r>
        <w:t xml:space="preserve"> </w:t>
      </w:r>
      <w:r>
        <w:t xml:space="preserve"> </w:t>
      </w:r>
      <w:r>
        <w:t xml:space="preserve">The </w:t>
      </w:r>
      <w:r>
        <w:t xml:space="preserve">new trial </w:t>
      </w:r>
      <w:r>
        <w:t>motion a</w:t>
      </w:r>
      <w:r>
        <w:t>rgued that</w:t>
      </w:r>
      <w:proofErr w:type="gramStart"/>
      <w:r>
        <w:t xml:space="preserve">: </w:t>
      </w:r>
      <w:r>
        <w:t xml:space="preserve"> </w:t>
      </w:r>
      <w:r>
        <w:t>(</w:t>
      </w:r>
      <w:proofErr w:type="gramEnd"/>
      <w:r>
        <w:t xml:space="preserve">1) </w:t>
      </w:r>
      <w:r>
        <w:t xml:space="preserve">various irregularities </w:t>
      </w:r>
      <w:r>
        <w:t xml:space="preserve">rendered the trial unfair to </w:t>
      </w:r>
      <w:proofErr w:type="spellStart"/>
      <w:r>
        <w:t>Skill</w:t>
      </w:r>
      <w:r>
        <w:t>z</w:t>
      </w:r>
      <w:proofErr w:type="spellEnd"/>
      <w:r>
        <w:t>; (2)</w:t>
      </w:r>
      <w:r>
        <w:t xml:space="preserve"> </w:t>
      </w:r>
      <w:r>
        <w:t>the jury awarded excessive damages;</w:t>
      </w:r>
      <w:r>
        <w:t xml:space="preserve"> </w:t>
      </w:r>
      <w:r>
        <w:t>and (3)</w:t>
      </w:r>
      <w:r>
        <w:t xml:space="preserve"> there was insufficient evidence to support the verdict.</w:t>
      </w:r>
      <w:r>
        <w:t xml:space="preserve"> </w:t>
      </w:r>
      <w:r>
        <w:t xml:space="preserve"> </w:t>
      </w:r>
    </w:p>
    <w:p w14:paraId="474D787B" w14:textId="77777777" w:rsidR="00E748F1" w:rsidRDefault="00E748F1" w:rsidP="00085776">
      <w:pPr>
        <w:tabs>
          <w:tab w:val="clear" w:pos="720"/>
          <w:tab w:val="left" w:pos="0"/>
        </w:tabs>
        <w:spacing w:line="360" w:lineRule="auto"/>
      </w:pPr>
      <w:r>
        <w:tab/>
      </w:r>
      <w:r>
        <w:t>The</w:t>
      </w:r>
      <w:r>
        <w:t xml:space="preserve"> trial court denied </w:t>
      </w:r>
      <w:r>
        <w:t xml:space="preserve">the </w:t>
      </w:r>
      <w:r>
        <w:t xml:space="preserve">JNOV </w:t>
      </w:r>
      <w:r>
        <w:t>motion</w:t>
      </w:r>
      <w:r>
        <w:t xml:space="preserve"> </w:t>
      </w:r>
      <w:r>
        <w:t>because</w:t>
      </w:r>
      <w:r>
        <w:t xml:space="preserve"> “Shah presented evidence to support all of his claims</w:t>
      </w:r>
      <w:r>
        <w:t>” at trial.</w:t>
      </w:r>
      <w:r>
        <w:t xml:space="preserve"> </w:t>
      </w:r>
      <w:r>
        <w:t xml:space="preserve"> </w:t>
      </w:r>
      <w:r>
        <w:t>As for</w:t>
      </w:r>
      <w:r>
        <w:t xml:space="preserve"> damages, the court</w:t>
      </w:r>
      <w:r>
        <w:t xml:space="preserve"> conceded that </w:t>
      </w:r>
      <w:r>
        <w:t>“</w:t>
      </w:r>
      <w:r>
        <w:t xml:space="preserve">the jury </w:t>
      </w:r>
      <w:r>
        <w:t>needed</w:t>
      </w:r>
      <w:r>
        <w:t xml:space="preserve"> further guidance on the appropriate measure </w:t>
      </w:r>
      <w:r>
        <w:lastRenderedPageBreak/>
        <w:t>of damages</w:t>
      </w:r>
      <w:r>
        <w:t xml:space="preserve">” </w:t>
      </w:r>
      <w:r>
        <w:t xml:space="preserve">and </w:t>
      </w:r>
      <w:r>
        <w:t xml:space="preserve">that </w:t>
      </w:r>
      <w:r>
        <w:t>the “date to value the loss of stock options remains an unsettled area of law in California</w:t>
      </w:r>
      <w:r>
        <w:t>”</w:t>
      </w:r>
      <w:r>
        <w:t xml:space="preserve"> and </w:t>
      </w:r>
      <w:r>
        <w:t>is</w:t>
      </w:r>
      <w:r>
        <w:t xml:space="preserve"> a complex topic that “might have been confusing to the jury.”</w:t>
      </w:r>
      <w:r>
        <w:t xml:space="preserve"> </w:t>
      </w:r>
      <w:r>
        <w:t xml:space="preserve"> </w:t>
      </w:r>
      <w:r>
        <w:t>(Bolding and capitalization omitted.)</w:t>
      </w:r>
      <w:r>
        <w:t xml:space="preserve"> </w:t>
      </w:r>
      <w:r>
        <w:t xml:space="preserve"> </w:t>
      </w:r>
      <w:r>
        <w:t>T</w:t>
      </w:r>
      <w:r>
        <w:t xml:space="preserve">o rectify this, </w:t>
      </w:r>
      <w:r>
        <w:t>t</w:t>
      </w:r>
      <w:r>
        <w:t>he court</w:t>
      </w:r>
      <w:r>
        <w:t xml:space="preserve"> </w:t>
      </w:r>
      <w:r>
        <w:t>conditioned its denial</w:t>
      </w:r>
      <w:r>
        <w:t xml:space="preserve"> of </w:t>
      </w:r>
      <w:proofErr w:type="spellStart"/>
      <w:r>
        <w:t>Skillz’s</w:t>
      </w:r>
      <w:proofErr w:type="spellEnd"/>
      <w:r>
        <w:t xml:space="preserve"> </w:t>
      </w:r>
      <w:r>
        <w:t xml:space="preserve">new trial </w:t>
      </w:r>
      <w:r>
        <w:t>mot</w:t>
      </w:r>
      <w:r>
        <w:t xml:space="preserve">ion on Shah’s </w:t>
      </w:r>
      <w:r>
        <w:t>consent to</w:t>
      </w:r>
      <w:r>
        <w:t xml:space="preserve"> a </w:t>
      </w:r>
      <w:r>
        <w:t>remittitur in the amount of $4,358,358.</w:t>
      </w:r>
      <w:r>
        <w:t xml:space="preserve"> </w:t>
      </w:r>
      <w:r>
        <w:t xml:space="preserve"> </w:t>
      </w:r>
      <w:r>
        <w:t xml:space="preserve">This </w:t>
      </w:r>
      <w:r>
        <w:t xml:space="preserve">amount </w:t>
      </w:r>
      <w:r>
        <w:t>came from</w:t>
      </w:r>
      <w:r>
        <w:t xml:space="preserve"> the </w:t>
      </w:r>
      <w:r>
        <w:t xml:space="preserve">alternative </w:t>
      </w:r>
      <w:r>
        <w:t xml:space="preserve">calculation </w:t>
      </w:r>
      <w:r>
        <w:t xml:space="preserve">provided by </w:t>
      </w:r>
      <w:proofErr w:type="spellStart"/>
      <w:r>
        <w:t>Skillz’s</w:t>
      </w:r>
      <w:proofErr w:type="spellEnd"/>
      <w:r>
        <w:t xml:space="preserve"> expert</w:t>
      </w:r>
      <w:r>
        <w:t>,</w:t>
      </w:r>
      <w:r>
        <w:t xml:space="preserve"> </w:t>
      </w:r>
      <w:r>
        <w:t xml:space="preserve">excluding any </w:t>
      </w:r>
      <w:r>
        <w:t>damages for the</w:t>
      </w:r>
      <w:r>
        <w:t xml:space="preserve"> </w:t>
      </w:r>
      <w:r>
        <w:t>lost stock</w:t>
      </w:r>
      <w:r>
        <w:t xml:space="preserve"> </w:t>
      </w:r>
      <w:r>
        <w:t xml:space="preserve">options under the Performance Grant. </w:t>
      </w:r>
      <w:r>
        <w:t xml:space="preserve"> </w:t>
      </w:r>
      <w:r>
        <w:t>Shah accepted the remittitur</w:t>
      </w:r>
      <w:r>
        <w:t>,</w:t>
      </w:r>
      <w:r>
        <w:t xml:space="preserve"> and the court entered</w:t>
      </w:r>
      <w:r>
        <w:t xml:space="preserve"> </w:t>
      </w:r>
      <w:r>
        <w:t xml:space="preserve">an amended </w:t>
      </w:r>
      <w:r>
        <w:t>judgment</w:t>
      </w:r>
      <w:r>
        <w:t xml:space="preserve"> in his favor for the reduced remittitur amount</w:t>
      </w:r>
      <w:r>
        <w:t>.</w:t>
      </w:r>
      <w:r>
        <w:t xml:space="preserve"> </w:t>
      </w:r>
      <w:r>
        <w:t xml:space="preserve"> </w:t>
      </w:r>
    </w:p>
    <w:p w14:paraId="0213E386" w14:textId="77777777" w:rsidR="00E748F1" w:rsidRPr="00E86CB1" w:rsidRDefault="00E748F1" w:rsidP="00085776">
      <w:pPr>
        <w:tabs>
          <w:tab w:val="clear" w:pos="720"/>
          <w:tab w:val="left" w:pos="0"/>
        </w:tabs>
        <w:spacing w:line="360" w:lineRule="auto"/>
      </w:pPr>
      <w:r>
        <w:tab/>
      </w:r>
      <w:proofErr w:type="spellStart"/>
      <w:r>
        <w:t>Skillz</w:t>
      </w:r>
      <w:proofErr w:type="spellEnd"/>
      <w:r>
        <w:t xml:space="preserve"> </w:t>
      </w:r>
      <w:r>
        <w:t>timely appealed</w:t>
      </w:r>
      <w:r>
        <w:t xml:space="preserve"> </w:t>
      </w:r>
      <w:r>
        <w:t>the judgment, the trial court’s o</w:t>
      </w:r>
      <w:r>
        <w:t xml:space="preserve">rders on the post-trial motions, and the amended judgment. </w:t>
      </w:r>
      <w:r>
        <w:t xml:space="preserve"> Shah </w:t>
      </w:r>
      <w:r>
        <w:t xml:space="preserve">timely </w:t>
      </w:r>
      <w:r>
        <w:t>cross-appealed these</w:t>
      </w:r>
      <w:r>
        <w:t xml:space="preserve"> same judgments and orders.</w:t>
      </w:r>
      <w:r>
        <w:rPr>
          <w:rStyle w:val="FootnoteReference"/>
        </w:rPr>
        <w:footnoteReference w:id="12"/>
      </w:r>
      <w:r>
        <w:t xml:space="preserve"> </w:t>
      </w:r>
    </w:p>
    <w:p w14:paraId="500C412E" w14:textId="77777777" w:rsidR="00E748F1" w:rsidRPr="00E266D8" w:rsidRDefault="00E748F1" w:rsidP="00A75EF8">
      <w:pPr>
        <w:keepNext/>
        <w:keepLines/>
        <w:tabs>
          <w:tab w:val="clear" w:pos="720"/>
          <w:tab w:val="left" w:pos="0"/>
        </w:tabs>
        <w:spacing w:line="360" w:lineRule="auto"/>
        <w:jc w:val="center"/>
        <w:rPr>
          <w:b/>
          <w:bCs/>
          <w:u w:val="single"/>
        </w:rPr>
      </w:pPr>
      <w:r w:rsidRPr="00E266D8">
        <w:rPr>
          <w:b/>
          <w:bCs/>
        </w:rPr>
        <w:lastRenderedPageBreak/>
        <w:t xml:space="preserve">II.  </w:t>
      </w:r>
      <w:r w:rsidRPr="00E266D8">
        <w:rPr>
          <w:b/>
          <w:bCs/>
          <w:u w:val="single"/>
        </w:rPr>
        <w:t>DISCUSSION</w:t>
      </w:r>
    </w:p>
    <w:p w14:paraId="012D4FB8" w14:textId="77777777" w:rsidR="00E748F1" w:rsidRPr="00BD4AFE" w:rsidRDefault="00E748F1" w:rsidP="00A75EF8">
      <w:pPr>
        <w:pStyle w:val="BodyText"/>
        <w:keepNext/>
        <w:keepLines/>
        <w:widowControl/>
        <w:numPr>
          <w:ilvl w:val="0"/>
          <w:numId w:val="18"/>
        </w:numPr>
        <w:spacing w:line="360" w:lineRule="auto"/>
        <w:rPr>
          <w:u w:val="single"/>
        </w:rPr>
      </w:pPr>
      <w:proofErr w:type="spellStart"/>
      <w:r w:rsidRPr="00BD4AFE">
        <w:rPr>
          <w:u w:val="single"/>
        </w:rPr>
        <w:t>Skillz’s</w:t>
      </w:r>
      <w:proofErr w:type="spellEnd"/>
      <w:r w:rsidRPr="00BD4AFE">
        <w:rPr>
          <w:u w:val="single"/>
        </w:rPr>
        <w:t xml:space="preserve"> Liabilit</w:t>
      </w:r>
      <w:r w:rsidRPr="00BD4AFE">
        <w:rPr>
          <w:u w:val="single"/>
        </w:rPr>
        <w:t>y for Breach of Contract</w:t>
      </w:r>
    </w:p>
    <w:p w14:paraId="4257ED55" w14:textId="77777777" w:rsidR="00E748F1" w:rsidRDefault="00E748F1" w:rsidP="00A75EF8">
      <w:pPr>
        <w:pStyle w:val="BodyText"/>
        <w:keepNext/>
        <w:keepLines/>
        <w:widowControl/>
        <w:spacing w:line="360" w:lineRule="auto"/>
        <w:ind w:firstLine="620"/>
      </w:pPr>
      <w:proofErr w:type="spellStart"/>
      <w:r>
        <w:t>Skillz</w:t>
      </w:r>
      <w:proofErr w:type="spellEnd"/>
      <w:r>
        <w:t xml:space="preserve"> </w:t>
      </w:r>
      <w:r>
        <w:t xml:space="preserve">contends </w:t>
      </w:r>
      <w:r>
        <w:t xml:space="preserve">it is entitled </w:t>
      </w:r>
      <w:r>
        <w:t xml:space="preserve">to </w:t>
      </w:r>
      <w:r>
        <w:t xml:space="preserve">a </w:t>
      </w:r>
      <w:r>
        <w:t xml:space="preserve">JNOV or </w:t>
      </w:r>
      <w:r>
        <w:t xml:space="preserve">a </w:t>
      </w:r>
      <w:r>
        <w:t xml:space="preserve">new trial </w:t>
      </w:r>
      <w:r>
        <w:t xml:space="preserve">on liability </w:t>
      </w:r>
      <w:r>
        <w:t xml:space="preserve">based on </w:t>
      </w:r>
      <w:r>
        <w:t>errors</w:t>
      </w:r>
      <w:r>
        <w:t xml:space="preserve"> in the jury instructions and </w:t>
      </w:r>
      <w:r>
        <w:t xml:space="preserve">special </w:t>
      </w:r>
      <w:r>
        <w:t>verdict forms</w:t>
      </w:r>
      <w:r>
        <w:t>.</w:t>
      </w:r>
      <w:r>
        <w:t xml:space="preserve"> </w:t>
      </w:r>
      <w:r>
        <w:t xml:space="preserve"> </w:t>
      </w:r>
      <w:r>
        <w:t>First</w:t>
      </w:r>
      <w:r>
        <w:t xml:space="preserve">, </w:t>
      </w:r>
      <w:proofErr w:type="spellStart"/>
      <w:r>
        <w:t>Skillz</w:t>
      </w:r>
      <w:proofErr w:type="spellEnd"/>
      <w:r>
        <w:t xml:space="preserve"> </w:t>
      </w:r>
      <w:r>
        <w:t>claims</w:t>
      </w:r>
      <w:r>
        <w:t xml:space="preserve"> </w:t>
      </w:r>
      <w:r>
        <w:t xml:space="preserve">that </w:t>
      </w:r>
      <w:r>
        <w:t>the instructions and forms</w:t>
      </w:r>
      <w:r>
        <w:t xml:space="preserve"> </w:t>
      </w:r>
      <w:r>
        <w:t xml:space="preserve">failed to </w:t>
      </w:r>
      <w:r>
        <w:t xml:space="preserve">identify any </w:t>
      </w:r>
      <w:r>
        <w:t xml:space="preserve">contractual </w:t>
      </w:r>
      <w:r>
        <w:t>obligation that</w:t>
      </w:r>
      <w:r>
        <w:t xml:space="preserve"> </w:t>
      </w:r>
      <w:r>
        <w:t>was breached</w:t>
      </w:r>
      <w:r>
        <w:t>.</w:t>
      </w:r>
      <w:r>
        <w:t xml:space="preserve"> </w:t>
      </w:r>
      <w:r>
        <w:t xml:space="preserve"> </w:t>
      </w:r>
      <w:r>
        <w:t xml:space="preserve">Second, </w:t>
      </w:r>
      <w:proofErr w:type="spellStart"/>
      <w:r>
        <w:t>Skillz</w:t>
      </w:r>
      <w:proofErr w:type="spellEnd"/>
      <w:r>
        <w:t xml:space="preserve"> claims that the instructions and forms </w:t>
      </w:r>
      <w:r>
        <w:t>impermissibly</w:t>
      </w:r>
      <w:r>
        <w:t xml:space="preserve"> </w:t>
      </w:r>
      <w:r>
        <w:t>referenc</w:t>
      </w:r>
      <w:r>
        <w:t>ed the term “pretext</w:t>
      </w:r>
      <w:r>
        <w:t>”</w:t>
      </w:r>
      <w:r>
        <w:t>—</w:t>
      </w:r>
      <w:r>
        <w:t xml:space="preserve">which is irrelevant </w:t>
      </w:r>
      <w:r>
        <w:t>in</w:t>
      </w:r>
      <w:r>
        <w:t xml:space="preserve"> </w:t>
      </w:r>
      <w:r>
        <w:t xml:space="preserve">a </w:t>
      </w:r>
      <w:r>
        <w:t>breach of contract</w:t>
      </w:r>
      <w:r>
        <w:t xml:space="preserve"> claim</w:t>
      </w:r>
      <w:r>
        <w:t>.</w:t>
      </w:r>
      <w:r>
        <w:t xml:space="preserve"> </w:t>
      </w:r>
      <w:r>
        <w:t xml:space="preserve"> We find no reversible error.</w:t>
      </w:r>
    </w:p>
    <w:p w14:paraId="4238A528" w14:textId="77777777" w:rsidR="00E748F1" w:rsidRDefault="00E748F1" w:rsidP="00085776">
      <w:pPr>
        <w:pStyle w:val="BodyText"/>
        <w:widowControl/>
        <w:numPr>
          <w:ilvl w:val="1"/>
          <w:numId w:val="7"/>
        </w:numPr>
        <w:spacing w:line="360" w:lineRule="auto"/>
        <w:rPr>
          <w:i/>
        </w:rPr>
      </w:pPr>
      <w:r w:rsidRPr="00072524">
        <w:rPr>
          <w:i/>
        </w:rPr>
        <w:t xml:space="preserve">Relevant </w:t>
      </w:r>
      <w:r w:rsidRPr="00072524">
        <w:rPr>
          <w:i/>
          <w:iCs/>
        </w:rPr>
        <w:t>Facts</w:t>
      </w:r>
    </w:p>
    <w:p w14:paraId="1224B538" w14:textId="77777777" w:rsidR="00E748F1" w:rsidRDefault="00E748F1" w:rsidP="00085776">
      <w:pPr>
        <w:pStyle w:val="BodyText"/>
        <w:widowControl/>
        <w:spacing w:line="360" w:lineRule="auto"/>
        <w:ind w:firstLine="620"/>
      </w:pPr>
      <w:r>
        <w:t>Before the trial began, Shah submitted</w:t>
      </w:r>
      <w:r>
        <w:t xml:space="preserve"> proposed </w:t>
      </w:r>
      <w:r>
        <w:t xml:space="preserve">jury </w:t>
      </w:r>
      <w:r>
        <w:t xml:space="preserve">instructions </w:t>
      </w:r>
      <w:r>
        <w:t>stating</w:t>
      </w:r>
      <w:r>
        <w:t>, among other things,</w:t>
      </w:r>
      <w:r>
        <w:t xml:space="preserve"> that the parties “entered into two contracts”</w:t>
      </w:r>
      <w:r>
        <w:t>:</w:t>
      </w:r>
      <w:r>
        <w:t xml:space="preserve"> </w:t>
      </w:r>
      <w:r>
        <w:t xml:space="preserve"> </w:t>
      </w:r>
      <w:r>
        <w:t xml:space="preserve">the Employment Contract and Notice. </w:t>
      </w:r>
      <w:r>
        <w:t xml:space="preserve"> </w:t>
      </w:r>
      <w:r>
        <w:t>Shah</w:t>
      </w:r>
      <w:r>
        <w:t xml:space="preserve"> also</w:t>
      </w:r>
      <w:r>
        <w:t xml:space="preserve"> included </w:t>
      </w:r>
      <w:r>
        <w:t>CACI No. 303</w:t>
      </w:r>
      <w:r>
        <w:t xml:space="preserve"> </w:t>
      </w:r>
      <w:r>
        <w:t>(breach of contract</w:t>
      </w:r>
      <w:r>
        <w:t>—</w:t>
      </w:r>
      <w:r>
        <w:t>essential factual elements)</w:t>
      </w:r>
      <w:r>
        <w:t>—</w:t>
      </w:r>
      <w:r>
        <w:t xml:space="preserve">which </w:t>
      </w:r>
      <w:r>
        <w:t>established</w:t>
      </w:r>
      <w:r>
        <w:t xml:space="preserve"> </w:t>
      </w:r>
      <w:r>
        <w:t>as an</w:t>
      </w:r>
      <w:r>
        <w:t xml:space="preserve"> </w:t>
      </w:r>
      <w:r>
        <w:t>elem</w:t>
      </w:r>
      <w:r>
        <w:t xml:space="preserve">ent </w:t>
      </w:r>
      <w:r>
        <w:t xml:space="preserve">of the breach of contract cause of action </w:t>
      </w:r>
      <w:r>
        <w:t xml:space="preserve">that </w:t>
      </w:r>
      <w:proofErr w:type="spellStart"/>
      <w:r>
        <w:t>Skillz</w:t>
      </w:r>
      <w:proofErr w:type="spellEnd"/>
      <w:r>
        <w:t xml:space="preserve"> “failed to do something that the contract required it to do”</w:t>
      </w:r>
      <w:r>
        <w:t>—</w:t>
      </w:r>
      <w:r>
        <w:t xml:space="preserve">and </w:t>
      </w:r>
      <w:r>
        <w:t>an</w:t>
      </w:r>
      <w:r>
        <w:t xml:space="preserve"> instruction and </w:t>
      </w:r>
      <w:r>
        <w:t xml:space="preserve">special </w:t>
      </w:r>
      <w:r>
        <w:t xml:space="preserve">verdict form </w:t>
      </w:r>
      <w:r>
        <w:t>addressing</w:t>
      </w:r>
      <w:r>
        <w:t xml:space="preserve"> his abandoned</w:t>
      </w:r>
      <w:r>
        <w:t xml:space="preserve"> </w:t>
      </w:r>
      <w:r>
        <w:t xml:space="preserve">breach of </w:t>
      </w:r>
      <w:r>
        <w:t xml:space="preserve">the </w:t>
      </w:r>
      <w:r>
        <w:t>implied covenant</w:t>
      </w:r>
      <w:r>
        <w:t xml:space="preserve"> claim, which</w:t>
      </w:r>
      <w:r>
        <w:t xml:space="preserve"> </w:t>
      </w:r>
      <w:r>
        <w:t xml:space="preserve">Shah </w:t>
      </w:r>
      <w:r>
        <w:t xml:space="preserve">later </w:t>
      </w:r>
      <w:r>
        <w:t>withdrew.</w:t>
      </w:r>
      <w:r>
        <w:rPr>
          <w:rStyle w:val="FootnoteReference"/>
        </w:rPr>
        <w:footnoteReference w:id="13"/>
      </w:r>
      <w:r>
        <w:t xml:space="preserve"> </w:t>
      </w:r>
      <w:r>
        <w:t xml:space="preserve"> Around th</w:t>
      </w:r>
      <w:r>
        <w:t>e</w:t>
      </w:r>
      <w:r>
        <w:t xml:space="preserve"> same time, the trial court granted </w:t>
      </w:r>
      <w:proofErr w:type="spellStart"/>
      <w:r>
        <w:t>Skillz’s</w:t>
      </w:r>
      <w:proofErr w:type="spellEnd"/>
      <w:r>
        <w:t xml:space="preserve"> motion in </w:t>
      </w:r>
      <w:proofErr w:type="spellStart"/>
      <w:r>
        <w:t>limine</w:t>
      </w:r>
      <w:proofErr w:type="spellEnd"/>
      <w:r>
        <w:t xml:space="preserve"> to preclude</w:t>
      </w:r>
      <w:r>
        <w:t xml:space="preserve"> evidence </w:t>
      </w:r>
      <w:r>
        <w:t>and</w:t>
      </w:r>
      <w:r>
        <w:t xml:space="preserve"> argument</w:t>
      </w:r>
      <w:r>
        <w:t xml:space="preserve"> </w:t>
      </w:r>
      <w:r>
        <w:t xml:space="preserve">regarding </w:t>
      </w:r>
      <w:r>
        <w:t xml:space="preserve">any </w:t>
      </w:r>
      <w:r>
        <w:t>unpled causes of action, including</w:t>
      </w:r>
      <w:r>
        <w:t xml:space="preserve"> </w:t>
      </w:r>
      <w:r>
        <w:t xml:space="preserve">Shah’s claim for </w:t>
      </w:r>
      <w:r>
        <w:t xml:space="preserve">breach of </w:t>
      </w:r>
      <w:r>
        <w:t xml:space="preserve">the </w:t>
      </w:r>
      <w:r>
        <w:t>implied covenant.</w:t>
      </w:r>
      <w:r>
        <w:t xml:space="preserve"> </w:t>
      </w:r>
    </w:p>
    <w:p w14:paraId="2548D5F9" w14:textId="77777777" w:rsidR="00E748F1" w:rsidRDefault="00E748F1" w:rsidP="00085776">
      <w:pPr>
        <w:pStyle w:val="BodyText"/>
        <w:widowControl/>
        <w:spacing w:line="360" w:lineRule="auto"/>
        <w:ind w:firstLine="620"/>
      </w:pPr>
      <w:proofErr w:type="spellStart"/>
      <w:r>
        <w:t>Skillz</w:t>
      </w:r>
      <w:r>
        <w:t>’s</w:t>
      </w:r>
      <w:proofErr w:type="spellEnd"/>
      <w:r>
        <w:t xml:space="preserve"> proposed jury instructions, submitted during trial,</w:t>
      </w:r>
      <w:r>
        <w:t xml:space="preserve"> </w:t>
      </w:r>
      <w:r>
        <w:t>included</w:t>
      </w:r>
      <w:r>
        <w:t xml:space="preserve"> a modified version of CACI No. 303</w:t>
      </w:r>
      <w:r>
        <w:t>.  The modified instruction</w:t>
      </w:r>
      <w:r>
        <w:t xml:space="preserve"> required </w:t>
      </w:r>
      <w:r>
        <w:t>the jury to find that</w:t>
      </w:r>
      <w:r>
        <w:t xml:space="preserve"> the contracts “prohibited </w:t>
      </w:r>
      <w:proofErr w:type="spellStart"/>
      <w:r>
        <w:t>Skillz</w:t>
      </w:r>
      <w:proofErr w:type="spellEnd"/>
      <w:r>
        <w:t xml:space="preserve"> from terminating Shah’s employment</w:t>
      </w:r>
      <w:r>
        <w:t xml:space="preserve"> for cause” and that “</w:t>
      </w:r>
      <w:proofErr w:type="spellStart"/>
      <w:r>
        <w:t>Skillz</w:t>
      </w:r>
      <w:proofErr w:type="spellEnd"/>
      <w:r>
        <w:t xml:space="preserve"> terminated Shah’s employment for </w:t>
      </w:r>
      <w:r>
        <w:lastRenderedPageBreak/>
        <w:t>cause.”</w:t>
      </w:r>
      <w:r>
        <w:t xml:space="preserve"> </w:t>
      </w:r>
      <w:r>
        <w:t xml:space="preserve"> </w:t>
      </w:r>
      <w:proofErr w:type="spellStart"/>
      <w:r>
        <w:t>Skillz</w:t>
      </w:r>
      <w:proofErr w:type="spellEnd"/>
      <w:r>
        <w:t xml:space="preserve"> also submitted a </w:t>
      </w:r>
      <w:r>
        <w:t xml:space="preserve">proposed </w:t>
      </w:r>
      <w:r>
        <w:t xml:space="preserve">special </w:t>
      </w:r>
      <w:r>
        <w:t xml:space="preserve">verdict form </w:t>
      </w:r>
      <w:r>
        <w:t>with similar</w:t>
      </w:r>
      <w:r>
        <w:t xml:space="preserve"> language. </w:t>
      </w:r>
      <w:r>
        <w:t xml:space="preserve"> </w:t>
      </w:r>
    </w:p>
    <w:p w14:paraId="764586DF" w14:textId="77777777" w:rsidR="00E748F1" w:rsidRDefault="00E748F1" w:rsidP="00085776">
      <w:pPr>
        <w:pStyle w:val="BodyText"/>
        <w:widowControl/>
        <w:spacing w:line="360" w:lineRule="auto"/>
        <w:ind w:firstLine="620"/>
      </w:pPr>
      <w:r>
        <w:t xml:space="preserve">After the close of evidence, Shah informed the </w:t>
      </w:r>
      <w:r>
        <w:t xml:space="preserve">trial </w:t>
      </w:r>
      <w:r>
        <w:t xml:space="preserve">court that he </w:t>
      </w:r>
      <w:r>
        <w:t xml:space="preserve">had “added two more special instructions” and provided </w:t>
      </w:r>
      <w:r>
        <w:t>copies of those instructions</w:t>
      </w:r>
      <w:r>
        <w:t xml:space="preserve"> to </w:t>
      </w:r>
      <w:proofErr w:type="spellStart"/>
      <w:r>
        <w:t>Skillz</w:t>
      </w:r>
      <w:proofErr w:type="spellEnd"/>
      <w:r>
        <w:t xml:space="preserve">.  </w:t>
      </w:r>
      <w:r>
        <w:t>T</w:t>
      </w:r>
      <w:r>
        <w:t xml:space="preserve">he court </w:t>
      </w:r>
      <w:r>
        <w:t xml:space="preserve">then </w:t>
      </w:r>
      <w:r>
        <w:t>held a</w:t>
      </w:r>
      <w:r>
        <w:t xml:space="preserve"> </w:t>
      </w:r>
      <w:r>
        <w:t>conference</w:t>
      </w:r>
      <w:r>
        <w:t xml:space="preserve"> </w:t>
      </w:r>
      <w:r>
        <w:t xml:space="preserve">to discuss </w:t>
      </w:r>
      <w:r>
        <w:t xml:space="preserve">the </w:t>
      </w:r>
      <w:r>
        <w:t>jury instructions</w:t>
      </w:r>
      <w:r>
        <w:t>.</w:t>
      </w:r>
      <w:r>
        <w:t xml:space="preserve"> </w:t>
      </w:r>
      <w:r>
        <w:t xml:space="preserve"> </w:t>
      </w:r>
      <w:r>
        <w:t xml:space="preserve">Although the court briefly referenced </w:t>
      </w:r>
      <w:r>
        <w:t xml:space="preserve">the parties’ </w:t>
      </w:r>
      <w:r>
        <w:t xml:space="preserve">competing </w:t>
      </w:r>
      <w:r>
        <w:t xml:space="preserve">versions of </w:t>
      </w:r>
      <w:r>
        <w:t xml:space="preserve">CACI No. 303 on the record, it apparently spoke with the parties about that instruction in an off-the-record discussion. </w:t>
      </w:r>
      <w:r>
        <w:t xml:space="preserve"> </w:t>
      </w:r>
      <w:proofErr w:type="spellStart"/>
      <w:r>
        <w:t>Skillz</w:t>
      </w:r>
      <w:proofErr w:type="spellEnd"/>
      <w:r>
        <w:t xml:space="preserve"> claims</w:t>
      </w:r>
      <w:r>
        <w:t xml:space="preserve"> </w:t>
      </w:r>
      <w:r>
        <w:t xml:space="preserve">that, during that discussion, </w:t>
      </w:r>
      <w:r>
        <w:t>the court</w:t>
      </w:r>
      <w:r>
        <w:t xml:space="preserve">, over </w:t>
      </w:r>
      <w:proofErr w:type="spellStart"/>
      <w:r>
        <w:t>Skillz’s</w:t>
      </w:r>
      <w:proofErr w:type="spellEnd"/>
      <w:r>
        <w:t xml:space="preserve"> “strenuous objection”,</w:t>
      </w:r>
      <w:r>
        <w:t xml:space="preserve"> </w:t>
      </w:r>
      <w:r>
        <w:t>agreed to give a modified version of CACI</w:t>
      </w:r>
      <w:r>
        <w:t xml:space="preserve"> No. 303 that </w:t>
      </w:r>
      <w:r>
        <w:t>included the “pretext” language.</w:t>
      </w:r>
      <w:r>
        <w:t xml:space="preserve"> </w:t>
      </w:r>
      <w:r>
        <w:t xml:space="preserve"> </w:t>
      </w:r>
    </w:p>
    <w:p w14:paraId="64541BE9" w14:textId="77777777" w:rsidR="00E748F1" w:rsidRDefault="00E748F1" w:rsidP="00085776">
      <w:pPr>
        <w:pStyle w:val="BodyText"/>
        <w:widowControl/>
        <w:spacing w:line="360" w:lineRule="auto"/>
        <w:ind w:firstLine="620"/>
      </w:pPr>
      <w:proofErr w:type="spellStart"/>
      <w:r>
        <w:t>Skillz</w:t>
      </w:r>
      <w:proofErr w:type="spellEnd"/>
      <w:r>
        <w:t xml:space="preserve"> objected to the addition, arguing that Shah never pled a breach of the Performance Grant “in the complaint” and that his new breach claim was </w:t>
      </w:r>
      <w:proofErr w:type="gramStart"/>
      <w:r>
        <w:t>actually a</w:t>
      </w:r>
      <w:proofErr w:type="gramEnd"/>
      <w:r>
        <w:t xml:space="preserve"> claim for breach of the implied covenant</w:t>
      </w:r>
      <w:r>
        <w:t>—</w:t>
      </w:r>
      <w:r>
        <w:t xml:space="preserve">which Shah had already dismissed.  Shah countered that the FAC expressly referenced the Performance Grant, that </w:t>
      </w:r>
      <w:proofErr w:type="spellStart"/>
      <w:r>
        <w:t>Skillz’s</w:t>
      </w:r>
      <w:proofErr w:type="spellEnd"/>
      <w:r>
        <w:t xml:space="preserve"> witnesses testified about the Performance Grant, and that the Performance Grant contained an express promise to award stock options to Shah.  Later, the court, on the record, </w:t>
      </w:r>
      <w:r>
        <w:t xml:space="preserve">permitted Shah to </w:t>
      </w:r>
      <w:r>
        <w:t>inc</w:t>
      </w:r>
      <w:r>
        <w:t>lude</w:t>
      </w:r>
      <w:r>
        <w:t xml:space="preserve"> the</w:t>
      </w:r>
      <w:r>
        <w:t xml:space="preserve"> Performance Grant</w:t>
      </w:r>
      <w:r>
        <w:t xml:space="preserve"> </w:t>
      </w:r>
      <w:r>
        <w:t xml:space="preserve">as the </w:t>
      </w:r>
      <w:r>
        <w:t xml:space="preserve">third </w:t>
      </w:r>
      <w:r>
        <w:t>contract</w:t>
      </w:r>
      <w:r>
        <w:t>.</w:t>
      </w:r>
    </w:p>
    <w:p w14:paraId="09BFA013" w14:textId="77777777" w:rsidR="00E748F1" w:rsidRPr="00520E67" w:rsidRDefault="00E748F1" w:rsidP="00085776">
      <w:pPr>
        <w:pStyle w:val="BodyText"/>
        <w:widowControl/>
        <w:spacing w:line="360" w:lineRule="auto"/>
        <w:ind w:firstLine="620"/>
      </w:pPr>
      <w:r>
        <w:t xml:space="preserve"> </w:t>
      </w:r>
      <w:r>
        <w:t xml:space="preserve">The trial court </w:t>
      </w:r>
      <w:r>
        <w:t>directed the parties to finalize</w:t>
      </w:r>
      <w:r>
        <w:t xml:space="preserve"> </w:t>
      </w:r>
      <w:r>
        <w:t xml:space="preserve">the </w:t>
      </w:r>
      <w:r>
        <w:t>jury instructions</w:t>
      </w:r>
      <w:r>
        <w:t xml:space="preserve"> that it had approved</w:t>
      </w:r>
      <w:r>
        <w:t>, including the modified version of CACI No. 303</w:t>
      </w:r>
      <w:r>
        <w:t>,</w:t>
      </w:r>
      <w:r>
        <w:t xml:space="preserve"> and</w:t>
      </w:r>
      <w:r>
        <w:t xml:space="preserve"> </w:t>
      </w:r>
      <w:r>
        <w:t xml:space="preserve">ordered </w:t>
      </w:r>
      <w:proofErr w:type="spellStart"/>
      <w:r>
        <w:t>Skillz</w:t>
      </w:r>
      <w:proofErr w:type="spellEnd"/>
      <w:r>
        <w:t xml:space="preserve"> to </w:t>
      </w:r>
      <w:r>
        <w:t>pr</w:t>
      </w:r>
      <w:r>
        <w:t>oduce</w:t>
      </w:r>
      <w:r>
        <w:t xml:space="preserve"> the final </w:t>
      </w:r>
      <w:r>
        <w:t>instructions</w:t>
      </w:r>
      <w:r>
        <w:t>.</w:t>
      </w:r>
      <w:r>
        <w:t xml:space="preserve"> </w:t>
      </w:r>
      <w:r>
        <w:t xml:space="preserve"> Later that day, </w:t>
      </w:r>
      <w:proofErr w:type="spellStart"/>
      <w:r>
        <w:t>Skillz</w:t>
      </w:r>
      <w:proofErr w:type="spellEnd"/>
      <w:r>
        <w:t xml:space="preserve"> submitted the parties’ </w:t>
      </w:r>
      <w:r>
        <w:t xml:space="preserve">joint instructions and </w:t>
      </w:r>
      <w:r>
        <w:t xml:space="preserve">special </w:t>
      </w:r>
      <w:r>
        <w:t>verdict forms.</w:t>
      </w:r>
      <w:r>
        <w:t xml:space="preserve"> </w:t>
      </w:r>
      <w:r>
        <w:t xml:space="preserve"> The</w:t>
      </w:r>
      <w:r>
        <w:t xml:space="preserve"> final </w:t>
      </w:r>
      <w:r>
        <w:t xml:space="preserve">version of </w:t>
      </w:r>
      <w:r>
        <w:t xml:space="preserve">CACI No. 303 </w:t>
      </w:r>
      <w:r>
        <w:t xml:space="preserve">required </w:t>
      </w:r>
      <w:r>
        <w:t xml:space="preserve">Shah to prove </w:t>
      </w:r>
      <w:r>
        <w:t>“[</w:t>
      </w:r>
      <w:r>
        <w:t>t</w:t>
      </w:r>
      <w:r>
        <w:t>]</w:t>
      </w:r>
      <w:r>
        <w:t>hat</w:t>
      </w:r>
      <w:r>
        <w:t xml:space="preserve"> </w:t>
      </w:r>
      <w:proofErr w:type="spellStart"/>
      <w:r>
        <w:t>Skillz</w:t>
      </w:r>
      <w:proofErr w:type="spellEnd"/>
      <w:r>
        <w:t xml:space="preserve"> breached</w:t>
      </w:r>
      <w:r>
        <w:t>”</w:t>
      </w:r>
      <w:r>
        <w:t xml:space="preserve"> each </w:t>
      </w:r>
      <w:r>
        <w:t>contract</w:t>
      </w:r>
      <w:r>
        <w:t xml:space="preserve"> “by not </w:t>
      </w:r>
      <w:r>
        <w:t>al</w:t>
      </w:r>
      <w:r>
        <w:t xml:space="preserve">lowing Shah to exercise his vested stock options under the pretext that </w:t>
      </w:r>
      <w:proofErr w:type="spellStart"/>
      <w:r>
        <w:t>‘cause</w:t>
      </w:r>
      <w:proofErr w:type="spellEnd"/>
      <w:r>
        <w:t>’ existed for his termination.”</w:t>
      </w:r>
      <w:r>
        <w:t xml:space="preserve"> </w:t>
      </w:r>
      <w:r>
        <w:t xml:space="preserve"> </w:t>
      </w:r>
      <w:r>
        <w:t>Simila</w:t>
      </w:r>
      <w:r>
        <w:t>rly, t</w:t>
      </w:r>
      <w:r>
        <w:t>he final special verdict forms</w:t>
      </w:r>
      <w:r>
        <w:t xml:space="preserve"> </w:t>
      </w:r>
      <w:r>
        <w:t>asked</w:t>
      </w:r>
      <w:proofErr w:type="gramStart"/>
      <w:r>
        <w:t xml:space="preserve">:  </w:t>
      </w:r>
      <w:r>
        <w:t>“</w:t>
      </w:r>
      <w:proofErr w:type="gramEnd"/>
      <w:r>
        <w:t xml:space="preserve">Did </w:t>
      </w:r>
      <w:proofErr w:type="spellStart"/>
      <w:r>
        <w:t>Skillz</w:t>
      </w:r>
      <w:proofErr w:type="spellEnd"/>
      <w:r>
        <w:t xml:space="preserve"> breach the [contract] by not allowing Shah </w:t>
      </w:r>
      <w:r>
        <w:lastRenderedPageBreak/>
        <w:t xml:space="preserve">to exercise his vested stock options under the pretext that </w:t>
      </w:r>
      <w:proofErr w:type="spellStart"/>
      <w:r>
        <w:t>‘cause</w:t>
      </w:r>
      <w:proofErr w:type="spellEnd"/>
      <w:r>
        <w:t>’ existed for his termination?”</w:t>
      </w:r>
      <w:r>
        <w:t xml:space="preserve"> </w:t>
      </w:r>
      <w:r>
        <w:t xml:space="preserve"> </w:t>
      </w:r>
      <w:r>
        <w:t>(Bolding omitted.)</w:t>
      </w:r>
    </w:p>
    <w:p w14:paraId="176CB7FF" w14:textId="77777777" w:rsidR="00E748F1" w:rsidRPr="00B445BD" w:rsidRDefault="00E748F1" w:rsidP="00085776">
      <w:pPr>
        <w:pStyle w:val="BodyText"/>
        <w:widowControl/>
        <w:numPr>
          <w:ilvl w:val="1"/>
          <w:numId w:val="7"/>
        </w:numPr>
        <w:spacing w:line="360" w:lineRule="auto"/>
        <w:rPr>
          <w:i/>
          <w:iCs/>
        </w:rPr>
      </w:pPr>
      <w:r>
        <w:rPr>
          <w:i/>
          <w:iCs/>
        </w:rPr>
        <w:t xml:space="preserve">The Jury </w:t>
      </w:r>
      <w:r w:rsidRPr="00B445BD">
        <w:rPr>
          <w:i/>
          <w:iCs/>
        </w:rPr>
        <w:t xml:space="preserve">Instructions and </w:t>
      </w:r>
      <w:r>
        <w:rPr>
          <w:i/>
          <w:iCs/>
        </w:rPr>
        <w:t xml:space="preserve">Special </w:t>
      </w:r>
      <w:r w:rsidRPr="00B445BD">
        <w:rPr>
          <w:i/>
          <w:iCs/>
        </w:rPr>
        <w:t>Verdict Forms</w:t>
      </w:r>
      <w:r>
        <w:rPr>
          <w:i/>
          <w:iCs/>
        </w:rPr>
        <w:t xml:space="preserve"> Sufficiently Identified the Contractual Obligation Breached by </w:t>
      </w:r>
      <w:proofErr w:type="spellStart"/>
      <w:r>
        <w:rPr>
          <w:i/>
          <w:iCs/>
        </w:rPr>
        <w:t>Skillz</w:t>
      </w:r>
      <w:proofErr w:type="spellEnd"/>
    </w:p>
    <w:p w14:paraId="40DB62DD" w14:textId="77777777" w:rsidR="00E748F1" w:rsidRDefault="00E748F1" w:rsidP="00085776">
      <w:pPr>
        <w:pStyle w:val="BodyText"/>
        <w:widowControl/>
        <w:spacing w:line="360" w:lineRule="auto"/>
        <w:ind w:firstLine="620"/>
      </w:pPr>
      <w:proofErr w:type="spellStart"/>
      <w:r>
        <w:t>Skillz</w:t>
      </w:r>
      <w:proofErr w:type="spellEnd"/>
      <w:r>
        <w:t xml:space="preserve"> </w:t>
      </w:r>
      <w:r>
        <w:t>contends</w:t>
      </w:r>
      <w:r>
        <w:t xml:space="preserve"> </w:t>
      </w:r>
      <w:r>
        <w:t xml:space="preserve">the judgment must be reversed because </w:t>
      </w:r>
      <w:r>
        <w:t xml:space="preserve">“neither the jury instructions nor the </w:t>
      </w:r>
      <w:r>
        <w:t xml:space="preserve">[special] </w:t>
      </w:r>
      <w:r>
        <w:t xml:space="preserve">verdict form identifies an obligation or prohibition in either” </w:t>
      </w:r>
      <w:r>
        <w:t xml:space="preserve">the Employment Contract or Notice </w:t>
      </w:r>
      <w:r>
        <w:t xml:space="preserve">that was </w:t>
      </w:r>
      <w:r>
        <w:t>breached</w:t>
      </w:r>
      <w:r>
        <w:t>.</w:t>
      </w:r>
      <w:r>
        <w:t xml:space="preserve"> </w:t>
      </w:r>
      <w:r>
        <w:t xml:space="preserve"> According to </w:t>
      </w:r>
      <w:proofErr w:type="spellStart"/>
      <w:r>
        <w:t>Skillz</w:t>
      </w:r>
      <w:proofErr w:type="spellEnd"/>
      <w:r>
        <w:t>, the purported breach identified in the instructions and</w:t>
      </w:r>
      <w:r>
        <w:t xml:space="preserve"> </w:t>
      </w:r>
      <w:r>
        <w:t>form</w:t>
      </w:r>
      <w:r>
        <w:t>s</w:t>
      </w:r>
      <w:proofErr w:type="gramStart"/>
      <w:r>
        <w:t>—</w:t>
      </w:r>
      <w:r>
        <w:t>“ ‘</w:t>
      </w:r>
      <w:proofErr w:type="gramEnd"/>
      <w:r>
        <w:t>not allowing Shah to exercise his vested stock options under the pretext that “</w:t>
      </w:r>
      <w:r>
        <w:t>cause” existed for his termination</w:t>
      </w:r>
      <w:r>
        <w:t xml:space="preserve">’ </w:t>
      </w:r>
      <w:r>
        <w:t>”</w:t>
      </w:r>
      <w:r>
        <w:t>—</w:t>
      </w:r>
      <w:r>
        <w:t>is</w:t>
      </w:r>
      <w:r>
        <w:t xml:space="preserve"> </w:t>
      </w:r>
      <w:r>
        <w:t xml:space="preserve">“divorced </w:t>
      </w:r>
      <w:r>
        <w:t>from the contracts’ terms.</w:t>
      </w:r>
      <w:r>
        <w:t>”</w:t>
      </w:r>
      <w:r>
        <w:t xml:space="preserve"> </w:t>
      </w:r>
      <w:r>
        <w:t xml:space="preserve"> </w:t>
      </w:r>
      <w:r>
        <w:t>W</w:t>
      </w:r>
      <w:r>
        <w:t xml:space="preserve">e review this </w:t>
      </w:r>
      <w:r>
        <w:t>contention</w:t>
      </w:r>
      <w:r>
        <w:t xml:space="preserve"> de novo</w:t>
      </w:r>
      <w:r>
        <w:t xml:space="preserve"> and reject it</w:t>
      </w:r>
      <w:r>
        <w:t>.  (</w:t>
      </w:r>
      <w:r>
        <w:rPr>
          <w:i/>
          <w:iCs/>
        </w:rPr>
        <w:t>S</w:t>
      </w:r>
      <w:r>
        <w:rPr>
          <w:i/>
          <w:iCs/>
        </w:rPr>
        <w:t xml:space="preserve">axena v. </w:t>
      </w:r>
      <w:r w:rsidRPr="00D65A14">
        <w:rPr>
          <w:i/>
          <w:iCs/>
        </w:rPr>
        <w:t>Goffney</w:t>
      </w:r>
      <w:r>
        <w:t xml:space="preserve"> (2008)</w:t>
      </w:r>
      <w:r>
        <w:t xml:space="preserve"> 159 Cal.App.4th 316, 325 (</w:t>
      </w:r>
      <w:r>
        <w:rPr>
          <w:i/>
          <w:iCs/>
        </w:rPr>
        <w:t>Saxena</w:t>
      </w:r>
      <w:r>
        <w:t xml:space="preserve">).) </w:t>
      </w:r>
      <w:r>
        <w:t xml:space="preserve"> </w:t>
      </w:r>
      <w:r>
        <w:t xml:space="preserve">Both the Employment Contract and Notice incorporated by reference the terms of </w:t>
      </w:r>
      <w:r>
        <w:t>the Plan.  Th</w:t>
      </w:r>
      <w:r>
        <w:t>e Plan</w:t>
      </w:r>
      <w:r>
        <w:t xml:space="preserve">, in turn, established that preventing Shah from exercising his stock options if he was </w:t>
      </w:r>
      <w:r w:rsidRPr="5BCCEA1B">
        <w:rPr>
          <w:i/>
          <w:iCs/>
        </w:rPr>
        <w:t xml:space="preserve">not </w:t>
      </w:r>
      <w:r w:rsidRPr="5BCCEA1B">
        <w:t xml:space="preserve">terminated for cause constituted a breach of those contracts. </w:t>
      </w:r>
      <w:r w:rsidRPr="645482AA">
        <w:t xml:space="preserve"> </w:t>
      </w:r>
      <w:r w:rsidRPr="1DB74708">
        <w:t>Thus, the instruction</w:t>
      </w:r>
      <w:r w:rsidRPr="1DB74708">
        <w:t xml:space="preserve">s and </w:t>
      </w:r>
      <w:r w:rsidRPr="2FE252E1">
        <w:t xml:space="preserve">verdict </w:t>
      </w:r>
      <w:proofErr w:type="gramStart"/>
      <w:r w:rsidRPr="2FE252E1">
        <w:t>forms</w:t>
      </w:r>
      <w:proofErr w:type="gramEnd"/>
      <w:r w:rsidRPr="2FE252E1">
        <w:t xml:space="preserve"> </w:t>
      </w:r>
      <w:r>
        <w:t xml:space="preserve">conditioned liability on the jury finding that </w:t>
      </w:r>
      <w:proofErr w:type="spellStart"/>
      <w:r>
        <w:t>Skillz</w:t>
      </w:r>
      <w:proofErr w:type="spellEnd"/>
      <w:r>
        <w:t xml:space="preserve"> had committed an act that was, in fact, a breach of its contractual obligations.  </w:t>
      </w:r>
    </w:p>
    <w:p w14:paraId="3B6C9F16" w14:textId="77777777" w:rsidR="00E748F1" w:rsidRPr="00AA6030" w:rsidRDefault="00E748F1" w:rsidP="00085776">
      <w:pPr>
        <w:pStyle w:val="BodyText"/>
        <w:widowControl/>
        <w:spacing w:line="360" w:lineRule="auto"/>
        <w:ind w:firstLine="620"/>
      </w:pPr>
      <w:r>
        <w:t>“A contract may validly include the provisions of a document</w:t>
      </w:r>
      <w:r>
        <w:t xml:space="preserve"> not physically a part of the basic contract</w:t>
      </w:r>
      <w:r>
        <w:t>.</w:t>
      </w:r>
      <w:r>
        <w:t>”  (</w:t>
      </w:r>
      <w:r>
        <w:rPr>
          <w:i/>
          <w:iCs/>
        </w:rPr>
        <w:t>Williams Constr</w:t>
      </w:r>
      <w:r>
        <w:rPr>
          <w:i/>
          <w:iCs/>
        </w:rPr>
        <w:t xml:space="preserve">uction </w:t>
      </w:r>
      <w:r>
        <w:rPr>
          <w:i/>
          <w:iCs/>
        </w:rPr>
        <w:t>Co. v. Standard-Pacific Corp.</w:t>
      </w:r>
      <w:r>
        <w:t xml:space="preserve"> (1967) 254 </w:t>
      </w:r>
      <w:r>
        <w:t xml:space="preserve">Cal.App.2d </w:t>
      </w:r>
      <w:r>
        <w:t>442, 454</w:t>
      </w:r>
      <w:r>
        <w:t xml:space="preserve"> (</w:t>
      </w:r>
      <w:r>
        <w:rPr>
          <w:i/>
          <w:iCs/>
        </w:rPr>
        <w:t>Williams Constr</w:t>
      </w:r>
      <w:r>
        <w:rPr>
          <w:i/>
          <w:iCs/>
        </w:rPr>
        <w:t>uction</w:t>
      </w:r>
      <w:r>
        <w:t>)</w:t>
      </w:r>
      <w:r>
        <w:t xml:space="preserve">) </w:t>
      </w:r>
      <w:r>
        <w:t xml:space="preserve"> </w:t>
      </w:r>
      <w:r>
        <w:t xml:space="preserve">“ ‘For the terms of another document to be incorporated into the document executed by the parties the reference must be clear and unequivocal, the reference must be </w:t>
      </w:r>
      <w:r>
        <w:t>called to the attention of the other party and he must consent thereto, and the terms of the incorporated document must be known or easily available to the contracting parties.</w:t>
      </w:r>
      <w:r>
        <w:t>’ ”</w:t>
      </w:r>
      <w:r>
        <w:t xml:space="preserve">  (</w:t>
      </w:r>
      <w:r>
        <w:rPr>
          <w:i/>
          <w:iCs/>
        </w:rPr>
        <w:t>Ibid</w:t>
      </w:r>
      <w:r>
        <w:t xml:space="preserve">.) </w:t>
      </w:r>
      <w:r>
        <w:t xml:space="preserve"> </w:t>
      </w:r>
      <w:r>
        <w:t>The contract</w:t>
      </w:r>
      <w:r>
        <w:t>,</w:t>
      </w:r>
      <w:r>
        <w:t xml:space="preserve"> however, “need not recite that it ‘incorporates’ another document, </w:t>
      </w:r>
      <w:r>
        <w:lastRenderedPageBreak/>
        <w:t>so long as it ‘guide[s] the reader to the incorporated document.</w:t>
      </w:r>
      <w:proofErr w:type="gramStart"/>
      <w:r>
        <w:t>’</w:t>
      </w:r>
      <w:r>
        <w:t xml:space="preserve"> ”</w:t>
      </w:r>
      <w:proofErr w:type="gramEnd"/>
      <w:r>
        <w:t xml:space="preserve">  (</w:t>
      </w:r>
      <w:r>
        <w:rPr>
          <w:i/>
          <w:iCs/>
        </w:rPr>
        <w:t>Shaw v. Regents of University of California</w:t>
      </w:r>
      <w:r>
        <w:t xml:space="preserve"> (</w:t>
      </w:r>
      <w:r>
        <w:t>1997)</w:t>
      </w:r>
      <w:r>
        <w:t xml:space="preserve"> 58 Cal.App.4th </w:t>
      </w:r>
      <w:r>
        <w:t>44, 54.)</w:t>
      </w:r>
    </w:p>
    <w:p w14:paraId="511FF0EC" w14:textId="77777777" w:rsidR="00E748F1" w:rsidRDefault="00E748F1" w:rsidP="00085776">
      <w:pPr>
        <w:pStyle w:val="BodyText"/>
        <w:widowControl/>
        <w:spacing w:line="360" w:lineRule="auto"/>
        <w:ind w:left="0" w:firstLine="720"/>
      </w:pPr>
      <w:r>
        <w:t>Here, the</w:t>
      </w:r>
      <w:r>
        <w:t xml:space="preserve"> Employment Contract</w:t>
      </w:r>
      <w:r>
        <w:t xml:space="preserve"> </w:t>
      </w:r>
      <w:r>
        <w:t>summarize</w:t>
      </w:r>
      <w:r>
        <w:t>d</w:t>
      </w:r>
      <w:r>
        <w:t xml:space="preserve"> the terms of Shah’s initial stock option grant</w:t>
      </w:r>
      <w:r>
        <w:t xml:space="preserve"> and stated that this grant would “be su</w:t>
      </w:r>
      <w:r>
        <w:t>bject</w:t>
      </w:r>
      <w:r>
        <w:t xml:space="preserve"> to and exclusively governed by the terms of</w:t>
      </w:r>
      <w:r>
        <w:t xml:space="preserve">” the </w:t>
      </w:r>
      <w:r>
        <w:t>Plan, the Notice,</w:t>
      </w:r>
      <w:r>
        <w:t xml:space="preserve"> and the Option Award</w:t>
      </w:r>
      <w:r>
        <w:t xml:space="preserve"> Agreement.</w:t>
      </w:r>
      <w:r>
        <w:t xml:space="preserve"> </w:t>
      </w:r>
      <w:r>
        <w:t xml:space="preserve"> </w:t>
      </w:r>
      <w:r>
        <w:t>The Notice likewise</w:t>
      </w:r>
      <w:r>
        <w:t xml:space="preserve"> </w:t>
      </w:r>
      <w:r>
        <w:t>state</w:t>
      </w:r>
      <w:r>
        <w:t>d</w:t>
      </w:r>
      <w:r>
        <w:t xml:space="preserve"> that Shah’s initial </w:t>
      </w:r>
      <w:r>
        <w:t>grant was governed “by the provisions of the Plan and the [Option Award Agreement</w:t>
      </w:r>
      <w:r>
        <w:t xml:space="preserve">]” and that both documents “are </w:t>
      </w:r>
      <w:r>
        <w:rPr>
          <w:i/>
          <w:iCs/>
        </w:rPr>
        <w:t>incorporated</w:t>
      </w:r>
      <w:r>
        <w:t xml:space="preserve"> herein by reference.”</w:t>
      </w:r>
      <w:r>
        <w:t xml:space="preserve"> </w:t>
      </w:r>
      <w:r>
        <w:t xml:space="preserve"> (Italics added.)</w:t>
      </w:r>
      <w:r>
        <w:t xml:space="preserve"> </w:t>
      </w:r>
      <w:r>
        <w:t xml:space="preserve"> </w:t>
      </w:r>
      <w:r>
        <w:t xml:space="preserve">Thus, </w:t>
      </w:r>
      <w:r>
        <w:t>the r</w:t>
      </w:r>
      <w:r>
        <w:t>eference</w:t>
      </w:r>
      <w:r>
        <w:t>s</w:t>
      </w:r>
      <w:r>
        <w:t xml:space="preserve"> to the </w:t>
      </w:r>
      <w:r>
        <w:t>Plan</w:t>
      </w:r>
      <w:r>
        <w:t xml:space="preserve"> </w:t>
      </w:r>
      <w:r>
        <w:t xml:space="preserve">in both contracts </w:t>
      </w:r>
      <w:r>
        <w:t>w</w:t>
      </w:r>
      <w:r>
        <w:t>ere</w:t>
      </w:r>
      <w:r>
        <w:t xml:space="preserve"> </w:t>
      </w:r>
      <w:r>
        <w:t xml:space="preserve">“clear and </w:t>
      </w:r>
      <w:r>
        <w:t>unequivocal</w:t>
      </w:r>
      <w:r>
        <w:t>,</w:t>
      </w:r>
      <w:r>
        <w:t>”</w:t>
      </w:r>
      <w:r>
        <w:t xml:space="preserve"> </w:t>
      </w:r>
      <w:r>
        <w:t xml:space="preserve">and </w:t>
      </w:r>
      <w:proofErr w:type="spellStart"/>
      <w:r>
        <w:t>Skillz</w:t>
      </w:r>
      <w:proofErr w:type="spellEnd"/>
      <w:r>
        <w:t xml:space="preserve"> does not dispute that </w:t>
      </w:r>
      <w:r>
        <w:t>the</w:t>
      </w:r>
      <w:r>
        <w:t xml:space="preserve"> terms </w:t>
      </w:r>
      <w:r>
        <w:t xml:space="preserve">of the Plan were </w:t>
      </w:r>
      <w:r>
        <w:t>“known or easily available to the contracting parties</w:t>
      </w:r>
      <w:r>
        <w:t>.</w:t>
      </w:r>
      <w:r>
        <w:t>”</w:t>
      </w:r>
      <w:r>
        <w:t xml:space="preserve"> </w:t>
      </w:r>
      <w:r>
        <w:t xml:space="preserve"> (</w:t>
      </w:r>
      <w:r>
        <w:rPr>
          <w:i/>
          <w:iCs/>
        </w:rPr>
        <w:t>Williams Constr</w:t>
      </w:r>
      <w:r>
        <w:rPr>
          <w:i/>
          <w:iCs/>
        </w:rPr>
        <w:t>uction</w:t>
      </w:r>
      <w:r>
        <w:t xml:space="preserve">, </w:t>
      </w:r>
      <w:r>
        <w:rPr>
          <w:i/>
          <w:iCs/>
        </w:rPr>
        <w:t>supra</w:t>
      </w:r>
      <w:r>
        <w:t xml:space="preserve">, </w:t>
      </w:r>
      <w:r>
        <w:t>254 Cal.App.2d at p. 454</w:t>
      </w:r>
      <w:r>
        <w:t>.</w:t>
      </w:r>
      <w:r>
        <w:t>)</w:t>
      </w:r>
      <w:r>
        <w:t xml:space="preserve"> </w:t>
      </w:r>
      <w:r>
        <w:t xml:space="preserve"> </w:t>
      </w:r>
      <w:r>
        <w:t>T</w:t>
      </w:r>
      <w:r>
        <w:t xml:space="preserve">o the extent </w:t>
      </w:r>
      <w:r>
        <w:t>any doubt</w:t>
      </w:r>
      <w:r>
        <w:t>s remain</w:t>
      </w:r>
      <w:r>
        <w:t>,</w:t>
      </w:r>
      <w:r>
        <w:t xml:space="preserve"> the Notice </w:t>
      </w:r>
      <w:r>
        <w:t xml:space="preserve">itself </w:t>
      </w:r>
      <w:r>
        <w:t>explicitly</w:t>
      </w:r>
      <w:r>
        <w:t xml:space="preserve"> incorporated </w:t>
      </w:r>
      <w:r>
        <w:t>the Plan’s terms</w:t>
      </w:r>
      <w:r>
        <w:t xml:space="preserve"> by reference</w:t>
      </w:r>
      <w:r>
        <w:t>.</w:t>
      </w:r>
      <w:r>
        <w:t xml:space="preserve">  </w:t>
      </w:r>
    </w:p>
    <w:p w14:paraId="516A7715" w14:textId="77777777" w:rsidR="00E748F1" w:rsidRPr="006C46FB" w:rsidRDefault="00E748F1" w:rsidP="00085776">
      <w:pPr>
        <w:pStyle w:val="BodyText"/>
        <w:widowControl/>
        <w:spacing w:line="360" w:lineRule="auto"/>
        <w:ind w:firstLine="620"/>
      </w:pPr>
      <w:r>
        <w:t>The Plan</w:t>
      </w:r>
      <w:r>
        <w:t>,</w:t>
      </w:r>
      <w:r>
        <w:t xml:space="preserve"> in turn</w:t>
      </w:r>
      <w:r>
        <w:t>,</w:t>
      </w:r>
      <w:r>
        <w:t xml:space="preserve"> </w:t>
      </w:r>
      <w:r>
        <w:t>state</w:t>
      </w:r>
      <w:r>
        <w:t>d</w:t>
      </w:r>
      <w:r>
        <w:t xml:space="preserve"> that</w:t>
      </w:r>
      <w:r>
        <w:t xml:space="preserve"> </w:t>
      </w:r>
      <w:r>
        <w:t>Shah’s stock options</w:t>
      </w:r>
      <w:r>
        <w:t xml:space="preserve"> </w:t>
      </w:r>
      <w:r>
        <w:t xml:space="preserve">expired on the date of </w:t>
      </w:r>
      <w:r>
        <w:t xml:space="preserve">his </w:t>
      </w:r>
      <w:r>
        <w:t xml:space="preserve">termination </w:t>
      </w:r>
      <w:r>
        <w:t xml:space="preserve">if </w:t>
      </w:r>
      <w:r>
        <w:t xml:space="preserve">he was terminated with cause. </w:t>
      </w:r>
      <w:r>
        <w:t xml:space="preserve"> </w:t>
      </w:r>
      <w:r>
        <w:t xml:space="preserve">But </w:t>
      </w:r>
      <w:r>
        <w:t xml:space="preserve">if </w:t>
      </w:r>
      <w:r>
        <w:t xml:space="preserve">Shah was </w:t>
      </w:r>
      <w:r>
        <w:t>terminated</w:t>
      </w:r>
      <w:r>
        <w:t xml:space="preserve"> </w:t>
      </w:r>
      <w:r w:rsidRPr="00072524">
        <w:rPr>
          <w:i/>
        </w:rPr>
        <w:t>without</w:t>
      </w:r>
      <w:r>
        <w:t xml:space="preserve"> cause, </w:t>
      </w:r>
      <w:r>
        <w:t xml:space="preserve">the Plan stated that </w:t>
      </w:r>
      <w:r>
        <w:t>he</w:t>
      </w:r>
      <w:r>
        <w:t xml:space="preserve"> </w:t>
      </w:r>
      <w:r>
        <w:t>ha</w:t>
      </w:r>
      <w:r>
        <w:t>d</w:t>
      </w:r>
      <w:r>
        <w:t xml:space="preserve"> three months</w:t>
      </w:r>
      <w:r>
        <w:t xml:space="preserve"> from the date of his termination</w:t>
      </w:r>
      <w:r>
        <w:t xml:space="preserve"> to exercise his options</w:t>
      </w:r>
      <w:r>
        <w:t>.</w:t>
      </w:r>
      <w:r>
        <w:t xml:space="preserve"> </w:t>
      </w:r>
      <w:r>
        <w:t xml:space="preserve"> The Plan </w:t>
      </w:r>
      <w:r>
        <w:t xml:space="preserve">then </w:t>
      </w:r>
      <w:r>
        <w:t>define</w:t>
      </w:r>
      <w:r>
        <w:t>d</w:t>
      </w:r>
      <w:r>
        <w:t xml:space="preserve"> </w:t>
      </w:r>
      <w:bookmarkStart w:id="0" w:name="_Hlk157170560"/>
      <w:r>
        <w:t xml:space="preserve">“cause” to </w:t>
      </w:r>
      <w:r>
        <w:t>encompass</w:t>
      </w:r>
      <w:r>
        <w:t xml:space="preserve"> </w:t>
      </w:r>
      <w:r>
        <w:t>specific</w:t>
      </w:r>
      <w:r>
        <w:t xml:space="preserve"> offenses, including </w:t>
      </w:r>
      <w:r>
        <w:t>a “material breach” of the confidentiality agreement</w:t>
      </w:r>
      <w:r>
        <w:t>,</w:t>
      </w:r>
      <w:r>
        <w:t xml:space="preserve"> “gross misconduct or any act which is </w:t>
      </w:r>
      <w:bookmarkEnd w:id="0"/>
      <w:r>
        <w:t xml:space="preserve">injurious” to </w:t>
      </w:r>
      <w:proofErr w:type="spellStart"/>
      <w:r>
        <w:t>Skillz</w:t>
      </w:r>
      <w:proofErr w:type="spellEnd"/>
      <w:r>
        <w:t xml:space="preserve">, </w:t>
      </w:r>
      <w:r>
        <w:t xml:space="preserve">as determined by </w:t>
      </w:r>
      <w:r>
        <w:t xml:space="preserve">“the Administrator” (the </w:t>
      </w:r>
      <w:r>
        <w:t>Board</w:t>
      </w:r>
      <w:r>
        <w:t>)</w:t>
      </w:r>
      <w:r>
        <w:t>.</w:t>
      </w:r>
      <w:r>
        <w:rPr>
          <w:rStyle w:val="FootnoteReference"/>
        </w:rPr>
        <w:footnoteReference w:id="14"/>
      </w:r>
      <w:r>
        <w:t xml:space="preserve"> </w:t>
      </w:r>
      <w:r>
        <w:t xml:space="preserve"> </w:t>
      </w:r>
      <w:r>
        <w:t xml:space="preserve">Because these terms were incorporated by reference into the Employment Contract and Notice, </w:t>
      </w:r>
      <w:proofErr w:type="spellStart"/>
      <w:r>
        <w:t>Skillz</w:t>
      </w:r>
      <w:proofErr w:type="spellEnd"/>
      <w:r>
        <w:t xml:space="preserve"> had an obligation under </w:t>
      </w:r>
      <w:r>
        <w:t>those contracts</w:t>
      </w:r>
      <w:r>
        <w:t xml:space="preserve"> to allow</w:t>
      </w:r>
      <w:r>
        <w:t xml:space="preserve"> Shah </w:t>
      </w:r>
      <w:r>
        <w:t>to</w:t>
      </w:r>
      <w:r>
        <w:t xml:space="preserve"> </w:t>
      </w:r>
      <w:r>
        <w:lastRenderedPageBreak/>
        <w:t>exercis</w:t>
      </w:r>
      <w:r>
        <w:t>e</w:t>
      </w:r>
      <w:r>
        <w:t xml:space="preserve"> </w:t>
      </w:r>
      <w:r>
        <w:t xml:space="preserve">his </w:t>
      </w:r>
      <w:r>
        <w:t xml:space="preserve">options </w:t>
      </w:r>
      <w:r>
        <w:t>within</w:t>
      </w:r>
      <w:r>
        <w:t xml:space="preserve"> three months after his termi</w:t>
      </w:r>
      <w:r>
        <w:t>n</w:t>
      </w:r>
      <w:r>
        <w:t xml:space="preserve">ation if he was not terminated with cause.  </w:t>
      </w:r>
      <w:r>
        <w:t xml:space="preserve">As a </w:t>
      </w:r>
      <w:proofErr w:type="gramStart"/>
      <w:r>
        <w:t>result</w:t>
      </w:r>
      <w:proofErr w:type="gramEnd"/>
      <w:r>
        <w:t xml:space="preserve"> </w:t>
      </w:r>
      <w:r>
        <w:t xml:space="preserve">and contrary to </w:t>
      </w:r>
      <w:proofErr w:type="spellStart"/>
      <w:r>
        <w:t>Skillz</w:t>
      </w:r>
      <w:r>
        <w:t>’</w:t>
      </w:r>
      <w:r>
        <w:t>s</w:t>
      </w:r>
      <w:proofErr w:type="spellEnd"/>
      <w:r>
        <w:t xml:space="preserve"> assertion, the jury instructions and special verdict forms</w:t>
      </w:r>
      <w:r>
        <w:t>—</w:t>
      </w:r>
      <w:r>
        <w:t xml:space="preserve">which </w:t>
      </w:r>
      <w:r>
        <w:t xml:space="preserve">asked whether </w:t>
      </w:r>
      <w:proofErr w:type="spellStart"/>
      <w:r>
        <w:t>Skillz</w:t>
      </w:r>
      <w:proofErr w:type="spellEnd"/>
      <w:r>
        <w:t xml:space="preserve"> breached the contracts “by not allowing Shah to exercise his vested stock options”</w:t>
      </w:r>
      <w:r>
        <w:t>—</w:t>
      </w:r>
      <w:r w:rsidRPr="00061891">
        <w:rPr>
          <w:i/>
          <w:iCs/>
        </w:rPr>
        <w:t>did</w:t>
      </w:r>
      <w:r>
        <w:t xml:space="preserve"> </w:t>
      </w:r>
      <w:r>
        <w:t xml:space="preserve">sufficiently </w:t>
      </w:r>
      <w:r>
        <w:t xml:space="preserve">identify a </w:t>
      </w:r>
      <w:r>
        <w:t xml:space="preserve">contractual obligation that was </w:t>
      </w:r>
      <w:r>
        <w:t>breached</w:t>
      </w:r>
      <w:r>
        <w:t>.</w:t>
      </w:r>
      <w:r>
        <w:rPr>
          <w:rStyle w:val="FootnoteReference"/>
        </w:rPr>
        <w:footnoteReference w:id="15"/>
      </w:r>
      <w:r>
        <w:t xml:space="preserve"> </w:t>
      </w:r>
    </w:p>
    <w:p w14:paraId="7C67494D" w14:textId="77777777" w:rsidR="00E748F1" w:rsidRDefault="00E748F1" w:rsidP="00085776">
      <w:pPr>
        <w:pStyle w:val="BodyText"/>
        <w:widowControl/>
        <w:numPr>
          <w:ilvl w:val="1"/>
          <w:numId w:val="7"/>
        </w:numPr>
        <w:spacing w:line="360" w:lineRule="auto"/>
        <w:rPr>
          <w:i/>
          <w:iCs/>
        </w:rPr>
      </w:pPr>
      <w:r w:rsidRPr="00B445BD">
        <w:rPr>
          <w:i/>
          <w:iCs/>
        </w:rPr>
        <w:t>Any Defect</w:t>
      </w:r>
      <w:r>
        <w:rPr>
          <w:i/>
          <w:iCs/>
        </w:rPr>
        <w:t xml:space="preserve"> </w:t>
      </w:r>
      <w:r w:rsidRPr="00B445BD">
        <w:rPr>
          <w:i/>
          <w:iCs/>
        </w:rPr>
        <w:t xml:space="preserve">in the </w:t>
      </w:r>
      <w:r>
        <w:rPr>
          <w:i/>
          <w:iCs/>
        </w:rPr>
        <w:t xml:space="preserve">Jury Instructions or Special </w:t>
      </w:r>
      <w:r w:rsidRPr="00B445BD">
        <w:rPr>
          <w:i/>
          <w:iCs/>
        </w:rPr>
        <w:t>Verdict Form</w:t>
      </w:r>
      <w:r>
        <w:rPr>
          <w:i/>
          <w:iCs/>
        </w:rPr>
        <w:t>s</w:t>
      </w:r>
      <w:r w:rsidRPr="00B445BD">
        <w:rPr>
          <w:i/>
          <w:iCs/>
        </w:rPr>
        <w:t xml:space="preserve"> </w:t>
      </w:r>
      <w:r>
        <w:rPr>
          <w:i/>
          <w:iCs/>
        </w:rPr>
        <w:t>W</w:t>
      </w:r>
      <w:r w:rsidRPr="00B445BD">
        <w:rPr>
          <w:i/>
          <w:iCs/>
        </w:rPr>
        <w:t xml:space="preserve">as </w:t>
      </w:r>
      <w:r w:rsidRPr="00B445BD">
        <w:rPr>
          <w:i/>
          <w:iCs/>
        </w:rPr>
        <w:t>Harmless</w:t>
      </w:r>
    </w:p>
    <w:p w14:paraId="217405A9" w14:textId="77777777" w:rsidR="00E748F1" w:rsidRDefault="00E748F1" w:rsidP="00085776">
      <w:pPr>
        <w:pStyle w:val="BodyText"/>
        <w:widowControl/>
        <w:spacing w:line="360" w:lineRule="auto"/>
        <w:ind w:firstLine="620"/>
      </w:pPr>
      <w:proofErr w:type="spellStart"/>
      <w:r>
        <w:t>Skillz</w:t>
      </w:r>
      <w:proofErr w:type="spellEnd"/>
      <w:r>
        <w:t xml:space="preserve"> next argues </w:t>
      </w:r>
      <w:r>
        <w:t xml:space="preserve">that </w:t>
      </w:r>
      <w:r>
        <w:t xml:space="preserve">the </w:t>
      </w:r>
      <w:r>
        <w:t>inclusion</w:t>
      </w:r>
      <w:r>
        <w:t xml:space="preserve"> of </w:t>
      </w:r>
      <w:r>
        <w:t xml:space="preserve">the term </w:t>
      </w:r>
      <w:proofErr w:type="gramStart"/>
      <w:r>
        <w:t>“</w:t>
      </w:r>
      <w:r>
        <w:t xml:space="preserve"> ‘</w:t>
      </w:r>
      <w:proofErr w:type="gramEnd"/>
      <w:r>
        <w:t>pretext</w:t>
      </w:r>
      <w:r>
        <w:t xml:space="preserve">’ </w:t>
      </w:r>
      <w:r>
        <w:t>”</w:t>
      </w:r>
      <w:r>
        <w:t xml:space="preserve"> in the</w:t>
      </w:r>
      <w:r>
        <w:t xml:space="preserve"> </w:t>
      </w:r>
      <w:r>
        <w:t>jury</w:t>
      </w:r>
      <w:r>
        <w:t xml:space="preserve"> instructions and </w:t>
      </w:r>
      <w:r>
        <w:t xml:space="preserve">special </w:t>
      </w:r>
      <w:r>
        <w:t>verdict forms</w:t>
      </w:r>
      <w:r>
        <w:t xml:space="preserve"> was improper</w:t>
      </w:r>
      <w:r>
        <w:t>.</w:t>
      </w:r>
      <w:r>
        <w:t xml:space="preserve"> </w:t>
      </w:r>
      <w:r>
        <w:t xml:space="preserve"> </w:t>
      </w:r>
      <w:r>
        <w:t xml:space="preserve">According to </w:t>
      </w:r>
      <w:proofErr w:type="spellStart"/>
      <w:r>
        <w:t>Skillz</w:t>
      </w:r>
      <w:proofErr w:type="spellEnd"/>
      <w:r>
        <w:t>,</w:t>
      </w:r>
      <w:r>
        <w:t xml:space="preserve"> </w:t>
      </w:r>
      <w:r>
        <w:t xml:space="preserve">the term </w:t>
      </w:r>
      <w:proofErr w:type="gramStart"/>
      <w:r>
        <w:t>“</w:t>
      </w:r>
      <w:r>
        <w:t xml:space="preserve"> ‘</w:t>
      </w:r>
      <w:proofErr w:type="gramEnd"/>
      <w:r>
        <w:t>pretext</w:t>
      </w:r>
      <w:r>
        <w:t xml:space="preserve">’ </w:t>
      </w:r>
      <w:r>
        <w:t xml:space="preserve">” </w:t>
      </w:r>
      <w:r>
        <w:t xml:space="preserve">references </w:t>
      </w:r>
      <w:proofErr w:type="spellStart"/>
      <w:r>
        <w:t>Skillz’s</w:t>
      </w:r>
      <w:proofErr w:type="spellEnd"/>
      <w:r>
        <w:t xml:space="preserve"> motive</w:t>
      </w:r>
      <w:r>
        <w:t xml:space="preserve"> </w:t>
      </w:r>
      <w:r>
        <w:t>in terminating Shah</w:t>
      </w:r>
      <w:r>
        <w:t>—</w:t>
      </w:r>
      <w:r>
        <w:t xml:space="preserve">which is </w:t>
      </w:r>
      <w:r>
        <w:t xml:space="preserve">only </w:t>
      </w:r>
      <w:r>
        <w:t>relevant</w:t>
      </w:r>
      <w:r>
        <w:t xml:space="preserve"> to </w:t>
      </w:r>
      <w:r>
        <w:t>Shah’s breach of the</w:t>
      </w:r>
      <w:r>
        <w:t xml:space="preserve"> </w:t>
      </w:r>
      <w:r>
        <w:t>implied covenant claim</w:t>
      </w:r>
      <w:r>
        <w:t xml:space="preserve"> </w:t>
      </w:r>
      <w:r>
        <w:t>that was dismissed</w:t>
      </w:r>
      <w:r>
        <w:t xml:space="preserve">, and not to his </w:t>
      </w:r>
      <w:r>
        <w:t>breach of contract claim</w:t>
      </w:r>
      <w:r>
        <w:t>.  As a result,</w:t>
      </w:r>
      <w:r>
        <w:t xml:space="preserve"> </w:t>
      </w:r>
      <w:r>
        <w:t>the jury could have found</w:t>
      </w:r>
      <w:r>
        <w:t xml:space="preserve"> </w:t>
      </w:r>
      <w:proofErr w:type="spellStart"/>
      <w:r>
        <w:t>Skillz</w:t>
      </w:r>
      <w:proofErr w:type="spellEnd"/>
      <w:r>
        <w:t xml:space="preserve"> liable for </w:t>
      </w:r>
      <w:r>
        <w:t xml:space="preserve">breach of contract solely because </w:t>
      </w:r>
      <w:proofErr w:type="spellStart"/>
      <w:r>
        <w:t>Skillz</w:t>
      </w:r>
      <w:proofErr w:type="spellEnd"/>
      <w:r>
        <w:t xml:space="preserve"> had an improper motive for terminating Shah</w:t>
      </w:r>
      <w:r>
        <w:t xml:space="preserve"> and not because </w:t>
      </w:r>
      <w:proofErr w:type="spellStart"/>
      <w:r>
        <w:t>Skillz</w:t>
      </w:r>
      <w:proofErr w:type="spellEnd"/>
      <w:r>
        <w:t xml:space="preserve"> lacked cause to do so</w:t>
      </w:r>
      <w:r>
        <w:t xml:space="preserve">. </w:t>
      </w:r>
      <w:r>
        <w:t xml:space="preserve"> In other words, </w:t>
      </w:r>
      <w:r>
        <w:t xml:space="preserve">the jury could have found a breach of contract even though </w:t>
      </w:r>
      <w:proofErr w:type="spellStart"/>
      <w:r>
        <w:t>Skillz</w:t>
      </w:r>
      <w:proofErr w:type="spellEnd"/>
      <w:r>
        <w:t xml:space="preserve"> terminated Shah with cause</w:t>
      </w:r>
      <w:r>
        <w:t xml:space="preserve">. </w:t>
      </w:r>
      <w:r>
        <w:t xml:space="preserve"> </w:t>
      </w:r>
      <w:proofErr w:type="spellStart"/>
      <w:r>
        <w:t>Skillz</w:t>
      </w:r>
      <w:proofErr w:type="spellEnd"/>
      <w:r>
        <w:t xml:space="preserve"> </w:t>
      </w:r>
      <w:r>
        <w:t>contends this error was prejudicial and</w:t>
      </w:r>
      <w:r>
        <w:t xml:space="preserve"> warrants a JNOV or</w:t>
      </w:r>
      <w:r>
        <w:t>,</w:t>
      </w:r>
      <w:r>
        <w:t xml:space="preserve"> at a minimum</w:t>
      </w:r>
      <w:r>
        <w:t>,</w:t>
      </w:r>
      <w:r>
        <w:t xml:space="preserve"> a new trial. </w:t>
      </w:r>
      <w:r>
        <w:t xml:space="preserve"> We disagree.</w:t>
      </w:r>
      <w:r>
        <w:t xml:space="preserve">  </w:t>
      </w:r>
      <w:r>
        <w:t xml:space="preserve">Assuming for purposes of argument that </w:t>
      </w:r>
      <w:proofErr w:type="spellStart"/>
      <w:r>
        <w:t>Skillz</w:t>
      </w:r>
      <w:proofErr w:type="spellEnd"/>
      <w:r>
        <w:t xml:space="preserve"> did not forfeit </w:t>
      </w:r>
      <w:r>
        <w:t>this</w:t>
      </w:r>
      <w:r>
        <w:t xml:space="preserve"> challenge</w:t>
      </w:r>
      <w:r>
        <w:t xml:space="preserve"> </w:t>
      </w:r>
      <w:r>
        <w:t xml:space="preserve">and that the instructions and </w:t>
      </w:r>
      <w:r>
        <w:t xml:space="preserve">verdict </w:t>
      </w:r>
      <w:r>
        <w:t xml:space="preserve">forms were defective or ambiguous, </w:t>
      </w:r>
      <w:r>
        <w:t xml:space="preserve">we find </w:t>
      </w:r>
      <w:r>
        <w:t>any</w:t>
      </w:r>
      <w:r>
        <w:t xml:space="preserve"> error harmless based on the jury’s </w:t>
      </w:r>
      <w:r>
        <w:t xml:space="preserve">rejection of </w:t>
      </w:r>
      <w:proofErr w:type="spellStart"/>
      <w:r>
        <w:t>Skillz’s</w:t>
      </w:r>
      <w:proofErr w:type="spellEnd"/>
      <w:r>
        <w:t xml:space="preserve"> unclean hands defense</w:t>
      </w:r>
      <w:r>
        <w:t>.</w:t>
      </w:r>
      <w:r>
        <w:t xml:space="preserve"> </w:t>
      </w:r>
    </w:p>
    <w:p w14:paraId="7B09F371" w14:textId="77777777" w:rsidR="00E748F1" w:rsidRDefault="00E748F1" w:rsidP="00085776">
      <w:pPr>
        <w:pStyle w:val="BodyText"/>
        <w:widowControl/>
        <w:spacing w:line="360" w:lineRule="auto"/>
        <w:ind w:firstLine="620"/>
      </w:pPr>
      <w:r>
        <w:t>“[A] defective verdict form is subject to harmless error analysis.”  (</w:t>
      </w:r>
      <w:r>
        <w:rPr>
          <w:i/>
          <w:iCs/>
        </w:rPr>
        <w:t xml:space="preserve">Taylor v. Nabors Drilling USA, LP </w:t>
      </w:r>
      <w:r>
        <w:t xml:space="preserve">(2014) 222 Cal.App.4th 1228, 1244 </w:t>
      </w:r>
      <w:r>
        <w:lastRenderedPageBreak/>
        <w:t>(</w:t>
      </w:r>
      <w:r>
        <w:rPr>
          <w:i/>
          <w:iCs/>
        </w:rPr>
        <w:t>Taylor</w:t>
      </w:r>
      <w:r>
        <w:t>).)  Thus, we must affirm, “even in the face of substantial error, if the judgment is ‘clearly right.</w:t>
      </w:r>
      <w:proofErr w:type="gramStart"/>
      <w:r>
        <w:t>’ ”</w:t>
      </w:r>
      <w:proofErr w:type="gramEnd"/>
      <w:r>
        <w:t xml:space="preserve">  (</w:t>
      </w:r>
      <w:r>
        <w:rPr>
          <w:i/>
          <w:iCs/>
        </w:rPr>
        <w:t>Id</w:t>
      </w:r>
      <w:r>
        <w:t>. at p. 1245).  And we will “reverse only when we are of the opinion that there has been a miscarriage of justice.”  (</w:t>
      </w:r>
      <w:r>
        <w:rPr>
          <w:i/>
          <w:iCs/>
        </w:rPr>
        <w:t>Id.</w:t>
      </w:r>
      <w:r>
        <w:t xml:space="preserve"> at p.</w:t>
      </w:r>
      <w:r>
        <w:t> </w:t>
      </w:r>
      <w:r>
        <w:t>1246.)  Likewise, “[a] judgment may not be reversed for instructional error in a civil case ‘unless, after an examination of the entire cause, including the evidence, the court shall be of the opinion</w:t>
      </w:r>
      <w:r>
        <w:t xml:space="preserve"> that the error complained of has resulted in a miscarriage of justice.</w:t>
      </w:r>
      <w:proofErr w:type="gramStart"/>
      <w:r>
        <w:t>’ ”</w:t>
      </w:r>
      <w:proofErr w:type="gramEnd"/>
      <w:r>
        <w:t xml:space="preserve">  (</w:t>
      </w:r>
      <w:r>
        <w:rPr>
          <w:i/>
          <w:iCs/>
        </w:rPr>
        <w:t xml:space="preserve">Soule v. General Motors Corp. </w:t>
      </w:r>
      <w:r>
        <w:t xml:space="preserve">(1994) 8 Cal.4th 548, 580.)  </w:t>
      </w:r>
      <w:r>
        <w:t>Thus</w:t>
      </w:r>
      <w:r>
        <w:t xml:space="preserve">, </w:t>
      </w:r>
      <w:r>
        <w:t>i</w:t>
      </w:r>
      <w:r>
        <w:t>nstructional error</w:t>
      </w:r>
      <w:r>
        <w:t>, like an error in the verdict form,</w:t>
      </w:r>
      <w:r>
        <w:t xml:space="preserve"> </w:t>
      </w:r>
      <w:r>
        <w:t>“</w:t>
      </w:r>
      <w:r>
        <w:t xml:space="preserve">is [only] prejudicial ‘where it seems probable’ that the error </w:t>
      </w:r>
      <w:r>
        <w:t>‘prejudicially affected the verdict.</w:t>
      </w:r>
      <w:proofErr w:type="gramStart"/>
      <w:r>
        <w:t>’ ”</w:t>
      </w:r>
      <w:proofErr w:type="gramEnd"/>
      <w:r>
        <w:t xml:space="preserve">  (</w:t>
      </w:r>
      <w:r>
        <w:rPr>
          <w:i/>
          <w:iCs/>
        </w:rPr>
        <w:t>Ibi</w:t>
      </w:r>
      <w:r>
        <w:rPr>
          <w:i/>
          <w:iCs/>
        </w:rPr>
        <w:t>d</w:t>
      </w:r>
      <w:r w:rsidRPr="00E23255">
        <w:t>.</w:t>
      </w:r>
      <w:r>
        <w:t xml:space="preserve">; see </w:t>
      </w:r>
      <w:r>
        <w:rPr>
          <w:i/>
          <w:iCs/>
        </w:rPr>
        <w:t xml:space="preserve">Cassim v. Allstate Ins. Co. </w:t>
      </w:r>
      <w:r>
        <w:t xml:space="preserve">(2004) 33 Cal.4th 780, 801 [“the so-called </w:t>
      </w:r>
      <w:r>
        <w:rPr>
          <w:i/>
          <w:iCs/>
        </w:rPr>
        <w:t xml:space="preserve">Watson </w:t>
      </w:r>
      <w:r>
        <w:t>standard applies generally to all manner of trial errors occurring under California law, precluding reversal unless the error resulted in a miscarriage of justice”].</w:t>
      </w:r>
      <w:r w:rsidRPr="007237C6">
        <w:t>)</w:t>
      </w:r>
    </w:p>
    <w:p w14:paraId="47CD2817" w14:textId="77777777" w:rsidR="00E748F1" w:rsidRDefault="00E748F1" w:rsidP="00085776">
      <w:pPr>
        <w:pStyle w:val="BodyText"/>
        <w:widowControl/>
        <w:spacing w:line="360" w:lineRule="auto"/>
        <w:ind w:firstLine="620"/>
      </w:pPr>
      <w:r>
        <w:t xml:space="preserve">Here, it is not probable that </w:t>
      </w:r>
      <w:r>
        <w:t xml:space="preserve">the </w:t>
      </w:r>
      <w:r>
        <w:t xml:space="preserve">alleged </w:t>
      </w:r>
      <w:r>
        <w:t xml:space="preserve">defect </w:t>
      </w:r>
      <w:r>
        <w:t>in the jury instructions or special verdict forms prejudicially affected the verdict</w:t>
      </w:r>
      <w:r>
        <w:t xml:space="preserve">.  Because the jury rejected </w:t>
      </w:r>
      <w:proofErr w:type="spellStart"/>
      <w:r>
        <w:t>Skillz’s</w:t>
      </w:r>
      <w:proofErr w:type="spellEnd"/>
      <w:r>
        <w:t xml:space="preserve"> unclean hands defense</w:t>
      </w:r>
      <w:r>
        <w:t xml:space="preserve"> by finding that Shah did not engage in any unethical or dishonest conduct</w:t>
      </w:r>
      <w:r>
        <w:t xml:space="preserve">, </w:t>
      </w:r>
      <w:r>
        <w:t xml:space="preserve">it </w:t>
      </w:r>
      <w:r>
        <w:t>could</w:t>
      </w:r>
      <w:r>
        <w:t xml:space="preserve"> not have found there was cause for </w:t>
      </w:r>
      <w:r>
        <w:t>Shah’s</w:t>
      </w:r>
      <w:r>
        <w:t xml:space="preserve"> termination. </w:t>
      </w:r>
      <w:r>
        <w:t xml:space="preserve"> </w:t>
      </w:r>
    </w:p>
    <w:p w14:paraId="2487E5E1" w14:textId="77777777" w:rsidR="00E748F1" w:rsidRDefault="00E748F1" w:rsidP="00085776">
      <w:pPr>
        <w:pStyle w:val="BodyText"/>
        <w:widowControl/>
        <w:spacing w:line="360" w:lineRule="auto"/>
        <w:ind w:firstLine="620"/>
      </w:pPr>
      <w:r>
        <w:t xml:space="preserve">As to </w:t>
      </w:r>
      <w:r>
        <w:t xml:space="preserve">the unclean hands </w:t>
      </w:r>
      <w:r>
        <w:t>defense,</w:t>
      </w:r>
      <w:r>
        <w:t xml:space="preserve"> </w:t>
      </w:r>
      <w:r>
        <w:t>t</w:t>
      </w:r>
      <w:r>
        <w:t>he</w:t>
      </w:r>
      <w:r>
        <w:t xml:space="preserve"> </w:t>
      </w:r>
      <w:r>
        <w:t xml:space="preserve">trial </w:t>
      </w:r>
      <w:r>
        <w:t>court</w:t>
      </w:r>
      <w:r>
        <w:t xml:space="preserve"> initially</w:t>
      </w:r>
      <w:r>
        <w:t xml:space="preserve"> </w:t>
      </w:r>
      <w:r>
        <w:t>instructed the jury to</w:t>
      </w:r>
      <w:r>
        <w:t xml:space="preserve"> </w:t>
      </w:r>
      <w:r>
        <w:t>consider</w:t>
      </w:r>
      <w:r>
        <w:t xml:space="preserve"> whether Shah </w:t>
      </w:r>
      <w:r>
        <w:t>“</w:t>
      </w:r>
      <w:r>
        <w:t xml:space="preserve">engaged in </w:t>
      </w:r>
      <w:r>
        <w:t>[</w:t>
      </w:r>
      <w:r>
        <w:t>any</w:t>
      </w:r>
      <w:r>
        <w:t>]</w:t>
      </w:r>
      <w:r>
        <w:t xml:space="preserve"> unethical</w:t>
      </w:r>
      <w:r>
        <w:t xml:space="preserve"> . . .</w:t>
      </w:r>
      <w:r>
        <w:t xml:space="preserve"> or dishonest conduct</w:t>
      </w:r>
      <w:r>
        <w:t>,</w:t>
      </w:r>
      <w:r>
        <w:t xml:space="preserve"> specifically in relation to the </w:t>
      </w:r>
      <w:proofErr w:type="spellStart"/>
      <w:r>
        <w:t>Termezy</w:t>
      </w:r>
      <w:proofErr w:type="spellEnd"/>
      <w:r>
        <w:t xml:space="preserve"> report</w:t>
      </w:r>
      <w:r>
        <w:t>”</w:t>
      </w:r>
      <w:r>
        <w:t xml:space="preserve"> </w:t>
      </w:r>
      <w:r>
        <w:t>and t</w:t>
      </w:r>
      <w:r>
        <w:t>he</w:t>
      </w:r>
      <w:r>
        <w:t xml:space="preserve"> parties’ closing arguments</w:t>
      </w:r>
      <w:r>
        <w:t xml:space="preserve"> </w:t>
      </w:r>
      <w:r>
        <w:t>focused on the same</w:t>
      </w:r>
      <w:r>
        <w:t xml:space="preserve">. </w:t>
      </w:r>
      <w:r>
        <w:t xml:space="preserve"> During deliberations, the jury asked </w:t>
      </w:r>
      <w:r>
        <w:t xml:space="preserve">the </w:t>
      </w:r>
      <w:r>
        <w:t xml:space="preserve">court </w:t>
      </w:r>
      <w:r>
        <w:t>whether</w:t>
      </w:r>
      <w:r>
        <w:t xml:space="preserve"> it should limit its consideration of dishonest or unethical conduct to the</w:t>
      </w:r>
      <w:r>
        <w:t xml:space="preserve"> </w:t>
      </w:r>
      <w:proofErr w:type="spellStart"/>
      <w:r>
        <w:t>Termezy</w:t>
      </w:r>
      <w:proofErr w:type="spellEnd"/>
      <w:r>
        <w:t xml:space="preserve"> report</w:t>
      </w:r>
      <w:r>
        <w:t xml:space="preserve">, or </w:t>
      </w:r>
      <w:r>
        <w:t>whether</w:t>
      </w:r>
      <w:r>
        <w:t xml:space="preserve"> it could </w:t>
      </w:r>
      <w:r>
        <w:t xml:space="preserve">also </w:t>
      </w:r>
      <w:r>
        <w:t>consider</w:t>
      </w:r>
      <w:r>
        <w:t xml:space="preserve"> Shah’s conduct </w:t>
      </w:r>
      <w:r>
        <w:t>in relation</w:t>
      </w:r>
      <w:r>
        <w:t xml:space="preserve"> to</w:t>
      </w:r>
      <w:r>
        <w:t xml:space="preserve"> the Notice.</w:t>
      </w:r>
      <w:r>
        <w:t xml:space="preserve"> </w:t>
      </w:r>
      <w:r>
        <w:t xml:space="preserve"> </w:t>
      </w:r>
      <w:r>
        <w:t>With the agreement of</w:t>
      </w:r>
      <w:r>
        <w:t xml:space="preserve"> counsel</w:t>
      </w:r>
      <w:r>
        <w:t xml:space="preserve">, the court </w:t>
      </w:r>
      <w:r>
        <w:t>modified</w:t>
      </w:r>
      <w:r>
        <w:t xml:space="preserve"> the </w:t>
      </w:r>
      <w:r>
        <w:t xml:space="preserve">unclean hands </w:t>
      </w:r>
      <w:r>
        <w:t>instruction</w:t>
      </w:r>
      <w:r>
        <w:t xml:space="preserve"> </w:t>
      </w:r>
      <w:r>
        <w:t xml:space="preserve">to </w:t>
      </w:r>
      <w:r>
        <w:t>state</w:t>
      </w:r>
      <w:proofErr w:type="gramStart"/>
      <w:r>
        <w:t>:</w:t>
      </w:r>
      <w:r>
        <w:t xml:space="preserve"> </w:t>
      </w:r>
      <w:r>
        <w:t xml:space="preserve"> </w:t>
      </w:r>
      <w:r>
        <w:t>“</w:t>
      </w:r>
      <w:proofErr w:type="gramEnd"/>
      <w:r>
        <w:t>I</w:t>
      </w:r>
      <w:r>
        <w:t xml:space="preserve">f you find </w:t>
      </w:r>
      <w:r>
        <w:t xml:space="preserve">that Shah engaged in unethical or dishonest conduct specifically in relation to any of </w:t>
      </w:r>
      <w:r>
        <w:lastRenderedPageBreak/>
        <w:t>the three contracts . . . [t]hen that unethical or dishonest conduct bars Shah from recovering on the claims in relation to which he engaged in such con</w:t>
      </w:r>
      <w:r>
        <w:t xml:space="preserve">duct.” </w:t>
      </w:r>
      <w:r>
        <w:t xml:space="preserve"> </w:t>
      </w:r>
      <w:r>
        <w:t>After the court read th</w:t>
      </w:r>
      <w:r>
        <w:t>e</w:t>
      </w:r>
      <w:r>
        <w:t xml:space="preserve"> revised instruction to the jury, </w:t>
      </w:r>
      <w:r>
        <w:t>counsel</w:t>
      </w:r>
      <w:r>
        <w:t xml:space="preserve"> </w:t>
      </w:r>
      <w:r>
        <w:t>presented</w:t>
      </w:r>
      <w:r>
        <w:t xml:space="preserve"> supplemental arguments</w:t>
      </w:r>
      <w:r>
        <w:t>.</w:t>
      </w:r>
      <w:r>
        <w:t xml:space="preserve"> </w:t>
      </w:r>
      <w:r>
        <w:t xml:space="preserve"> </w:t>
      </w:r>
    </w:p>
    <w:p w14:paraId="0C8AB552" w14:textId="77777777" w:rsidR="00E748F1" w:rsidRDefault="00E748F1" w:rsidP="00085776">
      <w:pPr>
        <w:pStyle w:val="BodyText"/>
        <w:widowControl/>
        <w:spacing w:line="360" w:lineRule="auto"/>
        <w:ind w:firstLine="620"/>
      </w:pPr>
      <w:r>
        <w:t xml:space="preserve">Applying the </w:t>
      </w:r>
      <w:r>
        <w:t xml:space="preserve">revised </w:t>
      </w:r>
      <w:r>
        <w:t>instruction, t</w:t>
      </w:r>
      <w:r>
        <w:t>he</w:t>
      </w:r>
      <w:r>
        <w:t xml:space="preserve"> jury fo</w:t>
      </w:r>
      <w:r>
        <w:t xml:space="preserve">und that Shah </w:t>
      </w:r>
      <w:r>
        <w:t xml:space="preserve">did not </w:t>
      </w:r>
      <w:r>
        <w:t>engage in unclean hands</w:t>
      </w:r>
      <w:r>
        <w:t>.</w:t>
      </w:r>
      <w:r>
        <w:t xml:space="preserve"> </w:t>
      </w:r>
      <w:r>
        <w:t xml:space="preserve"> The court subsequently</w:t>
      </w:r>
      <w:r>
        <w:t xml:space="preserve"> issued a statement of decision </w:t>
      </w:r>
      <w:r>
        <w:t xml:space="preserve">denying </w:t>
      </w:r>
      <w:proofErr w:type="spellStart"/>
      <w:r>
        <w:t>Skillz’s</w:t>
      </w:r>
      <w:proofErr w:type="spellEnd"/>
      <w:r>
        <w:t xml:space="preserve"> unclean hands defense.  The </w:t>
      </w:r>
      <w:r>
        <w:t xml:space="preserve">court </w:t>
      </w:r>
      <w:r>
        <w:t>noted</w:t>
      </w:r>
      <w:r>
        <w:t>,</w:t>
      </w:r>
      <w:r>
        <w:t xml:space="preserve"> </w:t>
      </w:r>
      <w:r>
        <w:t>“</w:t>
      </w:r>
      <w:r>
        <w:t xml:space="preserve">assuming Shah had an obligation to alert </w:t>
      </w:r>
      <w:proofErr w:type="spellStart"/>
      <w:r>
        <w:t>Skillz</w:t>
      </w:r>
      <w:proofErr w:type="spellEnd"/>
      <w:r>
        <w:t xml:space="preserve"> about the </w:t>
      </w:r>
      <w:r>
        <w:t>[vesting schedule]</w:t>
      </w:r>
      <w:r>
        <w:t xml:space="preserve"> </w:t>
      </w:r>
      <w:r>
        <w:t xml:space="preserve">error by </w:t>
      </w:r>
      <w:proofErr w:type="spellStart"/>
      <w:r>
        <w:t>Skillz</w:t>
      </w:r>
      <w:proofErr w:type="spellEnd"/>
      <w:r>
        <w:t xml:space="preserve">, Shah’s claim of two-year vesting and refusal to sign the correction letter had no effect on the amount of the verdict.” </w:t>
      </w:r>
      <w:r>
        <w:t xml:space="preserve"> The court further </w:t>
      </w:r>
      <w:r>
        <w:t xml:space="preserve">observed </w:t>
      </w:r>
      <w:r>
        <w:t>that “no evidence was ever presented that Shah benefitted or profited in any way fro</w:t>
      </w:r>
      <w:r>
        <w:t>m</w:t>
      </w:r>
      <w:r>
        <w:t xml:space="preserve"> the information contained in the </w:t>
      </w:r>
      <w:proofErr w:type="spellStart"/>
      <w:r>
        <w:t>Termezy</w:t>
      </w:r>
      <w:proofErr w:type="spellEnd"/>
      <w:r>
        <w:t xml:space="preserve"> report</w:t>
      </w:r>
      <w:r>
        <w:t xml:space="preserve">” and that </w:t>
      </w:r>
      <w:r>
        <w:t>al</w:t>
      </w:r>
      <w:r>
        <w:t>though “Shah did not always condu</w:t>
      </w:r>
      <w:r>
        <w:t>ct himself honorably</w:t>
      </w:r>
      <w:r>
        <w:t xml:space="preserve"> . . . there is no evidence that he benefitted from his unethical conduct or that his ‘unclean hands’ impacted the verdict.” </w:t>
      </w:r>
    </w:p>
    <w:p w14:paraId="405AB054" w14:textId="77777777" w:rsidR="00E748F1" w:rsidRDefault="00E748F1" w:rsidP="00085776">
      <w:pPr>
        <w:pStyle w:val="BodyText"/>
        <w:widowControl/>
        <w:spacing w:line="360" w:lineRule="auto"/>
        <w:ind w:firstLine="620"/>
      </w:pPr>
      <w:proofErr w:type="spellStart"/>
      <w:r>
        <w:t>Skillz</w:t>
      </w:r>
      <w:proofErr w:type="spellEnd"/>
      <w:r>
        <w:t xml:space="preserve"> contends </w:t>
      </w:r>
      <w:r>
        <w:t xml:space="preserve">we </w:t>
      </w:r>
      <w:r>
        <w:t>can</w:t>
      </w:r>
      <w:r>
        <w:t>not rely on the jury’</w:t>
      </w:r>
      <w:r>
        <w:t xml:space="preserve">s </w:t>
      </w:r>
      <w:proofErr w:type="gramStart"/>
      <w:r>
        <w:t>“</w:t>
      </w:r>
      <w:r>
        <w:t xml:space="preserve"> ‘</w:t>
      </w:r>
      <w:proofErr w:type="gramEnd"/>
      <w:r>
        <w:t>no unclean hands</w:t>
      </w:r>
      <w:r>
        <w:t xml:space="preserve">’ </w:t>
      </w:r>
      <w:r>
        <w:t>”</w:t>
      </w:r>
      <w:r>
        <w:t xml:space="preserve"> finding</w:t>
      </w:r>
      <w:r>
        <w:t xml:space="preserve"> </w:t>
      </w:r>
      <w:r>
        <w:t xml:space="preserve">to find harmless error </w:t>
      </w:r>
      <w:r>
        <w:t>because:  (1) we</w:t>
      </w:r>
      <w:r>
        <w:t xml:space="preserve"> cannot </w:t>
      </w:r>
      <w:r>
        <w:t>“</w:t>
      </w:r>
      <w:r>
        <w:t xml:space="preserve"> ‘</w:t>
      </w:r>
      <w:r>
        <w:t>imply</w:t>
      </w:r>
      <w:r>
        <w:t xml:space="preserve"> findings’ from one answer on a special verdict form</w:t>
      </w:r>
      <w:r>
        <w:t xml:space="preserve"> to remedy a defect in another question”</w:t>
      </w:r>
      <w:r>
        <w:t>;</w:t>
      </w:r>
      <w:r>
        <w:t xml:space="preserve"> and (2)</w:t>
      </w:r>
      <w:r>
        <w:t xml:space="preserve"> the jury’s finding d</w:t>
      </w:r>
      <w:r>
        <w:t>oes</w:t>
      </w:r>
      <w:r>
        <w:t xml:space="preserve"> not mean it </w:t>
      </w:r>
      <w:r>
        <w:t xml:space="preserve">also </w:t>
      </w:r>
      <w:r>
        <w:t xml:space="preserve">found </w:t>
      </w:r>
      <w:r>
        <w:t xml:space="preserve">that </w:t>
      </w:r>
      <w:r>
        <w:t>Shah was terminated without cause.</w:t>
      </w:r>
      <w:r>
        <w:t xml:space="preserve"> </w:t>
      </w:r>
      <w:r>
        <w:t xml:space="preserve"> We </w:t>
      </w:r>
      <w:r>
        <w:t>disagree</w:t>
      </w:r>
      <w:r>
        <w:t>.</w:t>
      </w:r>
      <w:r>
        <w:t xml:space="preserve">  </w:t>
      </w:r>
    </w:p>
    <w:p w14:paraId="722B606D" w14:textId="77777777" w:rsidR="00E748F1" w:rsidRPr="00B41724" w:rsidRDefault="00E748F1" w:rsidP="00085776">
      <w:pPr>
        <w:pStyle w:val="BodyText"/>
        <w:widowControl/>
        <w:spacing w:line="360" w:lineRule="auto"/>
        <w:ind w:firstLine="620"/>
      </w:pPr>
      <w:r>
        <w:t>First, it is true that</w:t>
      </w:r>
      <w:r>
        <w:t xml:space="preserve"> </w:t>
      </w:r>
      <w:r>
        <w:t xml:space="preserve">we </w:t>
      </w:r>
      <w:r>
        <w:t>“</w:t>
      </w:r>
      <w:r>
        <w:t>may not ‘imply findings’ to ‘save’ a defective special verdict.”  (</w:t>
      </w:r>
      <w:r>
        <w:rPr>
          <w:i/>
          <w:iCs/>
        </w:rPr>
        <w:t>Taylor</w:t>
      </w:r>
      <w:r>
        <w:rPr>
          <w:i/>
          <w:iCs/>
        </w:rPr>
        <w:t>, supra,</w:t>
      </w:r>
      <w:r>
        <w:rPr>
          <w:i/>
          <w:iCs/>
        </w:rPr>
        <w:t xml:space="preserve"> </w:t>
      </w:r>
      <w:r>
        <w:t xml:space="preserve">222 Cal.App.4th </w:t>
      </w:r>
      <w:r>
        <w:t>at p.</w:t>
      </w:r>
      <w:r>
        <w:t xml:space="preserve"> </w:t>
      </w:r>
      <w:r>
        <w:t xml:space="preserve">1244.)  </w:t>
      </w:r>
      <w:r>
        <w:t xml:space="preserve">But </w:t>
      </w:r>
      <w:r>
        <w:t>t</w:t>
      </w:r>
      <w:r>
        <w:t>he</w:t>
      </w:r>
      <w:r>
        <w:t xml:space="preserve"> jury’s </w:t>
      </w:r>
      <w:r>
        <w:t>finding of no unclean hands</w:t>
      </w:r>
      <w:r>
        <w:t xml:space="preserve">, though advisory, was </w:t>
      </w:r>
      <w:r>
        <w:t>still</w:t>
      </w:r>
      <w:r>
        <w:t xml:space="preserve"> an </w:t>
      </w:r>
      <w:r>
        <w:rPr>
          <w:i/>
          <w:iCs/>
        </w:rPr>
        <w:t>express</w:t>
      </w:r>
      <w:r>
        <w:t xml:space="preserve"> finding</w:t>
      </w:r>
      <w:r>
        <w:t xml:space="preserve"> that Shah did not engage</w:t>
      </w:r>
      <w:r>
        <w:t xml:space="preserve"> in any unethical or dishonest conduct</w:t>
      </w:r>
      <w:r>
        <w:t xml:space="preserve"> in relation to </w:t>
      </w:r>
      <w:r>
        <w:t>the three contracts</w:t>
      </w:r>
      <w:r>
        <w:t>.</w:t>
      </w:r>
      <w:r>
        <w:t xml:space="preserve"> </w:t>
      </w:r>
      <w:r>
        <w:t xml:space="preserve"> </w:t>
      </w:r>
      <w:r>
        <w:t xml:space="preserve">Thus, we are relying on an actual jury finding, rather than implying a finding, to find </w:t>
      </w:r>
      <w:proofErr w:type="gramStart"/>
      <w:r>
        <w:t>harmless</w:t>
      </w:r>
      <w:proofErr w:type="gramEnd"/>
      <w:r>
        <w:t xml:space="preserve"> error.  </w:t>
      </w:r>
      <w:r>
        <w:t>And c</w:t>
      </w:r>
      <w:r>
        <w:t xml:space="preserve">ontrary to </w:t>
      </w:r>
      <w:proofErr w:type="spellStart"/>
      <w:r>
        <w:t>Skillz’s</w:t>
      </w:r>
      <w:proofErr w:type="spellEnd"/>
      <w:r>
        <w:t xml:space="preserve"> </w:t>
      </w:r>
      <w:r>
        <w:t>contention</w:t>
      </w:r>
      <w:r>
        <w:t>, t</w:t>
      </w:r>
      <w:r>
        <w:t xml:space="preserve">his finding is not </w:t>
      </w:r>
      <w:r>
        <w:t xml:space="preserve">being </w:t>
      </w:r>
      <w:r>
        <w:t xml:space="preserve">used as the basis </w:t>
      </w:r>
      <w:r>
        <w:t>for</w:t>
      </w:r>
      <w:r>
        <w:t xml:space="preserve"> the judgment</w:t>
      </w:r>
      <w:r>
        <w:t>.</w:t>
      </w:r>
      <w:r>
        <w:t xml:space="preserve">  </w:t>
      </w:r>
      <w:r>
        <w:lastRenderedPageBreak/>
        <w:t>R</w:t>
      </w:r>
      <w:r>
        <w:t>ather</w:t>
      </w:r>
      <w:r>
        <w:t xml:space="preserve">, the finding is being used to show that the jury necessarily found that </w:t>
      </w:r>
      <w:proofErr w:type="spellStart"/>
      <w:r>
        <w:t>Skillz</w:t>
      </w:r>
      <w:proofErr w:type="spellEnd"/>
      <w:r>
        <w:t xml:space="preserve"> terminated Shah without cause even if the jury instructions or special verdict forms were defective or ambiguous</w:t>
      </w:r>
      <w:r>
        <w:t xml:space="preserve"> as claimed by </w:t>
      </w:r>
      <w:proofErr w:type="spellStart"/>
      <w:r>
        <w:t>Skillz</w:t>
      </w:r>
      <w:proofErr w:type="spellEnd"/>
      <w:r>
        <w:t>.</w:t>
      </w:r>
      <w:r>
        <w:t xml:space="preserve">  </w:t>
      </w:r>
      <w:r>
        <w:t xml:space="preserve">In other words, the jury’s rejection of </w:t>
      </w:r>
      <w:proofErr w:type="spellStart"/>
      <w:r>
        <w:t>Skillz’s</w:t>
      </w:r>
      <w:proofErr w:type="spellEnd"/>
      <w:r>
        <w:t xml:space="preserve"> unclean hands</w:t>
      </w:r>
      <w:r>
        <w:t xml:space="preserve"> defense</w:t>
      </w:r>
      <w:r>
        <w:t xml:space="preserve"> establishe</w:t>
      </w:r>
      <w:r>
        <w:t>s</w:t>
      </w:r>
      <w:r>
        <w:t xml:space="preserve"> that the jury made the requisite finding</w:t>
      </w:r>
      <w:r>
        <w:t xml:space="preserve"> for </w:t>
      </w:r>
      <w:r>
        <w:t xml:space="preserve">a breach of contract claim against </w:t>
      </w:r>
      <w:proofErr w:type="spellStart"/>
      <w:r>
        <w:t>Skillz</w:t>
      </w:r>
      <w:proofErr w:type="spellEnd"/>
      <w:r>
        <w:t>—</w:t>
      </w:r>
      <w:r>
        <w:t xml:space="preserve">that </w:t>
      </w:r>
      <w:proofErr w:type="spellStart"/>
      <w:r>
        <w:t>Skillz</w:t>
      </w:r>
      <w:proofErr w:type="spellEnd"/>
      <w:r>
        <w:t xml:space="preserve"> prevented Shah from exercising his vested stock options even though </w:t>
      </w:r>
      <w:proofErr w:type="spellStart"/>
      <w:r>
        <w:t>Skillz</w:t>
      </w:r>
      <w:proofErr w:type="spellEnd"/>
      <w:r>
        <w:t xml:space="preserve"> had no evidence t</w:t>
      </w:r>
      <w:r>
        <w:t>hat Shah engaged in any unethical or dishonest conduct.</w:t>
      </w:r>
      <w:r>
        <w:rPr>
          <w:rStyle w:val="FootnoteReference"/>
        </w:rPr>
        <w:footnoteReference w:id="16"/>
      </w:r>
      <w:r>
        <w:t xml:space="preserve">  </w:t>
      </w:r>
      <w:r>
        <w:t>In relying on a</w:t>
      </w:r>
      <w:r>
        <w:t>n actual</w:t>
      </w:r>
      <w:r>
        <w:t xml:space="preserve"> jury finding to find harm</w:t>
      </w:r>
      <w:r>
        <w:t>l</w:t>
      </w:r>
      <w:r>
        <w:t>ess error</w:t>
      </w:r>
      <w:r>
        <w:t xml:space="preserve">, we are simply applying the same analysis used </w:t>
      </w:r>
      <w:r>
        <w:t xml:space="preserve">in </w:t>
      </w:r>
      <w:r>
        <w:t xml:space="preserve">many </w:t>
      </w:r>
      <w:r>
        <w:t>other cases.</w:t>
      </w:r>
      <w:r>
        <w:t xml:space="preserve">  </w:t>
      </w:r>
      <w:r>
        <w:t>(See</w:t>
      </w:r>
      <w:r>
        <w:t>, e.g.,</w:t>
      </w:r>
      <w:r>
        <w:t xml:space="preserve"> </w:t>
      </w:r>
      <w:r>
        <w:rPr>
          <w:i/>
          <w:iCs/>
        </w:rPr>
        <w:t>K.M. v. Grossmont Union High School Dist.</w:t>
      </w:r>
      <w:r>
        <w:t xml:space="preserve"> (2022) 84 Cal.App.5th 717, 770</w:t>
      </w:r>
      <w:r>
        <w:t>–</w:t>
      </w:r>
      <w:r>
        <w:t xml:space="preserve">771; </w:t>
      </w:r>
      <w:r>
        <w:rPr>
          <w:i/>
          <w:iCs/>
        </w:rPr>
        <w:t>Adams v. MHC Colony Park, L.P.</w:t>
      </w:r>
      <w:r>
        <w:t xml:space="preserve"> (2014)</w:t>
      </w:r>
      <w:r>
        <w:t xml:space="preserve"> 224 Cal.App.4th 601, 614</w:t>
      </w:r>
      <w:r>
        <w:t>–</w:t>
      </w:r>
      <w:r>
        <w:t>615</w:t>
      </w:r>
      <w:r>
        <w:t>;</w:t>
      </w:r>
      <w:r>
        <w:t xml:space="preserve"> </w:t>
      </w:r>
      <w:proofErr w:type="spellStart"/>
      <w:r>
        <w:rPr>
          <w:i/>
          <w:iCs/>
        </w:rPr>
        <w:t>Gombiner</w:t>
      </w:r>
      <w:proofErr w:type="spellEnd"/>
      <w:r>
        <w:rPr>
          <w:i/>
          <w:iCs/>
        </w:rPr>
        <w:t xml:space="preserve"> v. Swartz </w:t>
      </w:r>
      <w:r>
        <w:t>(2008) 167 Cal.App.</w:t>
      </w:r>
      <w:r>
        <w:t>4th</w:t>
      </w:r>
      <w:r>
        <w:t xml:space="preserve"> 1365, 1377</w:t>
      </w:r>
      <w:r>
        <w:t>.</w:t>
      </w:r>
      <w:r>
        <w:t>)</w:t>
      </w:r>
    </w:p>
    <w:p w14:paraId="051F349B" w14:textId="77777777" w:rsidR="00E748F1" w:rsidRDefault="00E748F1" w:rsidP="00085776">
      <w:pPr>
        <w:pStyle w:val="BodyText"/>
        <w:widowControl/>
        <w:spacing w:line="360" w:lineRule="auto"/>
        <w:ind w:firstLine="620"/>
      </w:pPr>
      <w:r>
        <w:t>We</w:t>
      </w:r>
      <w:r>
        <w:t xml:space="preserve"> </w:t>
      </w:r>
      <w:r>
        <w:t>also</w:t>
      </w:r>
      <w:r>
        <w:t xml:space="preserve"> </w:t>
      </w:r>
      <w:r>
        <w:t>reject</w:t>
      </w:r>
      <w:r>
        <w:t xml:space="preserve"> </w:t>
      </w:r>
      <w:proofErr w:type="spellStart"/>
      <w:r>
        <w:t>Skillz’s</w:t>
      </w:r>
      <w:proofErr w:type="spellEnd"/>
      <w:r>
        <w:t xml:space="preserve"> </w:t>
      </w:r>
      <w:r>
        <w:t>contention</w:t>
      </w:r>
      <w:r>
        <w:t xml:space="preserve"> </w:t>
      </w:r>
      <w:r>
        <w:t xml:space="preserve">that </w:t>
      </w:r>
      <w:r>
        <w:t xml:space="preserve">“the jury’s ‘no unclean hands’ verdict does </w:t>
      </w:r>
      <w:r>
        <w:rPr>
          <w:i/>
          <w:iCs/>
        </w:rPr>
        <w:t>not</w:t>
      </w:r>
      <w:r>
        <w:t xml:space="preserve"> mean it found Shah was terminated without cause”</w:t>
      </w:r>
      <w:r>
        <w:t xml:space="preserve"> because it “could have found that Shah violated a company policy . . . but believed that Shah was not morally wrong in doing so.”</w:t>
      </w:r>
      <w:r>
        <w:t xml:space="preserve"> </w:t>
      </w:r>
      <w:r>
        <w:t xml:space="preserve"> </w:t>
      </w:r>
      <w:r>
        <w:t xml:space="preserve">As a threshold matter, we question whether “unethical” conduct as used in the </w:t>
      </w:r>
      <w:r>
        <w:t xml:space="preserve">unclean </w:t>
      </w:r>
      <w:proofErr w:type="gramStart"/>
      <w:r>
        <w:t>hands</w:t>
      </w:r>
      <w:proofErr w:type="gramEnd"/>
      <w:r>
        <w:t xml:space="preserve"> </w:t>
      </w:r>
      <w:r>
        <w:t xml:space="preserve">instruction is limited to </w:t>
      </w:r>
      <w:r>
        <w:t xml:space="preserve">conduct </w:t>
      </w:r>
      <w:r>
        <w:t xml:space="preserve">that </w:t>
      </w:r>
      <w:r>
        <w:t>is</w:t>
      </w:r>
      <w:r>
        <w:t xml:space="preserve"> morally wrong</w:t>
      </w:r>
      <w:r>
        <w:t xml:space="preserve">, particularly </w:t>
      </w:r>
      <w:r>
        <w:t>where, as here, professional business conduct is at issue</w:t>
      </w:r>
      <w:r>
        <w:t>.</w:t>
      </w:r>
      <w:r>
        <w:t xml:space="preserve">  </w:t>
      </w:r>
      <w:r>
        <w:t>Indeed, unethical conduc</w:t>
      </w:r>
      <w:r>
        <w:t>t in that context may also mean “unwilling to adhere to professional rules of conduct” or “not in accord with the standards of a profession</w:t>
      </w:r>
      <w:r>
        <w:t>.</w:t>
      </w:r>
      <w:r>
        <w:t xml:space="preserve">” </w:t>
      </w:r>
      <w:r>
        <w:t xml:space="preserve"> </w:t>
      </w:r>
      <w:r>
        <w:lastRenderedPageBreak/>
        <w:t>(</w:t>
      </w:r>
      <w:r w:rsidRPr="001B4638">
        <w:rPr>
          <w:rStyle w:val="Hyperlink"/>
          <w:color w:val="auto"/>
          <w:u w:val="none"/>
        </w:rPr>
        <w:t>&lt;</w:t>
      </w:r>
      <w:r w:rsidRPr="00E23255">
        <w:t>https://www.dictionary.com/browse/unethical</w:t>
      </w:r>
      <w:r>
        <w:t xml:space="preserve">&gt; [as of </w:t>
      </w:r>
      <w:r>
        <w:t xml:space="preserve">April </w:t>
      </w:r>
      <w:r>
        <w:t>8</w:t>
      </w:r>
      <w:r>
        <w:t>, 2024]</w:t>
      </w:r>
      <w:r>
        <w:t>.)</w:t>
      </w:r>
      <w:r>
        <w:t xml:space="preserve"> </w:t>
      </w:r>
      <w:r>
        <w:t xml:space="preserve"> </w:t>
      </w:r>
      <w:r>
        <w:t xml:space="preserve">Thus, the jury, by finding that Shah did not engage in unethical </w:t>
      </w:r>
      <w:r>
        <w:t xml:space="preserve">or dishonest </w:t>
      </w:r>
      <w:r>
        <w:t xml:space="preserve">conduct, </w:t>
      </w:r>
      <w:r>
        <w:t xml:space="preserve">arguably </w:t>
      </w:r>
      <w:r>
        <w:t xml:space="preserve">found </w:t>
      </w:r>
      <w:r>
        <w:t>that Shah did not violate</w:t>
      </w:r>
      <w:r>
        <w:t xml:space="preserve"> company policy</w:t>
      </w:r>
      <w:r>
        <w:t xml:space="preserve"> based on the instructions themselves</w:t>
      </w:r>
      <w:r>
        <w:t>.</w:t>
      </w:r>
    </w:p>
    <w:p w14:paraId="1931CD4B" w14:textId="77777777" w:rsidR="00E748F1" w:rsidRDefault="00E748F1" w:rsidP="00085776">
      <w:pPr>
        <w:pStyle w:val="BodyText"/>
        <w:widowControl/>
        <w:spacing w:line="360" w:lineRule="auto"/>
        <w:ind w:firstLine="620"/>
      </w:pPr>
      <w:r>
        <w:t xml:space="preserve">But even if we agree with </w:t>
      </w:r>
      <w:proofErr w:type="spellStart"/>
      <w:r>
        <w:t>Skillz’s</w:t>
      </w:r>
      <w:proofErr w:type="spellEnd"/>
      <w:r>
        <w:t xml:space="preserve"> </w:t>
      </w:r>
      <w:r>
        <w:t>cramped</w:t>
      </w:r>
      <w:r>
        <w:t xml:space="preserve"> interpretation of unethical conduct, </w:t>
      </w:r>
      <w:proofErr w:type="gramStart"/>
      <w:r>
        <w:t xml:space="preserve">it is clear that </w:t>
      </w:r>
      <w:r>
        <w:t>t</w:t>
      </w:r>
      <w:r>
        <w:t>he</w:t>
      </w:r>
      <w:proofErr w:type="gramEnd"/>
      <w:r>
        <w:t xml:space="preserve"> jury </w:t>
      </w:r>
      <w:r>
        <w:t xml:space="preserve">was </w:t>
      </w:r>
      <w:r w:rsidRPr="00E23255">
        <w:rPr>
          <w:i/>
          <w:iCs/>
        </w:rPr>
        <w:t>n</w:t>
      </w:r>
      <w:r w:rsidRPr="00E23255">
        <w:rPr>
          <w:i/>
          <w:iCs/>
        </w:rPr>
        <w:t>ever</w:t>
      </w:r>
      <w:r>
        <w:t xml:space="preserve"> asked </w:t>
      </w:r>
      <w:r>
        <w:t xml:space="preserve">to consider whether Shah </w:t>
      </w:r>
      <w:r>
        <w:t>may have been</w:t>
      </w:r>
      <w:r>
        <w:t xml:space="preserve"> </w:t>
      </w:r>
      <w:r w:rsidRPr="00E23255">
        <w:t>morally</w:t>
      </w:r>
      <w:r>
        <w:t xml:space="preserve"> right </w:t>
      </w:r>
      <w:r>
        <w:t>to take or appropriate</w:t>
      </w:r>
      <w:r>
        <w:t xml:space="preserve"> the</w:t>
      </w:r>
      <w:r>
        <w:t xml:space="preserve"> </w:t>
      </w:r>
      <w:proofErr w:type="spellStart"/>
      <w:r>
        <w:t>Termezy</w:t>
      </w:r>
      <w:proofErr w:type="spellEnd"/>
      <w:r>
        <w:t xml:space="preserve"> report</w:t>
      </w:r>
      <w:r>
        <w:t>—</w:t>
      </w:r>
      <w:r>
        <w:t xml:space="preserve">the only cause for termination asserted by </w:t>
      </w:r>
      <w:proofErr w:type="spellStart"/>
      <w:r>
        <w:t>Skillz</w:t>
      </w:r>
      <w:proofErr w:type="spellEnd"/>
      <w:r>
        <w:t xml:space="preserve"> at trial.</w:t>
      </w:r>
      <w:r>
        <w:t xml:space="preserve"> </w:t>
      </w:r>
      <w:r>
        <w:t xml:space="preserve"> Indeed, </w:t>
      </w:r>
      <w:r>
        <w:t xml:space="preserve">there is no reason to believe </w:t>
      </w:r>
      <w:r>
        <w:t xml:space="preserve">the jury </w:t>
      </w:r>
      <w:r>
        <w:t>did</w:t>
      </w:r>
      <w:r>
        <w:t>, in fact, do</w:t>
      </w:r>
      <w:r>
        <w:t xml:space="preserve"> so</w:t>
      </w:r>
      <w:r>
        <w:t>.</w:t>
      </w:r>
      <w:r>
        <w:t xml:space="preserve"> </w:t>
      </w:r>
      <w:r>
        <w:t xml:space="preserve"> </w:t>
      </w:r>
    </w:p>
    <w:p w14:paraId="269D6574" w14:textId="77777777" w:rsidR="00E748F1" w:rsidRPr="00EA61D4" w:rsidRDefault="00E748F1" w:rsidP="00085776">
      <w:pPr>
        <w:pStyle w:val="BodyText"/>
        <w:widowControl/>
        <w:spacing w:line="360" w:lineRule="auto"/>
        <w:ind w:firstLine="620"/>
      </w:pPr>
      <w:r>
        <w:t>First,</w:t>
      </w:r>
      <w:r w:rsidRPr="00EA6BDA">
        <w:t xml:space="preserve"> </w:t>
      </w:r>
      <w:proofErr w:type="spellStart"/>
      <w:r w:rsidRPr="00EA6BDA">
        <w:t>Skillz</w:t>
      </w:r>
      <w:proofErr w:type="spellEnd"/>
      <w:r w:rsidRPr="00EA6BDA">
        <w:t xml:space="preserve"> never claimed that Shah engaged in unclean hands for any reason other than dishonesty</w:t>
      </w:r>
      <w:r w:rsidRPr="00EA6BDA">
        <w:t>.</w:t>
      </w:r>
      <w:r w:rsidRPr="00EA6BDA">
        <w:t xml:space="preserve">  Indeed, in its closing argument, </w:t>
      </w:r>
      <w:proofErr w:type="spellStart"/>
      <w:r w:rsidRPr="00EA6BDA">
        <w:t>Skillz</w:t>
      </w:r>
      <w:proofErr w:type="spellEnd"/>
      <w:r w:rsidRPr="00EA6BDA">
        <w:t xml:space="preserve"> only argued that the jury should find unclea</w:t>
      </w:r>
      <w:r w:rsidRPr="00EA6BDA">
        <w:t>n</w:t>
      </w:r>
      <w:r w:rsidRPr="00EA6BDA">
        <w:t xml:space="preserve"> hands “if you find that Mr. Shah engaged in </w:t>
      </w:r>
      <w:r w:rsidRPr="00EA6BDA">
        <w:rPr>
          <w:i/>
          <w:iCs/>
        </w:rPr>
        <w:t>dishonest</w:t>
      </w:r>
      <w:r w:rsidRPr="00EA6BDA">
        <w:t xml:space="preserve"> conduct.”</w:t>
      </w:r>
      <w:r w:rsidRPr="00EA6BDA">
        <w:t xml:space="preserve"> </w:t>
      </w:r>
      <w:r w:rsidRPr="00EA6BDA">
        <w:t xml:space="preserve"> </w:t>
      </w:r>
      <w:r w:rsidRPr="00EA6BDA">
        <w:t>(Italics added</w:t>
      </w:r>
      <w:r w:rsidRPr="00EA61D4">
        <w:t xml:space="preserve">.)  </w:t>
      </w:r>
      <w:r w:rsidRPr="00EA61D4">
        <w:t xml:space="preserve">Thus, the jury, by rejecting </w:t>
      </w:r>
      <w:proofErr w:type="spellStart"/>
      <w:r w:rsidRPr="00EA61D4">
        <w:t>Skillz’s</w:t>
      </w:r>
      <w:proofErr w:type="spellEnd"/>
      <w:r w:rsidRPr="00EA61D4">
        <w:t xml:space="preserve"> unclean hands defense, necessarily found that Shah did not act dishonestly by emailing </w:t>
      </w:r>
      <w:r w:rsidRPr="00EA61D4">
        <w:t xml:space="preserve">himself </w:t>
      </w:r>
      <w:r w:rsidRPr="00EA61D4">
        <w:t xml:space="preserve">the </w:t>
      </w:r>
      <w:proofErr w:type="spellStart"/>
      <w:r w:rsidRPr="00EA61D4">
        <w:t>Termezy</w:t>
      </w:r>
      <w:proofErr w:type="spellEnd"/>
      <w:r w:rsidRPr="00EA61D4">
        <w:t xml:space="preserve"> report.</w:t>
      </w:r>
    </w:p>
    <w:p w14:paraId="7F49D73F" w14:textId="77777777" w:rsidR="00E748F1" w:rsidRPr="00646AC2" w:rsidRDefault="00E748F1" w:rsidP="00085776">
      <w:pPr>
        <w:pStyle w:val="BodyText"/>
        <w:widowControl/>
        <w:spacing w:line="360" w:lineRule="auto"/>
        <w:ind w:firstLine="620"/>
        <w:rPr>
          <w:highlight w:val="yellow"/>
        </w:rPr>
      </w:pPr>
      <w:r w:rsidRPr="0057069F">
        <w:t xml:space="preserve">Second, </w:t>
      </w:r>
      <w:proofErr w:type="spellStart"/>
      <w:r w:rsidRPr="0057069F">
        <w:t>Skillz</w:t>
      </w:r>
      <w:proofErr w:type="spellEnd"/>
      <w:r w:rsidRPr="0057069F">
        <w:t xml:space="preserve">, throughout the trial, </w:t>
      </w:r>
      <w:r w:rsidRPr="0057069F">
        <w:t>only argued</w:t>
      </w:r>
      <w:r w:rsidRPr="0057069F">
        <w:t xml:space="preserve"> </w:t>
      </w:r>
      <w:r w:rsidRPr="0057069F">
        <w:t xml:space="preserve">that Shah </w:t>
      </w:r>
      <w:r w:rsidRPr="0057069F">
        <w:t xml:space="preserve">was terminated because he </w:t>
      </w:r>
      <w:r w:rsidRPr="0057069F">
        <w:t xml:space="preserve">acted </w:t>
      </w:r>
      <w:r w:rsidRPr="0057069F">
        <w:rPr>
          <w:i/>
          <w:iCs/>
        </w:rPr>
        <w:t>dishonestly</w:t>
      </w:r>
      <w:r w:rsidRPr="0057069F">
        <w:t xml:space="preserve"> </w:t>
      </w:r>
      <w:r w:rsidRPr="0057069F">
        <w:t>by</w:t>
      </w:r>
      <w:r w:rsidRPr="0057069F">
        <w:t xml:space="preserve"> sending the </w:t>
      </w:r>
      <w:proofErr w:type="spellStart"/>
      <w:r w:rsidRPr="0057069F">
        <w:t>Termezy</w:t>
      </w:r>
      <w:proofErr w:type="spellEnd"/>
      <w:r w:rsidRPr="0057069F">
        <w:t xml:space="preserve"> </w:t>
      </w:r>
      <w:r w:rsidRPr="0057069F">
        <w:t xml:space="preserve">report to </w:t>
      </w:r>
      <w:r w:rsidRPr="0057069F">
        <w:t xml:space="preserve">himself </w:t>
      </w:r>
      <w:r w:rsidRPr="0057069F">
        <w:t>in</w:t>
      </w:r>
      <w:r w:rsidRPr="0057069F">
        <w:t xml:space="preserve"> </w:t>
      </w:r>
      <w:r w:rsidRPr="0057069F">
        <w:t>violat</w:t>
      </w:r>
      <w:r w:rsidRPr="0057069F">
        <w:t>ion of</w:t>
      </w:r>
      <w:r w:rsidRPr="0057069F">
        <w:t xml:space="preserve"> </w:t>
      </w:r>
      <w:proofErr w:type="spellStart"/>
      <w:r w:rsidRPr="0057069F">
        <w:t>Skillz</w:t>
      </w:r>
      <w:r w:rsidRPr="0057069F">
        <w:t>’s</w:t>
      </w:r>
      <w:proofErr w:type="spellEnd"/>
      <w:r w:rsidRPr="0057069F">
        <w:t xml:space="preserve"> </w:t>
      </w:r>
      <w:r w:rsidRPr="0057069F">
        <w:t>confidentiality agreement and policy against theft</w:t>
      </w:r>
      <w:r w:rsidRPr="0057069F">
        <w:t>.</w:t>
      </w:r>
      <w:r w:rsidRPr="0057069F">
        <w:t xml:space="preserve"> </w:t>
      </w:r>
      <w:r w:rsidRPr="0057069F">
        <w:t xml:space="preserve"> </w:t>
      </w:r>
      <w:r w:rsidRPr="0057069F">
        <w:t>For example, Skills only claimed that it terminated Shah “due to his violation of the Fraud and Theft of Company Property Policy” in its trial brief and opening statement</w:t>
      </w:r>
      <w:r>
        <w:t xml:space="preserve">. </w:t>
      </w:r>
      <w:r w:rsidRPr="0057069F">
        <w:t xml:space="preserve"> And in its closing argument, </w:t>
      </w:r>
      <w:proofErr w:type="spellStart"/>
      <w:r w:rsidRPr="0057069F">
        <w:t>Skillz</w:t>
      </w:r>
      <w:proofErr w:type="spellEnd"/>
      <w:r w:rsidRPr="0057069F">
        <w:t xml:space="preserve"> only argued that it terminated Shah for his “honesty violations,” such as his “violation of the company’s fraud and theft policy.”  </w:t>
      </w:r>
      <w:r w:rsidRPr="0057069F">
        <w:t>Indeed,</w:t>
      </w:r>
      <w:r w:rsidRPr="0057069F">
        <w:t xml:space="preserve"> </w:t>
      </w:r>
      <w:proofErr w:type="spellStart"/>
      <w:r w:rsidRPr="0057069F">
        <w:t>Skillz</w:t>
      </w:r>
      <w:proofErr w:type="spellEnd"/>
      <w:r w:rsidRPr="0057069F">
        <w:t xml:space="preserve"> </w:t>
      </w:r>
      <w:r w:rsidRPr="0057069F">
        <w:t xml:space="preserve">specifically argued that Shah “took the </w:t>
      </w:r>
      <w:proofErr w:type="spellStart"/>
      <w:r w:rsidRPr="0057069F">
        <w:t>Termezy</w:t>
      </w:r>
      <w:proofErr w:type="spellEnd"/>
      <w:r w:rsidRPr="0057069F">
        <w:t xml:space="preserve"> data with the intent to use it, which was a violation o</w:t>
      </w:r>
      <w:r w:rsidRPr="0057069F">
        <w:t>f Paragraph 2 of the confidentiality agreement.”</w:t>
      </w:r>
      <w:r w:rsidRPr="0057069F">
        <w:t xml:space="preserve"> </w:t>
      </w:r>
      <w:r w:rsidRPr="0057069F">
        <w:t xml:space="preserve"> </w:t>
      </w:r>
      <w:r w:rsidRPr="0057069F">
        <w:t xml:space="preserve">As a result, </w:t>
      </w:r>
      <w:proofErr w:type="spellStart"/>
      <w:r w:rsidRPr="0057069F">
        <w:t>Skillz</w:t>
      </w:r>
      <w:proofErr w:type="spellEnd"/>
      <w:r w:rsidRPr="0057069F">
        <w:t xml:space="preserve"> </w:t>
      </w:r>
      <w:r w:rsidRPr="0057069F">
        <w:t>contended</w:t>
      </w:r>
      <w:r w:rsidRPr="0057069F">
        <w:t xml:space="preserve"> it “was perfectly justified in determining that </w:t>
      </w:r>
      <w:r w:rsidRPr="0057069F">
        <w:t xml:space="preserve">that </w:t>
      </w:r>
      <w:r w:rsidRPr="0057069F">
        <w:t xml:space="preserve">was dishonest, as the plan provided.”  </w:t>
      </w:r>
    </w:p>
    <w:p w14:paraId="4ED3905C" w14:textId="77777777" w:rsidR="00E748F1" w:rsidRPr="00D1556A" w:rsidRDefault="00E748F1" w:rsidP="00085776">
      <w:pPr>
        <w:pStyle w:val="BodyText"/>
        <w:widowControl/>
        <w:spacing w:line="360" w:lineRule="auto"/>
        <w:ind w:firstLine="620"/>
      </w:pPr>
      <w:r w:rsidRPr="00D1556A">
        <w:lastRenderedPageBreak/>
        <w:t xml:space="preserve">That Shah’s purported dishonesty </w:t>
      </w:r>
      <w:r w:rsidRPr="00D1556A">
        <w:t>in connection with</w:t>
      </w:r>
      <w:r w:rsidRPr="00D1556A">
        <w:t xml:space="preserve"> the </w:t>
      </w:r>
      <w:proofErr w:type="spellStart"/>
      <w:r w:rsidRPr="00D1556A">
        <w:t>Termezy</w:t>
      </w:r>
      <w:proofErr w:type="spellEnd"/>
      <w:r w:rsidRPr="00D1556A">
        <w:t xml:space="preserve"> report was the sole basis for </w:t>
      </w:r>
      <w:proofErr w:type="spellStart"/>
      <w:r w:rsidRPr="00D1556A">
        <w:t>Skillz’s</w:t>
      </w:r>
      <w:proofErr w:type="spellEnd"/>
      <w:r w:rsidRPr="00D1556A">
        <w:t xml:space="preserve"> claim it had cause to terminate him </w:t>
      </w:r>
      <w:r w:rsidRPr="00D1556A">
        <w:t xml:space="preserve">is </w:t>
      </w:r>
      <w:r w:rsidRPr="00D1556A">
        <w:t xml:space="preserve">also </w:t>
      </w:r>
      <w:r w:rsidRPr="00D1556A">
        <w:t xml:space="preserve">consistent with the testimony of </w:t>
      </w:r>
      <w:proofErr w:type="spellStart"/>
      <w:r w:rsidRPr="00D1556A">
        <w:t>Chafkin</w:t>
      </w:r>
      <w:proofErr w:type="spellEnd"/>
      <w:r w:rsidRPr="00D1556A">
        <w:t>.  He testified</w:t>
      </w:r>
      <w:r w:rsidRPr="00D1556A">
        <w:t xml:space="preserve"> that</w:t>
      </w:r>
      <w:r w:rsidRPr="00D1556A">
        <w:t xml:space="preserve"> downloading a confidential work file</w:t>
      </w:r>
      <w:r w:rsidRPr="00D1556A">
        <w:t xml:space="preserve">, by </w:t>
      </w:r>
      <w:r w:rsidRPr="00D1556A">
        <w:t>itself</w:t>
      </w:r>
      <w:r w:rsidRPr="00D1556A">
        <w:t>,</w:t>
      </w:r>
      <w:r w:rsidRPr="00D1556A">
        <w:t xml:space="preserve"> was not grounds for termination</w:t>
      </w:r>
      <w:r w:rsidRPr="00D1556A">
        <w:t>.  Instead, he</w:t>
      </w:r>
      <w:r w:rsidRPr="00D1556A">
        <w:t xml:space="preserve"> </w:t>
      </w:r>
      <w:r w:rsidRPr="00D1556A">
        <w:t>claimed that</w:t>
      </w:r>
      <w:r w:rsidRPr="00D1556A">
        <w:t xml:space="preserve"> Shah had </w:t>
      </w:r>
      <w:r w:rsidRPr="00D1556A">
        <w:t>no</w:t>
      </w:r>
      <w:r w:rsidRPr="00D1556A">
        <w:t xml:space="preserve"> legitimate business reason for sending the report to himself given the circumstances and timing. </w:t>
      </w:r>
      <w:r w:rsidRPr="00D1556A">
        <w:t xml:space="preserve"> </w:t>
      </w:r>
    </w:p>
    <w:p w14:paraId="2555F8A8" w14:textId="77777777" w:rsidR="00E748F1" w:rsidRDefault="00E748F1" w:rsidP="00085776">
      <w:pPr>
        <w:pStyle w:val="BodyText"/>
        <w:widowControl/>
        <w:spacing w:line="360" w:lineRule="auto"/>
        <w:ind w:firstLine="620"/>
      </w:pPr>
      <w:r w:rsidRPr="000B0DBD">
        <w:t xml:space="preserve">Finally, Shah’s arguments at trial confirm that </w:t>
      </w:r>
      <w:r w:rsidRPr="000B0DBD">
        <w:t xml:space="preserve">he too understood that his alleged dishonesty in emailing the </w:t>
      </w:r>
      <w:proofErr w:type="spellStart"/>
      <w:r w:rsidRPr="000B0DBD">
        <w:t>Termezy</w:t>
      </w:r>
      <w:proofErr w:type="spellEnd"/>
      <w:r w:rsidRPr="000B0DBD">
        <w:t xml:space="preserve"> report to himself was the sole </w:t>
      </w:r>
      <w:r w:rsidRPr="000B0DBD">
        <w:t xml:space="preserve">basis for </w:t>
      </w:r>
      <w:proofErr w:type="spellStart"/>
      <w:r w:rsidRPr="000B0DBD">
        <w:t>Skillz’s</w:t>
      </w:r>
      <w:proofErr w:type="spellEnd"/>
      <w:r w:rsidRPr="000B0DBD">
        <w:t xml:space="preserve"> claim </w:t>
      </w:r>
      <w:r w:rsidRPr="000B0DBD">
        <w:t>it had cause to</w:t>
      </w:r>
      <w:r w:rsidRPr="000B0DBD">
        <w:t xml:space="preserve"> terminat</w:t>
      </w:r>
      <w:r w:rsidRPr="000B0DBD">
        <w:t>e him</w:t>
      </w:r>
      <w:r w:rsidRPr="000B0DBD">
        <w:t xml:space="preserve">.  For example, in his statement of the case, Shah wrote </w:t>
      </w:r>
      <w:r w:rsidRPr="007F5BF5">
        <w:t xml:space="preserve">that </w:t>
      </w:r>
      <w:proofErr w:type="spellStart"/>
      <w:r w:rsidRPr="007F5BF5">
        <w:t>Skillz</w:t>
      </w:r>
      <w:proofErr w:type="spellEnd"/>
      <w:r w:rsidRPr="007F5BF5">
        <w:t xml:space="preserve"> claimed that </w:t>
      </w:r>
      <w:r>
        <w:t>it</w:t>
      </w:r>
      <w:r w:rsidRPr="007F5BF5">
        <w:t xml:space="preserve"> had </w:t>
      </w:r>
      <w:proofErr w:type="gramStart"/>
      <w:r w:rsidRPr="007F5BF5">
        <w:t>“ </w:t>
      </w:r>
      <w:proofErr w:type="spellStart"/>
      <w:r w:rsidRPr="007F5BF5">
        <w:t>‘</w:t>
      </w:r>
      <w:proofErr w:type="gramEnd"/>
      <w:r w:rsidRPr="007F5BF5">
        <w:t>cause</w:t>
      </w:r>
      <w:proofErr w:type="spellEnd"/>
      <w:r w:rsidRPr="007F5BF5">
        <w:t>’</w:t>
      </w:r>
      <w:r>
        <w:t> </w:t>
      </w:r>
      <w:r w:rsidRPr="007F5BF5">
        <w:t>”</w:t>
      </w:r>
      <w:r w:rsidRPr="007F5BF5">
        <w:t xml:space="preserve"> to terminate </w:t>
      </w:r>
      <w:r>
        <w:t>him</w:t>
      </w:r>
      <w:r w:rsidRPr="007F5BF5">
        <w:t xml:space="preserve"> </w:t>
      </w:r>
      <w:r w:rsidRPr="007F5BF5">
        <w:t xml:space="preserve">because </w:t>
      </w:r>
      <w:r>
        <w:t>he</w:t>
      </w:r>
      <w:r w:rsidRPr="007F5BF5">
        <w:t xml:space="preserve"> </w:t>
      </w:r>
      <w:r w:rsidRPr="007F5BF5">
        <w:t>had allegedly stolen a single email which they identified as confidential information.  He</w:t>
      </w:r>
      <w:r w:rsidRPr="000B0DBD">
        <w:t xml:space="preserve"> made similar representations in his opening statement.  And in his closing argument, Shah explained that whether </w:t>
      </w:r>
      <w:proofErr w:type="spellStart"/>
      <w:r w:rsidRPr="000B0DBD">
        <w:t>Skillz</w:t>
      </w:r>
      <w:proofErr w:type="spellEnd"/>
      <w:r w:rsidRPr="000B0DBD">
        <w:t xml:space="preserve"> breached any cont</w:t>
      </w:r>
      <w:r w:rsidRPr="000B0DBD">
        <w:t xml:space="preserve">racts came down to one “primary” question:  </w:t>
      </w:r>
      <w:r w:rsidRPr="000B0DBD">
        <w:t>D</w:t>
      </w:r>
      <w:r w:rsidRPr="000B0DBD">
        <w:t xml:space="preserve">id Shah “by sending the </w:t>
      </w:r>
      <w:proofErr w:type="spellStart"/>
      <w:r w:rsidRPr="000B0DBD">
        <w:t>Termezy</w:t>
      </w:r>
      <w:proofErr w:type="spellEnd"/>
      <w:r w:rsidRPr="000B0DBD">
        <w:t xml:space="preserve"> report to his personal e-mail account commit theft?” </w:t>
      </w:r>
    </w:p>
    <w:p w14:paraId="6E3119B3" w14:textId="77777777" w:rsidR="00E748F1" w:rsidRDefault="00E748F1" w:rsidP="00085776">
      <w:pPr>
        <w:pStyle w:val="BodyText"/>
        <w:widowControl/>
        <w:spacing w:line="360" w:lineRule="auto"/>
        <w:ind w:firstLine="620"/>
      </w:pPr>
      <w:r w:rsidRPr="009B405B">
        <w:t xml:space="preserve">Because </w:t>
      </w:r>
      <w:proofErr w:type="spellStart"/>
      <w:r w:rsidRPr="009B405B">
        <w:t>Skillz</w:t>
      </w:r>
      <w:proofErr w:type="spellEnd"/>
      <w:r w:rsidRPr="009B405B">
        <w:t xml:space="preserve"> only asked the jury to find</w:t>
      </w:r>
      <w:r>
        <w:t xml:space="preserve"> </w:t>
      </w:r>
      <w:r>
        <w:t xml:space="preserve">unclean hands </w:t>
      </w:r>
      <w:r>
        <w:rPr>
          <w:i/>
          <w:iCs/>
        </w:rPr>
        <w:t xml:space="preserve">and </w:t>
      </w:r>
      <w:r>
        <w:t xml:space="preserve">cause to terminate Shah based on his </w:t>
      </w:r>
      <w:r>
        <w:t xml:space="preserve">alleged </w:t>
      </w:r>
      <w:r>
        <w:t>dishonest</w:t>
      </w:r>
      <w:r>
        <w:t>y</w:t>
      </w:r>
      <w:r>
        <w:t xml:space="preserve"> in taking </w:t>
      </w:r>
      <w:r>
        <w:t xml:space="preserve">the </w:t>
      </w:r>
      <w:proofErr w:type="spellStart"/>
      <w:r>
        <w:t>Termezy</w:t>
      </w:r>
      <w:proofErr w:type="spellEnd"/>
      <w:r>
        <w:t xml:space="preserve"> report for illegitimate purposes, </w:t>
      </w:r>
      <w:r>
        <w:t xml:space="preserve">the jury’s </w:t>
      </w:r>
      <w:r>
        <w:t>finding that Shah did not engage in</w:t>
      </w:r>
      <w:r>
        <w:t xml:space="preserve"> </w:t>
      </w:r>
      <w:r>
        <w:t>unclean hands</w:t>
      </w:r>
      <w:r>
        <w:t xml:space="preserve"> </w:t>
      </w:r>
      <w:r>
        <w:t xml:space="preserve">means that </w:t>
      </w:r>
      <w:r>
        <w:t>the jury</w:t>
      </w:r>
      <w:r>
        <w:t xml:space="preserve"> necessarily found that </w:t>
      </w:r>
      <w:proofErr w:type="spellStart"/>
      <w:r>
        <w:t>Skillz</w:t>
      </w:r>
      <w:proofErr w:type="spellEnd"/>
      <w:r>
        <w:t xml:space="preserve"> lacked cause to terminate him</w:t>
      </w:r>
      <w:r>
        <w:t>.</w:t>
      </w:r>
      <w:r>
        <w:t xml:space="preserve">  Any ambiguity </w:t>
      </w:r>
      <w:r>
        <w:t>caused by the “pretext” language in the instructions or verdict forms therefore was not prejudicial.</w:t>
      </w:r>
      <w:r>
        <w:rPr>
          <w:rStyle w:val="FootnoteReference"/>
        </w:rPr>
        <w:footnoteReference w:id="17"/>
      </w:r>
      <w:r>
        <w:t xml:space="preserve"> </w:t>
      </w:r>
    </w:p>
    <w:p w14:paraId="6CB3CB9B" w14:textId="77777777" w:rsidR="00E748F1" w:rsidRPr="00BD4AFE" w:rsidRDefault="00E748F1" w:rsidP="00A75EF8">
      <w:pPr>
        <w:pStyle w:val="BodyText"/>
        <w:keepNext/>
        <w:keepLines/>
        <w:widowControl/>
        <w:numPr>
          <w:ilvl w:val="0"/>
          <w:numId w:val="7"/>
        </w:numPr>
        <w:spacing w:line="360" w:lineRule="auto"/>
        <w:rPr>
          <w:u w:val="single"/>
        </w:rPr>
      </w:pPr>
      <w:r w:rsidRPr="00BD4AFE">
        <w:rPr>
          <w:u w:val="single"/>
        </w:rPr>
        <w:lastRenderedPageBreak/>
        <w:t>Shah’s Procedural Challenge to the New Trial Orders</w:t>
      </w:r>
    </w:p>
    <w:p w14:paraId="4896E295" w14:textId="77777777" w:rsidR="00E748F1" w:rsidRDefault="00E748F1" w:rsidP="00A75EF8">
      <w:pPr>
        <w:pStyle w:val="BodyText"/>
        <w:keepNext/>
        <w:keepLines/>
        <w:widowControl/>
        <w:spacing w:line="360" w:lineRule="auto"/>
        <w:ind w:firstLine="620"/>
      </w:pPr>
      <w:r>
        <w:t xml:space="preserve">Before we address </w:t>
      </w:r>
      <w:r>
        <w:t xml:space="preserve">the </w:t>
      </w:r>
      <w:r>
        <w:t>parties’</w:t>
      </w:r>
      <w:r>
        <w:t xml:space="preserve"> </w:t>
      </w:r>
      <w:r>
        <w:t xml:space="preserve">substantive </w:t>
      </w:r>
      <w:r>
        <w:t>challenges to the damage award, w</w:t>
      </w:r>
      <w:r>
        <w:t xml:space="preserve">e </w:t>
      </w:r>
      <w:r>
        <w:t>consider</w:t>
      </w:r>
      <w:r>
        <w:t xml:space="preserve"> </w:t>
      </w:r>
      <w:r>
        <w:t xml:space="preserve">Shah’s </w:t>
      </w:r>
      <w:r>
        <w:t xml:space="preserve">procedural </w:t>
      </w:r>
      <w:r>
        <w:t>challenge</w:t>
      </w:r>
      <w:r>
        <w:t>s</w:t>
      </w:r>
      <w:r>
        <w:t xml:space="preserve"> to</w:t>
      </w:r>
      <w:r>
        <w:t xml:space="preserve"> the new trial</w:t>
      </w:r>
      <w:r>
        <w:t xml:space="preserve"> orders</w:t>
      </w:r>
      <w:r>
        <w:t xml:space="preserve"> and remittitur</w:t>
      </w:r>
      <w:r>
        <w:t xml:space="preserve">.  </w:t>
      </w:r>
      <w:r>
        <w:t>On April 25, 2022</w:t>
      </w:r>
      <w:r>
        <w:t>—</w:t>
      </w:r>
      <w:r>
        <w:t xml:space="preserve">the last day it could rule on </w:t>
      </w:r>
      <w:proofErr w:type="spellStart"/>
      <w:r>
        <w:t>Skillz’s</w:t>
      </w:r>
      <w:proofErr w:type="spellEnd"/>
      <w:r>
        <w:t xml:space="preserve"> motion for new trial </w:t>
      </w:r>
      <w:r>
        <w:t>under Code of Civil Procedure section 660</w:t>
      </w:r>
      <w:r>
        <w:rPr>
          <w:rStyle w:val="FootnoteReference"/>
        </w:rPr>
        <w:footnoteReference w:id="18"/>
      </w:r>
      <w:r>
        <w:t>—</w:t>
      </w:r>
      <w:r>
        <w:t xml:space="preserve">the trial court denied </w:t>
      </w:r>
      <w:proofErr w:type="spellStart"/>
      <w:r>
        <w:t>Skillz’s</w:t>
      </w:r>
      <w:proofErr w:type="spellEnd"/>
      <w:r>
        <w:t xml:space="preserve"> motion for a new trial conditioned on Shah’s acceptance of a remittitur for $6,694,000, the alternative </w:t>
      </w:r>
      <w:proofErr w:type="gramStart"/>
      <w:r>
        <w:t>amount</w:t>
      </w:r>
      <w:proofErr w:type="gramEnd"/>
      <w:r>
        <w:t xml:space="preserve"> of damages calculated by </w:t>
      </w:r>
      <w:proofErr w:type="spellStart"/>
      <w:r>
        <w:t>Skillz’s</w:t>
      </w:r>
      <w:proofErr w:type="spellEnd"/>
      <w:r>
        <w:t xml:space="preserve"> expert based on all of Shah’s stock options, including the Performance Grant.  The amount of the remittitur, however, was erroneous because the court’s order </w:t>
      </w:r>
      <w:r>
        <w:t xml:space="preserve">also </w:t>
      </w:r>
      <w:r>
        <w:t xml:space="preserve">stated it was “not including the damages for the breach of the Performance Contract which </w:t>
      </w:r>
      <w:proofErr w:type="spellStart"/>
      <w:r>
        <w:t>Skillz</w:t>
      </w:r>
      <w:proofErr w:type="spellEnd"/>
      <w:r>
        <w:t xml:space="preserve"> argues was not properly pled.”  </w:t>
      </w:r>
      <w:proofErr w:type="spellStart"/>
      <w:r>
        <w:t>Skillz</w:t>
      </w:r>
      <w:proofErr w:type="spellEnd"/>
      <w:r>
        <w:t xml:space="preserve"> promptly brought this error to the </w:t>
      </w:r>
      <w:r>
        <w:t xml:space="preserve">court’s attention, and the court issued an amended order the next day which corrected the remittitur to $4,358,358.  The amended order made no other substantive changes.  </w:t>
      </w:r>
      <w:r>
        <w:t xml:space="preserve">Shah contends </w:t>
      </w:r>
      <w:r>
        <w:t>both new trial</w:t>
      </w:r>
      <w:r>
        <w:t xml:space="preserve"> orders are invalid because </w:t>
      </w:r>
      <w:r>
        <w:t>they</w:t>
      </w:r>
      <w:r>
        <w:t xml:space="preserve"> lack </w:t>
      </w:r>
      <w:r>
        <w:t>the required</w:t>
      </w:r>
      <w:r>
        <w:t xml:space="preserve"> statement of grounds and specification of reasons</w:t>
      </w:r>
      <w:r>
        <w:t>.  This contention lacks merit.</w:t>
      </w:r>
    </w:p>
    <w:p w14:paraId="5F7F4FE9" w14:textId="77777777" w:rsidR="00E748F1" w:rsidRDefault="00E748F1" w:rsidP="00085776">
      <w:pPr>
        <w:pStyle w:val="BodyText"/>
        <w:widowControl/>
        <w:spacing w:line="360" w:lineRule="auto"/>
        <w:ind w:firstLine="620"/>
      </w:pPr>
      <w:r>
        <w:t xml:space="preserve">Under section 657, the trial court must “specify the ground or grounds upon which [a new trial] is granted and the court’s reason or reasons for granting the new trial upon each ground stated.”  </w:t>
      </w:r>
      <w:r>
        <w:t xml:space="preserve">Notwithstanding Shah’s assertions to the contrary, we find that </w:t>
      </w:r>
      <w:r>
        <w:t>both</w:t>
      </w:r>
      <w:r>
        <w:t xml:space="preserve"> new</w:t>
      </w:r>
      <w:r>
        <w:t xml:space="preserve"> </w:t>
      </w:r>
      <w:r>
        <w:t>trial orders adequately specified the grounds and reasons for the</w:t>
      </w:r>
      <w:r>
        <w:t>ir respective</w:t>
      </w:r>
      <w:r>
        <w:t xml:space="preserve"> remittitur</w:t>
      </w:r>
      <w:r>
        <w:t>s</w:t>
      </w:r>
      <w:r>
        <w:t xml:space="preserve">.  </w:t>
      </w:r>
    </w:p>
    <w:p w14:paraId="3229790F" w14:textId="77777777" w:rsidR="00E748F1" w:rsidRDefault="00E748F1" w:rsidP="00085776">
      <w:pPr>
        <w:pStyle w:val="BodyText"/>
        <w:widowControl/>
        <w:spacing w:line="360" w:lineRule="auto"/>
        <w:ind w:firstLine="620"/>
      </w:pPr>
      <w:r>
        <w:t xml:space="preserve">The parties agree that the only applicable </w:t>
      </w:r>
      <w:r>
        <w:t xml:space="preserve">statutory </w:t>
      </w:r>
      <w:r>
        <w:t xml:space="preserve">ground for the trial court’s remittitur was “excessive damages.” </w:t>
      </w:r>
      <w:r>
        <w:t xml:space="preserve"> </w:t>
      </w:r>
      <w:r>
        <w:t xml:space="preserve">(See § 657, subd. (5).) </w:t>
      </w:r>
      <w:r>
        <w:t xml:space="preserve"> Shah, however, contends the new trial orders are invalid because they do not </w:t>
      </w:r>
      <w:r>
        <w:lastRenderedPageBreak/>
        <w:t xml:space="preserve">explicitly state “excessive damages” as the ground for relief.  </w:t>
      </w:r>
      <w:r>
        <w:t>But i</w:t>
      </w:r>
      <w:r>
        <w:t>nclusion of that statutory language “is not invariably required; the ground for a new trial is adequately specified if the intention of the court is clear.”  (</w:t>
      </w:r>
      <w:r>
        <w:rPr>
          <w:i/>
          <w:iCs/>
        </w:rPr>
        <w:t>Jones v. Citrus Motors Ontario, Inc.</w:t>
      </w:r>
      <w:r>
        <w:t xml:space="preserve"> (1973) 8 Cal.3d 706, 709</w:t>
      </w:r>
      <w:r>
        <w:t>–</w:t>
      </w:r>
      <w:r>
        <w:t xml:space="preserve">710.) </w:t>
      </w:r>
      <w:r>
        <w:t xml:space="preserve"> </w:t>
      </w:r>
      <w:r>
        <w:t>And</w:t>
      </w:r>
      <w:r>
        <w:t xml:space="preserve"> the court’s intent</w:t>
      </w:r>
      <w:r>
        <w:t>ion</w:t>
      </w:r>
      <w:r>
        <w:t xml:space="preserve"> </w:t>
      </w:r>
      <w:r>
        <w:t xml:space="preserve">here </w:t>
      </w:r>
      <w:r>
        <w:t>was clear</w:t>
      </w:r>
      <w:r>
        <w:t xml:space="preserve"> from </w:t>
      </w:r>
      <w:r>
        <w:t>its</w:t>
      </w:r>
      <w:r>
        <w:t xml:space="preserve"> orders</w:t>
      </w:r>
      <w:r>
        <w:t xml:space="preserve">:  it was issuing a remittitur based on excessive damages.  First, the court </w:t>
      </w:r>
      <w:r>
        <w:t>expr</w:t>
      </w:r>
      <w:r>
        <w:t xml:space="preserve">essly </w:t>
      </w:r>
      <w:r>
        <w:t xml:space="preserve">stated that it would consider granting a new trial “as to damages </w:t>
      </w:r>
      <w:r w:rsidRPr="007A0C20">
        <w:rPr>
          <w:i/>
          <w:iCs/>
        </w:rPr>
        <w:t>only</w:t>
      </w:r>
      <w:r>
        <w:t xml:space="preserve">.” </w:t>
      </w:r>
      <w:r>
        <w:t xml:space="preserve"> </w:t>
      </w:r>
      <w:r>
        <w:t xml:space="preserve">(Italics added.)  It then reduced the jury’s award from $11.5 million to </w:t>
      </w:r>
      <w:r>
        <w:t xml:space="preserve">$6.7 or </w:t>
      </w:r>
      <w:r>
        <w:t xml:space="preserve">$4.4 million.  Second, the court referenced Shah’s acceptance of the remittitur pursuant to section 662.5, subdivision (a)(2), which solely governs orders granting a new trial based on excessive damages.  Thus, </w:t>
      </w:r>
      <w:proofErr w:type="gramStart"/>
      <w:r>
        <w:t>it is clear that the</w:t>
      </w:r>
      <w:proofErr w:type="gramEnd"/>
      <w:r>
        <w:t xml:space="preserve"> court, notwithstanding its failure to use the words “excessive damages,” intended to conditionally grant a new trial on</w:t>
      </w:r>
      <w:r>
        <w:t xml:space="preserve"> that ground.  </w:t>
      </w:r>
    </w:p>
    <w:p w14:paraId="7C15FF00" w14:textId="77777777" w:rsidR="00E748F1" w:rsidRPr="003836EA" w:rsidRDefault="00E748F1" w:rsidP="00085776">
      <w:pPr>
        <w:pStyle w:val="BodyText"/>
        <w:widowControl/>
        <w:spacing w:line="360" w:lineRule="auto"/>
        <w:ind w:firstLine="620"/>
      </w:pPr>
      <w:r>
        <w:t>T</w:t>
      </w:r>
      <w:r>
        <w:t xml:space="preserve">he new trial orders also adequately stated the reasons why the </w:t>
      </w:r>
      <w:r>
        <w:t xml:space="preserve">trial </w:t>
      </w:r>
      <w:r>
        <w:t xml:space="preserve">court found the jury’s award of $11.5 million </w:t>
      </w:r>
      <w:r>
        <w:t xml:space="preserve">to be </w:t>
      </w:r>
      <w:r>
        <w:t xml:space="preserve">excessive.  The statement of reasons </w:t>
      </w:r>
      <w:r>
        <w:t xml:space="preserve">in a new trial order </w:t>
      </w:r>
      <w:r>
        <w:t>“should be specific enough to facilitate appellate review and avoid any need for the appellate court to rely on inference or speculation.”  (</w:t>
      </w:r>
      <w:r>
        <w:rPr>
          <w:i/>
          <w:iCs/>
        </w:rPr>
        <w:t xml:space="preserve">Oakland Raiders v. National Football </w:t>
      </w:r>
      <w:r w:rsidRPr="00B76B88">
        <w:t>League</w:t>
      </w:r>
      <w:r>
        <w:t xml:space="preserve"> (2007) 41 Cal.4</w:t>
      </w:r>
      <w:r w:rsidRPr="00061891">
        <w:t>th</w:t>
      </w:r>
      <w:r>
        <w:t xml:space="preserve"> 624, 634.)  </w:t>
      </w:r>
      <w:r w:rsidRPr="008125CB">
        <w:t xml:space="preserve">However, </w:t>
      </w:r>
      <w:r w:rsidRPr="008125CB">
        <w:t xml:space="preserve">the judge need only </w:t>
      </w:r>
      <w:r w:rsidRPr="008125CB">
        <w:t>“</w:t>
      </w:r>
      <w:proofErr w:type="gramStart"/>
      <w:r w:rsidRPr="008125CB">
        <w:t>furnish</w:t>
      </w:r>
      <w:r w:rsidRPr="008125CB">
        <w:t>[</w:t>
      </w:r>
      <w:proofErr w:type="gramEnd"/>
      <w:r w:rsidRPr="008125CB">
        <w:t>]</w:t>
      </w:r>
      <w:r w:rsidRPr="008125CB">
        <w:t xml:space="preserve"> a concise but clear statement of the reasons why he finds one or more of the g</w:t>
      </w:r>
      <w:r w:rsidRPr="008125CB">
        <w:t xml:space="preserve">rounds </w:t>
      </w:r>
      <w:r w:rsidRPr="008125CB">
        <w:t>of the motion to be applicable . . .</w:t>
      </w:r>
      <w:r w:rsidRPr="008125CB">
        <w:t xml:space="preserve"> .</w:t>
      </w:r>
      <w:r w:rsidRPr="008125CB">
        <w:t xml:space="preserve"> </w:t>
      </w:r>
      <w:r w:rsidRPr="008125CB">
        <w:t xml:space="preserve"> </w:t>
      </w:r>
      <w:r w:rsidRPr="008125CB">
        <w:t>No hard and fast rule can be laid down as to the content of such a specification, and it will necessarily vary according to the facts and circumstances of each case.”  (</w:t>
      </w:r>
      <w:r w:rsidRPr="008125CB">
        <w:rPr>
          <w:i/>
          <w:iCs/>
        </w:rPr>
        <w:t>Mercer v. Perez</w:t>
      </w:r>
      <w:r w:rsidRPr="008125CB">
        <w:t xml:space="preserve"> (1968)</w:t>
      </w:r>
      <w:r w:rsidRPr="008125CB">
        <w:t xml:space="preserve"> 68 Cal.2d 104, 115.)</w:t>
      </w:r>
    </w:p>
    <w:p w14:paraId="72E498EF" w14:textId="77777777" w:rsidR="00E748F1" w:rsidRPr="00A1523D" w:rsidRDefault="00E748F1" w:rsidP="00085776">
      <w:pPr>
        <w:pStyle w:val="BodyText"/>
        <w:widowControl/>
        <w:spacing w:line="360" w:lineRule="auto"/>
        <w:ind w:firstLine="620"/>
      </w:pPr>
      <w:r>
        <w:t xml:space="preserve">Here, the </w:t>
      </w:r>
      <w:r>
        <w:t xml:space="preserve">trial </w:t>
      </w:r>
      <w:r w:rsidRPr="0015352A">
        <w:t xml:space="preserve">court </w:t>
      </w:r>
      <w:r>
        <w:t>explained that</w:t>
      </w:r>
      <w:r w:rsidRPr="0015352A">
        <w:t xml:space="preserve"> the “</w:t>
      </w:r>
      <w:r>
        <w:t xml:space="preserve">appropriate </w:t>
      </w:r>
      <w:r w:rsidRPr="0015352A">
        <w:t>date to value the loss of stock options</w:t>
      </w:r>
      <w:r>
        <w:t xml:space="preserve"> remains an unsettled area of law</w:t>
      </w:r>
      <w:r w:rsidRPr="0015352A">
        <w:t xml:space="preserve">” </w:t>
      </w:r>
      <w:r>
        <w:t>that was “complex” and “might have been confusing to the jury.”</w:t>
      </w:r>
      <w:r w:rsidRPr="0015352A">
        <w:t xml:space="preserve"> </w:t>
      </w:r>
      <w:r>
        <w:t xml:space="preserve"> It then conceded that</w:t>
      </w:r>
      <w:r w:rsidRPr="0015352A">
        <w:t xml:space="preserve"> “more </w:t>
      </w:r>
      <w:r w:rsidRPr="0015352A">
        <w:lastRenderedPageBreak/>
        <w:t>instruction on the valuation of the stock options was probably necessary”</w:t>
      </w:r>
      <w:r>
        <w:t xml:space="preserve"> and, for this reason, granted a new trial “as to damages only.”</w:t>
      </w:r>
      <w:r w:rsidRPr="0015352A">
        <w:t xml:space="preserve"> </w:t>
      </w:r>
      <w:r>
        <w:t xml:space="preserve"> </w:t>
      </w:r>
      <w:r>
        <w:t>More specifically</w:t>
      </w:r>
      <w:r>
        <w:t xml:space="preserve">, the court found that “the appropriate measure of damages” came from </w:t>
      </w:r>
      <w:proofErr w:type="spellStart"/>
      <w:r>
        <w:t>Skillz’s</w:t>
      </w:r>
      <w:proofErr w:type="spellEnd"/>
      <w:r>
        <w:t xml:space="preserve"> expert, rather than Shah’s expert</w:t>
      </w:r>
      <w:r>
        <w:t xml:space="preserve"> as determined by the jury</w:t>
      </w:r>
      <w:r>
        <w:t>.  Alth</w:t>
      </w:r>
      <w:r>
        <w:t xml:space="preserve">ough both experts calculated damages based on the value of </w:t>
      </w:r>
      <w:proofErr w:type="spellStart"/>
      <w:r>
        <w:t>Skillz</w:t>
      </w:r>
      <w:proofErr w:type="spellEnd"/>
      <w:r>
        <w:t xml:space="preserve"> stock after the IPO, </w:t>
      </w:r>
      <w:proofErr w:type="spellStart"/>
      <w:r>
        <w:t>Skillz’s</w:t>
      </w:r>
      <w:proofErr w:type="spellEnd"/>
      <w:r>
        <w:t xml:space="preserve"> expert used the average value of the stock over roughly 90 days after the lock-up period ended.  By contrast, Shah’s expert used the value of </w:t>
      </w:r>
      <w:proofErr w:type="spellStart"/>
      <w:r>
        <w:t>Skillz</w:t>
      </w:r>
      <w:proofErr w:type="spellEnd"/>
      <w:r>
        <w:t xml:space="preserve"> stock at the early release date and its average value during the two weeks after the lock-up period</w:t>
      </w:r>
      <w:r>
        <w:t xml:space="preserve"> ended</w:t>
      </w:r>
      <w:r w:rsidRPr="00F66FA7">
        <w:t xml:space="preserve">.  </w:t>
      </w:r>
      <w:proofErr w:type="gramStart"/>
      <w:r w:rsidRPr="00F66FA7">
        <w:t>In light of</w:t>
      </w:r>
      <w:proofErr w:type="gramEnd"/>
      <w:r w:rsidRPr="00F66FA7">
        <w:t xml:space="preserve"> this clear testimony from the experts highlighting the differences in methodology they used to calculate damages, the court’s order furnished a suf</w:t>
      </w:r>
      <w:r w:rsidRPr="00F66FA7">
        <w:t xml:space="preserve">ficiently clear explanation for its rejection of the jury’s verdict as excessive.  </w:t>
      </w:r>
      <w:r w:rsidRPr="00F66FA7">
        <w:t>It also provided</w:t>
      </w:r>
      <w:r>
        <w:t xml:space="preserve"> a clear and concise reason for excluding </w:t>
      </w:r>
      <w:r>
        <w:t xml:space="preserve">any damages </w:t>
      </w:r>
      <w:r>
        <w:t xml:space="preserve">suffered </w:t>
      </w:r>
      <w:r>
        <w:t xml:space="preserve">by Shah for the loss of stock options awarded </w:t>
      </w:r>
      <w:r>
        <w:t>under</w:t>
      </w:r>
      <w:r>
        <w:t xml:space="preserve"> the Performance Grant</w:t>
      </w:r>
      <w:r>
        <w:t xml:space="preserve">: </w:t>
      </w:r>
      <w:r>
        <w:t xml:space="preserve"> </w:t>
      </w:r>
      <w:r>
        <w:t xml:space="preserve">those damages </w:t>
      </w:r>
      <w:r>
        <w:t xml:space="preserve">were “not properly pled.”  </w:t>
      </w:r>
      <w:r>
        <w:t>T</w:t>
      </w:r>
      <w:r>
        <w:t>hus, t</w:t>
      </w:r>
      <w:r>
        <w:t>he</w:t>
      </w:r>
      <w:r>
        <w:t xml:space="preserve"> court’s order is</w:t>
      </w:r>
      <w:r>
        <w:t xml:space="preserve"> </w:t>
      </w:r>
      <w:r>
        <w:t xml:space="preserve">specific </w:t>
      </w:r>
      <w:r>
        <w:t xml:space="preserve">enough </w:t>
      </w:r>
      <w:r>
        <w:t>for</w:t>
      </w:r>
      <w:r>
        <w:t xml:space="preserve"> appellate review and </w:t>
      </w:r>
      <w:r>
        <w:t xml:space="preserve">satisfies </w:t>
      </w:r>
      <w:r>
        <w:t>the</w:t>
      </w:r>
      <w:r>
        <w:t xml:space="preserve"> r</w:t>
      </w:r>
      <w:r>
        <w:t>equire</w:t>
      </w:r>
      <w:r>
        <w:t xml:space="preserve">ments </w:t>
      </w:r>
      <w:r>
        <w:t>of</w:t>
      </w:r>
      <w:r>
        <w:t xml:space="preserve"> section 657. </w:t>
      </w:r>
      <w:r>
        <w:t xml:space="preserve"> </w:t>
      </w:r>
    </w:p>
    <w:p w14:paraId="46CC056E" w14:textId="77777777" w:rsidR="00E748F1" w:rsidRPr="00BD4AFE" w:rsidRDefault="00E748F1" w:rsidP="00C95363">
      <w:pPr>
        <w:pStyle w:val="BodyText"/>
        <w:widowControl/>
        <w:numPr>
          <w:ilvl w:val="0"/>
          <w:numId w:val="7"/>
        </w:numPr>
        <w:spacing w:line="360" w:lineRule="auto"/>
        <w:rPr>
          <w:u w:val="single"/>
        </w:rPr>
      </w:pPr>
      <w:r w:rsidRPr="00BD4AFE">
        <w:rPr>
          <w:u w:val="single"/>
        </w:rPr>
        <w:t>The Appropriate Measure of Damages</w:t>
      </w:r>
    </w:p>
    <w:p w14:paraId="1BF92980" w14:textId="77777777" w:rsidR="00E748F1" w:rsidRPr="00AF059C" w:rsidRDefault="00E748F1" w:rsidP="00085776">
      <w:pPr>
        <w:pStyle w:val="BodyText"/>
        <w:widowControl/>
        <w:spacing w:line="360" w:lineRule="auto"/>
        <w:ind w:left="0" w:firstLine="620"/>
      </w:pPr>
      <w:r w:rsidRPr="002E46F6">
        <w:t xml:space="preserve">We now turn to the parties’ challenges to the </w:t>
      </w:r>
      <w:r w:rsidRPr="002E46F6">
        <w:t>measure of damages</w:t>
      </w:r>
      <w:r w:rsidRPr="002E46F6">
        <w:t xml:space="preserve"> used by the trial court to </w:t>
      </w:r>
      <w:r w:rsidRPr="002E46F6">
        <w:t>determine</w:t>
      </w:r>
      <w:r w:rsidRPr="002E46F6">
        <w:t xml:space="preserve"> the remittitur.</w:t>
      </w:r>
      <w:r w:rsidRPr="002E46F6">
        <w:t xml:space="preserve">  </w:t>
      </w:r>
      <w:r w:rsidRPr="002E46F6">
        <w:t xml:space="preserve">At trial, the court left “the appropriate date or approximate time period to value the stock options” for the jury to determine.  But in </w:t>
      </w:r>
      <w:r w:rsidRPr="002E46F6">
        <w:t xml:space="preserve">deciding </w:t>
      </w:r>
      <w:proofErr w:type="spellStart"/>
      <w:r w:rsidRPr="002E46F6">
        <w:t>Skillz’s</w:t>
      </w:r>
      <w:proofErr w:type="spellEnd"/>
      <w:r w:rsidRPr="002E46F6">
        <w:t xml:space="preserve"> new trial motion</w:t>
      </w:r>
      <w:r w:rsidRPr="002E46F6">
        <w:t xml:space="preserve">, the court </w:t>
      </w:r>
      <w:r w:rsidRPr="002E46F6">
        <w:t>acknowledg</w:t>
      </w:r>
      <w:r w:rsidRPr="002E46F6">
        <w:t xml:space="preserve">ed that it may not have provided sufficient instruction to the jury on the </w:t>
      </w:r>
      <w:r w:rsidRPr="002E46F6">
        <w:t xml:space="preserve">appropriate </w:t>
      </w:r>
      <w:r w:rsidRPr="002E46F6">
        <w:t xml:space="preserve">measure of damages. </w:t>
      </w:r>
      <w:r w:rsidRPr="002E46F6">
        <w:t xml:space="preserve"> </w:t>
      </w:r>
      <w:r w:rsidRPr="002E46F6">
        <w:t>As a result, the court</w:t>
      </w:r>
      <w:r w:rsidRPr="002E46F6">
        <w:t xml:space="preserve"> issued a remittitur </w:t>
      </w:r>
      <w:r w:rsidRPr="002E46F6">
        <w:t>that adopted</w:t>
      </w:r>
      <w:r w:rsidRPr="002E46F6">
        <w:t xml:space="preserve"> the alternative calculation </w:t>
      </w:r>
      <w:r w:rsidRPr="002E46F6">
        <w:t>of Shah’s damages</w:t>
      </w:r>
      <w:r w:rsidRPr="002E46F6">
        <w:t xml:space="preserve"> </w:t>
      </w:r>
      <w:r w:rsidRPr="002E46F6">
        <w:t>proffered</w:t>
      </w:r>
      <w:r w:rsidRPr="002E46F6">
        <w:t xml:space="preserve"> by </w:t>
      </w:r>
      <w:proofErr w:type="spellStart"/>
      <w:r w:rsidRPr="002E46F6">
        <w:t>Skillz’s</w:t>
      </w:r>
      <w:proofErr w:type="spellEnd"/>
      <w:r w:rsidRPr="002E46F6">
        <w:t xml:space="preserve"> expert. </w:t>
      </w:r>
      <w:r w:rsidRPr="002E46F6">
        <w:t xml:space="preserve"> </w:t>
      </w:r>
      <w:r w:rsidRPr="002E46F6">
        <w:t xml:space="preserve">For </w:t>
      </w:r>
      <w:r w:rsidRPr="002E46F6">
        <w:t>that</w:t>
      </w:r>
      <w:r w:rsidRPr="002E46F6">
        <w:t xml:space="preserve"> calculation, </w:t>
      </w:r>
      <w:proofErr w:type="spellStart"/>
      <w:r w:rsidRPr="002E46F6">
        <w:t>Skillz’s</w:t>
      </w:r>
      <w:proofErr w:type="spellEnd"/>
      <w:r w:rsidRPr="002E46F6">
        <w:t xml:space="preserve"> expert </w:t>
      </w:r>
      <w:r w:rsidRPr="002E46F6">
        <w:t>assumed that Shah’s lost stock options s</w:t>
      </w:r>
      <w:r w:rsidRPr="002E46F6">
        <w:t xml:space="preserve">hould be valued </w:t>
      </w:r>
      <w:r w:rsidRPr="002E46F6">
        <w:t>after</w:t>
      </w:r>
      <w:r w:rsidRPr="002E46F6">
        <w:t xml:space="preserve"> the lock</w:t>
      </w:r>
      <w:r w:rsidRPr="002E46F6">
        <w:t>-</w:t>
      </w:r>
      <w:r w:rsidRPr="002E46F6">
        <w:t xml:space="preserve">up period ended, rather than </w:t>
      </w:r>
      <w:r w:rsidRPr="002E46F6">
        <w:t xml:space="preserve">as of </w:t>
      </w:r>
      <w:r w:rsidRPr="002E46F6">
        <w:t xml:space="preserve">the date of breach.  </w:t>
      </w:r>
      <w:proofErr w:type="spellStart"/>
      <w:r w:rsidRPr="00AF059C">
        <w:t>Skillz’s</w:t>
      </w:r>
      <w:proofErr w:type="spellEnd"/>
      <w:r w:rsidRPr="00AF059C">
        <w:t xml:space="preserve"> expert then used the </w:t>
      </w:r>
      <w:r w:rsidRPr="00AF059C">
        <w:lastRenderedPageBreak/>
        <w:t xml:space="preserve">average price of </w:t>
      </w:r>
      <w:proofErr w:type="spellStart"/>
      <w:r w:rsidRPr="00AF059C">
        <w:t>Skillz</w:t>
      </w:r>
      <w:proofErr w:type="spellEnd"/>
      <w:r w:rsidRPr="00AF059C">
        <w:t xml:space="preserve"> stock from June 14, 20</w:t>
      </w:r>
      <w:r w:rsidRPr="00AF059C">
        <w:t>21</w:t>
      </w:r>
      <w:r w:rsidRPr="00AF059C">
        <w:t xml:space="preserve"> (</w:t>
      </w:r>
      <w:r w:rsidRPr="00AF059C">
        <w:t>the date the lock</w:t>
      </w:r>
      <w:r w:rsidRPr="00AF059C">
        <w:t>-</w:t>
      </w:r>
      <w:r w:rsidRPr="00AF059C">
        <w:t>up period ended</w:t>
      </w:r>
      <w:r w:rsidRPr="00AF059C">
        <w:t xml:space="preserve">) </w:t>
      </w:r>
      <w:r w:rsidRPr="00AF059C">
        <w:t>to</w:t>
      </w:r>
      <w:r w:rsidRPr="00AF059C">
        <w:t xml:space="preserve"> September 8, 2021</w:t>
      </w:r>
      <w:r w:rsidRPr="00AF059C">
        <w:t xml:space="preserve"> (</w:t>
      </w:r>
      <w:r w:rsidRPr="00AF059C">
        <w:t xml:space="preserve">the </w:t>
      </w:r>
      <w:r w:rsidRPr="00AF059C">
        <w:t>day before</w:t>
      </w:r>
      <w:r w:rsidRPr="00AF059C">
        <w:t xml:space="preserve"> the expert’s testimony</w:t>
      </w:r>
      <w:r w:rsidRPr="00AF059C">
        <w:t xml:space="preserve">) </w:t>
      </w:r>
      <w:r w:rsidRPr="00AF059C">
        <w:t>to calculate Shah’s damage</w:t>
      </w:r>
      <w:r w:rsidRPr="00AF059C">
        <w:t>s</w:t>
      </w:r>
      <w:r w:rsidRPr="00AF059C">
        <w:t xml:space="preserve">.  </w:t>
      </w:r>
      <w:r w:rsidRPr="00AF059C">
        <w:t>B</w:t>
      </w:r>
      <w:r w:rsidRPr="00AF059C">
        <w:t xml:space="preserve">ased on that </w:t>
      </w:r>
      <w:r w:rsidRPr="00AF059C">
        <w:t xml:space="preserve">average </w:t>
      </w:r>
      <w:r w:rsidRPr="00AF059C">
        <w:t xml:space="preserve">price, </w:t>
      </w:r>
      <w:proofErr w:type="spellStart"/>
      <w:r w:rsidRPr="00AF059C">
        <w:t>Skillz’s</w:t>
      </w:r>
      <w:proofErr w:type="spellEnd"/>
      <w:r w:rsidRPr="00AF059C">
        <w:t xml:space="preserve"> expert determined that Shah suffered approximately $4.4 million </w:t>
      </w:r>
      <w:r w:rsidRPr="00AF059C">
        <w:t xml:space="preserve">in damages </w:t>
      </w:r>
      <w:r w:rsidRPr="00AF059C">
        <w:t xml:space="preserve">from the loss of his initial grant of options and $2.3 million </w:t>
      </w:r>
      <w:r w:rsidRPr="00AF059C">
        <w:t xml:space="preserve">in damages </w:t>
      </w:r>
      <w:r w:rsidRPr="00AF059C">
        <w:t xml:space="preserve">from the loss of his options under the Performance Grant. </w:t>
      </w:r>
      <w:r w:rsidRPr="00AF059C">
        <w:t xml:space="preserve"> Thus, to the extent the court may have erred by letting the jury decide the appropriate measure of damages, it corrected that error </w:t>
      </w:r>
      <w:r w:rsidRPr="00AF059C">
        <w:t>through</w:t>
      </w:r>
      <w:r w:rsidRPr="00AF059C">
        <w:t xml:space="preserve"> its remittitur</w:t>
      </w:r>
      <w:r w:rsidRPr="00AF059C">
        <w:t xml:space="preserve">, and </w:t>
      </w:r>
      <w:r w:rsidRPr="00AF059C">
        <w:t>we now consider whether th</w:t>
      </w:r>
      <w:r w:rsidRPr="00AF059C">
        <w:t>e measure of damages adopted in the</w:t>
      </w:r>
      <w:r w:rsidRPr="00AF059C">
        <w:t xml:space="preserve"> remittitur is erroneous.</w:t>
      </w:r>
    </w:p>
    <w:p w14:paraId="40B9D37D" w14:textId="77777777" w:rsidR="00E748F1" w:rsidRDefault="00E748F1" w:rsidP="00085776">
      <w:pPr>
        <w:pStyle w:val="BodyText"/>
        <w:widowControl/>
        <w:spacing w:line="360" w:lineRule="auto"/>
        <w:ind w:left="0" w:firstLine="720"/>
      </w:pPr>
      <w:r w:rsidRPr="00AF059C">
        <w:t xml:space="preserve">Both parties </w:t>
      </w:r>
      <w:r w:rsidRPr="00AF059C">
        <w:t>argue that</w:t>
      </w:r>
      <w:r w:rsidRPr="00AF059C">
        <w:t xml:space="preserve"> the trial court</w:t>
      </w:r>
      <w:r w:rsidRPr="00AF059C">
        <w:t xml:space="preserve"> erred by</w:t>
      </w:r>
      <w:r w:rsidRPr="00AF059C">
        <w:t xml:space="preserve"> adopt</w:t>
      </w:r>
      <w:r w:rsidRPr="00AF059C">
        <w:t>ing</w:t>
      </w:r>
      <w:r w:rsidRPr="00AF059C">
        <w:t xml:space="preserve"> th</w:t>
      </w:r>
      <w:r w:rsidRPr="00AF059C">
        <w:t>e measure of</w:t>
      </w:r>
      <w:r w:rsidRPr="007B677E">
        <w:t xml:space="preserve"> damages</w:t>
      </w:r>
      <w:r w:rsidRPr="007B677E">
        <w:t xml:space="preserve"> </w:t>
      </w:r>
      <w:r w:rsidRPr="007B677E">
        <w:t>used</w:t>
      </w:r>
      <w:r w:rsidRPr="007B677E">
        <w:t xml:space="preserve"> by </w:t>
      </w:r>
      <w:proofErr w:type="spellStart"/>
      <w:r w:rsidRPr="007B677E">
        <w:t>Skillz’s</w:t>
      </w:r>
      <w:proofErr w:type="spellEnd"/>
      <w:r w:rsidRPr="007B677E">
        <w:t xml:space="preserve"> expert</w:t>
      </w:r>
      <w:r w:rsidRPr="007B677E">
        <w:t xml:space="preserve"> </w:t>
      </w:r>
      <w:r w:rsidRPr="007B677E">
        <w:t>in his alternative calculation</w:t>
      </w:r>
      <w:r w:rsidRPr="007B677E">
        <w:t xml:space="preserve">.  </w:t>
      </w:r>
      <w:r w:rsidRPr="007B677E">
        <w:t xml:space="preserve">Not surprisingly, they disagree on the remedy for this error.  </w:t>
      </w:r>
      <w:proofErr w:type="spellStart"/>
      <w:r w:rsidRPr="007B677E">
        <w:t>Skillz</w:t>
      </w:r>
      <w:proofErr w:type="spellEnd"/>
      <w:r w:rsidRPr="007B677E">
        <w:t xml:space="preserve"> contends we</w:t>
      </w:r>
      <w:r>
        <w:t xml:space="preserve"> should either order a JNOV and award Shah the </w:t>
      </w:r>
      <w:proofErr w:type="gramStart"/>
      <w:r>
        <w:t>amount</w:t>
      </w:r>
      <w:proofErr w:type="gramEnd"/>
      <w:r>
        <w:t xml:space="preserve"> of damages calculated by </w:t>
      </w:r>
      <w:proofErr w:type="spellStart"/>
      <w:r>
        <w:t>Skillz’s</w:t>
      </w:r>
      <w:proofErr w:type="spellEnd"/>
      <w:r>
        <w:t xml:space="preserve"> expert </w:t>
      </w:r>
      <w:r>
        <w:t xml:space="preserve">as of </w:t>
      </w:r>
      <w:r>
        <w:t>the date of breach or “order a new damages trial</w:t>
      </w:r>
      <w:r>
        <w:t>.</w:t>
      </w:r>
      <w:r>
        <w:t xml:space="preserve">”  </w:t>
      </w:r>
      <w:r>
        <w:t>By contrast</w:t>
      </w:r>
      <w:r>
        <w:t xml:space="preserve">, Shah contends we should reinstate the jury verdict.  </w:t>
      </w:r>
      <w:r>
        <w:t>Applying</w:t>
      </w:r>
      <w:r>
        <w:t xml:space="preserve"> de novo</w:t>
      </w:r>
      <w:r>
        <w:t xml:space="preserve"> review (</w:t>
      </w:r>
      <w:r>
        <w:rPr>
          <w:i/>
          <w:iCs/>
        </w:rPr>
        <w:t>Toscano v. Greene Music</w:t>
      </w:r>
      <w:r>
        <w:t xml:space="preserve"> (2004) 124 Cal.App.4th </w:t>
      </w:r>
      <w:r>
        <w:t>685, 691</w:t>
      </w:r>
      <w:r>
        <w:t xml:space="preserve"> </w:t>
      </w:r>
      <w:r>
        <w:t>(</w:t>
      </w:r>
      <w:r>
        <w:rPr>
          <w:i/>
          <w:iCs/>
        </w:rPr>
        <w:t>Tosca</w:t>
      </w:r>
      <w:r>
        <w:rPr>
          <w:i/>
          <w:iCs/>
        </w:rPr>
        <w:t>no</w:t>
      </w:r>
      <w:r>
        <w:t>)</w:t>
      </w:r>
      <w:r>
        <w:rPr>
          <w:i/>
          <w:iCs/>
        </w:rPr>
        <w:t xml:space="preserve"> </w:t>
      </w:r>
      <w:r>
        <w:t>[</w:t>
      </w:r>
      <w:r>
        <w:t>“</w:t>
      </w:r>
      <w:r w:rsidRPr="00A50E66">
        <w:t xml:space="preserve">the determination of whether </w:t>
      </w:r>
      <w:r>
        <w:t>[a plaintiff]</w:t>
      </w:r>
      <w:r w:rsidRPr="00A50E66">
        <w:t xml:space="preserve"> is entitled to a particular measure of damages is a question of law subject to de novo review</w:t>
      </w:r>
      <w:r>
        <w:t>”]</w:t>
      </w:r>
      <w:r>
        <w:t>)</w:t>
      </w:r>
      <w:r>
        <w:t xml:space="preserve">, we </w:t>
      </w:r>
      <w:r>
        <w:t>disagree with both parties</w:t>
      </w:r>
      <w:r>
        <w:t xml:space="preserve"> and affirm</w:t>
      </w:r>
      <w:r>
        <w:t xml:space="preserve"> the measure of damages </w:t>
      </w:r>
      <w:r>
        <w:t>us</w:t>
      </w:r>
      <w:r>
        <w:t xml:space="preserve">ed by the court in </w:t>
      </w:r>
      <w:r>
        <w:t>the</w:t>
      </w:r>
      <w:r>
        <w:t xml:space="preserve"> remittitur.</w:t>
      </w:r>
    </w:p>
    <w:p w14:paraId="33F340E5" w14:textId="77777777" w:rsidR="00E748F1" w:rsidRPr="00E23255" w:rsidRDefault="00E748F1" w:rsidP="00085776">
      <w:pPr>
        <w:pStyle w:val="BodyText"/>
        <w:widowControl/>
        <w:spacing w:line="360" w:lineRule="auto"/>
        <w:ind w:left="1440" w:hanging="716"/>
        <w:rPr>
          <w:i/>
          <w:iCs/>
        </w:rPr>
      </w:pPr>
      <w:r>
        <w:t>1.</w:t>
      </w:r>
      <w:r>
        <w:tab/>
      </w:r>
      <w:proofErr w:type="spellStart"/>
      <w:r>
        <w:rPr>
          <w:i/>
          <w:iCs/>
        </w:rPr>
        <w:t>Skillz’s</w:t>
      </w:r>
      <w:proofErr w:type="spellEnd"/>
      <w:r>
        <w:rPr>
          <w:i/>
          <w:iCs/>
        </w:rPr>
        <w:t xml:space="preserve"> Challenges to the Measure of Damages Adopted by the Trial Court in the Remittitur</w:t>
      </w:r>
    </w:p>
    <w:p w14:paraId="160D6CE8" w14:textId="77777777" w:rsidR="00E748F1" w:rsidRDefault="00E748F1" w:rsidP="00085776">
      <w:pPr>
        <w:pStyle w:val="BodyText"/>
        <w:widowControl/>
        <w:spacing w:line="360" w:lineRule="auto"/>
        <w:ind w:firstLine="620"/>
      </w:pPr>
      <w:proofErr w:type="spellStart"/>
      <w:r>
        <w:t>Skillz</w:t>
      </w:r>
      <w:proofErr w:type="spellEnd"/>
      <w:r>
        <w:t xml:space="preserve"> </w:t>
      </w:r>
      <w:r>
        <w:t>argue</w:t>
      </w:r>
      <w:r>
        <w:t>s</w:t>
      </w:r>
      <w:r>
        <w:t xml:space="preserve"> </w:t>
      </w:r>
      <w:r>
        <w:t xml:space="preserve">that </w:t>
      </w:r>
      <w:r>
        <w:t>the value of Shah’s lost stock options should have been measured as of the date of breach</w:t>
      </w:r>
      <w:r>
        <w:t>—</w:t>
      </w:r>
      <w:r>
        <w:t>i.e.</w:t>
      </w:r>
      <w:r>
        <w:t xml:space="preserve">, the date of Shah’s termination in 2018.  </w:t>
      </w:r>
      <w:proofErr w:type="spellStart"/>
      <w:r>
        <w:t>Skillz</w:t>
      </w:r>
      <w:proofErr w:type="spellEnd"/>
      <w:r>
        <w:t xml:space="preserve"> further </w:t>
      </w:r>
      <w:r>
        <w:t>argue</w:t>
      </w:r>
      <w:r>
        <w:t xml:space="preserve">s that, even if </w:t>
      </w:r>
      <w:r>
        <w:t xml:space="preserve">Shah’s </w:t>
      </w:r>
      <w:r>
        <w:t xml:space="preserve">damages may be measured </w:t>
      </w:r>
      <w:r>
        <w:t>after</w:t>
      </w:r>
      <w:r>
        <w:t xml:space="preserve"> the date of breach, the court should not have used </w:t>
      </w:r>
      <w:r>
        <w:t xml:space="preserve">the price </w:t>
      </w:r>
      <w:r>
        <w:t xml:space="preserve">of </w:t>
      </w:r>
      <w:proofErr w:type="spellStart"/>
      <w:r>
        <w:t>Skill</w:t>
      </w:r>
      <w:r>
        <w:t>z</w:t>
      </w:r>
      <w:proofErr w:type="spellEnd"/>
      <w:r>
        <w:t xml:space="preserve"> stock </w:t>
      </w:r>
      <w:r>
        <w:t xml:space="preserve">during </w:t>
      </w:r>
      <w:proofErr w:type="gramStart"/>
      <w:r>
        <w:t>a</w:t>
      </w:r>
      <w:r>
        <w:t xml:space="preserve"> </w:t>
      </w:r>
      <w:r>
        <w:t>period of time</w:t>
      </w:r>
      <w:proofErr w:type="gramEnd"/>
      <w:r>
        <w:t xml:space="preserve"> after</w:t>
      </w:r>
      <w:r>
        <w:t xml:space="preserve"> the lock</w:t>
      </w:r>
      <w:r>
        <w:t>-</w:t>
      </w:r>
      <w:r>
        <w:t>up period ended</w:t>
      </w:r>
      <w:r>
        <w:t xml:space="preserve"> because </w:t>
      </w:r>
      <w:r>
        <w:lastRenderedPageBreak/>
        <w:t xml:space="preserve">there is no </w:t>
      </w:r>
      <w:r>
        <w:t xml:space="preserve">objective </w:t>
      </w:r>
      <w:r>
        <w:t>evidence</w:t>
      </w:r>
      <w:r>
        <w:t xml:space="preserve"> Shah </w:t>
      </w:r>
      <w:r>
        <w:t xml:space="preserve">would have held onto his shares until </w:t>
      </w:r>
      <w:r>
        <w:t>then</w:t>
      </w:r>
      <w:r>
        <w:t xml:space="preserve">. </w:t>
      </w:r>
      <w:r>
        <w:t xml:space="preserve"> We </w:t>
      </w:r>
      <w:r>
        <w:t xml:space="preserve">are not </w:t>
      </w:r>
      <w:r>
        <w:t>persuaded</w:t>
      </w:r>
      <w:r>
        <w:t xml:space="preserve">.  </w:t>
      </w:r>
    </w:p>
    <w:p w14:paraId="1C17C059" w14:textId="77777777" w:rsidR="00E748F1" w:rsidRPr="00646AC2" w:rsidRDefault="00E748F1" w:rsidP="00085776">
      <w:pPr>
        <w:pStyle w:val="BodyText"/>
        <w:widowControl/>
        <w:spacing w:line="360" w:lineRule="auto"/>
        <w:ind w:firstLine="620"/>
        <w:rPr>
          <w:highlight w:val="yellow"/>
        </w:rPr>
      </w:pPr>
      <w:r w:rsidRPr="0086215C">
        <w:t xml:space="preserve">As a threshold matter, we consider what law should be applied in determining the date on which </w:t>
      </w:r>
      <w:proofErr w:type="gramStart"/>
      <w:r w:rsidRPr="0086215C">
        <w:t>Shah’s</w:t>
      </w:r>
      <w:proofErr w:type="gramEnd"/>
      <w:r w:rsidRPr="0086215C">
        <w:t xml:space="preserve"> damages are measured.  </w:t>
      </w:r>
      <w:r w:rsidRPr="0086215C">
        <w:t>At trial, both parties assumed that California law controlled</w:t>
      </w:r>
      <w:r w:rsidRPr="0086215C">
        <w:t>, and neither argued that Delaware law governed the measure of damages</w:t>
      </w:r>
      <w:r w:rsidRPr="0086215C">
        <w:t xml:space="preserve">. </w:t>
      </w:r>
      <w:r w:rsidRPr="0086215C">
        <w:t xml:space="preserve"> </w:t>
      </w:r>
      <w:r w:rsidRPr="0086215C">
        <w:t xml:space="preserve">But in its reply brief, </w:t>
      </w:r>
      <w:proofErr w:type="spellStart"/>
      <w:r w:rsidRPr="0086215C">
        <w:t>Skillz</w:t>
      </w:r>
      <w:proofErr w:type="spellEnd"/>
      <w:r w:rsidRPr="0086215C">
        <w:t xml:space="preserve"> asserted </w:t>
      </w:r>
      <w:r w:rsidRPr="0086215C">
        <w:t xml:space="preserve">for the first time </w:t>
      </w:r>
      <w:r w:rsidRPr="0086215C">
        <w:t xml:space="preserve">that “Delaware </w:t>
      </w:r>
      <w:r w:rsidRPr="0086215C">
        <w:t>law governs the Plan”</w:t>
      </w:r>
      <w:r w:rsidRPr="0086215C">
        <w:t>—</w:t>
      </w:r>
      <w:r w:rsidRPr="007F5BF5">
        <w:t>which, in turn, governed Shah’s stock options</w:t>
      </w:r>
      <w:r w:rsidRPr="007F5BF5">
        <w:t>.</w:t>
      </w:r>
      <w:r w:rsidRPr="007F5BF5">
        <w:t xml:space="preserve"> </w:t>
      </w:r>
      <w:r>
        <w:t xml:space="preserve"> </w:t>
      </w:r>
      <w:r w:rsidRPr="007F5BF5">
        <w:t xml:space="preserve">In support, </w:t>
      </w:r>
      <w:proofErr w:type="spellStart"/>
      <w:r w:rsidRPr="007F5BF5">
        <w:t>Skillz</w:t>
      </w:r>
      <w:proofErr w:type="spellEnd"/>
      <w:r w:rsidRPr="007F5BF5">
        <w:t xml:space="preserve"> cited </w:t>
      </w:r>
      <w:r w:rsidRPr="007F5BF5">
        <w:t xml:space="preserve">to </w:t>
      </w:r>
      <w:r w:rsidRPr="007F5BF5">
        <w:t>section 12.4 of</w:t>
      </w:r>
      <w:r w:rsidRPr="007F5BF5">
        <w:t xml:space="preserve"> the Plan</w:t>
      </w:r>
      <w:r w:rsidRPr="0086215C">
        <w:t>—</w:t>
      </w:r>
      <w:r w:rsidRPr="007F5BF5">
        <w:t xml:space="preserve">which </w:t>
      </w:r>
      <w:r w:rsidRPr="007F5BF5">
        <w:t>stated that</w:t>
      </w:r>
      <w:r w:rsidRPr="007F5BF5">
        <w:t xml:space="preserve"> </w:t>
      </w:r>
      <w:r w:rsidRPr="007F5BF5">
        <w:t>it “and all agreements hereunder shall be governed by and construed in accordance with the laws of the State of Delaware, without giv</w:t>
      </w:r>
      <w:r w:rsidRPr="007F5BF5">
        <w:t xml:space="preserve">ing effect to that body of laws pertaining to conflict of laws.”  </w:t>
      </w:r>
      <w:r w:rsidRPr="007F5BF5">
        <w:t xml:space="preserve">By choosing to invoke this choice-of-law provision that it drafted, </w:t>
      </w:r>
      <w:proofErr w:type="spellStart"/>
      <w:r w:rsidRPr="007F5BF5">
        <w:t>Skillz</w:t>
      </w:r>
      <w:proofErr w:type="spellEnd"/>
      <w:r w:rsidRPr="007F5BF5">
        <w:t xml:space="preserve"> </w:t>
      </w:r>
      <w:r w:rsidRPr="007F5BF5">
        <w:t xml:space="preserve">appears to have </w:t>
      </w:r>
      <w:r w:rsidRPr="007F5BF5">
        <w:t>conceded that Delaware law should</w:t>
      </w:r>
      <w:r w:rsidRPr="007F5BF5">
        <w:t xml:space="preserve"> “govern the ‘measure of recovery for a breach of contract</w:t>
      </w:r>
      <w:proofErr w:type="gramStart"/>
      <w:r w:rsidRPr="007F5BF5">
        <w:t>’ ”</w:t>
      </w:r>
      <w:proofErr w:type="gramEnd"/>
      <w:r w:rsidRPr="007F5BF5">
        <w:t xml:space="preserve"> </w:t>
      </w:r>
      <w:r w:rsidRPr="007F5BF5">
        <w:t xml:space="preserve">in this case. </w:t>
      </w:r>
      <w:r w:rsidRPr="007F5BF5">
        <w:t xml:space="preserve"> (</w:t>
      </w:r>
      <w:r w:rsidRPr="007F5BF5">
        <w:rPr>
          <w:i/>
          <w:iCs/>
        </w:rPr>
        <w:t>Airs Aromatics, LLC v. CBL Data Recovery Technologies Inc.</w:t>
      </w:r>
      <w:r w:rsidRPr="007F5BF5">
        <w:t xml:space="preserve"> (2020) 50 Cal.App.5th 1009, 1014</w:t>
      </w:r>
      <w:r w:rsidRPr="007F5BF5">
        <w:t xml:space="preserve"> (</w:t>
      </w:r>
      <w:r w:rsidRPr="007F5BF5">
        <w:rPr>
          <w:i/>
          <w:iCs/>
        </w:rPr>
        <w:t>Airs Aromatics</w:t>
      </w:r>
      <w:r w:rsidRPr="007F5BF5">
        <w:t>)</w:t>
      </w:r>
      <w:r w:rsidRPr="007F5BF5">
        <w:t>.)</w:t>
      </w:r>
    </w:p>
    <w:p w14:paraId="563AD56C" w14:textId="77777777" w:rsidR="00E748F1" w:rsidRPr="00A56933" w:rsidRDefault="00E748F1" w:rsidP="00085776">
      <w:pPr>
        <w:pStyle w:val="BodyText"/>
        <w:widowControl/>
        <w:spacing w:line="360" w:lineRule="auto"/>
        <w:ind w:firstLine="620"/>
      </w:pPr>
      <w:r w:rsidRPr="00A56933">
        <w:t xml:space="preserve">Despite this apparent concession, </w:t>
      </w:r>
      <w:proofErr w:type="spellStart"/>
      <w:r w:rsidRPr="00A56933">
        <w:t>Skillz</w:t>
      </w:r>
      <w:proofErr w:type="spellEnd"/>
      <w:r w:rsidRPr="00A56933">
        <w:t xml:space="preserve"> </w:t>
      </w:r>
      <w:r w:rsidRPr="00A56933">
        <w:t xml:space="preserve">now </w:t>
      </w:r>
      <w:r w:rsidRPr="00A56933">
        <w:t xml:space="preserve">contends </w:t>
      </w:r>
      <w:r w:rsidRPr="00A56933">
        <w:t xml:space="preserve">this </w:t>
      </w:r>
      <w:r w:rsidRPr="00A56933">
        <w:t xml:space="preserve">court </w:t>
      </w:r>
      <w:r w:rsidRPr="00A56933">
        <w:t xml:space="preserve">should not apply Delaware law because </w:t>
      </w:r>
      <w:r w:rsidRPr="00A56933">
        <w:t>Shah has “waived enforcement of the choice-of</w:t>
      </w:r>
      <w:r w:rsidRPr="00A56933">
        <w:t>-</w:t>
      </w:r>
      <w:r w:rsidRPr="00A56933">
        <w:t xml:space="preserve">law provision” in the Plan. </w:t>
      </w:r>
      <w:r w:rsidRPr="00A56933">
        <w:t xml:space="preserve"> </w:t>
      </w:r>
      <w:proofErr w:type="spellStart"/>
      <w:r w:rsidRPr="00A56933">
        <w:t>Skillz</w:t>
      </w:r>
      <w:proofErr w:type="spellEnd"/>
      <w:r w:rsidRPr="00A56933">
        <w:t xml:space="preserve"> </w:t>
      </w:r>
      <w:r w:rsidRPr="00A56933">
        <w:t xml:space="preserve">presumably does so because </w:t>
      </w:r>
      <w:r w:rsidRPr="00A56933">
        <w:t xml:space="preserve">it believes that </w:t>
      </w:r>
      <w:r w:rsidRPr="00A56933">
        <w:t xml:space="preserve">Delaware law is less favorable </w:t>
      </w:r>
      <w:r w:rsidRPr="00A56933">
        <w:t xml:space="preserve">to its position on damages </w:t>
      </w:r>
      <w:r w:rsidRPr="00A56933">
        <w:t xml:space="preserve">than California law.  But </w:t>
      </w:r>
      <w:proofErr w:type="spellStart"/>
      <w:r w:rsidRPr="00A56933">
        <w:t>Skillz’s</w:t>
      </w:r>
      <w:proofErr w:type="spellEnd"/>
      <w:r w:rsidRPr="00A56933">
        <w:t xml:space="preserve"> attempt to </w:t>
      </w:r>
      <w:r w:rsidRPr="00A56933">
        <w:t>have its cake and eat it too</w:t>
      </w:r>
      <w:r>
        <w:t>,</w:t>
      </w:r>
      <w:r w:rsidRPr="00A56933">
        <w:t xml:space="preserve"> by</w:t>
      </w:r>
      <w:r w:rsidRPr="00A56933">
        <w:t xml:space="preserve"> </w:t>
      </w:r>
      <w:r w:rsidRPr="00A56933">
        <w:t>cherry-pick</w:t>
      </w:r>
      <w:r w:rsidRPr="00A56933">
        <w:t>ing</w:t>
      </w:r>
      <w:r w:rsidRPr="00A56933">
        <w:t xml:space="preserve"> the applicable law</w:t>
      </w:r>
      <w:r>
        <w:t>,</w:t>
      </w:r>
      <w:r w:rsidRPr="00A56933">
        <w:t xml:space="preserve"> </w:t>
      </w:r>
      <w:r w:rsidRPr="00A56933">
        <w:t>makes no difference here</w:t>
      </w:r>
      <w:r w:rsidRPr="00A56933">
        <w:t xml:space="preserve">.  </w:t>
      </w:r>
      <w:r w:rsidRPr="00A56933">
        <w:t>Under</w:t>
      </w:r>
      <w:r w:rsidRPr="00A56933">
        <w:t xml:space="preserve"> </w:t>
      </w:r>
      <w:r w:rsidRPr="00A56933">
        <w:t xml:space="preserve">both </w:t>
      </w:r>
      <w:r w:rsidRPr="00A56933">
        <w:t xml:space="preserve">California </w:t>
      </w:r>
      <w:r w:rsidRPr="00A56933">
        <w:t>and</w:t>
      </w:r>
      <w:r w:rsidRPr="00A56933">
        <w:t xml:space="preserve"> Delaware law, damages for lost stock options </w:t>
      </w:r>
      <w:r w:rsidRPr="00A56933">
        <w:t xml:space="preserve">in a breach of contract action </w:t>
      </w:r>
      <w:r w:rsidRPr="00A56933">
        <w:t>may be</w:t>
      </w:r>
      <w:r w:rsidRPr="00A56933">
        <w:t xml:space="preserve"> </w:t>
      </w:r>
      <w:r w:rsidRPr="00A56933">
        <w:t>measured from</w:t>
      </w:r>
      <w:r w:rsidRPr="00A56933">
        <w:t xml:space="preserve"> a date other than the date of breach</w:t>
      </w:r>
      <w:r w:rsidRPr="00A56933">
        <w:t xml:space="preserve"> based on equitable </w:t>
      </w:r>
      <w:r w:rsidRPr="00A56933">
        <w:t>considerations</w:t>
      </w:r>
      <w:r w:rsidRPr="00A56933">
        <w:t>, including</w:t>
      </w:r>
      <w:r w:rsidRPr="00A56933">
        <w:t xml:space="preserve"> whether a</w:t>
      </w:r>
      <w:r w:rsidRPr="00A56933">
        <w:t xml:space="preserve"> reasonably</w:t>
      </w:r>
      <w:r w:rsidRPr="00A56933">
        <w:t xml:space="preserve"> available market </w:t>
      </w:r>
      <w:r w:rsidRPr="00A56933">
        <w:t xml:space="preserve">for the stock </w:t>
      </w:r>
      <w:r w:rsidRPr="00A56933">
        <w:t>exists at the time of breach</w:t>
      </w:r>
      <w:r w:rsidRPr="00A56933">
        <w:t xml:space="preserve">.  </w:t>
      </w:r>
      <w:r w:rsidRPr="00A56933">
        <w:t xml:space="preserve">We therefore reject </w:t>
      </w:r>
      <w:proofErr w:type="spellStart"/>
      <w:r w:rsidRPr="00A56933">
        <w:t>Skill</w:t>
      </w:r>
      <w:r w:rsidRPr="00A56933">
        <w:t>z’s</w:t>
      </w:r>
      <w:proofErr w:type="spellEnd"/>
      <w:r w:rsidRPr="00A56933">
        <w:t xml:space="preserve"> challenges to the remittitur.</w:t>
      </w:r>
    </w:p>
    <w:p w14:paraId="2A1A67D4" w14:textId="77777777" w:rsidR="00E748F1" w:rsidRPr="008E3B5F" w:rsidRDefault="00E748F1" w:rsidP="008E3B5F">
      <w:pPr>
        <w:pStyle w:val="BodyText"/>
        <w:widowControl/>
        <w:numPr>
          <w:ilvl w:val="0"/>
          <w:numId w:val="27"/>
        </w:numPr>
        <w:spacing w:line="360" w:lineRule="auto"/>
        <w:rPr>
          <w:i/>
          <w:iCs/>
        </w:rPr>
      </w:pPr>
      <w:r w:rsidRPr="008E3B5F">
        <w:rPr>
          <w:i/>
          <w:iCs/>
        </w:rPr>
        <w:lastRenderedPageBreak/>
        <w:t xml:space="preserve">Under </w:t>
      </w:r>
      <w:r w:rsidRPr="008E3B5F">
        <w:rPr>
          <w:i/>
          <w:iCs/>
        </w:rPr>
        <w:t>California</w:t>
      </w:r>
      <w:r w:rsidRPr="008E3B5F">
        <w:rPr>
          <w:i/>
          <w:iCs/>
        </w:rPr>
        <w:t xml:space="preserve"> law, breach of contract damages for lost stock options </w:t>
      </w:r>
      <w:r w:rsidRPr="008E3B5F">
        <w:rPr>
          <w:i/>
          <w:iCs/>
        </w:rPr>
        <w:t>need</w:t>
      </w:r>
      <w:r w:rsidRPr="008E3B5F">
        <w:rPr>
          <w:i/>
          <w:iCs/>
        </w:rPr>
        <w:t xml:space="preserve"> </w:t>
      </w:r>
      <w:r w:rsidRPr="008E3B5F">
        <w:rPr>
          <w:i/>
          <w:iCs/>
        </w:rPr>
        <w:t xml:space="preserve">not </w:t>
      </w:r>
      <w:r w:rsidRPr="008E3B5F">
        <w:rPr>
          <w:i/>
          <w:iCs/>
        </w:rPr>
        <w:t xml:space="preserve">be </w:t>
      </w:r>
      <w:r w:rsidRPr="008E3B5F">
        <w:rPr>
          <w:i/>
          <w:iCs/>
        </w:rPr>
        <w:t>measured as of the date of breach</w:t>
      </w:r>
    </w:p>
    <w:p w14:paraId="520DF074" w14:textId="77777777" w:rsidR="00E748F1" w:rsidRPr="00A56933" w:rsidRDefault="00E748F1" w:rsidP="00085776">
      <w:pPr>
        <w:pStyle w:val="BodyText"/>
        <w:widowControl/>
        <w:spacing w:line="360" w:lineRule="auto"/>
        <w:ind w:firstLine="620"/>
      </w:pPr>
      <w:proofErr w:type="spellStart"/>
      <w:r w:rsidRPr="00A56933">
        <w:t>Skillz</w:t>
      </w:r>
      <w:proofErr w:type="spellEnd"/>
      <w:r w:rsidRPr="00A56933">
        <w:t xml:space="preserve"> argues that</w:t>
      </w:r>
      <w:r w:rsidRPr="00A56933">
        <w:t xml:space="preserve"> “</w:t>
      </w:r>
      <w:r w:rsidRPr="00A56933">
        <w:t xml:space="preserve">California law requires Shah’s stock options be valued as of the date of the </w:t>
      </w:r>
      <w:r w:rsidRPr="00A56933">
        <w:t>alleged breach</w:t>
      </w:r>
      <w:r w:rsidRPr="00A56933">
        <w:t>.</w:t>
      </w:r>
      <w:r w:rsidRPr="00A56933">
        <w:t>”</w:t>
      </w:r>
      <w:r w:rsidRPr="00A56933">
        <w:t xml:space="preserve"> </w:t>
      </w:r>
      <w:r>
        <w:t xml:space="preserve"> (Bolding omitted.) </w:t>
      </w:r>
      <w:r w:rsidRPr="00A56933">
        <w:t xml:space="preserve"> </w:t>
      </w:r>
      <w:proofErr w:type="spellStart"/>
      <w:r w:rsidRPr="00A56933">
        <w:t>Skillz</w:t>
      </w:r>
      <w:proofErr w:type="spellEnd"/>
      <w:r w:rsidRPr="00A56933">
        <w:t xml:space="preserve"> </w:t>
      </w:r>
      <w:r w:rsidRPr="00A56933">
        <w:t xml:space="preserve">therefore </w:t>
      </w:r>
      <w:r w:rsidRPr="00A56933">
        <w:t xml:space="preserve">contends Shah’s damages are limited to the difference between the exercise price of his vested stock options and the </w:t>
      </w:r>
      <w:r w:rsidRPr="00A56933">
        <w:t>value</w:t>
      </w:r>
      <w:r w:rsidRPr="00A56933">
        <w:t xml:space="preserve"> of </w:t>
      </w:r>
      <w:proofErr w:type="spellStart"/>
      <w:r w:rsidRPr="00A56933">
        <w:t>Skillz</w:t>
      </w:r>
      <w:proofErr w:type="spellEnd"/>
      <w:r w:rsidRPr="00A56933">
        <w:t xml:space="preserve"> stock </w:t>
      </w:r>
      <w:r w:rsidRPr="00A56933">
        <w:t>at the time</w:t>
      </w:r>
      <w:r w:rsidRPr="00A56933">
        <w:t xml:space="preserve"> of his termination, i.e., the date of breach.</w:t>
      </w:r>
      <w:r w:rsidRPr="00A56933">
        <w:t xml:space="preserve">  We disagree</w:t>
      </w:r>
      <w:r w:rsidRPr="00A56933">
        <w:t xml:space="preserve">.  </w:t>
      </w:r>
    </w:p>
    <w:p w14:paraId="7BCE7412" w14:textId="77777777" w:rsidR="00E748F1" w:rsidRPr="00A56933" w:rsidRDefault="00E748F1" w:rsidP="00085776">
      <w:pPr>
        <w:pStyle w:val="BodyText"/>
        <w:widowControl/>
        <w:spacing w:line="360" w:lineRule="auto"/>
        <w:ind w:firstLine="620"/>
      </w:pPr>
      <w:r w:rsidRPr="00A56933">
        <w:t xml:space="preserve">California courts have long recognized that </w:t>
      </w:r>
      <w:proofErr w:type="gramStart"/>
      <w:r w:rsidRPr="00A56933">
        <w:t>“ ‘</w:t>
      </w:r>
      <w:proofErr w:type="gramEnd"/>
      <w:r w:rsidRPr="00A56933">
        <w:t>[t]he rules of law governing the recovery of damages for breach of contract are very flexible.’ ”  (</w:t>
      </w:r>
      <w:r w:rsidRPr="00A56933">
        <w:rPr>
          <w:i/>
          <w:iCs/>
        </w:rPr>
        <w:t xml:space="preserve">Brandon &amp; Tibbs v. George Kevorkian Accountancy </w:t>
      </w:r>
      <w:r w:rsidRPr="00A56933">
        <w:rPr>
          <w:i/>
          <w:iCs/>
        </w:rPr>
        <w:t>Corp.</w:t>
      </w:r>
      <w:r w:rsidRPr="00A56933">
        <w:rPr>
          <w:i/>
          <w:iCs/>
        </w:rPr>
        <w:t xml:space="preserve"> </w:t>
      </w:r>
      <w:r w:rsidRPr="00A56933">
        <w:t>(1990) 226 Cal.App.3d 442, 455 (</w:t>
      </w:r>
      <w:r w:rsidRPr="00A56933">
        <w:rPr>
          <w:i/>
          <w:iCs/>
        </w:rPr>
        <w:t>Brandon &amp; Tibbs</w:t>
      </w:r>
      <w:r w:rsidRPr="00A56933">
        <w:t>).)</w:t>
      </w:r>
      <w:r w:rsidRPr="00A56933">
        <w:t xml:space="preserve">  </w:t>
      </w:r>
      <w:r w:rsidRPr="00A56933">
        <w:t xml:space="preserve">Under </w:t>
      </w:r>
      <w:r w:rsidRPr="00A56933">
        <w:t xml:space="preserve">California </w:t>
      </w:r>
      <w:r w:rsidRPr="00A56933">
        <w:t xml:space="preserve">contract law, “the theory is that the party injured by a breach should receive nearly </w:t>
      </w:r>
      <w:proofErr w:type="gramStart"/>
      <w:r w:rsidRPr="00A56933">
        <w:t>as</w:t>
      </w:r>
      <w:proofErr w:type="gramEnd"/>
      <w:r w:rsidRPr="00A56933">
        <w:t xml:space="preserve"> possible the equivalent of the benefits of performance.  [</w:t>
      </w:r>
      <w:r w:rsidRPr="00A56933">
        <w:t xml:space="preserve">Citations.]  </w:t>
      </w:r>
      <w:r w:rsidRPr="00A56933">
        <w:t>T</w:t>
      </w:r>
      <w:r w:rsidRPr="00A56933">
        <w:t xml:space="preserve">he aim is to put the injured party in as good a position as he </w:t>
      </w:r>
      <w:r w:rsidRPr="00A56933">
        <w:t>would have been had performance been rendered as promised</w:t>
      </w:r>
      <w:r w:rsidRPr="00A56933">
        <w:t>.</w:t>
      </w:r>
      <w:r w:rsidRPr="00A56933">
        <w:t xml:space="preserve">” </w:t>
      </w:r>
      <w:r w:rsidRPr="00A56933">
        <w:t xml:space="preserve"> </w:t>
      </w:r>
      <w:r w:rsidRPr="00A56933">
        <w:t>(</w:t>
      </w:r>
      <w:r w:rsidRPr="00A56933">
        <w:rPr>
          <w:i/>
          <w:iCs/>
        </w:rPr>
        <w:t>Ibid.</w:t>
      </w:r>
      <w:r w:rsidRPr="00A56933">
        <w:t xml:space="preserve">)  </w:t>
      </w:r>
      <w:r w:rsidRPr="00A56933">
        <w:t xml:space="preserve">Accordingly, </w:t>
      </w:r>
      <w:r w:rsidRPr="00A56933">
        <w:t xml:space="preserve">California </w:t>
      </w:r>
      <w:r w:rsidRPr="00A56933">
        <w:t xml:space="preserve">law </w:t>
      </w:r>
      <w:r w:rsidRPr="00A56933">
        <w:t>generally permits recovery of damages “which might have been reasonably contemplated or foreseen by both parties at the time they made the contract, as the probable result of the breach</w:t>
      </w:r>
      <w:r w:rsidRPr="00A56933">
        <w:t>.</w:t>
      </w:r>
      <w:r w:rsidRPr="00A56933">
        <w:t xml:space="preserve">” </w:t>
      </w:r>
      <w:r w:rsidRPr="00A56933">
        <w:t xml:space="preserve"> </w:t>
      </w:r>
      <w:r w:rsidRPr="00A56933">
        <w:t>(</w:t>
      </w:r>
      <w:r w:rsidRPr="00A56933">
        <w:rPr>
          <w:i/>
          <w:iCs/>
        </w:rPr>
        <w:t>Id.</w:t>
      </w:r>
      <w:r w:rsidRPr="00A56933">
        <w:t xml:space="preserve"> at p</w:t>
      </w:r>
      <w:r>
        <w:t>p</w:t>
      </w:r>
      <w:r w:rsidRPr="00A56933">
        <w:t xml:space="preserve">. </w:t>
      </w:r>
      <w:r>
        <w:t>455–</w:t>
      </w:r>
      <w:r w:rsidRPr="00A56933">
        <w:t>456</w:t>
      </w:r>
      <w:r w:rsidRPr="00A56933">
        <w:t>.</w:t>
      </w:r>
      <w:r w:rsidRPr="00A56933">
        <w:t>)</w:t>
      </w:r>
    </w:p>
    <w:p w14:paraId="3A47BFE4" w14:textId="77777777" w:rsidR="00E748F1" w:rsidRPr="00676D7F" w:rsidRDefault="00E748F1" w:rsidP="00085776">
      <w:pPr>
        <w:pStyle w:val="BodyText"/>
        <w:widowControl/>
        <w:spacing w:line="360" w:lineRule="auto"/>
        <w:ind w:firstLine="620"/>
      </w:pPr>
      <w:r w:rsidRPr="00A56933">
        <w:t>Consistent with these principles, California law has long recognized that damages in breach of contract actions involving “personal property” (</w:t>
      </w:r>
      <w:r w:rsidRPr="00A56933">
        <w:t>unlike</w:t>
      </w:r>
      <w:r w:rsidRPr="00A56933">
        <w:t xml:space="preserve"> real property) need not be determined </w:t>
      </w:r>
      <w:r w:rsidRPr="00A56933">
        <w:t>as of the date of breach.</w:t>
      </w:r>
      <w:r w:rsidRPr="00A56933">
        <w:t xml:space="preserve">  (</w:t>
      </w:r>
      <w:r w:rsidRPr="00A56933">
        <w:rPr>
          <w:i/>
          <w:iCs/>
        </w:rPr>
        <w:t xml:space="preserve">Royer v. Carter </w:t>
      </w:r>
      <w:r w:rsidRPr="00A56933">
        <w:t>(1951) 37 Cal.2d 544, 549.)  Indeed, Civil Code section 3</w:t>
      </w:r>
      <w:r w:rsidRPr="00A56933">
        <w:t>3</w:t>
      </w:r>
      <w:r w:rsidRPr="00A56933">
        <w:t>53</w:t>
      </w:r>
      <w:r w:rsidRPr="00A56933">
        <w:t xml:space="preserve"> requires that for </w:t>
      </w:r>
      <w:r w:rsidRPr="00A56933">
        <w:t xml:space="preserve">the </w:t>
      </w:r>
      <w:r w:rsidRPr="00A56933">
        <w:t xml:space="preserve">sales of </w:t>
      </w:r>
      <w:r w:rsidRPr="00A56933">
        <w:t xml:space="preserve">some </w:t>
      </w:r>
      <w:r w:rsidRPr="00A56933">
        <w:t>personal p</w:t>
      </w:r>
      <w:r w:rsidRPr="00BD73E5">
        <w:t>roperty, “the value</w:t>
      </w:r>
      <w:r w:rsidRPr="00676D7F">
        <w:t xml:space="preserve"> of the property is to be determined</w:t>
      </w:r>
      <w:r w:rsidRPr="00676D7F">
        <w:t>,</w:t>
      </w:r>
      <w:r w:rsidRPr="00676D7F">
        <w:t xml:space="preserve"> </w:t>
      </w:r>
      <w:r w:rsidRPr="00676D7F">
        <w:rPr>
          <w:i/>
          <w:iCs/>
        </w:rPr>
        <w:t>not as of the date of the breach of the contract</w:t>
      </w:r>
      <w:r w:rsidRPr="00676D7F">
        <w:t xml:space="preserve">, but as of </w:t>
      </w:r>
      <w:r w:rsidRPr="00676D7F">
        <w:t>such time thereafter ‘as would have sufficed with reasonable diligence, for the seller to effect a resale.</w:t>
      </w:r>
      <w:proofErr w:type="gramStart"/>
      <w:r w:rsidRPr="00676D7F">
        <w:t>’ ”</w:t>
      </w:r>
      <w:proofErr w:type="gramEnd"/>
      <w:r w:rsidRPr="00676D7F">
        <w:t xml:space="preserve">  (</w:t>
      </w:r>
      <w:r w:rsidRPr="00676D7F">
        <w:rPr>
          <w:i/>
          <w:iCs/>
        </w:rPr>
        <w:t>Ibid.</w:t>
      </w:r>
      <w:r w:rsidRPr="00676D7F">
        <w:t>, italics added</w:t>
      </w:r>
      <w:r w:rsidRPr="00676D7F">
        <w:t xml:space="preserve">)  </w:t>
      </w:r>
      <w:r w:rsidRPr="00676D7F">
        <w:t>And even where no California statute requir</w:t>
      </w:r>
      <w:r w:rsidRPr="00676D7F">
        <w:t>es</w:t>
      </w:r>
      <w:r w:rsidRPr="00676D7F">
        <w:t xml:space="preserve"> that contract damages be measured as </w:t>
      </w:r>
      <w:r w:rsidRPr="00676D7F">
        <w:lastRenderedPageBreak/>
        <w:t xml:space="preserve">of </w:t>
      </w:r>
      <w:r w:rsidRPr="00676D7F">
        <w:t xml:space="preserve">a </w:t>
      </w:r>
      <w:r w:rsidRPr="00676D7F">
        <w:t>date other than the date of breach</w:t>
      </w:r>
      <w:r w:rsidRPr="00676D7F">
        <w:t xml:space="preserve"> (</w:t>
      </w:r>
      <w:r w:rsidRPr="00676D7F">
        <w:rPr>
          <w:i/>
          <w:iCs/>
        </w:rPr>
        <w:t xml:space="preserve">Sackett v. Spindler </w:t>
      </w:r>
      <w:r w:rsidRPr="00676D7F">
        <w:t>(1967) 248 Cal.App.2d 220, 235 (</w:t>
      </w:r>
      <w:r w:rsidRPr="00676D7F">
        <w:rPr>
          <w:i/>
          <w:iCs/>
        </w:rPr>
        <w:t>Sackett</w:t>
      </w:r>
      <w:r w:rsidRPr="00676D7F">
        <w:t>)</w:t>
      </w:r>
      <w:r w:rsidRPr="00676D7F">
        <w:t xml:space="preserve"> [Civil Code section 3353 does not apply to contracts involving sales of stock]</w:t>
      </w:r>
      <w:r w:rsidRPr="00676D7F">
        <w:t>), “ ‘[t]he general rule that the measure of damages is the difference between the contract price and the market v</w:t>
      </w:r>
      <w:r w:rsidRPr="00676D7F">
        <w:t xml:space="preserve">alue </w:t>
      </w:r>
      <w:r w:rsidRPr="00676D7F">
        <w:t xml:space="preserve">[at the time of breach] </w:t>
      </w:r>
      <w:r w:rsidRPr="00676D7F">
        <w:t xml:space="preserve">is not a hard-and-fast rule, but may be varied </w:t>
      </w:r>
      <w:r w:rsidRPr="00676D7F">
        <w:rPr>
          <w:i/>
          <w:iCs/>
        </w:rPr>
        <w:t>if circumstances</w:t>
      </w:r>
      <w:r w:rsidRPr="00676D7F">
        <w:rPr>
          <w:i/>
          <w:iCs/>
        </w:rPr>
        <w:t xml:space="preserve"> require it</w:t>
      </w:r>
      <w:r w:rsidRPr="00676D7F">
        <w:t>’ ” (</w:t>
      </w:r>
      <w:r w:rsidRPr="00676D7F">
        <w:rPr>
          <w:i/>
          <w:iCs/>
        </w:rPr>
        <w:t xml:space="preserve">id. </w:t>
      </w:r>
      <w:r w:rsidRPr="00676D7F">
        <w:t>at p. 236</w:t>
      </w:r>
      <w:r w:rsidRPr="00676D7F">
        <w:t>, italics added</w:t>
      </w:r>
      <w:r w:rsidRPr="00676D7F">
        <w:t>).  In</w:t>
      </w:r>
      <w:r w:rsidRPr="00676D7F">
        <w:t xml:space="preserve"> particular</w:t>
      </w:r>
      <w:r w:rsidRPr="00676D7F">
        <w:t>, th</w:t>
      </w:r>
      <w:r w:rsidRPr="00676D7F">
        <w:t>e</w:t>
      </w:r>
      <w:r w:rsidRPr="00676D7F">
        <w:t xml:space="preserve"> rule </w:t>
      </w:r>
      <w:r w:rsidRPr="00676D7F">
        <w:t xml:space="preserve">does not apply </w:t>
      </w:r>
      <w:proofErr w:type="gramStart"/>
      <w:r w:rsidRPr="00676D7F">
        <w:t>“ ‘</w:t>
      </w:r>
      <w:proofErr w:type="gramEnd"/>
      <w:r w:rsidRPr="00676D7F">
        <w:t>where a better method of measuring loss or damages is available under the circumstances</w:t>
      </w:r>
      <w:r w:rsidRPr="00676D7F">
        <w:t>,</w:t>
      </w:r>
      <w:r w:rsidRPr="00676D7F">
        <w:t xml:space="preserve">’ ” </w:t>
      </w:r>
      <w:r w:rsidRPr="00676D7F">
        <w:t>such as</w:t>
      </w:r>
      <w:r w:rsidRPr="00676D7F">
        <w:t xml:space="preserve"> </w:t>
      </w:r>
      <w:bookmarkStart w:id="1" w:name="_Hlk161779826"/>
      <w:r w:rsidRPr="00676D7F">
        <w:t>“</w:t>
      </w:r>
      <w:r w:rsidRPr="00676D7F">
        <w:t>when there is no market available at the time and place of performance</w:t>
      </w:r>
      <w:r w:rsidRPr="00676D7F">
        <w:t>.</w:t>
      </w:r>
      <w:r w:rsidRPr="00676D7F">
        <w:t>”</w:t>
      </w:r>
      <w:bookmarkEnd w:id="1"/>
      <w:r w:rsidRPr="00676D7F">
        <w:t xml:space="preserve">  (</w:t>
      </w:r>
      <w:r w:rsidRPr="00676D7F">
        <w:rPr>
          <w:i/>
          <w:iCs/>
        </w:rPr>
        <w:t>Ibid.</w:t>
      </w:r>
      <w:r w:rsidRPr="00676D7F">
        <w:t>)</w:t>
      </w:r>
    </w:p>
    <w:p w14:paraId="6D995049" w14:textId="77777777" w:rsidR="00E748F1" w:rsidRPr="00676D7F" w:rsidRDefault="00E748F1" w:rsidP="00085776">
      <w:pPr>
        <w:pStyle w:val="BodyText"/>
        <w:widowControl/>
        <w:spacing w:line="360" w:lineRule="auto"/>
        <w:ind w:firstLine="620"/>
      </w:pPr>
      <w:proofErr w:type="gramStart"/>
      <w:r w:rsidRPr="00676D7F">
        <w:t>That</w:t>
      </w:r>
      <w:proofErr w:type="gramEnd"/>
      <w:r w:rsidRPr="00676D7F">
        <w:t xml:space="preserve"> damages for breach of a contract involving </w:t>
      </w:r>
      <w:r w:rsidRPr="00676D7F">
        <w:t xml:space="preserve">personal </w:t>
      </w:r>
      <w:r w:rsidRPr="00676D7F">
        <w:t xml:space="preserve">property like stock options need not be measured as of the date of breach under </w:t>
      </w:r>
      <w:r w:rsidRPr="00676D7F">
        <w:t>California</w:t>
      </w:r>
      <w:r w:rsidRPr="00676D7F">
        <w:t xml:space="preserve"> law</w:t>
      </w:r>
      <w:r w:rsidRPr="00676D7F">
        <w:t xml:space="preserve"> is further confirmed by Civil Code section 3306.  That section </w:t>
      </w:r>
      <w:r w:rsidRPr="00676D7F">
        <w:t>stat</w:t>
      </w:r>
      <w:r w:rsidRPr="00676D7F">
        <w:t xml:space="preserve">es that “the </w:t>
      </w:r>
      <w:r w:rsidRPr="00676D7F">
        <w:t xml:space="preserve">detriment caused by the </w:t>
      </w:r>
      <w:r w:rsidRPr="00676D7F">
        <w:t xml:space="preserve">breach of an agreement to convey </w:t>
      </w:r>
      <w:r w:rsidRPr="00676D7F">
        <w:rPr>
          <w:i/>
          <w:iCs/>
        </w:rPr>
        <w:t>an estate in real property</w:t>
      </w:r>
      <w:r w:rsidRPr="00676D7F">
        <w:t xml:space="preserve"> is deemed to be . . . the difference between the price agreed to be paid and </w:t>
      </w:r>
      <w:r w:rsidRPr="00676D7F">
        <w:t xml:space="preserve">the value of the estate agreed to be conveyed </w:t>
      </w:r>
      <w:r w:rsidRPr="00676D7F">
        <w:rPr>
          <w:i/>
          <w:iCs/>
        </w:rPr>
        <w:t>at the time of breach</w:t>
      </w:r>
      <w:r w:rsidRPr="00676D7F">
        <w:t>.”  (Italics added.)  The absence of a similar provision for the breach of an agreement to convey any other type</w:t>
      </w:r>
      <w:r w:rsidRPr="00676D7F">
        <w:t>s</w:t>
      </w:r>
      <w:r w:rsidRPr="00676D7F">
        <w:t xml:space="preserve"> of property further suggests that California law is not as rigid on damages</w:t>
      </w:r>
      <w:r w:rsidRPr="00676D7F">
        <w:t xml:space="preserve"> in breach of contract actions as argued by </w:t>
      </w:r>
      <w:proofErr w:type="spellStart"/>
      <w:r w:rsidRPr="00676D7F">
        <w:t>Skillz</w:t>
      </w:r>
      <w:proofErr w:type="spellEnd"/>
      <w:r w:rsidRPr="00676D7F">
        <w:t xml:space="preserve">.  Otherwise, </w:t>
      </w:r>
      <w:r w:rsidRPr="00676D7F">
        <w:t xml:space="preserve">the quoted language in </w:t>
      </w:r>
      <w:r w:rsidRPr="00676D7F">
        <w:t>Civil Code section 3306 would serve no purpose.</w:t>
      </w:r>
    </w:p>
    <w:p w14:paraId="2DAA0525" w14:textId="77777777" w:rsidR="00E748F1" w:rsidRPr="00221D07" w:rsidRDefault="00E748F1" w:rsidP="00085776">
      <w:pPr>
        <w:pStyle w:val="BodyText"/>
        <w:widowControl/>
        <w:spacing w:line="360" w:lineRule="auto"/>
        <w:ind w:firstLine="620"/>
      </w:pPr>
      <w:r w:rsidRPr="00676D7F">
        <w:t xml:space="preserve">This is aptly illustrated by </w:t>
      </w:r>
      <w:r w:rsidRPr="00676D7F">
        <w:rPr>
          <w:i/>
          <w:iCs/>
        </w:rPr>
        <w:t>Sackett</w:t>
      </w:r>
      <w:r w:rsidRPr="00676D7F">
        <w:t xml:space="preserve">.  In that case, the court of appeal was tasked with how to measure breach of contract damages after a buyer failed to complete </w:t>
      </w:r>
      <w:r w:rsidRPr="00676D7F">
        <w:t>an agreed-upon</w:t>
      </w:r>
      <w:r w:rsidRPr="00676D7F">
        <w:t xml:space="preserve"> purchase of stock </w:t>
      </w:r>
      <w:r w:rsidRPr="00676D7F">
        <w:t>in</w:t>
      </w:r>
      <w:r w:rsidRPr="00676D7F">
        <w:t xml:space="preserve"> a newspaper.  After the buyer reneged on the deal, the seller (the owner of the newspaper) sold the s</w:t>
      </w:r>
      <w:r w:rsidRPr="00676D7F">
        <w:t>tock</w:t>
      </w:r>
      <w:r w:rsidRPr="00676D7F">
        <w:t xml:space="preserve"> to a third party almost a year later</w:t>
      </w:r>
      <w:r w:rsidRPr="00676D7F">
        <w:t xml:space="preserve"> at a much lower price</w:t>
      </w:r>
      <w:r w:rsidRPr="00676D7F">
        <w:t xml:space="preserve"> than the contract price</w:t>
      </w:r>
      <w:r w:rsidRPr="00676D7F">
        <w:t>.  (</w:t>
      </w:r>
      <w:r>
        <w:rPr>
          <w:i/>
          <w:iCs/>
        </w:rPr>
        <w:t>Sackett</w:t>
      </w:r>
      <w:r>
        <w:t xml:space="preserve">, </w:t>
      </w:r>
      <w:r>
        <w:rPr>
          <w:i/>
          <w:iCs/>
        </w:rPr>
        <w:t>supra</w:t>
      </w:r>
      <w:r>
        <w:t>, 248 Cal.App.2d</w:t>
      </w:r>
      <w:r w:rsidRPr="00676D7F">
        <w:t xml:space="preserve"> at pp. 225</w:t>
      </w:r>
      <w:r>
        <w:t>–</w:t>
      </w:r>
      <w:r w:rsidRPr="00676D7F">
        <w:t xml:space="preserve">227.)  The seller </w:t>
      </w:r>
      <w:r w:rsidRPr="00676D7F">
        <w:t xml:space="preserve">then </w:t>
      </w:r>
      <w:r w:rsidRPr="00676D7F">
        <w:t>sued the buyer for breach of contract and prevailed.  (</w:t>
      </w:r>
      <w:r w:rsidRPr="00676D7F">
        <w:rPr>
          <w:i/>
          <w:iCs/>
        </w:rPr>
        <w:t>Id</w:t>
      </w:r>
      <w:r w:rsidRPr="00676D7F">
        <w:t xml:space="preserve">. </w:t>
      </w:r>
      <w:r w:rsidRPr="00221D07">
        <w:t xml:space="preserve">at p. 224.)  </w:t>
      </w:r>
      <w:r w:rsidRPr="00221D07">
        <w:t>In</w:t>
      </w:r>
      <w:r w:rsidRPr="00676D7F">
        <w:t xml:space="preserve"> </w:t>
      </w:r>
      <w:r w:rsidRPr="00676D7F">
        <w:lastRenderedPageBreak/>
        <w:t xml:space="preserve">calculating the </w:t>
      </w:r>
      <w:r w:rsidRPr="00676D7F">
        <w:t xml:space="preserve">seller’s damages, the trial court used the original contract price and subtracted “all sums of money received by him from” the buyer and the “net proceeds” received by the </w:t>
      </w:r>
      <w:r w:rsidRPr="00676D7F">
        <w:t>s</w:t>
      </w:r>
      <w:r w:rsidRPr="00676D7F">
        <w:t>eller from his subsequent sale of the stock one year later.  (</w:t>
      </w:r>
      <w:r w:rsidRPr="00676D7F">
        <w:rPr>
          <w:i/>
          <w:iCs/>
        </w:rPr>
        <w:t>Id.</w:t>
      </w:r>
      <w:r w:rsidRPr="00676D7F">
        <w:t xml:space="preserve"> at p. 232.)  </w:t>
      </w:r>
      <w:r w:rsidRPr="00676D7F">
        <w:t xml:space="preserve">The buyer </w:t>
      </w:r>
      <w:r w:rsidRPr="00221D07">
        <w:t>appealed, “contend[</w:t>
      </w:r>
      <w:proofErr w:type="spellStart"/>
      <w:r w:rsidRPr="00221D07">
        <w:t>ing</w:t>
      </w:r>
      <w:proofErr w:type="spellEnd"/>
      <w:r w:rsidRPr="00221D07">
        <w:t xml:space="preserve">] that the </w:t>
      </w:r>
      <w:r w:rsidRPr="00221D07">
        <w:t>[]</w:t>
      </w:r>
      <w:r w:rsidRPr="00221D07">
        <w:t xml:space="preserve"> court erred in measuring damages by the difference between the contract price for the stock and the price at which [</w:t>
      </w:r>
      <w:r w:rsidRPr="00221D07">
        <w:t xml:space="preserve">the </w:t>
      </w:r>
      <w:r w:rsidRPr="00221D07">
        <w:t>seller] ultimately resold the stock to a third party.”  (</w:t>
      </w:r>
      <w:r w:rsidRPr="00221D07">
        <w:rPr>
          <w:i/>
          <w:iCs/>
        </w:rPr>
        <w:t>I</w:t>
      </w:r>
      <w:r w:rsidRPr="00221D07">
        <w:rPr>
          <w:i/>
          <w:iCs/>
        </w:rPr>
        <w:t>bi</w:t>
      </w:r>
      <w:r w:rsidRPr="00221D07">
        <w:rPr>
          <w:i/>
          <w:iCs/>
        </w:rPr>
        <w:t>d.</w:t>
      </w:r>
      <w:r w:rsidRPr="00221D07">
        <w:t xml:space="preserve">)  According to the buyer, </w:t>
      </w:r>
      <w:r w:rsidRPr="00221D07">
        <w:t>the s</w:t>
      </w:r>
      <w:r w:rsidRPr="00221D07">
        <w:t xml:space="preserve">eller’s </w:t>
      </w:r>
      <w:r w:rsidRPr="00221D07">
        <w:t xml:space="preserve">damages should </w:t>
      </w:r>
      <w:r w:rsidRPr="00221D07">
        <w:t>be</w:t>
      </w:r>
      <w:r w:rsidRPr="00221D07">
        <w:t xml:space="preserve"> the difference between the contract price and the stock’s value </w:t>
      </w:r>
      <w:r w:rsidRPr="00221D07">
        <w:t>as of</w:t>
      </w:r>
      <w:r w:rsidRPr="00221D07">
        <w:t xml:space="preserve"> the date of breach.  (</w:t>
      </w:r>
      <w:r w:rsidRPr="00221D07">
        <w:rPr>
          <w:i/>
          <w:iCs/>
        </w:rPr>
        <w:t>I</w:t>
      </w:r>
      <w:r w:rsidRPr="00221D07">
        <w:rPr>
          <w:i/>
          <w:iCs/>
        </w:rPr>
        <w:t>bi</w:t>
      </w:r>
      <w:r w:rsidRPr="00221D07">
        <w:rPr>
          <w:i/>
          <w:iCs/>
        </w:rPr>
        <w:t>d</w:t>
      </w:r>
      <w:r w:rsidRPr="00221D07">
        <w:t>.)</w:t>
      </w:r>
    </w:p>
    <w:p w14:paraId="6E942365" w14:textId="77777777" w:rsidR="00E748F1" w:rsidRPr="00221D07" w:rsidRDefault="00E748F1" w:rsidP="00085776">
      <w:pPr>
        <w:pStyle w:val="BodyText"/>
        <w:widowControl/>
        <w:spacing w:line="360" w:lineRule="auto"/>
        <w:ind w:firstLine="620"/>
      </w:pPr>
      <w:r w:rsidRPr="00221D07">
        <w:t xml:space="preserve">The court of appeal disagreed.  </w:t>
      </w:r>
      <w:r>
        <w:t>T</w:t>
      </w:r>
      <w:r w:rsidRPr="00221D07">
        <w:t>he court acknowledged that, as a “general rule,” “the measure of damages for breach of a contract to accept and pay for the stock is the difference between the contract price and the market price at the time and place of delivery</w:t>
      </w:r>
      <w:r>
        <w:t>.</w:t>
      </w:r>
      <w:r w:rsidRPr="00221D07">
        <w:t xml:space="preserve">” </w:t>
      </w:r>
      <w:r>
        <w:t xml:space="preserve"> </w:t>
      </w:r>
      <w:r w:rsidRPr="00221D07">
        <w:t>(</w:t>
      </w:r>
      <w:r w:rsidRPr="00221D07">
        <w:rPr>
          <w:i/>
          <w:iCs/>
        </w:rPr>
        <w:t>Sackett</w:t>
      </w:r>
      <w:r w:rsidRPr="00221D07">
        <w:t xml:space="preserve">, </w:t>
      </w:r>
      <w:r w:rsidRPr="00221D07">
        <w:rPr>
          <w:i/>
          <w:iCs/>
        </w:rPr>
        <w:t>supra</w:t>
      </w:r>
      <w:r w:rsidRPr="00221D07">
        <w:t>, 248 Cal.App.2d at p. 235</w:t>
      </w:r>
      <w:r>
        <w:t>.</w:t>
      </w:r>
      <w:r w:rsidRPr="00221D07">
        <w:t>)</w:t>
      </w:r>
      <w:r>
        <w:t xml:space="preserve">  But</w:t>
      </w:r>
      <w:r w:rsidRPr="00221D07">
        <w:rPr>
          <w:i/>
          <w:iCs/>
        </w:rPr>
        <w:t xml:space="preserve"> </w:t>
      </w:r>
      <w:r w:rsidRPr="00221D07">
        <w:t xml:space="preserve">it concluded that this rule should not apply where, as here, </w:t>
      </w:r>
      <w:r w:rsidRPr="00221D07">
        <w:t>“there is no market available at the time and place of performance</w:t>
      </w:r>
      <w:r>
        <w:t>.</w:t>
      </w:r>
      <w:r w:rsidRPr="00221D07">
        <w:t>”</w:t>
      </w:r>
      <w:r>
        <w:t xml:space="preserve"> </w:t>
      </w:r>
      <w:r w:rsidRPr="00221D07">
        <w:t xml:space="preserve"> (</w:t>
      </w:r>
      <w:r>
        <w:rPr>
          <w:i/>
          <w:iCs/>
        </w:rPr>
        <w:t>I</w:t>
      </w:r>
      <w:r w:rsidRPr="00221D07">
        <w:rPr>
          <w:i/>
          <w:iCs/>
        </w:rPr>
        <w:t>d</w:t>
      </w:r>
      <w:r w:rsidRPr="00221D07">
        <w:rPr>
          <w:i/>
          <w:iCs/>
        </w:rPr>
        <w:t>.</w:t>
      </w:r>
      <w:r w:rsidRPr="00221D07">
        <w:t xml:space="preserve"> at p. 236</w:t>
      </w:r>
      <w:r>
        <w:t>.</w:t>
      </w:r>
      <w:r w:rsidRPr="00221D07">
        <w:t>)  Instead, “</w:t>
      </w:r>
      <w:r w:rsidRPr="00221D07">
        <w:t>resort may be had to the market of the goods at the nearest available market.”  (</w:t>
      </w:r>
      <w:r w:rsidRPr="00221D07">
        <w:rPr>
          <w:i/>
          <w:iCs/>
        </w:rPr>
        <w:t>Ibid</w:t>
      </w:r>
      <w:r w:rsidRPr="00221D07">
        <w:t xml:space="preserve">.)  </w:t>
      </w:r>
      <w:r w:rsidRPr="00221D07">
        <w:t>“[A]</w:t>
      </w:r>
      <w:proofErr w:type="spellStart"/>
      <w:r w:rsidRPr="00221D07">
        <w:t>nd</w:t>
      </w:r>
      <w:proofErr w:type="spellEnd"/>
      <w:r w:rsidRPr="00221D07">
        <w:t xml:space="preserve"> in the absence of an available</w:t>
      </w:r>
      <w:r w:rsidRPr="00221D07">
        <w:t xml:space="preserve"> market, . . . the measure of damages may be</w:t>
      </w:r>
      <w:r w:rsidRPr="00221D07">
        <w:t xml:space="preserve"> . . . the actual damages naturally and directly resulting from the buyer’s breach</w:t>
      </w:r>
      <w:r w:rsidRPr="00221D07">
        <w:t xml:space="preserve">.”  </w:t>
      </w:r>
      <w:r w:rsidRPr="00221D07">
        <w:t>(</w:t>
      </w:r>
      <w:r w:rsidRPr="00221D07">
        <w:rPr>
          <w:i/>
          <w:iCs/>
        </w:rPr>
        <w:t>Ibid.</w:t>
      </w:r>
      <w:r w:rsidRPr="00221D07">
        <w:t xml:space="preserve">)  </w:t>
      </w:r>
      <w:r w:rsidRPr="00221D07">
        <w:t>Moreover, even where there is an available market</w:t>
      </w:r>
      <w:r w:rsidRPr="00221D07">
        <w:t xml:space="preserve"> for the stock</w:t>
      </w:r>
      <w:r w:rsidRPr="00221D07">
        <w:t xml:space="preserve">, </w:t>
      </w:r>
      <w:proofErr w:type="gramStart"/>
      <w:r w:rsidRPr="00221D07">
        <w:t xml:space="preserve">“ </w:t>
      </w:r>
      <w:r w:rsidRPr="00221D07">
        <w:t>‘</w:t>
      </w:r>
      <w:proofErr w:type="gramEnd"/>
      <w:r w:rsidRPr="00221D07">
        <w:t>[t]</w:t>
      </w:r>
      <w:proofErr w:type="gramStart"/>
      <w:r w:rsidRPr="00221D07">
        <w:t>he</w:t>
      </w:r>
      <w:proofErr w:type="gramEnd"/>
      <w:r w:rsidRPr="00221D07">
        <w:t xml:space="preserve"> general rule that the measure of damages is the difference between the cont</w:t>
      </w:r>
      <w:r w:rsidRPr="00221D07">
        <w:t>ract price and the market value</w:t>
      </w:r>
      <w:r w:rsidRPr="00221D07">
        <w:t>’ ” at the time of breach</w:t>
      </w:r>
      <w:r w:rsidRPr="00221D07">
        <w:t xml:space="preserve"> </w:t>
      </w:r>
      <w:r w:rsidRPr="00221D07">
        <w:t xml:space="preserve">may not apply.  </w:t>
      </w:r>
      <w:r w:rsidRPr="00221D07">
        <w:t>(</w:t>
      </w:r>
      <w:r w:rsidRPr="00221D07">
        <w:rPr>
          <w:i/>
          <w:iCs/>
        </w:rPr>
        <w:t>Ibid</w:t>
      </w:r>
      <w:r w:rsidRPr="00221D07">
        <w:t>.)  Applying these principles, the court</w:t>
      </w:r>
      <w:r w:rsidRPr="00221D07">
        <w:t xml:space="preserve"> of appeal</w:t>
      </w:r>
      <w:r w:rsidRPr="00221D07">
        <w:t>, after considering events that occurred after the breach,</w:t>
      </w:r>
      <w:r w:rsidRPr="00221D07">
        <w:t xml:space="preserve"> concluded that </w:t>
      </w:r>
      <w:r w:rsidRPr="00221D07">
        <w:t>“the trial court could properly conclude that there was no available market for the stock at the time of [the buyer’s] breach.”  (</w:t>
      </w:r>
      <w:r w:rsidRPr="00221D07">
        <w:rPr>
          <w:i/>
          <w:iCs/>
        </w:rPr>
        <w:t>I</w:t>
      </w:r>
      <w:r>
        <w:rPr>
          <w:i/>
          <w:iCs/>
        </w:rPr>
        <w:t>bi</w:t>
      </w:r>
      <w:r w:rsidRPr="00221D07">
        <w:rPr>
          <w:i/>
          <w:iCs/>
        </w:rPr>
        <w:t>d.</w:t>
      </w:r>
      <w:r w:rsidRPr="00221D07">
        <w:t>)  The court reached this conclusion even though the seller was able to sell the stock</w:t>
      </w:r>
      <w:r w:rsidRPr="00221D07">
        <w:t xml:space="preserve"> after the breach</w:t>
      </w:r>
      <w:r w:rsidRPr="00221D07">
        <w:t>,</w:t>
      </w:r>
      <w:r w:rsidRPr="00221D07">
        <w:t xml:space="preserve"> </w:t>
      </w:r>
      <w:r w:rsidRPr="00221D07">
        <w:t xml:space="preserve">because the </w:t>
      </w:r>
      <w:r w:rsidRPr="00221D07">
        <w:lastRenderedPageBreak/>
        <w:t>publicization of the purchase agreement</w:t>
      </w:r>
      <w:r w:rsidRPr="00221D07">
        <w:t xml:space="preserve"> made resale extremely difficult for the seller after the buyer breached the agreement.  (</w:t>
      </w:r>
      <w:r w:rsidRPr="00221D07">
        <w:t>See</w:t>
      </w:r>
      <w:r w:rsidRPr="00221D07">
        <w:rPr>
          <w:i/>
          <w:iCs/>
        </w:rPr>
        <w:t xml:space="preserve"> i</w:t>
      </w:r>
      <w:r w:rsidRPr="00221D07">
        <w:rPr>
          <w:i/>
          <w:iCs/>
        </w:rPr>
        <w:t>d.</w:t>
      </w:r>
      <w:r w:rsidRPr="00221D07">
        <w:t xml:space="preserve"> at pp. 236</w:t>
      </w:r>
      <w:r w:rsidRPr="00221D07">
        <w:t>–</w:t>
      </w:r>
      <w:r w:rsidRPr="00221D07">
        <w:t>237</w:t>
      </w:r>
      <w:r w:rsidRPr="00221D07">
        <w:t xml:space="preserve"> [</w:t>
      </w:r>
      <w:r w:rsidRPr="00221D07">
        <w:t xml:space="preserve">testimony that </w:t>
      </w:r>
      <w:r w:rsidRPr="00221D07">
        <w:t xml:space="preserve">the </w:t>
      </w:r>
      <w:r w:rsidRPr="00221D07">
        <w:t>seller was “extremely fortunate to sell his stock” after the breach “tends to show the unavailability of a market for the stock at the time of the breach”]</w:t>
      </w:r>
      <w:r w:rsidRPr="00221D07">
        <w:t>.)</w:t>
      </w:r>
      <w:r w:rsidRPr="00221D07">
        <w:t xml:space="preserve">  The court </w:t>
      </w:r>
      <w:r w:rsidRPr="00221D07">
        <w:t xml:space="preserve">of appeal </w:t>
      </w:r>
      <w:r w:rsidRPr="00221D07">
        <w:t xml:space="preserve">therefore held that the trial court properly refused to measure damages using the market value of the stock </w:t>
      </w:r>
      <w:r w:rsidRPr="00221D07">
        <w:t>as of the</w:t>
      </w:r>
      <w:r w:rsidRPr="00221D07">
        <w:t xml:space="preserve"> date of breach.  (</w:t>
      </w:r>
      <w:r w:rsidRPr="00221D07">
        <w:rPr>
          <w:i/>
          <w:iCs/>
        </w:rPr>
        <w:t>Id.</w:t>
      </w:r>
      <w:r w:rsidRPr="00221D07">
        <w:t xml:space="preserve"> at p. 237.) </w:t>
      </w:r>
    </w:p>
    <w:p w14:paraId="441EDA6B" w14:textId="77777777" w:rsidR="00E748F1" w:rsidRPr="006E7597" w:rsidRDefault="00E748F1" w:rsidP="00085776">
      <w:pPr>
        <w:pStyle w:val="BodyText"/>
        <w:widowControl/>
        <w:spacing w:line="360" w:lineRule="auto"/>
        <w:ind w:firstLine="620"/>
      </w:pPr>
      <w:r w:rsidRPr="00221D07">
        <w:t xml:space="preserve">In accordance with the principles of contract damages described in </w:t>
      </w:r>
      <w:r w:rsidRPr="00221D07">
        <w:rPr>
          <w:i/>
          <w:iCs/>
        </w:rPr>
        <w:t>Sackett</w:t>
      </w:r>
      <w:r w:rsidRPr="00221D07">
        <w:t xml:space="preserve">, at least one court of appeal has held that damages for the loss of stock options due to the breach of a contract may be measured as of a date other than the date of breach based on equitable considerations.  In </w:t>
      </w:r>
      <w:r w:rsidRPr="00221D07">
        <w:rPr>
          <w:i/>
          <w:iCs/>
        </w:rPr>
        <w:t>Bertero</w:t>
      </w:r>
      <w:r w:rsidRPr="00221D07">
        <w:t>, the plaintiff filed an action for declaratory relief “with respect to the right</w:t>
      </w:r>
      <w:r w:rsidRPr="00221D07">
        <w:t>s</w:t>
      </w:r>
      <w:r w:rsidRPr="00221D07">
        <w:t xml:space="preserve"> and duties of himself and the defendants to three written contracts.”  (</w:t>
      </w:r>
      <w:r w:rsidRPr="00221D07">
        <w:rPr>
          <w:i/>
          <w:iCs/>
        </w:rPr>
        <w:t>Bertero</w:t>
      </w:r>
      <w:r w:rsidRPr="00221D07">
        <w:t xml:space="preserve">, </w:t>
      </w:r>
      <w:r w:rsidRPr="00221D07">
        <w:rPr>
          <w:i/>
          <w:iCs/>
        </w:rPr>
        <w:t>supra</w:t>
      </w:r>
      <w:r w:rsidRPr="00221D07">
        <w:t>, 254 Cal.App.2d at p. 129.)</w:t>
      </w:r>
      <w:r w:rsidRPr="00221D07">
        <w:rPr>
          <w:i/>
          <w:iCs/>
        </w:rPr>
        <w:t xml:space="preserve">  </w:t>
      </w:r>
      <w:r w:rsidRPr="00221D07">
        <w:t>In two of those contracts, the plaintiff received “options to purchase stock of his em</w:t>
      </w:r>
      <w:r w:rsidRPr="00221D07">
        <w:t>ployer,” the defendant.  (</w:t>
      </w:r>
      <w:r w:rsidRPr="00221D07">
        <w:rPr>
          <w:i/>
          <w:iCs/>
        </w:rPr>
        <w:t>Ibid.</w:t>
      </w:r>
      <w:r w:rsidRPr="00221D07">
        <w:t xml:space="preserve">)  The trial court found </w:t>
      </w:r>
      <w:r w:rsidRPr="006E7597">
        <w:t>“the options to be ‘valid, subsisting and enforceable</w:t>
      </w:r>
      <w:proofErr w:type="gramStart"/>
      <w:r w:rsidRPr="006E7597">
        <w:t>’ ”</w:t>
      </w:r>
      <w:proofErr w:type="gramEnd"/>
      <w:r w:rsidRPr="006E7597">
        <w:t xml:space="preserve"> and gave the defendant “the choice of either stipulating that [the options] should be extended so that [the plaintiff] should be accorded the benefit of a full seven-year term as to each, or of paying damages for their breach in the amount found by the trial court.”  (</w:t>
      </w:r>
      <w:r w:rsidRPr="006E7597">
        <w:rPr>
          <w:i/>
          <w:iCs/>
        </w:rPr>
        <w:t>Id.</w:t>
      </w:r>
      <w:r w:rsidRPr="006E7597">
        <w:t xml:space="preserve"> at p. 133.)  </w:t>
      </w:r>
    </w:p>
    <w:p w14:paraId="6EAE171B" w14:textId="77777777" w:rsidR="00E748F1" w:rsidRPr="00CD43B4" w:rsidRDefault="00E748F1" w:rsidP="00085776">
      <w:pPr>
        <w:pStyle w:val="BodyText"/>
        <w:widowControl/>
        <w:spacing w:line="360" w:lineRule="auto"/>
        <w:ind w:firstLine="620"/>
      </w:pPr>
      <w:r w:rsidRPr="006E7597">
        <w:t xml:space="preserve">In calculating the damages caused by the loss of the stock options, the trial court did not use the price of the defendant’s stock on March 29, 1962, the date of breach.  (See </w:t>
      </w:r>
      <w:r w:rsidRPr="006E7597">
        <w:rPr>
          <w:i/>
          <w:iCs/>
        </w:rPr>
        <w:t>Bertero</w:t>
      </w:r>
      <w:r w:rsidRPr="006E7597">
        <w:t xml:space="preserve">, </w:t>
      </w:r>
      <w:r w:rsidRPr="006E7597">
        <w:rPr>
          <w:i/>
          <w:iCs/>
        </w:rPr>
        <w:t>supra</w:t>
      </w:r>
      <w:r w:rsidRPr="006E7597">
        <w:t xml:space="preserve">, 254 Cal.App.2d at p. 140 [the defendant wrongfully terminated the plaintiff’s stock options on March 29, 1962].)  Instead, it apparently </w:t>
      </w:r>
      <w:r w:rsidRPr="006E7597">
        <w:t xml:space="preserve">found </w:t>
      </w:r>
      <w:r w:rsidRPr="006E7597">
        <w:t xml:space="preserve">that the </w:t>
      </w:r>
      <w:r w:rsidRPr="006E7597">
        <w:t xml:space="preserve">plaintiff would have exercised his </w:t>
      </w:r>
      <w:proofErr w:type="gramStart"/>
      <w:r w:rsidRPr="006E7597">
        <w:t>options</w:t>
      </w:r>
      <w:proofErr w:type="gramEnd"/>
      <w:r w:rsidRPr="006E7597">
        <w:t xml:space="preserve"> several years later and used the price of the defendant’s stock as </w:t>
      </w:r>
      <w:r w:rsidRPr="006E7597">
        <w:lastRenderedPageBreak/>
        <w:t>of that later date to calculate the plaintiff’s damages.</w:t>
      </w:r>
      <w:r w:rsidRPr="006E7597">
        <w:rPr>
          <w:rStyle w:val="FootnoteReference"/>
        </w:rPr>
        <w:t xml:space="preserve"> </w:t>
      </w:r>
      <w:r>
        <w:rPr>
          <w:rStyle w:val="FootnoteReference"/>
        </w:rPr>
        <w:footnoteReference w:id="19"/>
      </w:r>
      <w:r w:rsidRPr="006E7597">
        <w:t xml:space="preserve">  (See </w:t>
      </w:r>
      <w:r w:rsidRPr="006E7597">
        <w:rPr>
          <w:i/>
          <w:iCs/>
        </w:rPr>
        <w:t xml:space="preserve">id. </w:t>
      </w:r>
      <w:r w:rsidRPr="006E7597">
        <w:t>at p. 149.)  In affirming the trial court’s “alternative award for money damages with respect to the stock options,” the court of appeal</w:t>
      </w:r>
      <w:r w:rsidRPr="006E7597">
        <w:t xml:space="preserve"> </w:t>
      </w:r>
      <w:r w:rsidRPr="00CD43B4">
        <w:t>held that the trial court</w:t>
      </w:r>
      <w:r w:rsidRPr="00CD43B4">
        <w:t xml:space="preserve"> </w:t>
      </w:r>
      <w:r w:rsidRPr="00CD43B4">
        <w:t>properly considered the equities, including “events occurring up to the time of judgment,” to determine “the ascertainable value of the options</w:t>
      </w:r>
      <w:r w:rsidRPr="00CD43B4">
        <w:t>.</w:t>
      </w:r>
      <w:r w:rsidRPr="00CD43B4">
        <w:t>”</w:t>
      </w:r>
      <w:r>
        <w:t xml:space="preserve"> </w:t>
      </w:r>
      <w:r w:rsidRPr="00CD43B4">
        <w:t xml:space="preserve"> (</w:t>
      </w:r>
      <w:r w:rsidRPr="00185362">
        <w:rPr>
          <w:i/>
          <w:iCs/>
        </w:rPr>
        <w:t>Id</w:t>
      </w:r>
      <w:r>
        <w:t>.</w:t>
      </w:r>
      <w:r>
        <w:t xml:space="preserve"> </w:t>
      </w:r>
      <w:r w:rsidRPr="00CD43B4">
        <w:t>at p.</w:t>
      </w:r>
      <w:r>
        <w:t> </w:t>
      </w:r>
      <w:r w:rsidRPr="00CD43B4">
        <w:t>150</w:t>
      </w:r>
      <w:r w:rsidRPr="00CD43B4">
        <w:t>.</w:t>
      </w:r>
      <w:r w:rsidRPr="00CD43B4">
        <w:t xml:space="preserve">)  Moreover, the court </w:t>
      </w:r>
      <w:r>
        <w:t xml:space="preserve">of appeal </w:t>
      </w:r>
      <w:r w:rsidRPr="00CD43B4">
        <w:t>held</w:t>
      </w:r>
      <w:r w:rsidRPr="00CD43B4">
        <w:t xml:space="preserve"> that </w:t>
      </w:r>
      <w:proofErr w:type="gramStart"/>
      <w:r w:rsidRPr="00CD43B4">
        <w:t>“ ‘</w:t>
      </w:r>
      <w:proofErr w:type="gramEnd"/>
      <w:r w:rsidRPr="00CD43B4">
        <w:t xml:space="preserve">[o]ne </w:t>
      </w:r>
      <w:r w:rsidRPr="00CD43B4">
        <w:t>whose wrongful conduct has rendered difficult the ascertainment of the damages cannot escape liability because the damages c</w:t>
      </w:r>
      <w:r w:rsidRPr="00CD43B4">
        <w:t xml:space="preserve">ould not be measured with </w:t>
      </w:r>
      <w:r>
        <w:br/>
      </w:r>
      <w:r w:rsidRPr="00CD43B4">
        <w:t>exactness.’ ”  (</w:t>
      </w:r>
      <w:r w:rsidRPr="00CD43B4">
        <w:rPr>
          <w:i/>
          <w:iCs/>
        </w:rPr>
        <w:t>Id</w:t>
      </w:r>
      <w:r w:rsidRPr="00CD43B4">
        <w:t>. at</w:t>
      </w:r>
      <w:r w:rsidRPr="00CD43B4">
        <w:t xml:space="preserve"> p.</w:t>
      </w:r>
      <w:r>
        <w:t> </w:t>
      </w:r>
      <w:r w:rsidRPr="00CD43B4">
        <w:t>151.)</w:t>
      </w:r>
    </w:p>
    <w:p w14:paraId="27B957A7" w14:textId="77777777" w:rsidR="00E748F1" w:rsidRPr="00CD43B4" w:rsidRDefault="00E748F1" w:rsidP="00085776">
      <w:pPr>
        <w:pStyle w:val="BodyText"/>
        <w:widowControl/>
        <w:spacing w:line="360" w:lineRule="auto"/>
        <w:ind w:left="0" w:firstLine="720"/>
      </w:pPr>
      <w:r w:rsidRPr="00CD43B4">
        <w:t xml:space="preserve">Finally, measuring damages for lost stock options as of a date other than the date of breach </w:t>
      </w:r>
      <w:r w:rsidRPr="00CD43B4">
        <w:t>if, for example,</w:t>
      </w:r>
      <w:r w:rsidRPr="00CD43B4">
        <w:t xml:space="preserve"> there is no market available for the stock at the time of </w:t>
      </w:r>
      <w:r w:rsidRPr="00CD43B4">
        <w:t xml:space="preserve">the </w:t>
      </w:r>
      <w:r w:rsidRPr="00CD43B4">
        <w:t xml:space="preserve">breach comports with the </w:t>
      </w:r>
      <w:r w:rsidRPr="00CD43B4">
        <w:t>theory</w:t>
      </w:r>
      <w:r w:rsidRPr="00CD43B4">
        <w:t xml:space="preserve"> </w:t>
      </w:r>
      <w:r w:rsidRPr="00CD43B4">
        <w:t xml:space="preserve">behind contract </w:t>
      </w:r>
      <w:proofErr w:type="gramStart"/>
      <w:r w:rsidRPr="00CD43B4">
        <w:lastRenderedPageBreak/>
        <w:t>damages</w:t>
      </w:r>
      <w:proofErr w:type="gramEnd"/>
      <w:r w:rsidRPr="00CD43B4">
        <w:t>.  As the Third Circuit explained in</w:t>
      </w:r>
      <w:r w:rsidRPr="00CD43B4">
        <w:t xml:space="preserve"> </w:t>
      </w:r>
      <w:r w:rsidRPr="00CD43B4">
        <w:rPr>
          <w:i/>
          <w:iCs/>
        </w:rPr>
        <w:t xml:space="preserve">Scully v. US </w:t>
      </w:r>
      <w:r w:rsidRPr="00CD43B4">
        <w:rPr>
          <w:i/>
          <w:iCs/>
        </w:rPr>
        <w:t>WATS, Inc.</w:t>
      </w:r>
      <w:r w:rsidRPr="00CD43B4">
        <w:t xml:space="preserve"> (</w:t>
      </w:r>
      <w:r w:rsidRPr="00CD43B4">
        <w:t xml:space="preserve">3d Cir. </w:t>
      </w:r>
      <w:r w:rsidRPr="00CD43B4">
        <w:t>2001) 238 F.3d 497</w:t>
      </w:r>
      <w:r w:rsidRPr="00CD43B4">
        <w:t xml:space="preserve">, </w:t>
      </w:r>
      <w:r w:rsidRPr="00CD43B4">
        <w:t xml:space="preserve">510 </w:t>
      </w:r>
      <w:r w:rsidRPr="00CD43B4">
        <w:t>(</w:t>
      </w:r>
      <w:r w:rsidRPr="00CD43B4">
        <w:rPr>
          <w:i/>
          <w:iCs/>
        </w:rPr>
        <w:t>Scully</w:t>
      </w:r>
      <w:r w:rsidRPr="00CD43B4">
        <w:t>)</w:t>
      </w:r>
      <w:r w:rsidRPr="00CD43B4">
        <w:t xml:space="preserve">, </w:t>
      </w:r>
      <w:r w:rsidRPr="00CD43B4">
        <w:t>the contract theory of damages</w:t>
      </w:r>
      <w:r w:rsidRPr="00CD43B4">
        <w:t xml:space="preserve"> </w:t>
      </w:r>
      <w:r w:rsidRPr="00CD43B4">
        <w:t>“presume</w:t>
      </w:r>
      <w:r w:rsidRPr="00CD43B4">
        <w:t>[s]</w:t>
      </w:r>
      <w:r w:rsidRPr="00CD43B4">
        <w:t xml:space="preserve"> that a plaintiff </w:t>
      </w:r>
      <w:proofErr w:type="gramStart"/>
      <w:r w:rsidRPr="00CD43B4">
        <w:t>has the ability to</w:t>
      </w:r>
      <w:proofErr w:type="gramEnd"/>
      <w:r w:rsidRPr="00CD43B4">
        <w:t xml:space="preserve"> ‘cover,’ in other words, mitigate</w:t>
      </w:r>
      <w:r w:rsidRPr="00CD43B4">
        <w:t xml:space="preserve"> damages by protecting prospective profit, by </w:t>
      </w:r>
      <w:r w:rsidRPr="00CD43B4">
        <w:rPr>
          <w:i/>
          <w:iCs/>
        </w:rPr>
        <w:t>entering the market</w:t>
      </w:r>
      <w:r w:rsidRPr="00CD43B4">
        <w:t xml:space="preserve"> to purchase the lost shares.” </w:t>
      </w:r>
      <w:r w:rsidRPr="00CD43B4">
        <w:t xml:space="preserve"> </w:t>
      </w:r>
      <w:r w:rsidRPr="00CD43B4">
        <w:t>(</w:t>
      </w:r>
      <w:r w:rsidRPr="00CD43B4">
        <w:rPr>
          <w:i/>
          <w:iCs/>
        </w:rPr>
        <w:t>I</w:t>
      </w:r>
      <w:r>
        <w:rPr>
          <w:i/>
          <w:iCs/>
        </w:rPr>
        <w:t>bid</w:t>
      </w:r>
      <w:r w:rsidRPr="00CD43B4">
        <w:t>.</w:t>
      </w:r>
      <w:r w:rsidRPr="00CD43B4">
        <w:t>, italics added.</w:t>
      </w:r>
      <w:r w:rsidRPr="00CD43B4">
        <w:t>)</w:t>
      </w:r>
      <w:r w:rsidRPr="00CD43B4">
        <w:t xml:space="preserve">  </w:t>
      </w:r>
      <w:r w:rsidRPr="00CD43B4">
        <w:t>Based on</w:t>
      </w:r>
      <w:r w:rsidRPr="00CD43B4">
        <w:t xml:space="preserve"> this presumption</w:t>
      </w:r>
      <w:r w:rsidRPr="00CD43B4">
        <w:t>, t</w:t>
      </w:r>
      <w:r w:rsidRPr="00CD43B4">
        <w:t>he contract theory “put</w:t>
      </w:r>
      <w:r w:rsidRPr="00CD43B4">
        <w:t>s</w:t>
      </w:r>
      <w:r w:rsidRPr="00CD43B4">
        <w:t xml:space="preserve"> the onus on a plaintiff to cover </w:t>
      </w:r>
      <w:r w:rsidRPr="00CD43B4">
        <w:rPr>
          <w:i/>
          <w:iCs/>
        </w:rPr>
        <w:t>immediately upon the breach</w:t>
      </w:r>
      <w:r w:rsidRPr="00CD43B4">
        <w:t>.”  (</w:t>
      </w:r>
      <w:r w:rsidRPr="00CD43B4">
        <w:rPr>
          <w:i/>
          <w:iCs/>
        </w:rPr>
        <w:t>Ibid.</w:t>
      </w:r>
      <w:r w:rsidRPr="00CD43B4">
        <w:t>, italics added.</w:t>
      </w:r>
      <w:r w:rsidRPr="00CD43B4">
        <w:t xml:space="preserve">)  </w:t>
      </w:r>
      <w:r w:rsidRPr="00CD43B4">
        <w:t xml:space="preserve">Thus, when the plaintiff is, in theory, able to purchase </w:t>
      </w:r>
      <w:r w:rsidRPr="00CD43B4">
        <w:t>his</w:t>
      </w:r>
      <w:r w:rsidRPr="00CD43B4">
        <w:t xml:space="preserve"> lost shares at the time of the breach, </w:t>
      </w:r>
      <w:r w:rsidRPr="00CD43B4">
        <w:t xml:space="preserve">contract </w:t>
      </w:r>
      <w:r w:rsidRPr="00CD43B4">
        <w:t>“damages are fixed as of the breach date.”  (</w:t>
      </w:r>
      <w:r w:rsidRPr="00CD43B4">
        <w:rPr>
          <w:i/>
          <w:iCs/>
        </w:rPr>
        <w:t>Ibid.</w:t>
      </w:r>
      <w:r w:rsidRPr="00CD43B4">
        <w:t xml:space="preserve">)  </w:t>
      </w:r>
    </w:p>
    <w:p w14:paraId="0C646A6D" w14:textId="77777777" w:rsidR="00E748F1" w:rsidRPr="00AA79B4" w:rsidRDefault="00E748F1" w:rsidP="00085776">
      <w:pPr>
        <w:pStyle w:val="BodyText"/>
        <w:widowControl/>
        <w:spacing w:line="360" w:lineRule="auto"/>
        <w:ind w:left="0" w:firstLine="720"/>
        <w:rPr>
          <w:i/>
          <w:iCs/>
        </w:rPr>
      </w:pPr>
      <w:r w:rsidRPr="00CD43B4">
        <w:t>But th</w:t>
      </w:r>
      <w:r w:rsidRPr="00CD43B4">
        <w:t>at</w:t>
      </w:r>
      <w:r w:rsidRPr="00CD43B4">
        <w:t xml:space="preserve"> reasoning </w:t>
      </w:r>
      <w:r w:rsidRPr="00CD43B4">
        <w:t>no longer applies</w:t>
      </w:r>
      <w:r w:rsidRPr="00CD43B4">
        <w:t xml:space="preserve"> </w:t>
      </w:r>
      <w:r w:rsidRPr="00CD43B4">
        <w:t>if</w:t>
      </w:r>
      <w:r w:rsidRPr="00CD43B4">
        <w:t xml:space="preserve"> there is no </w:t>
      </w:r>
      <w:r w:rsidRPr="00CD43B4">
        <w:t>available</w:t>
      </w:r>
      <w:r w:rsidRPr="00CD43B4">
        <w:t xml:space="preserve"> market for the stock at the time of breach because the plaintiff can</w:t>
      </w:r>
      <w:r w:rsidRPr="00CD43B4">
        <w:t>not</w:t>
      </w:r>
      <w:r w:rsidRPr="00CD43B4">
        <w:t xml:space="preserve"> cover his </w:t>
      </w:r>
      <w:r w:rsidRPr="00CD43B4">
        <w:t>damag</w:t>
      </w:r>
      <w:r w:rsidRPr="00CD43B4">
        <w:t>es</w:t>
      </w:r>
      <w:r w:rsidRPr="00CD43B4">
        <w:t xml:space="preserve"> by purchasing </w:t>
      </w:r>
      <w:r w:rsidRPr="00CD43B4">
        <w:t>the</w:t>
      </w:r>
      <w:r w:rsidRPr="00CD43B4">
        <w:t xml:space="preserve"> lost shares immediately upon the breach</w:t>
      </w:r>
      <w:r w:rsidRPr="00CD43B4">
        <w:t xml:space="preserve">.  </w:t>
      </w:r>
      <w:r w:rsidRPr="00CD43B4">
        <w:t xml:space="preserve">In that circumstance, “the blurring between </w:t>
      </w:r>
      <w:bookmarkStart w:id="2" w:name="_Hlk161922458"/>
      <w:r w:rsidRPr="00CD43B4">
        <w:t>conversion and breach of contract remedies may be justified”</w:t>
      </w:r>
      <w:bookmarkEnd w:id="2"/>
      <w:r w:rsidRPr="00CD43B4">
        <w:t xml:space="preserve"> as suggested by </w:t>
      </w:r>
      <w:r w:rsidRPr="00CD43B4">
        <w:rPr>
          <w:i/>
          <w:iCs/>
        </w:rPr>
        <w:t>Scully</w:t>
      </w:r>
      <w:r>
        <w:t xml:space="preserve">, </w:t>
      </w:r>
      <w:r>
        <w:rPr>
          <w:i/>
          <w:iCs/>
        </w:rPr>
        <w:t>supra</w:t>
      </w:r>
      <w:r>
        <w:t>, 238 F.3d at page 512</w:t>
      </w:r>
      <w:r w:rsidRPr="00CD43B4">
        <w:t>,</w:t>
      </w:r>
      <w:r w:rsidRPr="00CD43B4">
        <w:t xml:space="preserve"> </w:t>
      </w:r>
      <w:r w:rsidRPr="00CD43B4">
        <w:t>because “[t]he conversion theory extends the cover date to a ‘reasonable time’ in</w:t>
      </w:r>
      <w:r w:rsidRPr="00CD43B4">
        <w:t>to</w:t>
      </w:r>
      <w:r w:rsidRPr="00CD43B4">
        <w:t xml:space="preserve"> the future” when the plaintiff could have mitigated </w:t>
      </w:r>
      <w:r w:rsidRPr="00CD43B4">
        <w:t>the</w:t>
      </w:r>
      <w:r w:rsidRPr="00CD43B4">
        <w:t xml:space="preserve"> </w:t>
      </w:r>
      <w:r w:rsidRPr="00CD43B4">
        <w:t>damag</w:t>
      </w:r>
      <w:r w:rsidRPr="00CD43B4">
        <w:t xml:space="preserve">es </w:t>
      </w:r>
      <w:r w:rsidRPr="00CD43B4">
        <w:t>caused by the breach (</w:t>
      </w:r>
      <w:r w:rsidRPr="00CD43B4">
        <w:rPr>
          <w:i/>
          <w:iCs/>
        </w:rPr>
        <w:t>id.</w:t>
      </w:r>
      <w:r w:rsidRPr="00CD43B4">
        <w:t xml:space="preserve"> at p. 510</w:t>
      </w:r>
      <w:r w:rsidRPr="00F179DB">
        <w:t xml:space="preserve">).  This, in turn, “allows a plaintiff to recover, to a limited extent, a relevant benefit of his bargain, namely the prospect of future profits which provide the fundamental underpinning to stock options” granted to employees of startups like </w:t>
      </w:r>
      <w:proofErr w:type="spellStart"/>
      <w:r w:rsidRPr="00F179DB">
        <w:t>Skillz</w:t>
      </w:r>
      <w:proofErr w:type="spellEnd"/>
      <w:r w:rsidRPr="00F179DB">
        <w:t>.  (</w:t>
      </w:r>
      <w:r w:rsidRPr="00F179DB">
        <w:rPr>
          <w:i/>
          <w:iCs/>
        </w:rPr>
        <w:t>Ibid</w:t>
      </w:r>
      <w:r w:rsidRPr="0055138A">
        <w:rPr>
          <w:i/>
          <w:iCs/>
        </w:rPr>
        <w:t>.</w:t>
      </w:r>
      <w:r w:rsidRPr="0055138A">
        <w:t xml:space="preserve">; see </w:t>
      </w:r>
      <w:r w:rsidRPr="0055138A">
        <w:rPr>
          <w:i/>
          <w:iCs/>
        </w:rPr>
        <w:t>Bertero</w:t>
      </w:r>
      <w:r w:rsidRPr="0055138A">
        <w:t xml:space="preserve">, </w:t>
      </w:r>
      <w:r w:rsidRPr="0055138A">
        <w:rPr>
          <w:i/>
          <w:iCs/>
        </w:rPr>
        <w:t>supra</w:t>
      </w:r>
      <w:r w:rsidRPr="0055138A">
        <w:t xml:space="preserve">, 254 Cal.App.2d at p. 141 </w:t>
      </w:r>
      <w:r w:rsidRPr="0055138A">
        <w:t>[the “unique value” of stock options comes from the ability of option holders to profit when the sale price of the stock exceeds the exercise price of the option].</w:t>
      </w:r>
      <w:r w:rsidRPr="0055138A">
        <w:t xml:space="preserve">)  </w:t>
      </w:r>
      <w:r w:rsidRPr="0055138A">
        <w:t>Indeed, measuring damages from the date of breach</w:t>
      </w:r>
      <w:r w:rsidRPr="0055138A">
        <w:t xml:space="preserve">, rather than </w:t>
      </w:r>
      <w:r w:rsidRPr="0055138A">
        <w:t>a</w:t>
      </w:r>
      <w:r w:rsidRPr="0055138A">
        <w:t xml:space="preserve"> date in the future,</w:t>
      </w:r>
      <w:r w:rsidRPr="0055138A">
        <w:t xml:space="preserve"> in </w:t>
      </w:r>
      <w:r w:rsidRPr="0055138A">
        <w:t>cases where there is no market for the stock at the time of the breach</w:t>
      </w:r>
      <w:r w:rsidRPr="0055138A">
        <w:t xml:space="preserve"> does not “achieve the requisite end of putting</w:t>
      </w:r>
      <w:r w:rsidRPr="00AA79B4">
        <w:t>” the nonbreaching party “in the position most closely reflecting the one he would have held absent [the] breach.”  (</w:t>
      </w:r>
      <w:r w:rsidRPr="00F74BA9">
        <w:rPr>
          <w:i/>
          <w:iCs/>
        </w:rPr>
        <w:t>Scully</w:t>
      </w:r>
      <w:r w:rsidRPr="00F74BA9">
        <w:t xml:space="preserve">, </w:t>
      </w:r>
      <w:r w:rsidRPr="00AA79B4">
        <w:t>at p. 512.</w:t>
      </w:r>
      <w:r w:rsidRPr="00AA79B4">
        <w:rPr>
          <w:i/>
          <w:iCs/>
        </w:rPr>
        <w:t>)</w:t>
      </w:r>
    </w:p>
    <w:p w14:paraId="03539964" w14:textId="77777777" w:rsidR="00E748F1" w:rsidRPr="00410B5B" w:rsidRDefault="00E748F1" w:rsidP="00085776">
      <w:pPr>
        <w:pStyle w:val="BodyText"/>
        <w:widowControl/>
        <w:spacing w:line="360" w:lineRule="auto"/>
        <w:ind w:firstLine="620"/>
      </w:pPr>
      <w:r w:rsidRPr="00AA79B4">
        <w:rPr>
          <w:i/>
          <w:iCs/>
        </w:rPr>
        <w:lastRenderedPageBreak/>
        <w:t>Moser v. Encore Capital Group, Inc.</w:t>
      </w:r>
      <w:r w:rsidRPr="00AA79B4">
        <w:t xml:space="preserve"> (</w:t>
      </w:r>
      <w:r w:rsidRPr="00AA79B4">
        <w:t xml:space="preserve">S.D. Cal. </w:t>
      </w:r>
      <w:r w:rsidRPr="00AA79B4">
        <w:t>2012) 9</w:t>
      </w:r>
      <w:r w:rsidRPr="00AA79B4">
        <w:t>64 F.Supp.2d 1224</w:t>
      </w:r>
      <w:r w:rsidRPr="00AA79B4">
        <w:t xml:space="preserve"> (</w:t>
      </w:r>
      <w:r w:rsidRPr="00AA79B4">
        <w:rPr>
          <w:i/>
          <w:iCs/>
        </w:rPr>
        <w:t>Moser</w:t>
      </w:r>
      <w:r w:rsidRPr="00AA79B4">
        <w:t>)</w:t>
      </w:r>
      <w:r w:rsidRPr="00AA79B4">
        <w:t xml:space="preserve"> reinforces this conclusion</w:t>
      </w:r>
      <w:r w:rsidRPr="00EB213C">
        <w:t xml:space="preserve">.  In </w:t>
      </w:r>
      <w:r w:rsidRPr="00EB213C">
        <w:rPr>
          <w:i/>
          <w:iCs/>
        </w:rPr>
        <w:t>Moser</w:t>
      </w:r>
      <w:r w:rsidRPr="00EB213C">
        <w:t>, the federal district court acknowledged</w:t>
      </w:r>
      <w:r w:rsidRPr="00EB213C">
        <w:t xml:space="preserve"> that “valuing stock options on the date of the breach is typically preferable to utilizing a valuation date that is based solely on a plaintiff’s speculation as to when he ‘would have’ exercised his options.”</w:t>
      </w:r>
      <w:r w:rsidRPr="00EB213C">
        <w:t xml:space="preserve">  (</w:t>
      </w:r>
      <w:r w:rsidRPr="00EB213C">
        <w:rPr>
          <w:i/>
          <w:iCs/>
        </w:rPr>
        <w:t>Id</w:t>
      </w:r>
      <w:r w:rsidRPr="00EB213C">
        <w:t xml:space="preserve">. at p. 1226.)  However, the court </w:t>
      </w:r>
      <w:r w:rsidRPr="00EB213C">
        <w:t>also recognized</w:t>
      </w:r>
      <w:r w:rsidRPr="00EB213C">
        <w:t xml:space="preserve"> that</w:t>
      </w:r>
      <w:r w:rsidRPr="00EB213C">
        <w:t xml:space="preserve"> </w:t>
      </w:r>
      <w:r w:rsidRPr="00EB213C">
        <w:t>“</w:t>
      </w:r>
      <w:r w:rsidRPr="00EB213C">
        <w:t xml:space="preserve">[a] </w:t>
      </w:r>
      <w:r w:rsidRPr="00EB213C">
        <w:t xml:space="preserve">valuation date </w:t>
      </w:r>
      <w:proofErr w:type="gramStart"/>
      <w:r w:rsidRPr="00EB213C">
        <w:t>subsequent to</w:t>
      </w:r>
      <w:proofErr w:type="gramEnd"/>
      <w:r w:rsidRPr="00EB213C">
        <w:t xml:space="preserve"> the breach may </w:t>
      </w:r>
      <w:r w:rsidRPr="00EB213C">
        <w:t xml:space="preserve">. . . </w:t>
      </w:r>
      <w:r w:rsidRPr="00EB213C">
        <w:t xml:space="preserve">be appropriate in certain limited circumstances where ‘adequate evidence confirm[s] a plaintiff’s professed intent </w:t>
      </w:r>
      <w:r w:rsidRPr="00EB213C">
        <w:t>concerning the exercise’ of his stock options.”  (</w:t>
      </w:r>
      <w:r w:rsidRPr="00EB213C">
        <w:rPr>
          <w:i/>
          <w:iCs/>
        </w:rPr>
        <w:t>Ibid.</w:t>
      </w:r>
      <w:r w:rsidRPr="00EB213C">
        <w:t>)</w:t>
      </w:r>
      <w:r w:rsidRPr="00EB213C">
        <w:t xml:space="preserve">  </w:t>
      </w:r>
      <w:r w:rsidRPr="00EB213C">
        <w:t>For example, “if a plaintiff presents credible, convincing evidence that he would have exercised his options on a specific date, then a court may use that date as the valuation date.”  (</w:t>
      </w:r>
      <w:r w:rsidRPr="00EB213C">
        <w:rPr>
          <w:i/>
          <w:iCs/>
        </w:rPr>
        <w:t xml:space="preserve">Id. </w:t>
      </w:r>
      <w:r w:rsidRPr="00EB213C">
        <w:t>at p. 1227</w:t>
      </w:r>
      <w:r w:rsidRPr="00F74BA9">
        <w:t>.)</w:t>
      </w:r>
      <w:r w:rsidRPr="00F74BA9">
        <w:t xml:space="preserve"> </w:t>
      </w:r>
      <w:r w:rsidRPr="00F74BA9">
        <w:t xml:space="preserve"> </w:t>
      </w:r>
      <w:r w:rsidRPr="00F74BA9">
        <w:t>T</w:t>
      </w:r>
      <w:r w:rsidRPr="00F74BA9">
        <w:t>hat evidence should “</w:t>
      </w:r>
      <w:proofErr w:type="gramStart"/>
      <w:r w:rsidRPr="00F74BA9">
        <w:t>indicate[</w:t>
      </w:r>
      <w:proofErr w:type="gramEnd"/>
      <w:r w:rsidRPr="00F74BA9">
        <w:t>]</w:t>
      </w:r>
      <w:r w:rsidRPr="00F74BA9">
        <w:t xml:space="preserve"> that </w:t>
      </w:r>
      <w:r w:rsidRPr="00F74BA9">
        <w:t xml:space="preserve">[the plaintiff’s] </w:t>
      </w:r>
      <w:r w:rsidRPr="00F74BA9">
        <w:t>intent to sell on a particula</w:t>
      </w:r>
      <w:r w:rsidRPr="00F74BA9">
        <w:t>r date was formulated before he had the benefit of hindsight.”</w:t>
      </w:r>
      <w:r w:rsidRPr="00F74BA9">
        <w:t xml:space="preserve"> </w:t>
      </w:r>
      <w:r w:rsidRPr="00F74BA9">
        <w:t xml:space="preserve"> </w:t>
      </w:r>
      <w:r w:rsidRPr="00F74BA9">
        <w:t>(</w:t>
      </w:r>
      <w:r w:rsidRPr="00F74BA9">
        <w:rPr>
          <w:i/>
          <w:iCs/>
        </w:rPr>
        <w:t>Id</w:t>
      </w:r>
      <w:r w:rsidRPr="00F74BA9">
        <w:t>. at p. 1228</w:t>
      </w:r>
      <w:r w:rsidRPr="00F74BA9">
        <w:t xml:space="preserve">; see </w:t>
      </w:r>
      <w:r w:rsidRPr="00F74BA9">
        <w:rPr>
          <w:i/>
          <w:iCs/>
        </w:rPr>
        <w:t>Scully</w:t>
      </w:r>
      <w:r w:rsidRPr="00F74BA9">
        <w:t xml:space="preserve">, </w:t>
      </w:r>
      <w:r w:rsidRPr="00F74BA9">
        <w:rPr>
          <w:i/>
          <w:iCs/>
        </w:rPr>
        <w:t>supra</w:t>
      </w:r>
      <w:r w:rsidRPr="00F74BA9">
        <w:t>, 238 F.3d at pp. 512</w:t>
      </w:r>
      <w:r w:rsidRPr="00F74BA9">
        <w:t>–</w:t>
      </w:r>
      <w:r w:rsidRPr="00F74BA9">
        <w:t>513</w:t>
      </w:r>
      <w:r w:rsidRPr="00F74BA9">
        <w:t xml:space="preserve"> </w:t>
      </w:r>
      <w:r w:rsidRPr="00F74BA9">
        <w:t>[</w:t>
      </w:r>
      <w:r w:rsidRPr="00F74BA9">
        <w:t>“</w:t>
      </w:r>
      <w:r w:rsidRPr="00F74BA9">
        <w:t xml:space="preserve">in the absence of a district court’s express credibility finding or other convincing evidence,” </w:t>
      </w:r>
      <w:r w:rsidRPr="00F74BA9">
        <w:t>we</w:t>
      </w:r>
      <w:r w:rsidRPr="00F74BA9">
        <w:t xml:space="preserve"> “</w:t>
      </w:r>
      <w:r w:rsidRPr="00F74BA9">
        <w:t>cannot acce</w:t>
      </w:r>
      <w:r w:rsidRPr="00F74BA9">
        <w:t>pt a plaintiff’s after-the-fact assertion that he would have sold stock at a time that, in hi</w:t>
      </w:r>
      <w:r w:rsidRPr="00F74BA9">
        <w:t>nd</w:t>
      </w:r>
      <w:r w:rsidRPr="00F74BA9">
        <w:t>sight, would have been particularly advantageous”</w:t>
      </w:r>
      <w:r w:rsidRPr="00F74BA9">
        <w:t>].)</w:t>
      </w:r>
      <w:r w:rsidRPr="00F74BA9">
        <w:t xml:space="preserve"> </w:t>
      </w:r>
      <w:r w:rsidRPr="00F74BA9">
        <w:t xml:space="preserve"> </w:t>
      </w:r>
      <w:r w:rsidRPr="00F74BA9">
        <w:t xml:space="preserve">Under this reasoning, evidence that the plaintiff had little or no ability to sell his stock at the time of the breach would </w:t>
      </w:r>
      <w:r w:rsidRPr="00F74BA9">
        <w:t>appear to</w:t>
      </w:r>
      <w:r w:rsidRPr="00F74BA9">
        <w:t xml:space="preserve"> justify a valuation date after the date of breach.</w:t>
      </w:r>
    </w:p>
    <w:p w14:paraId="393030E0" w14:textId="77777777" w:rsidR="00E748F1" w:rsidRPr="00FA4879" w:rsidRDefault="00E748F1" w:rsidP="00085776">
      <w:pPr>
        <w:pStyle w:val="BodyText"/>
        <w:widowControl/>
        <w:spacing w:line="360" w:lineRule="auto"/>
        <w:ind w:firstLine="620"/>
      </w:pPr>
      <w:r>
        <w:t xml:space="preserve">The California cases cited by </w:t>
      </w:r>
      <w:proofErr w:type="spellStart"/>
      <w:r>
        <w:t>Skillz</w:t>
      </w:r>
      <w:proofErr w:type="spellEnd"/>
      <w:r>
        <w:t xml:space="preserve"> do not compel a contrary conclusion.  In </w:t>
      </w:r>
      <w:r>
        <w:rPr>
          <w:i/>
          <w:iCs/>
        </w:rPr>
        <w:t>Maughan v. Correia</w:t>
      </w:r>
      <w:r>
        <w:t xml:space="preserve"> (2012) 210 Cal.App.4th 507 (</w:t>
      </w:r>
      <w:r>
        <w:rPr>
          <w:i/>
          <w:iCs/>
        </w:rPr>
        <w:t>Maughan</w:t>
      </w:r>
      <w:r>
        <w:t>) and</w:t>
      </w:r>
      <w:r>
        <w:rPr>
          <w:i/>
          <w:iCs/>
        </w:rPr>
        <w:t xml:space="preserve"> Ryan v. Crown Castle NG Networks, Inc. </w:t>
      </w:r>
      <w:r>
        <w:t>(2016) 6 Cal.App.5th 7</w:t>
      </w:r>
      <w:r>
        <w:t>7</w:t>
      </w:r>
      <w:r>
        <w:t>5 (</w:t>
      </w:r>
      <w:r>
        <w:rPr>
          <w:i/>
          <w:iCs/>
        </w:rPr>
        <w:t>Ryan</w:t>
      </w:r>
      <w:r>
        <w:t xml:space="preserve">), there was no dispute that damages for the lost stock options should be measured as of the date of breach.  (See </w:t>
      </w:r>
      <w:r>
        <w:rPr>
          <w:i/>
          <w:iCs/>
        </w:rPr>
        <w:t>Maughan</w:t>
      </w:r>
      <w:r>
        <w:t xml:space="preserve">, at p. 519 [“The parties agree that the measure of Maureen’s damages for Maurice’s breach of contract is the difference between the fair market value at the time of the </w:t>
      </w:r>
      <w:r>
        <w:lastRenderedPageBreak/>
        <w:t xml:space="preserve">breach of the additional RHI stock Maureen </w:t>
      </w:r>
      <w:r>
        <w:t xml:space="preserve">sought to purchase, and the agreed upon option price for that stock”]; </w:t>
      </w:r>
      <w:r>
        <w:rPr>
          <w:i/>
          <w:iCs/>
        </w:rPr>
        <w:t>Ryan</w:t>
      </w:r>
      <w:r>
        <w:t xml:space="preserve">, at p. 788 [“Defendant did not contest any of the variables used by plaintiff’s expert to calculate” the value of the stock options].)  Thus, neither case resolved the issue presented here.  (See </w:t>
      </w:r>
      <w:r>
        <w:rPr>
          <w:i/>
          <w:iCs/>
        </w:rPr>
        <w:t xml:space="preserve">In re Noah S. </w:t>
      </w:r>
      <w:r>
        <w:t xml:space="preserve">(2021) 67 Cal.App.5th 410, 416 </w:t>
      </w:r>
      <w:proofErr w:type="gramStart"/>
      <w:r>
        <w:t>[“ ‘</w:t>
      </w:r>
      <w:proofErr w:type="gramEnd"/>
      <w:r>
        <w:t>Cases are not authority . . . for issues not raised and resolved’ ”].)</w:t>
      </w:r>
    </w:p>
    <w:p w14:paraId="08CFC6EA" w14:textId="77777777" w:rsidR="00E748F1" w:rsidRDefault="00E748F1" w:rsidP="00085776">
      <w:pPr>
        <w:pStyle w:val="BodyText"/>
        <w:widowControl/>
        <w:spacing w:line="360" w:lineRule="auto"/>
        <w:ind w:firstLine="620"/>
      </w:pPr>
      <w:r>
        <w:t xml:space="preserve">The same is true for </w:t>
      </w:r>
      <w:r>
        <w:rPr>
          <w:i/>
          <w:iCs/>
        </w:rPr>
        <w:t xml:space="preserve">Peek v. Steinberg </w:t>
      </w:r>
      <w:r>
        <w:t>(1912) 163 Cal. 127 (</w:t>
      </w:r>
      <w:r>
        <w:rPr>
          <w:i/>
          <w:iCs/>
        </w:rPr>
        <w:t>Peek</w:t>
      </w:r>
      <w:r>
        <w:t xml:space="preserve">).  In </w:t>
      </w:r>
      <w:r>
        <w:rPr>
          <w:i/>
          <w:iCs/>
        </w:rPr>
        <w:t>Peek</w:t>
      </w:r>
      <w:r>
        <w:t>, the plaintiff “was to receive ‘paid up stock in said corporation to the amount of $12,000</w:t>
      </w:r>
      <w:proofErr w:type="gramStart"/>
      <w:r>
        <w:t>’ ”</w:t>
      </w:r>
      <w:proofErr w:type="gramEnd"/>
      <w:r>
        <w:t xml:space="preserve"> under the agreement at issue.  (</w:t>
      </w:r>
      <w:r>
        <w:rPr>
          <w:i/>
          <w:iCs/>
        </w:rPr>
        <w:t>Id.</w:t>
      </w:r>
      <w:r>
        <w:t xml:space="preserve"> at p. 133.)  Construing that term of the agreement, our high court concluded that the plaintiff was not entitled “to receive stock actually worth twelve thousand dollars, but merely to have stock of the nominal or par value of twelve thousand dollars issued to him.”  (</w:t>
      </w:r>
      <w:r>
        <w:rPr>
          <w:i/>
          <w:iCs/>
        </w:rPr>
        <w:t>Ibid.</w:t>
      </w:r>
      <w:r>
        <w:t>)  It then held that “[t]</w:t>
      </w:r>
      <w:proofErr w:type="gramStart"/>
      <w:r>
        <w:t>he</w:t>
      </w:r>
      <w:proofErr w:type="gramEnd"/>
      <w:r>
        <w:t xml:space="preserve"> measure of damages for th</w:t>
      </w:r>
      <w:r>
        <w:t>e failure to issue the stock would, then, be . . . the actual value of the stock at the time when [the plaintiff] should have received it.”  (</w:t>
      </w:r>
      <w:r>
        <w:rPr>
          <w:i/>
          <w:iCs/>
        </w:rPr>
        <w:t xml:space="preserve">Id. </w:t>
      </w:r>
      <w:r>
        <w:t xml:space="preserve">at p. 134.)  But in reaching this conclusion, our high court did not consider the equities or any events occurring after the breach because the parties apparently presented none.  (See </w:t>
      </w:r>
      <w:r>
        <w:rPr>
          <w:i/>
          <w:iCs/>
        </w:rPr>
        <w:t xml:space="preserve">id. </w:t>
      </w:r>
      <w:r>
        <w:t xml:space="preserve">at p. 134 [“The record discloses no substantial evidence tending to </w:t>
      </w:r>
      <w:proofErr w:type="gramStart"/>
      <w:r>
        <w:t>show with</w:t>
      </w:r>
      <w:proofErr w:type="gramEnd"/>
      <w:r>
        <w:t xml:space="preserve"> any approach to accuracy the value of stock in the defendant corporation”].)  Thus, the court had n</w:t>
      </w:r>
      <w:r>
        <w:t xml:space="preserve">o occasion to consider whether damages should have been measured as of a date other than the date of breach based on equitable considerations.  (See </w:t>
      </w:r>
      <w:r>
        <w:rPr>
          <w:i/>
          <w:iCs/>
        </w:rPr>
        <w:t>In re Noah S.</w:t>
      </w:r>
      <w:r>
        <w:t xml:space="preserve">, </w:t>
      </w:r>
      <w:r>
        <w:rPr>
          <w:i/>
          <w:iCs/>
        </w:rPr>
        <w:t>supra</w:t>
      </w:r>
      <w:r>
        <w:t>, 67 Cal.App.5th at p. 416.)</w:t>
      </w:r>
    </w:p>
    <w:p w14:paraId="260EB8B4" w14:textId="77777777" w:rsidR="00E748F1" w:rsidRPr="00CA7722" w:rsidRDefault="00E748F1" w:rsidP="00085776">
      <w:pPr>
        <w:pStyle w:val="BodyText"/>
        <w:widowControl/>
        <w:spacing w:line="360" w:lineRule="auto"/>
        <w:ind w:firstLine="620"/>
      </w:pPr>
      <w:r>
        <w:t>In sum</w:t>
      </w:r>
      <w:r>
        <w:t xml:space="preserve">, under </w:t>
      </w:r>
      <w:r>
        <w:t>California</w:t>
      </w:r>
      <w:r>
        <w:t xml:space="preserve"> law, </w:t>
      </w:r>
      <w:r>
        <w:t xml:space="preserve">Shah’s damages are </w:t>
      </w:r>
      <w:r w:rsidRPr="00E23255">
        <w:rPr>
          <w:i/>
          <w:iCs/>
        </w:rPr>
        <w:t>not</w:t>
      </w:r>
      <w:r>
        <w:t xml:space="preserve"> limited to the difference between the exercise price of his </w:t>
      </w:r>
      <w:r>
        <w:t xml:space="preserve">stock </w:t>
      </w:r>
      <w:r>
        <w:t xml:space="preserve">options and the </w:t>
      </w:r>
      <w:r>
        <w:t>value</w:t>
      </w:r>
      <w:r>
        <w:t xml:space="preserve"> of </w:t>
      </w:r>
      <w:proofErr w:type="spellStart"/>
      <w:r>
        <w:t>Skillz</w:t>
      </w:r>
      <w:proofErr w:type="spellEnd"/>
      <w:r>
        <w:t xml:space="preserve"> stock on </w:t>
      </w:r>
      <w:r>
        <w:t xml:space="preserve">or near </w:t>
      </w:r>
      <w:r>
        <w:t xml:space="preserve">the date of his </w:t>
      </w:r>
      <w:r>
        <w:t>termination</w:t>
      </w:r>
      <w:r>
        <w:t xml:space="preserve"> (date of breach)</w:t>
      </w:r>
      <w:r>
        <w:t>.</w:t>
      </w:r>
    </w:p>
    <w:p w14:paraId="1DD0A5FD" w14:textId="77777777" w:rsidR="00E748F1" w:rsidRPr="00BD4AFE" w:rsidRDefault="00E748F1" w:rsidP="00BD4AFE">
      <w:pPr>
        <w:pStyle w:val="BodyText"/>
        <w:widowControl/>
        <w:numPr>
          <w:ilvl w:val="0"/>
          <w:numId w:val="27"/>
        </w:numPr>
        <w:spacing w:line="360" w:lineRule="auto"/>
        <w:rPr>
          <w:i/>
          <w:iCs/>
        </w:rPr>
      </w:pPr>
      <w:r w:rsidRPr="00BD4AFE">
        <w:rPr>
          <w:i/>
          <w:iCs/>
        </w:rPr>
        <w:lastRenderedPageBreak/>
        <w:t xml:space="preserve">Under </w:t>
      </w:r>
      <w:r w:rsidRPr="00BD4AFE">
        <w:rPr>
          <w:i/>
          <w:iCs/>
        </w:rPr>
        <w:t>California</w:t>
      </w:r>
      <w:r w:rsidRPr="00BD4AFE">
        <w:rPr>
          <w:i/>
          <w:iCs/>
        </w:rPr>
        <w:t xml:space="preserve"> law, Shah’s damages were properly measured </w:t>
      </w:r>
      <w:r w:rsidRPr="00BD4AFE">
        <w:rPr>
          <w:i/>
          <w:iCs/>
        </w:rPr>
        <w:t xml:space="preserve">using the price of </w:t>
      </w:r>
      <w:proofErr w:type="spellStart"/>
      <w:r w:rsidRPr="00BD4AFE">
        <w:rPr>
          <w:i/>
          <w:iCs/>
        </w:rPr>
        <w:t>Skillz</w:t>
      </w:r>
      <w:proofErr w:type="spellEnd"/>
      <w:r w:rsidRPr="00BD4AFE">
        <w:rPr>
          <w:i/>
          <w:iCs/>
        </w:rPr>
        <w:t xml:space="preserve"> stock after</w:t>
      </w:r>
      <w:r w:rsidRPr="00BD4AFE">
        <w:rPr>
          <w:i/>
          <w:iCs/>
        </w:rPr>
        <w:t xml:space="preserve"> the lock</w:t>
      </w:r>
      <w:r w:rsidRPr="00BD4AFE">
        <w:rPr>
          <w:i/>
          <w:iCs/>
        </w:rPr>
        <w:t>-</w:t>
      </w:r>
      <w:r w:rsidRPr="00BD4AFE">
        <w:rPr>
          <w:i/>
          <w:iCs/>
        </w:rPr>
        <w:t>up period ended</w:t>
      </w:r>
    </w:p>
    <w:p w14:paraId="687C9128" w14:textId="77777777" w:rsidR="00E748F1" w:rsidRPr="00395D3D" w:rsidRDefault="00E748F1" w:rsidP="00085776">
      <w:pPr>
        <w:pStyle w:val="BodyText"/>
        <w:widowControl/>
        <w:spacing w:line="360" w:lineRule="auto"/>
        <w:ind w:firstLine="620"/>
      </w:pPr>
      <w:proofErr w:type="spellStart"/>
      <w:r w:rsidRPr="00395D3D">
        <w:t>Skillz</w:t>
      </w:r>
      <w:proofErr w:type="spellEnd"/>
      <w:r w:rsidRPr="00395D3D">
        <w:t xml:space="preserve"> contends that ev</w:t>
      </w:r>
      <w:r w:rsidRPr="00395D3D">
        <w:t xml:space="preserve">en assuming </w:t>
      </w:r>
      <w:r w:rsidRPr="00395D3D">
        <w:t>California</w:t>
      </w:r>
      <w:r w:rsidRPr="00395D3D">
        <w:t xml:space="preserve"> law allows a valuation date other than the date of breach</w:t>
      </w:r>
      <w:r w:rsidRPr="00395D3D">
        <w:t xml:space="preserve">, </w:t>
      </w:r>
      <w:r w:rsidRPr="00395D3D">
        <w:t xml:space="preserve">Shah’s damages still should have been calculated as of the date of breach using the value of </w:t>
      </w:r>
      <w:proofErr w:type="spellStart"/>
      <w:r w:rsidRPr="00395D3D">
        <w:t>Skillz</w:t>
      </w:r>
      <w:proofErr w:type="spellEnd"/>
      <w:r w:rsidRPr="00395D3D">
        <w:t xml:space="preserve"> stock </w:t>
      </w:r>
      <w:r w:rsidRPr="00395D3D">
        <w:t xml:space="preserve">on </w:t>
      </w:r>
      <w:r w:rsidRPr="00395D3D">
        <w:t xml:space="preserve">or near the date of his termination. </w:t>
      </w:r>
      <w:r w:rsidRPr="00395D3D">
        <w:t xml:space="preserve"> </w:t>
      </w:r>
      <w:r w:rsidRPr="00395D3D">
        <w:t xml:space="preserve">We disagree.  </w:t>
      </w:r>
      <w:r w:rsidRPr="00395D3D">
        <w:t>Although damages in breach of contract action</w:t>
      </w:r>
      <w:r w:rsidRPr="00395D3D">
        <w:t>s</w:t>
      </w:r>
      <w:r w:rsidRPr="00395D3D">
        <w:t xml:space="preserve">, </w:t>
      </w:r>
      <w:proofErr w:type="gramStart"/>
      <w:r w:rsidRPr="00395D3D">
        <w:t>as a general rule</w:t>
      </w:r>
      <w:proofErr w:type="gramEnd"/>
      <w:r w:rsidRPr="00395D3D">
        <w:t xml:space="preserve">, should be measured from the date of breach under California law, </w:t>
      </w:r>
      <w:r w:rsidRPr="00395D3D">
        <w:t>that rule does not apply where, as here, there is no readily available market for the stock at the time of the breach</w:t>
      </w:r>
      <w:r w:rsidRPr="00395D3D">
        <w:t>.</w:t>
      </w:r>
    </w:p>
    <w:p w14:paraId="0DD998DB" w14:textId="77777777" w:rsidR="00E748F1" w:rsidRPr="007F5BF5" w:rsidRDefault="00E748F1" w:rsidP="00085776">
      <w:pPr>
        <w:pStyle w:val="BodyText"/>
        <w:widowControl/>
        <w:spacing w:line="360" w:lineRule="auto"/>
        <w:ind w:firstLine="620"/>
      </w:pPr>
      <w:r w:rsidRPr="00395D3D">
        <w:t xml:space="preserve">At the time of Shah’s termination, shares of </w:t>
      </w:r>
      <w:proofErr w:type="spellStart"/>
      <w:r w:rsidRPr="00395D3D">
        <w:t>Skillz</w:t>
      </w:r>
      <w:proofErr w:type="spellEnd"/>
      <w:r w:rsidRPr="00395D3D">
        <w:t xml:space="preserve">, a private company, could not be sold on the open market.  </w:t>
      </w:r>
      <w:r w:rsidRPr="00395D3D">
        <w:t xml:space="preserve">Indeed, there was </w:t>
      </w:r>
      <w:r w:rsidRPr="00395D3D">
        <w:rPr>
          <w:i/>
          <w:iCs/>
        </w:rPr>
        <w:t>no</w:t>
      </w:r>
      <w:r w:rsidRPr="00395D3D">
        <w:t xml:space="preserve"> </w:t>
      </w:r>
      <w:r w:rsidRPr="00395D3D">
        <w:t>public</w:t>
      </w:r>
      <w:r w:rsidRPr="00395D3D">
        <w:t xml:space="preserve"> </w:t>
      </w:r>
      <w:r w:rsidRPr="00395D3D">
        <w:t>market for those shares until the IPO.</w:t>
      </w:r>
      <w:r w:rsidRPr="00395D3D">
        <w:t xml:space="preserve">  </w:t>
      </w:r>
      <w:r w:rsidRPr="00395D3D">
        <w:t xml:space="preserve">And to the extent there was a market for </w:t>
      </w:r>
      <w:proofErr w:type="spellStart"/>
      <w:r w:rsidRPr="00395D3D">
        <w:t>Skillz</w:t>
      </w:r>
      <w:proofErr w:type="spellEnd"/>
      <w:r w:rsidRPr="00395D3D">
        <w:t xml:space="preserve"> stock, it was</w:t>
      </w:r>
      <w:r w:rsidRPr="00395D3D">
        <w:t>, at best,</w:t>
      </w:r>
      <w:r w:rsidRPr="00395D3D">
        <w:t xml:space="preserve"> extremely limited. </w:t>
      </w:r>
      <w:r w:rsidRPr="00197E4E">
        <w:t xml:space="preserve"> </w:t>
      </w:r>
      <w:r w:rsidRPr="00197E4E">
        <w:t xml:space="preserve">As a result, measuring damages using the value of </w:t>
      </w:r>
      <w:proofErr w:type="spellStart"/>
      <w:r w:rsidRPr="00197E4E">
        <w:t>Skillz</w:t>
      </w:r>
      <w:proofErr w:type="spellEnd"/>
      <w:r w:rsidRPr="00197E4E">
        <w:t xml:space="preserve"> stock on the date of breach is not appropriate.  </w:t>
      </w:r>
      <w:r w:rsidRPr="00197E4E">
        <w:t xml:space="preserve">(See </w:t>
      </w:r>
      <w:r w:rsidRPr="00197E4E">
        <w:rPr>
          <w:i/>
          <w:iCs/>
        </w:rPr>
        <w:t>Sackett, supra</w:t>
      </w:r>
      <w:r w:rsidRPr="00197E4E">
        <w:t>, 248 Cal.App.2d at p. 236</w:t>
      </w:r>
      <w:r w:rsidRPr="00197E4E">
        <w:t xml:space="preserve"> [general rule </w:t>
      </w:r>
      <w:r w:rsidRPr="00197E4E">
        <w:t>measuring</w:t>
      </w:r>
      <w:r w:rsidRPr="00197E4E">
        <w:t xml:space="preserve"> contract damages </w:t>
      </w:r>
      <w:r w:rsidRPr="00197E4E">
        <w:t xml:space="preserve">as of the date of breach </w:t>
      </w:r>
      <w:r w:rsidRPr="00197E4E">
        <w:t>does not apply “when there is no market available</w:t>
      </w:r>
      <w:r w:rsidRPr="00197E4E">
        <w:t>”</w:t>
      </w:r>
      <w:r w:rsidRPr="00197E4E">
        <w:t xml:space="preserve"> </w:t>
      </w:r>
      <w:r w:rsidRPr="00197E4E">
        <w:t>on that date</w:t>
      </w:r>
      <w:r w:rsidRPr="00197E4E">
        <w:t>]</w:t>
      </w:r>
      <w:r w:rsidRPr="00197E4E">
        <w:t>.</w:t>
      </w:r>
      <w:r w:rsidRPr="000C273D">
        <w:t xml:space="preserve">)  </w:t>
      </w:r>
      <w:r w:rsidRPr="000C273D">
        <w:t xml:space="preserve">Indeed, the presumption underlying the measure of damages proposed by </w:t>
      </w:r>
      <w:proofErr w:type="spellStart"/>
      <w:r w:rsidRPr="000C273D">
        <w:t>Skillz</w:t>
      </w:r>
      <w:proofErr w:type="spellEnd"/>
      <w:r w:rsidRPr="000C273D">
        <w:t>—</w:t>
      </w:r>
      <w:r w:rsidRPr="007F5BF5">
        <w:t>that Shah could have covered his potential losses by purchasing his lost shares “immediately upon the breach”</w:t>
      </w:r>
      <w:r w:rsidRPr="000C273D">
        <w:t>—</w:t>
      </w:r>
      <w:r w:rsidRPr="007F5BF5">
        <w:t xml:space="preserve">is simply </w:t>
      </w:r>
      <w:r w:rsidRPr="007F5BF5">
        <w:t>inapplicable</w:t>
      </w:r>
      <w:r w:rsidRPr="007F5BF5">
        <w:t xml:space="preserve"> here.  (</w:t>
      </w:r>
      <w:r w:rsidRPr="007F5BF5">
        <w:rPr>
          <w:i/>
          <w:iCs/>
        </w:rPr>
        <w:t>Scully</w:t>
      </w:r>
      <w:r w:rsidRPr="007F5BF5">
        <w:t xml:space="preserve">, </w:t>
      </w:r>
      <w:r w:rsidRPr="007F5BF5">
        <w:rPr>
          <w:i/>
          <w:iCs/>
        </w:rPr>
        <w:t>supra</w:t>
      </w:r>
      <w:r w:rsidRPr="007F5BF5">
        <w:t>, 248 F.3d at p.</w:t>
      </w:r>
      <w:r>
        <w:t> </w:t>
      </w:r>
      <w:r w:rsidRPr="007F5BF5">
        <w:t>510.)</w:t>
      </w:r>
      <w:r w:rsidRPr="007F5BF5">
        <w:t xml:space="preserve"> </w:t>
      </w:r>
      <w:r w:rsidRPr="007F5BF5">
        <w:t xml:space="preserve"> </w:t>
      </w:r>
      <w:r w:rsidRPr="007F5BF5">
        <w:t>Some “blurring between conversion and breach of contract remedies” is therefore justified in this case.  (</w:t>
      </w:r>
      <w:r w:rsidRPr="007F5BF5">
        <w:rPr>
          <w:i/>
          <w:iCs/>
        </w:rPr>
        <w:t>Id.</w:t>
      </w:r>
      <w:r w:rsidRPr="007F5BF5">
        <w:t xml:space="preserve"> at p. 512.) </w:t>
      </w:r>
    </w:p>
    <w:p w14:paraId="6FC9BD8E" w14:textId="77777777" w:rsidR="00E748F1" w:rsidRPr="00997102" w:rsidRDefault="00E748F1" w:rsidP="00085776">
      <w:pPr>
        <w:pStyle w:val="BodyText"/>
        <w:widowControl/>
        <w:spacing w:line="360" w:lineRule="auto"/>
        <w:ind w:firstLine="620"/>
      </w:pPr>
      <w:r w:rsidRPr="007F5BF5">
        <w:t>More</w:t>
      </w:r>
      <w:r w:rsidRPr="007F5BF5">
        <w:t xml:space="preserve"> significantly</w:t>
      </w:r>
      <w:r w:rsidRPr="007F5BF5">
        <w:t xml:space="preserve">, </w:t>
      </w:r>
      <w:r w:rsidRPr="007F5BF5">
        <w:t xml:space="preserve">measuring Shah’s damages from the date of breach </w:t>
      </w:r>
      <w:r w:rsidRPr="007F5BF5">
        <w:t xml:space="preserve">ignores </w:t>
      </w:r>
      <w:r w:rsidRPr="007F5BF5">
        <w:t>what was “reasonably contemplated</w:t>
      </w:r>
      <w:r w:rsidRPr="007F5BF5">
        <w:t>” by</w:t>
      </w:r>
      <w:r w:rsidRPr="007F5BF5">
        <w:t xml:space="preserve"> Shah </w:t>
      </w:r>
      <w:r w:rsidRPr="007F5BF5">
        <w:t xml:space="preserve">when </w:t>
      </w:r>
      <w:r w:rsidRPr="007F5BF5">
        <w:t xml:space="preserve">he joined </w:t>
      </w:r>
      <w:proofErr w:type="spellStart"/>
      <w:r w:rsidRPr="007F5BF5">
        <w:t>Skillz</w:t>
      </w:r>
      <w:proofErr w:type="spellEnd"/>
      <w:r w:rsidRPr="007F5BF5">
        <w:t xml:space="preserve"> and </w:t>
      </w:r>
      <w:proofErr w:type="gramStart"/>
      <w:r w:rsidRPr="007F5BF5">
        <w:t>entered into</w:t>
      </w:r>
      <w:proofErr w:type="gramEnd"/>
      <w:r w:rsidRPr="007F5BF5">
        <w:t xml:space="preserve"> the contracts</w:t>
      </w:r>
      <w:r w:rsidRPr="007F5BF5">
        <w:t>.  (</w:t>
      </w:r>
      <w:r w:rsidRPr="007F5BF5">
        <w:rPr>
          <w:i/>
          <w:iCs/>
        </w:rPr>
        <w:t>Brandon &amp; Tibbs, supra</w:t>
      </w:r>
      <w:r w:rsidRPr="00997102">
        <w:t xml:space="preserve">, 226 Cal.App.3d at </w:t>
      </w:r>
      <w:r w:rsidRPr="00997102">
        <w:t>p</w:t>
      </w:r>
      <w:r w:rsidRPr="00997102">
        <w:t>p</w:t>
      </w:r>
      <w:r w:rsidRPr="00997102">
        <w:t>.</w:t>
      </w:r>
      <w:r w:rsidRPr="00997102">
        <w:t xml:space="preserve"> </w:t>
      </w:r>
      <w:r w:rsidRPr="00997102">
        <w:t>455–</w:t>
      </w:r>
      <w:r w:rsidRPr="00997102">
        <w:t>456</w:t>
      </w:r>
      <w:r w:rsidRPr="00997102">
        <w:t>.)  As Shah explained, “[w]</w:t>
      </w:r>
      <w:proofErr w:type="spellStart"/>
      <w:r w:rsidRPr="00997102">
        <w:t>hen</w:t>
      </w:r>
      <w:proofErr w:type="spellEnd"/>
      <w:r w:rsidRPr="00997102">
        <w:t xml:space="preserve"> you join a startup, you join it with </w:t>
      </w:r>
      <w:r w:rsidRPr="00997102">
        <w:lastRenderedPageBreak/>
        <w:t>the hope that it goes public and you’re able to participate alongside the company’s success.”  “</w:t>
      </w:r>
      <w:r w:rsidRPr="00997102">
        <w:t xml:space="preserve">[M]any </w:t>
      </w:r>
      <w:r w:rsidRPr="00997102">
        <w:t>talented individuals [choose] to work for a startup company for a below-market cash salary with a substantial stock option grant, dr</w:t>
      </w:r>
      <w:r w:rsidRPr="00997102">
        <w:t>eaming of cashing out for a large sum of money after the startup’s IPO.”  (</w:t>
      </w:r>
      <w:r w:rsidRPr="00997102">
        <w:rPr>
          <w:i/>
          <w:iCs/>
        </w:rPr>
        <w:t>Unicorn Stock Options</w:t>
      </w:r>
      <w:r w:rsidRPr="00997102">
        <w:t xml:space="preserve">, </w:t>
      </w:r>
      <w:r w:rsidRPr="00997102">
        <w:rPr>
          <w:i/>
          <w:iCs/>
        </w:rPr>
        <w:t>supra</w:t>
      </w:r>
      <w:r w:rsidRPr="00997102">
        <w:t>,</w:t>
      </w:r>
      <w:r w:rsidRPr="00997102">
        <w:t xml:space="preserve"> 2019 Colum. Bus. </w:t>
      </w:r>
      <w:proofErr w:type="spellStart"/>
      <w:r w:rsidRPr="00997102">
        <w:t>L.Rev</w:t>
      </w:r>
      <w:proofErr w:type="spellEnd"/>
      <w:r w:rsidRPr="00997102">
        <w:t xml:space="preserve">. </w:t>
      </w:r>
      <w:r w:rsidRPr="00997102">
        <w:t>at p.</w:t>
      </w:r>
      <w:r w:rsidRPr="00997102">
        <w:t xml:space="preserve"> 117.)  </w:t>
      </w:r>
      <w:r w:rsidRPr="00997102">
        <w:t xml:space="preserve">Indeed, </w:t>
      </w:r>
      <w:proofErr w:type="spellStart"/>
      <w:r w:rsidRPr="00997102">
        <w:t>Chafkin</w:t>
      </w:r>
      <w:proofErr w:type="spellEnd"/>
      <w:r w:rsidRPr="00997102">
        <w:t xml:space="preserve"> </w:t>
      </w:r>
      <w:r w:rsidRPr="00997102">
        <w:t xml:space="preserve">himself confirmed </w:t>
      </w:r>
      <w:r w:rsidRPr="00997102">
        <w:t xml:space="preserve">that this was true for former </w:t>
      </w:r>
      <w:proofErr w:type="spellStart"/>
      <w:r w:rsidRPr="00997102">
        <w:t>Skillz</w:t>
      </w:r>
      <w:proofErr w:type="spellEnd"/>
      <w:r w:rsidRPr="00997102">
        <w:t xml:space="preserve"> employees</w:t>
      </w:r>
      <w:r w:rsidRPr="00997102">
        <w:t>.  As he explained,</w:t>
      </w:r>
      <w:r w:rsidRPr="00997102">
        <w:t xml:space="preserve"> “former </w:t>
      </w:r>
      <w:r w:rsidRPr="00997102">
        <w:t>[</w:t>
      </w:r>
      <w:proofErr w:type="spellStart"/>
      <w:r w:rsidRPr="00997102">
        <w:t>Skillz</w:t>
      </w:r>
      <w:proofErr w:type="spellEnd"/>
      <w:r w:rsidRPr="00997102">
        <w:t xml:space="preserve">] </w:t>
      </w:r>
      <w:r w:rsidRPr="00997102">
        <w:t xml:space="preserve">employees </w:t>
      </w:r>
      <w:r w:rsidRPr="00997102">
        <w:t xml:space="preserve">[who had been terminated] </w:t>
      </w:r>
      <w:r w:rsidRPr="00997102">
        <w:t xml:space="preserve">are some of the best shareholders” </w:t>
      </w:r>
      <w:r w:rsidRPr="00997102">
        <w:t xml:space="preserve">of </w:t>
      </w:r>
      <w:proofErr w:type="spellStart"/>
      <w:r w:rsidRPr="00997102">
        <w:t>Skillz</w:t>
      </w:r>
      <w:proofErr w:type="spellEnd"/>
      <w:r w:rsidRPr="00997102">
        <w:t xml:space="preserve"> stock</w:t>
      </w:r>
      <w:r w:rsidRPr="00997102">
        <w:t xml:space="preserve"> because </w:t>
      </w:r>
      <w:r w:rsidRPr="00997102">
        <w:t xml:space="preserve">“they tend to be </w:t>
      </w:r>
      <w:r w:rsidRPr="00997102">
        <w:t xml:space="preserve">real </w:t>
      </w:r>
      <w:r w:rsidRPr="00997102">
        <w:t>believers in the mission</w:t>
      </w:r>
      <w:r w:rsidRPr="00997102">
        <w:t xml:space="preserve"> </w:t>
      </w:r>
      <w:proofErr w:type="gramStart"/>
      <w:r w:rsidRPr="00997102">
        <w:t>. . . .</w:t>
      </w:r>
      <w:proofErr w:type="gramEnd"/>
      <w:r w:rsidRPr="00997102">
        <w:t xml:space="preserve">” </w:t>
      </w:r>
      <w:r w:rsidRPr="00997102">
        <w:t xml:space="preserve"> </w:t>
      </w:r>
    </w:p>
    <w:p w14:paraId="2979F30A" w14:textId="77777777" w:rsidR="00E748F1" w:rsidRPr="00997102" w:rsidRDefault="00E748F1" w:rsidP="00085776">
      <w:pPr>
        <w:pStyle w:val="BodyText"/>
        <w:widowControl/>
        <w:spacing w:line="360" w:lineRule="auto"/>
        <w:ind w:firstLine="620"/>
      </w:pPr>
      <w:r w:rsidRPr="00997102">
        <w:t xml:space="preserve">Thus, calculating Shah’s damages as of the date of breach does not compensate him for </w:t>
      </w:r>
      <w:r w:rsidRPr="00997102">
        <w:t>the damages that were “reasonably contemplated or foreseen by both parties, at the time they made the contract.”</w:t>
      </w:r>
      <w:r w:rsidRPr="00997102">
        <w:t xml:space="preserve">  (</w:t>
      </w:r>
      <w:r w:rsidRPr="00997102">
        <w:rPr>
          <w:i/>
          <w:iCs/>
        </w:rPr>
        <w:t>Brandon &amp; Tibbs</w:t>
      </w:r>
      <w:r w:rsidRPr="00997102">
        <w:t>,</w:t>
      </w:r>
      <w:r w:rsidRPr="00997102">
        <w:rPr>
          <w:i/>
          <w:iCs/>
        </w:rPr>
        <w:t xml:space="preserve"> </w:t>
      </w:r>
      <w:r w:rsidRPr="00997102">
        <w:rPr>
          <w:i/>
          <w:iCs/>
        </w:rPr>
        <w:t>supra</w:t>
      </w:r>
      <w:r w:rsidRPr="00997102">
        <w:t xml:space="preserve">, 226 Cal.App.3d </w:t>
      </w:r>
      <w:r w:rsidRPr="00997102">
        <w:t>at p</w:t>
      </w:r>
      <w:r>
        <w:t>p</w:t>
      </w:r>
      <w:r w:rsidRPr="00997102">
        <w:t xml:space="preserve">. </w:t>
      </w:r>
      <w:r>
        <w:t>455–</w:t>
      </w:r>
      <w:r w:rsidRPr="00997102">
        <w:t>456</w:t>
      </w:r>
      <w:r w:rsidRPr="00997102">
        <w:t xml:space="preserve">.)  We therefore reject </w:t>
      </w:r>
      <w:proofErr w:type="spellStart"/>
      <w:r w:rsidRPr="00997102">
        <w:t>Skillz’s</w:t>
      </w:r>
      <w:proofErr w:type="spellEnd"/>
      <w:r w:rsidRPr="00997102">
        <w:t xml:space="preserve"> proposed measure </w:t>
      </w:r>
      <w:r w:rsidRPr="00997102">
        <w:t xml:space="preserve">of </w:t>
      </w:r>
      <w:r w:rsidRPr="00997102">
        <w:t>damages</w:t>
      </w:r>
      <w:r w:rsidRPr="00997102">
        <w:t xml:space="preserve"> </w:t>
      </w:r>
      <w:r w:rsidRPr="00997102">
        <w:t>using</w:t>
      </w:r>
      <w:r w:rsidRPr="00997102">
        <w:t xml:space="preserve"> the value of </w:t>
      </w:r>
      <w:proofErr w:type="spellStart"/>
      <w:r w:rsidRPr="00997102">
        <w:t>Skillz</w:t>
      </w:r>
      <w:proofErr w:type="spellEnd"/>
      <w:r w:rsidRPr="00997102">
        <w:t xml:space="preserve"> stock </w:t>
      </w:r>
      <w:r w:rsidRPr="00997102">
        <w:t>on or near</w:t>
      </w:r>
      <w:r w:rsidRPr="00997102">
        <w:t xml:space="preserve"> the date of Shah’s termination</w:t>
      </w:r>
      <w:r w:rsidRPr="00997102">
        <w:t xml:space="preserve">.  And because </w:t>
      </w:r>
      <w:proofErr w:type="spellStart"/>
      <w:r w:rsidRPr="00997102">
        <w:t>Skillz</w:t>
      </w:r>
      <w:proofErr w:type="spellEnd"/>
      <w:r w:rsidRPr="00997102">
        <w:t xml:space="preserve"> </w:t>
      </w:r>
      <w:r w:rsidRPr="00997102">
        <w:t>propos</w:t>
      </w:r>
      <w:r w:rsidRPr="00997102">
        <w:t>ed</w:t>
      </w:r>
      <w:r w:rsidRPr="00997102">
        <w:t xml:space="preserve"> no </w:t>
      </w:r>
      <w:r w:rsidRPr="00997102">
        <w:rPr>
          <w:i/>
          <w:iCs/>
        </w:rPr>
        <w:t>other</w:t>
      </w:r>
      <w:r w:rsidRPr="00997102">
        <w:t xml:space="preserve"> </w:t>
      </w:r>
      <w:r w:rsidRPr="00997102">
        <w:t xml:space="preserve">measure of Shah’s damages </w:t>
      </w:r>
      <w:r w:rsidRPr="00997102">
        <w:t>at trial or in its appellate briefs aside from</w:t>
      </w:r>
      <w:r w:rsidRPr="00997102">
        <w:t xml:space="preserve"> the alternative calculation provided by its expert at trial</w:t>
      </w:r>
      <w:r w:rsidRPr="00997102">
        <w:t xml:space="preserve"> (which </w:t>
      </w:r>
      <w:r w:rsidRPr="00997102">
        <w:t xml:space="preserve">merely responded to the </w:t>
      </w:r>
      <w:r w:rsidRPr="00997102">
        <w:t>calculation provided by Shah’s expert)</w:t>
      </w:r>
      <w:r w:rsidRPr="00997102">
        <w:t xml:space="preserve">, </w:t>
      </w:r>
      <w:r w:rsidRPr="00997102">
        <w:t>it is now stuck with that calculation.</w:t>
      </w:r>
    </w:p>
    <w:p w14:paraId="466D8340" w14:textId="77777777" w:rsidR="00E748F1" w:rsidRPr="00997102" w:rsidRDefault="00E748F1" w:rsidP="00085776">
      <w:pPr>
        <w:pStyle w:val="BodyText"/>
        <w:widowControl/>
        <w:spacing w:line="360" w:lineRule="auto"/>
        <w:ind w:firstLine="620"/>
      </w:pPr>
      <w:r w:rsidRPr="00997102">
        <w:t xml:space="preserve">But even if </w:t>
      </w:r>
      <w:proofErr w:type="spellStart"/>
      <w:r w:rsidRPr="00997102">
        <w:t>Skillz</w:t>
      </w:r>
      <w:proofErr w:type="spellEnd"/>
      <w:r w:rsidRPr="00997102">
        <w:t xml:space="preserve"> had proposed another alternative measure of damages</w:t>
      </w:r>
      <w:r w:rsidRPr="00997102">
        <w:t xml:space="preserve">, using the price of </w:t>
      </w:r>
      <w:proofErr w:type="spellStart"/>
      <w:r w:rsidRPr="00997102">
        <w:t>Skillz</w:t>
      </w:r>
      <w:proofErr w:type="spellEnd"/>
      <w:r w:rsidRPr="00997102">
        <w:t xml:space="preserve"> stock</w:t>
      </w:r>
      <w:r w:rsidRPr="00997102">
        <w:t xml:space="preserve"> after </w:t>
      </w:r>
      <w:r w:rsidRPr="00997102">
        <w:t xml:space="preserve">the </w:t>
      </w:r>
      <w:r w:rsidRPr="00997102">
        <w:t>lock</w:t>
      </w:r>
      <w:r w:rsidRPr="00997102">
        <w:t>-</w:t>
      </w:r>
      <w:r w:rsidRPr="00997102">
        <w:t>up</w:t>
      </w:r>
      <w:r w:rsidRPr="00997102">
        <w:t xml:space="preserve"> period</w:t>
      </w:r>
      <w:r w:rsidRPr="00997102">
        <w:t xml:space="preserve"> ended</w:t>
      </w:r>
      <w:r w:rsidRPr="00997102">
        <w:t>, as the trial court did</w:t>
      </w:r>
      <w:r w:rsidRPr="00997102">
        <w:t xml:space="preserve"> in </w:t>
      </w:r>
      <w:r w:rsidRPr="00997102">
        <w:t>the</w:t>
      </w:r>
      <w:r w:rsidRPr="00997102">
        <w:t xml:space="preserve"> remittitur</w:t>
      </w:r>
      <w:r w:rsidRPr="00997102">
        <w:t xml:space="preserve">, </w:t>
      </w:r>
      <w:r w:rsidRPr="00997102">
        <w:t xml:space="preserve">still </w:t>
      </w:r>
      <w:r w:rsidRPr="00997102">
        <w:t>appear</w:t>
      </w:r>
      <w:r w:rsidRPr="00997102">
        <w:t>s</w:t>
      </w:r>
      <w:r w:rsidRPr="00997102">
        <w:t xml:space="preserve"> </w:t>
      </w:r>
      <w:r w:rsidRPr="00997102">
        <w:t xml:space="preserve">appropriate because it is </w:t>
      </w:r>
      <w:r w:rsidRPr="00997102">
        <w:t>“nearly as possible the equivalent of the benefits of performance.”  (</w:t>
      </w:r>
      <w:r w:rsidRPr="00997102">
        <w:rPr>
          <w:i/>
          <w:iCs/>
        </w:rPr>
        <w:t>Brandon &amp; Tibbs</w:t>
      </w:r>
      <w:r w:rsidRPr="00997102">
        <w:t xml:space="preserve">, </w:t>
      </w:r>
      <w:r w:rsidRPr="00997102">
        <w:rPr>
          <w:i/>
          <w:iCs/>
        </w:rPr>
        <w:t>supra</w:t>
      </w:r>
      <w:r w:rsidRPr="00997102">
        <w:t>, 226 Cal.App.3d at p. 455.)</w:t>
      </w:r>
      <w:r w:rsidRPr="00997102">
        <w:t xml:space="preserve">  </w:t>
      </w:r>
      <w:r w:rsidRPr="00997102">
        <w:t>This is because</w:t>
      </w:r>
      <w:r w:rsidRPr="00997102">
        <w:t xml:space="preserve"> </w:t>
      </w:r>
      <w:r w:rsidRPr="00997102">
        <w:t>Shah was free</w:t>
      </w:r>
      <w:r w:rsidRPr="00997102">
        <w:t xml:space="preserve"> </w:t>
      </w:r>
      <w:r w:rsidRPr="00997102">
        <w:t xml:space="preserve">to sell </w:t>
      </w:r>
      <w:r w:rsidRPr="00997102">
        <w:rPr>
          <w:i/>
          <w:iCs/>
        </w:rPr>
        <w:t xml:space="preserve">for the first time and without </w:t>
      </w:r>
      <w:r w:rsidRPr="00997102">
        <w:rPr>
          <w:i/>
          <w:iCs/>
        </w:rPr>
        <w:t xml:space="preserve">any </w:t>
      </w:r>
      <w:r w:rsidRPr="00997102">
        <w:rPr>
          <w:i/>
          <w:iCs/>
        </w:rPr>
        <w:t>limitation</w:t>
      </w:r>
      <w:r w:rsidRPr="00997102">
        <w:rPr>
          <w:i/>
          <w:iCs/>
        </w:rPr>
        <w:t>s</w:t>
      </w:r>
      <w:r w:rsidRPr="00997102">
        <w:t xml:space="preserve"> </w:t>
      </w:r>
      <w:proofErr w:type="gramStart"/>
      <w:r w:rsidRPr="00997102">
        <w:t>any and all</w:t>
      </w:r>
      <w:proofErr w:type="gramEnd"/>
      <w:r w:rsidRPr="00997102">
        <w:t xml:space="preserve"> </w:t>
      </w:r>
      <w:proofErr w:type="spellStart"/>
      <w:r w:rsidRPr="00997102">
        <w:t>Skillz</w:t>
      </w:r>
      <w:proofErr w:type="spellEnd"/>
      <w:r w:rsidRPr="00997102">
        <w:t xml:space="preserve"> stock that he would have acquired if he had been allowed to exercise his stock o</w:t>
      </w:r>
      <w:r w:rsidRPr="00997102">
        <w:t>ptions upon his termination</w:t>
      </w:r>
      <w:r w:rsidRPr="00997102">
        <w:t xml:space="preserve"> on the date the lock-up period ended</w:t>
      </w:r>
      <w:r w:rsidRPr="00997102">
        <w:t xml:space="preserve">.  </w:t>
      </w:r>
      <w:r w:rsidRPr="00997102">
        <w:t xml:space="preserve">Thus, </w:t>
      </w:r>
      <w:r w:rsidRPr="00997102">
        <w:lastRenderedPageBreak/>
        <w:t>the remittitur properly measured Shah’s damages from that date, rather than the date of breach</w:t>
      </w:r>
      <w:r w:rsidRPr="00997102">
        <w:t>, under California law</w:t>
      </w:r>
      <w:r w:rsidRPr="00997102">
        <w:t>.</w:t>
      </w:r>
      <w:r w:rsidRPr="00997102">
        <w:t xml:space="preserve"> </w:t>
      </w:r>
    </w:p>
    <w:p w14:paraId="72510610" w14:textId="77777777" w:rsidR="00E748F1" w:rsidRPr="000C4B85" w:rsidRDefault="00E748F1" w:rsidP="00085776">
      <w:pPr>
        <w:pStyle w:val="BodyText"/>
        <w:widowControl/>
        <w:spacing w:line="360" w:lineRule="auto"/>
        <w:ind w:firstLine="620"/>
      </w:pPr>
      <w:r w:rsidRPr="000C4B85">
        <w:t xml:space="preserve">A </w:t>
      </w:r>
      <w:r w:rsidRPr="000C4B85">
        <w:t xml:space="preserve">contrary ruling </w:t>
      </w:r>
      <w:r w:rsidRPr="000C4B85">
        <w:t xml:space="preserve">under these circumstances </w:t>
      </w:r>
      <w:r w:rsidRPr="000C4B85">
        <w:t xml:space="preserve">would </w:t>
      </w:r>
      <w:r w:rsidRPr="000C4B85">
        <w:t xml:space="preserve">allow </w:t>
      </w:r>
      <w:r w:rsidRPr="000C4B85">
        <w:t xml:space="preserve">a </w:t>
      </w:r>
      <w:r w:rsidRPr="000C4B85">
        <w:t xml:space="preserve">private </w:t>
      </w:r>
      <w:r w:rsidRPr="000C4B85">
        <w:t>st</w:t>
      </w:r>
      <w:r w:rsidRPr="000C4B85">
        <w:t>artup</w:t>
      </w:r>
      <w:r w:rsidRPr="000C4B85">
        <w:t xml:space="preserve"> compan</w:t>
      </w:r>
      <w:r w:rsidRPr="000C4B85">
        <w:t>y</w:t>
      </w:r>
      <w:r w:rsidRPr="000C4B85">
        <w:t xml:space="preserve"> </w:t>
      </w:r>
      <w:r w:rsidRPr="000C4B85">
        <w:t xml:space="preserve">to take away stock options earned by </w:t>
      </w:r>
      <w:r w:rsidRPr="000C4B85">
        <w:t xml:space="preserve">a </w:t>
      </w:r>
      <w:r w:rsidRPr="000C4B85">
        <w:t xml:space="preserve">terminated employee with relative impunity </w:t>
      </w:r>
      <w:r w:rsidRPr="000C4B85">
        <w:t xml:space="preserve">before the company has been </w:t>
      </w:r>
      <w:r w:rsidRPr="000C4B85">
        <w:t xml:space="preserve">sold </w:t>
      </w:r>
      <w:r w:rsidRPr="000C4B85">
        <w:t xml:space="preserve">or goes public </w:t>
      </w:r>
      <w:r w:rsidRPr="000C4B85">
        <w:t xml:space="preserve">because the financial consequences of doing so would be </w:t>
      </w:r>
      <w:r w:rsidRPr="000C4B85">
        <w:t>neglig</w:t>
      </w:r>
      <w:r w:rsidRPr="000C4B85">
        <w:t>i</w:t>
      </w:r>
      <w:r w:rsidRPr="000C4B85">
        <w:t>ble</w:t>
      </w:r>
      <w:r w:rsidRPr="000C4B85">
        <w:t xml:space="preserve">.  We are aware of no California case law that contemplates such an </w:t>
      </w:r>
      <w:r w:rsidRPr="000C4B85">
        <w:t>inequitable</w:t>
      </w:r>
      <w:r w:rsidRPr="000C4B85">
        <w:t xml:space="preserve"> result </w:t>
      </w:r>
      <w:r w:rsidRPr="000C4B85">
        <w:t>s</w:t>
      </w:r>
      <w:r w:rsidRPr="000C4B85">
        <w:t>ole</w:t>
      </w:r>
      <w:r w:rsidRPr="000C4B85">
        <w:t xml:space="preserve">ly </w:t>
      </w:r>
      <w:r w:rsidRPr="000C4B85">
        <w:t>because the employee is limited to breach of contract damages.</w:t>
      </w:r>
    </w:p>
    <w:p w14:paraId="29628F85" w14:textId="77777777" w:rsidR="00E748F1" w:rsidRPr="00646AC2" w:rsidRDefault="00E748F1" w:rsidP="00085776">
      <w:pPr>
        <w:pStyle w:val="BodyText"/>
        <w:widowControl/>
        <w:spacing w:line="360" w:lineRule="auto"/>
        <w:ind w:firstLine="620"/>
        <w:rPr>
          <w:highlight w:val="yellow"/>
        </w:rPr>
      </w:pPr>
      <w:proofErr w:type="spellStart"/>
      <w:r w:rsidRPr="000C4B85">
        <w:t>Skillz</w:t>
      </w:r>
      <w:proofErr w:type="spellEnd"/>
      <w:r w:rsidRPr="000C4B85">
        <w:t xml:space="preserve"> </w:t>
      </w:r>
      <w:r w:rsidRPr="000C4B85">
        <w:t>counters</w:t>
      </w:r>
      <w:r w:rsidRPr="000C4B85">
        <w:t xml:space="preserve"> </w:t>
      </w:r>
      <w:r w:rsidRPr="000C4B85">
        <w:t xml:space="preserve">that </w:t>
      </w:r>
      <w:r w:rsidRPr="000C4B85">
        <w:t xml:space="preserve">Shah’s damages should not be calculated from the date the lock-up period ended because </w:t>
      </w:r>
      <w:r w:rsidRPr="000C4B85">
        <w:t xml:space="preserve">Shah could have sold </w:t>
      </w:r>
      <w:proofErr w:type="spellStart"/>
      <w:r w:rsidRPr="000C4B85">
        <w:t>Skillz</w:t>
      </w:r>
      <w:proofErr w:type="spellEnd"/>
      <w:r w:rsidRPr="000C4B85">
        <w:t xml:space="preserve"> stock </w:t>
      </w:r>
      <w:r w:rsidRPr="000C4B85">
        <w:t>in</w:t>
      </w:r>
      <w:r w:rsidRPr="000C4B85">
        <w:t xml:space="preserve"> secondary markets before the IPO.  But </w:t>
      </w:r>
      <w:proofErr w:type="spellStart"/>
      <w:r w:rsidRPr="000C4B85">
        <w:t>Skillz</w:t>
      </w:r>
      <w:proofErr w:type="spellEnd"/>
      <w:r w:rsidRPr="000C4B85">
        <w:t xml:space="preserve"> never argued at trial that Shah’s damages should be calculated based on the value of </w:t>
      </w:r>
      <w:proofErr w:type="spellStart"/>
      <w:r w:rsidRPr="000C4B85">
        <w:t>Skillz</w:t>
      </w:r>
      <w:proofErr w:type="spellEnd"/>
      <w:r w:rsidRPr="000C4B85">
        <w:t xml:space="preserve"> stock in these secondary markets.  It has therefore forfeited the argument.  (See </w:t>
      </w:r>
      <w:r w:rsidRPr="000C4B85">
        <w:rPr>
          <w:i/>
          <w:iCs/>
        </w:rPr>
        <w:t xml:space="preserve">Miller v. Pacific Gas &amp; Electric Co. </w:t>
      </w:r>
      <w:r w:rsidRPr="000C4B85">
        <w:t>(2023) 97 Cal.App.5th 1161, 1170 [“an appellate court will generally not consider an issue presented for the first t</w:t>
      </w:r>
      <w:r w:rsidRPr="000C4B85">
        <w:t>ime on appeal that could have been but was not presented in the trial court”].)</w:t>
      </w:r>
    </w:p>
    <w:p w14:paraId="4528B6F6" w14:textId="77777777" w:rsidR="00E748F1" w:rsidRPr="00AD36BB" w:rsidRDefault="00E748F1" w:rsidP="00085776">
      <w:pPr>
        <w:pStyle w:val="BodyText"/>
        <w:widowControl/>
        <w:spacing w:line="360" w:lineRule="auto"/>
        <w:ind w:firstLine="620"/>
      </w:pPr>
      <w:bookmarkStart w:id="3" w:name="_Hlk162944210"/>
      <w:r w:rsidRPr="00AE6706">
        <w:t xml:space="preserve">In any event, </w:t>
      </w:r>
      <w:bookmarkEnd w:id="3"/>
      <w:r w:rsidRPr="00AE6706">
        <w:t xml:space="preserve">there is ample evidence that Shah would not have sold his </w:t>
      </w:r>
      <w:proofErr w:type="spellStart"/>
      <w:r w:rsidRPr="00AE6706">
        <w:t>Skillz</w:t>
      </w:r>
      <w:proofErr w:type="spellEnd"/>
      <w:r w:rsidRPr="00AE6706">
        <w:t xml:space="preserve"> stock in a secondary market before the IPO.  Shah testified that he would not have </w:t>
      </w:r>
      <w:r w:rsidRPr="00AE6706">
        <w:t>done so</w:t>
      </w:r>
      <w:r w:rsidRPr="00AE6706">
        <w:t xml:space="preserve"> and did not research whether other </w:t>
      </w:r>
      <w:proofErr w:type="spellStart"/>
      <w:r w:rsidRPr="00AE6706">
        <w:t>Skillz</w:t>
      </w:r>
      <w:proofErr w:type="spellEnd"/>
      <w:r w:rsidRPr="00AE6706">
        <w:t xml:space="preserve"> employees </w:t>
      </w:r>
      <w:r w:rsidRPr="00AE6706">
        <w:t xml:space="preserve">had done </w:t>
      </w:r>
      <w:r w:rsidRPr="00AE6706">
        <w:t xml:space="preserve">so.  Further, </w:t>
      </w:r>
      <w:proofErr w:type="spellStart"/>
      <w:r w:rsidRPr="00AE6706">
        <w:t>Skillz</w:t>
      </w:r>
      <w:proofErr w:type="spellEnd"/>
      <w:r w:rsidRPr="00AE6706">
        <w:t xml:space="preserve"> presented no evidence that Shah could </w:t>
      </w:r>
      <w:r w:rsidRPr="00AE6706">
        <w:t xml:space="preserve">have </w:t>
      </w:r>
      <w:r w:rsidRPr="00AE6706">
        <w:t>avail</w:t>
      </w:r>
      <w:r w:rsidRPr="00AE6706">
        <w:t>ed</w:t>
      </w:r>
      <w:r w:rsidRPr="00AE6706">
        <w:t xml:space="preserve"> himself of these markets.  Although Paradise testified about </w:t>
      </w:r>
      <w:r w:rsidRPr="00AE6706">
        <w:t xml:space="preserve">their </w:t>
      </w:r>
      <w:r w:rsidRPr="00AE6706">
        <w:t xml:space="preserve">existence, he </w:t>
      </w:r>
      <w:r w:rsidRPr="00AE6706">
        <w:t>did not explain</w:t>
      </w:r>
      <w:r w:rsidRPr="00AE6706">
        <w:t xml:space="preserve"> how Shah could have accessed </w:t>
      </w:r>
      <w:r w:rsidRPr="00AE6706">
        <w:t xml:space="preserve">them </w:t>
      </w:r>
      <w:r w:rsidRPr="00AE6706">
        <w:t xml:space="preserve">and had no idea how many </w:t>
      </w:r>
      <w:proofErr w:type="spellStart"/>
      <w:r w:rsidRPr="00AE6706">
        <w:t>Skillz</w:t>
      </w:r>
      <w:proofErr w:type="spellEnd"/>
      <w:r w:rsidRPr="00AE6706">
        <w:t xml:space="preserve"> employees sold their shares in those markets. </w:t>
      </w:r>
      <w:r w:rsidRPr="00AD36BB">
        <w:t xml:space="preserve"> Indeed, Paradise himself did not sell any </w:t>
      </w:r>
      <w:r w:rsidRPr="00AD36BB">
        <w:t xml:space="preserve">of his </w:t>
      </w:r>
      <w:r w:rsidRPr="00AD36BB">
        <w:t xml:space="preserve">shares in secondary markets.  </w:t>
      </w:r>
      <w:proofErr w:type="spellStart"/>
      <w:r w:rsidRPr="00AD36BB">
        <w:t>Chafkin</w:t>
      </w:r>
      <w:proofErr w:type="spellEnd"/>
      <w:r w:rsidRPr="00AD36BB">
        <w:t xml:space="preserve"> testified that </w:t>
      </w:r>
      <w:proofErr w:type="spellStart"/>
      <w:r w:rsidRPr="00AD36BB">
        <w:t>Skillz</w:t>
      </w:r>
      <w:proofErr w:type="spellEnd"/>
      <w:r w:rsidRPr="00AD36BB">
        <w:t xml:space="preserve"> facilitated some secondary sales by asking </w:t>
      </w:r>
      <w:r w:rsidRPr="00AD36BB">
        <w:lastRenderedPageBreak/>
        <w:t>“</w:t>
      </w:r>
      <w:r w:rsidRPr="00AD36BB">
        <w:t xml:space="preserve">people </w:t>
      </w:r>
      <w:r w:rsidRPr="00AD36BB">
        <w:rPr>
          <w:i/>
          <w:iCs/>
        </w:rPr>
        <w:t>inside t</w:t>
      </w:r>
      <w:r w:rsidRPr="00AD36BB">
        <w:rPr>
          <w:i/>
          <w:iCs/>
        </w:rPr>
        <w:t>he company</w:t>
      </w:r>
      <w:r w:rsidRPr="00AD36BB">
        <w:t xml:space="preserve"> if they wanted to participate in the transaction” and “enabled them to sell a portion of their stock.” </w:t>
      </w:r>
      <w:r w:rsidRPr="00AD36BB">
        <w:t xml:space="preserve"> (Italics added</w:t>
      </w:r>
      <w:r w:rsidRPr="00AD36BB">
        <w:t>.</w:t>
      </w:r>
      <w:r w:rsidRPr="00AD36BB">
        <w:t xml:space="preserve">) </w:t>
      </w:r>
      <w:r w:rsidRPr="00AD36BB">
        <w:t xml:space="preserve"> But </w:t>
      </w:r>
      <w:proofErr w:type="spellStart"/>
      <w:r w:rsidRPr="00AD36BB">
        <w:t>Chafkin</w:t>
      </w:r>
      <w:proofErr w:type="spellEnd"/>
      <w:r w:rsidRPr="00AD36BB">
        <w:t xml:space="preserve"> did not explain how Shah, a </w:t>
      </w:r>
      <w:r w:rsidRPr="00AD36BB">
        <w:rPr>
          <w:i/>
          <w:iCs/>
        </w:rPr>
        <w:t>former</w:t>
      </w:r>
      <w:r w:rsidRPr="00AD36BB">
        <w:t xml:space="preserve"> employee, would have </w:t>
      </w:r>
      <w:r w:rsidRPr="00AD36BB">
        <w:t xml:space="preserve">participated in </w:t>
      </w:r>
      <w:r w:rsidRPr="00AD36BB">
        <w:t xml:space="preserve">those sales.  </w:t>
      </w:r>
    </w:p>
    <w:p w14:paraId="45FFC672" w14:textId="77777777" w:rsidR="00E748F1" w:rsidRPr="00010B62" w:rsidRDefault="00E748F1" w:rsidP="00085776">
      <w:pPr>
        <w:pStyle w:val="BodyText"/>
        <w:widowControl/>
        <w:spacing w:line="360" w:lineRule="auto"/>
        <w:ind w:firstLine="620"/>
      </w:pPr>
      <w:r w:rsidRPr="00010B62">
        <w:t>Moreover</w:t>
      </w:r>
      <w:r w:rsidRPr="00010B62">
        <w:t xml:space="preserve">, Shah provided “credible, convincing evidence” that he would not have sold any </w:t>
      </w:r>
      <w:proofErr w:type="spellStart"/>
      <w:r w:rsidRPr="00010B62">
        <w:t>Skillz</w:t>
      </w:r>
      <w:proofErr w:type="spellEnd"/>
      <w:r w:rsidRPr="00010B62">
        <w:t xml:space="preserve"> stock before the IPO even </w:t>
      </w:r>
      <w:r w:rsidRPr="00010B62">
        <w:t>if he lacked</w:t>
      </w:r>
      <w:r w:rsidRPr="00010B62">
        <w:t xml:space="preserve"> “the benefit of hindsight.”  (</w:t>
      </w:r>
      <w:r w:rsidRPr="00010B62">
        <w:rPr>
          <w:i/>
          <w:iCs/>
        </w:rPr>
        <w:t>Moser</w:t>
      </w:r>
      <w:r w:rsidRPr="00010B62">
        <w:t xml:space="preserve">, </w:t>
      </w:r>
      <w:r w:rsidRPr="00010B62">
        <w:rPr>
          <w:i/>
          <w:iCs/>
        </w:rPr>
        <w:t>supra</w:t>
      </w:r>
      <w:r w:rsidRPr="00010B62">
        <w:t>, 964 F.Supp.2d at p</w:t>
      </w:r>
      <w:r>
        <w:t>p</w:t>
      </w:r>
      <w:r w:rsidRPr="00010B62">
        <w:t>. 1227</w:t>
      </w:r>
      <w:r w:rsidRPr="00010B62">
        <w:t>–</w:t>
      </w:r>
      <w:r w:rsidRPr="00010B62">
        <w:t xml:space="preserve">1228.) </w:t>
      </w:r>
      <w:r w:rsidRPr="00010B62">
        <w:rPr>
          <w:i/>
          <w:iCs/>
        </w:rPr>
        <w:t xml:space="preserve"> </w:t>
      </w:r>
      <w:r w:rsidRPr="00010B62">
        <w:t xml:space="preserve">First, the absence of a readily </w:t>
      </w:r>
      <w:r w:rsidRPr="00010B62">
        <w:t>available</w:t>
      </w:r>
      <w:r w:rsidRPr="00010B62">
        <w:t xml:space="preserve"> market for </w:t>
      </w:r>
      <w:proofErr w:type="spellStart"/>
      <w:r w:rsidRPr="00010B62">
        <w:t>Skillz</w:t>
      </w:r>
      <w:proofErr w:type="spellEnd"/>
      <w:r w:rsidRPr="00010B62">
        <w:t xml:space="preserve"> stock before the IPO strongly supports Shah’s claim that he would not have sold his </w:t>
      </w:r>
      <w:proofErr w:type="spellStart"/>
      <w:r w:rsidRPr="00010B62">
        <w:t>Skillz</w:t>
      </w:r>
      <w:proofErr w:type="spellEnd"/>
      <w:r w:rsidRPr="00010B62">
        <w:t xml:space="preserve"> stock </w:t>
      </w:r>
      <w:r w:rsidRPr="00010B62">
        <w:t>in any secondary market</w:t>
      </w:r>
      <w:r w:rsidRPr="00010B62">
        <w:t>.  Second, Shah’s testimony</w:t>
      </w:r>
      <w:r w:rsidRPr="00010B62">
        <w:t xml:space="preserve"> that he would have </w:t>
      </w:r>
      <w:r w:rsidRPr="00010B62">
        <w:t xml:space="preserve">followed the lead of </w:t>
      </w:r>
      <w:proofErr w:type="spellStart"/>
      <w:r w:rsidRPr="00010B62">
        <w:t>Chafkin</w:t>
      </w:r>
      <w:proofErr w:type="spellEnd"/>
      <w:r w:rsidRPr="00010B62">
        <w:t>,</w:t>
      </w:r>
      <w:r w:rsidRPr="00010B62">
        <w:t xml:space="preserve"> Paradise</w:t>
      </w:r>
      <w:r w:rsidRPr="00010B62">
        <w:t xml:space="preserve">, and most </w:t>
      </w:r>
      <w:r w:rsidRPr="00010B62">
        <w:t xml:space="preserve">other </w:t>
      </w:r>
      <w:proofErr w:type="spellStart"/>
      <w:r w:rsidRPr="00010B62">
        <w:t>Skillz</w:t>
      </w:r>
      <w:proofErr w:type="spellEnd"/>
      <w:r w:rsidRPr="00010B62">
        <w:t xml:space="preserve"> employees </w:t>
      </w:r>
      <w:r w:rsidRPr="00010B62">
        <w:t>who did n</w:t>
      </w:r>
      <w:r w:rsidRPr="00010B62">
        <w:t>ot sell</w:t>
      </w:r>
      <w:r w:rsidRPr="00010B62">
        <w:t xml:space="preserve"> </w:t>
      </w:r>
      <w:r w:rsidRPr="00010B62">
        <w:t xml:space="preserve">their </w:t>
      </w:r>
      <w:proofErr w:type="spellStart"/>
      <w:r w:rsidRPr="00010B62">
        <w:t>Skillz</w:t>
      </w:r>
      <w:proofErr w:type="spellEnd"/>
      <w:r w:rsidRPr="00010B62">
        <w:t xml:space="preserve"> stock </w:t>
      </w:r>
      <w:r w:rsidRPr="00010B62">
        <w:t>before the</w:t>
      </w:r>
      <w:r w:rsidRPr="00010B62">
        <w:t xml:space="preserve"> IPO</w:t>
      </w:r>
      <w:r w:rsidRPr="00010B62">
        <w:t xml:space="preserve"> provides additional </w:t>
      </w:r>
      <w:r w:rsidRPr="00010B62">
        <w:t>“objective” evidence that Shah was “not simply picking an advan</w:t>
      </w:r>
      <w:r w:rsidRPr="00010B62">
        <w:t>ta</w:t>
      </w:r>
      <w:r w:rsidRPr="00010B62">
        <w:t>geous date with the benefit of hindsight.”</w:t>
      </w:r>
      <w:r w:rsidRPr="00010B62">
        <w:t xml:space="preserve">  </w:t>
      </w:r>
      <w:r w:rsidRPr="00010B62">
        <w:t>(</w:t>
      </w:r>
      <w:r w:rsidRPr="00010B62">
        <w:rPr>
          <w:i/>
          <w:iCs/>
        </w:rPr>
        <w:t>Id.</w:t>
      </w:r>
      <w:r w:rsidRPr="00010B62">
        <w:t xml:space="preserve"> at p. 1229</w:t>
      </w:r>
      <w:r w:rsidRPr="00010B62">
        <w:t xml:space="preserve"> [evidence that the plaintiff would have followed the lead of his “guru” and other “insiders” is sufficient to support his claim that he would have sold the stock at a date other than the date of breach]</w:t>
      </w:r>
      <w:r w:rsidRPr="00010B62">
        <w:t xml:space="preserve">.)  Third, Shah’s willingness to accept </w:t>
      </w:r>
      <w:proofErr w:type="spellStart"/>
      <w:r w:rsidRPr="00010B62">
        <w:t>Skillz</w:t>
      </w:r>
      <w:proofErr w:type="spellEnd"/>
      <w:r w:rsidRPr="00010B62">
        <w:t xml:space="preserve"> stock </w:t>
      </w:r>
      <w:r w:rsidRPr="00010B62">
        <w:t xml:space="preserve">and forgo any monetary </w:t>
      </w:r>
      <w:r w:rsidRPr="00010B62">
        <w:t>remuneration</w:t>
      </w:r>
      <w:r w:rsidRPr="00010B62">
        <w:t xml:space="preserve"> as compensation</w:t>
      </w:r>
      <w:r w:rsidRPr="00010B62">
        <w:t xml:space="preserve"> for </w:t>
      </w:r>
      <w:r w:rsidRPr="00010B62">
        <w:t xml:space="preserve">consulting </w:t>
      </w:r>
      <w:r w:rsidRPr="00010B62">
        <w:t>work immedi</w:t>
      </w:r>
      <w:r w:rsidRPr="00010B62">
        <w:t xml:space="preserve">ately before his termination provides further evidence that he believed in the company and its prospects for </w:t>
      </w:r>
      <w:r w:rsidRPr="00010B62">
        <w:t xml:space="preserve">sale </w:t>
      </w:r>
      <w:r w:rsidRPr="00010B62">
        <w:t xml:space="preserve">or an IPO.  Finally, </w:t>
      </w:r>
      <w:proofErr w:type="spellStart"/>
      <w:r w:rsidRPr="00010B62">
        <w:t>Chafkin’s</w:t>
      </w:r>
      <w:proofErr w:type="spellEnd"/>
      <w:r w:rsidRPr="00010B62">
        <w:t xml:space="preserve"> testimony that terminated </w:t>
      </w:r>
      <w:proofErr w:type="spellStart"/>
      <w:r w:rsidRPr="00010B62">
        <w:t>Skillz</w:t>
      </w:r>
      <w:proofErr w:type="spellEnd"/>
      <w:r w:rsidRPr="00010B62">
        <w:t xml:space="preserve"> employees were “some of the best shareholders” </w:t>
      </w:r>
      <w:r w:rsidRPr="00010B62">
        <w:t>and</w:t>
      </w:r>
      <w:r w:rsidRPr="00010B62">
        <w:t xml:space="preserve"> “real believers in the mission” </w:t>
      </w:r>
      <w:r w:rsidRPr="00010B62">
        <w:t xml:space="preserve">of </w:t>
      </w:r>
      <w:proofErr w:type="spellStart"/>
      <w:r w:rsidRPr="00010B62">
        <w:t>Skillz</w:t>
      </w:r>
      <w:proofErr w:type="spellEnd"/>
      <w:r w:rsidRPr="00010B62">
        <w:t xml:space="preserve"> </w:t>
      </w:r>
      <w:r w:rsidRPr="00010B62">
        <w:t>indicates</w:t>
      </w:r>
      <w:r w:rsidRPr="00010B62">
        <w:t xml:space="preserve"> that Shah’s claim that he would not have sold his stock in any secondary market was</w:t>
      </w:r>
      <w:r w:rsidRPr="00010B62">
        <w:t xml:space="preserve"> </w:t>
      </w:r>
      <w:r w:rsidRPr="00010B62">
        <w:t>credible</w:t>
      </w:r>
      <w:r w:rsidRPr="00010B62">
        <w:t>.</w:t>
      </w:r>
      <w:r w:rsidRPr="00010B62">
        <w:t xml:space="preserve">  </w:t>
      </w:r>
      <w:r w:rsidRPr="00010B62">
        <w:t xml:space="preserve">Thus, the trial court did not err by ignoring these secondary markets in determining the remittitur amount.  </w:t>
      </w:r>
    </w:p>
    <w:p w14:paraId="006CDD68" w14:textId="77777777" w:rsidR="00E748F1" w:rsidRPr="00646AC2" w:rsidRDefault="00E748F1" w:rsidP="00085776">
      <w:pPr>
        <w:pStyle w:val="BodyText"/>
        <w:widowControl/>
        <w:spacing w:line="360" w:lineRule="auto"/>
        <w:ind w:firstLine="620"/>
        <w:rPr>
          <w:highlight w:val="yellow"/>
        </w:rPr>
      </w:pPr>
      <w:proofErr w:type="spellStart"/>
      <w:r w:rsidRPr="002E46F6">
        <w:t>Skillz</w:t>
      </w:r>
      <w:proofErr w:type="spellEnd"/>
      <w:r w:rsidRPr="002E46F6">
        <w:t xml:space="preserve"> also attacks an underlying </w:t>
      </w:r>
      <w:r w:rsidRPr="002E46F6">
        <w:t xml:space="preserve">finding </w:t>
      </w:r>
      <w:r w:rsidRPr="002E46F6">
        <w:t>behind the trial court’s remittitur</w:t>
      </w:r>
      <w:r w:rsidRPr="00010B62">
        <w:t>—</w:t>
      </w:r>
      <w:r w:rsidRPr="007F5BF5">
        <w:t xml:space="preserve">that Shah would have exercised </w:t>
      </w:r>
      <w:proofErr w:type="gramStart"/>
      <w:r w:rsidRPr="007F5BF5">
        <w:t>all of</w:t>
      </w:r>
      <w:proofErr w:type="gramEnd"/>
      <w:r w:rsidRPr="007F5BF5">
        <w:t xml:space="preserve"> his vested stock options </w:t>
      </w:r>
      <w:r w:rsidRPr="007F5BF5">
        <w:lastRenderedPageBreak/>
        <w:t xml:space="preserve">within 90 days of his termination as permitted by the Plan.  According to </w:t>
      </w:r>
      <w:proofErr w:type="spellStart"/>
      <w:r w:rsidRPr="007F5BF5">
        <w:t>Skillz</w:t>
      </w:r>
      <w:proofErr w:type="spellEnd"/>
      <w:r w:rsidRPr="007F5BF5">
        <w:t xml:space="preserve">, Shah did not present sufficient evidence that he would have done so.  We disagree.  Shah told </w:t>
      </w:r>
      <w:proofErr w:type="spellStart"/>
      <w:r w:rsidRPr="007F5BF5">
        <w:t>Chafkin</w:t>
      </w:r>
      <w:proofErr w:type="spellEnd"/>
      <w:r w:rsidRPr="007F5BF5">
        <w:t xml:space="preserve"> that he wanted to exercise his options on the day he was terminated.  Even after </w:t>
      </w:r>
      <w:proofErr w:type="spellStart"/>
      <w:r w:rsidRPr="007F5BF5">
        <w:t>Chafkin</w:t>
      </w:r>
      <w:proofErr w:type="spellEnd"/>
      <w:r w:rsidRPr="007F5BF5">
        <w:t xml:space="preserve"> told Shah that his options had been forfeited because he had been terminated for cause, Shah “tried to e</w:t>
      </w:r>
      <w:r w:rsidRPr="007F5BF5">
        <w:t xml:space="preserve">xercise a small portion of” his options approximately one month later when he did not receive anything in writing from </w:t>
      </w:r>
      <w:proofErr w:type="spellStart"/>
      <w:r w:rsidRPr="007F5BF5">
        <w:t>Skillz</w:t>
      </w:r>
      <w:proofErr w:type="spellEnd"/>
      <w:r w:rsidRPr="007F5BF5">
        <w:t xml:space="preserve"> about the forfeiture of his options.  This time </w:t>
      </w:r>
      <w:proofErr w:type="spellStart"/>
      <w:r w:rsidRPr="007F5BF5">
        <w:t>Skillz</w:t>
      </w:r>
      <w:proofErr w:type="spellEnd"/>
      <w:r w:rsidRPr="007F5BF5">
        <w:t xml:space="preserve"> notified Shah in writing that his options were void under his stock option agreement.  This is more than enough evidence to support the jury’s finding that Shah would have exercised </w:t>
      </w:r>
      <w:proofErr w:type="gramStart"/>
      <w:r w:rsidRPr="007F5BF5">
        <w:t>all of</w:t>
      </w:r>
      <w:proofErr w:type="gramEnd"/>
      <w:r w:rsidRPr="007F5BF5">
        <w:t xml:space="preserve"> his options within </w:t>
      </w:r>
      <w:r w:rsidRPr="007F5BF5">
        <w:t xml:space="preserve">three months </w:t>
      </w:r>
      <w:r w:rsidRPr="007F5BF5">
        <w:t>of his termination.  (</w:t>
      </w:r>
      <w:r w:rsidRPr="00A47438">
        <w:t xml:space="preserve">See </w:t>
      </w:r>
      <w:r w:rsidRPr="00A47438">
        <w:rPr>
          <w:i/>
          <w:iCs/>
        </w:rPr>
        <w:t>Padideh v. Moradi</w:t>
      </w:r>
      <w:r w:rsidRPr="00A47438">
        <w:t xml:space="preserve"> (2023) 89 Cal.App.5th 418, 446 [“Our </w:t>
      </w:r>
      <w:proofErr w:type="gramStart"/>
      <w:r w:rsidRPr="00A47438">
        <w:t>substantial</w:t>
      </w:r>
      <w:r w:rsidRPr="00A47438">
        <w:t>-</w:t>
      </w:r>
      <w:r w:rsidRPr="00A47438">
        <w:t>evidence</w:t>
      </w:r>
      <w:proofErr w:type="gramEnd"/>
      <w:r w:rsidRPr="00A47438">
        <w:t xml:space="preserve"> review b</w:t>
      </w:r>
      <w:r w:rsidRPr="00A47438">
        <w:t xml:space="preserve">egins and ends with </w:t>
      </w:r>
      <w:r w:rsidRPr="00A47438">
        <w:t xml:space="preserve">our </w:t>
      </w:r>
      <w:r w:rsidRPr="00A47438">
        <w:t>ascertaining that there is sufficient evidence in the record, contested or uncontested, to support the jury’s verdict and its implied finding</w:t>
      </w:r>
      <w:r>
        <w:t>[</w:t>
      </w:r>
      <w:r w:rsidRPr="00A47438">
        <w:t>s</w:t>
      </w:r>
      <w:r>
        <w:t>]</w:t>
      </w:r>
      <w:r w:rsidRPr="00A47438">
        <w:t xml:space="preserve">”].)  </w:t>
      </w:r>
    </w:p>
    <w:p w14:paraId="6B769806" w14:textId="77777777" w:rsidR="00E748F1" w:rsidRPr="00646AC2" w:rsidRDefault="00E748F1" w:rsidP="00085776">
      <w:pPr>
        <w:pStyle w:val="BodyText"/>
        <w:widowControl/>
        <w:spacing w:line="360" w:lineRule="auto"/>
        <w:ind w:firstLine="620"/>
        <w:rPr>
          <w:highlight w:val="yellow"/>
        </w:rPr>
      </w:pPr>
      <w:r w:rsidRPr="00A47438">
        <w:t xml:space="preserve">In any event, </w:t>
      </w:r>
      <w:proofErr w:type="spellStart"/>
      <w:r w:rsidRPr="00A47438">
        <w:t>Skillz</w:t>
      </w:r>
      <w:proofErr w:type="spellEnd"/>
      <w:r w:rsidRPr="00A47438">
        <w:t xml:space="preserve">, through its breach, rendered futile any attempt by Shah to exercise his stock options after his termination.  Thus, the trial court properly assumed that Shah would have exercised </w:t>
      </w:r>
      <w:proofErr w:type="gramStart"/>
      <w:r w:rsidRPr="00A47438">
        <w:t>all of</w:t>
      </w:r>
      <w:proofErr w:type="gramEnd"/>
      <w:r w:rsidRPr="00A47438">
        <w:t xml:space="preserve"> his options in calculating Shah’s damages.  (See </w:t>
      </w:r>
      <w:proofErr w:type="spellStart"/>
      <w:r w:rsidRPr="00A47438">
        <w:rPr>
          <w:i/>
          <w:iCs/>
        </w:rPr>
        <w:t>Oldenkott</w:t>
      </w:r>
      <w:proofErr w:type="spellEnd"/>
      <w:r w:rsidRPr="00A47438">
        <w:rPr>
          <w:i/>
          <w:iCs/>
        </w:rPr>
        <w:t xml:space="preserve"> v. American Electric Inc. </w:t>
      </w:r>
      <w:r w:rsidRPr="00A47438">
        <w:t>(1971) 14 Cal.App.3d 198, 203</w:t>
      </w:r>
      <w:r w:rsidRPr="00A47438">
        <w:t>–</w:t>
      </w:r>
      <w:r w:rsidRPr="00A47438">
        <w:t xml:space="preserve">204 [jury may “premise </w:t>
      </w:r>
      <w:r w:rsidRPr="00A47438">
        <w:t xml:space="preserve">the </w:t>
      </w:r>
      <w:r w:rsidRPr="00A47438">
        <w:t xml:space="preserve">damage caused by the loss of the option right upon the probable” losses the “plaintiff might have recovered under the contract </w:t>
      </w:r>
      <w:proofErr w:type="gramStart"/>
      <w:r w:rsidRPr="00A47438">
        <w:t>were</w:t>
      </w:r>
      <w:proofErr w:type="gramEnd"/>
      <w:r w:rsidRPr="00A47438">
        <w:t xml:space="preserve"> he permitted to exercise the option” becaus</w:t>
      </w:r>
      <w:r w:rsidRPr="00A47438">
        <w:t>e the defendant deprived him of that right].)</w:t>
      </w:r>
    </w:p>
    <w:p w14:paraId="3FB315B1" w14:textId="77777777" w:rsidR="00E748F1" w:rsidRPr="008A403F" w:rsidRDefault="00E748F1" w:rsidP="00085776">
      <w:pPr>
        <w:pStyle w:val="BodyText"/>
        <w:widowControl/>
        <w:spacing w:line="360" w:lineRule="auto"/>
        <w:ind w:firstLine="620"/>
      </w:pPr>
      <w:r w:rsidRPr="008A403F">
        <w:t xml:space="preserve">Accordingly, </w:t>
      </w:r>
      <w:r w:rsidRPr="008A403F">
        <w:t xml:space="preserve">we find that, under California law, the trial court did not err by declining to measure Shah’s damages </w:t>
      </w:r>
      <w:r w:rsidRPr="008A403F">
        <w:t xml:space="preserve">as of </w:t>
      </w:r>
      <w:r w:rsidRPr="008A403F">
        <w:t xml:space="preserve">the </w:t>
      </w:r>
      <w:r w:rsidRPr="008A403F">
        <w:t xml:space="preserve">date </w:t>
      </w:r>
      <w:r w:rsidRPr="008A403F">
        <w:t xml:space="preserve">of breach using the value of </w:t>
      </w:r>
      <w:proofErr w:type="spellStart"/>
      <w:r w:rsidRPr="008A403F">
        <w:t>Skillz</w:t>
      </w:r>
      <w:proofErr w:type="spellEnd"/>
      <w:r w:rsidRPr="008A403F">
        <w:t xml:space="preserve"> stock at the time of Shah’s termination.</w:t>
      </w:r>
      <w:r w:rsidRPr="008A403F">
        <w:t xml:space="preserve">  </w:t>
      </w:r>
      <w:r w:rsidRPr="008A403F">
        <w:t xml:space="preserve">In doing so, we reject </w:t>
      </w:r>
      <w:proofErr w:type="spellStart"/>
      <w:r w:rsidRPr="008A403F">
        <w:t>Skillz’s</w:t>
      </w:r>
      <w:proofErr w:type="spellEnd"/>
      <w:r w:rsidRPr="008A403F">
        <w:t xml:space="preserve"> only proposed alternative to the measure of damages adopted </w:t>
      </w:r>
      <w:r w:rsidRPr="008A403F">
        <w:lastRenderedPageBreak/>
        <w:t xml:space="preserve">by the court in the remittitur.  </w:t>
      </w:r>
      <w:r w:rsidRPr="008A403F">
        <w:t>W</w:t>
      </w:r>
      <w:r w:rsidRPr="008A403F">
        <w:t xml:space="preserve">e </w:t>
      </w:r>
      <w:r w:rsidRPr="008A403F">
        <w:t xml:space="preserve">therefore </w:t>
      </w:r>
      <w:r w:rsidRPr="008A403F">
        <w:t xml:space="preserve">find that </w:t>
      </w:r>
      <w:r w:rsidRPr="008A403F">
        <w:t xml:space="preserve">the court properly used the price of </w:t>
      </w:r>
      <w:proofErr w:type="spellStart"/>
      <w:r w:rsidRPr="008A403F">
        <w:t>Skillz</w:t>
      </w:r>
      <w:proofErr w:type="spellEnd"/>
      <w:r w:rsidRPr="008A403F">
        <w:t xml:space="preserve"> </w:t>
      </w:r>
      <w:r w:rsidRPr="008A403F">
        <w:t xml:space="preserve">stock </w:t>
      </w:r>
      <w:r w:rsidRPr="008A403F">
        <w:t>after the lock</w:t>
      </w:r>
      <w:r w:rsidRPr="008A403F">
        <w:t>-</w:t>
      </w:r>
      <w:r w:rsidRPr="008A403F">
        <w:t>up period</w:t>
      </w:r>
      <w:r w:rsidRPr="008A403F">
        <w:t xml:space="preserve"> </w:t>
      </w:r>
      <w:r w:rsidRPr="008A403F">
        <w:t>ended</w:t>
      </w:r>
      <w:r w:rsidRPr="008A403F">
        <w:t>—</w:t>
      </w:r>
      <w:r w:rsidRPr="007F5BF5">
        <w:t xml:space="preserve">when Shah was free to sell </w:t>
      </w:r>
      <w:r w:rsidRPr="007F5BF5">
        <w:t xml:space="preserve">that stock for the first time </w:t>
      </w:r>
      <w:r w:rsidRPr="007F5BF5">
        <w:t xml:space="preserve">on the open market </w:t>
      </w:r>
      <w:r w:rsidRPr="007F5BF5">
        <w:t>like any ot</w:t>
      </w:r>
      <w:r w:rsidRPr="007F5BF5">
        <w:t xml:space="preserve">her former and current employee of </w:t>
      </w:r>
      <w:proofErr w:type="spellStart"/>
      <w:r w:rsidRPr="007F5BF5">
        <w:t>Skillz</w:t>
      </w:r>
      <w:proofErr w:type="spellEnd"/>
      <w:r w:rsidRPr="008A403F">
        <w:t>—</w:t>
      </w:r>
      <w:r w:rsidRPr="007F5BF5">
        <w:t xml:space="preserve">to </w:t>
      </w:r>
      <w:r w:rsidRPr="007F5BF5">
        <w:t>calculate</w:t>
      </w:r>
      <w:r w:rsidRPr="007F5BF5">
        <w:t xml:space="preserve"> his damages.</w:t>
      </w:r>
    </w:p>
    <w:p w14:paraId="545401E3" w14:textId="77777777" w:rsidR="00E748F1" w:rsidRPr="00BD4AFE" w:rsidRDefault="00E748F1" w:rsidP="00BD4AFE">
      <w:pPr>
        <w:pStyle w:val="BodyText"/>
        <w:widowControl/>
        <w:numPr>
          <w:ilvl w:val="0"/>
          <w:numId w:val="27"/>
        </w:numPr>
        <w:spacing w:line="360" w:lineRule="auto"/>
        <w:rPr>
          <w:i/>
          <w:iCs/>
        </w:rPr>
      </w:pPr>
      <w:bookmarkStart w:id="4" w:name="_Hlk158799778"/>
      <w:r w:rsidRPr="00BD4AFE">
        <w:rPr>
          <w:i/>
          <w:iCs/>
        </w:rPr>
        <w:t>Under</w:t>
      </w:r>
      <w:r w:rsidRPr="00BD4AFE">
        <w:rPr>
          <w:i/>
          <w:iCs/>
        </w:rPr>
        <w:t xml:space="preserve"> </w:t>
      </w:r>
      <w:r w:rsidRPr="00BD4AFE">
        <w:rPr>
          <w:i/>
          <w:iCs/>
        </w:rPr>
        <w:t>Delaware law</w:t>
      </w:r>
      <w:r w:rsidRPr="00BD4AFE">
        <w:rPr>
          <w:i/>
          <w:iCs/>
        </w:rPr>
        <w:t>,</w:t>
      </w:r>
      <w:r w:rsidRPr="00BD4AFE">
        <w:rPr>
          <w:i/>
          <w:iCs/>
        </w:rPr>
        <w:t xml:space="preserve"> </w:t>
      </w:r>
      <w:r w:rsidRPr="00BD4AFE">
        <w:rPr>
          <w:i/>
          <w:iCs/>
        </w:rPr>
        <w:t xml:space="preserve">Shah’s </w:t>
      </w:r>
      <w:r w:rsidRPr="00BD4AFE">
        <w:rPr>
          <w:i/>
          <w:iCs/>
        </w:rPr>
        <w:t xml:space="preserve">damages </w:t>
      </w:r>
      <w:r w:rsidRPr="00BD4AFE">
        <w:rPr>
          <w:i/>
          <w:iCs/>
        </w:rPr>
        <w:t>should</w:t>
      </w:r>
      <w:r w:rsidRPr="00BD4AFE">
        <w:rPr>
          <w:i/>
          <w:iCs/>
        </w:rPr>
        <w:t xml:space="preserve"> </w:t>
      </w:r>
      <w:r w:rsidRPr="00BD4AFE">
        <w:rPr>
          <w:i/>
          <w:iCs/>
        </w:rPr>
        <w:t xml:space="preserve">also </w:t>
      </w:r>
      <w:r w:rsidRPr="00BD4AFE">
        <w:rPr>
          <w:i/>
          <w:iCs/>
        </w:rPr>
        <w:t>be measured as of a date other than the date of breach</w:t>
      </w:r>
    </w:p>
    <w:bookmarkEnd w:id="4"/>
    <w:p w14:paraId="35D95275" w14:textId="77777777" w:rsidR="00E748F1" w:rsidRPr="007F5BF5" w:rsidRDefault="00E748F1" w:rsidP="00085776">
      <w:pPr>
        <w:pStyle w:val="BodyText"/>
        <w:widowControl/>
        <w:spacing w:line="360" w:lineRule="auto"/>
        <w:ind w:firstLine="620"/>
      </w:pPr>
      <w:r w:rsidRPr="008A403F">
        <w:t xml:space="preserve">By </w:t>
      </w:r>
      <w:r w:rsidRPr="008A403F">
        <w:t>argu</w:t>
      </w:r>
      <w:r w:rsidRPr="008A403F">
        <w:t xml:space="preserve">ing that Delaware law </w:t>
      </w:r>
      <w:r w:rsidRPr="008A403F">
        <w:t xml:space="preserve">governs under the choice-of-law provision that it </w:t>
      </w:r>
      <w:r w:rsidRPr="008A403F">
        <w:t>drafted</w:t>
      </w:r>
      <w:r w:rsidRPr="008A403F">
        <w:t xml:space="preserve">, </w:t>
      </w:r>
      <w:proofErr w:type="spellStart"/>
      <w:r w:rsidRPr="008A403F">
        <w:t>Skillz</w:t>
      </w:r>
      <w:proofErr w:type="spellEnd"/>
      <w:r w:rsidRPr="008A403F">
        <w:t xml:space="preserve"> </w:t>
      </w:r>
      <w:r w:rsidRPr="008A403F">
        <w:t xml:space="preserve">appears to have conceded that Delaware </w:t>
      </w:r>
      <w:r w:rsidRPr="008A403F">
        <w:t xml:space="preserve">contract </w:t>
      </w:r>
      <w:r w:rsidRPr="008A403F">
        <w:t>law may be applied here</w:t>
      </w:r>
      <w:r w:rsidRPr="008A403F">
        <w:t xml:space="preserve">. </w:t>
      </w:r>
      <w:r w:rsidRPr="008A403F">
        <w:t xml:space="preserve"> </w:t>
      </w:r>
      <w:r w:rsidRPr="008A403F">
        <w:t>(</w:t>
      </w:r>
      <w:r w:rsidRPr="008A403F">
        <w:rPr>
          <w:i/>
          <w:iCs/>
        </w:rPr>
        <w:t>Airs Aromatics, supra</w:t>
      </w:r>
      <w:r w:rsidRPr="008A403F">
        <w:t xml:space="preserve">, 50 Cal.App.5th at p. 1014.)  </w:t>
      </w:r>
      <w:r w:rsidRPr="002E46F6">
        <w:t xml:space="preserve">Indeed, </w:t>
      </w:r>
      <w:proofErr w:type="spellStart"/>
      <w:r w:rsidRPr="002E46F6">
        <w:t>Skillz’s</w:t>
      </w:r>
      <w:proofErr w:type="spellEnd"/>
      <w:r w:rsidRPr="002E46F6">
        <w:t xml:space="preserve"> </w:t>
      </w:r>
      <w:r w:rsidRPr="002E46F6">
        <w:t xml:space="preserve">only </w:t>
      </w:r>
      <w:r w:rsidRPr="002E46F6">
        <w:t xml:space="preserve">argument </w:t>
      </w:r>
      <w:r w:rsidRPr="002E46F6">
        <w:t>against the application of Delaware law</w:t>
      </w:r>
      <w:r w:rsidRPr="008A403F">
        <w:t>—</w:t>
      </w:r>
      <w:r w:rsidRPr="007F5BF5">
        <w:t xml:space="preserve">that Shah waived </w:t>
      </w:r>
      <w:r w:rsidRPr="007F5BF5">
        <w:t>enforcement of that choice-of-law provision</w:t>
      </w:r>
      <w:r w:rsidRPr="008A403F">
        <w:t>—</w:t>
      </w:r>
      <w:bookmarkStart w:id="5" w:name="_Hlk162948929"/>
      <w:r w:rsidRPr="007F5BF5">
        <w:t>appears dubious at best</w:t>
      </w:r>
      <w:bookmarkEnd w:id="5"/>
      <w:r w:rsidRPr="007F5BF5">
        <w:t xml:space="preserve">.  Although Shah did not rely on Delaware law below or initially on appeal, there is no evidence that Shah deliberately rejected Delaware law or strategically chose California law over Delaware law.  (See </w:t>
      </w:r>
      <w:r w:rsidRPr="007F5BF5">
        <w:rPr>
          <w:i/>
          <w:iCs/>
        </w:rPr>
        <w:t xml:space="preserve">Weber, </w:t>
      </w:r>
      <w:proofErr w:type="spellStart"/>
      <w:r w:rsidRPr="007F5BF5">
        <w:rPr>
          <w:i/>
          <w:iCs/>
        </w:rPr>
        <w:t>Li</w:t>
      </w:r>
      <w:r w:rsidRPr="007F5BF5">
        <w:rPr>
          <w:i/>
          <w:iCs/>
        </w:rPr>
        <w:t>pshie</w:t>
      </w:r>
      <w:proofErr w:type="spellEnd"/>
      <w:r w:rsidRPr="007F5BF5">
        <w:rPr>
          <w:i/>
          <w:iCs/>
        </w:rPr>
        <w:t xml:space="preserve"> &amp; Co. v. Christian</w:t>
      </w:r>
      <w:r w:rsidRPr="007F5BF5">
        <w:t xml:space="preserve"> (1997) 52 Cal.App.4th 645, 659.)  Nor does </w:t>
      </w:r>
      <w:proofErr w:type="spellStart"/>
      <w:r w:rsidRPr="007F5BF5">
        <w:t>Skillz</w:t>
      </w:r>
      <w:proofErr w:type="spellEnd"/>
      <w:r w:rsidRPr="007F5BF5">
        <w:t xml:space="preserve"> argue otherwise.  Given that </w:t>
      </w:r>
      <w:proofErr w:type="spellStart"/>
      <w:r w:rsidRPr="007F5BF5">
        <w:t>Skillz</w:t>
      </w:r>
      <w:proofErr w:type="spellEnd"/>
      <w:r w:rsidRPr="007F5BF5">
        <w:t xml:space="preserve"> chose Delaware law when it drafted the Plan and invoked Delaware law when it benefitted from it, </w:t>
      </w:r>
      <w:proofErr w:type="spellStart"/>
      <w:r w:rsidRPr="007F5BF5">
        <w:t>Skillz</w:t>
      </w:r>
      <w:proofErr w:type="spellEnd"/>
      <w:r w:rsidRPr="007F5BF5">
        <w:t xml:space="preserve"> </w:t>
      </w:r>
      <w:r w:rsidRPr="007F5BF5">
        <w:t xml:space="preserve">can hardly complain that it is unfair for Shah </w:t>
      </w:r>
      <w:r w:rsidRPr="007F5BF5">
        <w:t xml:space="preserve">or this court </w:t>
      </w:r>
      <w:r w:rsidRPr="007F5BF5">
        <w:t xml:space="preserve">to </w:t>
      </w:r>
      <w:r w:rsidRPr="007F5BF5">
        <w:t>invoke</w:t>
      </w:r>
      <w:r w:rsidRPr="007F5BF5">
        <w:t xml:space="preserve"> Delaware law too.  (See </w:t>
      </w:r>
      <w:proofErr w:type="spellStart"/>
      <w:r w:rsidRPr="007F5BF5">
        <w:rPr>
          <w:i/>
          <w:iCs/>
        </w:rPr>
        <w:t>Applera</w:t>
      </w:r>
      <w:proofErr w:type="spellEnd"/>
      <w:r w:rsidRPr="007F5BF5">
        <w:rPr>
          <w:i/>
          <w:iCs/>
        </w:rPr>
        <w:t xml:space="preserve"> Corp. v. MP Biomedical, LLC</w:t>
      </w:r>
      <w:r w:rsidRPr="007F5BF5">
        <w:t xml:space="preserve"> (2009) 173 Cal.App.4th 769, 792.)  </w:t>
      </w:r>
      <w:r w:rsidRPr="007F5BF5">
        <w:t>And b</w:t>
      </w:r>
      <w:r w:rsidRPr="007F5BF5">
        <w:t xml:space="preserve">y selectively invoking California or Delaware law when that law was more favorable to its position, </w:t>
      </w:r>
      <w:proofErr w:type="spellStart"/>
      <w:r w:rsidRPr="007F5BF5">
        <w:t>Skillz</w:t>
      </w:r>
      <w:proofErr w:type="spellEnd"/>
      <w:r w:rsidRPr="007F5BF5">
        <w:t xml:space="preserve"> has arguably given this court </w:t>
      </w:r>
      <w:r w:rsidRPr="007F5BF5">
        <w:t xml:space="preserve">discretion </w:t>
      </w:r>
      <w:r w:rsidRPr="007F5BF5">
        <w:t xml:space="preserve">to </w:t>
      </w:r>
      <w:r w:rsidRPr="007F5BF5">
        <w:t>apply</w:t>
      </w:r>
      <w:r w:rsidRPr="007F5BF5">
        <w:t xml:space="preserve"> either</w:t>
      </w:r>
      <w:r w:rsidRPr="007F5BF5">
        <w:t xml:space="preserve"> state</w:t>
      </w:r>
      <w:r w:rsidRPr="007F5BF5">
        <w:t xml:space="preserve"> law</w:t>
      </w:r>
      <w:r w:rsidRPr="007F5BF5">
        <w:t xml:space="preserve"> in affirming the remittitur</w:t>
      </w:r>
      <w:r w:rsidRPr="007F5BF5">
        <w:t xml:space="preserve">.  </w:t>
      </w:r>
    </w:p>
    <w:p w14:paraId="6D3D290B" w14:textId="77777777" w:rsidR="00E748F1" w:rsidRPr="007F5BF5" w:rsidRDefault="00E748F1" w:rsidP="00085776">
      <w:pPr>
        <w:pStyle w:val="BodyText"/>
        <w:widowControl/>
        <w:spacing w:line="360" w:lineRule="auto"/>
        <w:ind w:firstLine="620"/>
      </w:pPr>
      <w:r w:rsidRPr="007F5BF5">
        <w:t>W</w:t>
      </w:r>
      <w:r w:rsidRPr="007F5BF5">
        <w:t>e</w:t>
      </w:r>
      <w:r w:rsidRPr="007F5BF5">
        <w:t>, however, have no need</w:t>
      </w:r>
      <w:r w:rsidRPr="007F5BF5">
        <w:t xml:space="preserve"> to </w:t>
      </w:r>
      <w:r w:rsidRPr="007F5BF5">
        <w:t xml:space="preserve">exercise that </w:t>
      </w:r>
      <w:r w:rsidRPr="007F5BF5">
        <w:t xml:space="preserve">discretion </w:t>
      </w:r>
      <w:r w:rsidRPr="007F5BF5">
        <w:t xml:space="preserve">here </w:t>
      </w:r>
      <w:r w:rsidRPr="007F5BF5">
        <w:t>because</w:t>
      </w:r>
      <w:r w:rsidRPr="007F5BF5">
        <w:t>, under</w:t>
      </w:r>
      <w:r w:rsidRPr="007F5BF5">
        <w:t xml:space="preserve"> Delaware </w:t>
      </w:r>
      <w:r w:rsidRPr="007F5BF5">
        <w:t>law</w:t>
      </w:r>
      <w:r w:rsidRPr="007F5BF5">
        <w:t xml:space="preserve"> as well</w:t>
      </w:r>
      <w:r w:rsidRPr="007F5BF5">
        <w:t>,</w:t>
      </w:r>
      <w:r w:rsidRPr="007F5BF5">
        <w:t xml:space="preserve"> Shah’s damages should not be measured as of the date of breach using the value of </w:t>
      </w:r>
      <w:proofErr w:type="spellStart"/>
      <w:r w:rsidRPr="007F5BF5">
        <w:t>Skillz</w:t>
      </w:r>
      <w:proofErr w:type="spellEnd"/>
      <w:r w:rsidRPr="007F5BF5">
        <w:t xml:space="preserve"> stock on his termination</w:t>
      </w:r>
      <w:r w:rsidRPr="007F5BF5">
        <w:t xml:space="preserve"> date</w:t>
      </w:r>
      <w:r w:rsidRPr="007F5BF5">
        <w:t>.</w:t>
      </w:r>
      <w:r w:rsidRPr="007F5BF5">
        <w:t xml:space="preserve">  Indeed, longstanding Delaware precedents establish that damages for lost </w:t>
      </w:r>
      <w:r w:rsidRPr="007F5BF5">
        <w:lastRenderedPageBreak/>
        <w:t>stock options in a breach of contract action may be measured as of a date other than the date of breach based on equitable considerations.  Moreover, the stock price used to calculate damages for lost stock options need not</w:t>
      </w:r>
      <w:r w:rsidRPr="007F5BF5">
        <w:t xml:space="preserve"> be the price on the date of breach under Delaware law even when damages are measured from that date.  This is because Delaware courts regularly apply “a variation of the formula used in conversion cases” in breach of contract actions involving lost stock options.  (</w:t>
      </w:r>
      <w:r w:rsidRPr="007F5BF5">
        <w:rPr>
          <w:i/>
          <w:iCs/>
        </w:rPr>
        <w:t xml:space="preserve">American General Corp. v. Continental Airlines Corp. </w:t>
      </w:r>
      <w:r w:rsidRPr="007F5BF5">
        <w:t>(</w:t>
      </w:r>
      <w:proofErr w:type="spellStart"/>
      <w:r w:rsidRPr="007F5BF5">
        <w:t>Del.Ch.Ct</w:t>
      </w:r>
      <w:proofErr w:type="spellEnd"/>
      <w:r w:rsidRPr="007F5BF5">
        <w:t>. 1992) 622 A.2d 1</w:t>
      </w:r>
      <w:r>
        <w:t>,</w:t>
      </w:r>
      <w:r>
        <w:t xml:space="preserve"> 8</w:t>
      </w:r>
      <w:r w:rsidRPr="007F5BF5">
        <w:t xml:space="preserve"> (</w:t>
      </w:r>
      <w:r w:rsidRPr="007F5BF5">
        <w:rPr>
          <w:i/>
          <w:iCs/>
        </w:rPr>
        <w:t>American General</w:t>
      </w:r>
      <w:r w:rsidRPr="007F5BF5">
        <w:t>).)</w:t>
      </w:r>
    </w:p>
    <w:p w14:paraId="5E5C8354" w14:textId="77777777" w:rsidR="00E748F1" w:rsidRPr="00646AC2" w:rsidRDefault="00E748F1" w:rsidP="00085776">
      <w:pPr>
        <w:pStyle w:val="BodyText"/>
        <w:widowControl/>
        <w:spacing w:line="360" w:lineRule="auto"/>
        <w:ind w:firstLine="620"/>
        <w:rPr>
          <w:highlight w:val="yellow"/>
        </w:rPr>
      </w:pPr>
      <w:r w:rsidRPr="007F5BF5">
        <w:t xml:space="preserve">The Delaware Chancery Court made this clear over 30 years ago.  In </w:t>
      </w:r>
      <w:r w:rsidRPr="007F5BF5">
        <w:rPr>
          <w:i/>
          <w:iCs/>
        </w:rPr>
        <w:t>American General</w:t>
      </w:r>
      <w:r w:rsidRPr="007F5BF5">
        <w:t>, American General Corporation (AGC), entered into a loan agreement with Continental Airlines Corporation (Continental).  (</w:t>
      </w:r>
      <w:r w:rsidRPr="007F5BF5">
        <w:rPr>
          <w:i/>
          <w:iCs/>
        </w:rPr>
        <w:t>American General</w:t>
      </w:r>
      <w:r w:rsidRPr="007F5BF5">
        <w:t xml:space="preserve">, </w:t>
      </w:r>
      <w:r w:rsidRPr="007F5BF5">
        <w:rPr>
          <w:i/>
          <w:iCs/>
        </w:rPr>
        <w:t>supra</w:t>
      </w:r>
      <w:r w:rsidRPr="007F5BF5">
        <w:t xml:space="preserve">, 622 A.2d at p. 3.) </w:t>
      </w:r>
      <w:r w:rsidRPr="007F5BF5">
        <w:rPr>
          <w:i/>
          <w:iCs/>
        </w:rPr>
        <w:t xml:space="preserve"> </w:t>
      </w:r>
      <w:r w:rsidRPr="007F5BF5">
        <w:t>Under that agreement, AGC received, among other things, warrants permitting it to acquire a certain number of shares of Continental at a specified exercise price.  (</w:t>
      </w:r>
      <w:r w:rsidRPr="007F5BF5">
        <w:rPr>
          <w:i/>
          <w:iCs/>
        </w:rPr>
        <w:t>Ibid</w:t>
      </w:r>
      <w:r w:rsidRPr="007F5BF5">
        <w:t>.)  After Continental filed for bankruptcy, it merged with Texas Air Corporation (Texas Air).  (</w:t>
      </w:r>
      <w:r w:rsidRPr="007F5BF5">
        <w:rPr>
          <w:i/>
          <w:iCs/>
        </w:rPr>
        <w:t>Ibid.</w:t>
      </w:r>
      <w:r w:rsidRPr="007F5BF5">
        <w:t xml:space="preserve">)  </w:t>
      </w:r>
      <w:r w:rsidRPr="007F5BF5">
        <w:t>Under</w:t>
      </w:r>
      <w:r w:rsidRPr="007F5BF5">
        <w:t xml:space="preserve"> the merger, Continental employees received an opt</w:t>
      </w:r>
      <w:r w:rsidRPr="007F5BF5">
        <w:t>ion to buy a certain amount of Texas Air stock for every share of Continental stock they owned.  (</w:t>
      </w:r>
      <w:r w:rsidRPr="007F5BF5">
        <w:rPr>
          <w:i/>
          <w:iCs/>
        </w:rPr>
        <w:t>Id.</w:t>
      </w:r>
      <w:r w:rsidRPr="007F5BF5">
        <w:t xml:space="preserve"> at p. 4.)  Continental and Texas Air did not, however, give this same option to AGC, and the Delaware court found that Continental and Texas Air breached the loan agreement by failing to do so.  (</w:t>
      </w:r>
      <w:r w:rsidRPr="007F5BF5">
        <w:rPr>
          <w:i/>
          <w:iCs/>
        </w:rPr>
        <w:t>Id.</w:t>
      </w:r>
      <w:r w:rsidRPr="007F5BF5">
        <w:t xml:space="preserve"> at p. 3.)  Although the date of breach was the date of the merger, the court </w:t>
      </w:r>
      <w:r w:rsidRPr="007F5BF5">
        <w:t>held</w:t>
      </w:r>
      <w:r w:rsidRPr="007F5BF5">
        <w:t xml:space="preserve"> “it would not be </w:t>
      </w:r>
      <w:r w:rsidRPr="007F5BF5">
        <w:rPr>
          <w:i/>
          <w:iCs/>
        </w:rPr>
        <w:t>equitable</w:t>
      </w:r>
      <w:r w:rsidRPr="007F5BF5">
        <w:t xml:space="preserve"> to measure damages from that date.”  (</w:t>
      </w:r>
      <w:r w:rsidRPr="007F5BF5">
        <w:rPr>
          <w:i/>
          <w:iCs/>
        </w:rPr>
        <w:t>Id.</w:t>
      </w:r>
      <w:r w:rsidRPr="007F5BF5">
        <w:t xml:space="preserve"> at p. 7, italics added.)  Instead, the court held that dama</w:t>
      </w:r>
      <w:r w:rsidRPr="007F5BF5">
        <w:t>ges should be measured as of the date the merger was approved by stockholders because the “option was not ‘issued or payable</w:t>
      </w:r>
      <w:proofErr w:type="gramStart"/>
      <w:r w:rsidRPr="007F5BF5">
        <w:t>’ ”</w:t>
      </w:r>
      <w:proofErr w:type="gramEnd"/>
      <w:r w:rsidRPr="007F5BF5">
        <w:t xml:space="preserve"> until then.  (</w:t>
      </w:r>
      <w:r w:rsidRPr="007F5BF5">
        <w:rPr>
          <w:i/>
          <w:iCs/>
        </w:rPr>
        <w:t>Ibid.</w:t>
      </w:r>
      <w:r w:rsidRPr="007F5BF5">
        <w:t xml:space="preserve">)  </w:t>
      </w:r>
    </w:p>
    <w:p w14:paraId="1E2722EE" w14:textId="77777777" w:rsidR="00E748F1" w:rsidRPr="00646AC2" w:rsidRDefault="00E748F1" w:rsidP="00085776">
      <w:pPr>
        <w:pStyle w:val="BodyText"/>
        <w:widowControl/>
        <w:spacing w:line="360" w:lineRule="auto"/>
        <w:ind w:firstLine="620"/>
        <w:rPr>
          <w:highlight w:val="yellow"/>
        </w:rPr>
      </w:pPr>
      <w:r w:rsidRPr="00DB38D8">
        <w:t>More notably, the Delaware Chancery Court</w:t>
      </w:r>
      <w:r w:rsidRPr="00DB38D8">
        <w:rPr>
          <w:i/>
          <w:iCs/>
        </w:rPr>
        <w:t xml:space="preserve"> </w:t>
      </w:r>
      <w:r w:rsidRPr="00DB38D8">
        <w:t xml:space="preserve">applied the </w:t>
      </w:r>
      <w:proofErr w:type="gramStart"/>
      <w:r w:rsidRPr="00DB38D8">
        <w:t>“ ‘</w:t>
      </w:r>
      <w:proofErr w:type="gramEnd"/>
      <w:r w:rsidRPr="00DB38D8">
        <w:t xml:space="preserve">highest intermediate value </w:t>
      </w:r>
      <w:r w:rsidRPr="00DB38D8">
        <w:t>formula</w:t>
      </w:r>
      <w:r w:rsidRPr="007F5BF5">
        <w:t>,’ ” a “</w:t>
      </w:r>
      <w:r w:rsidRPr="007F5BF5">
        <w:rPr>
          <w:i/>
          <w:iCs/>
        </w:rPr>
        <w:t>conversion</w:t>
      </w:r>
      <w:r w:rsidRPr="007F5BF5">
        <w:t xml:space="preserve"> formula of damages,” to </w:t>
      </w:r>
      <w:r w:rsidRPr="007F5BF5">
        <w:lastRenderedPageBreak/>
        <w:t>calculate the damages suffered by AGC.  (</w:t>
      </w:r>
      <w:r w:rsidRPr="007F5BF5">
        <w:rPr>
          <w:i/>
          <w:iCs/>
        </w:rPr>
        <w:t>American General</w:t>
      </w:r>
      <w:r w:rsidRPr="007F5BF5">
        <w:t xml:space="preserve">, </w:t>
      </w:r>
      <w:r w:rsidRPr="007F5BF5">
        <w:rPr>
          <w:i/>
          <w:iCs/>
        </w:rPr>
        <w:t>supra</w:t>
      </w:r>
      <w:r w:rsidRPr="007F5BF5">
        <w:t>, 622 A.2d at p. 8, italics added.)  As the court explained, “a plaintiff’s damages are generally measured by what is necessary to put it in as good a position as it would have occupied had there been full performance of the contract.”  (</w:t>
      </w:r>
      <w:r w:rsidRPr="007F5BF5">
        <w:rPr>
          <w:i/>
          <w:iCs/>
        </w:rPr>
        <w:t>Ibid.</w:t>
      </w:r>
      <w:r w:rsidRPr="007F5BF5">
        <w:t>)  Because “[t]he defendant’s acts prevent[ed] [the] court from determining with any degree of certainty what the plaintiff would have done with his securities had they been freely</w:t>
      </w:r>
      <w:r w:rsidRPr="007F5BF5">
        <w:t xml:space="preserve"> alienable,” </w:t>
      </w:r>
      <w:proofErr w:type="gramStart"/>
      <w:r w:rsidRPr="007F5BF5">
        <w:t>“ ‘</w:t>
      </w:r>
      <w:proofErr w:type="gramEnd"/>
      <w:r w:rsidRPr="007F5BF5">
        <w:t>fundamental justice requires that, as between [the plaintiff] and [the defendant], the perils of such uncertainty should be “laid at [the] defendant’s door.” ’ ”  (</w:t>
      </w:r>
      <w:r w:rsidRPr="007F5BF5">
        <w:rPr>
          <w:i/>
          <w:iCs/>
        </w:rPr>
        <w:t xml:space="preserve">Id. </w:t>
      </w:r>
      <w:r w:rsidRPr="007F5BF5">
        <w:t>at p. 10</w:t>
      </w:r>
      <w:r w:rsidRPr="007F5BF5">
        <w:t xml:space="preserve">.) </w:t>
      </w:r>
    </w:p>
    <w:p w14:paraId="5E73D023" w14:textId="77777777" w:rsidR="00E748F1" w:rsidRPr="007F5BF5" w:rsidRDefault="00E748F1" w:rsidP="00085776">
      <w:pPr>
        <w:pStyle w:val="BodyText"/>
        <w:widowControl/>
        <w:spacing w:line="360" w:lineRule="auto"/>
        <w:ind w:firstLine="620"/>
      </w:pPr>
      <w:r w:rsidRPr="00C415E8">
        <w:t>During</w:t>
      </w:r>
      <w:r w:rsidRPr="00C415E8">
        <w:t xml:space="preserve"> the three decades </w:t>
      </w:r>
      <w:r w:rsidRPr="00C415E8">
        <w:t xml:space="preserve">since </w:t>
      </w:r>
      <w:r w:rsidRPr="00C415E8">
        <w:rPr>
          <w:i/>
          <w:iCs/>
        </w:rPr>
        <w:t xml:space="preserve">American General </w:t>
      </w:r>
      <w:r w:rsidRPr="00C415E8">
        <w:t xml:space="preserve">was decided, Delaware courts have regularly followed it.  </w:t>
      </w:r>
      <w:r w:rsidRPr="002E46F6">
        <w:t>For example</w:t>
      </w:r>
      <w:r w:rsidRPr="002E46F6">
        <w:t xml:space="preserve">, </w:t>
      </w:r>
      <w:r w:rsidRPr="002E46F6">
        <w:t xml:space="preserve">these </w:t>
      </w:r>
      <w:r w:rsidRPr="002E46F6">
        <w:t xml:space="preserve">courts </w:t>
      </w:r>
      <w:r w:rsidRPr="002E46F6">
        <w:t xml:space="preserve">have applied the </w:t>
      </w:r>
      <w:r w:rsidRPr="002E46F6">
        <w:t xml:space="preserve">conversion measure of damages </w:t>
      </w:r>
      <w:r w:rsidRPr="002E46F6">
        <w:t xml:space="preserve">used in </w:t>
      </w:r>
      <w:r w:rsidRPr="002E46F6">
        <w:rPr>
          <w:i/>
          <w:iCs/>
        </w:rPr>
        <w:t xml:space="preserve">American General </w:t>
      </w:r>
      <w:r w:rsidRPr="002E46F6">
        <w:t xml:space="preserve">to calculate damages in breach of contract actions involving similar properties like stocks.  (See, e.g., </w:t>
      </w:r>
      <w:r w:rsidRPr="002E46F6">
        <w:rPr>
          <w:i/>
          <w:iCs/>
        </w:rPr>
        <w:t xml:space="preserve">Diamond Fortress Technologies, Inc. v. </w:t>
      </w:r>
      <w:proofErr w:type="spellStart"/>
      <w:r w:rsidRPr="002E46F6">
        <w:rPr>
          <w:i/>
          <w:iCs/>
        </w:rPr>
        <w:t>EverID</w:t>
      </w:r>
      <w:proofErr w:type="spellEnd"/>
      <w:r w:rsidRPr="002E46F6">
        <w:rPr>
          <w:i/>
          <w:iCs/>
        </w:rPr>
        <w:t xml:space="preserve">, Inc. </w:t>
      </w:r>
      <w:r w:rsidRPr="002E46F6">
        <w:t>(</w:t>
      </w:r>
      <w:proofErr w:type="spellStart"/>
      <w:r w:rsidRPr="002E46F6">
        <w:t>Del.Sup.Ct</w:t>
      </w:r>
      <w:proofErr w:type="spellEnd"/>
      <w:r w:rsidRPr="002E46F6">
        <w:t>. 2022) 274 A.3d 287, 307</w:t>
      </w:r>
      <w:r w:rsidRPr="002E46F6">
        <w:t>–</w:t>
      </w:r>
      <w:r w:rsidRPr="002E46F6">
        <w:t>308 (</w:t>
      </w:r>
      <w:r w:rsidRPr="002E46F6">
        <w:rPr>
          <w:i/>
          <w:iCs/>
        </w:rPr>
        <w:t>Diamond Fortress</w:t>
      </w:r>
      <w:r w:rsidRPr="002E46F6">
        <w:t xml:space="preserve">) [applying the “New York rule” adopted by </w:t>
      </w:r>
      <w:r w:rsidRPr="002E46F6">
        <w:rPr>
          <w:i/>
          <w:iCs/>
        </w:rPr>
        <w:t>American General</w:t>
      </w:r>
      <w:r w:rsidRPr="002E46F6">
        <w:t xml:space="preserve"> in a breach of contract action involvi</w:t>
      </w:r>
      <w:r w:rsidRPr="002E46F6">
        <w:t xml:space="preserve">ng “the wrongful conversion of stock or properties of like character”]; </w:t>
      </w:r>
      <w:r w:rsidRPr="002E46F6">
        <w:rPr>
          <w:i/>
          <w:iCs/>
        </w:rPr>
        <w:t xml:space="preserve">Duncan v. </w:t>
      </w:r>
      <w:proofErr w:type="spellStart"/>
      <w:r w:rsidRPr="002E46F6">
        <w:rPr>
          <w:i/>
          <w:iCs/>
        </w:rPr>
        <w:t>Theratx</w:t>
      </w:r>
      <w:proofErr w:type="spellEnd"/>
      <w:r w:rsidRPr="002E46F6">
        <w:rPr>
          <w:i/>
          <w:iCs/>
        </w:rPr>
        <w:t xml:space="preserve">, Inc. </w:t>
      </w:r>
      <w:r w:rsidRPr="002E46F6">
        <w:t>(Del. 2001) 775 A.2d 1019, 1022</w:t>
      </w:r>
      <w:r w:rsidRPr="002E46F6">
        <w:t>–</w:t>
      </w:r>
      <w:r w:rsidRPr="002E46F6">
        <w:t>1023 (</w:t>
      </w:r>
      <w:r w:rsidRPr="002E46F6">
        <w:rPr>
          <w:i/>
          <w:iCs/>
        </w:rPr>
        <w:t>Duncan</w:t>
      </w:r>
      <w:r w:rsidRPr="002E46F6">
        <w:t>)</w:t>
      </w:r>
      <w:r w:rsidRPr="002E46F6">
        <w:rPr>
          <w:i/>
          <w:iCs/>
        </w:rPr>
        <w:t xml:space="preserve"> </w:t>
      </w:r>
      <w:r w:rsidRPr="002E46F6">
        <w:t xml:space="preserve">[applying the highest intermediate </w:t>
      </w:r>
      <w:r w:rsidRPr="002E46F6">
        <w:t xml:space="preserve">value </w:t>
      </w:r>
      <w:r w:rsidRPr="002E46F6">
        <w:t xml:space="preserve">framework to calculate damages in a breach of contract action involving wrongful restrictions on the sale of stock].)  </w:t>
      </w:r>
      <w:r w:rsidRPr="002E46F6">
        <w:t xml:space="preserve">Thus, </w:t>
      </w:r>
      <w:r w:rsidRPr="002E46F6">
        <w:rPr>
          <w:i/>
          <w:iCs/>
        </w:rPr>
        <w:t xml:space="preserve">American General </w:t>
      </w:r>
      <w:r w:rsidRPr="002E46F6">
        <w:t xml:space="preserve">and its holding </w:t>
      </w:r>
      <w:r w:rsidRPr="002E46F6">
        <w:t>relevant to our decision in this case</w:t>
      </w:r>
      <w:r w:rsidRPr="00C415E8">
        <w:t>—</w:t>
      </w:r>
      <w:r w:rsidRPr="007F5BF5">
        <w:t>that courts may measure damages from a date other than the date of breach in breach of contract actions involving stock</w:t>
      </w:r>
      <w:r w:rsidRPr="007F5BF5">
        <w:t>s</w:t>
      </w:r>
      <w:r w:rsidRPr="007F5BF5">
        <w:t xml:space="preserve"> or stock options based on equitable considerations</w:t>
      </w:r>
      <w:r w:rsidRPr="00C415E8">
        <w:t>—</w:t>
      </w:r>
      <w:r w:rsidRPr="007F5BF5">
        <w:t>appears to be well-established under Delaware law.</w:t>
      </w:r>
    </w:p>
    <w:p w14:paraId="1C04BA17" w14:textId="77777777" w:rsidR="00E748F1" w:rsidRPr="00EB46C6" w:rsidRDefault="00E748F1" w:rsidP="00085776">
      <w:pPr>
        <w:pStyle w:val="BodyText"/>
        <w:widowControl/>
        <w:spacing w:line="360" w:lineRule="auto"/>
        <w:ind w:firstLine="620"/>
      </w:pPr>
      <w:r w:rsidRPr="007F5BF5">
        <w:t xml:space="preserve">In any event, even </w:t>
      </w:r>
      <w:r w:rsidRPr="007F5BF5">
        <w:t xml:space="preserve">when damages </w:t>
      </w:r>
      <w:r w:rsidRPr="007F5BF5">
        <w:t xml:space="preserve">are measured </w:t>
      </w:r>
      <w:r w:rsidRPr="007F5BF5">
        <w:t xml:space="preserve">from the date of </w:t>
      </w:r>
      <w:r w:rsidRPr="007F5BF5">
        <w:t>breach</w:t>
      </w:r>
      <w:r w:rsidRPr="007F5BF5">
        <w:t xml:space="preserve">, Delaware courts have declined to use the stock price at the date of </w:t>
      </w:r>
      <w:r w:rsidRPr="007F5BF5">
        <w:lastRenderedPageBreak/>
        <w:t xml:space="preserve">breach to determine the value of lost stock options.  In </w:t>
      </w:r>
      <w:r w:rsidRPr="007F5BF5">
        <w:rPr>
          <w:i/>
          <w:iCs/>
        </w:rPr>
        <w:t xml:space="preserve">Comrie v. Enterasys Networks, Inc. </w:t>
      </w:r>
      <w:r w:rsidRPr="007F5BF5">
        <w:t>(</w:t>
      </w:r>
      <w:proofErr w:type="spellStart"/>
      <w:r w:rsidRPr="007F5BF5">
        <w:t>Del.Ch.Ct</w:t>
      </w:r>
      <w:proofErr w:type="spellEnd"/>
      <w:r w:rsidRPr="007F5BF5">
        <w:t xml:space="preserve">. </w:t>
      </w:r>
      <w:r w:rsidRPr="007F5BF5">
        <w:t>2003) 837 A.2d 1 (</w:t>
      </w:r>
      <w:r w:rsidRPr="007F5BF5">
        <w:rPr>
          <w:i/>
          <w:iCs/>
        </w:rPr>
        <w:t>Comrie</w:t>
      </w:r>
      <w:r w:rsidRPr="007F5BF5">
        <w:t>)</w:t>
      </w:r>
      <w:r w:rsidRPr="007F5BF5">
        <w:t xml:space="preserve">, </w:t>
      </w:r>
      <w:r w:rsidRPr="007F5BF5">
        <w:t>the plaintiffs entered into an agreement with the defendant that, among other things, granted the plaintiffs options to purchase shares in a subsidiary of the defendant.  (</w:t>
      </w:r>
      <w:r w:rsidRPr="007F5BF5">
        <w:rPr>
          <w:i/>
          <w:iCs/>
        </w:rPr>
        <w:t xml:space="preserve">Id. </w:t>
      </w:r>
      <w:r w:rsidRPr="007F5BF5">
        <w:t>at pp. 10</w:t>
      </w:r>
      <w:r>
        <w:t>–</w:t>
      </w:r>
      <w:r w:rsidRPr="007F5BF5">
        <w:t>11.)  The stock options were granted pursuant to a vesting schedule, and any</w:t>
      </w:r>
      <w:r w:rsidRPr="007F5BF5">
        <w:t xml:space="preserve"> unvested options were extinguished if the plaintiff was terminated by the defendant.  (</w:t>
      </w:r>
      <w:r w:rsidRPr="007F5BF5">
        <w:rPr>
          <w:i/>
          <w:iCs/>
        </w:rPr>
        <w:t>Id.</w:t>
      </w:r>
      <w:r w:rsidRPr="007F5BF5">
        <w:t xml:space="preserve"> at p. 11.)  Upon termination, each plaintiff had 90 days to exercise any vested options.  (</w:t>
      </w:r>
      <w:r w:rsidRPr="007F5BF5">
        <w:rPr>
          <w:i/>
          <w:iCs/>
        </w:rPr>
        <w:t>Ibid.</w:t>
      </w:r>
      <w:r w:rsidRPr="007F5BF5">
        <w:t>)  The agreement further provided that, if the defendant decided not to conduct an IPO for the subsidiary, then the plaintiffs would receive “equivalent substitute or replacement awards” or a set amount of cash.  (</w:t>
      </w:r>
      <w:r w:rsidRPr="007F5BF5">
        <w:rPr>
          <w:i/>
          <w:iCs/>
        </w:rPr>
        <w:t>Id.</w:t>
      </w:r>
      <w:r w:rsidRPr="007F5BF5">
        <w:t xml:space="preserve"> at p. 10.)  The defendant decided not to pursue an IPO for the subsidiary and converted the plaintiffs’ op</w:t>
      </w:r>
      <w:r w:rsidRPr="007F5BF5">
        <w:t>tions for shares of stock in the subsidiary into options for shares of stock in the defendant on August 24, 2001.  (</w:t>
      </w:r>
      <w:r w:rsidRPr="007F5BF5">
        <w:rPr>
          <w:i/>
          <w:iCs/>
        </w:rPr>
        <w:t xml:space="preserve">Id. </w:t>
      </w:r>
      <w:r w:rsidRPr="007F5BF5">
        <w:t>at p. 11.)  The monetary value of those new stock options, however, was far less than the value of the original options at the time the parties entered into the agreement.  (</w:t>
      </w:r>
      <w:r w:rsidRPr="007F5BF5">
        <w:rPr>
          <w:i/>
          <w:iCs/>
        </w:rPr>
        <w:t xml:space="preserve">Id. </w:t>
      </w:r>
      <w:r w:rsidRPr="007F5BF5">
        <w:t>at pp. 11</w:t>
      </w:r>
      <w:r>
        <w:t>–</w:t>
      </w:r>
      <w:r w:rsidRPr="00EB46C6">
        <w:t xml:space="preserve">12.)  The plaintiffs sued the defendant for breach of contract, and the Delaware </w:t>
      </w:r>
      <w:r w:rsidRPr="00EB46C6">
        <w:t xml:space="preserve">Chancery Court </w:t>
      </w:r>
      <w:r w:rsidRPr="00EB46C6">
        <w:t>found that the defendant “breached its obligations under the” agreement.  (</w:t>
      </w:r>
      <w:r w:rsidRPr="00EB46C6">
        <w:rPr>
          <w:i/>
          <w:iCs/>
        </w:rPr>
        <w:t>Id.</w:t>
      </w:r>
      <w:r w:rsidRPr="00EB46C6">
        <w:t xml:space="preserve"> at p. 17.)</w:t>
      </w:r>
    </w:p>
    <w:p w14:paraId="7C63C2FE" w14:textId="77777777" w:rsidR="00E748F1" w:rsidRPr="008641E6" w:rsidRDefault="00E748F1" w:rsidP="00085776">
      <w:pPr>
        <w:pStyle w:val="BodyText"/>
        <w:widowControl/>
        <w:spacing w:line="360" w:lineRule="auto"/>
        <w:ind w:firstLine="620"/>
      </w:pPr>
      <w:r w:rsidRPr="00EB46C6">
        <w:t>To calculate the plaintiffs’ damages, the Delaware court used the date of the breach</w:t>
      </w:r>
      <w:r w:rsidRPr="008641E6">
        <w:t>—</w:t>
      </w:r>
      <w:r w:rsidRPr="00EB46C6">
        <w:t>August 24, 2001</w:t>
      </w:r>
      <w:r w:rsidRPr="008641E6">
        <w:t>—</w:t>
      </w:r>
      <w:r w:rsidRPr="00EB46C6">
        <w:t>to determine the “equivalent” options in the defendant’s stock that the plaintiff</w:t>
      </w:r>
      <w:r w:rsidRPr="00EB46C6">
        <w:t>s</w:t>
      </w:r>
      <w:r w:rsidRPr="00EB46C6">
        <w:t xml:space="preserve"> should have received under the agreement.  (</w:t>
      </w:r>
      <w:r w:rsidRPr="00EB46C6">
        <w:rPr>
          <w:i/>
          <w:iCs/>
        </w:rPr>
        <w:t>Comrie</w:t>
      </w:r>
      <w:r w:rsidRPr="00EB46C6">
        <w:t xml:space="preserve">, </w:t>
      </w:r>
      <w:r w:rsidRPr="00EB46C6">
        <w:rPr>
          <w:i/>
          <w:iCs/>
        </w:rPr>
        <w:t>supra</w:t>
      </w:r>
      <w:r w:rsidRPr="00EB46C6">
        <w:t xml:space="preserve">, 837 A.2d at p. 19.)  But to calculate the damages caused by the loss of those options, the court “consider[ed] events that took place after the date [of breach] </w:t>
      </w:r>
      <w:r w:rsidRPr="008641E6">
        <w:t>in order to aid in its determination of the proper expectations [of the plaintiffs] as of the date of breach.”  (</w:t>
      </w:r>
      <w:r w:rsidRPr="008641E6">
        <w:rPr>
          <w:i/>
          <w:iCs/>
        </w:rPr>
        <w:t>Id.</w:t>
      </w:r>
      <w:r w:rsidRPr="008641E6">
        <w:t xml:space="preserve"> at p. 20</w:t>
      </w:r>
      <w:r w:rsidRPr="008641E6">
        <w:t xml:space="preserve">.)  </w:t>
      </w:r>
      <w:r w:rsidRPr="008641E6">
        <w:t xml:space="preserve">As a result, the court did not use the price of the defendant’s stock at the </w:t>
      </w:r>
      <w:r w:rsidRPr="008641E6">
        <w:lastRenderedPageBreak/>
        <w:t xml:space="preserve">time of breach to determine the plaintiffs’ damages.  Instead, the court, applying the same conversion formula used in </w:t>
      </w:r>
      <w:r w:rsidRPr="008641E6">
        <w:rPr>
          <w:i/>
          <w:iCs/>
        </w:rPr>
        <w:t>American General</w:t>
      </w:r>
      <w:r w:rsidRPr="008641E6">
        <w:t>, used t</w:t>
      </w:r>
      <w:r w:rsidRPr="008641E6">
        <w:t xml:space="preserve">he “highest intermediate price” of the defendant’s stock during the 90-day period after the plaintiffs could have exercised the new options to calculate </w:t>
      </w:r>
      <w:r w:rsidRPr="008641E6">
        <w:t xml:space="preserve">their </w:t>
      </w:r>
      <w:r w:rsidRPr="008641E6">
        <w:t>damages</w:t>
      </w:r>
      <w:r w:rsidRPr="008641E6">
        <w:t xml:space="preserve">.  </w:t>
      </w:r>
      <w:r w:rsidRPr="008641E6">
        <w:t xml:space="preserve">The court chose this 90-day period because the plaintiffs </w:t>
      </w:r>
      <w:proofErr w:type="gramStart"/>
      <w:r w:rsidRPr="008641E6">
        <w:t>“ ‘</w:t>
      </w:r>
      <w:proofErr w:type="gramEnd"/>
      <w:r w:rsidRPr="008641E6">
        <w:t>could have sold’ ” their shares of the defendant’s stock on the open market “</w:t>
      </w:r>
      <w:r>
        <w:t> </w:t>
      </w:r>
      <w:r w:rsidRPr="008641E6">
        <w:t>‘</w:t>
      </w:r>
      <w:r>
        <w:t> </w:t>
      </w:r>
      <w:r w:rsidRPr="008641E6">
        <w:t>“</w:t>
      </w:r>
      <w:r w:rsidRPr="008641E6">
        <w:t xml:space="preserve">without depressing </w:t>
      </w:r>
      <w:proofErr w:type="spellStart"/>
      <w:r w:rsidRPr="008641E6">
        <w:t>th</w:t>
      </w:r>
      <w:proofErr w:type="spellEnd"/>
      <w:r w:rsidRPr="008641E6">
        <w:t>[at] market</w:t>
      </w:r>
      <w:r w:rsidRPr="008641E6">
        <w:t xml:space="preserve">” </w:t>
      </w:r>
      <w:r w:rsidRPr="008641E6">
        <w:t>’ ” during that time period if the defendants had not breached the agreement.  (</w:t>
      </w:r>
      <w:r w:rsidRPr="008641E6">
        <w:rPr>
          <w:i/>
          <w:iCs/>
        </w:rPr>
        <w:t>Comrie</w:t>
      </w:r>
      <w:r w:rsidRPr="008641E6">
        <w:t>, at p. 20.)  In so doing, the court fulfilled the reasonable expectations of the</w:t>
      </w:r>
      <w:r w:rsidRPr="008641E6">
        <w:t xml:space="preserve"> plaintiffs at the time of breach and resolved any uncertainties in their “favor.”  (</w:t>
      </w:r>
      <w:r w:rsidRPr="008641E6">
        <w:rPr>
          <w:i/>
          <w:iCs/>
        </w:rPr>
        <w:t xml:space="preserve">Id. </w:t>
      </w:r>
      <w:r w:rsidRPr="008641E6">
        <w:t>at p. 19.)</w:t>
      </w:r>
    </w:p>
    <w:p w14:paraId="1A3C84C9" w14:textId="77777777" w:rsidR="00E748F1" w:rsidRPr="002E46F6" w:rsidRDefault="00E748F1" w:rsidP="00085776">
      <w:pPr>
        <w:pStyle w:val="BodyText"/>
        <w:widowControl/>
        <w:spacing w:line="360" w:lineRule="auto"/>
        <w:ind w:left="0" w:firstLine="720"/>
      </w:pPr>
      <w:r w:rsidRPr="002E46F6">
        <w:t xml:space="preserve">Like California law (see </w:t>
      </w:r>
      <w:r w:rsidRPr="002E46F6">
        <w:rPr>
          <w:i/>
          <w:iCs/>
        </w:rPr>
        <w:t>Brandon &amp; Tibbs</w:t>
      </w:r>
      <w:r w:rsidRPr="002E46F6">
        <w:rPr>
          <w:i/>
          <w:iCs/>
        </w:rPr>
        <w:t>, supra</w:t>
      </w:r>
      <w:r w:rsidRPr="002E46F6">
        <w:t>, 226 Cal.App.3d at p.</w:t>
      </w:r>
      <w:r>
        <w:t> </w:t>
      </w:r>
      <w:r w:rsidRPr="002E46F6">
        <w:t>455 [“</w:t>
      </w:r>
      <w:r w:rsidRPr="002E46F6">
        <w:t xml:space="preserve">The aim is </w:t>
      </w:r>
      <w:r w:rsidRPr="002E46F6">
        <w:t xml:space="preserve">to put the injured party in as good as a position as he would have been had performance been rendered as promised”]), </w:t>
      </w:r>
      <w:r w:rsidRPr="002E46F6">
        <w:t>Delaware law</w:t>
      </w:r>
      <w:r w:rsidRPr="002E46F6">
        <w:t xml:space="preserve"> applies </w:t>
      </w:r>
      <w:r w:rsidRPr="002E46F6">
        <w:t>the “principle of expectation damages</w:t>
      </w:r>
      <w:r w:rsidRPr="002E46F6">
        <w:t>” in breach of contract actions and</w:t>
      </w:r>
      <w:r w:rsidRPr="002E46F6">
        <w:t xml:space="preserve"> </w:t>
      </w:r>
      <w:r w:rsidRPr="002E46F6">
        <w:t>measures those damages</w:t>
      </w:r>
      <w:r w:rsidRPr="002E46F6">
        <w:t xml:space="preserve"> </w:t>
      </w:r>
      <w:r w:rsidRPr="002E46F6">
        <w:t>“</w:t>
      </w:r>
      <w:r w:rsidRPr="002E46F6">
        <w:t xml:space="preserve">by the amount of money that would put the </w:t>
      </w:r>
      <w:proofErr w:type="spellStart"/>
      <w:r w:rsidRPr="002E46F6">
        <w:t>promise</w:t>
      </w:r>
      <w:r w:rsidRPr="002E46F6">
        <w:t>e</w:t>
      </w:r>
      <w:proofErr w:type="spellEnd"/>
      <w:r w:rsidRPr="002E46F6">
        <w:t xml:space="preserve"> in the same position as if the promisor had performed the contract” </w:t>
      </w:r>
      <w:r w:rsidRPr="002E46F6">
        <w:t>(</w:t>
      </w:r>
      <w:r w:rsidRPr="002E46F6">
        <w:rPr>
          <w:i/>
          <w:iCs/>
        </w:rPr>
        <w:t>Duncan</w:t>
      </w:r>
      <w:r w:rsidRPr="002E46F6">
        <w:t xml:space="preserve">, </w:t>
      </w:r>
      <w:r w:rsidRPr="002E46F6">
        <w:rPr>
          <w:i/>
          <w:iCs/>
        </w:rPr>
        <w:t>supra</w:t>
      </w:r>
      <w:r w:rsidRPr="002E46F6">
        <w:t>, 775 A.2d at p. 1022)</w:t>
      </w:r>
      <w:r w:rsidRPr="002E46F6">
        <w:t>.</w:t>
      </w:r>
      <w:r w:rsidRPr="002E46F6">
        <w:t xml:space="preserve">  And </w:t>
      </w:r>
      <w:r w:rsidRPr="002E46F6">
        <w:t>like California law</w:t>
      </w:r>
      <w:r w:rsidRPr="00D84786">
        <w:t>—</w:t>
      </w:r>
      <w:r w:rsidRPr="00EB46C6">
        <w:t>which permits recovery</w:t>
      </w:r>
      <w:r w:rsidRPr="00EB46C6">
        <w:t xml:space="preserve"> of </w:t>
      </w:r>
      <w:r w:rsidRPr="00EB46C6">
        <w:t xml:space="preserve">any </w:t>
      </w:r>
      <w:r w:rsidRPr="00EB46C6">
        <w:t xml:space="preserve">damages </w:t>
      </w:r>
      <w:r w:rsidRPr="00EB46C6">
        <w:t xml:space="preserve">that </w:t>
      </w:r>
      <w:r w:rsidRPr="00EB46C6">
        <w:t>“might have been reasonably contemplated or foreseen by both parties at the time they made the contract”</w:t>
      </w:r>
      <w:r w:rsidRPr="00EB46C6">
        <w:t xml:space="preserve"> (</w:t>
      </w:r>
      <w:r w:rsidRPr="00EB46C6">
        <w:rPr>
          <w:i/>
          <w:iCs/>
        </w:rPr>
        <w:t xml:space="preserve">Brandon &amp; Tibbs, </w:t>
      </w:r>
      <w:r w:rsidRPr="00EB46C6">
        <w:t>at p</w:t>
      </w:r>
      <w:r>
        <w:t>p</w:t>
      </w:r>
      <w:r w:rsidRPr="001C6880">
        <w:t xml:space="preserve">. </w:t>
      </w:r>
      <w:r>
        <w:t>455–</w:t>
      </w:r>
      <w:r w:rsidRPr="001C6880">
        <w:t>456</w:t>
      </w:r>
      <w:r w:rsidRPr="001C6880">
        <w:t>)</w:t>
      </w:r>
      <w:r w:rsidRPr="00D84786">
        <w:t>—</w:t>
      </w:r>
      <w:r w:rsidRPr="00EB46C6">
        <w:t xml:space="preserve">Delaware law focuses on the “reasonable expectations </w:t>
      </w:r>
      <w:r w:rsidRPr="00EB46C6">
        <w:t xml:space="preserve">of the </w:t>
      </w:r>
      <w:proofErr w:type="gramStart"/>
      <w:r w:rsidRPr="00EB46C6">
        <w:t>parties</w:t>
      </w:r>
      <w:proofErr w:type="gramEnd"/>
      <w:r w:rsidRPr="00EB46C6">
        <w:t xml:space="preserve"> </w:t>
      </w:r>
      <w:r w:rsidRPr="00EB46C6">
        <w:rPr>
          <w:i/>
          <w:iCs/>
        </w:rPr>
        <w:t>ex ante</w:t>
      </w:r>
      <w:r w:rsidRPr="00EB46C6">
        <w:t xml:space="preserve">” in </w:t>
      </w:r>
      <w:r w:rsidRPr="00EB46C6">
        <w:t>determining</w:t>
      </w:r>
      <w:r w:rsidRPr="00EB46C6">
        <w:t xml:space="preserve"> damages for breach of contract </w:t>
      </w:r>
      <w:r w:rsidRPr="00EB46C6">
        <w:t>(</w:t>
      </w:r>
      <w:r w:rsidRPr="00EB46C6">
        <w:rPr>
          <w:i/>
          <w:iCs/>
        </w:rPr>
        <w:t xml:space="preserve">Duncan, </w:t>
      </w:r>
      <w:r w:rsidRPr="002E46F6">
        <w:t>at p. 1022)</w:t>
      </w:r>
      <w:r w:rsidRPr="002E46F6">
        <w:t>.</w:t>
      </w:r>
      <w:r w:rsidRPr="002E46F6">
        <w:t xml:space="preserve">  </w:t>
      </w:r>
    </w:p>
    <w:p w14:paraId="1EBEC5E6" w14:textId="77777777" w:rsidR="00E748F1" w:rsidRPr="00EB46C6" w:rsidRDefault="00E748F1" w:rsidP="00085776">
      <w:pPr>
        <w:pStyle w:val="BodyText"/>
        <w:widowControl/>
        <w:spacing w:line="360" w:lineRule="auto"/>
        <w:ind w:left="0" w:firstLine="720"/>
      </w:pPr>
      <w:r w:rsidRPr="002E46F6">
        <w:t>Mo</w:t>
      </w:r>
      <w:r w:rsidRPr="002E46F6">
        <w:t xml:space="preserve">reover, </w:t>
      </w:r>
      <w:r w:rsidRPr="002E46F6">
        <w:t>consistent with</w:t>
      </w:r>
      <w:r w:rsidRPr="002E46F6">
        <w:t xml:space="preserve"> </w:t>
      </w:r>
      <w:r w:rsidRPr="002E46F6">
        <w:rPr>
          <w:i/>
          <w:iCs/>
        </w:rPr>
        <w:t>Berter</w:t>
      </w:r>
      <w:r w:rsidRPr="002E46F6">
        <w:rPr>
          <w:i/>
          <w:iCs/>
        </w:rPr>
        <w:t xml:space="preserve">o, </w:t>
      </w:r>
      <w:r w:rsidRPr="002E46F6">
        <w:t xml:space="preserve">Delaware courts </w:t>
      </w:r>
      <w:r w:rsidRPr="002E46F6">
        <w:t xml:space="preserve">consider the equities in </w:t>
      </w:r>
      <w:r w:rsidRPr="002E46F6">
        <w:t>determining the proper</w:t>
      </w:r>
      <w:r w:rsidRPr="002E46F6">
        <w:t xml:space="preserve"> </w:t>
      </w:r>
      <w:r w:rsidRPr="002E46F6">
        <w:t xml:space="preserve">measure of </w:t>
      </w:r>
      <w:r w:rsidRPr="002E46F6">
        <w:t xml:space="preserve">damages </w:t>
      </w:r>
      <w:r w:rsidRPr="002E46F6">
        <w:t xml:space="preserve">in breach of contract </w:t>
      </w:r>
      <w:r w:rsidRPr="002E46F6">
        <w:t>action</w:t>
      </w:r>
      <w:r w:rsidRPr="002E46F6">
        <w:t xml:space="preserve">s involving </w:t>
      </w:r>
      <w:r w:rsidRPr="002E46F6">
        <w:t>lost stock options</w:t>
      </w:r>
      <w:r w:rsidRPr="002E46F6">
        <w:t xml:space="preserve"> (compare </w:t>
      </w:r>
      <w:r w:rsidRPr="002E46F6">
        <w:rPr>
          <w:i/>
          <w:iCs/>
        </w:rPr>
        <w:t>Bertero</w:t>
      </w:r>
      <w:r w:rsidRPr="002E46F6">
        <w:t>,</w:t>
      </w:r>
      <w:r w:rsidRPr="002E46F6">
        <w:rPr>
          <w:i/>
          <w:iCs/>
        </w:rPr>
        <w:t xml:space="preserve"> supra</w:t>
      </w:r>
      <w:r w:rsidRPr="002E46F6">
        <w:t>, 254 A.2d at p.</w:t>
      </w:r>
      <w:r>
        <w:t> </w:t>
      </w:r>
      <w:r w:rsidRPr="002E46F6">
        <w:t xml:space="preserve">147 with </w:t>
      </w:r>
      <w:r w:rsidRPr="002E46F6">
        <w:rPr>
          <w:i/>
          <w:iCs/>
        </w:rPr>
        <w:t>American General</w:t>
      </w:r>
      <w:r w:rsidRPr="002E46F6">
        <w:t xml:space="preserve">, </w:t>
      </w:r>
      <w:r w:rsidRPr="002E46F6">
        <w:rPr>
          <w:i/>
          <w:iCs/>
        </w:rPr>
        <w:t>supra</w:t>
      </w:r>
      <w:r w:rsidRPr="002E46F6">
        <w:t>, 622 A.2d at p. 7), including “events occurring up to the time of judgment</w:t>
      </w:r>
      <w:r w:rsidRPr="002E46F6">
        <w:t xml:space="preserve">” </w:t>
      </w:r>
      <w:r w:rsidRPr="002E46F6">
        <w:t xml:space="preserve">(compare </w:t>
      </w:r>
      <w:r w:rsidRPr="002E46F6">
        <w:rPr>
          <w:i/>
          <w:iCs/>
        </w:rPr>
        <w:t>Bertero</w:t>
      </w:r>
      <w:r w:rsidRPr="002E46F6">
        <w:t xml:space="preserve">, at p. 150 with </w:t>
      </w:r>
      <w:r w:rsidRPr="002E46F6">
        <w:rPr>
          <w:i/>
          <w:iCs/>
        </w:rPr>
        <w:lastRenderedPageBreak/>
        <w:t>Comrie</w:t>
      </w:r>
      <w:r w:rsidRPr="002E46F6">
        <w:t>,</w:t>
      </w:r>
      <w:r w:rsidRPr="002E46F6">
        <w:rPr>
          <w:i/>
          <w:iCs/>
        </w:rPr>
        <w:t xml:space="preserve"> supra</w:t>
      </w:r>
      <w:r w:rsidRPr="002E46F6">
        <w:t xml:space="preserve">, 837 A.2d at p. 20).  </w:t>
      </w:r>
      <w:r w:rsidRPr="002E46F6">
        <w:t xml:space="preserve">Further, </w:t>
      </w:r>
      <w:r w:rsidRPr="002E46F6">
        <w:t>the</w:t>
      </w:r>
      <w:r w:rsidRPr="002E46F6">
        <w:t xml:space="preserve"> Delaware courts in </w:t>
      </w:r>
      <w:r w:rsidRPr="002E46F6">
        <w:rPr>
          <w:i/>
          <w:iCs/>
        </w:rPr>
        <w:t>Duncan</w:t>
      </w:r>
      <w:r w:rsidRPr="002E46F6">
        <w:t>,</w:t>
      </w:r>
      <w:r w:rsidRPr="002E46F6">
        <w:rPr>
          <w:i/>
          <w:iCs/>
        </w:rPr>
        <w:t xml:space="preserve"> supra</w:t>
      </w:r>
      <w:r w:rsidRPr="002E46F6">
        <w:t>, 775 A.2d at page 1023,</w:t>
      </w:r>
      <w:r w:rsidRPr="002E46F6">
        <w:rPr>
          <w:i/>
          <w:iCs/>
        </w:rPr>
        <w:t xml:space="preserve"> American General</w:t>
      </w:r>
      <w:r w:rsidRPr="002E46F6">
        <w:t xml:space="preserve">, </w:t>
      </w:r>
      <w:r w:rsidRPr="002E46F6">
        <w:rPr>
          <w:i/>
          <w:iCs/>
        </w:rPr>
        <w:t>supra</w:t>
      </w:r>
      <w:r w:rsidRPr="002E46F6">
        <w:t xml:space="preserve">, 622 A.2d at page 1, and </w:t>
      </w:r>
      <w:r w:rsidRPr="002E46F6">
        <w:rPr>
          <w:i/>
          <w:iCs/>
        </w:rPr>
        <w:t>Comrie</w:t>
      </w:r>
      <w:r w:rsidRPr="002E46F6">
        <w:t xml:space="preserve">, </w:t>
      </w:r>
      <w:r w:rsidRPr="002E46F6">
        <w:rPr>
          <w:i/>
          <w:iCs/>
        </w:rPr>
        <w:t>supra</w:t>
      </w:r>
      <w:r w:rsidRPr="002E46F6">
        <w:t>, 837 A.2d at page 2</w:t>
      </w:r>
      <w:r w:rsidRPr="002E46F6">
        <w:t>0</w:t>
      </w:r>
      <w:r w:rsidRPr="002E46F6">
        <w:t>,</w:t>
      </w:r>
      <w:r w:rsidRPr="002E46F6">
        <w:t xml:space="preserve"> </w:t>
      </w:r>
      <w:r w:rsidRPr="002E46F6">
        <w:t xml:space="preserve">have </w:t>
      </w:r>
      <w:r w:rsidRPr="002E46F6">
        <w:t>app</w:t>
      </w:r>
      <w:r w:rsidRPr="002E46F6">
        <w:t>l</w:t>
      </w:r>
      <w:r w:rsidRPr="002E46F6">
        <w:t>ied</w:t>
      </w:r>
      <w:r w:rsidRPr="002E46F6">
        <w:t xml:space="preserve"> the same </w:t>
      </w:r>
      <w:r w:rsidRPr="002E46F6">
        <w:t xml:space="preserve">legal </w:t>
      </w:r>
      <w:r w:rsidRPr="002E46F6">
        <w:t xml:space="preserve">principle applied in </w:t>
      </w:r>
      <w:r w:rsidRPr="002E46F6">
        <w:rPr>
          <w:i/>
          <w:iCs/>
        </w:rPr>
        <w:t>Bertero</w:t>
      </w:r>
      <w:r w:rsidRPr="002E46F6">
        <w:t>, at page 151</w:t>
      </w:r>
      <w:r w:rsidRPr="002E46F6">
        <w:t xml:space="preserve">:  “ ‘One whose wrongful conduct has rendered difficult the ascertainment of the damages cannot escape liability because the damages could not be measured with exactness.’ ”  </w:t>
      </w:r>
      <w:r w:rsidRPr="002E46F6">
        <w:t>Because of these similarities between California and Delaware law, t</w:t>
      </w:r>
      <w:r w:rsidRPr="002E46F6">
        <w:t xml:space="preserve">he same reasoning used by this court to reject </w:t>
      </w:r>
      <w:proofErr w:type="spellStart"/>
      <w:r w:rsidRPr="002E46F6">
        <w:t>Skillz’s</w:t>
      </w:r>
      <w:proofErr w:type="spellEnd"/>
      <w:r w:rsidRPr="002E46F6">
        <w:t xml:space="preserve"> argument that Shah’s damages should be measured as of the date of breach under California law may </w:t>
      </w:r>
      <w:r w:rsidRPr="002E46F6">
        <w:t xml:space="preserve">also </w:t>
      </w:r>
      <w:r w:rsidRPr="002E46F6">
        <w:t xml:space="preserve">be used to reject that argument under Delaware law.  </w:t>
      </w:r>
      <w:r w:rsidRPr="002E46F6">
        <w:t xml:space="preserve">(See, </w:t>
      </w:r>
      <w:r w:rsidRPr="002E46F6">
        <w:rPr>
          <w:i/>
          <w:iCs/>
        </w:rPr>
        <w:t>supra</w:t>
      </w:r>
      <w:r w:rsidRPr="002E46F6">
        <w:t xml:space="preserve">, at pp. </w:t>
      </w:r>
      <w:r w:rsidRPr="002E46F6">
        <w:t>3</w:t>
      </w:r>
      <w:r>
        <w:t>7</w:t>
      </w:r>
      <w:r>
        <w:t>–</w:t>
      </w:r>
      <w:r>
        <w:t>39</w:t>
      </w:r>
      <w:r w:rsidRPr="00EB46C6">
        <w:t xml:space="preserve">.)  </w:t>
      </w:r>
    </w:p>
    <w:p w14:paraId="17BAC8D9" w14:textId="77777777" w:rsidR="00E748F1" w:rsidRPr="00956055" w:rsidRDefault="00E748F1" w:rsidP="00085776">
      <w:pPr>
        <w:pStyle w:val="BodyText"/>
        <w:widowControl/>
        <w:spacing w:line="360" w:lineRule="auto"/>
        <w:ind w:left="0" w:firstLine="720"/>
      </w:pPr>
      <w:r w:rsidRPr="00EB46C6">
        <w:t xml:space="preserve">Indeed, our ruling under California law is narrower </w:t>
      </w:r>
      <w:r w:rsidRPr="00EB46C6">
        <w:t xml:space="preserve">in scope </w:t>
      </w:r>
      <w:r w:rsidRPr="00EB46C6">
        <w:t xml:space="preserve">than the rulings made by our </w:t>
      </w:r>
      <w:r w:rsidRPr="00EB46C6">
        <w:t xml:space="preserve">judicial </w:t>
      </w:r>
      <w:r w:rsidRPr="00EB46C6">
        <w:t xml:space="preserve">colleagues in Delaware, who have held that a conversion theory of damages, i.e., the New York Rule, applies in every breach of contract action involving stocks or stock options.  </w:t>
      </w:r>
      <w:r w:rsidRPr="00EB46C6">
        <w:t xml:space="preserve">Because </w:t>
      </w:r>
      <w:proofErr w:type="spellStart"/>
      <w:r w:rsidRPr="00EB46C6">
        <w:t>Skillz</w:t>
      </w:r>
      <w:proofErr w:type="spellEnd"/>
      <w:r w:rsidRPr="00EB46C6">
        <w:t xml:space="preserve"> only challenges the remittitur on the ground that Shah’s damages should be calculated as of the date of breach and because neither party challenges the formula used </w:t>
      </w:r>
      <w:r w:rsidRPr="00EB46C6">
        <w:t>by the trial court</w:t>
      </w:r>
      <w:r w:rsidRPr="00EB46C6">
        <w:t xml:space="preserve"> to calculate damages once the valuation date ha</w:t>
      </w:r>
      <w:r w:rsidRPr="00EB46C6">
        <w:t>s</w:t>
      </w:r>
      <w:r w:rsidRPr="00EB46C6">
        <w:t xml:space="preserve"> been set, we need not decide whether a</w:t>
      </w:r>
      <w:r w:rsidRPr="00EB46C6">
        <w:t xml:space="preserve">nd when a conversion formula </w:t>
      </w:r>
      <w:r w:rsidRPr="00EB46C6">
        <w:t>applies</w:t>
      </w:r>
      <w:r w:rsidRPr="00EB46C6">
        <w:t xml:space="preserve"> in breach of contract actions under California law.</w:t>
      </w:r>
      <w:r>
        <w:rPr>
          <w:rStyle w:val="FootnoteReference"/>
        </w:rPr>
        <w:footnoteReference w:id="20"/>
      </w:r>
    </w:p>
    <w:p w14:paraId="73B7DA76" w14:textId="77777777" w:rsidR="00E748F1" w:rsidRPr="00EB46C6" w:rsidRDefault="00E748F1" w:rsidP="00085776">
      <w:pPr>
        <w:pStyle w:val="BodyText"/>
        <w:widowControl/>
        <w:spacing w:line="360" w:lineRule="auto"/>
        <w:ind w:left="0" w:firstLine="720"/>
      </w:pPr>
      <w:r w:rsidRPr="007F7504">
        <w:t>Finally, a</w:t>
      </w:r>
      <w:r w:rsidRPr="007F7504">
        <w:t xml:space="preserve">t oral argument, </w:t>
      </w:r>
      <w:proofErr w:type="spellStart"/>
      <w:r w:rsidRPr="007F7504">
        <w:t>Skillz</w:t>
      </w:r>
      <w:proofErr w:type="spellEnd"/>
      <w:r w:rsidRPr="007F7504">
        <w:t xml:space="preserve"> argued that this court should remand for a new trial on damages if it applie</w:t>
      </w:r>
      <w:r w:rsidRPr="007F7504">
        <w:t>s</w:t>
      </w:r>
      <w:r w:rsidRPr="007F7504">
        <w:t xml:space="preserve"> Delaware law because </w:t>
      </w:r>
      <w:proofErr w:type="spellStart"/>
      <w:r w:rsidRPr="007F7504">
        <w:t>Skillz</w:t>
      </w:r>
      <w:proofErr w:type="spellEnd"/>
      <w:r w:rsidRPr="007F7504">
        <w:t xml:space="preserve"> would have presented additional evidence at trial had it known that Delaware</w:t>
      </w:r>
      <w:r w:rsidRPr="007F7504">
        <w:t>, rather than California,</w:t>
      </w:r>
      <w:r w:rsidRPr="007F7504">
        <w:t xml:space="preserve"> </w:t>
      </w:r>
      <w:r w:rsidRPr="007F7504">
        <w:t xml:space="preserve">law might </w:t>
      </w:r>
      <w:r w:rsidRPr="007F7504">
        <w:t xml:space="preserve">govern.  Of course, this argument is now </w:t>
      </w:r>
      <w:r w:rsidRPr="007F7504">
        <w:lastRenderedPageBreak/>
        <w:t xml:space="preserve">moot because we reject </w:t>
      </w:r>
      <w:proofErr w:type="spellStart"/>
      <w:r w:rsidRPr="007F7504">
        <w:t>Skillz’s</w:t>
      </w:r>
      <w:proofErr w:type="spellEnd"/>
      <w:r w:rsidRPr="007F7504">
        <w:t xml:space="preserve"> arguments under both California and Delaware law.  Moreover, </w:t>
      </w:r>
      <w:proofErr w:type="spellStart"/>
      <w:r w:rsidRPr="007F7504">
        <w:t>Skillz</w:t>
      </w:r>
      <w:proofErr w:type="spellEnd"/>
      <w:r w:rsidRPr="007F7504">
        <w:t xml:space="preserve"> waived </w:t>
      </w:r>
      <w:r w:rsidRPr="007F7504">
        <w:t xml:space="preserve">its remand </w:t>
      </w:r>
      <w:r w:rsidRPr="007F7504">
        <w:t>argument by conceding that Delaware law governed Shah’s stock options in its reply brief</w:t>
      </w:r>
      <w:r w:rsidRPr="007F7504">
        <w:t xml:space="preserve"> </w:t>
      </w:r>
      <w:r w:rsidRPr="007F7504">
        <w:t xml:space="preserve">(see </w:t>
      </w:r>
      <w:r w:rsidRPr="007F7504">
        <w:rPr>
          <w:i/>
          <w:iCs/>
        </w:rPr>
        <w:t>Martin v. PacifiCare of Cal</w:t>
      </w:r>
      <w:r w:rsidRPr="007F7504">
        <w:rPr>
          <w:i/>
          <w:iCs/>
        </w:rPr>
        <w:t>ifornia</w:t>
      </w:r>
      <w:r w:rsidRPr="00EB46C6">
        <w:rPr>
          <w:i/>
          <w:iCs/>
        </w:rPr>
        <w:t xml:space="preserve"> </w:t>
      </w:r>
      <w:r w:rsidRPr="00EB46C6">
        <w:t>(2011) 198 Cal.App.4th 1390, 1410 [by conceding preemption, the plaintiffs waive</w:t>
      </w:r>
      <w:r w:rsidRPr="00EB46C6">
        <w:t>d</w:t>
      </w:r>
      <w:r w:rsidRPr="00EB46C6">
        <w:t xml:space="preserve"> any preemption “contention”]) </w:t>
      </w:r>
      <w:r w:rsidRPr="00EB46C6">
        <w:t>and</w:t>
      </w:r>
      <w:r w:rsidRPr="00EB46C6">
        <w:t xml:space="preserve"> forfeited </w:t>
      </w:r>
      <w:r w:rsidRPr="00EB46C6">
        <w:t xml:space="preserve">that </w:t>
      </w:r>
      <w:r w:rsidRPr="00EB46C6">
        <w:t>argument</w:t>
      </w:r>
      <w:r w:rsidRPr="00EB46C6">
        <w:t xml:space="preserve"> by failing to raise it in its supplemental brief</w:t>
      </w:r>
      <w:r w:rsidRPr="00EB46C6">
        <w:t xml:space="preserve"> (see </w:t>
      </w:r>
      <w:r w:rsidRPr="00EB46C6">
        <w:rPr>
          <w:i/>
          <w:iCs/>
        </w:rPr>
        <w:t xml:space="preserve">Vaughn v. Tesla, Inc </w:t>
      </w:r>
      <w:r w:rsidRPr="00EB46C6">
        <w:t>(2023) 87</w:t>
      </w:r>
      <w:r w:rsidRPr="00EB46C6">
        <w:t xml:space="preserve"> Cal.App.5th 208, 228 [</w:t>
      </w:r>
      <w:r w:rsidRPr="00EB46C6">
        <w:t xml:space="preserve">the </w:t>
      </w:r>
      <w:r w:rsidRPr="00EB46C6">
        <w:t xml:space="preserve">defendant forfeited </w:t>
      </w:r>
      <w:r w:rsidRPr="00EB46C6">
        <w:t xml:space="preserve">any </w:t>
      </w:r>
      <w:r w:rsidRPr="00EB46C6">
        <w:t>argument raise</w:t>
      </w:r>
      <w:r w:rsidRPr="00EB46C6">
        <w:t>d</w:t>
      </w:r>
      <w:r w:rsidRPr="00EB46C6">
        <w:t xml:space="preserve"> “for the first time at oral argument”]</w:t>
      </w:r>
      <w:r w:rsidRPr="00EB46C6">
        <w:t>.)</w:t>
      </w:r>
      <w:r w:rsidRPr="00EB46C6">
        <w:t xml:space="preserve">  </w:t>
      </w:r>
    </w:p>
    <w:p w14:paraId="6F44D275" w14:textId="77777777" w:rsidR="00E748F1" w:rsidRPr="002E46F6" w:rsidRDefault="00E748F1" w:rsidP="00085776">
      <w:pPr>
        <w:pStyle w:val="BodyText"/>
        <w:widowControl/>
        <w:spacing w:line="360" w:lineRule="auto"/>
        <w:ind w:left="0" w:firstLine="720"/>
      </w:pPr>
      <w:r w:rsidRPr="00EB46C6">
        <w:t>In any event</w:t>
      </w:r>
      <w:r w:rsidRPr="00EB46C6">
        <w:t xml:space="preserve">, there is no reason to believe that </w:t>
      </w:r>
      <w:proofErr w:type="spellStart"/>
      <w:r w:rsidRPr="00EB46C6">
        <w:t>Skillz</w:t>
      </w:r>
      <w:proofErr w:type="spellEnd"/>
      <w:r w:rsidRPr="00EB46C6">
        <w:t xml:space="preserve"> would have acted any differently if </w:t>
      </w:r>
      <w:r w:rsidRPr="00EB46C6">
        <w:t xml:space="preserve">it believed that </w:t>
      </w:r>
      <w:r w:rsidRPr="00EB46C6">
        <w:t>Delaware law applied</w:t>
      </w:r>
      <w:r w:rsidRPr="00EB46C6">
        <w:t xml:space="preserve">. </w:t>
      </w:r>
      <w:r w:rsidRPr="00EB46C6">
        <w:t xml:space="preserve"> </w:t>
      </w:r>
      <w:r w:rsidRPr="00EB46C6">
        <w:t xml:space="preserve">Despite its assertion that California law is clear and requires that damages be measured from the date of breach, </w:t>
      </w:r>
      <w:proofErr w:type="spellStart"/>
      <w:r w:rsidRPr="00EB46C6">
        <w:t>Skillz</w:t>
      </w:r>
      <w:proofErr w:type="spellEnd"/>
      <w:r w:rsidRPr="00EB46C6">
        <w:t xml:space="preserve"> presented through expert testimony an alternative calculation of </w:t>
      </w:r>
      <w:r w:rsidRPr="00EB46C6">
        <w:t xml:space="preserve">Shah’s </w:t>
      </w:r>
      <w:r w:rsidRPr="00EB46C6">
        <w:t>damages using a different valuation date</w:t>
      </w:r>
      <w:r w:rsidRPr="002E46F6">
        <w:t>—</w:t>
      </w:r>
      <w:r w:rsidRPr="00EB46C6">
        <w:t xml:space="preserve">the date the lock-up period ended. </w:t>
      </w:r>
      <w:r w:rsidRPr="00EB46C6">
        <w:t xml:space="preserve"> </w:t>
      </w:r>
      <w:r w:rsidRPr="00EB46C6">
        <w:t xml:space="preserve">Thus, </w:t>
      </w:r>
      <w:proofErr w:type="spellStart"/>
      <w:r w:rsidRPr="00EB46C6">
        <w:t>Skillz</w:t>
      </w:r>
      <w:proofErr w:type="spellEnd"/>
      <w:r w:rsidRPr="00EB46C6">
        <w:t xml:space="preserve"> contemplated the possibility that Shah’s damages may be measured from a date other than the date of breach under California law. </w:t>
      </w:r>
      <w:r w:rsidRPr="00EB46C6">
        <w:t xml:space="preserve"> </w:t>
      </w:r>
      <w:r w:rsidRPr="00EB46C6">
        <w:t xml:space="preserve">Yet, </w:t>
      </w:r>
      <w:proofErr w:type="spellStart"/>
      <w:r w:rsidRPr="00EB46C6">
        <w:t>Skillz</w:t>
      </w:r>
      <w:proofErr w:type="spellEnd"/>
      <w:r w:rsidRPr="00EB46C6">
        <w:t xml:space="preserve"> </w:t>
      </w:r>
      <w:r w:rsidRPr="00EB46C6">
        <w:t>chose</w:t>
      </w:r>
      <w:r w:rsidRPr="00EB46C6">
        <w:t xml:space="preserve"> not </w:t>
      </w:r>
      <w:r w:rsidRPr="00EB46C6">
        <w:t xml:space="preserve">to </w:t>
      </w:r>
      <w:r w:rsidRPr="00EB46C6">
        <w:t xml:space="preserve">present an alternative calculation using the value of </w:t>
      </w:r>
      <w:proofErr w:type="spellStart"/>
      <w:r w:rsidRPr="00EB46C6">
        <w:t>Skillz</w:t>
      </w:r>
      <w:proofErr w:type="spellEnd"/>
      <w:r w:rsidRPr="00EB46C6">
        <w:t xml:space="preserve"> stock in the secondary markets even though it presented evidence of those values at trial.  </w:t>
      </w:r>
      <w:r w:rsidRPr="002E46F6">
        <w:t xml:space="preserve">More </w:t>
      </w:r>
      <w:r w:rsidRPr="002E46F6">
        <w:t>notab</w:t>
      </w:r>
      <w:r w:rsidRPr="002E46F6">
        <w:t xml:space="preserve">ly, </w:t>
      </w:r>
      <w:proofErr w:type="spellStart"/>
      <w:r w:rsidRPr="002E46F6">
        <w:t>Skillz</w:t>
      </w:r>
      <w:proofErr w:type="spellEnd"/>
      <w:r w:rsidRPr="002E46F6">
        <w:t xml:space="preserve"> </w:t>
      </w:r>
      <w:r w:rsidRPr="002E46F6">
        <w:t xml:space="preserve">does </w:t>
      </w:r>
      <w:r w:rsidRPr="002E46F6">
        <w:t>not</w:t>
      </w:r>
      <w:r w:rsidRPr="002E46F6">
        <w:t xml:space="preserve"> explain how </w:t>
      </w:r>
      <w:r w:rsidRPr="002E46F6">
        <w:t>the parties’</w:t>
      </w:r>
      <w:r w:rsidRPr="002E46F6">
        <w:t xml:space="preserve"> reliance on California law </w:t>
      </w:r>
      <w:r w:rsidRPr="002E46F6">
        <w:t xml:space="preserve">at trial </w:t>
      </w:r>
      <w:r w:rsidRPr="002E46F6">
        <w:t xml:space="preserve">prevented </w:t>
      </w:r>
      <w:proofErr w:type="spellStart"/>
      <w:r w:rsidRPr="002E46F6">
        <w:t>Skillz</w:t>
      </w:r>
      <w:proofErr w:type="spellEnd"/>
      <w:r w:rsidRPr="002E46F6">
        <w:t xml:space="preserve"> from presenting </w:t>
      </w:r>
      <w:r w:rsidRPr="002E46F6">
        <w:t>that</w:t>
      </w:r>
      <w:r w:rsidRPr="002E46F6">
        <w:t xml:space="preserve"> alternative calculation</w:t>
      </w:r>
      <w:r w:rsidRPr="002E46F6">
        <w:t xml:space="preserve"> </w:t>
      </w:r>
      <w:r w:rsidRPr="002E46F6">
        <w:t xml:space="preserve">or additional supporting evidence </w:t>
      </w:r>
      <w:r w:rsidRPr="002E46F6">
        <w:t xml:space="preserve">to </w:t>
      </w:r>
      <w:r w:rsidRPr="002E46F6">
        <w:t xml:space="preserve">the jury </w:t>
      </w:r>
      <w:r w:rsidRPr="002E46F6">
        <w:t xml:space="preserve">especially </w:t>
      </w:r>
      <w:proofErr w:type="gramStart"/>
      <w:r w:rsidRPr="002E46F6">
        <w:t>in light of</w:t>
      </w:r>
      <w:proofErr w:type="gramEnd"/>
      <w:r w:rsidRPr="002E46F6">
        <w:t xml:space="preserve"> the California </w:t>
      </w:r>
      <w:r w:rsidRPr="002E46F6">
        <w:t>cases</w:t>
      </w:r>
      <w:r w:rsidRPr="002E46F6">
        <w:t xml:space="preserve"> discussed above.</w:t>
      </w:r>
      <w:r w:rsidRPr="002E46F6">
        <w:t xml:space="preserve">  </w:t>
      </w:r>
    </w:p>
    <w:p w14:paraId="3E4ABA6E" w14:textId="77777777" w:rsidR="00E748F1" w:rsidRDefault="00E748F1" w:rsidP="00085776">
      <w:pPr>
        <w:pStyle w:val="BodyText"/>
        <w:widowControl/>
        <w:spacing w:line="360" w:lineRule="auto"/>
        <w:ind w:left="0" w:firstLine="720"/>
      </w:pPr>
      <w:r w:rsidRPr="002E46F6">
        <w:t xml:space="preserve">Accordingly, we reject </w:t>
      </w:r>
      <w:proofErr w:type="spellStart"/>
      <w:r w:rsidRPr="002E46F6">
        <w:t>Skillz’s</w:t>
      </w:r>
      <w:proofErr w:type="spellEnd"/>
      <w:r w:rsidRPr="002E46F6">
        <w:t xml:space="preserve"> challenges to the remittitur under Delaware law as well.</w:t>
      </w:r>
    </w:p>
    <w:p w14:paraId="53DEE567" w14:textId="77777777" w:rsidR="00E748F1" w:rsidRDefault="00E748F1" w:rsidP="00085776">
      <w:pPr>
        <w:pStyle w:val="BodyText"/>
        <w:widowControl/>
        <w:spacing w:line="360" w:lineRule="auto"/>
        <w:ind w:left="1440" w:hanging="716"/>
      </w:pPr>
      <w:r>
        <w:t>2.</w:t>
      </w:r>
      <w:r>
        <w:tab/>
      </w:r>
      <w:r>
        <w:rPr>
          <w:i/>
          <w:iCs/>
        </w:rPr>
        <w:t>Shah’s Challenge to the Measure of Damage</w:t>
      </w:r>
      <w:r>
        <w:rPr>
          <w:i/>
          <w:iCs/>
        </w:rPr>
        <w:t>s</w:t>
      </w:r>
      <w:r>
        <w:rPr>
          <w:i/>
          <w:iCs/>
        </w:rPr>
        <w:t xml:space="preserve"> Adopted by the Trial Court in the Remittitur</w:t>
      </w:r>
    </w:p>
    <w:p w14:paraId="29137949" w14:textId="77777777" w:rsidR="00E748F1" w:rsidRDefault="00E748F1" w:rsidP="00085776">
      <w:pPr>
        <w:pStyle w:val="BodyText"/>
        <w:widowControl/>
        <w:spacing w:line="360" w:lineRule="auto"/>
        <w:ind w:firstLine="620"/>
      </w:pPr>
      <w:r>
        <w:t>In his cross-appeal</w:t>
      </w:r>
      <w:r>
        <w:t xml:space="preserve">, Shah argues that the jury’s verdict should be reinstated because the amount of the remittitur “lacks substantive support.” </w:t>
      </w:r>
      <w:r>
        <w:t xml:space="preserve"> </w:t>
      </w:r>
      <w:r>
        <w:lastRenderedPageBreak/>
        <w:t>According to Shah,</w:t>
      </w:r>
      <w:r>
        <w:t xml:space="preserve"> the trial court, “by choosing between</w:t>
      </w:r>
      <w:r>
        <w:t xml:space="preserve"> the experts’ valuation of” his damages, agreed that “post-IPO-sale damages were proper.”  </w:t>
      </w:r>
      <w:r>
        <w:t xml:space="preserve">Then, in a leap of logic that is </w:t>
      </w:r>
      <w:r>
        <w:t>hard to follow</w:t>
      </w:r>
      <w:r>
        <w:t xml:space="preserve">, </w:t>
      </w:r>
      <w:r>
        <w:t xml:space="preserve">he contends </w:t>
      </w:r>
      <w:r>
        <w:t xml:space="preserve">the court </w:t>
      </w:r>
      <w:r>
        <w:t>could not have</w:t>
      </w:r>
      <w:r>
        <w:t xml:space="preserve"> f</w:t>
      </w:r>
      <w:r>
        <w:t>ou</w:t>
      </w:r>
      <w:r>
        <w:t xml:space="preserve">nd “excessive damages” </w:t>
      </w:r>
      <w:r>
        <w:t xml:space="preserve">and should not have rejected the measure of damages adopted by the jury. </w:t>
      </w:r>
    </w:p>
    <w:p w14:paraId="6B20A954" w14:textId="77777777" w:rsidR="00E748F1" w:rsidRPr="005149A6" w:rsidRDefault="00E748F1" w:rsidP="00085776">
      <w:pPr>
        <w:pStyle w:val="BodyText"/>
        <w:widowControl/>
        <w:spacing w:line="360" w:lineRule="auto"/>
        <w:ind w:firstLine="620"/>
      </w:pPr>
      <w:r>
        <w:t>But the measure of damages was a question of law to be decided by the court.  (</w:t>
      </w:r>
      <w:r>
        <w:rPr>
          <w:i/>
          <w:iCs/>
        </w:rPr>
        <w:t>Toscano</w:t>
      </w:r>
      <w:r>
        <w:t xml:space="preserve">, </w:t>
      </w:r>
      <w:r>
        <w:rPr>
          <w:i/>
          <w:iCs/>
        </w:rPr>
        <w:t>supra</w:t>
      </w:r>
      <w:r>
        <w:t>, 124 Cal.App.4th at p. 691.)</w:t>
      </w:r>
      <w:r>
        <w:t xml:space="preserve">  And the </w:t>
      </w:r>
      <w:r>
        <w:t xml:space="preserve">trial </w:t>
      </w:r>
      <w:r>
        <w:t xml:space="preserve">court, by adopting the alternative calculation proffered by </w:t>
      </w:r>
      <w:proofErr w:type="spellStart"/>
      <w:r>
        <w:t>Skillz’s</w:t>
      </w:r>
      <w:proofErr w:type="spellEnd"/>
      <w:r>
        <w:t xml:space="preserve"> expert</w:t>
      </w:r>
      <w:r>
        <w:t>,</w:t>
      </w:r>
      <w:r>
        <w:t xml:space="preserve"> instead of the calculation proffered by Shah’s expert and adopted by the jury, necessarily concluded that the jury verdict was excessive because it</w:t>
      </w:r>
      <w:r>
        <w:t>:</w:t>
      </w:r>
      <w:r>
        <w:t xml:space="preserve"> </w:t>
      </w:r>
      <w:r>
        <w:t xml:space="preserve"> </w:t>
      </w:r>
      <w:r>
        <w:br/>
      </w:r>
      <w:r>
        <w:t xml:space="preserve">(1) </w:t>
      </w:r>
      <w:r>
        <w:t xml:space="preserve">erroneously </w:t>
      </w:r>
      <w:r>
        <w:t>assumed that Shah would have sold 18.9 percent of his shares at the early release</w:t>
      </w:r>
      <w:r>
        <w:t>;</w:t>
      </w:r>
      <w:r>
        <w:t xml:space="preserve"> and </w:t>
      </w:r>
      <w:r>
        <w:t xml:space="preserve">(2) </w:t>
      </w:r>
      <w:r>
        <w:t xml:space="preserve">erroneously used the average price of </w:t>
      </w:r>
      <w:proofErr w:type="spellStart"/>
      <w:r>
        <w:t>Skillz</w:t>
      </w:r>
      <w:proofErr w:type="spellEnd"/>
      <w:r>
        <w:t xml:space="preserve"> stock over a two-week period after </w:t>
      </w:r>
      <w:r>
        <w:t xml:space="preserve">the </w:t>
      </w:r>
      <w:r>
        <w:t xml:space="preserve">lock-up period ended to calculate Shah’s damages.  Shah does not explain how the court erred </w:t>
      </w:r>
      <w:r>
        <w:t>by reaching</w:t>
      </w:r>
      <w:r>
        <w:t xml:space="preserve"> these conclusions.  Indeed, Shah </w:t>
      </w:r>
      <w:r>
        <w:t>never</w:t>
      </w:r>
      <w:r>
        <w:t xml:space="preserve"> argue</w:t>
      </w:r>
      <w:r>
        <w:t>s</w:t>
      </w:r>
      <w:r>
        <w:t xml:space="preserve"> that those conclus</w:t>
      </w:r>
      <w:r>
        <w:t xml:space="preserve">ions were erroneous. </w:t>
      </w:r>
      <w:r>
        <w:t xml:space="preserve"> As explained above, the measure of damages adopted by the court in </w:t>
      </w:r>
      <w:r>
        <w:t xml:space="preserve">the </w:t>
      </w:r>
      <w:r>
        <w:t xml:space="preserve">remittitur </w:t>
      </w:r>
      <w:r>
        <w:t>comports with</w:t>
      </w:r>
      <w:r>
        <w:t xml:space="preserve"> </w:t>
      </w:r>
      <w:r>
        <w:t xml:space="preserve">both California law and </w:t>
      </w:r>
      <w:r>
        <w:t xml:space="preserve">Delaware law.  (See, </w:t>
      </w:r>
      <w:r>
        <w:rPr>
          <w:i/>
          <w:iCs/>
        </w:rPr>
        <w:t>supra</w:t>
      </w:r>
      <w:r>
        <w:t xml:space="preserve">, at </w:t>
      </w:r>
      <w:r w:rsidRPr="006C603F">
        <w:t xml:space="preserve">p. </w:t>
      </w:r>
      <w:r>
        <w:t>28</w:t>
      </w:r>
      <w:r>
        <w:t xml:space="preserve">.)  </w:t>
      </w:r>
      <w:r>
        <w:t>Accordingly, we reject</w:t>
      </w:r>
      <w:r>
        <w:t xml:space="preserve"> this challenge to the remittitur made by Shah</w:t>
      </w:r>
      <w:r>
        <w:t xml:space="preserve"> and affirm the court’s </w:t>
      </w:r>
      <w:r>
        <w:t xml:space="preserve">adoption of the approach taken by </w:t>
      </w:r>
      <w:proofErr w:type="spellStart"/>
      <w:r>
        <w:t>Skillz’s</w:t>
      </w:r>
      <w:proofErr w:type="spellEnd"/>
      <w:r>
        <w:t xml:space="preserve"> expert</w:t>
      </w:r>
      <w:r>
        <w:t>.</w:t>
      </w:r>
      <w:r>
        <w:rPr>
          <w:rStyle w:val="FootnoteReference"/>
        </w:rPr>
        <w:t xml:space="preserve"> </w:t>
      </w:r>
    </w:p>
    <w:p w14:paraId="5F0CE41D" w14:textId="77777777" w:rsidR="00E748F1" w:rsidRPr="00BD4AFE" w:rsidRDefault="00E748F1" w:rsidP="00BD4AFE">
      <w:pPr>
        <w:pStyle w:val="BodyText"/>
        <w:widowControl/>
        <w:spacing w:line="360" w:lineRule="auto"/>
        <w:ind w:left="720"/>
        <w:rPr>
          <w:u w:val="single"/>
        </w:rPr>
      </w:pPr>
      <w:r w:rsidRPr="00BD4AFE">
        <w:t xml:space="preserve">D. </w:t>
      </w:r>
      <w:r w:rsidRPr="00BD4AFE">
        <w:t xml:space="preserve"> </w:t>
      </w:r>
      <w:r w:rsidRPr="00BD4AFE">
        <w:rPr>
          <w:u w:val="single"/>
        </w:rPr>
        <w:t xml:space="preserve">The Trial Court’s </w:t>
      </w:r>
      <w:r w:rsidRPr="00BD4AFE">
        <w:rPr>
          <w:u w:val="single"/>
        </w:rPr>
        <w:t>Exclusion of Damages for Breach of the Performance Grant</w:t>
      </w:r>
      <w:r w:rsidRPr="00BD4AFE">
        <w:rPr>
          <w:u w:val="single"/>
        </w:rPr>
        <w:t xml:space="preserve"> in the Remittitur</w:t>
      </w:r>
    </w:p>
    <w:p w14:paraId="0C981C42" w14:textId="77777777" w:rsidR="00E748F1" w:rsidRDefault="00E748F1" w:rsidP="00085776">
      <w:pPr>
        <w:pStyle w:val="BodyText"/>
        <w:widowControl/>
        <w:spacing w:line="360" w:lineRule="auto"/>
        <w:ind w:left="101" w:firstLine="619"/>
        <w:rPr>
          <w:rFonts w:cs="Times New Roman"/>
        </w:rPr>
      </w:pPr>
      <w:r>
        <w:rPr>
          <w:rFonts w:cs="Times New Roman"/>
          <w:bCs/>
          <w:iCs/>
        </w:rPr>
        <w:t xml:space="preserve">In his last challenge to the remittitur, Shah contends the trial court erred by excluding damages </w:t>
      </w:r>
      <w:r w:rsidRPr="670101DD">
        <w:rPr>
          <w:rFonts w:cs="Times New Roman"/>
        </w:rPr>
        <w:t xml:space="preserve">for breach of </w:t>
      </w:r>
      <w:r>
        <w:rPr>
          <w:rFonts w:cs="Times New Roman"/>
          <w:bCs/>
          <w:iCs/>
        </w:rPr>
        <w:t xml:space="preserve">the Performance Grant (the third contract).  To justify this reduction in Shah’s damage award, the </w:t>
      </w:r>
      <w:r w:rsidRPr="670101DD">
        <w:rPr>
          <w:rFonts w:cs="Times New Roman"/>
        </w:rPr>
        <w:t xml:space="preserve">court </w:t>
      </w:r>
      <w:r>
        <w:rPr>
          <w:rFonts w:cs="Times New Roman"/>
          <w:bCs/>
          <w:iCs/>
        </w:rPr>
        <w:t xml:space="preserve">referenced </w:t>
      </w:r>
      <w:proofErr w:type="spellStart"/>
      <w:r>
        <w:rPr>
          <w:rFonts w:cs="Times New Roman"/>
          <w:bCs/>
          <w:iCs/>
        </w:rPr>
        <w:t>Skillz’s</w:t>
      </w:r>
      <w:proofErr w:type="spellEnd"/>
      <w:r>
        <w:rPr>
          <w:rFonts w:cs="Times New Roman"/>
          <w:bCs/>
          <w:iCs/>
        </w:rPr>
        <w:t xml:space="preserve"> argument that </w:t>
      </w:r>
      <w:r w:rsidRPr="670101DD">
        <w:rPr>
          <w:rFonts w:cs="Times New Roman"/>
        </w:rPr>
        <w:t xml:space="preserve">Shah did not “properly” plead a </w:t>
      </w:r>
      <w:r>
        <w:rPr>
          <w:rFonts w:cs="Times New Roman"/>
          <w:bCs/>
          <w:iCs/>
        </w:rPr>
        <w:t>breach of this third contract</w:t>
      </w:r>
      <w:r w:rsidRPr="670101DD">
        <w:rPr>
          <w:rFonts w:cs="Times New Roman"/>
        </w:rPr>
        <w:t>.</w:t>
      </w:r>
      <w:r>
        <w:rPr>
          <w:rFonts w:cs="Times New Roman"/>
          <w:bCs/>
          <w:iCs/>
        </w:rPr>
        <w:t xml:space="preserve"> </w:t>
      </w:r>
      <w:r w:rsidRPr="670101DD">
        <w:rPr>
          <w:rFonts w:cs="Times New Roman"/>
        </w:rPr>
        <w:t xml:space="preserve"> </w:t>
      </w:r>
      <w:r>
        <w:rPr>
          <w:rFonts w:cs="Times New Roman"/>
        </w:rPr>
        <w:t xml:space="preserve">In that argument, </w:t>
      </w:r>
      <w:proofErr w:type="spellStart"/>
      <w:r>
        <w:rPr>
          <w:rFonts w:cs="Times New Roman"/>
          <w:bCs/>
          <w:iCs/>
        </w:rPr>
        <w:t>Skillz</w:t>
      </w:r>
      <w:proofErr w:type="spellEnd"/>
      <w:r>
        <w:rPr>
          <w:rFonts w:cs="Times New Roman"/>
          <w:bCs/>
          <w:iCs/>
        </w:rPr>
        <w:t xml:space="preserve"> claimed that Shah could not </w:t>
      </w:r>
      <w:r>
        <w:rPr>
          <w:rFonts w:cs="Times New Roman"/>
          <w:bCs/>
          <w:iCs/>
        </w:rPr>
        <w:lastRenderedPageBreak/>
        <w:t xml:space="preserve">recover damages for breach of the Performance Grant because the FAC “failed to apprise </w:t>
      </w:r>
      <w:proofErr w:type="spellStart"/>
      <w:r>
        <w:rPr>
          <w:rFonts w:cs="Times New Roman"/>
          <w:bCs/>
          <w:iCs/>
        </w:rPr>
        <w:t>Skillz</w:t>
      </w:r>
      <w:proofErr w:type="spellEnd"/>
      <w:r>
        <w:rPr>
          <w:rFonts w:cs="Times New Roman"/>
          <w:bCs/>
          <w:iCs/>
        </w:rPr>
        <w:t xml:space="preserve"> of a need to prepare a defense as to breach of the [Performance Grant] and that [this] failure affected </w:t>
      </w:r>
      <w:proofErr w:type="spellStart"/>
      <w:r>
        <w:rPr>
          <w:rFonts w:cs="Times New Roman"/>
          <w:bCs/>
          <w:iCs/>
        </w:rPr>
        <w:t>Skillz’s</w:t>
      </w:r>
      <w:proofErr w:type="spellEnd"/>
      <w:r>
        <w:rPr>
          <w:rFonts w:cs="Times New Roman"/>
          <w:bCs/>
          <w:iCs/>
        </w:rPr>
        <w:t xml:space="preserve"> </w:t>
      </w:r>
      <w:r>
        <w:rPr>
          <w:rFonts w:cs="Times New Roman"/>
          <w:bCs/>
          <w:iCs/>
        </w:rPr>
        <w:t xml:space="preserve">substantial rights.”  </w:t>
      </w:r>
      <w:r w:rsidRPr="00C442FB">
        <w:rPr>
          <w:rFonts w:cs="Times New Roman"/>
          <w:bCs/>
          <w:iCs/>
        </w:rPr>
        <w:t>We</w:t>
      </w:r>
      <w:r>
        <w:rPr>
          <w:rFonts w:cs="Times New Roman"/>
          <w:bCs/>
          <w:iCs/>
        </w:rPr>
        <w:t xml:space="preserve"> disagree.</w:t>
      </w:r>
      <w:r>
        <w:rPr>
          <w:rStyle w:val="FootnoteReference"/>
          <w:rFonts w:cs="Times New Roman"/>
          <w:bCs/>
          <w:iCs/>
        </w:rPr>
        <w:footnoteReference w:id="21"/>
      </w:r>
      <w:r>
        <w:rPr>
          <w:rFonts w:cs="Times New Roman"/>
          <w:bCs/>
          <w:iCs/>
        </w:rPr>
        <w:t xml:space="preserve">  </w:t>
      </w:r>
    </w:p>
    <w:p w14:paraId="4280BCC9" w14:textId="77777777" w:rsidR="00E748F1" w:rsidRDefault="00E748F1" w:rsidP="00085776">
      <w:pPr>
        <w:pStyle w:val="BodyText"/>
        <w:widowControl/>
        <w:spacing w:line="360" w:lineRule="auto"/>
        <w:ind w:left="101" w:firstLine="619"/>
        <w:rPr>
          <w:rFonts w:cs="Times New Roman"/>
          <w:bCs/>
          <w:iCs/>
        </w:rPr>
      </w:pPr>
      <w:r>
        <w:rPr>
          <w:rFonts w:cs="Times New Roman"/>
          <w:bCs/>
          <w:iCs/>
        </w:rPr>
        <w:t>“No error or defect in a pleading is to be regarded unless it affects substantial rights.”  (</w:t>
      </w:r>
      <w:r>
        <w:rPr>
          <w:rFonts w:cs="Times New Roman"/>
          <w:bCs/>
          <w:i/>
        </w:rPr>
        <w:t>Buxbom v. Smith</w:t>
      </w:r>
      <w:r>
        <w:rPr>
          <w:rFonts w:cs="Times New Roman"/>
          <w:bCs/>
          <w:iCs/>
        </w:rPr>
        <w:t xml:space="preserve"> (1944) 23 Cal.2d 535, 542.)  “The primary function of a pleading is to give the other party notice so that it may prepare its case [citation], and a defect in a pleading that otherwise properly notifies a party cannot be said to affect substantial rights.”  (</w:t>
      </w:r>
      <w:r>
        <w:rPr>
          <w:rFonts w:cs="Times New Roman"/>
          <w:bCs/>
          <w:i/>
        </w:rPr>
        <w:t>Harris v. City of Santa Monica</w:t>
      </w:r>
      <w:r>
        <w:rPr>
          <w:rFonts w:cs="Times New Roman"/>
          <w:bCs/>
          <w:iCs/>
        </w:rPr>
        <w:t xml:space="preserve"> (2013) </w:t>
      </w:r>
      <w:r w:rsidRPr="007D1F88">
        <w:rPr>
          <w:rFonts w:cs="Times New Roman"/>
          <w:bCs/>
          <w:iCs/>
        </w:rPr>
        <w:t xml:space="preserve">56 Cal.4th </w:t>
      </w:r>
      <w:r>
        <w:rPr>
          <w:rFonts w:cs="Times New Roman"/>
          <w:bCs/>
          <w:iCs/>
        </w:rPr>
        <w:t xml:space="preserve">203, 240.)  </w:t>
      </w:r>
    </w:p>
    <w:p w14:paraId="5FD73652" w14:textId="77777777" w:rsidR="00E748F1" w:rsidRPr="00E23255" w:rsidRDefault="00E748F1" w:rsidP="00085776">
      <w:pPr>
        <w:pStyle w:val="BodyText"/>
        <w:widowControl/>
        <w:spacing w:line="360" w:lineRule="auto"/>
        <w:ind w:firstLine="620"/>
        <w:rPr>
          <w:rFonts w:cs="Times New Roman"/>
          <w:bCs/>
          <w:i/>
          <w:iCs/>
        </w:rPr>
      </w:pPr>
      <w:r>
        <w:rPr>
          <w:rFonts w:cs="Times New Roman"/>
          <w:bCs/>
          <w:iCs/>
        </w:rPr>
        <w:t xml:space="preserve">Here, the FAC notified </w:t>
      </w:r>
      <w:proofErr w:type="spellStart"/>
      <w:r>
        <w:rPr>
          <w:rFonts w:cs="Times New Roman"/>
          <w:bCs/>
          <w:iCs/>
        </w:rPr>
        <w:t>Skillz</w:t>
      </w:r>
      <w:proofErr w:type="spellEnd"/>
      <w:r>
        <w:rPr>
          <w:rFonts w:cs="Times New Roman"/>
          <w:bCs/>
          <w:iCs/>
        </w:rPr>
        <w:t xml:space="preserve"> that the stock options awarded under the Performance Grant were at issue even though the FAC did not attach the Performance Grant as an exhibit </w:t>
      </w:r>
      <w:r w:rsidRPr="670101DD">
        <w:rPr>
          <w:rFonts w:cs="Times New Roman"/>
        </w:rPr>
        <w:t>or expressly</w:t>
      </w:r>
      <w:r>
        <w:rPr>
          <w:rFonts w:cs="Times New Roman"/>
          <w:bCs/>
          <w:iCs/>
        </w:rPr>
        <w:t xml:space="preserve"> allege </w:t>
      </w:r>
      <w:r w:rsidRPr="670101DD">
        <w:rPr>
          <w:rFonts w:cs="Times New Roman"/>
        </w:rPr>
        <w:t xml:space="preserve">a </w:t>
      </w:r>
      <w:r>
        <w:rPr>
          <w:rFonts w:cs="Times New Roman"/>
          <w:bCs/>
          <w:iCs/>
        </w:rPr>
        <w:t xml:space="preserve">breach of </w:t>
      </w:r>
      <w:r w:rsidRPr="670101DD">
        <w:rPr>
          <w:rFonts w:cs="Times New Roman"/>
        </w:rPr>
        <w:t>that contract</w:t>
      </w:r>
      <w:r>
        <w:rPr>
          <w:rFonts w:cs="Times New Roman"/>
          <w:bCs/>
          <w:iCs/>
        </w:rPr>
        <w:t xml:space="preserve">.  </w:t>
      </w:r>
      <w:r>
        <w:rPr>
          <w:rFonts w:cs="Times New Roman"/>
          <w:bCs/>
          <w:iCs/>
        </w:rPr>
        <w:t xml:space="preserve">In </w:t>
      </w:r>
      <w:r>
        <w:rPr>
          <w:rFonts w:cs="Times New Roman"/>
          <w:bCs/>
          <w:iCs/>
        </w:rPr>
        <w:t xml:space="preserve">the breach of contract cause of action, the FAC alleged that Shah </w:t>
      </w:r>
      <w:proofErr w:type="gramStart"/>
      <w:r>
        <w:rPr>
          <w:rFonts w:cs="Times New Roman"/>
          <w:bCs/>
          <w:iCs/>
        </w:rPr>
        <w:t>entered into</w:t>
      </w:r>
      <w:proofErr w:type="gramEnd"/>
      <w:r>
        <w:rPr>
          <w:rFonts w:cs="Times New Roman"/>
          <w:bCs/>
          <w:iCs/>
        </w:rPr>
        <w:t xml:space="preserve"> the Employment Contract</w:t>
      </w:r>
      <w:r>
        <w:t>—</w:t>
      </w:r>
      <w:r>
        <w:rPr>
          <w:rFonts w:cs="Times New Roman"/>
          <w:bCs/>
          <w:iCs/>
        </w:rPr>
        <w:t xml:space="preserve">which awarded Shah 69,487 </w:t>
      </w:r>
      <w:r w:rsidRPr="670101DD">
        <w:rPr>
          <w:rFonts w:cs="Times New Roman"/>
        </w:rPr>
        <w:t xml:space="preserve">stock options </w:t>
      </w:r>
      <w:r>
        <w:rPr>
          <w:rFonts w:cs="Times New Roman"/>
          <w:bCs/>
          <w:iCs/>
        </w:rPr>
        <w:t xml:space="preserve">as memorialized in the Notice.  It then alleged that Shah’s compensation </w:t>
      </w:r>
      <w:r w:rsidRPr="670101DD">
        <w:rPr>
          <w:rFonts w:cs="Times New Roman"/>
        </w:rPr>
        <w:t xml:space="preserve">under the Employment Contract </w:t>
      </w:r>
      <w:r>
        <w:rPr>
          <w:rFonts w:cs="Times New Roman"/>
          <w:bCs/>
          <w:iCs/>
        </w:rPr>
        <w:t xml:space="preserve">was “adjusted” </w:t>
      </w:r>
      <w:r w:rsidRPr="670101DD">
        <w:rPr>
          <w:rFonts w:cs="Times New Roman"/>
        </w:rPr>
        <w:t xml:space="preserve">through an award of </w:t>
      </w:r>
      <w:r>
        <w:rPr>
          <w:rFonts w:cs="Times New Roman"/>
          <w:bCs/>
          <w:iCs/>
        </w:rPr>
        <w:t xml:space="preserve">additional stock options </w:t>
      </w:r>
      <w:r w:rsidRPr="670101DD">
        <w:rPr>
          <w:rFonts w:cs="Times New Roman"/>
        </w:rPr>
        <w:t>unde</w:t>
      </w:r>
      <w:r w:rsidRPr="670101DD">
        <w:rPr>
          <w:rFonts w:cs="Times New Roman"/>
        </w:rPr>
        <w:t>r</w:t>
      </w:r>
      <w:r>
        <w:rPr>
          <w:rFonts w:cs="Times New Roman"/>
          <w:bCs/>
          <w:iCs/>
        </w:rPr>
        <w:t xml:space="preserve"> the Performance Grant and that</w:t>
      </w:r>
      <w:r w:rsidRPr="670101DD">
        <w:rPr>
          <w:rFonts w:cs="Times New Roman"/>
        </w:rPr>
        <w:t>, by</w:t>
      </w:r>
      <w:r>
        <w:rPr>
          <w:rFonts w:cs="Times New Roman"/>
          <w:bCs/>
          <w:iCs/>
        </w:rPr>
        <w:t xml:space="preserve"> </w:t>
      </w:r>
      <w:r w:rsidRPr="670101DD">
        <w:rPr>
          <w:rFonts w:cs="Times New Roman"/>
        </w:rPr>
        <w:t>depriving him of</w:t>
      </w:r>
      <w:r>
        <w:rPr>
          <w:rFonts w:cs="Times New Roman"/>
          <w:bCs/>
          <w:iCs/>
        </w:rPr>
        <w:t xml:space="preserve"> th</w:t>
      </w:r>
      <w:r>
        <w:rPr>
          <w:rFonts w:cs="Times New Roman"/>
          <w:bCs/>
          <w:iCs/>
        </w:rPr>
        <w:t>o</w:t>
      </w:r>
      <w:r>
        <w:rPr>
          <w:rFonts w:cs="Times New Roman"/>
          <w:bCs/>
          <w:iCs/>
        </w:rPr>
        <w:t xml:space="preserve">se </w:t>
      </w:r>
      <w:r>
        <w:rPr>
          <w:rFonts w:cs="Times New Roman"/>
          <w:bCs/>
          <w:iCs/>
        </w:rPr>
        <w:t xml:space="preserve">additional </w:t>
      </w:r>
      <w:r>
        <w:rPr>
          <w:rFonts w:cs="Times New Roman"/>
          <w:bCs/>
          <w:iCs/>
        </w:rPr>
        <w:t xml:space="preserve">options, </w:t>
      </w:r>
      <w:proofErr w:type="spellStart"/>
      <w:r>
        <w:rPr>
          <w:rFonts w:cs="Times New Roman"/>
          <w:bCs/>
          <w:iCs/>
        </w:rPr>
        <w:t>Skillz</w:t>
      </w:r>
      <w:proofErr w:type="spellEnd"/>
      <w:r>
        <w:rPr>
          <w:rFonts w:cs="Times New Roman"/>
          <w:bCs/>
          <w:iCs/>
        </w:rPr>
        <w:t xml:space="preserve"> breached both the Employment Contract and the Notice. </w:t>
      </w:r>
      <w:r w:rsidRPr="00256F6E">
        <w:rPr>
          <w:rFonts w:cs="Times New Roman"/>
          <w:bCs/>
          <w:iCs/>
        </w:rPr>
        <w:t> </w:t>
      </w:r>
      <w:r w:rsidRPr="670101DD">
        <w:rPr>
          <w:rFonts w:cs="Times New Roman"/>
        </w:rPr>
        <w:t>Finally, the</w:t>
      </w:r>
      <w:r>
        <w:rPr>
          <w:rFonts w:cs="Times New Roman"/>
          <w:bCs/>
          <w:iCs/>
        </w:rPr>
        <w:t xml:space="preserve"> FAC </w:t>
      </w:r>
      <w:r w:rsidRPr="670101DD">
        <w:rPr>
          <w:rFonts w:cs="Times New Roman"/>
        </w:rPr>
        <w:t xml:space="preserve">expressly </w:t>
      </w:r>
      <w:r>
        <w:rPr>
          <w:rFonts w:cs="Times New Roman"/>
          <w:bCs/>
          <w:iCs/>
        </w:rPr>
        <w:t>sought “[r]</w:t>
      </w:r>
      <w:proofErr w:type="spellStart"/>
      <w:r>
        <w:rPr>
          <w:rFonts w:cs="Times New Roman"/>
          <w:bCs/>
          <w:iCs/>
        </w:rPr>
        <w:t>estoration</w:t>
      </w:r>
      <w:proofErr w:type="spellEnd"/>
      <w:r>
        <w:rPr>
          <w:rFonts w:cs="Times New Roman"/>
          <w:bCs/>
          <w:iCs/>
        </w:rPr>
        <w:t xml:space="preserve"> of </w:t>
      </w:r>
      <w:r>
        <w:rPr>
          <w:rFonts w:cs="Times New Roman"/>
          <w:bCs/>
          <w:iCs/>
        </w:rPr>
        <w:t>[]</w:t>
      </w:r>
      <w:r>
        <w:rPr>
          <w:rFonts w:cs="Times New Roman"/>
          <w:bCs/>
          <w:iCs/>
        </w:rPr>
        <w:t xml:space="preserve"> Shah’s vested options to purchase 30,000 shares of </w:t>
      </w:r>
      <w:proofErr w:type="spellStart"/>
      <w:r>
        <w:rPr>
          <w:rFonts w:cs="Times New Roman"/>
          <w:bCs/>
          <w:iCs/>
        </w:rPr>
        <w:t>Skillz</w:t>
      </w:r>
      <w:proofErr w:type="spellEnd"/>
      <w:r>
        <w:rPr>
          <w:rFonts w:cs="Times New Roman"/>
          <w:bCs/>
          <w:iCs/>
        </w:rPr>
        <w:t xml:space="preserve"> []</w:t>
      </w:r>
      <w:r>
        <w:rPr>
          <w:rFonts w:cs="Times New Roman"/>
          <w:bCs/>
          <w:iCs/>
        </w:rPr>
        <w:t xml:space="preserve"> granted pursuant to the Performance Grant.” </w:t>
      </w:r>
      <w:r w:rsidRPr="670101DD">
        <w:rPr>
          <w:rFonts w:cs="Times New Roman"/>
        </w:rPr>
        <w:t xml:space="preserve"> Read together, these allegations provided more than sufficient notice to </w:t>
      </w:r>
      <w:proofErr w:type="spellStart"/>
      <w:r w:rsidRPr="670101DD">
        <w:rPr>
          <w:rFonts w:cs="Times New Roman"/>
        </w:rPr>
        <w:t>Skillz</w:t>
      </w:r>
      <w:proofErr w:type="spellEnd"/>
      <w:r w:rsidRPr="670101DD">
        <w:rPr>
          <w:rFonts w:cs="Times New Roman"/>
        </w:rPr>
        <w:t xml:space="preserve"> that Shah was seeking damages for breach of the Performance Grant.</w:t>
      </w:r>
      <w:r>
        <w:rPr>
          <w:rFonts w:cs="Times New Roman"/>
        </w:rPr>
        <w:t xml:space="preserve">  </w:t>
      </w:r>
    </w:p>
    <w:p w14:paraId="5E4BD6AE" w14:textId="77777777" w:rsidR="00E748F1" w:rsidRPr="003B07FC" w:rsidRDefault="00E748F1" w:rsidP="00085776">
      <w:pPr>
        <w:pStyle w:val="BodyText"/>
        <w:widowControl/>
        <w:spacing w:line="360" w:lineRule="auto"/>
        <w:ind w:left="0" w:firstLine="720"/>
        <w:rPr>
          <w:rFonts w:cs="Times New Roman"/>
        </w:rPr>
      </w:pPr>
      <w:r w:rsidRPr="670101DD">
        <w:rPr>
          <w:rFonts w:cs="Times New Roman"/>
        </w:rPr>
        <w:lastRenderedPageBreak/>
        <w:t xml:space="preserve">In any event, </w:t>
      </w:r>
      <w:proofErr w:type="spellStart"/>
      <w:r>
        <w:rPr>
          <w:rFonts w:cs="Times New Roman"/>
          <w:bCs/>
          <w:iCs/>
        </w:rPr>
        <w:t>Skillz</w:t>
      </w:r>
      <w:proofErr w:type="spellEnd"/>
      <w:r>
        <w:rPr>
          <w:rFonts w:cs="Times New Roman"/>
          <w:bCs/>
          <w:iCs/>
        </w:rPr>
        <w:t xml:space="preserve"> does not </w:t>
      </w:r>
      <w:r w:rsidRPr="670101DD">
        <w:rPr>
          <w:rFonts w:cs="Times New Roman"/>
        </w:rPr>
        <w:t xml:space="preserve">appear to argue that </w:t>
      </w:r>
      <w:r>
        <w:rPr>
          <w:rFonts w:cs="Times New Roman"/>
        </w:rPr>
        <w:t>any</w:t>
      </w:r>
      <w:r w:rsidRPr="670101DD">
        <w:rPr>
          <w:rFonts w:cs="Times New Roman"/>
        </w:rPr>
        <w:t xml:space="preserve"> deficiencies in the FAC prevented it from </w:t>
      </w:r>
      <w:r>
        <w:rPr>
          <w:rFonts w:cs="Times New Roman"/>
          <w:bCs/>
          <w:iCs/>
        </w:rPr>
        <w:t>prepar</w:t>
      </w:r>
      <w:r w:rsidRPr="670101DD">
        <w:rPr>
          <w:rFonts w:cs="Times New Roman"/>
        </w:rPr>
        <w:t>ing and presenting</w:t>
      </w:r>
      <w:r>
        <w:rPr>
          <w:rFonts w:cs="Times New Roman"/>
          <w:bCs/>
          <w:iCs/>
        </w:rPr>
        <w:t xml:space="preserve"> its defense</w:t>
      </w:r>
      <w:r w:rsidRPr="670101DD">
        <w:rPr>
          <w:rFonts w:cs="Times New Roman"/>
        </w:rPr>
        <w:t xml:space="preserve"> to </w:t>
      </w:r>
      <w:r>
        <w:rPr>
          <w:rFonts w:cs="Times New Roman"/>
          <w:bCs/>
          <w:iCs/>
        </w:rPr>
        <w:t>Shah’s claim for breach of the Performance Grant</w:t>
      </w:r>
      <w:r w:rsidRPr="670101DD">
        <w:rPr>
          <w:rFonts w:cs="Times New Roman"/>
        </w:rPr>
        <w:t xml:space="preserve">.  Nor could it.  At trial, </w:t>
      </w:r>
      <w:proofErr w:type="spellStart"/>
      <w:r w:rsidRPr="670101DD">
        <w:rPr>
          <w:rFonts w:cs="Times New Roman"/>
        </w:rPr>
        <w:t>Skillz</w:t>
      </w:r>
      <w:proofErr w:type="spellEnd"/>
      <w:r w:rsidRPr="670101DD">
        <w:rPr>
          <w:rFonts w:cs="Times New Roman"/>
        </w:rPr>
        <w:t xml:space="preserve"> did not object to the admission of the Performance Grant </w:t>
      </w:r>
      <w:r>
        <w:rPr>
          <w:rFonts w:cs="Times New Roman"/>
          <w:bCs/>
          <w:iCs/>
        </w:rPr>
        <w:t>into evidence</w:t>
      </w:r>
      <w:r w:rsidRPr="670101DD">
        <w:rPr>
          <w:rFonts w:cs="Times New Roman"/>
        </w:rPr>
        <w:t>, and various witnesses testified without objection about that contract during trial</w:t>
      </w:r>
      <w:r>
        <w:rPr>
          <w:rFonts w:cs="Times New Roman"/>
          <w:bCs/>
          <w:iCs/>
        </w:rPr>
        <w:t xml:space="preserve">.  </w:t>
      </w:r>
      <w:r w:rsidRPr="670101DD">
        <w:rPr>
          <w:rFonts w:cs="Times New Roman"/>
        </w:rPr>
        <w:t xml:space="preserve">Indeed, </w:t>
      </w:r>
      <w:proofErr w:type="spellStart"/>
      <w:r>
        <w:rPr>
          <w:rFonts w:cs="Times New Roman"/>
          <w:bCs/>
          <w:iCs/>
        </w:rPr>
        <w:t>Skillz’s</w:t>
      </w:r>
      <w:proofErr w:type="spellEnd"/>
      <w:r>
        <w:rPr>
          <w:rFonts w:cs="Times New Roman"/>
          <w:bCs/>
          <w:iCs/>
        </w:rPr>
        <w:t xml:space="preserve"> own expert </w:t>
      </w:r>
      <w:r w:rsidRPr="670101DD">
        <w:rPr>
          <w:rFonts w:cs="Times New Roman"/>
        </w:rPr>
        <w:t>accounted for</w:t>
      </w:r>
      <w:r>
        <w:rPr>
          <w:rFonts w:cs="Times New Roman"/>
          <w:bCs/>
          <w:iCs/>
        </w:rPr>
        <w:t xml:space="preserve"> the value of the Performance Grant options in his </w:t>
      </w:r>
      <w:r w:rsidRPr="670101DD">
        <w:rPr>
          <w:rFonts w:cs="Times New Roman"/>
        </w:rPr>
        <w:t>damage calculations.</w:t>
      </w:r>
      <w:r>
        <w:rPr>
          <w:rFonts w:cs="Times New Roman"/>
          <w:bCs/>
          <w:iCs/>
        </w:rPr>
        <w:t xml:space="preserve">  </w:t>
      </w:r>
      <w:r w:rsidRPr="670101DD">
        <w:rPr>
          <w:rFonts w:cs="Times New Roman"/>
        </w:rPr>
        <w:t>And most notably</w:t>
      </w:r>
      <w:r>
        <w:rPr>
          <w:rFonts w:cs="Times New Roman"/>
          <w:bCs/>
          <w:iCs/>
        </w:rPr>
        <w:t xml:space="preserve">, </w:t>
      </w:r>
      <w:proofErr w:type="spellStart"/>
      <w:r>
        <w:rPr>
          <w:rFonts w:cs="Times New Roman"/>
          <w:bCs/>
          <w:iCs/>
        </w:rPr>
        <w:t>Skillz</w:t>
      </w:r>
      <w:r>
        <w:rPr>
          <w:rFonts w:cs="Times New Roman"/>
          <w:bCs/>
          <w:iCs/>
        </w:rPr>
        <w:t>’s</w:t>
      </w:r>
      <w:proofErr w:type="spellEnd"/>
      <w:r>
        <w:rPr>
          <w:rFonts w:cs="Times New Roman"/>
          <w:bCs/>
          <w:iCs/>
        </w:rPr>
        <w:t xml:space="preserve"> counsel</w:t>
      </w:r>
      <w:r>
        <w:rPr>
          <w:rFonts w:cs="Times New Roman"/>
          <w:bCs/>
          <w:iCs/>
        </w:rPr>
        <w:t xml:space="preserve"> </w:t>
      </w:r>
      <w:r w:rsidRPr="670101DD">
        <w:rPr>
          <w:rFonts w:cs="Times New Roman"/>
        </w:rPr>
        <w:t xml:space="preserve">conceded </w:t>
      </w:r>
      <w:r>
        <w:rPr>
          <w:rFonts w:cs="Times New Roman"/>
        </w:rPr>
        <w:t xml:space="preserve">after the close of evidence </w:t>
      </w:r>
      <w:r w:rsidRPr="670101DD">
        <w:rPr>
          <w:rFonts w:cs="Times New Roman"/>
        </w:rPr>
        <w:t>that the Performance Grant was at issue</w:t>
      </w:r>
      <w:proofErr w:type="gramStart"/>
      <w:r w:rsidRPr="670101DD">
        <w:rPr>
          <w:rFonts w:cs="Times New Roman"/>
        </w:rPr>
        <w:t xml:space="preserve">: </w:t>
      </w:r>
      <w:r>
        <w:rPr>
          <w:rFonts w:cs="Times New Roman"/>
          <w:bCs/>
          <w:iCs/>
        </w:rPr>
        <w:t xml:space="preserve"> “</w:t>
      </w:r>
      <w:proofErr w:type="gramEnd"/>
      <w:r>
        <w:rPr>
          <w:rFonts w:cs="Times New Roman"/>
          <w:bCs/>
          <w:iCs/>
        </w:rPr>
        <w:t xml:space="preserve">I’m not arguing that these performance grants are not in the case.  I believe that, if the jury were to reach a verdict for plaintiff, there could include a damage award for the grants.” </w:t>
      </w:r>
      <w:r w:rsidRPr="670101DD">
        <w:rPr>
          <w:rFonts w:cs="Times New Roman"/>
        </w:rPr>
        <w:t xml:space="preserve"> </w:t>
      </w:r>
    </w:p>
    <w:p w14:paraId="1E77CAD2" w14:textId="77777777" w:rsidR="00E748F1" w:rsidRPr="003B07FC" w:rsidRDefault="00E748F1" w:rsidP="00085776">
      <w:pPr>
        <w:pStyle w:val="BodyText"/>
        <w:widowControl/>
        <w:spacing w:line="360" w:lineRule="auto"/>
        <w:ind w:left="0" w:firstLine="720"/>
        <w:rPr>
          <w:rFonts w:cs="Times New Roman"/>
          <w:bCs/>
          <w:iCs/>
        </w:rPr>
      </w:pPr>
      <w:r w:rsidRPr="670101DD">
        <w:rPr>
          <w:rFonts w:cs="Times New Roman"/>
        </w:rPr>
        <w:t>Finally, to the extent that the FAC failed to expressly allege a breach of the Performance Grant, this omission is immaterial because</w:t>
      </w:r>
      <w:r>
        <w:rPr>
          <w:rFonts w:cs="Times New Roman"/>
          <w:bCs/>
          <w:iCs/>
        </w:rPr>
        <w:t xml:space="preserve"> the Performance Grant “alter[ed] the terms” of the Employment Contract.  </w:t>
      </w:r>
      <w:r w:rsidRPr="670101DD">
        <w:rPr>
          <w:rFonts w:cs="Times New Roman"/>
        </w:rPr>
        <w:t>As</w:t>
      </w:r>
      <w:r>
        <w:rPr>
          <w:rFonts w:cs="Times New Roman"/>
          <w:bCs/>
          <w:iCs/>
        </w:rPr>
        <w:t xml:space="preserve"> </w:t>
      </w:r>
      <w:proofErr w:type="spellStart"/>
      <w:r>
        <w:rPr>
          <w:rFonts w:cs="Times New Roman"/>
          <w:bCs/>
          <w:iCs/>
        </w:rPr>
        <w:t>Skillz</w:t>
      </w:r>
      <w:proofErr w:type="spellEnd"/>
      <w:r>
        <w:rPr>
          <w:rFonts w:cs="Times New Roman"/>
          <w:bCs/>
          <w:iCs/>
        </w:rPr>
        <w:t xml:space="preserve"> concedes in its supplemental brief, “[t]hat means that the Employment Contract, if breached, is breached as altered.”  Therefore, </w:t>
      </w:r>
      <w:r w:rsidRPr="670101DD">
        <w:rPr>
          <w:rFonts w:cs="Times New Roman"/>
        </w:rPr>
        <w:t xml:space="preserve">by alleging a breach of the Employment Contract </w:t>
      </w:r>
      <w:r w:rsidRPr="670101DD">
        <w:rPr>
          <w:rFonts w:cs="Times New Roman"/>
          <w:i/>
          <w:iCs/>
        </w:rPr>
        <w:t>as altered</w:t>
      </w:r>
      <w:r w:rsidRPr="670101DD">
        <w:rPr>
          <w:rFonts w:cs="Times New Roman"/>
        </w:rPr>
        <w:t>, the FAC necessarily alleged a breach of the Performance Grant.  Thus</w:t>
      </w:r>
      <w:r>
        <w:rPr>
          <w:rFonts w:cs="Times New Roman"/>
          <w:bCs/>
          <w:iCs/>
        </w:rPr>
        <w:t xml:space="preserve">, any defect in the </w:t>
      </w:r>
      <w:r w:rsidRPr="670101DD">
        <w:rPr>
          <w:rFonts w:cs="Times New Roman"/>
        </w:rPr>
        <w:t>FAC could not have</w:t>
      </w:r>
      <w:r>
        <w:rPr>
          <w:rFonts w:cs="Times New Roman"/>
          <w:bCs/>
          <w:iCs/>
        </w:rPr>
        <w:t xml:space="preserve"> affected </w:t>
      </w:r>
      <w:proofErr w:type="spellStart"/>
      <w:r>
        <w:rPr>
          <w:rFonts w:cs="Times New Roman"/>
          <w:bCs/>
          <w:iCs/>
        </w:rPr>
        <w:t>Skillz’s</w:t>
      </w:r>
      <w:proofErr w:type="spellEnd"/>
      <w:r>
        <w:rPr>
          <w:rFonts w:cs="Times New Roman"/>
          <w:bCs/>
          <w:iCs/>
        </w:rPr>
        <w:t xml:space="preserve"> substantial rights, and the trial court abused its discretion by excluding </w:t>
      </w:r>
      <w:r w:rsidRPr="670101DD">
        <w:rPr>
          <w:rFonts w:cs="Times New Roman"/>
        </w:rPr>
        <w:t xml:space="preserve">damages </w:t>
      </w:r>
      <w:r>
        <w:rPr>
          <w:rFonts w:cs="Times New Roman"/>
        </w:rPr>
        <w:t>for</w:t>
      </w:r>
      <w:r w:rsidRPr="670101DD">
        <w:rPr>
          <w:rFonts w:cs="Times New Roman"/>
        </w:rPr>
        <w:t xml:space="preserve"> </w:t>
      </w:r>
      <w:r w:rsidRPr="670101DD">
        <w:rPr>
          <w:rFonts w:cs="Times New Roman"/>
        </w:rPr>
        <w:t xml:space="preserve">the breach of </w:t>
      </w:r>
      <w:r>
        <w:rPr>
          <w:rFonts w:cs="Times New Roman"/>
          <w:bCs/>
          <w:iCs/>
        </w:rPr>
        <w:t>the Performa</w:t>
      </w:r>
      <w:r>
        <w:rPr>
          <w:rFonts w:cs="Times New Roman"/>
          <w:bCs/>
          <w:iCs/>
        </w:rPr>
        <w:t xml:space="preserve">nce Grant in its </w:t>
      </w:r>
      <w:r>
        <w:rPr>
          <w:rFonts w:cs="Times New Roman"/>
          <w:bCs/>
          <w:iCs/>
        </w:rPr>
        <w:t xml:space="preserve">amended </w:t>
      </w:r>
      <w:r>
        <w:rPr>
          <w:rFonts w:cs="Times New Roman"/>
          <w:bCs/>
          <w:iCs/>
        </w:rPr>
        <w:t xml:space="preserve">remittitur.  </w:t>
      </w:r>
      <w:r w:rsidRPr="002A43DC">
        <w:t>(</w:t>
      </w:r>
      <w:r>
        <w:t xml:space="preserve">See </w:t>
      </w:r>
      <w:proofErr w:type="spellStart"/>
      <w:r w:rsidRPr="002A43DC">
        <w:rPr>
          <w:i/>
          <w:iCs/>
        </w:rPr>
        <w:t>Dell’Oca</w:t>
      </w:r>
      <w:proofErr w:type="spellEnd"/>
      <w:r w:rsidRPr="002A43DC">
        <w:rPr>
          <w:i/>
          <w:iCs/>
        </w:rPr>
        <w:t xml:space="preserve"> v. Bank of New York Trust Co., N.A.</w:t>
      </w:r>
      <w:r w:rsidRPr="002A43DC">
        <w:t xml:space="preserve"> (2008) 159 Cal.App.4th 531, 547</w:t>
      </w:r>
      <w:r w:rsidRPr="00AE74E1">
        <w:rPr>
          <w:b/>
          <w:bCs/>
        </w:rPr>
        <w:t xml:space="preserve"> </w:t>
      </w:r>
      <w:r w:rsidRPr="002A43DC">
        <w:t>[</w:t>
      </w:r>
      <w:r>
        <w:t>“</w:t>
      </w:r>
      <w:r w:rsidRPr="00AE74E1">
        <w:t xml:space="preserve">a reduction in the </w:t>
      </w:r>
      <w:proofErr w:type="gramStart"/>
      <w:r w:rsidRPr="00AE74E1">
        <w:t>amount</w:t>
      </w:r>
      <w:proofErr w:type="gramEnd"/>
      <w:r w:rsidRPr="00AE74E1">
        <w:t xml:space="preserve"> of damages as a condition of denying</w:t>
      </w:r>
      <w:r>
        <w:t>” a new trial</w:t>
      </w:r>
      <w:r w:rsidRPr="00AE74E1">
        <w:t xml:space="preserve"> motion </w:t>
      </w:r>
      <w:r>
        <w:t>may be reversed if “</w:t>
      </w:r>
      <w:r w:rsidRPr="002A43DC">
        <w:t>it plainly appears the court has abused its discretion</w:t>
      </w:r>
      <w:r>
        <w:t>”]</w:t>
      </w:r>
      <w:r w:rsidRPr="002A43DC">
        <w:t>.)</w:t>
      </w:r>
    </w:p>
    <w:p w14:paraId="74ACAC8F" w14:textId="77777777" w:rsidR="00E748F1" w:rsidRPr="00BD4AFE" w:rsidRDefault="00E748F1" w:rsidP="00085776">
      <w:pPr>
        <w:pStyle w:val="BodyText"/>
        <w:widowControl/>
        <w:spacing w:line="360" w:lineRule="auto"/>
        <w:ind w:firstLine="620"/>
        <w:rPr>
          <w:u w:val="single"/>
        </w:rPr>
      </w:pPr>
      <w:r w:rsidRPr="00BD4AFE">
        <w:t>E.</w:t>
      </w:r>
      <w:r w:rsidRPr="00BD4AFE">
        <w:t xml:space="preserve">  </w:t>
      </w:r>
      <w:r w:rsidRPr="00BD4AFE">
        <w:rPr>
          <w:u w:val="single"/>
        </w:rPr>
        <w:t xml:space="preserve">Stock Options </w:t>
      </w:r>
      <w:r w:rsidRPr="00BD4AFE">
        <w:rPr>
          <w:u w:val="single"/>
        </w:rPr>
        <w:t>Are Not</w:t>
      </w:r>
      <w:r w:rsidRPr="00BD4AFE">
        <w:rPr>
          <w:u w:val="single"/>
        </w:rPr>
        <w:t xml:space="preserve"> Wages Under the Labor Code.</w:t>
      </w:r>
    </w:p>
    <w:p w14:paraId="1F64D4B9" w14:textId="77777777" w:rsidR="00E748F1" w:rsidRDefault="00E748F1" w:rsidP="00085776">
      <w:pPr>
        <w:pStyle w:val="BodyText"/>
        <w:widowControl/>
        <w:spacing w:line="360" w:lineRule="auto"/>
        <w:rPr>
          <w:rFonts w:cs="Times New Roman"/>
          <w:bCs/>
          <w:iCs/>
        </w:rPr>
      </w:pPr>
      <w:r>
        <w:rPr>
          <w:b/>
          <w:bCs/>
        </w:rPr>
        <w:tab/>
      </w:r>
      <w:r>
        <w:t xml:space="preserve">In the last argument of his cross-appeal, </w:t>
      </w:r>
      <w:r>
        <w:rPr>
          <w:rFonts w:cs="Times New Roman"/>
          <w:bCs/>
          <w:iCs/>
        </w:rPr>
        <w:t xml:space="preserve">Shah contends we should reverse the trial court’s directed verdict dismissing his tort claims for </w:t>
      </w:r>
      <w:r>
        <w:rPr>
          <w:rFonts w:cs="Times New Roman"/>
          <w:bCs/>
          <w:iCs/>
        </w:rPr>
        <w:lastRenderedPageBreak/>
        <w:t xml:space="preserve">retaliation and wrongful termination.  </w:t>
      </w:r>
      <w:r w:rsidRPr="670101DD">
        <w:rPr>
          <w:rFonts w:cs="Times New Roman"/>
        </w:rPr>
        <w:t xml:space="preserve">According to </w:t>
      </w:r>
      <w:r>
        <w:rPr>
          <w:rFonts w:cs="Times New Roman"/>
          <w:bCs/>
          <w:iCs/>
        </w:rPr>
        <w:t>Shah</w:t>
      </w:r>
      <w:r w:rsidRPr="670101DD">
        <w:rPr>
          <w:rFonts w:cs="Times New Roman"/>
        </w:rPr>
        <w:t>,</w:t>
      </w:r>
      <w:r>
        <w:rPr>
          <w:rFonts w:cs="Times New Roman"/>
          <w:bCs/>
          <w:iCs/>
        </w:rPr>
        <w:t xml:space="preserve"> the court err</w:t>
      </w:r>
      <w:r w:rsidRPr="670101DD">
        <w:rPr>
          <w:rFonts w:cs="Times New Roman"/>
        </w:rPr>
        <w:t xml:space="preserve">ed when it concluded </w:t>
      </w:r>
      <w:r>
        <w:rPr>
          <w:rFonts w:cs="Times New Roman"/>
          <w:bCs/>
          <w:iCs/>
        </w:rPr>
        <w:t xml:space="preserve">that stock options are not “wages” under the Labor Code.  Shah </w:t>
      </w:r>
      <w:r w:rsidRPr="670101DD">
        <w:rPr>
          <w:rFonts w:cs="Times New Roman"/>
        </w:rPr>
        <w:t xml:space="preserve">therefore </w:t>
      </w:r>
      <w:r>
        <w:rPr>
          <w:rFonts w:cs="Times New Roman"/>
          <w:bCs/>
          <w:iCs/>
        </w:rPr>
        <w:t>requests that we remand these claims for a new trial so he may pursue “tort damages</w:t>
      </w:r>
      <w:r>
        <w:rPr>
          <w:rFonts w:cs="Times New Roman"/>
          <w:bCs/>
          <w:iCs/>
        </w:rPr>
        <w:t>, i</w:t>
      </w:r>
      <w:r>
        <w:rPr>
          <w:rFonts w:cs="Times New Roman"/>
          <w:bCs/>
          <w:iCs/>
        </w:rPr>
        <w:t xml:space="preserve">ncluding punitive damages and attorneys’ fees.”  </w:t>
      </w:r>
      <w:r w:rsidRPr="670101DD">
        <w:rPr>
          <w:rFonts w:cs="Times New Roman"/>
        </w:rPr>
        <w:t>We review de novo a</w:t>
      </w:r>
      <w:r>
        <w:rPr>
          <w:rFonts w:cs="Times New Roman"/>
          <w:bCs/>
          <w:iCs/>
        </w:rPr>
        <w:t xml:space="preserve"> directed verdict </w:t>
      </w:r>
      <w:r w:rsidRPr="670101DD">
        <w:rPr>
          <w:rFonts w:cs="Times New Roman"/>
        </w:rPr>
        <w:t>and find no error here.</w:t>
      </w:r>
      <w:r>
        <w:rPr>
          <w:rFonts w:cs="Times New Roman"/>
          <w:bCs/>
          <w:iCs/>
        </w:rPr>
        <w:t xml:space="preserve">  (</w:t>
      </w:r>
      <w:proofErr w:type="spellStart"/>
      <w:r>
        <w:rPr>
          <w:rFonts w:cs="Times New Roman"/>
          <w:bCs/>
          <w:i/>
        </w:rPr>
        <w:t>Brassinga</w:t>
      </w:r>
      <w:proofErr w:type="spellEnd"/>
      <w:r>
        <w:rPr>
          <w:rFonts w:cs="Times New Roman"/>
          <w:bCs/>
          <w:i/>
        </w:rPr>
        <w:t xml:space="preserve"> v. City of Mountain View</w:t>
      </w:r>
      <w:r>
        <w:rPr>
          <w:rFonts w:cs="Times New Roman"/>
          <w:bCs/>
          <w:iCs/>
        </w:rPr>
        <w:t xml:space="preserve"> (1998) 66 </w:t>
      </w:r>
      <w:r w:rsidRPr="00AD2F97">
        <w:rPr>
          <w:rFonts w:cs="Times New Roman"/>
          <w:bCs/>
          <w:iCs/>
        </w:rPr>
        <w:t xml:space="preserve">Cal.App.4th </w:t>
      </w:r>
      <w:r>
        <w:rPr>
          <w:rFonts w:cs="Times New Roman"/>
          <w:bCs/>
          <w:iCs/>
        </w:rPr>
        <w:t>195, 210.)</w:t>
      </w:r>
    </w:p>
    <w:p w14:paraId="7A4190E6" w14:textId="77777777" w:rsidR="00E748F1" w:rsidRDefault="00E748F1" w:rsidP="00085776">
      <w:pPr>
        <w:pStyle w:val="BodyText"/>
        <w:widowControl/>
        <w:spacing w:line="360" w:lineRule="auto"/>
        <w:ind w:firstLine="620"/>
        <w:rPr>
          <w:rFonts w:cs="Times New Roman"/>
          <w:bCs/>
          <w:iCs/>
        </w:rPr>
      </w:pPr>
      <w:r w:rsidRPr="670101DD">
        <w:rPr>
          <w:rFonts w:cs="Times New Roman"/>
        </w:rPr>
        <w:t>Shah acknowledges that his tort claims fail if</w:t>
      </w:r>
      <w:r>
        <w:rPr>
          <w:rFonts w:cs="Times New Roman"/>
          <w:bCs/>
          <w:iCs/>
        </w:rPr>
        <w:t xml:space="preserve"> stock options are not “wages” under the Labor Code.  </w:t>
      </w:r>
      <w:r w:rsidRPr="670101DD">
        <w:rPr>
          <w:rFonts w:cs="Times New Roman"/>
        </w:rPr>
        <w:t>That</w:t>
      </w:r>
      <w:r>
        <w:rPr>
          <w:rFonts w:cs="Times New Roman"/>
          <w:bCs/>
          <w:iCs/>
        </w:rPr>
        <w:t xml:space="preserve"> Code defines “wages” as “all </w:t>
      </w:r>
      <w:r w:rsidRPr="00072524">
        <w:rPr>
          <w:rFonts w:cs="Times New Roman"/>
          <w:i/>
        </w:rPr>
        <w:t>amounts</w:t>
      </w:r>
      <w:r>
        <w:rPr>
          <w:rFonts w:cs="Times New Roman"/>
          <w:bCs/>
          <w:iCs/>
        </w:rPr>
        <w:t xml:space="preserve"> for labor performed by employees of every description, whether the amount is </w:t>
      </w:r>
      <w:r w:rsidRPr="00646AC2">
        <w:rPr>
          <w:rFonts w:cs="Times New Roman"/>
          <w:bCs/>
          <w:i/>
        </w:rPr>
        <w:t>fixed or ascertained</w:t>
      </w:r>
      <w:r>
        <w:rPr>
          <w:rFonts w:cs="Times New Roman"/>
          <w:bCs/>
          <w:iCs/>
        </w:rPr>
        <w:t xml:space="preserve"> by the standard of time, task, piece, commission basis, or other method of calculation.” </w:t>
      </w:r>
      <w:r w:rsidRPr="670101DD">
        <w:rPr>
          <w:rFonts w:cs="Times New Roman"/>
        </w:rPr>
        <w:t xml:space="preserve"> </w:t>
      </w:r>
      <w:r>
        <w:rPr>
          <w:rFonts w:cs="Times New Roman"/>
          <w:bCs/>
          <w:iCs/>
        </w:rPr>
        <w:t xml:space="preserve">(Lab. Code, </w:t>
      </w:r>
      <w:r w:rsidRPr="00D84F51">
        <w:rPr>
          <w:rFonts w:cs="Times New Roman"/>
          <w:bCs/>
          <w:iCs/>
        </w:rPr>
        <w:t>§ </w:t>
      </w:r>
      <w:r>
        <w:rPr>
          <w:rFonts w:cs="Times New Roman"/>
          <w:bCs/>
          <w:iCs/>
        </w:rPr>
        <w:t>200, subd. (a</w:t>
      </w:r>
      <w:r w:rsidRPr="670101DD">
        <w:rPr>
          <w:rFonts w:cs="Times New Roman"/>
        </w:rPr>
        <w:t>), italics added.)</w:t>
      </w:r>
      <w:r>
        <w:rPr>
          <w:rFonts w:cs="Times New Roman"/>
          <w:bCs/>
          <w:iCs/>
        </w:rPr>
        <w:t xml:space="preserve">  It </w:t>
      </w:r>
      <w:r w:rsidRPr="670101DD">
        <w:rPr>
          <w:rFonts w:cs="Times New Roman"/>
        </w:rPr>
        <w:t xml:space="preserve">then makes it </w:t>
      </w:r>
      <w:r>
        <w:rPr>
          <w:rFonts w:cs="Times New Roman"/>
          <w:bCs/>
          <w:iCs/>
        </w:rPr>
        <w:t>“unlawful for any employer to collect or receive from an employee any part of wages theretofore paid by said employer to said employee.”  (</w:t>
      </w:r>
      <w:r>
        <w:rPr>
          <w:rFonts w:cs="Times New Roman"/>
          <w:bCs/>
          <w:i/>
        </w:rPr>
        <w:t>Id.</w:t>
      </w:r>
      <w:r>
        <w:rPr>
          <w:rFonts w:cs="Times New Roman"/>
          <w:bCs/>
          <w:iCs/>
        </w:rPr>
        <w:t xml:space="preserve">, </w:t>
      </w:r>
      <w:r w:rsidRPr="007D1F49">
        <w:rPr>
          <w:rFonts w:cs="Times New Roman"/>
          <w:bCs/>
          <w:iCs/>
        </w:rPr>
        <w:t>§ </w:t>
      </w:r>
      <w:r>
        <w:rPr>
          <w:rFonts w:cs="Times New Roman"/>
          <w:bCs/>
          <w:iCs/>
        </w:rPr>
        <w:t xml:space="preserve">221.) </w:t>
      </w:r>
    </w:p>
    <w:p w14:paraId="4060C3A3" w14:textId="77777777" w:rsidR="00E748F1" w:rsidRPr="00C667DD" w:rsidRDefault="00E748F1" w:rsidP="00085776">
      <w:pPr>
        <w:pStyle w:val="BodyText"/>
        <w:widowControl/>
        <w:spacing w:line="360" w:lineRule="auto"/>
        <w:ind w:firstLine="620"/>
        <w:rPr>
          <w:rFonts w:cs="Times New Roman"/>
          <w:bCs/>
          <w:iCs/>
        </w:rPr>
      </w:pPr>
      <w:r w:rsidRPr="670101DD">
        <w:rPr>
          <w:rFonts w:cs="Times New Roman"/>
        </w:rPr>
        <w:t xml:space="preserve">We agree with </w:t>
      </w:r>
      <w:proofErr w:type="spellStart"/>
      <w:r w:rsidRPr="670101DD">
        <w:rPr>
          <w:rFonts w:cs="Times New Roman"/>
        </w:rPr>
        <w:t>Skillz</w:t>
      </w:r>
      <w:proofErr w:type="spellEnd"/>
      <w:r w:rsidRPr="670101DD">
        <w:rPr>
          <w:rFonts w:cs="Times New Roman"/>
        </w:rPr>
        <w:t xml:space="preserve"> that stock options are not wages because they </w:t>
      </w:r>
      <w:r>
        <w:rPr>
          <w:rFonts w:cs="Times New Roman"/>
          <w:bCs/>
          <w:iCs/>
        </w:rPr>
        <w:t>“are not ‘amounts.’  They are not money at all.  They are contractual rights to buy shares of stock.”  (</w:t>
      </w:r>
      <w:r>
        <w:rPr>
          <w:rFonts w:cs="Times New Roman"/>
          <w:bCs/>
          <w:i/>
        </w:rPr>
        <w:t>International Business Machines Corp. v. Bajorek</w:t>
      </w:r>
      <w:r>
        <w:rPr>
          <w:rFonts w:cs="Times New Roman"/>
          <w:bCs/>
          <w:iCs/>
        </w:rPr>
        <w:t xml:space="preserve"> (9th Cir. 1999) 191 F.</w:t>
      </w:r>
      <w:r>
        <w:rPr>
          <w:rFonts w:cs="Times New Roman"/>
          <w:bCs/>
          <w:iCs/>
        </w:rPr>
        <w:t>3</w:t>
      </w:r>
      <w:r>
        <w:rPr>
          <w:rFonts w:cs="Times New Roman"/>
          <w:bCs/>
          <w:iCs/>
        </w:rPr>
        <w:t>d 1033, 1039 (</w:t>
      </w:r>
      <w:r>
        <w:rPr>
          <w:rFonts w:cs="Times New Roman"/>
          <w:bCs/>
          <w:i/>
        </w:rPr>
        <w:t>IBM</w:t>
      </w:r>
      <w:r>
        <w:rPr>
          <w:rFonts w:cs="Times New Roman"/>
          <w:bCs/>
          <w:iCs/>
        </w:rPr>
        <w:t>)</w:t>
      </w:r>
      <w:r>
        <w:rPr>
          <w:rFonts w:cs="Times New Roman"/>
          <w:bCs/>
          <w:iCs/>
        </w:rPr>
        <w:t xml:space="preserve">; see </w:t>
      </w:r>
      <w:proofErr w:type="spellStart"/>
      <w:r>
        <w:rPr>
          <w:rFonts w:cs="Times New Roman"/>
          <w:bCs/>
          <w:i/>
        </w:rPr>
        <w:t>Falkowki</w:t>
      </w:r>
      <w:proofErr w:type="spellEnd"/>
      <w:r>
        <w:rPr>
          <w:rFonts w:cs="Times New Roman"/>
          <w:bCs/>
          <w:i/>
        </w:rPr>
        <w:t xml:space="preserve"> v. Imation Corp. </w:t>
      </w:r>
      <w:r>
        <w:rPr>
          <w:rFonts w:cs="Times New Roman"/>
          <w:bCs/>
          <w:iCs/>
        </w:rPr>
        <w:t xml:space="preserve">(9th Cir. 2002) 309 F.3d 1123 [stock </w:t>
      </w:r>
      <w:proofErr w:type="gramStart"/>
      <w:r>
        <w:rPr>
          <w:rFonts w:cs="Times New Roman"/>
          <w:bCs/>
          <w:iCs/>
        </w:rPr>
        <w:t>“ ‘</w:t>
      </w:r>
      <w:proofErr w:type="gramEnd"/>
      <w:r>
        <w:rPr>
          <w:rFonts w:cs="Times New Roman"/>
          <w:bCs/>
          <w:iCs/>
        </w:rPr>
        <w:t>options are not “wages” ‘ under [the Labor Code’s] definition of the term ‘wages’ ”]</w:t>
      </w:r>
      <w:r>
        <w:rPr>
          <w:rFonts w:cs="Times New Roman"/>
          <w:bCs/>
          <w:iCs/>
        </w:rPr>
        <w:t xml:space="preserve">.)  </w:t>
      </w:r>
      <w:r w:rsidRPr="670101DD">
        <w:rPr>
          <w:rFonts w:cs="Times New Roman"/>
        </w:rPr>
        <w:t xml:space="preserve">This conclusion comports with the purpose behind Labor Code section 221.  As the Ninth Circuit explained </w:t>
      </w:r>
      <w:r w:rsidRPr="670101DD">
        <w:rPr>
          <w:rFonts w:cs="Times New Roman"/>
        </w:rPr>
        <w:t xml:space="preserve">in </w:t>
      </w:r>
      <w:r w:rsidRPr="670101DD">
        <w:rPr>
          <w:rFonts w:cs="Times New Roman"/>
          <w:i/>
          <w:iCs/>
        </w:rPr>
        <w:t>IBM</w:t>
      </w:r>
      <w:r w:rsidRPr="670101DD">
        <w:rPr>
          <w:rFonts w:cs="Times New Roman"/>
        </w:rPr>
        <w:t>,</w:t>
      </w:r>
      <w:r w:rsidRPr="670101DD">
        <w:rPr>
          <w:rFonts w:cs="Times New Roman"/>
          <w:i/>
          <w:iCs/>
        </w:rPr>
        <w:t xml:space="preserve"> </w:t>
      </w:r>
      <w:r w:rsidRPr="670101DD">
        <w:rPr>
          <w:rFonts w:cs="Times New Roman"/>
        </w:rPr>
        <w:t>“[t]</w:t>
      </w:r>
      <w:proofErr w:type="gramStart"/>
      <w:r w:rsidRPr="670101DD">
        <w:rPr>
          <w:rFonts w:cs="Times New Roman"/>
        </w:rPr>
        <w:t>he</w:t>
      </w:r>
      <w:proofErr w:type="gramEnd"/>
      <w:r>
        <w:rPr>
          <w:rFonts w:cs="Times New Roman"/>
          <w:bCs/>
          <w:iCs/>
        </w:rPr>
        <w:t xml:space="preserve"> amount of money for which the shares can be sold on the market varies unpredictably from time to time, so it is not ‘fixed or ascertainable’ by any method of calculation when the agreements are made or exercised.”  (</w:t>
      </w:r>
      <w:r>
        <w:rPr>
          <w:rFonts w:cs="Times New Roman"/>
          <w:bCs/>
          <w:i/>
        </w:rPr>
        <w:t>Ibid</w:t>
      </w:r>
      <w:r>
        <w:rPr>
          <w:rFonts w:cs="Times New Roman"/>
          <w:bCs/>
          <w:iCs/>
        </w:rPr>
        <w:t xml:space="preserve">.)  </w:t>
      </w:r>
      <w:r w:rsidRPr="670101DD">
        <w:rPr>
          <w:rFonts w:cs="Times New Roman"/>
        </w:rPr>
        <w:t>Thus</w:t>
      </w:r>
      <w:r>
        <w:rPr>
          <w:rFonts w:cs="Times New Roman"/>
          <w:bCs/>
          <w:iCs/>
        </w:rPr>
        <w:t xml:space="preserve">, the purposes behind Labor Code section 221 of “avoiding secret kickbacks enabling an employer to avoid minimum wage laws” and </w:t>
      </w:r>
      <w:r>
        <w:rPr>
          <w:rFonts w:cs="Times New Roman"/>
          <w:bCs/>
          <w:iCs/>
        </w:rPr>
        <w:lastRenderedPageBreak/>
        <w:t>“protecting employees’ reliance interests in their expected wages, do not apply to stock options.”  (</w:t>
      </w:r>
      <w:r>
        <w:rPr>
          <w:rFonts w:cs="Times New Roman"/>
          <w:bCs/>
          <w:i/>
        </w:rPr>
        <w:t>IBM</w:t>
      </w:r>
      <w:r>
        <w:rPr>
          <w:rFonts w:cs="Times New Roman"/>
          <w:bCs/>
          <w:iCs/>
        </w:rPr>
        <w:t>,</w:t>
      </w:r>
      <w:r>
        <w:rPr>
          <w:rFonts w:cs="Times New Roman"/>
          <w:bCs/>
          <w:iCs/>
        </w:rPr>
        <w:t xml:space="preserve"> at p. 1039.)</w:t>
      </w:r>
    </w:p>
    <w:p w14:paraId="5B3E1643" w14:textId="77777777" w:rsidR="00E748F1" w:rsidRDefault="00E748F1" w:rsidP="00085776">
      <w:pPr>
        <w:pStyle w:val="BodyText"/>
        <w:widowControl/>
        <w:spacing w:line="360" w:lineRule="auto"/>
        <w:ind w:firstLine="620"/>
        <w:rPr>
          <w:rFonts w:cs="Times New Roman"/>
          <w:bCs/>
          <w:iCs/>
        </w:rPr>
      </w:pPr>
      <w:r>
        <w:rPr>
          <w:rFonts w:cs="Times New Roman"/>
          <w:bCs/>
          <w:iCs/>
        </w:rPr>
        <w:t xml:space="preserve">Shah </w:t>
      </w:r>
      <w:r w:rsidRPr="670101DD">
        <w:rPr>
          <w:rFonts w:cs="Times New Roman"/>
        </w:rPr>
        <w:t>counters with</w:t>
      </w:r>
      <w:r>
        <w:rPr>
          <w:rFonts w:cs="Times New Roman"/>
          <w:bCs/>
          <w:iCs/>
        </w:rPr>
        <w:t xml:space="preserve"> </w:t>
      </w:r>
      <w:r>
        <w:rPr>
          <w:rFonts w:cs="Times New Roman"/>
          <w:bCs/>
          <w:i/>
        </w:rPr>
        <w:t>Schachter v. Citigroup, Inc.</w:t>
      </w:r>
      <w:r>
        <w:rPr>
          <w:rFonts w:cs="Times New Roman"/>
          <w:bCs/>
          <w:iCs/>
        </w:rPr>
        <w:t xml:space="preserve"> (2009) </w:t>
      </w:r>
      <w:r w:rsidRPr="00FD0BAC">
        <w:rPr>
          <w:rFonts w:cs="Times New Roman"/>
          <w:bCs/>
          <w:iCs/>
        </w:rPr>
        <w:t>47 Cal.4th 610</w:t>
      </w:r>
      <w:r>
        <w:rPr>
          <w:rFonts w:cs="Times New Roman"/>
          <w:bCs/>
          <w:iCs/>
        </w:rPr>
        <w:t xml:space="preserve"> (</w:t>
      </w:r>
      <w:r>
        <w:rPr>
          <w:rFonts w:cs="Times New Roman"/>
          <w:bCs/>
          <w:i/>
        </w:rPr>
        <w:t>Schachter</w:t>
      </w:r>
      <w:r>
        <w:rPr>
          <w:rFonts w:cs="Times New Roman"/>
          <w:bCs/>
          <w:iCs/>
        </w:rPr>
        <w:t xml:space="preserve">) and claims that </w:t>
      </w:r>
      <w:r w:rsidRPr="00072524">
        <w:rPr>
          <w:rFonts w:cs="Times New Roman"/>
          <w:i/>
          <w:iCs/>
        </w:rPr>
        <w:t>Schac</w:t>
      </w:r>
      <w:r>
        <w:rPr>
          <w:rFonts w:cs="Times New Roman"/>
          <w:i/>
          <w:iCs/>
        </w:rPr>
        <w:t>h</w:t>
      </w:r>
      <w:r w:rsidRPr="00072524">
        <w:rPr>
          <w:rFonts w:cs="Times New Roman"/>
          <w:i/>
          <w:iCs/>
        </w:rPr>
        <w:t>ter</w:t>
      </w:r>
      <w:r>
        <w:rPr>
          <w:rFonts w:cs="Times New Roman"/>
          <w:bCs/>
          <w:iCs/>
        </w:rPr>
        <w:t xml:space="preserve"> “settled the issue” that “all ‘compensation,’ including ‘incentive compensation’ like stock options, is wages.”  We disagree.  </w:t>
      </w:r>
      <w:r>
        <w:rPr>
          <w:rFonts w:cs="Times New Roman"/>
          <w:bCs/>
          <w:i/>
        </w:rPr>
        <w:t>Schachter</w:t>
      </w:r>
      <w:r>
        <w:rPr>
          <w:rFonts w:cs="Times New Roman"/>
          <w:bCs/>
          <w:iCs/>
        </w:rPr>
        <w:t xml:space="preserve"> did not involve stock options</w:t>
      </w:r>
      <w:r>
        <w:rPr>
          <w:rFonts w:cs="Times New Roman"/>
          <w:bCs/>
          <w:iCs/>
        </w:rPr>
        <w:t>; it involved</w:t>
      </w:r>
      <w:r>
        <w:rPr>
          <w:rFonts w:cs="Times New Roman"/>
          <w:bCs/>
          <w:iCs/>
        </w:rPr>
        <w:t xml:space="preserve"> shares of restricted stock under </w:t>
      </w:r>
      <w:r w:rsidRPr="670101DD">
        <w:rPr>
          <w:rFonts w:cs="Times New Roman"/>
        </w:rPr>
        <w:t>an</w:t>
      </w:r>
      <w:r>
        <w:rPr>
          <w:rFonts w:cs="Times New Roman"/>
          <w:bCs/>
          <w:iCs/>
        </w:rPr>
        <w:t xml:space="preserve"> employer’s incentive compensation plan. </w:t>
      </w:r>
      <w:r>
        <w:rPr>
          <w:rFonts w:cs="Times New Roman"/>
          <w:bCs/>
          <w:iCs/>
        </w:rPr>
        <w:t xml:space="preserve"> </w:t>
      </w:r>
      <w:r>
        <w:rPr>
          <w:rFonts w:cs="Times New Roman"/>
          <w:bCs/>
          <w:iCs/>
        </w:rPr>
        <w:t>(</w:t>
      </w:r>
      <w:r w:rsidRPr="00E23255">
        <w:rPr>
          <w:rFonts w:cs="Times New Roman"/>
          <w:bCs/>
          <w:i/>
        </w:rPr>
        <w:t>Id.</w:t>
      </w:r>
      <w:r w:rsidRPr="00E755C1">
        <w:rPr>
          <w:rFonts w:cs="Times New Roman"/>
          <w:bCs/>
          <w:iCs/>
        </w:rPr>
        <w:t xml:space="preserve"> </w:t>
      </w:r>
      <w:r>
        <w:rPr>
          <w:rFonts w:cs="Times New Roman"/>
          <w:bCs/>
          <w:iCs/>
        </w:rPr>
        <w:t xml:space="preserve">at p. 614.)  The employee </w:t>
      </w:r>
      <w:r>
        <w:rPr>
          <w:rFonts w:cs="Times New Roman"/>
          <w:bCs/>
          <w:iCs/>
        </w:rPr>
        <w:t>in</w:t>
      </w:r>
      <w:r>
        <w:rPr>
          <w:rFonts w:cs="Times New Roman"/>
          <w:bCs/>
          <w:i/>
        </w:rPr>
        <w:t xml:space="preserve"> Schachter</w:t>
      </w:r>
      <w:r>
        <w:rPr>
          <w:rFonts w:cs="Times New Roman"/>
          <w:bCs/>
          <w:iCs/>
        </w:rPr>
        <w:t xml:space="preserve"> elected to receive, in lieu of cash payment, a percentage of his annual compensation in the form of restricted stock shares. </w:t>
      </w:r>
      <w:r>
        <w:rPr>
          <w:rFonts w:cs="Times New Roman"/>
          <w:bCs/>
          <w:iCs/>
        </w:rPr>
        <w:t xml:space="preserve"> </w:t>
      </w:r>
      <w:r>
        <w:rPr>
          <w:rFonts w:cs="Times New Roman"/>
          <w:bCs/>
          <w:iCs/>
        </w:rPr>
        <w:t>(</w:t>
      </w:r>
      <w:r>
        <w:rPr>
          <w:rFonts w:cs="Times New Roman"/>
          <w:bCs/>
          <w:i/>
        </w:rPr>
        <w:t>Ibid</w:t>
      </w:r>
      <w:r>
        <w:rPr>
          <w:rFonts w:cs="Times New Roman"/>
          <w:bCs/>
          <w:iCs/>
        </w:rPr>
        <w:t xml:space="preserve">.)  The plan provided that the shares were subject to a two-year vesting period and that the employee forfeited these shares if he or she resigned or was terminated for cause before the end of </w:t>
      </w:r>
      <w:r w:rsidRPr="670101DD">
        <w:rPr>
          <w:rFonts w:cs="Times New Roman"/>
        </w:rPr>
        <w:t>that</w:t>
      </w:r>
      <w:r>
        <w:rPr>
          <w:rFonts w:cs="Times New Roman"/>
          <w:bCs/>
          <w:iCs/>
        </w:rPr>
        <w:t xml:space="preserve"> two-year period.  (</w:t>
      </w:r>
      <w:r>
        <w:rPr>
          <w:rFonts w:cs="Times New Roman"/>
          <w:bCs/>
          <w:i/>
        </w:rPr>
        <w:t>Id</w:t>
      </w:r>
      <w:r>
        <w:rPr>
          <w:rFonts w:cs="Times New Roman"/>
          <w:bCs/>
          <w:iCs/>
        </w:rPr>
        <w:t xml:space="preserve">. at p. 615.)  </w:t>
      </w:r>
    </w:p>
    <w:p w14:paraId="77E8DE34" w14:textId="77777777" w:rsidR="00E748F1" w:rsidRPr="00907367" w:rsidRDefault="00E748F1" w:rsidP="00085776">
      <w:pPr>
        <w:pStyle w:val="BodyText"/>
        <w:widowControl/>
        <w:spacing w:line="360" w:lineRule="auto"/>
        <w:ind w:firstLine="620"/>
        <w:rPr>
          <w:rFonts w:cs="Times New Roman"/>
          <w:bCs/>
          <w:iCs/>
        </w:rPr>
      </w:pPr>
      <w:r>
        <w:rPr>
          <w:rFonts w:cs="Times New Roman"/>
          <w:bCs/>
          <w:iCs/>
        </w:rPr>
        <w:t xml:space="preserve">The main issue in </w:t>
      </w:r>
      <w:r>
        <w:rPr>
          <w:rFonts w:cs="Times New Roman"/>
          <w:bCs/>
          <w:i/>
        </w:rPr>
        <w:t>Schachter</w:t>
      </w:r>
      <w:r>
        <w:rPr>
          <w:rFonts w:cs="Times New Roman"/>
          <w:bCs/>
          <w:iCs/>
        </w:rPr>
        <w:t xml:space="preserve"> was whether the employee’s unvested shares constituted “earned wages” </w:t>
      </w:r>
      <w:r w:rsidRPr="670101DD">
        <w:rPr>
          <w:rFonts w:cs="Times New Roman"/>
        </w:rPr>
        <w:t>making</w:t>
      </w:r>
      <w:r>
        <w:rPr>
          <w:rFonts w:cs="Times New Roman"/>
          <w:bCs/>
          <w:iCs/>
        </w:rPr>
        <w:t xml:space="preserve"> their forfeiture following the employee’s resignation </w:t>
      </w:r>
      <w:r w:rsidRPr="670101DD">
        <w:rPr>
          <w:rFonts w:cs="Times New Roman"/>
        </w:rPr>
        <w:t xml:space="preserve">a violation of </w:t>
      </w:r>
      <w:r>
        <w:rPr>
          <w:rFonts w:cs="Times New Roman"/>
          <w:bCs/>
          <w:iCs/>
        </w:rPr>
        <w:t>Labor Code sections 201 and 202.  (</w:t>
      </w:r>
      <w:r>
        <w:rPr>
          <w:rFonts w:cs="Times New Roman"/>
          <w:bCs/>
          <w:i/>
        </w:rPr>
        <w:t>Schachter</w:t>
      </w:r>
      <w:r>
        <w:rPr>
          <w:rFonts w:cs="Times New Roman"/>
          <w:bCs/>
          <w:iCs/>
        </w:rPr>
        <w:t xml:space="preserve">, </w:t>
      </w:r>
      <w:r>
        <w:rPr>
          <w:rFonts w:cs="Times New Roman"/>
          <w:bCs/>
          <w:i/>
        </w:rPr>
        <w:t>supra</w:t>
      </w:r>
      <w:r>
        <w:rPr>
          <w:rFonts w:cs="Times New Roman"/>
          <w:bCs/>
          <w:iCs/>
        </w:rPr>
        <w:t xml:space="preserve">, 47 </w:t>
      </w:r>
      <w:r w:rsidRPr="00E37040">
        <w:rPr>
          <w:rFonts w:cs="Times New Roman"/>
          <w:bCs/>
          <w:iCs/>
        </w:rPr>
        <w:t>Cal.4th</w:t>
      </w:r>
      <w:r w:rsidRPr="00E755C1">
        <w:rPr>
          <w:rFonts w:cs="Times New Roman"/>
          <w:bCs/>
          <w:iCs/>
        </w:rPr>
        <w:t xml:space="preserve"> </w:t>
      </w:r>
      <w:r>
        <w:rPr>
          <w:rFonts w:cs="Times New Roman"/>
          <w:bCs/>
          <w:iCs/>
        </w:rPr>
        <w:t>at pp. 618</w:t>
      </w:r>
      <w:r>
        <w:rPr>
          <w:rFonts w:cs="Times New Roman"/>
          <w:bCs/>
          <w:iCs/>
        </w:rPr>
        <w:t>–</w:t>
      </w:r>
      <w:r>
        <w:rPr>
          <w:rFonts w:cs="Times New Roman"/>
          <w:bCs/>
          <w:iCs/>
        </w:rPr>
        <w:t>619.)  As a threshold matter, our Supreme Court stated that incentive compensation including restricted stock constituted wages</w:t>
      </w:r>
      <w:r>
        <w:t>—</w:t>
      </w:r>
      <w:r w:rsidRPr="670101DD">
        <w:rPr>
          <w:rFonts w:cs="Times New Roman"/>
        </w:rPr>
        <w:t xml:space="preserve">which </w:t>
      </w:r>
      <w:r>
        <w:rPr>
          <w:rFonts w:cs="Times New Roman"/>
          <w:bCs/>
          <w:iCs/>
        </w:rPr>
        <w:t xml:space="preserve">the employer did not dispute. </w:t>
      </w:r>
      <w:r>
        <w:rPr>
          <w:rFonts w:cs="Times New Roman"/>
          <w:bCs/>
          <w:iCs/>
        </w:rPr>
        <w:t xml:space="preserve"> </w:t>
      </w:r>
      <w:r>
        <w:rPr>
          <w:rFonts w:cs="Times New Roman"/>
          <w:bCs/>
          <w:iCs/>
        </w:rPr>
        <w:t>(</w:t>
      </w:r>
      <w:r>
        <w:rPr>
          <w:rFonts w:cs="Times New Roman"/>
          <w:bCs/>
          <w:i/>
        </w:rPr>
        <w:t>Ibid</w:t>
      </w:r>
      <w:r>
        <w:rPr>
          <w:rFonts w:cs="Times New Roman"/>
          <w:bCs/>
          <w:iCs/>
        </w:rPr>
        <w:t xml:space="preserve">.)  The court </w:t>
      </w:r>
      <w:r w:rsidRPr="670101DD">
        <w:rPr>
          <w:rFonts w:cs="Times New Roman"/>
        </w:rPr>
        <w:t>then held</w:t>
      </w:r>
      <w:r>
        <w:rPr>
          <w:rFonts w:cs="Times New Roman"/>
          <w:bCs/>
          <w:iCs/>
        </w:rPr>
        <w:t xml:space="preserve"> that because </w:t>
      </w:r>
      <w:r>
        <w:rPr>
          <w:rFonts w:cs="Times New Roman"/>
          <w:bCs/>
          <w:iCs/>
        </w:rPr>
        <w:t xml:space="preserve">the employee </w:t>
      </w:r>
      <w:r>
        <w:rPr>
          <w:rFonts w:cs="Times New Roman"/>
          <w:bCs/>
          <w:iCs/>
        </w:rPr>
        <w:t>agreed to the terms of the vesting schedule, “the Plan’s forf</w:t>
      </w:r>
      <w:r>
        <w:rPr>
          <w:rFonts w:cs="Times New Roman"/>
          <w:bCs/>
          <w:iCs/>
        </w:rPr>
        <w:t xml:space="preserve">eiture provision </w:t>
      </w:r>
      <w:r>
        <w:rPr>
          <w:rFonts w:cs="Times New Roman"/>
          <w:bCs/>
          <w:iCs/>
        </w:rPr>
        <w:t xml:space="preserve">[did] </w:t>
      </w:r>
      <w:r>
        <w:rPr>
          <w:rFonts w:cs="Times New Roman"/>
          <w:bCs/>
          <w:iCs/>
        </w:rPr>
        <w:t xml:space="preserve">not run afoul of </w:t>
      </w:r>
      <w:r>
        <w:rPr>
          <w:rFonts w:cs="Times New Roman"/>
          <w:bCs/>
          <w:iCs/>
        </w:rPr>
        <w:t xml:space="preserve">[Labor Code] </w:t>
      </w:r>
      <w:r>
        <w:rPr>
          <w:rFonts w:cs="Times New Roman"/>
          <w:bCs/>
          <w:iCs/>
        </w:rPr>
        <w:t xml:space="preserve">sections 201 or 202 because no earned wages remain unpaid upon </w:t>
      </w:r>
      <w:r>
        <w:rPr>
          <w:rFonts w:cs="Times New Roman"/>
          <w:bCs/>
          <w:iCs/>
        </w:rPr>
        <w:t>termination for cause or resignation.”  (</w:t>
      </w:r>
      <w:r>
        <w:rPr>
          <w:rFonts w:cs="Times New Roman"/>
          <w:bCs/>
          <w:i/>
        </w:rPr>
        <w:t>Id</w:t>
      </w:r>
      <w:r>
        <w:rPr>
          <w:rFonts w:cs="Times New Roman"/>
          <w:bCs/>
          <w:iCs/>
        </w:rPr>
        <w:t>. at p. 623.)</w:t>
      </w:r>
    </w:p>
    <w:p w14:paraId="3BA1773D" w14:textId="77777777" w:rsidR="00E748F1" w:rsidRDefault="00E748F1" w:rsidP="00085776">
      <w:pPr>
        <w:pStyle w:val="BodyText"/>
        <w:widowControl/>
        <w:spacing w:line="360" w:lineRule="auto"/>
        <w:ind w:firstLine="620"/>
        <w:rPr>
          <w:rFonts w:cs="Times New Roman"/>
        </w:rPr>
      </w:pPr>
      <w:r>
        <w:rPr>
          <w:rFonts w:cs="Times New Roman"/>
          <w:bCs/>
          <w:i/>
        </w:rPr>
        <w:t>Schachter</w:t>
      </w:r>
      <w:r>
        <w:rPr>
          <w:rFonts w:cs="Times New Roman"/>
          <w:bCs/>
          <w:iCs/>
        </w:rPr>
        <w:t xml:space="preserve">’s </w:t>
      </w:r>
      <w:r>
        <w:t>dicta</w:t>
      </w:r>
      <w:r>
        <w:rPr>
          <w:rFonts w:cs="Times New Roman"/>
          <w:bCs/>
          <w:iCs/>
        </w:rPr>
        <w:t xml:space="preserve"> that restricted stock are wages does not mean that stock options should also be </w:t>
      </w:r>
      <w:r>
        <w:rPr>
          <w:rFonts w:cs="Times New Roman"/>
          <w:bCs/>
          <w:iCs/>
        </w:rPr>
        <w:t xml:space="preserve">considered </w:t>
      </w:r>
      <w:r>
        <w:rPr>
          <w:rFonts w:cs="Times New Roman"/>
          <w:bCs/>
          <w:iCs/>
        </w:rPr>
        <w:t xml:space="preserve">wages.  Restricted stock shares have an ascertainable value and are immediately issued to the employee (subject to </w:t>
      </w:r>
      <w:r>
        <w:t>certain restrictions</w:t>
      </w:r>
      <w:r w:rsidRPr="18AEB446">
        <w:rPr>
          <w:rFonts w:cs="Times New Roman"/>
        </w:rPr>
        <w:t xml:space="preserve"> on their sale).</w:t>
      </w:r>
      <w:r>
        <w:rPr>
          <w:rFonts w:cs="Times New Roman"/>
          <w:bCs/>
          <w:iCs/>
        </w:rPr>
        <w:t xml:space="preserve">  (See </w:t>
      </w:r>
      <w:r>
        <w:rPr>
          <w:rFonts w:cs="Times New Roman"/>
          <w:bCs/>
          <w:i/>
        </w:rPr>
        <w:t>Schachter, supra,</w:t>
      </w:r>
      <w:r>
        <w:rPr>
          <w:rFonts w:cs="Times New Roman"/>
          <w:bCs/>
          <w:iCs/>
        </w:rPr>
        <w:t xml:space="preserve"> </w:t>
      </w:r>
      <w:r w:rsidRPr="008D3F60">
        <w:rPr>
          <w:rFonts w:cs="Times New Roman"/>
          <w:bCs/>
          <w:iCs/>
        </w:rPr>
        <w:t xml:space="preserve">47 Cal.4th </w:t>
      </w:r>
      <w:r>
        <w:rPr>
          <w:rFonts w:cs="Times New Roman"/>
          <w:bCs/>
          <w:iCs/>
        </w:rPr>
        <w:t xml:space="preserve">at </w:t>
      </w:r>
      <w:r>
        <w:rPr>
          <w:rFonts w:cs="Times New Roman"/>
          <w:bCs/>
          <w:iCs/>
        </w:rPr>
        <w:lastRenderedPageBreak/>
        <w:t>p.</w:t>
      </w:r>
      <w:r>
        <w:rPr>
          <w:rFonts w:cs="Times New Roman"/>
          <w:bCs/>
          <w:iCs/>
        </w:rPr>
        <w:t> </w:t>
      </w:r>
      <w:r>
        <w:rPr>
          <w:rFonts w:cs="Times New Roman"/>
          <w:bCs/>
          <w:iCs/>
        </w:rPr>
        <w:t xml:space="preserve">614.)  </w:t>
      </w:r>
      <w:r w:rsidRPr="6CB202EE">
        <w:rPr>
          <w:rFonts w:cs="Times New Roman"/>
        </w:rPr>
        <w:t>By contrast, stock</w:t>
      </w:r>
      <w:r>
        <w:rPr>
          <w:rFonts w:cs="Times New Roman"/>
          <w:bCs/>
          <w:iCs/>
        </w:rPr>
        <w:t xml:space="preserve"> options merely grant the holder </w:t>
      </w:r>
      <w:r>
        <w:rPr>
          <w:rFonts w:cs="Times New Roman"/>
          <w:bCs/>
          <w:iCs/>
        </w:rPr>
        <w:t>a</w:t>
      </w:r>
      <w:r>
        <w:rPr>
          <w:rFonts w:cs="Times New Roman"/>
          <w:bCs/>
          <w:iCs/>
        </w:rPr>
        <w:t xml:space="preserve"> contractual right to buy shares of stock </w:t>
      </w:r>
      <w:proofErr w:type="gramStart"/>
      <w:r>
        <w:rPr>
          <w:rFonts w:cs="Times New Roman"/>
          <w:bCs/>
          <w:iCs/>
        </w:rPr>
        <w:t>at a later date</w:t>
      </w:r>
      <w:proofErr w:type="gramEnd"/>
      <w:r>
        <w:rPr>
          <w:rFonts w:cs="Times New Roman"/>
          <w:bCs/>
          <w:iCs/>
        </w:rPr>
        <w:t xml:space="preserve"> at an agreed upon exercise price.  Whether and when the holder chooses to exercise these options and w</w:t>
      </w:r>
      <w:r>
        <w:rPr>
          <w:rFonts w:cs="Times New Roman"/>
          <w:bCs/>
          <w:iCs/>
        </w:rPr>
        <w:t xml:space="preserve">hat the market value of the stock will be at some future date </w:t>
      </w:r>
      <w:r>
        <w:rPr>
          <w:rFonts w:cs="Times New Roman"/>
          <w:bCs/>
          <w:iCs/>
        </w:rPr>
        <w:t xml:space="preserve">at the time the holder chooses to exercise the options </w:t>
      </w:r>
      <w:r>
        <w:rPr>
          <w:rFonts w:cs="Times New Roman"/>
          <w:bCs/>
          <w:iCs/>
        </w:rPr>
        <w:t xml:space="preserve">are unknown </w:t>
      </w:r>
      <w:r>
        <w:rPr>
          <w:rFonts w:cs="Times New Roman"/>
          <w:bCs/>
          <w:iCs/>
        </w:rPr>
        <w:t xml:space="preserve">and undeterminable </w:t>
      </w:r>
      <w:r w:rsidRPr="1834A079">
        <w:rPr>
          <w:rFonts w:cs="Times New Roman"/>
        </w:rPr>
        <w:t>at the time of the grant.</w:t>
      </w:r>
      <w:r>
        <w:rPr>
          <w:rFonts w:cs="Times New Roman"/>
          <w:bCs/>
          <w:iCs/>
        </w:rPr>
        <w:t xml:space="preserve">  While we </w:t>
      </w:r>
      <w:r>
        <w:t>recognize</w:t>
      </w:r>
      <w:r w:rsidRPr="5161B080">
        <w:rPr>
          <w:rFonts w:cs="Times New Roman"/>
          <w:i/>
          <w:iCs/>
        </w:rPr>
        <w:t xml:space="preserve"> </w:t>
      </w:r>
      <w:r>
        <w:rPr>
          <w:rFonts w:cs="Times New Roman"/>
          <w:bCs/>
          <w:iCs/>
        </w:rPr>
        <w:t>that companies</w:t>
      </w:r>
      <w:r w:rsidRPr="2857A8FC">
        <w:rPr>
          <w:rFonts w:cs="Times New Roman"/>
        </w:rPr>
        <w:t>, especially startups</w:t>
      </w:r>
      <w:r>
        <w:rPr>
          <w:rFonts w:cs="Times New Roman"/>
          <w:bCs/>
          <w:iCs/>
        </w:rPr>
        <w:t xml:space="preserve"> like </w:t>
      </w:r>
      <w:proofErr w:type="spellStart"/>
      <w:r>
        <w:rPr>
          <w:rFonts w:cs="Times New Roman"/>
          <w:bCs/>
          <w:iCs/>
        </w:rPr>
        <w:t>Skillz</w:t>
      </w:r>
      <w:proofErr w:type="spellEnd"/>
      <w:r w:rsidRPr="29727524">
        <w:rPr>
          <w:rFonts w:cs="Times New Roman"/>
        </w:rPr>
        <w:t>,</w:t>
      </w:r>
      <w:r>
        <w:rPr>
          <w:rFonts w:cs="Times New Roman"/>
          <w:bCs/>
          <w:iCs/>
        </w:rPr>
        <w:t xml:space="preserve"> often </w:t>
      </w:r>
      <w:r>
        <w:t>award</w:t>
      </w:r>
      <w:r>
        <w:rPr>
          <w:rFonts w:cs="Times New Roman"/>
          <w:bCs/>
          <w:iCs/>
        </w:rPr>
        <w:t xml:space="preserve"> stock options to incentivize employees to join </w:t>
      </w:r>
      <w:r w:rsidRPr="6A503765">
        <w:rPr>
          <w:rFonts w:cs="Times New Roman"/>
        </w:rPr>
        <w:t xml:space="preserve">and stay with </w:t>
      </w:r>
      <w:r>
        <w:rPr>
          <w:rFonts w:cs="Times New Roman"/>
          <w:bCs/>
          <w:iCs/>
        </w:rPr>
        <w:t xml:space="preserve">the company for less cash pay, </w:t>
      </w:r>
      <w:r>
        <w:t>this does not make them</w:t>
      </w:r>
      <w:r>
        <w:rPr>
          <w:rFonts w:cs="Times New Roman"/>
          <w:bCs/>
          <w:iCs/>
        </w:rPr>
        <w:t xml:space="preserve"> “wages” under the Labor Code </w:t>
      </w:r>
      <w:r w:rsidRPr="70B6C215">
        <w:rPr>
          <w:rFonts w:cs="Times New Roman"/>
        </w:rPr>
        <w:t xml:space="preserve">because </w:t>
      </w:r>
      <w:r w:rsidRPr="2CF63012">
        <w:rPr>
          <w:rFonts w:cs="Times New Roman"/>
        </w:rPr>
        <w:t>those wages</w:t>
      </w:r>
      <w:r w:rsidRPr="70B6C215">
        <w:rPr>
          <w:rFonts w:cs="Times New Roman"/>
        </w:rPr>
        <w:t xml:space="preserve"> must be</w:t>
      </w:r>
      <w:r>
        <w:rPr>
          <w:rFonts w:cs="Times New Roman"/>
          <w:bCs/>
          <w:iCs/>
        </w:rPr>
        <w:t xml:space="preserve"> fixed or ascertainable </w:t>
      </w:r>
      <w:r>
        <w:rPr>
          <w:rFonts w:cs="Times New Roman"/>
          <w:bCs/>
          <w:iCs/>
        </w:rPr>
        <w:t>“</w:t>
      </w:r>
      <w:r>
        <w:rPr>
          <w:rFonts w:cs="Times New Roman"/>
          <w:bCs/>
          <w:iCs/>
        </w:rPr>
        <w:t>amount</w:t>
      </w:r>
      <w:r>
        <w:rPr>
          <w:rFonts w:cs="Times New Roman"/>
          <w:bCs/>
          <w:iCs/>
        </w:rPr>
        <w:t>s</w:t>
      </w:r>
      <w:r>
        <w:rPr>
          <w:rFonts w:cs="Times New Roman"/>
          <w:bCs/>
          <w:iCs/>
        </w:rPr>
        <w:t>.</w:t>
      </w:r>
      <w:r>
        <w:rPr>
          <w:rFonts w:cs="Times New Roman"/>
          <w:bCs/>
          <w:iCs/>
        </w:rPr>
        <w:t>”  (Lab. Code, §</w:t>
      </w:r>
      <w:r>
        <w:rPr>
          <w:rFonts w:cs="Times New Roman"/>
          <w:bCs/>
          <w:iCs/>
        </w:rPr>
        <w:t xml:space="preserve"> </w:t>
      </w:r>
      <w:r>
        <w:rPr>
          <w:rFonts w:cs="Times New Roman"/>
          <w:bCs/>
          <w:iCs/>
        </w:rPr>
        <w:t>200, subd. (a)</w:t>
      </w:r>
      <w:r>
        <w:rPr>
          <w:rFonts w:cs="Times New Roman"/>
          <w:bCs/>
          <w:iCs/>
        </w:rPr>
        <w:t xml:space="preserve">; see also </w:t>
      </w:r>
      <w:r>
        <w:rPr>
          <w:rFonts w:cs="Times New Roman"/>
          <w:bCs/>
          <w:i/>
        </w:rPr>
        <w:t xml:space="preserve">Walter v. </w:t>
      </w:r>
      <w:r>
        <w:rPr>
          <w:rFonts w:cs="Times New Roman"/>
          <w:bCs/>
          <w:i/>
        </w:rPr>
        <w:t xml:space="preserve">Adaptive Insights, Inc. </w:t>
      </w:r>
      <w:r>
        <w:rPr>
          <w:rFonts w:cs="Times New Roman"/>
          <w:bCs/>
          <w:iCs/>
        </w:rPr>
        <w:t>(</w:t>
      </w:r>
      <w:proofErr w:type="spellStart"/>
      <w:r>
        <w:rPr>
          <w:rFonts w:cs="Times New Roman"/>
          <w:bCs/>
          <w:iCs/>
        </w:rPr>
        <w:t>N.D.Cal</w:t>
      </w:r>
      <w:proofErr w:type="spellEnd"/>
      <w:r>
        <w:rPr>
          <w:rFonts w:cs="Times New Roman"/>
          <w:bCs/>
          <w:iCs/>
        </w:rPr>
        <w:t xml:space="preserve">. May 23, 2019) 2019 </w:t>
      </w:r>
      <w:proofErr w:type="spellStart"/>
      <w:r>
        <w:rPr>
          <w:rFonts w:cs="Times New Roman"/>
          <w:bCs/>
          <w:iCs/>
        </w:rPr>
        <w:t>U.S.Dist</w:t>
      </w:r>
      <w:proofErr w:type="spellEnd"/>
      <w:r>
        <w:rPr>
          <w:rFonts w:cs="Times New Roman"/>
          <w:bCs/>
          <w:iCs/>
        </w:rPr>
        <w:t xml:space="preserve">. </w:t>
      </w:r>
      <w:r>
        <w:rPr>
          <w:rFonts w:cs="Times New Roman"/>
          <w:bCs/>
          <w:iCs/>
        </w:rPr>
        <w:t xml:space="preserve">Lexis 243550, </w:t>
      </w:r>
      <w:r>
        <w:rPr>
          <w:rFonts w:cs="Times New Roman"/>
          <w:bCs/>
          <w:iCs/>
        </w:rPr>
        <w:t>*</w:t>
      </w:r>
      <w:r>
        <w:rPr>
          <w:rFonts w:cs="Times New Roman"/>
          <w:bCs/>
          <w:iCs/>
        </w:rPr>
        <w:t>3–</w:t>
      </w:r>
      <w:r>
        <w:rPr>
          <w:rFonts w:cs="Times New Roman"/>
          <w:bCs/>
          <w:iCs/>
        </w:rPr>
        <w:t>*</w:t>
      </w:r>
      <w:r>
        <w:rPr>
          <w:rFonts w:cs="Times New Roman"/>
          <w:bCs/>
          <w:iCs/>
        </w:rPr>
        <w:t>4</w:t>
      </w:r>
      <w:r>
        <w:rPr>
          <w:rFonts w:cs="Times New Roman"/>
          <w:bCs/>
          <w:iCs/>
        </w:rPr>
        <w:t xml:space="preserve"> [</w:t>
      </w:r>
      <w:r>
        <w:rPr>
          <w:rFonts w:cs="Times New Roman"/>
          <w:bCs/>
          <w:i/>
        </w:rPr>
        <w:t xml:space="preserve">Schachter </w:t>
      </w:r>
      <w:r>
        <w:rPr>
          <w:rFonts w:cs="Times New Roman"/>
          <w:bCs/>
          <w:iCs/>
        </w:rPr>
        <w:t xml:space="preserve">did not supersede </w:t>
      </w:r>
      <w:r>
        <w:rPr>
          <w:rFonts w:cs="Times New Roman"/>
          <w:bCs/>
          <w:i/>
        </w:rPr>
        <w:t xml:space="preserve">IBM </w:t>
      </w:r>
      <w:r>
        <w:rPr>
          <w:rFonts w:cs="Times New Roman"/>
          <w:bCs/>
          <w:iCs/>
        </w:rPr>
        <w:t>because it did not “</w:t>
      </w:r>
      <w:proofErr w:type="gramStart"/>
      <w:r>
        <w:rPr>
          <w:rFonts w:cs="Times New Roman"/>
          <w:bCs/>
          <w:iCs/>
        </w:rPr>
        <w:t>address[</w:t>
      </w:r>
      <w:proofErr w:type="gramEnd"/>
      <w:r>
        <w:rPr>
          <w:rFonts w:cs="Times New Roman"/>
          <w:bCs/>
          <w:iCs/>
        </w:rPr>
        <w:t xml:space="preserve">] stock options” or </w:t>
      </w:r>
      <w:proofErr w:type="spellStart"/>
      <w:r>
        <w:rPr>
          <w:rFonts w:cs="Times New Roman"/>
          <w:bCs/>
          <w:iCs/>
        </w:rPr>
        <w:t>defin</w:t>
      </w:r>
      <w:proofErr w:type="spellEnd"/>
      <w:r>
        <w:rPr>
          <w:rFonts w:cs="Times New Roman"/>
          <w:bCs/>
          <w:iCs/>
        </w:rPr>
        <w:t xml:space="preserve">[e] ‘wages’ </w:t>
      </w:r>
      <w:r>
        <w:rPr>
          <w:rFonts w:cs="Times New Roman"/>
          <w:bCs/>
          <w:iCs/>
        </w:rPr>
        <w:t>under the California Labor Code”]</w:t>
      </w:r>
      <w:r>
        <w:rPr>
          <w:rFonts w:cs="Times New Roman"/>
          <w:bCs/>
          <w:iCs/>
        </w:rPr>
        <w:t>.)</w:t>
      </w:r>
      <w:r>
        <w:rPr>
          <w:rFonts w:cs="Times New Roman"/>
          <w:bCs/>
          <w:iCs/>
        </w:rPr>
        <w:t xml:space="preserve"> </w:t>
      </w:r>
    </w:p>
    <w:p w14:paraId="3C682CDD" w14:textId="77777777" w:rsidR="00E748F1" w:rsidRPr="00374FD1" w:rsidRDefault="00E748F1" w:rsidP="00085776">
      <w:pPr>
        <w:pStyle w:val="BodyText"/>
        <w:widowControl/>
        <w:spacing w:line="360" w:lineRule="auto"/>
        <w:ind w:firstLine="620"/>
      </w:pPr>
      <w:r w:rsidRPr="7CAF63FD">
        <w:rPr>
          <w:rFonts w:cs="Times New Roman"/>
        </w:rPr>
        <w:t xml:space="preserve">By declining to find that stock options are wages under the Labor Code, </w:t>
      </w:r>
      <w:r w:rsidRPr="4F0017C8">
        <w:rPr>
          <w:rFonts w:cs="Times New Roman"/>
        </w:rPr>
        <w:t xml:space="preserve">we do not leave </w:t>
      </w:r>
      <w:r>
        <w:rPr>
          <w:rFonts w:cs="Times New Roman"/>
          <w:bCs/>
          <w:iCs/>
        </w:rPr>
        <w:t xml:space="preserve">employees </w:t>
      </w:r>
      <w:r w:rsidRPr="67E5B508">
        <w:rPr>
          <w:rFonts w:cs="Times New Roman"/>
        </w:rPr>
        <w:t xml:space="preserve">who are wrongfully denied </w:t>
      </w:r>
      <w:r w:rsidRPr="506BC27E">
        <w:rPr>
          <w:rFonts w:cs="Times New Roman"/>
        </w:rPr>
        <w:t>their options</w:t>
      </w:r>
      <w:r>
        <w:rPr>
          <w:rFonts w:cs="Times New Roman"/>
        </w:rPr>
        <w:t xml:space="preserve"> without recourse</w:t>
      </w:r>
      <w:r>
        <w:rPr>
          <w:rFonts w:cs="Times New Roman"/>
          <w:bCs/>
          <w:iCs/>
        </w:rPr>
        <w:t xml:space="preserve">. </w:t>
      </w:r>
      <w:r w:rsidRPr="082DBF48">
        <w:rPr>
          <w:rFonts w:cs="Times New Roman"/>
        </w:rPr>
        <w:t xml:space="preserve"> </w:t>
      </w:r>
      <w:r>
        <w:rPr>
          <w:rFonts w:cs="Times New Roman"/>
        </w:rPr>
        <w:t>For example</w:t>
      </w:r>
      <w:r w:rsidRPr="082DBF48">
        <w:rPr>
          <w:rFonts w:cs="Times New Roman"/>
        </w:rPr>
        <w:t>, those employees</w:t>
      </w:r>
      <w:r>
        <w:rPr>
          <w:rFonts w:cs="Times New Roman"/>
        </w:rPr>
        <w:t>, like Shah,</w:t>
      </w:r>
      <w:r w:rsidRPr="082DBF48">
        <w:rPr>
          <w:rFonts w:cs="Times New Roman"/>
        </w:rPr>
        <w:t xml:space="preserve"> may </w:t>
      </w:r>
      <w:r w:rsidRPr="6B9E8CD4">
        <w:rPr>
          <w:rFonts w:cs="Times New Roman"/>
        </w:rPr>
        <w:t>sti</w:t>
      </w:r>
      <w:r>
        <w:rPr>
          <w:rFonts w:cs="Times New Roman"/>
        </w:rPr>
        <w:t>l</w:t>
      </w:r>
      <w:r w:rsidRPr="6B9E8CD4">
        <w:rPr>
          <w:rFonts w:cs="Times New Roman"/>
        </w:rPr>
        <w:t xml:space="preserve">l </w:t>
      </w:r>
      <w:r w:rsidRPr="1781E2FE">
        <w:rPr>
          <w:rFonts w:cs="Times New Roman"/>
        </w:rPr>
        <w:t>pursue a breach of contract claim</w:t>
      </w:r>
      <w:r>
        <w:rPr>
          <w:rFonts w:cs="Times New Roman"/>
        </w:rPr>
        <w:t xml:space="preserve"> to recover the value of any </w:t>
      </w:r>
      <w:r>
        <w:rPr>
          <w:rFonts w:cs="Times New Roman"/>
        </w:rPr>
        <w:t>o</w:t>
      </w:r>
      <w:r>
        <w:rPr>
          <w:rFonts w:cs="Times New Roman"/>
        </w:rPr>
        <w:t>ptions they wrongfully lost</w:t>
      </w:r>
      <w:r w:rsidRPr="1781E2FE">
        <w:rPr>
          <w:rFonts w:cs="Times New Roman"/>
        </w:rPr>
        <w:t xml:space="preserve">.  </w:t>
      </w:r>
      <w:r w:rsidRPr="0EB29C59">
        <w:rPr>
          <w:rFonts w:cs="Times New Roman"/>
        </w:rPr>
        <w:t xml:space="preserve">Our ruling only </w:t>
      </w:r>
      <w:r w:rsidRPr="26D1A6F9">
        <w:rPr>
          <w:rFonts w:cs="Times New Roman"/>
        </w:rPr>
        <w:t>limits their ability to recover</w:t>
      </w:r>
      <w:r w:rsidRPr="0EB29C59">
        <w:rPr>
          <w:rFonts w:cs="Times New Roman"/>
        </w:rPr>
        <w:t xml:space="preserve"> tort damages </w:t>
      </w:r>
      <w:r>
        <w:rPr>
          <w:rFonts w:cs="Times New Roman"/>
        </w:rPr>
        <w:t>and</w:t>
      </w:r>
      <w:r w:rsidRPr="26D1A6F9">
        <w:rPr>
          <w:rFonts w:cs="Times New Roman"/>
        </w:rPr>
        <w:t xml:space="preserve"> attorney fees</w:t>
      </w:r>
      <w:r w:rsidRPr="6B9E8CD4">
        <w:rPr>
          <w:rFonts w:cs="Times New Roman"/>
        </w:rPr>
        <w:t>.</w:t>
      </w:r>
      <w:r>
        <w:rPr>
          <w:rFonts w:cs="Times New Roman"/>
        </w:rPr>
        <w:t xml:space="preserve">  </w:t>
      </w:r>
      <w:r w:rsidRPr="3DA9B238">
        <w:rPr>
          <w:rFonts w:cs="Times New Roman"/>
        </w:rPr>
        <w:t>Accordingly, we affirm the</w:t>
      </w:r>
      <w:r w:rsidRPr="05416E69">
        <w:rPr>
          <w:rFonts w:cs="Times New Roman"/>
        </w:rPr>
        <w:t xml:space="preserve"> directed verdict for </w:t>
      </w:r>
      <w:proofErr w:type="spellStart"/>
      <w:r w:rsidRPr="05416E69">
        <w:rPr>
          <w:rFonts w:cs="Times New Roman"/>
        </w:rPr>
        <w:t>Skillz</w:t>
      </w:r>
      <w:proofErr w:type="spellEnd"/>
      <w:r w:rsidRPr="05416E69">
        <w:rPr>
          <w:rFonts w:cs="Times New Roman"/>
        </w:rPr>
        <w:t xml:space="preserve"> on </w:t>
      </w:r>
      <w:r w:rsidRPr="76FE95BD">
        <w:rPr>
          <w:rFonts w:cs="Times New Roman"/>
        </w:rPr>
        <w:t xml:space="preserve">Shah’s tort </w:t>
      </w:r>
      <w:r w:rsidRPr="71CD69F5">
        <w:rPr>
          <w:rFonts w:cs="Times New Roman"/>
        </w:rPr>
        <w:t xml:space="preserve">claims.  </w:t>
      </w:r>
      <w:r>
        <w:rPr>
          <w:rFonts w:cs="Times New Roman"/>
        </w:rPr>
        <w:t>And b</w:t>
      </w:r>
      <w:r w:rsidRPr="71CD69F5">
        <w:rPr>
          <w:rFonts w:cs="Times New Roman"/>
        </w:rPr>
        <w:t xml:space="preserve">ecause we </w:t>
      </w:r>
      <w:r>
        <w:rPr>
          <w:rFonts w:cs="Times New Roman"/>
        </w:rPr>
        <w:t>do</w:t>
      </w:r>
      <w:r w:rsidRPr="71CD69F5">
        <w:rPr>
          <w:rFonts w:cs="Times New Roman"/>
        </w:rPr>
        <w:t xml:space="preserve"> </w:t>
      </w:r>
      <w:r w:rsidRPr="71CD69F5">
        <w:rPr>
          <w:rFonts w:cs="Times New Roman"/>
        </w:rPr>
        <w:t>so solely</w:t>
      </w:r>
      <w:r w:rsidRPr="3F1DAF1B">
        <w:rPr>
          <w:rFonts w:cs="Times New Roman"/>
        </w:rPr>
        <w:t xml:space="preserve"> </w:t>
      </w:r>
      <w:r>
        <w:rPr>
          <w:rFonts w:cs="Times New Roman"/>
        </w:rPr>
        <w:t>on the ground that</w:t>
      </w:r>
      <w:r w:rsidRPr="3F1DAF1B">
        <w:rPr>
          <w:rFonts w:cs="Times New Roman"/>
        </w:rPr>
        <w:t xml:space="preserve"> stock options are not wages under the Labor </w:t>
      </w:r>
      <w:r w:rsidRPr="1C109003">
        <w:rPr>
          <w:rFonts w:cs="Times New Roman"/>
        </w:rPr>
        <w:t>Code</w:t>
      </w:r>
      <w:r>
        <w:rPr>
          <w:rFonts w:cs="Times New Roman"/>
          <w:bCs/>
          <w:iCs/>
        </w:rPr>
        <w:t xml:space="preserve">, we need not address </w:t>
      </w:r>
      <w:proofErr w:type="spellStart"/>
      <w:r>
        <w:rPr>
          <w:rFonts w:cs="Times New Roman"/>
          <w:bCs/>
          <w:iCs/>
        </w:rPr>
        <w:t>Skillz’s</w:t>
      </w:r>
      <w:proofErr w:type="spellEnd"/>
      <w:r>
        <w:rPr>
          <w:rFonts w:cs="Times New Roman"/>
          <w:bCs/>
          <w:iCs/>
        </w:rPr>
        <w:t xml:space="preserve"> argument that Shah cannot establish prejudice. </w:t>
      </w:r>
    </w:p>
    <w:p w14:paraId="038DDBA0" w14:textId="77777777" w:rsidR="00E748F1" w:rsidRPr="00955A45" w:rsidRDefault="00E748F1" w:rsidP="00085776">
      <w:pPr>
        <w:pStyle w:val="BodyText"/>
        <w:widowControl/>
        <w:spacing w:line="360" w:lineRule="auto"/>
        <w:jc w:val="center"/>
        <w:rPr>
          <w:b/>
          <w:bCs/>
        </w:rPr>
      </w:pPr>
      <w:r w:rsidRPr="00955A45">
        <w:rPr>
          <w:b/>
          <w:bCs/>
        </w:rPr>
        <w:t xml:space="preserve">III.  </w:t>
      </w:r>
      <w:r w:rsidRPr="00955A45">
        <w:rPr>
          <w:b/>
          <w:bCs/>
          <w:u w:val="single"/>
        </w:rPr>
        <w:t>DISPOSITION</w:t>
      </w:r>
      <w:r w:rsidRPr="00955A45">
        <w:rPr>
          <w:b/>
          <w:bCs/>
        </w:rPr>
        <w:t xml:space="preserve"> </w:t>
      </w:r>
      <w:bookmarkStart w:id="6" w:name="_Hlk12277120"/>
      <w:bookmarkStart w:id="7" w:name="_Hlk13645698"/>
    </w:p>
    <w:p w14:paraId="742F4B95" w14:textId="77777777" w:rsidR="00E748F1" w:rsidRDefault="00E748F1" w:rsidP="00085776">
      <w:pPr>
        <w:spacing w:line="360" w:lineRule="auto"/>
        <w:rPr>
          <w:rFonts w:eastAsia="Calibri"/>
        </w:rPr>
      </w:pPr>
      <w:r>
        <w:rPr>
          <w:rFonts w:eastAsia="Calibri"/>
        </w:rPr>
        <w:tab/>
      </w:r>
      <w:r w:rsidRPr="002F1C84">
        <w:rPr>
          <w:rFonts w:eastAsia="Calibri"/>
        </w:rPr>
        <w:t>The amended judgment of $4,358,358 is reversed</w:t>
      </w:r>
      <w:r>
        <w:rPr>
          <w:rFonts w:eastAsia="Calibri"/>
        </w:rPr>
        <w:t>.  The matter is remanded to the trial court with directions to enter a new</w:t>
      </w:r>
      <w:r w:rsidRPr="002F1C84">
        <w:rPr>
          <w:rFonts w:eastAsia="Calibri"/>
        </w:rPr>
        <w:t xml:space="preserve"> judgment in the amount of $6,694,000, which includes damages for breach of the Performance Grant </w:t>
      </w:r>
      <w:r>
        <w:rPr>
          <w:rFonts w:eastAsia="Calibri"/>
        </w:rPr>
        <w:t>as calculated</w:t>
      </w:r>
      <w:r w:rsidRPr="002F1C84">
        <w:rPr>
          <w:rFonts w:eastAsia="Calibri"/>
        </w:rPr>
        <w:t xml:space="preserve"> by </w:t>
      </w:r>
      <w:proofErr w:type="spellStart"/>
      <w:r w:rsidRPr="002F1C84">
        <w:rPr>
          <w:rFonts w:eastAsia="Calibri"/>
        </w:rPr>
        <w:t>Skillz’s</w:t>
      </w:r>
      <w:proofErr w:type="spellEnd"/>
      <w:r w:rsidRPr="002F1C84">
        <w:rPr>
          <w:rFonts w:eastAsia="Calibri"/>
        </w:rPr>
        <w:t xml:space="preserve"> expert</w:t>
      </w:r>
      <w:r>
        <w:rPr>
          <w:rFonts w:eastAsia="Calibri"/>
        </w:rPr>
        <w:t xml:space="preserve"> using the average price of </w:t>
      </w:r>
      <w:proofErr w:type="spellStart"/>
      <w:r>
        <w:rPr>
          <w:rFonts w:eastAsia="Calibri"/>
        </w:rPr>
        <w:t>Skillz</w:t>
      </w:r>
      <w:proofErr w:type="spellEnd"/>
      <w:r>
        <w:rPr>
          <w:rFonts w:eastAsia="Calibri"/>
        </w:rPr>
        <w:t xml:space="preserve"> stock </w:t>
      </w:r>
      <w:r>
        <w:rPr>
          <w:rFonts w:eastAsia="Calibri"/>
        </w:rPr>
        <w:lastRenderedPageBreak/>
        <w:t>after the lock-up period ended</w:t>
      </w:r>
      <w:r w:rsidRPr="002F1C84">
        <w:rPr>
          <w:rFonts w:eastAsia="Calibri"/>
        </w:rPr>
        <w:t xml:space="preserve">.  </w:t>
      </w:r>
      <w:r>
        <w:rPr>
          <w:rFonts w:eastAsia="Calibri"/>
        </w:rPr>
        <w:t>The judgment is affirmed in all other respects.  In the interests of justice, both parties shall bear their own costs.  (Cal. Rules of Court, rule 8.891, subd. (a)(4).)</w:t>
      </w:r>
    </w:p>
    <w:p w14:paraId="557397C0" w14:textId="77777777" w:rsidR="00E748F1" w:rsidRDefault="00E748F1" w:rsidP="00C57720">
      <w:pPr>
        <w:rPr>
          <w:rFonts w:eastAsia="Calibri"/>
        </w:rPr>
      </w:pPr>
    </w:p>
    <w:p w14:paraId="4E918E12" w14:textId="77777777" w:rsidR="00E748F1" w:rsidRDefault="00E748F1" w:rsidP="00C57720">
      <w:pPr>
        <w:rPr>
          <w:rFonts w:eastAsia="Calibri"/>
        </w:rPr>
      </w:pPr>
    </w:p>
    <w:p w14:paraId="410422E7" w14:textId="77777777" w:rsidR="00E748F1" w:rsidRDefault="00E748F1" w:rsidP="00C57720">
      <w:pPr>
        <w:rPr>
          <w:rFonts w:eastAsia="Calibri"/>
        </w:rPr>
      </w:pPr>
    </w:p>
    <w:p w14:paraId="56BBD401" w14:textId="77777777" w:rsidR="00E748F1" w:rsidRDefault="00E748F1" w:rsidP="00C57720">
      <w:pPr>
        <w:rPr>
          <w:rFonts w:eastAsia="Calibri"/>
        </w:rPr>
      </w:pPr>
    </w:p>
    <w:p w14:paraId="7EC10D44" w14:textId="77777777" w:rsidR="00E748F1" w:rsidRDefault="00E748F1" w:rsidP="00C57720">
      <w:pPr>
        <w:rPr>
          <w:rFonts w:eastAsia="Calibri"/>
        </w:rPr>
      </w:pPr>
    </w:p>
    <w:p w14:paraId="4F26E0EA" w14:textId="77777777" w:rsidR="00E748F1" w:rsidRDefault="00E748F1" w:rsidP="00C57720">
      <w:pPr>
        <w:rPr>
          <w:rFonts w:eastAsia="Calibri"/>
        </w:rPr>
      </w:pPr>
    </w:p>
    <w:p w14:paraId="218F4A8D" w14:textId="77777777" w:rsidR="00E748F1" w:rsidRDefault="00E748F1" w:rsidP="00C57720">
      <w:pPr>
        <w:rPr>
          <w:rFonts w:eastAsia="Calibri"/>
        </w:rPr>
      </w:pPr>
    </w:p>
    <w:p w14:paraId="112BB906" w14:textId="77777777" w:rsidR="00E748F1" w:rsidRDefault="00E748F1" w:rsidP="00C57720">
      <w:pPr>
        <w:rPr>
          <w:rFonts w:eastAsia="Calibri"/>
        </w:rPr>
      </w:pPr>
    </w:p>
    <w:p w14:paraId="5565DEB0" w14:textId="77777777" w:rsidR="00E748F1" w:rsidRDefault="00E748F1" w:rsidP="00C57720">
      <w:pPr>
        <w:rPr>
          <w:rFonts w:eastAsia="Calibri"/>
        </w:rPr>
      </w:pPr>
    </w:p>
    <w:p w14:paraId="401CF907" w14:textId="77777777" w:rsidR="00E748F1" w:rsidRDefault="00E748F1" w:rsidP="00C57720">
      <w:pPr>
        <w:rPr>
          <w:rFonts w:eastAsia="Calibri"/>
        </w:rPr>
      </w:pPr>
    </w:p>
    <w:p w14:paraId="328A5B62" w14:textId="77777777" w:rsidR="00E748F1" w:rsidRDefault="00E748F1" w:rsidP="00C57720">
      <w:pPr>
        <w:rPr>
          <w:rFonts w:eastAsia="Calibri"/>
        </w:rPr>
      </w:pPr>
    </w:p>
    <w:p w14:paraId="00E09047" w14:textId="77777777" w:rsidR="00E748F1" w:rsidRDefault="00E748F1" w:rsidP="00C57720">
      <w:pPr>
        <w:rPr>
          <w:rFonts w:eastAsia="Calibri"/>
        </w:rPr>
      </w:pPr>
    </w:p>
    <w:p w14:paraId="420BA6D2" w14:textId="77777777" w:rsidR="00E748F1" w:rsidRDefault="00E748F1" w:rsidP="00C57720">
      <w:pPr>
        <w:rPr>
          <w:rFonts w:eastAsia="Calibri"/>
        </w:rPr>
      </w:pPr>
    </w:p>
    <w:p w14:paraId="540B9484" w14:textId="77777777" w:rsidR="00E748F1" w:rsidRDefault="00E748F1" w:rsidP="00C57720">
      <w:pPr>
        <w:rPr>
          <w:rFonts w:eastAsia="Calibri"/>
        </w:rPr>
      </w:pPr>
    </w:p>
    <w:p w14:paraId="5B4D632B" w14:textId="77777777" w:rsidR="00E748F1" w:rsidRDefault="00E748F1" w:rsidP="00C57720">
      <w:pPr>
        <w:rPr>
          <w:rFonts w:eastAsia="Calibri"/>
        </w:rPr>
      </w:pPr>
    </w:p>
    <w:p w14:paraId="42E252F2" w14:textId="77777777" w:rsidR="00E748F1" w:rsidRDefault="00E748F1" w:rsidP="00C57720">
      <w:pPr>
        <w:rPr>
          <w:rFonts w:eastAsia="Calibri"/>
        </w:rPr>
      </w:pPr>
    </w:p>
    <w:p w14:paraId="7F94DE15" w14:textId="77777777" w:rsidR="00E748F1" w:rsidRDefault="00E748F1" w:rsidP="00C57720">
      <w:pPr>
        <w:rPr>
          <w:rFonts w:eastAsia="Calibri"/>
        </w:rPr>
      </w:pPr>
    </w:p>
    <w:p w14:paraId="0D18D979" w14:textId="77777777" w:rsidR="00E748F1" w:rsidRDefault="00E748F1" w:rsidP="00C57720">
      <w:pPr>
        <w:rPr>
          <w:rFonts w:eastAsia="Calibri"/>
        </w:rPr>
      </w:pPr>
    </w:p>
    <w:p w14:paraId="0D5BA497" w14:textId="77777777" w:rsidR="00E748F1" w:rsidRDefault="00E748F1" w:rsidP="00C57720">
      <w:pPr>
        <w:rPr>
          <w:rFonts w:eastAsia="Calibri"/>
        </w:rPr>
      </w:pPr>
    </w:p>
    <w:p w14:paraId="0FC60016" w14:textId="77777777" w:rsidR="00E748F1" w:rsidRDefault="00E748F1" w:rsidP="00C57720">
      <w:pPr>
        <w:rPr>
          <w:rFonts w:eastAsia="Calibri"/>
        </w:rPr>
      </w:pPr>
    </w:p>
    <w:p w14:paraId="39FE0D8E" w14:textId="77777777" w:rsidR="00E748F1" w:rsidRDefault="00E748F1" w:rsidP="00C57720">
      <w:pPr>
        <w:rPr>
          <w:rFonts w:eastAsia="Calibri"/>
        </w:rPr>
      </w:pPr>
    </w:p>
    <w:p w14:paraId="625AD7F3" w14:textId="77777777" w:rsidR="00E748F1" w:rsidRDefault="00E748F1" w:rsidP="00C57720">
      <w:pPr>
        <w:rPr>
          <w:rFonts w:eastAsia="Calibri"/>
        </w:rPr>
      </w:pPr>
    </w:p>
    <w:p w14:paraId="521B7D89" w14:textId="77777777" w:rsidR="00E748F1" w:rsidRDefault="00E748F1" w:rsidP="00C57720">
      <w:pPr>
        <w:rPr>
          <w:rFonts w:eastAsia="Calibri"/>
        </w:rPr>
      </w:pPr>
    </w:p>
    <w:p w14:paraId="03ABDF11" w14:textId="77777777" w:rsidR="00E748F1" w:rsidRDefault="00E748F1" w:rsidP="00C57720">
      <w:pPr>
        <w:rPr>
          <w:rFonts w:eastAsia="Calibri"/>
        </w:rPr>
      </w:pPr>
    </w:p>
    <w:p w14:paraId="73995109" w14:textId="77777777" w:rsidR="00E748F1" w:rsidRDefault="00E748F1" w:rsidP="00C57720">
      <w:pPr>
        <w:rPr>
          <w:rFonts w:eastAsia="Calibri"/>
        </w:rPr>
      </w:pPr>
    </w:p>
    <w:p w14:paraId="5BC6B982" w14:textId="77777777" w:rsidR="00E748F1" w:rsidRDefault="00E748F1" w:rsidP="00C57720">
      <w:pPr>
        <w:rPr>
          <w:rFonts w:eastAsia="Calibri"/>
        </w:rPr>
      </w:pPr>
    </w:p>
    <w:p w14:paraId="71C79826" w14:textId="77777777" w:rsidR="00E748F1" w:rsidRDefault="00E748F1" w:rsidP="00C57720">
      <w:pPr>
        <w:rPr>
          <w:rFonts w:eastAsia="Calibri"/>
        </w:rPr>
      </w:pPr>
    </w:p>
    <w:p w14:paraId="1124E78A" w14:textId="77777777" w:rsidR="00E748F1" w:rsidRDefault="00E748F1" w:rsidP="00C57720">
      <w:pPr>
        <w:rPr>
          <w:rFonts w:eastAsia="Calibri"/>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p>
    <w:p w14:paraId="4FD344D1" w14:textId="77777777" w:rsidR="00E748F1" w:rsidRDefault="00E748F1" w:rsidP="00C57720">
      <w:pPr>
        <w:rPr>
          <w:rFonts w:eastAsia="Calibri"/>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CHOU</w:t>
      </w:r>
      <w:r>
        <w:rPr>
          <w:rFonts w:eastAsia="Calibri"/>
        </w:rPr>
        <w:t>, J.</w:t>
      </w:r>
    </w:p>
    <w:p w14:paraId="7703DBCA" w14:textId="77777777" w:rsidR="00E748F1" w:rsidRDefault="00E748F1" w:rsidP="00C57720">
      <w:pPr>
        <w:rPr>
          <w:rFonts w:eastAsia="Calibri"/>
        </w:rPr>
      </w:pPr>
    </w:p>
    <w:p w14:paraId="6A13DABA" w14:textId="77777777" w:rsidR="00E748F1" w:rsidRDefault="00E748F1" w:rsidP="00C57720">
      <w:pPr>
        <w:rPr>
          <w:rFonts w:eastAsia="Calibri"/>
        </w:rPr>
      </w:pPr>
      <w:r>
        <w:rPr>
          <w:rFonts w:eastAsia="Calibri"/>
        </w:rPr>
        <w:t>We concur.</w:t>
      </w:r>
    </w:p>
    <w:p w14:paraId="16BB05A3" w14:textId="77777777" w:rsidR="00E748F1" w:rsidRDefault="00E748F1" w:rsidP="00C57720">
      <w:pPr>
        <w:rPr>
          <w:rFonts w:eastAsia="Calibri"/>
        </w:rPr>
      </w:pPr>
    </w:p>
    <w:p w14:paraId="1FD3FF8E" w14:textId="77777777" w:rsidR="00E748F1" w:rsidRDefault="00E748F1" w:rsidP="00C57720">
      <w:pPr>
        <w:rPr>
          <w:rFonts w:eastAsia="Calibri"/>
        </w:rPr>
      </w:pPr>
    </w:p>
    <w:p w14:paraId="22FFAD0D" w14:textId="77777777" w:rsidR="00E748F1" w:rsidRDefault="00E748F1" w:rsidP="00C57720">
      <w:pPr>
        <w:rPr>
          <w:rFonts w:eastAsia="Calibri"/>
        </w:rPr>
      </w:pPr>
      <w:r>
        <w:rPr>
          <w:rFonts w:eastAsia="Calibri"/>
        </w:rPr>
        <w:t xml:space="preserve">SIMONS, </w:t>
      </w:r>
      <w:r>
        <w:rPr>
          <w:rFonts w:eastAsia="Calibri"/>
        </w:rPr>
        <w:t xml:space="preserve">Acting </w:t>
      </w:r>
      <w:r>
        <w:rPr>
          <w:rFonts w:eastAsia="Calibri"/>
        </w:rPr>
        <w:t>P.</w:t>
      </w:r>
      <w:r>
        <w:rPr>
          <w:rFonts w:eastAsia="Calibri"/>
        </w:rPr>
        <w:t>J.</w:t>
      </w:r>
    </w:p>
    <w:p w14:paraId="459E839F" w14:textId="77777777" w:rsidR="00E748F1" w:rsidRDefault="00E748F1" w:rsidP="00C57720">
      <w:pPr>
        <w:rPr>
          <w:rFonts w:eastAsia="Calibri"/>
        </w:rPr>
      </w:pPr>
      <w:r>
        <w:rPr>
          <w:rFonts w:eastAsia="Calibri"/>
        </w:rPr>
        <w:t>BURNS, J.</w:t>
      </w:r>
      <w:bookmarkEnd w:id="6"/>
      <w:bookmarkEnd w:id="7"/>
    </w:p>
    <w:p w14:paraId="6D2C3191" w14:textId="77777777" w:rsidR="00E748F1" w:rsidRDefault="00E748F1" w:rsidP="00C57720">
      <w:pPr>
        <w:rPr>
          <w:rFonts w:eastAsia="Calibri"/>
        </w:rPr>
      </w:pPr>
    </w:p>
    <w:p w14:paraId="53767A77" w14:textId="77777777" w:rsidR="00E748F1" w:rsidRDefault="00E748F1" w:rsidP="00C57720">
      <w:pPr>
        <w:rPr>
          <w:rFonts w:eastAsia="Calibri"/>
        </w:rPr>
      </w:pPr>
    </w:p>
    <w:p w14:paraId="03450B90" w14:textId="77777777" w:rsidR="00E748F1" w:rsidRDefault="00E748F1" w:rsidP="00C57720">
      <w:pPr>
        <w:rPr>
          <w:rFonts w:eastAsia="Calibri"/>
        </w:rPr>
      </w:pPr>
    </w:p>
    <w:p w14:paraId="0AD94F1C" w14:textId="77777777" w:rsidR="00E748F1" w:rsidRDefault="00E748F1" w:rsidP="00C57720">
      <w:pPr>
        <w:rPr>
          <w:rFonts w:eastAsia="Calibri"/>
        </w:rPr>
      </w:pPr>
    </w:p>
    <w:p w14:paraId="4DBC96B4" w14:textId="77777777" w:rsidR="00E748F1" w:rsidRDefault="00E748F1" w:rsidP="00C57720">
      <w:pPr>
        <w:rPr>
          <w:rFonts w:eastAsia="Calibri"/>
        </w:rPr>
      </w:pPr>
    </w:p>
    <w:p w14:paraId="56EE4455" w14:textId="77777777" w:rsidR="00E748F1" w:rsidRDefault="00E748F1" w:rsidP="00C57720">
      <w:pPr>
        <w:rPr>
          <w:rFonts w:eastAsia="Calibri"/>
        </w:rPr>
      </w:pPr>
    </w:p>
    <w:p w14:paraId="0DC05057" w14:textId="77777777" w:rsidR="00E748F1" w:rsidRDefault="00E748F1" w:rsidP="00C57720">
      <w:pPr>
        <w:rPr>
          <w:rFonts w:eastAsia="Calibri"/>
        </w:rPr>
      </w:pPr>
    </w:p>
    <w:p w14:paraId="25D6DCD1" w14:textId="77777777" w:rsidR="00E748F1" w:rsidRDefault="00E748F1" w:rsidP="00C57720">
      <w:pPr>
        <w:rPr>
          <w:rFonts w:eastAsia="Calibri"/>
        </w:rPr>
      </w:pPr>
    </w:p>
    <w:p w14:paraId="3EE21525" w14:textId="77777777" w:rsidR="00E748F1" w:rsidRDefault="00E748F1" w:rsidP="00C57720">
      <w:pPr>
        <w:rPr>
          <w:rFonts w:eastAsia="Calibri"/>
        </w:rPr>
      </w:pPr>
    </w:p>
    <w:p w14:paraId="0251F068" w14:textId="77777777" w:rsidR="00E748F1" w:rsidRDefault="00E748F1" w:rsidP="00C57720">
      <w:pPr>
        <w:rPr>
          <w:rFonts w:eastAsia="Calibri"/>
        </w:rPr>
      </w:pPr>
    </w:p>
    <w:p w14:paraId="1C806F98" w14:textId="77777777" w:rsidR="00E748F1" w:rsidRDefault="00E748F1" w:rsidP="00C57720">
      <w:pPr>
        <w:rPr>
          <w:rFonts w:eastAsia="Calibri"/>
        </w:rPr>
      </w:pPr>
    </w:p>
    <w:p w14:paraId="0645DB56" w14:textId="77777777" w:rsidR="00E748F1" w:rsidRDefault="00E748F1" w:rsidP="00C57720">
      <w:pPr>
        <w:rPr>
          <w:rFonts w:eastAsia="Calibri"/>
        </w:rPr>
      </w:pPr>
    </w:p>
    <w:p w14:paraId="40FC36CD" w14:textId="77777777" w:rsidR="00E748F1" w:rsidRDefault="00E748F1" w:rsidP="00C57720">
      <w:pPr>
        <w:rPr>
          <w:rFonts w:eastAsia="Calibri"/>
        </w:rPr>
      </w:pPr>
    </w:p>
    <w:p w14:paraId="26CF3808" w14:textId="77777777" w:rsidR="00E748F1" w:rsidRDefault="00E748F1" w:rsidP="00C57720">
      <w:pPr>
        <w:rPr>
          <w:rFonts w:eastAsia="Calibri"/>
        </w:rPr>
      </w:pPr>
    </w:p>
    <w:p w14:paraId="76A55169" w14:textId="77777777" w:rsidR="00E748F1" w:rsidRDefault="00E748F1" w:rsidP="00C57720">
      <w:pPr>
        <w:rPr>
          <w:rFonts w:eastAsia="Calibri"/>
        </w:rPr>
      </w:pPr>
    </w:p>
    <w:p w14:paraId="3F31266D" w14:textId="77777777" w:rsidR="00E748F1" w:rsidRDefault="00E748F1" w:rsidP="00B40E36">
      <w:pPr>
        <w:rPr>
          <w:rFonts w:eastAsia="Calibri"/>
        </w:rPr>
      </w:pPr>
      <w:r w:rsidRPr="008A304E">
        <w:rPr>
          <w:rFonts w:eastAsia="Calibri"/>
          <w:i/>
          <w:iCs/>
        </w:rPr>
        <w:t xml:space="preserve">Shah v. </w:t>
      </w:r>
      <w:proofErr w:type="spellStart"/>
      <w:r w:rsidRPr="008A304E">
        <w:rPr>
          <w:rFonts w:eastAsia="Calibri"/>
          <w:i/>
          <w:iCs/>
        </w:rPr>
        <w:t>Skillz</w:t>
      </w:r>
      <w:proofErr w:type="spellEnd"/>
      <w:r w:rsidRPr="008A304E">
        <w:rPr>
          <w:rFonts w:eastAsia="Calibri"/>
          <w:i/>
          <w:iCs/>
        </w:rPr>
        <w:t xml:space="preserve"> Inc</w:t>
      </w:r>
      <w:r>
        <w:rPr>
          <w:rFonts w:eastAsia="Calibri"/>
        </w:rPr>
        <w:t>. / A165372</w:t>
      </w:r>
    </w:p>
    <w:p w14:paraId="5B9BF20C" w14:textId="77777777" w:rsidR="00E748F1" w:rsidRDefault="00E748F1" w:rsidP="00B40E36">
      <w:r>
        <w:lastRenderedPageBreak/>
        <w:t xml:space="preserve">A165372 / Shah v. </w:t>
      </w:r>
      <w:proofErr w:type="spellStart"/>
      <w:r>
        <w:t>Skillz</w:t>
      </w:r>
      <w:proofErr w:type="spellEnd"/>
      <w:r>
        <w:t xml:space="preserve"> Inc.</w:t>
      </w:r>
    </w:p>
    <w:p w14:paraId="08A19705" w14:textId="77777777" w:rsidR="00E748F1" w:rsidRDefault="00E748F1" w:rsidP="00B40E36"/>
    <w:p w14:paraId="3A2B5A6E" w14:textId="77777777" w:rsidR="00E748F1" w:rsidRDefault="00E748F1" w:rsidP="00B40E36">
      <w:r>
        <w:t>Trial Court:</w:t>
      </w:r>
      <w:r>
        <w:tab/>
        <w:t>City &amp; County of San Francisco Superior Court</w:t>
      </w:r>
    </w:p>
    <w:p w14:paraId="2C390FF8" w14:textId="77777777" w:rsidR="00E748F1" w:rsidRDefault="00E748F1" w:rsidP="00B40E36"/>
    <w:p w14:paraId="2426670D" w14:textId="77777777" w:rsidR="00E748F1" w:rsidRDefault="00E748F1" w:rsidP="00B40E36">
      <w:r>
        <w:t>Trial Judge:</w:t>
      </w:r>
      <w:r>
        <w:tab/>
        <w:t>Hon. Suzanne Ramos Bolanos</w:t>
      </w:r>
    </w:p>
    <w:p w14:paraId="704C1BE9" w14:textId="77777777" w:rsidR="00E748F1" w:rsidRDefault="00E748F1" w:rsidP="00B40E36"/>
    <w:p w14:paraId="32D7B0B5" w14:textId="77777777" w:rsidR="00E748F1" w:rsidRPr="008913C6" w:rsidRDefault="00E748F1" w:rsidP="00B40E36">
      <w:r w:rsidRPr="008913C6">
        <w:t>Counsel:</w:t>
      </w:r>
      <w:r w:rsidRPr="008913C6">
        <w:tab/>
        <w:t xml:space="preserve">Eric Andrew </w:t>
      </w:r>
      <w:proofErr w:type="spellStart"/>
      <w:r w:rsidRPr="008913C6">
        <w:t>Hiduke</w:t>
      </w:r>
      <w:proofErr w:type="spellEnd"/>
      <w:r w:rsidRPr="008913C6">
        <w:t xml:space="preserve">; William R. </w:t>
      </w:r>
      <w:proofErr w:type="spellStart"/>
      <w:r w:rsidRPr="008913C6">
        <w:t>Herochik</w:t>
      </w:r>
      <w:proofErr w:type="spellEnd"/>
      <w:r w:rsidRPr="008913C6">
        <w:t>; Law Offices of Michael G. Ackerman and Michael G. Ackerman; Law Office of Ted W. Pelletier and Ted W. Pelletier for Plaintiff.</w:t>
      </w:r>
    </w:p>
    <w:p w14:paraId="17A2DB5C" w14:textId="77777777" w:rsidR="00E748F1" w:rsidRPr="008913C6" w:rsidRDefault="00E748F1" w:rsidP="00B40E36"/>
    <w:p w14:paraId="5DC61676" w14:textId="77777777" w:rsidR="00E748F1" w:rsidRDefault="00E748F1" w:rsidP="00B40E36">
      <w:r w:rsidRPr="008913C6">
        <w:t xml:space="preserve">Orrick, Herrington &amp; Sutcliffe, Amari L. Hammonds, Sheila Baynes, Lynne Charlotte </w:t>
      </w:r>
      <w:proofErr w:type="spellStart"/>
      <w:r w:rsidRPr="008913C6">
        <w:t>Hermle</w:t>
      </w:r>
      <w:proofErr w:type="spellEnd"/>
      <w:r w:rsidRPr="008913C6">
        <w:t xml:space="preserve">, Joseph Charles </w:t>
      </w:r>
      <w:proofErr w:type="spellStart"/>
      <w:r w:rsidRPr="008913C6">
        <w:t>Liburt</w:t>
      </w:r>
      <w:proofErr w:type="spellEnd"/>
      <w:r w:rsidRPr="008913C6">
        <w:t xml:space="preserve">, Jillian Victoria Kaltner, Andrew David </w:t>
      </w:r>
      <w:proofErr w:type="gramStart"/>
      <w:r w:rsidRPr="008913C6">
        <w:t>Silverman ,</w:t>
      </w:r>
      <w:proofErr w:type="gramEnd"/>
      <w:r w:rsidRPr="008913C6">
        <w:t xml:space="preserve"> and Jodie Liu for Defendant.</w:t>
      </w:r>
    </w:p>
    <w:p w14:paraId="135895FF" w14:textId="77777777" w:rsidR="00E748F1" w:rsidRPr="00C57720" w:rsidRDefault="00E748F1" w:rsidP="00B40E36">
      <w:pPr>
        <w:rPr>
          <w:rFonts w:eastAsia="Calibri"/>
        </w:rPr>
      </w:pPr>
    </w:p>
    <w:p w14:paraId="487F050B" w14:textId="77777777" w:rsidR="00E748F1" w:rsidRPr="00C57720" w:rsidRDefault="00E748F1" w:rsidP="00C57720">
      <w:pPr>
        <w:rPr>
          <w:rFonts w:eastAsia="Calibri"/>
        </w:rPr>
      </w:pPr>
    </w:p>
    <w:sectPr w:rsidR="00B40E36" w:rsidRPr="00C57720" w:rsidSect="00C92CB2">
      <w:footerReference w:type="even" r:id="rId7"/>
      <w:footerReference w:type="default" r:id="rId8"/>
      <w:pgSz w:w="12240" w:h="15840"/>
      <w:pgMar w:top="1440" w:right="1440" w:bottom="1440" w:left="1440" w:header="0" w:footer="759"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B1946B" w14:textId="77777777" w:rsidR="00E748F1" w:rsidRDefault="00E748F1">
      <w:pPr>
        <w:spacing w:line="240" w:lineRule="auto"/>
      </w:pPr>
      <w:r>
        <w:separator/>
      </w:r>
    </w:p>
  </w:endnote>
  <w:endnote w:type="continuationSeparator" w:id="0">
    <w:p w14:paraId="20349036" w14:textId="77777777" w:rsidR="00E748F1" w:rsidRDefault="00E748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9CEAA7" w14:textId="77777777" w:rsidR="00E748F1" w:rsidRDefault="00E748F1" w:rsidP="00924FA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p>
  <w:p w14:paraId="6EE2B240" w14:textId="77777777" w:rsidR="00E748F1" w:rsidRDefault="00E748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0DFD83" w14:textId="77777777" w:rsidR="00E748F1" w:rsidRDefault="00E748F1" w:rsidP="00924FA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EC3354D" w14:textId="77777777" w:rsidR="00E748F1" w:rsidRDefault="00E748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C0E77B" w14:textId="77777777" w:rsidR="00E748F1" w:rsidRDefault="00E748F1" w:rsidP="00C520E3">
      <w:pPr>
        <w:spacing w:line="240" w:lineRule="auto"/>
      </w:pPr>
      <w:r>
        <w:separator/>
      </w:r>
    </w:p>
  </w:footnote>
  <w:footnote w:type="continuationSeparator" w:id="0">
    <w:p w14:paraId="69C8A161" w14:textId="77777777" w:rsidR="00E748F1" w:rsidRDefault="00E748F1" w:rsidP="00C520E3">
      <w:pPr>
        <w:spacing w:line="240" w:lineRule="auto"/>
      </w:pPr>
      <w:r>
        <w:continuationSeparator/>
      </w:r>
    </w:p>
  </w:footnote>
  <w:footnote w:type="continuationNotice" w:id="1">
    <w:p w14:paraId="56E08E55" w14:textId="77777777" w:rsidR="00E748F1" w:rsidRDefault="00E748F1">
      <w:pPr>
        <w:spacing w:line="240" w:lineRule="auto"/>
      </w:pPr>
    </w:p>
  </w:footnote>
  <w:footnote w:id="2">
    <w:p w14:paraId="0A9D1236" w14:textId="77777777" w:rsidR="00E748F1" w:rsidRDefault="00E748F1" w:rsidP="00E14E01">
      <w:pPr>
        <w:pStyle w:val="FootnoteText"/>
        <w:ind w:firstLine="720"/>
      </w:pPr>
      <w:r w:rsidRPr="00E14E01">
        <w:rPr>
          <w:rStyle w:val="FootnoteReference"/>
        </w:rPr>
        <w:t>*</w:t>
      </w:r>
      <w:r w:rsidRPr="00E14E01">
        <w:t xml:space="preserve"> Pursuant to California Rules of Court, rules 8.1105(b) and 8.1110, this opinion is certified for publication </w:t>
      </w:r>
      <w:proofErr w:type="gramStart"/>
      <w:r w:rsidRPr="00E14E01">
        <w:t>with the exception of</w:t>
      </w:r>
      <w:proofErr w:type="gramEnd"/>
      <w:r w:rsidRPr="00E14E01">
        <w:t xml:space="preserve"> parts A and B of the Discussion.</w:t>
      </w:r>
    </w:p>
  </w:footnote>
  <w:footnote w:id="3">
    <w:p w14:paraId="46D0637B" w14:textId="77777777" w:rsidR="00E748F1" w:rsidRDefault="00E748F1" w:rsidP="008848BB">
      <w:pPr>
        <w:pStyle w:val="FootnoteText"/>
        <w:ind w:firstLine="720"/>
      </w:pPr>
      <w:r w:rsidRPr="00E14E01">
        <w:rPr>
          <w:rStyle w:val="FootnoteReference"/>
        </w:rPr>
        <w:footnoteRef/>
      </w:r>
      <w:r w:rsidRPr="00E14E01">
        <w:t xml:space="preserve"> These employees may also profit from their stock options if the startup is sold to another company.  (See Alon-Beck, </w:t>
      </w:r>
      <w:r w:rsidRPr="00E14E01">
        <w:rPr>
          <w:i/>
          <w:iCs/>
        </w:rPr>
        <w:t>Unicorn Stock Options</w:t>
      </w:r>
      <w:r>
        <w:t>—</w:t>
      </w:r>
      <w:r w:rsidRPr="00E14E01">
        <w:rPr>
          <w:i/>
          <w:iCs/>
        </w:rPr>
        <w:t xml:space="preserve">Golden Goose or Trojan Horse? </w:t>
      </w:r>
      <w:r w:rsidRPr="00E14E01">
        <w:t xml:space="preserve">(2019) 2019 Colum. Bus. </w:t>
      </w:r>
      <w:proofErr w:type="spellStart"/>
      <w:r w:rsidRPr="00E14E01">
        <w:t>L.Rev</w:t>
      </w:r>
      <w:proofErr w:type="spellEnd"/>
      <w:r w:rsidRPr="00E14E01">
        <w:t>. 107, 129 (</w:t>
      </w:r>
      <w:r w:rsidRPr="00E14E01">
        <w:rPr>
          <w:i/>
          <w:iCs/>
        </w:rPr>
        <w:t>Unicorn Stock Options</w:t>
      </w:r>
      <w:r w:rsidRPr="00E14E01">
        <w:t xml:space="preserve">) [“In the event of a sale of the company, employees can exercise the vested options prior to the sale.  After doing so, they will either be able to sell their </w:t>
      </w:r>
      <w:proofErr w:type="gramStart"/>
      <w:r w:rsidRPr="00E14E01">
        <w:t>shares</w:t>
      </w:r>
      <w:proofErr w:type="gramEnd"/>
      <w:r w:rsidRPr="00E14E01">
        <w:t xml:space="preserve"> or their options will be canceled in exchange for a payment equal to the spread between the exercise price and th</w:t>
      </w:r>
      <w:r w:rsidRPr="00E14E01">
        <w:t>e sale price”].)</w:t>
      </w:r>
    </w:p>
  </w:footnote>
  <w:footnote w:id="4">
    <w:p w14:paraId="4385328F" w14:textId="77777777" w:rsidR="00E748F1" w:rsidRDefault="00E748F1" w:rsidP="0066326A">
      <w:pPr>
        <w:pStyle w:val="FootnoteText"/>
        <w:spacing w:after="120"/>
        <w:ind w:firstLine="720"/>
      </w:pPr>
      <w:r>
        <w:rPr>
          <w:rStyle w:val="FootnoteReference"/>
        </w:rPr>
        <w:footnoteRef/>
      </w:r>
      <w:r>
        <w:t xml:space="preserve"> In November 2015, </w:t>
      </w:r>
      <w:proofErr w:type="spellStart"/>
      <w:r>
        <w:t>Skillz</w:t>
      </w:r>
      <w:proofErr w:type="spellEnd"/>
      <w:r>
        <w:t xml:space="preserve"> replaced the 2012 Plan with an updated </w:t>
      </w:r>
      <w:r>
        <w:t xml:space="preserve">Equity Incentive </w:t>
      </w:r>
      <w:r>
        <w:t xml:space="preserve">Plan, which the parties agree was the operative Plan governing Shah’s stock options.  </w:t>
      </w:r>
      <w:r>
        <w:t>Hereinafter, Plan means the 2015 Plan.</w:t>
      </w:r>
    </w:p>
  </w:footnote>
  <w:footnote w:id="5">
    <w:p w14:paraId="67F17FB9" w14:textId="77777777" w:rsidR="00E748F1" w:rsidRDefault="00E748F1" w:rsidP="003A7A6B">
      <w:pPr>
        <w:pStyle w:val="FootnoteText"/>
        <w:ind w:firstLine="720"/>
      </w:pPr>
      <w:r>
        <w:rPr>
          <w:rStyle w:val="FootnoteReference"/>
        </w:rPr>
        <w:footnoteRef/>
      </w:r>
      <w:r>
        <w:t xml:space="preserve"> </w:t>
      </w:r>
      <w:r>
        <w:t>The</w:t>
      </w:r>
      <w:r>
        <w:t xml:space="preserve"> Plan and the Option Award Agreement </w:t>
      </w:r>
      <w:r>
        <w:t xml:space="preserve">do </w:t>
      </w:r>
      <w:r>
        <w:t xml:space="preserve">not differ materially with respect to </w:t>
      </w:r>
      <w:r>
        <w:t>Shah’s stock option rights</w:t>
      </w:r>
      <w:r>
        <w:t xml:space="preserve"> upon </w:t>
      </w:r>
      <w:r>
        <w:t xml:space="preserve">the </w:t>
      </w:r>
      <w:r>
        <w:t>termination</w:t>
      </w:r>
      <w:r>
        <w:t xml:space="preserve"> of </w:t>
      </w:r>
      <w:r>
        <w:t xml:space="preserve">his </w:t>
      </w:r>
      <w:r>
        <w:t>employment.</w:t>
      </w:r>
      <w:r>
        <w:t xml:space="preserve"> </w:t>
      </w:r>
    </w:p>
  </w:footnote>
  <w:footnote w:id="6">
    <w:p w14:paraId="36BDCC00" w14:textId="77777777" w:rsidR="00E748F1" w:rsidRDefault="00E748F1" w:rsidP="00157284">
      <w:pPr>
        <w:pStyle w:val="FootnoteText"/>
        <w:ind w:firstLine="720"/>
      </w:pPr>
      <w:r>
        <w:rPr>
          <w:rStyle w:val="FootnoteReference"/>
        </w:rPr>
        <w:footnoteRef/>
      </w:r>
      <w:r>
        <w:t xml:space="preserve"> </w:t>
      </w:r>
      <w:r>
        <w:t>T</w:t>
      </w:r>
      <w:r>
        <w:t xml:space="preserve">he jury found that Shah’s initial </w:t>
      </w:r>
      <w:r>
        <w:t xml:space="preserve">stock option </w:t>
      </w:r>
      <w:r>
        <w:t>grant was su</w:t>
      </w:r>
      <w:r>
        <w:t>bject to a four-year vesting schedule</w:t>
      </w:r>
      <w:r>
        <w:t>.</w:t>
      </w:r>
      <w:r>
        <w:t xml:space="preserve"> </w:t>
      </w:r>
      <w:r>
        <w:t xml:space="preserve"> Sh</w:t>
      </w:r>
      <w:r>
        <w:t xml:space="preserve">ah does not </w:t>
      </w:r>
      <w:r>
        <w:t xml:space="preserve">challenge </w:t>
      </w:r>
      <w:r>
        <w:t xml:space="preserve">this finding on appeal. </w:t>
      </w:r>
    </w:p>
  </w:footnote>
  <w:footnote w:id="7">
    <w:p w14:paraId="2A47F624" w14:textId="77777777" w:rsidR="00E748F1" w:rsidRDefault="00E748F1" w:rsidP="00225C69">
      <w:pPr>
        <w:tabs>
          <w:tab w:val="clear" w:pos="720"/>
          <w:tab w:val="left" w:pos="0"/>
        </w:tabs>
        <w:spacing w:before="120" w:line="240" w:lineRule="auto"/>
      </w:pPr>
      <w:r>
        <w:tab/>
      </w:r>
      <w:r>
        <w:rPr>
          <w:rStyle w:val="FootnoteReference"/>
        </w:rPr>
        <w:footnoteRef/>
      </w:r>
      <w:r>
        <w:t xml:space="preserve"> As of January 24, 2018, the date of his termination, 39,086 of Shah’s 69,487 initial options and all 21,000 of his Performance Grant options had vested.  </w:t>
      </w:r>
    </w:p>
  </w:footnote>
  <w:footnote w:id="8">
    <w:p w14:paraId="25BA8A43" w14:textId="77777777" w:rsidR="00E748F1" w:rsidRDefault="00E748F1" w:rsidP="00225C69">
      <w:pPr>
        <w:pStyle w:val="FootnoteText"/>
        <w:spacing w:before="120" w:after="120"/>
        <w:ind w:firstLine="720"/>
      </w:pPr>
      <w:r>
        <w:rPr>
          <w:rStyle w:val="FootnoteReference"/>
        </w:rPr>
        <w:footnoteRef/>
      </w:r>
      <w:r>
        <w:t xml:space="preserve"> </w:t>
      </w:r>
      <w:r>
        <w:t xml:space="preserve">We </w:t>
      </w:r>
      <w:r w:rsidRPr="00072524">
        <w:t>grant</w:t>
      </w:r>
      <w:r>
        <w:t xml:space="preserve"> </w:t>
      </w:r>
      <w:proofErr w:type="spellStart"/>
      <w:r>
        <w:t>Skillz’s</w:t>
      </w:r>
      <w:proofErr w:type="spellEnd"/>
      <w:r>
        <w:t xml:space="preserve"> </w:t>
      </w:r>
      <w:r>
        <w:t xml:space="preserve">unopposed </w:t>
      </w:r>
      <w:r>
        <w:t xml:space="preserve">request for judicial notice. </w:t>
      </w:r>
    </w:p>
  </w:footnote>
  <w:footnote w:id="9">
    <w:p w14:paraId="0056F540" w14:textId="77777777" w:rsidR="00E748F1" w:rsidRDefault="00E748F1" w:rsidP="00061891">
      <w:pPr>
        <w:pStyle w:val="FootnoteText"/>
        <w:spacing w:after="120"/>
        <w:ind w:firstLine="720"/>
      </w:pPr>
      <w:r>
        <w:rPr>
          <w:rStyle w:val="FootnoteReference"/>
        </w:rPr>
        <w:footnoteRef/>
      </w:r>
      <w:r>
        <w:t xml:space="preserve"> It is not clear from the record what percentage of eligible shares were sold by </w:t>
      </w:r>
      <w:proofErr w:type="spellStart"/>
      <w:r>
        <w:t>Skillz</w:t>
      </w:r>
      <w:proofErr w:type="spellEnd"/>
      <w:r>
        <w:t xml:space="preserve"> employees on the early release date.</w:t>
      </w:r>
    </w:p>
  </w:footnote>
  <w:footnote w:id="10">
    <w:p w14:paraId="230B419D" w14:textId="77777777" w:rsidR="00E748F1" w:rsidRDefault="00E748F1" w:rsidP="006C637B">
      <w:pPr>
        <w:pStyle w:val="FootnoteText"/>
        <w:ind w:firstLine="720"/>
      </w:pPr>
      <w:r>
        <w:rPr>
          <w:rStyle w:val="FootnoteReference"/>
        </w:rPr>
        <w:footnoteRef/>
      </w:r>
      <w:r>
        <w:t xml:space="preserve"> Shah dismissed </w:t>
      </w:r>
      <w:r>
        <w:t>his</w:t>
      </w:r>
      <w:r>
        <w:t xml:space="preserve"> conversion claim </w:t>
      </w:r>
      <w:r>
        <w:t>before</w:t>
      </w:r>
      <w:r>
        <w:t xml:space="preserve"> trial. </w:t>
      </w:r>
    </w:p>
  </w:footnote>
  <w:footnote w:id="11">
    <w:p w14:paraId="01E0E1B5" w14:textId="77777777" w:rsidR="00E748F1" w:rsidRPr="004F7221" w:rsidRDefault="00E748F1" w:rsidP="00106955">
      <w:pPr>
        <w:pStyle w:val="FootnoteText"/>
        <w:ind w:firstLine="720"/>
      </w:pPr>
      <w:r>
        <w:rPr>
          <w:rStyle w:val="FootnoteReference"/>
        </w:rPr>
        <w:footnoteRef/>
      </w:r>
      <w:r>
        <w:t xml:space="preserve"> </w:t>
      </w:r>
      <w:r>
        <w:t>“</w:t>
      </w:r>
      <w:r>
        <w:t xml:space="preserve">A 409A valuation is an appraisal of a company’s shares of stock that is conducted to determine for tax purposes the value of </w:t>
      </w:r>
      <w:r>
        <w:t xml:space="preserve">stock </w:t>
      </w:r>
      <w:r>
        <w:t>options.”  (</w:t>
      </w:r>
      <w:r>
        <w:rPr>
          <w:i/>
          <w:iCs/>
        </w:rPr>
        <w:t xml:space="preserve">Blattman v. Siebel </w:t>
      </w:r>
      <w:r>
        <w:t>(</w:t>
      </w:r>
      <w:proofErr w:type="spellStart"/>
      <w:r>
        <w:t>D.Del</w:t>
      </w:r>
      <w:proofErr w:type="spellEnd"/>
      <w:r>
        <w:t>. Jan. 29, 2020</w:t>
      </w:r>
      <w:r>
        <w:t>, Civ. No. 15-530-CFC</w:t>
      </w:r>
      <w:r>
        <w:t>)</w:t>
      </w:r>
      <w:r>
        <w:t xml:space="preserve"> </w:t>
      </w:r>
      <w:proofErr w:type="spellStart"/>
      <w:r>
        <w:t>U.S.Dist</w:t>
      </w:r>
      <w:proofErr w:type="spellEnd"/>
      <w:r>
        <w:t xml:space="preserve">. Lexis 14583, </w:t>
      </w:r>
      <w:r>
        <w:t>*</w:t>
      </w:r>
      <w:r>
        <w:t>15,</w:t>
      </w:r>
      <w:r>
        <w:t xml:space="preserve"> </w:t>
      </w:r>
      <w:r>
        <w:t>fn.</w:t>
      </w:r>
      <w:r>
        <w:t xml:space="preserve"> </w:t>
      </w:r>
      <w:r>
        <w:t>3.</w:t>
      </w:r>
      <w:r>
        <w:t xml:space="preserve">) </w:t>
      </w:r>
      <w:r>
        <w:t xml:space="preserve"> </w:t>
      </w:r>
      <w:r>
        <w:t>It</w:t>
      </w:r>
      <w:r>
        <w:t xml:space="preserve"> tends to be low</w:t>
      </w:r>
      <w:r>
        <w:t>er than other valuations</w:t>
      </w:r>
      <w:r>
        <w:t xml:space="preserve"> </w:t>
      </w:r>
      <w:proofErr w:type="gramStart"/>
      <w:r>
        <w:t>in order to</w:t>
      </w:r>
      <w:proofErr w:type="gramEnd"/>
      <w:r>
        <w:t xml:space="preserve"> minimize taxable income.  (See </w:t>
      </w:r>
      <w:r>
        <w:rPr>
          <w:i/>
          <w:iCs/>
        </w:rPr>
        <w:t xml:space="preserve">Deane v. Maginn </w:t>
      </w:r>
      <w:r>
        <w:t>(</w:t>
      </w:r>
      <w:proofErr w:type="spellStart"/>
      <w:r>
        <w:t>Del.Ch.Ct</w:t>
      </w:r>
      <w:proofErr w:type="spellEnd"/>
      <w:r>
        <w:t>. Nov. 1, 2022) 2022</w:t>
      </w:r>
      <w:r>
        <w:t xml:space="preserve"> </w:t>
      </w:r>
      <w:r>
        <w:t xml:space="preserve">Del.Ch. </w:t>
      </w:r>
      <w:r>
        <w:t>Lexis 315</w:t>
      </w:r>
      <w:r>
        <w:t>,</w:t>
      </w:r>
      <w:r>
        <w:t xml:space="preserve"> </w:t>
      </w:r>
      <w:r>
        <w:t>*</w:t>
      </w:r>
      <w:r>
        <w:t>46</w:t>
      </w:r>
      <w:r>
        <w:t xml:space="preserve">, fn. 263 [“the 2020 409A Valuation, performed for Internal Revenue Service Code 409A purposes, provided the </w:t>
      </w:r>
      <w:r>
        <w:t>lowest valuation”].)</w:t>
      </w:r>
    </w:p>
  </w:footnote>
  <w:footnote w:id="12">
    <w:p w14:paraId="2B3F8B10" w14:textId="77777777" w:rsidR="00E748F1" w:rsidRDefault="00E748F1" w:rsidP="00481AC7">
      <w:pPr>
        <w:pStyle w:val="FootnoteText"/>
        <w:ind w:firstLine="720"/>
      </w:pPr>
      <w:r>
        <w:rPr>
          <w:rStyle w:val="FootnoteReference"/>
        </w:rPr>
        <w:footnoteRef/>
      </w:r>
      <w:r>
        <w:t xml:space="preserve"> </w:t>
      </w:r>
      <w:r>
        <w:t xml:space="preserve">Following the parties’ initial briefing, we requested </w:t>
      </w:r>
      <w:r>
        <w:t>and received supplemental briefing o</w:t>
      </w:r>
      <w:r>
        <w:t>n the following issues</w:t>
      </w:r>
      <w:proofErr w:type="gramStart"/>
      <w:r>
        <w:t xml:space="preserve">:  </w:t>
      </w:r>
      <w:r>
        <w:t>“</w:t>
      </w:r>
      <w:proofErr w:type="gramEnd"/>
      <w:r>
        <w:t>1.  Does the jury</w:t>
      </w:r>
      <w:r>
        <w:t>’</w:t>
      </w:r>
      <w:r>
        <w:t>s finding that plaintiff Gautam Shah did not engage in unclean hands (unethical or dishonest conduct in relation to the three contracts) necessarily mean that it also found that Shah was not terminated for cause?  [</w:t>
      </w:r>
      <w:proofErr w:type="gramStart"/>
      <w:r>
        <w:t>¶]  2</w:t>
      </w:r>
      <w:proofErr w:type="gramEnd"/>
      <w:r>
        <w:t xml:space="preserve">.  Does Delaware law govern </w:t>
      </w:r>
      <w:r>
        <w:t>“</w:t>
      </w:r>
      <w:r>
        <w:t xml:space="preserve">the </w:t>
      </w:r>
      <w:r>
        <w:t>‘</w:t>
      </w:r>
      <w:r>
        <w:t>measure of recovery</w:t>
      </w:r>
      <w:proofErr w:type="gramStart"/>
      <w:r>
        <w:t>’ ”</w:t>
      </w:r>
      <w:proofErr w:type="gramEnd"/>
      <w:r>
        <w:t xml:space="preserve"> for Shah</w:t>
      </w:r>
      <w:r>
        <w:t>’</w:t>
      </w:r>
      <w:r>
        <w:t>s breach of contract claim under section 13.4 of the Equity Incentive Plan [citation]?  Ass</w:t>
      </w:r>
      <w:r>
        <w:t>uming Delaware law applies, may benefit-of-the-bargain damages be calculated from a date other than the date of breach and, if so, when?  [</w:t>
      </w:r>
      <w:proofErr w:type="gramStart"/>
      <w:r>
        <w:t>¶]  3</w:t>
      </w:r>
      <w:proofErr w:type="gramEnd"/>
      <w:r>
        <w:t xml:space="preserve">.  Did the First Amended Complaint provide sufficient notice to defendant </w:t>
      </w:r>
      <w:proofErr w:type="spellStart"/>
      <w:r>
        <w:t>Skillz</w:t>
      </w:r>
      <w:proofErr w:type="spellEnd"/>
      <w:r>
        <w:t>, Inc. (</w:t>
      </w:r>
      <w:proofErr w:type="spellStart"/>
      <w:r>
        <w:t>Skillz</w:t>
      </w:r>
      <w:proofErr w:type="spellEnd"/>
      <w:r>
        <w:t>) to justify a jury instruction and verdict form question as to the third contract (the Performance Grant)?  [</w:t>
      </w:r>
      <w:proofErr w:type="gramStart"/>
      <w:r>
        <w:t>Citations]  The</w:t>
      </w:r>
      <w:proofErr w:type="gramEnd"/>
      <w:r>
        <w:t xml:space="preserve"> relevance of the language in the third contract that it </w:t>
      </w:r>
      <w:r>
        <w:t>“</w:t>
      </w:r>
      <w:r>
        <w:t>alter[ed]</w:t>
      </w:r>
      <w:r>
        <w:t>”</w:t>
      </w:r>
      <w:r>
        <w:t xml:space="preserve"> the terms of Shah</w:t>
      </w:r>
      <w:r>
        <w:t>’</w:t>
      </w:r>
      <w:r>
        <w:t>s Employment Contract should be discussed in answering this qu</w:t>
      </w:r>
      <w:r>
        <w:t>estion.  [</w:t>
      </w:r>
      <w:proofErr w:type="gramStart"/>
      <w:r>
        <w:t>¶]  4</w:t>
      </w:r>
      <w:proofErr w:type="gramEnd"/>
      <w:r>
        <w:t xml:space="preserve">.  If this court reverses the judgment on damages, may it order a judgment in the amount of $30,487 (or $41,032) as argued by </w:t>
      </w:r>
      <w:proofErr w:type="spellStart"/>
      <w:r>
        <w:t>Skillz</w:t>
      </w:r>
      <w:proofErr w:type="spellEnd"/>
      <w:r>
        <w:t xml:space="preserve">, rather than remand for a new trial on damages, </w:t>
      </w:r>
      <w:proofErr w:type="gramStart"/>
      <w:r>
        <w:t>in light of</w:t>
      </w:r>
      <w:proofErr w:type="gramEnd"/>
      <w:r>
        <w:t xml:space="preserve"> evidence at trial that Shah gave up ‘about $70,000’ in cash compensation in exchange for the Performance Grant stock options alone?”</w:t>
      </w:r>
    </w:p>
  </w:footnote>
  <w:footnote w:id="13">
    <w:p w14:paraId="3FC6A208" w14:textId="77777777" w:rsidR="00E748F1" w:rsidRDefault="00E748F1" w:rsidP="00E23255">
      <w:pPr>
        <w:pStyle w:val="FootnoteText"/>
        <w:ind w:firstLine="720"/>
      </w:pPr>
      <w:r>
        <w:rPr>
          <w:rStyle w:val="FootnoteReference"/>
        </w:rPr>
        <w:footnoteRef/>
      </w:r>
      <w:r>
        <w:t xml:space="preserve"> Question 4 of Shah’s proposed breach of the implied covenant verdict form asked</w:t>
      </w:r>
      <w:proofErr w:type="gramStart"/>
      <w:r>
        <w:t>:  “</w:t>
      </w:r>
      <w:proofErr w:type="gramEnd"/>
      <w:r>
        <w:t xml:space="preserve"> ‘Did </w:t>
      </w:r>
      <w:proofErr w:type="spellStart"/>
      <w:r>
        <w:t>Skillz</w:t>
      </w:r>
      <w:proofErr w:type="spellEnd"/>
      <w:r>
        <w:t xml:space="preserve">, Inc. terminate Gautam Shah based upon pretext that he committed theft?’ ” </w:t>
      </w:r>
    </w:p>
  </w:footnote>
  <w:footnote w:id="14">
    <w:p w14:paraId="4242E6BF" w14:textId="77777777" w:rsidR="00E748F1" w:rsidRDefault="00E748F1" w:rsidP="00984441">
      <w:pPr>
        <w:pStyle w:val="FootnoteText"/>
        <w:spacing w:after="120"/>
        <w:ind w:firstLine="720"/>
      </w:pPr>
      <w:r>
        <w:rPr>
          <w:rStyle w:val="FootnoteReference"/>
        </w:rPr>
        <w:footnoteRef/>
      </w:r>
      <w:r>
        <w:t xml:space="preserve"> </w:t>
      </w:r>
      <w:proofErr w:type="spellStart"/>
      <w:r>
        <w:t>Skillz</w:t>
      </w:r>
      <w:proofErr w:type="spellEnd"/>
      <w:r>
        <w:t xml:space="preserve"> concedes the Notice “could have been breached [] through incorporation of [the Plan]</w:t>
      </w:r>
      <w:r>
        <w:t>”</w:t>
      </w:r>
      <w:r>
        <w:t xml:space="preserve"> but argues that the Plan “says that </w:t>
      </w:r>
      <w:proofErr w:type="spellStart"/>
      <w:r>
        <w:t>‘cause</w:t>
      </w:r>
      <w:proofErr w:type="spellEnd"/>
      <w:r>
        <w:t xml:space="preserve">’ exists if the Board determines there is cause . . . and the </w:t>
      </w:r>
      <w:r>
        <w:t xml:space="preserve">[special] </w:t>
      </w:r>
      <w:r>
        <w:t>verdict form</w:t>
      </w:r>
      <w:r>
        <w:t>[s]</w:t>
      </w:r>
      <w:r>
        <w:t xml:space="preserve"> did not ask the jury whether the Board made a cause determination.”  As discuss</w:t>
      </w:r>
      <w:r>
        <w:t>ed</w:t>
      </w:r>
      <w:r>
        <w:t xml:space="preserve"> below, even </w:t>
      </w:r>
      <w:r>
        <w:t>assuming</w:t>
      </w:r>
      <w:r>
        <w:t xml:space="preserve"> the verdict form</w:t>
      </w:r>
      <w:r>
        <w:t>s</w:t>
      </w:r>
      <w:r>
        <w:t xml:space="preserve"> </w:t>
      </w:r>
      <w:r>
        <w:t xml:space="preserve">were </w:t>
      </w:r>
      <w:r>
        <w:t xml:space="preserve">ambiguous as to whether </w:t>
      </w:r>
      <w:r>
        <w:t xml:space="preserve">they </w:t>
      </w:r>
      <w:r>
        <w:t xml:space="preserve">required </w:t>
      </w:r>
      <w:r>
        <w:t xml:space="preserve">the jury </w:t>
      </w:r>
      <w:r>
        <w:t>to find a lack of cause</w:t>
      </w:r>
      <w:r>
        <w:t xml:space="preserve">, the jury’s no unclean hands finding resolves </w:t>
      </w:r>
      <w:r>
        <w:t>any ambiguity.</w:t>
      </w:r>
      <w:r>
        <w:t xml:space="preserve"> </w:t>
      </w:r>
    </w:p>
  </w:footnote>
  <w:footnote w:id="15">
    <w:p w14:paraId="1B9AFF10" w14:textId="77777777" w:rsidR="00E748F1" w:rsidRPr="00A62C70" w:rsidRDefault="00E748F1" w:rsidP="00423FAB">
      <w:pPr>
        <w:pStyle w:val="FootnoteText"/>
        <w:ind w:firstLine="720"/>
      </w:pPr>
      <w:r>
        <w:rPr>
          <w:rStyle w:val="FootnoteReference"/>
        </w:rPr>
        <w:footnoteRef/>
      </w:r>
      <w:r>
        <w:t xml:space="preserve"> </w:t>
      </w:r>
      <w:r>
        <w:t>Accordingly, we</w:t>
      </w:r>
      <w:r>
        <w:t xml:space="preserve"> do not find that the special verdict form</w:t>
      </w:r>
      <w:r>
        <w:t>s</w:t>
      </w:r>
      <w:r>
        <w:t xml:space="preserve"> </w:t>
      </w:r>
      <w:r>
        <w:t xml:space="preserve">were </w:t>
      </w:r>
      <w:proofErr w:type="gramStart"/>
      <w:r>
        <w:t>“</w:t>
      </w:r>
      <w:r>
        <w:t> ‘</w:t>
      </w:r>
      <w:proofErr w:type="gramEnd"/>
      <w:r>
        <w:t> </w:t>
      </w:r>
      <w:r>
        <w:t>“</w:t>
      </w:r>
      <w:r>
        <w:t>fatally defective</w:t>
      </w:r>
      <w:r>
        <w:t xml:space="preserve">” ’ </w:t>
      </w:r>
      <w:r>
        <w:t xml:space="preserve">” </w:t>
      </w:r>
      <w:r>
        <w:t xml:space="preserve">as </w:t>
      </w:r>
      <w:proofErr w:type="spellStart"/>
      <w:r>
        <w:t>Skillz</w:t>
      </w:r>
      <w:proofErr w:type="spellEnd"/>
      <w:r>
        <w:t xml:space="preserve"> argues</w:t>
      </w:r>
      <w:r>
        <w:t xml:space="preserve"> </w:t>
      </w:r>
      <w:r>
        <w:t xml:space="preserve"> because </w:t>
      </w:r>
      <w:r>
        <w:t xml:space="preserve">they </w:t>
      </w:r>
      <w:r>
        <w:t>“allow[ed] the jury to resolve every controverted issue.”</w:t>
      </w:r>
      <w:r>
        <w:t xml:space="preserve">  (</w:t>
      </w:r>
      <w:r>
        <w:rPr>
          <w:i/>
          <w:iCs/>
        </w:rPr>
        <w:t xml:space="preserve">Saxena, supra, </w:t>
      </w:r>
      <w:r>
        <w:t xml:space="preserve">159 Cal.App.4th at p. </w:t>
      </w:r>
      <w:r>
        <w:t>325.)</w:t>
      </w:r>
    </w:p>
  </w:footnote>
  <w:footnote w:id="16">
    <w:p w14:paraId="2437BBD7" w14:textId="77777777" w:rsidR="00E748F1" w:rsidRDefault="00E748F1" w:rsidP="00EE7E89">
      <w:pPr>
        <w:pStyle w:val="FootnoteText"/>
        <w:spacing w:after="120"/>
        <w:ind w:firstLine="720"/>
      </w:pPr>
      <w:r>
        <w:rPr>
          <w:rStyle w:val="FootnoteReference"/>
        </w:rPr>
        <w:footnoteRef/>
      </w:r>
      <w:r>
        <w:t xml:space="preserve"> The trial court apparently reached the same conclusion as the jury when it rejected </w:t>
      </w:r>
      <w:proofErr w:type="spellStart"/>
      <w:r>
        <w:t>Skillz’s</w:t>
      </w:r>
      <w:proofErr w:type="spellEnd"/>
      <w:r>
        <w:t xml:space="preserve"> unclean hands defense.</w:t>
      </w:r>
      <w:r>
        <w:t xml:space="preserve">  As the court stated in its written order, although </w:t>
      </w:r>
      <w:proofErr w:type="spellStart"/>
      <w:r>
        <w:t>Skillz</w:t>
      </w:r>
      <w:proofErr w:type="spellEnd"/>
      <w:r>
        <w:t xml:space="preserve"> argued at trial that “Shah’s misappropriation of the </w:t>
      </w:r>
      <w:proofErr w:type="spellStart"/>
      <w:r>
        <w:t>Termezy</w:t>
      </w:r>
      <w:proofErr w:type="spellEnd"/>
      <w:r>
        <w:t xml:space="preserve"> report established cause to terminate Shah”, no evidence was presented “that Shah shared the [] report with any outside company or profited from the [] report in any way.” </w:t>
      </w:r>
    </w:p>
  </w:footnote>
  <w:footnote w:id="17">
    <w:p w14:paraId="092DF556" w14:textId="77777777" w:rsidR="00E748F1" w:rsidRDefault="00E748F1" w:rsidP="007F2DDF">
      <w:pPr>
        <w:pStyle w:val="FootnoteText"/>
        <w:spacing w:after="120"/>
        <w:ind w:firstLine="720"/>
      </w:pPr>
      <w:r w:rsidRPr="00683D4A">
        <w:rPr>
          <w:rStyle w:val="FootnoteReference"/>
        </w:rPr>
        <w:footnoteRef/>
      </w:r>
      <w:r w:rsidRPr="00683D4A">
        <w:t xml:space="preserve"> </w:t>
      </w:r>
      <w:r w:rsidRPr="00F74BA9">
        <w:t xml:space="preserve">Under the terms of the Plan, Shah </w:t>
      </w:r>
      <w:r w:rsidRPr="00F74BA9">
        <w:t xml:space="preserve">had </w:t>
      </w:r>
      <w:r w:rsidRPr="00F74BA9">
        <w:t xml:space="preserve">the right to “exercise” his vested stock options “upon [his] Termination Date.” </w:t>
      </w:r>
      <w:r w:rsidRPr="00F74BA9">
        <w:rPr>
          <w:i/>
          <w:iCs/>
        </w:rPr>
        <w:t xml:space="preserve"> </w:t>
      </w:r>
      <w:r w:rsidRPr="00F74BA9">
        <w:t>Thus, e</w:t>
      </w:r>
      <w:r w:rsidRPr="00F74BA9">
        <w:t xml:space="preserve">ven assuming </w:t>
      </w:r>
      <w:proofErr w:type="spellStart"/>
      <w:r w:rsidRPr="00F74BA9">
        <w:t>Skillz</w:t>
      </w:r>
      <w:proofErr w:type="spellEnd"/>
      <w:r w:rsidRPr="00F74BA9">
        <w:t xml:space="preserve"> had</w:t>
      </w:r>
      <w:r w:rsidRPr="00F74BA9">
        <w:t xml:space="preserve"> cause </w:t>
      </w:r>
      <w:r w:rsidRPr="00F74BA9">
        <w:t xml:space="preserve">to terminate Shah, </w:t>
      </w:r>
      <w:proofErr w:type="spellStart"/>
      <w:r w:rsidRPr="00F74BA9">
        <w:t>Skillz</w:t>
      </w:r>
      <w:proofErr w:type="spellEnd"/>
      <w:r w:rsidRPr="00F74BA9">
        <w:t xml:space="preserve"> </w:t>
      </w:r>
      <w:r w:rsidRPr="00F74BA9">
        <w:t>arguably</w:t>
      </w:r>
      <w:r w:rsidRPr="00F74BA9">
        <w:t xml:space="preserve"> breached the </w:t>
      </w:r>
      <w:r w:rsidRPr="00F74BA9">
        <w:t>contracts</w:t>
      </w:r>
      <w:r w:rsidRPr="00F74BA9">
        <w:t xml:space="preserve"> by</w:t>
      </w:r>
      <w:r w:rsidRPr="00F74BA9">
        <w:t xml:space="preserve"> refusing to </w:t>
      </w:r>
      <w:r w:rsidRPr="00F74BA9">
        <w:t>allow</w:t>
      </w:r>
      <w:r w:rsidRPr="00F74BA9">
        <w:t xml:space="preserve"> Shah to exercise his vested stock options </w:t>
      </w:r>
      <w:r w:rsidRPr="00F74BA9">
        <w:t xml:space="preserve">after Shah </w:t>
      </w:r>
      <w:r w:rsidRPr="00F74BA9">
        <w:t xml:space="preserve">told </w:t>
      </w:r>
      <w:proofErr w:type="spellStart"/>
      <w:r w:rsidRPr="00F74BA9">
        <w:t>Chafkin</w:t>
      </w:r>
      <w:proofErr w:type="spellEnd"/>
      <w:r w:rsidRPr="00F74BA9">
        <w:t xml:space="preserve"> </w:t>
      </w:r>
      <w:r w:rsidRPr="00F74BA9">
        <w:t xml:space="preserve">that he wanted to </w:t>
      </w:r>
      <w:r w:rsidRPr="00F74BA9">
        <w:t>do so</w:t>
      </w:r>
      <w:r w:rsidRPr="00F74BA9">
        <w:t xml:space="preserve"> </w:t>
      </w:r>
      <w:r w:rsidRPr="00F74BA9">
        <w:t>at his</w:t>
      </w:r>
      <w:r w:rsidRPr="00F74BA9">
        <w:t xml:space="preserve"> termination</w:t>
      </w:r>
      <w:r w:rsidRPr="00F74BA9">
        <w:t xml:space="preserve"> meeting</w:t>
      </w:r>
      <w:r w:rsidRPr="00F74BA9">
        <w:t>.</w:t>
      </w:r>
      <w:r>
        <w:t xml:space="preserve"> </w:t>
      </w:r>
    </w:p>
  </w:footnote>
  <w:footnote w:id="18">
    <w:p w14:paraId="432989A2" w14:textId="77777777" w:rsidR="00E748F1" w:rsidRDefault="00E748F1" w:rsidP="00A63810">
      <w:pPr>
        <w:pStyle w:val="FootnoteText"/>
        <w:ind w:firstLine="720"/>
      </w:pPr>
      <w:r>
        <w:rPr>
          <w:rStyle w:val="FootnoteReference"/>
        </w:rPr>
        <w:footnoteRef/>
      </w:r>
      <w:r>
        <w:t xml:space="preserve"> All further statutory references are to the Code of Civil Procedure unless otherwise specified.</w:t>
      </w:r>
    </w:p>
  </w:footnote>
  <w:footnote w:id="19">
    <w:p w14:paraId="2B91D7D5" w14:textId="77777777" w:rsidR="00E748F1" w:rsidRPr="006E4AEE" w:rsidRDefault="00E748F1" w:rsidP="00D222DC">
      <w:pPr>
        <w:pStyle w:val="FootnoteText"/>
        <w:ind w:firstLine="720"/>
      </w:pPr>
      <w:r>
        <w:rPr>
          <w:rStyle w:val="FootnoteReference"/>
        </w:rPr>
        <w:footnoteRef/>
      </w:r>
      <w:r>
        <w:t xml:space="preserve"> In an unreported decision, a federal district court declined to apply </w:t>
      </w:r>
      <w:r>
        <w:rPr>
          <w:i/>
          <w:iCs/>
        </w:rPr>
        <w:t xml:space="preserve">Bertero </w:t>
      </w:r>
      <w:r>
        <w:t xml:space="preserve">in determining damages in a breach of contract action involving an option in a lease agreement because </w:t>
      </w:r>
      <w:r>
        <w:rPr>
          <w:i/>
          <w:iCs/>
        </w:rPr>
        <w:t>Bertero</w:t>
      </w:r>
      <w:r>
        <w:t xml:space="preserve"> “is not a traditional breach of contract case.”  (</w:t>
      </w:r>
      <w:r>
        <w:rPr>
          <w:i/>
          <w:iCs/>
        </w:rPr>
        <w:t xml:space="preserve">First Natl. Mortgage Co. v. Federal Realty Investment Trust </w:t>
      </w:r>
      <w:r>
        <w:t>(</w:t>
      </w:r>
      <w:proofErr w:type="spellStart"/>
      <w:r>
        <w:t>N.D.Cal</w:t>
      </w:r>
      <w:proofErr w:type="spellEnd"/>
      <w:r>
        <w:t>. Sept. 12, 2005) 2005</w:t>
      </w:r>
      <w:r>
        <w:t xml:space="preserve"> </w:t>
      </w:r>
      <w:r>
        <w:t>U.S. Dist. L</w:t>
      </w:r>
      <w:r>
        <w:t>exis</w:t>
      </w:r>
      <w:r>
        <w:t xml:space="preserve"> </w:t>
      </w:r>
      <w:r>
        <w:t>34285</w:t>
      </w:r>
      <w:r>
        <w:t>,</w:t>
      </w:r>
      <w:r>
        <w:t xml:space="preserve"> </w:t>
      </w:r>
      <w:r>
        <w:t>*</w:t>
      </w:r>
      <w:r>
        <w:t>16</w:t>
      </w:r>
      <w:r>
        <w:t xml:space="preserve"> (</w:t>
      </w:r>
      <w:r>
        <w:rPr>
          <w:i/>
          <w:iCs/>
        </w:rPr>
        <w:t>First Natl.</w:t>
      </w:r>
      <w:r>
        <w:t>).)  Of course, that federal decision is not binding on this court.  (</w:t>
      </w:r>
      <w:r>
        <w:rPr>
          <w:i/>
          <w:iCs/>
        </w:rPr>
        <w:t xml:space="preserve">Ram’s Gate Winery, LLC v. Roche </w:t>
      </w:r>
      <w:r>
        <w:t>(2015) 235 Cal.App.4th 1071, 1080.)  In</w:t>
      </w:r>
      <w:r>
        <w:t xml:space="preserve"> any event, we do not find it persuasive.  Although </w:t>
      </w:r>
      <w:r>
        <w:rPr>
          <w:i/>
          <w:iCs/>
        </w:rPr>
        <w:t xml:space="preserve">Bertero </w:t>
      </w:r>
      <w:r>
        <w:t xml:space="preserve">involved a claim for declaratory relief, the trial court’s alternative award of damages was undoubtedly based on the damages suffered by the plaintiff due to the defendant’s breach of contract.  Indeed, notwithstanding the federal district’s assertion to the contrary (see </w:t>
      </w:r>
      <w:r>
        <w:rPr>
          <w:i/>
          <w:iCs/>
        </w:rPr>
        <w:t>First Natl.</w:t>
      </w:r>
      <w:r>
        <w:t>, at p. *5 [“Neither court . . . discussed substantive breach of contract damage principles”]),</w:t>
      </w:r>
      <w:r>
        <w:rPr>
          <w:i/>
          <w:iCs/>
        </w:rPr>
        <w:t xml:space="preserve"> Bertero </w:t>
      </w:r>
      <w:r>
        <w:t>expressly relied upon fundamental principles of contract damages</w:t>
      </w:r>
      <w:r>
        <w:t xml:space="preserve"> in affirming that damage award (see </w:t>
      </w:r>
      <w:r>
        <w:rPr>
          <w:i/>
          <w:iCs/>
        </w:rPr>
        <w:t>Bertero</w:t>
      </w:r>
      <w:r>
        <w:t xml:space="preserve">, </w:t>
      </w:r>
      <w:r>
        <w:rPr>
          <w:i/>
          <w:iCs/>
        </w:rPr>
        <w:t>supra</w:t>
      </w:r>
      <w:r>
        <w:t xml:space="preserve">, 254 Cal.App.2d at pp. 147 [“The employment agreement continued in full force and effect and defendants cannot, by their own wrongful act, deprive [the plaintiff] of that which had bargained for:  the opportunity to share in the successes of [the defendant] over a specified period of time”].) </w:t>
      </w:r>
      <w:r>
        <w:rPr>
          <w:i/>
          <w:iCs/>
        </w:rPr>
        <w:t xml:space="preserve"> </w:t>
      </w:r>
      <w:r>
        <w:t xml:space="preserve">Moreover, as explained above, the reasoning of </w:t>
      </w:r>
      <w:r>
        <w:rPr>
          <w:i/>
          <w:iCs/>
        </w:rPr>
        <w:t xml:space="preserve">Bertero </w:t>
      </w:r>
      <w:r>
        <w:t xml:space="preserve">appears to be consistent with California law governing contractual damages.  (See, </w:t>
      </w:r>
      <w:r>
        <w:rPr>
          <w:i/>
          <w:iCs/>
        </w:rPr>
        <w:t>supra</w:t>
      </w:r>
      <w:r>
        <w:t xml:space="preserve">, at pp. </w:t>
      </w:r>
      <w:r>
        <w:t>29</w:t>
      </w:r>
      <w:r>
        <w:t>–</w:t>
      </w:r>
      <w:r w:rsidRPr="00130113">
        <w:t>3</w:t>
      </w:r>
      <w:r>
        <w:t>2</w:t>
      </w:r>
      <w:r>
        <w:t>.)</w:t>
      </w:r>
    </w:p>
  </w:footnote>
  <w:footnote w:id="20">
    <w:p w14:paraId="1511C0E7" w14:textId="77777777" w:rsidR="00E748F1" w:rsidRPr="00784957" w:rsidRDefault="00E748F1" w:rsidP="007A3929">
      <w:pPr>
        <w:pStyle w:val="FootnoteText"/>
        <w:ind w:firstLine="720"/>
      </w:pPr>
      <w:r w:rsidRPr="002E46F6">
        <w:rPr>
          <w:rStyle w:val="FootnoteReference"/>
        </w:rPr>
        <w:footnoteRef/>
      </w:r>
      <w:r w:rsidRPr="002E46F6">
        <w:t xml:space="preserve"> Neither party has ever challenged the remittitur’s use of the average price of </w:t>
      </w:r>
      <w:proofErr w:type="spellStart"/>
      <w:r w:rsidRPr="002E46F6">
        <w:t>Skillz</w:t>
      </w:r>
      <w:proofErr w:type="spellEnd"/>
      <w:r w:rsidRPr="002E46F6">
        <w:t xml:space="preserve"> stock over a particular </w:t>
      </w:r>
      <w:proofErr w:type="gramStart"/>
      <w:r w:rsidRPr="002E46F6">
        <w:t>time period</w:t>
      </w:r>
      <w:proofErr w:type="gramEnd"/>
      <w:r w:rsidRPr="002E46F6">
        <w:t xml:space="preserve"> to calculate Shah’s damages.  Accordingly, they have forfeited any such challenge.  (See </w:t>
      </w:r>
      <w:r w:rsidRPr="002E46F6">
        <w:rPr>
          <w:i/>
          <w:iCs/>
        </w:rPr>
        <w:t xml:space="preserve">Lui v. City and County of San Francisco </w:t>
      </w:r>
      <w:r w:rsidRPr="002E46F6">
        <w:t>(2012) 211 Cal.App.4th 962, 970, fn. 7 [failure to make argument on appeal forfeits it].)</w:t>
      </w:r>
    </w:p>
  </w:footnote>
  <w:footnote w:id="21">
    <w:p w14:paraId="65220C12" w14:textId="77777777" w:rsidR="00E748F1" w:rsidRPr="00E34C85" w:rsidRDefault="00E748F1" w:rsidP="0062697D">
      <w:pPr>
        <w:pStyle w:val="FootnoteText"/>
        <w:spacing w:after="120"/>
        <w:ind w:firstLine="720"/>
      </w:pPr>
      <w:r>
        <w:rPr>
          <w:rStyle w:val="FootnoteReference"/>
        </w:rPr>
        <w:footnoteRef/>
      </w:r>
      <w:r>
        <w:t xml:space="preserve"> Because we find that the trial court erred by excluding these damages, we do not address Shah’s argument that the court lacked jurisdiction under section 660</w:t>
      </w:r>
      <w:r>
        <w:t xml:space="preserve"> to </w:t>
      </w:r>
      <w:r>
        <w:t xml:space="preserve">amend </w:t>
      </w:r>
      <w:r>
        <w:t>the remittitur</w:t>
      </w:r>
      <w:r>
        <w:t xml:space="preserve"> to exclude them</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DB045C"/>
    <w:multiLevelType w:val="hybridMultilevel"/>
    <w:tmpl w:val="8E76BCF8"/>
    <w:lvl w:ilvl="0" w:tplc="068A5EF4">
      <w:start w:val="1"/>
      <w:numFmt w:val="upperLetter"/>
      <w:lvlText w:val="%1."/>
      <w:lvlJc w:val="left"/>
      <w:pPr>
        <w:ind w:left="1080" w:hanging="360"/>
      </w:pPr>
      <w:rPr>
        <w:rFonts w:hint="default"/>
      </w:rPr>
    </w:lvl>
    <w:lvl w:ilvl="1" w:tplc="0A245DFA" w:tentative="1">
      <w:start w:val="1"/>
      <w:numFmt w:val="lowerLetter"/>
      <w:lvlText w:val="%2."/>
      <w:lvlJc w:val="left"/>
      <w:pPr>
        <w:ind w:left="1800" w:hanging="360"/>
      </w:pPr>
    </w:lvl>
    <w:lvl w:ilvl="2" w:tplc="961AFC2A" w:tentative="1">
      <w:start w:val="1"/>
      <w:numFmt w:val="lowerRoman"/>
      <w:lvlText w:val="%3."/>
      <w:lvlJc w:val="right"/>
      <w:pPr>
        <w:ind w:left="2520" w:hanging="180"/>
      </w:pPr>
    </w:lvl>
    <w:lvl w:ilvl="3" w:tplc="6EC28FBC" w:tentative="1">
      <w:start w:val="1"/>
      <w:numFmt w:val="decimal"/>
      <w:lvlText w:val="%4."/>
      <w:lvlJc w:val="left"/>
      <w:pPr>
        <w:ind w:left="3240" w:hanging="360"/>
      </w:pPr>
    </w:lvl>
    <w:lvl w:ilvl="4" w:tplc="93105640" w:tentative="1">
      <w:start w:val="1"/>
      <w:numFmt w:val="lowerLetter"/>
      <w:lvlText w:val="%5."/>
      <w:lvlJc w:val="left"/>
      <w:pPr>
        <w:ind w:left="3960" w:hanging="360"/>
      </w:pPr>
    </w:lvl>
    <w:lvl w:ilvl="5" w:tplc="38020DF0" w:tentative="1">
      <w:start w:val="1"/>
      <w:numFmt w:val="lowerRoman"/>
      <w:lvlText w:val="%6."/>
      <w:lvlJc w:val="right"/>
      <w:pPr>
        <w:ind w:left="4680" w:hanging="180"/>
      </w:pPr>
    </w:lvl>
    <w:lvl w:ilvl="6" w:tplc="10665ED2" w:tentative="1">
      <w:start w:val="1"/>
      <w:numFmt w:val="decimal"/>
      <w:lvlText w:val="%7."/>
      <w:lvlJc w:val="left"/>
      <w:pPr>
        <w:ind w:left="5400" w:hanging="360"/>
      </w:pPr>
    </w:lvl>
    <w:lvl w:ilvl="7" w:tplc="0F8490AC" w:tentative="1">
      <w:start w:val="1"/>
      <w:numFmt w:val="lowerLetter"/>
      <w:lvlText w:val="%8."/>
      <w:lvlJc w:val="left"/>
      <w:pPr>
        <w:ind w:left="6120" w:hanging="360"/>
      </w:pPr>
    </w:lvl>
    <w:lvl w:ilvl="8" w:tplc="9500C106" w:tentative="1">
      <w:start w:val="1"/>
      <w:numFmt w:val="lowerRoman"/>
      <w:lvlText w:val="%9."/>
      <w:lvlJc w:val="right"/>
      <w:pPr>
        <w:ind w:left="6840" w:hanging="180"/>
      </w:pPr>
    </w:lvl>
  </w:abstractNum>
  <w:abstractNum w:abstractNumId="1" w15:restartNumberingAfterBreak="0">
    <w:nsid w:val="08EC683B"/>
    <w:multiLevelType w:val="hybridMultilevel"/>
    <w:tmpl w:val="8CE80CC8"/>
    <w:lvl w:ilvl="0" w:tplc="5FDA8AFE">
      <w:start w:val="2"/>
      <w:numFmt w:val="bullet"/>
      <w:lvlText w:val="-"/>
      <w:lvlJc w:val="left"/>
      <w:pPr>
        <w:ind w:left="1480" w:hanging="360"/>
      </w:pPr>
      <w:rPr>
        <w:rFonts w:ascii="Century Schoolbook" w:eastAsia="Century Schoolbook" w:hAnsi="Century Schoolbook" w:cstheme="minorBidi" w:hint="default"/>
      </w:rPr>
    </w:lvl>
    <w:lvl w:ilvl="1" w:tplc="D3C24CF8" w:tentative="1">
      <w:start w:val="1"/>
      <w:numFmt w:val="bullet"/>
      <w:lvlText w:val="o"/>
      <w:lvlJc w:val="left"/>
      <w:pPr>
        <w:ind w:left="2200" w:hanging="360"/>
      </w:pPr>
      <w:rPr>
        <w:rFonts w:ascii="Courier New" w:hAnsi="Courier New" w:cs="Courier New" w:hint="default"/>
      </w:rPr>
    </w:lvl>
    <w:lvl w:ilvl="2" w:tplc="326233D2" w:tentative="1">
      <w:start w:val="1"/>
      <w:numFmt w:val="bullet"/>
      <w:lvlText w:val=""/>
      <w:lvlJc w:val="left"/>
      <w:pPr>
        <w:ind w:left="2920" w:hanging="360"/>
      </w:pPr>
      <w:rPr>
        <w:rFonts w:ascii="Wingdings" w:hAnsi="Wingdings" w:hint="default"/>
      </w:rPr>
    </w:lvl>
    <w:lvl w:ilvl="3" w:tplc="85B27930" w:tentative="1">
      <w:start w:val="1"/>
      <w:numFmt w:val="bullet"/>
      <w:lvlText w:val=""/>
      <w:lvlJc w:val="left"/>
      <w:pPr>
        <w:ind w:left="3640" w:hanging="360"/>
      </w:pPr>
      <w:rPr>
        <w:rFonts w:ascii="Symbol" w:hAnsi="Symbol" w:hint="default"/>
      </w:rPr>
    </w:lvl>
    <w:lvl w:ilvl="4" w:tplc="ACBACA68" w:tentative="1">
      <w:start w:val="1"/>
      <w:numFmt w:val="bullet"/>
      <w:lvlText w:val="o"/>
      <w:lvlJc w:val="left"/>
      <w:pPr>
        <w:ind w:left="4360" w:hanging="360"/>
      </w:pPr>
      <w:rPr>
        <w:rFonts w:ascii="Courier New" w:hAnsi="Courier New" w:cs="Courier New" w:hint="default"/>
      </w:rPr>
    </w:lvl>
    <w:lvl w:ilvl="5" w:tplc="78582EC4" w:tentative="1">
      <w:start w:val="1"/>
      <w:numFmt w:val="bullet"/>
      <w:lvlText w:val=""/>
      <w:lvlJc w:val="left"/>
      <w:pPr>
        <w:ind w:left="5080" w:hanging="360"/>
      </w:pPr>
      <w:rPr>
        <w:rFonts w:ascii="Wingdings" w:hAnsi="Wingdings" w:hint="default"/>
      </w:rPr>
    </w:lvl>
    <w:lvl w:ilvl="6" w:tplc="9C5041E0" w:tentative="1">
      <w:start w:val="1"/>
      <w:numFmt w:val="bullet"/>
      <w:lvlText w:val=""/>
      <w:lvlJc w:val="left"/>
      <w:pPr>
        <w:ind w:left="5800" w:hanging="360"/>
      </w:pPr>
      <w:rPr>
        <w:rFonts w:ascii="Symbol" w:hAnsi="Symbol" w:hint="default"/>
      </w:rPr>
    </w:lvl>
    <w:lvl w:ilvl="7" w:tplc="7B40A49A" w:tentative="1">
      <w:start w:val="1"/>
      <w:numFmt w:val="bullet"/>
      <w:lvlText w:val="o"/>
      <w:lvlJc w:val="left"/>
      <w:pPr>
        <w:ind w:left="6520" w:hanging="360"/>
      </w:pPr>
      <w:rPr>
        <w:rFonts w:ascii="Courier New" w:hAnsi="Courier New" w:cs="Courier New" w:hint="default"/>
      </w:rPr>
    </w:lvl>
    <w:lvl w:ilvl="8" w:tplc="2578E050" w:tentative="1">
      <w:start w:val="1"/>
      <w:numFmt w:val="bullet"/>
      <w:lvlText w:val=""/>
      <w:lvlJc w:val="left"/>
      <w:pPr>
        <w:ind w:left="7240" w:hanging="360"/>
      </w:pPr>
      <w:rPr>
        <w:rFonts w:ascii="Wingdings" w:hAnsi="Wingdings" w:hint="default"/>
      </w:rPr>
    </w:lvl>
  </w:abstractNum>
  <w:abstractNum w:abstractNumId="2" w15:restartNumberingAfterBreak="0">
    <w:nsid w:val="0B630FEB"/>
    <w:multiLevelType w:val="hybridMultilevel"/>
    <w:tmpl w:val="C35E83A0"/>
    <w:lvl w:ilvl="0" w:tplc="12D4D07E">
      <w:start w:val="1"/>
      <w:numFmt w:val="upperLetter"/>
      <w:lvlText w:val="%1."/>
      <w:lvlJc w:val="left"/>
      <w:pPr>
        <w:ind w:left="460" w:hanging="360"/>
      </w:pPr>
      <w:rPr>
        <w:rFonts w:hint="default"/>
        <w:u w:val="none"/>
      </w:rPr>
    </w:lvl>
    <w:lvl w:ilvl="1" w:tplc="1B724954" w:tentative="1">
      <w:start w:val="1"/>
      <w:numFmt w:val="lowerLetter"/>
      <w:lvlText w:val="%2."/>
      <w:lvlJc w:val="left"/>
      <w:pPr>
        <w:ind w:left="1180" w:hanging="360"/>
      </w:pPr>
    </w:lvl>
    <w:lvl w:ilvl="2" w:tplc="7ABC1620" w:tentative="1">
      <w:start w:val="1"/>
      <w:numFmt w:val="lowerRoman"/>
      <w:lvlText w:val="%3."/>
      <w:lvlJc w:val="right"/>
      <w:pPr>
        <w:ind w:left="1900" w:hanging="180"/>
      </w:pPr>
    </w:lvl>
    <w:lvl w:ilvl="3" w:tplc="42EE30EA" w:tentative="1">
      <w:start w:val="1"/>
      <w:numFmt w:val="decimal"/>
      <w:lvlText w:val="%4."/>
      <w:lvlJc w:val="left"/>
      <w:pPr>
        <w:ind w:left="2620" w:hanging="360"/>
      </w:pPr>
    </w:lvl>
    <w:lvl w:ilvl="4" w:tplc="F33834A2" w:tentative="1">
      <w:start w:val="1"/>
      <w:numFmt w:val="lowerLetter"/>
      <w:lvlText w:val="%5."/>
      <w:lvlJc w:val="left"/>
      <w:pPr>
        <w:ind w:left="3340" w:hanging="360"/>
      </w:pPr>
    </w:lvl>
    <w:lvl w:ilvl="5" w:tplc="9EFA51CE" w:tentative="1">
      <w:start w:val="1"/>
      <w:numFmt w:val="lowerRoman"/>
      <w:lvlText w:val="%6."/>
      <w:lvlJc w:val="right"/>
      <w:pPr>
        <w:ind w:left="4060" w:hanging="180"/>
      </w:pPr>
    </w:lvl>
    <w:lvl w:ilvl="6" w:tplc="D04A4B60" w:tentative="1">
      <w:start w:val="1"/>
      <w:numFmt w:val="decimal"/>
      <w:lvlText w:val="%7."/>
      <w:lvlJc w:val="left"/>
      <w:pPr>
        <w:ind w:left="4780" w:hanging="360"/>
      </w:pPr>
    </w:lvl>
    <w:lvl w:ilvl="7" w:tplc="F48C4A6E" w:tentative="1">
      <w:start w:val="1"/>
      <w:numFmt w:val="lowerLetter"/>
      <w:lvlText w:val="%8."/>
      <w:lvlJc w:val="left"/>
      <w:pPr>
        <w:ind w:left="5500" w:hanging="360"/>
      </w:pPr>
    </w:lvl>
    <w:lvl w:ilvl="8" w:tplc="E13092D8" w:tentative="1">
      <w:start w:val="1"/>
      <w:numFmt w:val="lowerRoman"/>
      <w:lvlText w:val="%9."/>
      <w:lvlJc w:val="right"/>
      <w:pPr>
        <w:ind w:left="6220" w:hanging="180"/>
      </w:pPr>
    </w:lvl>
  </w:abstractNum>
  <w:abstractNum w:abstractNumId="3" w15:restartNumberingAfterBreak="0">
    <w:nsid w:val="0DCF5DEF"/>
    <w:multiLevelType w:val="hybridMultilevel"/>
    <w:tmpl w:val="292C096E"/>
    <w:lvl w:ilvl="0" w:tplc="C7F46472">
      <w:start w:val="2"/>
      <w:numFmt w:val="bullet"/>
      <w:lvlText w:val="-"/>
      <w:lvlJc w:val="left"/>
      <w:pPr>
        <w:ind w:left="1080" w:hanging="360"/>
      </w:pPr>
      <w:rPr>
        <w:rFonts w:ascii="Century Schoolbook" w:eastAsia="Century Schoolbook" w:hAnsi="Century Schoolbook" w:cstheme="minorBidi" w:hint="default"/>
        <w:u w:val="none"/>
      </w:rPr>
    </w:lvl>
    <w:lvl w:ilvl="1" w:tplc="FCB6687C" w:tentative="1">
      <w:start w:val="1"/>
      <w:numFmt w:val="bullet"/>
      <w:lvlText w:val="o"/>
      <w:lvlJc w:val="left"/>
      <w:pPr>
        <w:ind w:left="1800" w:hanging="360"/>
      </w:pPr>
      <w:rPr>
        <w:rFonts w:ascii="Courier New" w:hAnsi="Courier New" w:cs="Courier New" w:hint="default"/>
      </w:rPr>
    </w:lvl>
    <w:lvl w:ilvl="2" w:tplc="F6CEE870" w:tentative="1">
      <w:start w:val="1"/>
      <w:numFmt w:val="bullet"/>
      <w:lvlText w:val=""/>
      <w:lvlJc w:val="left"/>
      <w:pPr>
        <w:ind w:left="2520" w:hanging="360"/>
      </w:pPr>
      <w:rPr>
        <w:rFonts w:ascii="Wingdings" w:hAnsi="Wingdings" w:hint="default"/>
      </w:rPr>
    </w:lvl>
    <w:lvl w:ilvl="3" w:tplc="A0CC47A6" w:tentative="1">
      <w:start w:val="1"/>
      <w:numFmt w:val="bullet"/>
      <w:lvlText w:val=""/>
      <w:lvlJc w:val="left"/>
      <w:pPr>
        <w:ind w:left="3240" w:hanging="360"/>
      </w:pPr>
      <w:rPr>
        <w:rFonts w:ascii="Symbol" w:hAnsi="Symbol" w:hint="default"/>
      </w:rPr>
    </w:lvl>
    <w:lvl w:ilvl="4" w:tplc="1CCC1BF4" w:tentative="1">
      <w:start w:val="1"/>
      <w:numFmt w:val="bullet"/>
      <w:lvlText w:val="o"/>
      <w:lvlJc w:val="left"/>
      <w:pPr>
        <w:ind w:left="3960" w:hanging="360"/>
      </w:pPr>
      <w:rPr>
        <w:rFonts w:ascii="Courier New" w:hAnsi="Courier New" w:cs="Courier New" w:hint="default"/>
      </w:rPr>
    </w:lvl>
    <w:lvl w:ilvl="5" w:tplc="AEDA96A0" w:tentative="1">
      <w:start w:val="1"/>
      <w:numFmt w:val="bullet"/>
      <w:lvlText w:val=""/>
      <w:lvlJc w:val="left"/>
      <w:pPr>
        <w:ind w:left="4680" w:hanging="360"/>
      </w:pPr>
      <w:rPr>
        <w:rFonts w:ascii="Wingdings" w:hAnsi="Wingdings" w:hint="default"/>
      </w:rPr>
    </w:lvl>
    <w:lvl w:ilvl="6" w:tplc="E9A4E21A" w:tentative="1">
      <w:start w:val="1"/>
      <w:numFmt w:val="bullet"/>
      <w:lvlText w:val=""/>
      <w:lvlJc w:val="left"/>
      <w:pPr>
        <w:ind w:left="5400" w:hanging="360"/>
      </w:pPr>
      <w:rPr>
        <w:rFonts w:ascii="Symbol" w:hAnsi="Symbol" w:hint="default"/>
      </w:rPr>
    </w:lvl>
    <w:lvl w:ilvl="7" w:tplc="7E3096F6" w:tentative="1">
      <w:start w:val="1"/>
      <w:numFmt w:val="bullet"/>
      <w:lvlText w:val="o"/>
      <w:lvlJc w:val="left"/>
      <w:pPr>
        <w:ind w:left="6120" w:hanging="360"/>
      </w:pPr>
      <w:rPr>
        <w:rFonts w:ascii="Courier New" w:hAnsi="Courier New" w:cs="Courier New" w:hint="default"/>
      </w:rPr>
    </w:lvl>
    <w:lvl w:ilvl="8" w:tplc="C62E5CE8" w:tentative="1">
      <w:start w:val="1"/>
      <w:numFmt w:val="bullet"/>
      <w:lvlText w:val=""/>
      <w:lvlJc w:val="left"/>
      <w:pPr>
        <w:ind w:left="6840" w:hanging="360"/>
      </w:pPr>
      <w:rPr>
        <w:rFonts w:ascii="Wingdings" w:hAnsi="Wingdings" w:hint="default"/>
      </w:rPr>
    </w:lvl>
  </w:abstractNum>
  <w:abstractNum w:abstractNumId="4" w15:restartNumberingAfterBreak="0">
    <w:nsid w:val="11756826"/>
    <w:multiLevelType w:val="hybridMultilevel"/>
    <w:tmpl w:val="12BAB91A"/>
    <w:lvl w:ilvl="0" w:tplc="05642F1C">
      <w:start w:val="1"/>
      <w:numFmt w:val="lowerRoman"/>
      <w:lvlText w:val="%1."/>
      <w:lvlJc w:val="right"/>
      <w:pPr>
        <w:ind w:left="1800" w:hanging="360"/>
      </w:pPr>
      <w:rPr>
        <w:rFonts w:hint="default"/>
      </w:rPr>
    </w:lvl>
    <w:lvl w:ilvl="1" w:tplc="BFA0F5D4" w:tentative="1">
      <w:start w:val="1"/>
      <w:numFmt w:val="lowerLetter"/>
      <w:lvlText w:val="%2."/>
      <w:lvlJc w:val="left"/>
      <w:pPr>
        <w:ind w:left="2520" w:hanging="360"/>
      </w:pPr>
    </w:lvl>
    <w:lvl w:ilvl="2" w:tplc="78E6770E" w:tentative="1">
      <w:start w:val="1"/>
      <w:numFmt w:val="lowerRoman"/>
      <w:lvlText w:val="%3."/>
      <w:lvlJc w:val="right"/>
      <w:pPr>
        <w:ind w:left="3240" w:hanging="180"/>
      </w:pPr>
    </w:lvl>
    <w:lvl w:ilvl="3" w:tplc="BC6878E8" w:tentative="1">
      <w:start w:val="1"/>
      <w:numFmt w:val="decimal"/>
      <w:lvlText w:val="%4."/>
      <w:lvlJc w:val="left"/>
      <w:pPr>
        <w:ind w:left="3960" w:hanging="360"/>
      </w:pPr>
    </w:lvl>
    <w:lvl w:ilvl="4" w:tplc="C0F88DD2" w:tentative="1">
      <w:start w:val="1"/>
      <w:numFmt w:val="lowerLetter"/>
      <w:lvlText w:val="%5."/>
      <w:lvlJc w:val="left"/>
      <w:pPr>
        <w:ind w:left="4680" w:hanging="360"/>
      </w:pPr>
    </w:lvl>
    <w:lvl w:ilvl="5" w:tplc="1A26AAD0" w:tentative="1">
      <w:start w:val="1"/>
      <w:numFmt w:val="lowerRoman"/>
      <w:lvlText w:val="%6."/>
      <w:lvlJc w:val="right"/>
      <w:pPr>
        <w:ind w:left="5400" w:hanging="180"/>
      </w:pPr>
    </w:lvl>
    <w:lvl w:ilvl="6" w:tplc="8D3CD2F6" w:tentative="1">
      <w:start w:val="1"/>
      <w:numFmt w:val="decimal"/>
      <w:lvlText w:val="%7."/>
      <w:lvlJc w:val="left"/>
      <w:pPr>
        <w:ind w:left="6120" w:hanging="360"/>
      </w:pPr>
    </w:lvl>
    <w:lvl w:ilvl="7" w:tplc="AF54DBC6" w:tentative="1">
      <w:start w:val="1"/>
      <w:numFmt w:val="lowerLetter"/>
      <w:lvlText w:val="%8."/>
      <w:lvlJc w:val="left"/>
      <w:pPr>
        <w:ind w:left="6840" w:hanging="360"/>
      </w:pPr>
    </w:lvl>
    <w:lvl w:ilvl="8" w:tplc="F4AAAADC" w:tentative="1">
      <w:start w:val="1"/>
      <w:numFmt w:val="lowerRoman"/>
      <w:lvlText w:val="%9."/>
      <w:lvlJc w:val="right"/>
      <w:pPr>
        <w:ind w:left="7560" w:hanging="180"/>
      </w:pPr>
    </w:lvl>
  </w:abstractNum>
  <w:abstractNum w:abstractNumId="5" w15:restartNumberingAfterBreak="0">
    <w:nsid w:val="11906862"/>
    <w:multiLevelType w:val="hybridMultilevel"/>
    <w:tmpl w:val="971A3D8A"/>
    <w:lvl w:ilvl="0" w:tplc="207802BE">
      <w:start w:val="1"/>
      <w:numFmt w:val="upperLetter"/>
      <w:lvlText w:val="%1."/>
      <w:lvlJc w:val="left"/>
      <w:pPr>
        <w:ind w:left="1080" w:hanging="360"/>
      </w:pPr>
      <w:rPr>
        <w:rFonts w:hint="default"/>
      </w:rPr>
    </w:lvl>
    <w:lvl w:ilvl="1" w:tplc="98E05504" w:tentative="1">
      <w:start w:val="1"/>
      <w:numFmt w:val="lowerLetter"/>
      <w:lvlText w:val="%2."/>
      <w:lvlJc w:val="left"/>
      <w:pPr>
        <w:ind w:left="1800" w:hanging="360"/>
      </w:pPr>
    </w:lvl>
    <w:lvl w:ilvl="2" w:tplc="F5FEAAF0" w:tentative="1">
      <w:start w:val="1"/>
      <w:numFmt w:val="lowerRoman"/>
      <w:lvlText w:val="%3."/>
      <w:lvlJc w:val="right"/>
      <w:pPr>
        <w:ind w:left="2520" w:hanging="180"/>
      </w:pPr>
    </w:lvl>
    <w:lvl w:ilvl="3" w:tplc="30A204A6" w:tentative="1">
      <w:start w:val="1"/>
      <w:numFmt w:val="decimal"/>
      <w:lvlText w:val="%4."/>
      <w:lvlJc w:val="left"/>
      <w:pPr>
        <w:ind w:left="3240" w:hanging="360"/>
      </w:pPr>
    </w:lvl>
    <w:lvl w:ilvl="4" w:tplc="B8D08662" w:tentative="1">
      <w:start w:val="1"/>
      <w:numFmt w:val="lowerLetter"/>
      <w:lvlText w:val="%5."/>
      <w:lvlJc w:val="left"/>
      <w:pPr>
        <w:ind w:left="3960" w:hanging="360"/>
      </w:pPr>
    </w:lvl>
    <w:lvl w:ilvl="5" w:tplc="DE7CB400" w:tentative="1">
      <w:start w:val="1"/>
      <w:numFmt w:val="lowerRoman"/>
      <w:lvlText w:val="%6."/>
      <w:lvlJc w:val="right"/>
      <w:pPr>
        <w:ind w:left="4680" w:hanging="180"/>
      </w:pPr>
    </w:lvl>
    <w:lvl w:ilvl="6" w:tplc="D42882AE" w:tentative="1">
      <w:start w:val="1"/>
      <w:numFmt w:val="decimal"/>
      <w:lvlText w:val="%7."/>
      <w:lvlJc w:val="left"/>
      <w:pPr>
        <w:ind w:left="5400" w:hanging="360"/>
      </w:pPr>
    </w:lvl>
    <w:lvl w:ilvl="7" w:tplc="AF7EE534" w:tentative="1">
      <w:start w:val="1"/>
      <w:numFmt w:val="lowerLetter"/>
      <w:lvlText w:val="%8."/>
      <w:lvlJc w:val="left"/>
      <w:pPr>
        <w:ind w:left="6120" w:hanging="360"/>
      </w:pPr>
    </w:lvl>
    <w:lvl w:ilvl="8" w:tplc="82522546" w:tentative="1">
      <w:start w:val="1"/>
      <w:numFmt w:val="lowerRoman"/>
      <w:lvlText w:val="%9."/>
      <w:lvlJc w:val="right"/>
      <w:pPr>
        <w:ind w:left="6840" w:hanging="180"/>
      </w:pPr>
    </w:lvl>
  </w:abstractNum>
  <w:abstractNum w:abstractNumId="6" w15:restartNumberingAfterBreak="0">
    <w:nsid w:val="166E22EC"/>
    <w:multiLevelType w:val="hybridMultilevel"/>
    <w:tmpl w:val="ADD6560E"/>
    <w:lvl w:ilvl="0" w:tplc="1FCC44EA">
      <w:start w:val="5"/>
      <w:numFmt w:val="bullet"/>
      <w:lvlText w:val="-"/>
      <w:lvlJc w:val="left"/>
      <w:pPr>
        <w:ind w:left="2160" w:hanging="360"/>
      </w:pPr>
      <w:rPr>
        <w:rFonts w:ascii="Century Schoolbook" w:eastAsia="Century Schoolbook" w:hAnsi="Century Schoolbook" w:cstheme="minorBidi" w:hint="default"/>
        <w:i/>
      </w:rPr>
    </w:lvl>
    <w:lvl w:ilvl="1" w:tplc="54629238" w:tentative="1">
      <w:start w:val="1"/>
      <w:numFmt w:val="bullet"/>
      <w:lvlText w:val="o"/>
      <w:lvlJc w:val="left"/>
      <w:pPr>
        <w:ind w:left="2880" w:hanging="360"/>
      </w:pPr>
      <w:rPr>
        <w:rFonts w:ascii="Courier New" w:hAnsi="Courier New" w:cs="Courier New" w:hint="default"/>
      </w:rPr>
    </w:lvl>
    <w:lvl w:ilvl="2" w:tplc="F160ABE2" w:tentative="1">
      <w:start w:val="1"/>
      <w:numFmt w:val="bullet"/>
      <w:lvlText w:val=""/>
      <w:lvlJc w:val="left"/>
      <w:pPr>
        <w:ind w:left="3600" w:hanging="360"/>
      </w:pPr>
      <w:rPr>
        <w:rFonts w:ascii="Wingdings" w:hAnsi="Wingdings" w:hint="default"/>
      </w:rPr>
    </w:lvl>
    <w:lvl w:ilvl="3" w:tplc="6ACC6B0C" w:tentative="1">
      <w:start w:val="1"/>
      <w:numFmt w:val="bullet"/>
      <w:lvlText w:val=""/>
      <w:lvlJc w:val="left"/>
      <w:pPr>
        <w:ind w:left="4320" w:hanging="360"/>
      </w:pPr>
      <w:rPr>
        <w:rFonts w:ascii="Symbol" w:hAnsi="Symbol" w:hint="default"/>
      </w:rPr>
    </w:lvl>
    <w:lvl w:ilvl="4" w:tplc="3CDE5F8C" w:tentative="1">
      <w:start w:val="1"/>
      <w:numFmt w:val="bullet"/>
      <w:lvlText w:val="o"/>
      <w:lvlJc w:val="left"/>
      <w:pPr>
        <w:ind w:left="5040" w:hanging="360"/>
      </w:pPr>
      <w:rPr>
        <w:rFonts w:ascii="Courier New" w:hAnsi="Courier New" w:cs="Courier New" w:hint="default"/>
      </w:rPr>
    </w:lvl>
    <w:lvl w:ilvl="5" w:tplc="0CF096E0" w:tentative="1">
      <w:start w:val="1"/>
      <w:numFmt w:val="bullet"/>
      <w:lvlText w:val=""/>
      <w:lvlJc w:val="left"/>
      <w:pPr>
        <w:ind w:left="5760" w:hanging="360"/>
      </w:pPr>
      <w:rPr>
        <w:rFonts w:ascii="Wingdings" w:hAnsi="Wingdings" w:hint="default"/>
      </w:rPr>
    </w:lvl>
    <w:lvl w:ilvl="6" w:tplc="8E166C5E" w:tentative="1">
      <w:start w:val="1"/>
      <w:numFmt w:val="bullet"/>
      <w:lvlText w:val=""/>
      <w:lvlJc w:val="left"/>
      <w:pPr>
        <w:ind w:left="6480" w:hanging="360"/>
      </w:pPr>
      <w:rPr>
        <w:rFonts w:ascii="Symbol" w:hAnsi="Symbol" w:hint="default"/>
      </w:rPr>
    </w:lvl>
    <w:lvl w:ilvl="7" w:tplc="DA105AC0" w:tentative="1">
      <w:start w:val="1"/>
      <w:numFmt w:val="bullet"/>
      <w:lvlText w:val="o"/>
      <w:lvlJc w:val="left"/>
      <w:pPr>
        <w:ind w:left="7200" w:hanging="360"/>
      </w:pPr>
      <w:rPr>
        <w:rFonts w:ascii="Courier New" w:hAnsi="Courier New" w:cs="Courier New" w:hint="default"/>
      </w:rPr>
    </w:lvl>
    <w:lvl w:ilvl="8" w:tplc="133EAFBC" w:tentative="1">
      <w:start w:val="1"/>
      <w:numFmt w:val="bullet"/>
      <w:lvlText w:val=""/>
      <w:lvlJc w:val="left"/>
      <w:pPr>
        <w:ind w:left="7920" w:hanging="360"/>
      </w:pPr>
      <w:rPr>
        <w:rFonts w:ascii="Wingdings" w:hAnsi="Wingdings" w:hint="default"/>
      </w:rPr>
    </w:lvl>
  </w:abstractNum>
  <w:abstractNum w:abstractNumId="7" w15:restartNumberingAfterBreak="0">
    <w:nsid w:val="1CB513EB"/>
    <w:multiLevelType w:val="hybridMultilevel"/>
    <w:tmpl w:val="C916047E"/>
    <w:lvl w:ilvl="0" w:tplc="12CEA4B6">
      <w:start w:val="1"/>
      <w:numFmt w:val="lowerRoman"/>
      <w:lvlText w:val="%1."/>
      <w:lvlJc w:val="right"/>
      <w:pPr>
        <w:ind w:left="1800" w:hanging="360"/>
      </w:pPr>
      <w:rPr>
        <w:rFonts w:hint="default"/>
      </w:rPr>
    </w:lvl>
    <w:lvl w:ilvl="1" w:tplc="66565A5C" w:tentative="1">
      <w:start w:val="1"/>
      <w:numFmt w:val="lowerLetter"/>
      <w:lvlText w:val="%2."/>
      <w:lvlJc w:val="left"/>
      <w:pPr>
        <w:ind w:left="2520" w:hanging="360"/>
      </w:pPr>
    </w:lvl>
    <w:lvl w:ilvl="2" w:tplc="F9EC7ABC" w:tentative="1">
      <w:start w:val="1"/>
      <w:numFmt w:val="lowerRoman"/>
      <w:lvlText w:val="%3."/>
      <w:lvlJc w:val="right"/>
      <w:pPr>
        <w:ind w:left="3240" w:hanging="180"/>
      </w:pPr>
    </w:lvl>
    <w:lvl w:ilvl="3" w:tplc="0ADCED5A" w:tentative="1">
      <w:start w:val="1"/>
      <w:numFmt w:val="decimal"/>
      <w:lvlText w:val="%4."/>
      <w:lvlJc w:val="left"/>
      <w:pPr>
        <w:ind w:left="3960" w:hanging="360"/>
      </w:pPr>
    </w:lvl>
    <w:lvl w:ilvl="4" w:tplc="5AB438B0" w:tentative="1">
      <w:start w:val="1"/>
      <w:numFmt w:val="lowerLetter"/>
      <w:lvlText w:val="%5."/>
      <w:lvlJc w:val="left"/>
      <w:pPr>
        <w:ind w:left="4680" w:hanging="360"/>
      </w:pPr>
    </w:lvl>
    <w:lvl w:ilvl="5" w:tplc="3A6482AE" w:tentative="1">
      <w:start w:val="1"/>
      <w:numFmt w:val="lowerRoman"/>
      <w:lvlText w:val="%6."/>
      <w:lvlJc w:val="right"/>
      <w:pPr>
        <w:ind w:left="5400" w:hanging="180"/>
      </w:pPr>
    </w:lvl>
    <w:lvl w:ilvl="6" w:tplc="F168EB0E" w:tentative="1">
      <w:start w:val="1"/>
      <w:numFmt w:val="decimal"/>
      <w:lvlText w:val="%7."/>
      <w:lvlJc w:val="left"/>
      <w:pPr>
        <w:ind w:left="6120" w:hanging="360"/>
      </w:pPr>
    </w:lvl>
    <w:lvl w:ilvl="7" w:tplc="326A6A36" w:tentative="1">
      <w:start w:val="1"/>
      <w:numFmt w:val="lowerLetter"/>
      <w:lvlText w:val="%8."/>
      <w:lvlJc w:val="left"/>
      <w:pPr>
        <w:ind w:left="6840" w:hanging="360"/>
      </w:pPr>
    </w:lvl>
    <w:lvl w:ilvl="8" w:tplc="1C8CAE9A" w:tentative="1">
      <w:start w:val="1"/>
      <w:numFmt w:val="lowerRoman"/>
      <w:lvlText w:val="%9."/>
      <w:lvlJc w:val="right"/>
      <w:pPr>
        <w:ind w:left="7560" w:hanging="180"/>
      </w:pPr>
    </w:lvl>
  </w:abstractNum>
  <w:abstractNum w:abstractNumId="8" w15:restartNumberingAfterBreak="0">
    <w:nsid w:val="1E3B72A0"/>
    <w:multiLevelType w:val="hybridMultilevel"/>
    <w:tmpl w:val="C69250AA"/>
    <w:lvl w:ilvl="0" w:tplc="351CCC3E">
      <w:start w:val="657"/>
      <w:numFmt w:val="bullet"/>
      <w:lvlText w:val="-"/>
      <w:lvlJc w:val="left"/>
      <w:pPr>
        <w:ind w:left="460" w:hanging="360"/>
      </w:pPr>
      <w:rPr>
        <w:rFonts w:ascii="Century Schoolbook" w:eastAsia="Century Schoolbook" w:hAnsi="Century Schoolbook" w:cs="Times New Roman" w:hint="default"/>
      </w:rPr>
    </w:lvl>
    <w:lvl w:ilvl="1" w:tplc="21BC8A9E" w:tentative="1">
      <w:start w:val="1"/>
      <w:numFmt w:val="bullet"/>
      <w:lvlText w:val="o"/>
      <w:lvlJc w:val="left"/>
      <w:pPr>
        <w:ind w:left="1180" w:hanging="360"/>
      </w:pPr>
      <w:rPr>
        <w:rFonts w:ascii="Courier New" w:hAnsi="Courier New" w:cs="Courier New" w:hint="default"/>
      </w:rPr>
    </w:lvl>
    <w:lvl w:ilvl="2" w:tplc="65F6E9CE" w:tentative="1">
      <w:start w:val="1"/>
      <w:numFmt w:val="bullet"/>
      <w:lvlText w:val=""/>
      <w:lvlJc w:val="left"/>
      <w:pPr>
        <w:ind w:left="1900" w:hanging="360"/>
      </w:pPr>
      <w:rPr>
        <w:rFonts w:ascii="Wingdings" w:hAnsi="Wingdings" w:hint="default"/>
      </w:rPr>
    </w:lvl>
    <w:lvl w:ilvl="3" w:tplc="42C628FA" w:tentative="1">
      <w:start w:val="1"/>
      <w:numFmt w:val="bullet"/>
      <w:lvlText w:val=""/>
      <w:lvlJc w:val="left"/>
      <w:pPr>
        <w:ind w:left="2620" w:hanging="360"/>
      </w:pPr>
      <w:rPr>
        <w:rFonts w:ascii="Symbol" w:hAnsi="Symbol" w:hint="default"/>
      </w:rPr>
    </w:lvl>
    <w:lvl w:ilvl="4" w:tplc="6A965EEA" w:tentative="1">
      <w:start w:val="1"/>
      <w:numFmt w:val="bullet"/>
      <w:lvlText w:val="o"/>
      <w:lvlJc w:val="left"/>
      <w:pPr>
        <w:ind w:left="3340" w:hanging="360"/>
      </w:pPr>
      <w:rPr>
        <w:rFonts w:ascii="Courier New" w:hAnsi="Courier New" w:cs="Courier New" w:hint="default"/>
      </w:rPr>
    </w:lvl>
    <w:lvl w:ilvl="5" w:tplc="B08A0FA8" w:tentative="1">
      <w:start w:val="1"/>
      <w:numFmt w:val="bullet"/>
      <w:lvlText w:val=""/>
      <w:lvlJc w:val="left"/>
      <w:pPr>
        <w:ind w:left="4060" w:hanging="360"/>
      </w:pPr>
      <w:rPr>
        <w:rFonts w:ascii="Wingdings" w:hAnsi="Wingdings" w:hint="default"/>
      </w:rPr>
    </w:lvl>
    <w:lvl w:ilvl="6" w:tplc="DCB0F88E" w:tentative="1">
      <w:start w:val="1"/>
      <w:numFmt w:val="bullet"/>
      <w:lvlText w:val=""/>
      <w:lvlJc w:val="left"/>
      <w:pPr>
        <w:ind w:left="4780" w:hanging="360"/>
      </w:pPr>
      <w:rPr>
        <w:rFonts w:ascii="Symbol" w:hAnsi="Symbol" w:hint="default"/>
      </w:rPr>
    </w:lvl>
    <w:lvl w:ilvl="7" w:tplc="05D2A51C" w:tentative="1">
      <w:start w:val="1"/>
      <w:numFmt w:val="bullet"/>
      <w:lvlText w:val="o"/>
      <w:lvlJc w:val="left"/>
      <w:pPr>
        <w:ind w:left="5500" w:hanging="360"/>
      </w:pPr>
      <w:rPr>
        <w:rFonts w:ascii="Courier New" w:hAnsi="Courier New" w:cs="Courier New" w:hint="default"/>
      </w:rPr>
    </w:lvl>
    <w:lvl w:ilvl="8" w:tplc="96F0EE0C" w:tentative="1">
      <w:start w:val="1"/>
      <w:numFmt w:val="bullet"/>
      <w:lvlText w:val=""/>
      <w:lvlJc w:val="left"/>
      <w:pPr>
        <w:ind w:left="6220" w:hanging="360"/>
      </w:pPr>
      <w:rPr>
        <w:rFonts w:ascii="Wingdings" w:hAnsi="Wingdings" w:hint="default"/>
      </w:rPr>
    </w:lvl>
  </w:abstractNum>
  <w:abstractNum w:abstractNumId="9" w15:restartNumberingAfterBreak="0">
    <w:nsid w:val="21C534B0"/>
    <w:multiLevelType w:val="hybridMultilevel"/>
    <w:tmpl w:val="F4DE6ED6"/>
    <w:lvl w:ilvl="0" w:tplc="552A834A">
      <w:start w:val="1"/>
      <w:numFmt w:val="bullet"/>
      <w:lvlText w:val="-"/>
      <w:lvlJc w:val="left"/>
      <w:pPr>
        <w:ind w:left="720" w:hanging="360"/>
      </w:pPr>
      <w:rPr>
        <w:rFonts w:ascii="Century Schoolbook" w:eastAsia="Century Schoolbook" w:hAnsi="Century Schoolbook" w:cstheme="minorBidi" w:hint="default"/>
        <w:u w:val="none"/>
      </w:rPr>
    </w:lvl>
    <w:lvl w:ilvl="1" w:tplc="32ECDBE4" w:tentative="1">
      <w:start w:val="1"/>
      <w:numFmt w:val="bullet"/>
      <w:lvlText w:val="o"/>
      <w:lvlJc w:val="left"/>
      <w:pPr>
        <w:ind w:left="1440" w:hanging="360"/>
      </w:pPr>
      <w:rPr>
        <w:rFonts w:ascii="Courier New" w:hAnsi="Courier New" w:cs="Courier New" w:hint="default"/>
      </w:rPr>
    </w:lvl>
    <w:lvl w:ilvl="2" w:tplc="4E4AECB6" w:tentative="1">
      <w:start w:val="1"/>
      <w:numFmt w:val="bullet"/>
      <w:lvlText w:val=""/>
      <w:lvlJc w:val="left"/>
      <w:pPr>
        <w:ind w:left="2160" w:hanging="360"/>
      </w:pPr>
      <w:rPr>
        <w:rFonts w:ascii="Wingdings" w:hAnsi="Wingdings" w:hint="default"/>
      </w:rPr>
    </w:lvl>
    <w:lvl w:ilvl="3" w:tplc="C8AE492C" w:tentative="1">
      <w:start w:val="1"/>
      <w:numFmt w:val="bullet"/>
      <w:lvlText w:val=""/>
      <w:lvlJc w:val="left"/>
      <w:pPr>
        <w:ind w:left="2880" w:hanging="360"/>
      </w:pPr>
      <w:rPr>
        <w:rFonts w:ascii="Symbol" w:hAnsi="Symbol" w:hint="default"/>
      </w:rPr>
    </w:lvl>
    <w:lvl w:ilvl="4" w:tplc="96CA49C4" w:tentative="1">
      <w:start w:val="1"/>
      <w:numFmt w:val="bullet"/>
      <w:lvlText w:val="o"/>
      <w:lvlJc w:val="left"/>
      <w:pPr>
        <w:ind w:left="3600" w:hanging="360"/>
      </w:pPr>
      <w:rPr>
        <w:rFonts w:ascii="Courier New" w:hAnsi="Courier New" w:cs="Courier New" w:hint="default"/>
      </w:rPr>
    </w:lvl>
    <w:lvl w:ilvl="5" w:tplc="3D52E236" w:tentative="1">
      <w:start w:val="1"/>
      <w:numFmt w:val="bullet"/>
      <w:lvlText w:val=""/>
      <w:lvlJc w:val="left"/>
      <w:pPr>
        <w:ind w:left="4320" w:hanging="360"/>
      </w:pPr>
      <w:rPr>
        <w:rFonts w:ascii="Wingdings" w:hAnsi="Wingdings" w:hint="default"/>
      </w:rPr>
    </w:lvl>
    <w:lvl w:ilvl="6" w:tplc="CA781B00" w:tentative="1">
      <w:start w:val="1"/>
      <w:numFmt w:val="bullet"/>
      <w:lvlText w:val=""/>
      <w:lvlJc w:val="left"/>
      <w:pPr>
        <w:ind w:left="5040" w:hanging="360"/>
      </w:pPr>
      <w:rPr>
        <w:rFonts w:ascii="Symbol" w:hAnsi="Symbol" w:hint="default"/>
      </w:rPr>
    </w:lvl>
    <w:lvl w:ilvl="7" w:tplc="3432C1BA" w:tentative="1">
      <w:start w:val="1"/>
      <w:numFmt w:val="bullet"/>
      <w:lvlText w:val="o"/>
      <w:lvlJc w:val="left"/>
      <w:pPr>
        <w:ind w:left="5760" w:hanging="360"/>
      </w:pPr>
      <w:rPr>
        <w:rFonts w:ascii="Courier New" w:hAnsi="Courier New" w:cs="Courier New" w:hint="default"/>
      </w:rPr>
    </w:lvl>
    <w:lvl w:ilvl="8" w:tplc="A626A1EA" w:tentative="1">
      <w:start w:val="1"/>
      <w:numFmt w:val="bullet"/>
      <w:lvlText w:val=""/>
      <w:lvlJc w:val="left"/>
      <w:pPr>
        <w:ind w:left="6480" w:hanging="360"/>
      </w:pPr>
      <w:rPr>
        <w:rFonts w:ascii="Wingdings" w:hAnsi="Wingdings" w:hint="default"/>
      </w:rPr>
    </w:lvl>
  </w:abstractNum>
  <w:abstractNum w:abstractNumId="10" w15:restartNumberingAfterBreak="0">
    <w:nsid w:val="29863D0E"/>
    <w:multiLevelType w:val="hybridMultilevel"/>
    <w:tmpl w:val="F8DE0AFA"/>
    <w:lvl w:ilvl="0" w:tplc="18641028">
      <w:start w:val="2"/>
      <w:numFmt w:val="lowerLetter"/>
      <w:lvlText w:val="%1."/>
      <w:lvlJc w:val="left"/>
      <w:pPr>
        <w:ind w:left="1800" w:hanging="360"/>
      </w:pPr>
      <w:rPr>
        <w:rFonts w:hint="default"/>
      </w:rPr>
    </w:lvl>
    <w:lvl w:ilvl="1" w:tplc="2778A93C" w:tentative="1">
      <w:start w:val="1"/>
      <w:numFmt w:val="lowerLetter"/>
      <w:lvlText w:val="%2."/>
      <w:lvlJc w:val="left"/>
      <w:pPr>
        <w:ind w:left="2520" w:hanging="360"/>
      </w:pPr>
    </w:lvl>
    <w:lvl w:ilvl="2" w:tplc="FCD89696" w:tentative="1">
      <w:start w:val="1"/>
      <w:numFmt w:val="lowerRoman"/>
      <w:lvlText w:val="%3."/>
      <w:lvlJc w:val="right"/>
      <w:pPr>
        <w:ind w:left="3240" w:hanging="180"/>
      </w:pPr>
    </w:lvl>
    <w:lvl w:ilvl="3" w:tplc="625E37D0" w:tentative="1">
      <w:start w:val="1"/>
      <w:numFmt w:val="decimal"/>
      <w:lvlText w:val="%4."/>
      <w:lvlJc w:val="left"/>
      <w:pPr>
        <w:ind w:left="3960" w:hanging="360"/>
      </w:pPr>
    </w:lvl>
    <w:lvl w:ilvl="4" w:tplc="8B3CF032" w:tentative="1">
      <w:start w:val="1"/>
      <w:numFmt w:val="lowerLetter"/>
      <w:lvlText w:val="%5."/>
      <w:lvlJc w:val="left"/>
      <w:pPr>
        <w:ind w:left="4680" w:hanging="360"/>
      </w:pPr>
    </w:lvl>
    <w:lvl w:ilvl="5" w:tplc="49FA5B64" w:tentative="1">
      <w:start w:val="1"/>
      <w:numFmt w:val="lowerRoman"/>
      <w:lvlText w:val="%6."/>
      <w:lvlJc w:val="right"/>
      <w:pPr>
        <w:ind w:left="5400" w:hanging="180"/>
      </w:pPr>
    </w:lvl>
    <w:lvl w:ilvl="6" w:tplc="63BCB9E6" w:tentative="1">
      <w:start w:val="1"/>
      <w:numFmt w:val="decimal"/>
      <w:lvlText w:val="%7."/>
      <w:lvlJc w:val="left"/>
      <w:pPr>
        <w:ind w:left="6120" w:hanging="360"/>
      </w:pPr>
    </w:lvl>
    <w:lvl w:ilvl="7" w:tplc="405EC698" w:tentative="1">
      <w:start w:val="1"/>
      <w:numFmt w:val="lowerLetter"/>
      <w:lvlText w:val="%8."/>
      <w:lvlJc w:val="left"/>
      <w:pPr>
        <w:ind w:left="6840" w:hanging="360"/>
      </w:pPr>
    </w:lvl>
    <w:lvl w:ilvl="8" w:tplc="53C40B58" w:tentative="1">
      <w:start w:val="1"/>
      <w:numFmt w:val="lowerRoman"/>
      <w:lvlText w:val="%9."/>
      <w:lvlJc w:val="right"/>
      <w:pPr>
        <w:ind w:left="7560" w:hanging="180"/>
      </w:pPr>
    </w:lvl>
  </w:abstractNum>
  <w:abstractNum w:abstractNumId="11" w15:restartNumberingAfterBreak="0">
    <w:nsid w:val="2AE37B0E"/>
    <w:multiLevelType w:val="hybridMultilevel"/>
    <w:tmpl w:val="84CAE132"/>
    <w:lvl w:ilvl="0" w:tplc="763406B8">
      <w:numFmt w:val="bullet"/>
      <w:lvlText w:val="-"/>
      <w:lvlJc w:val="left"/>
      <w:pPr>
        <w:ind w:left="1080" w:hanging="360"/>
      </w:pPr>
      <w:rPr>
        <w:rFonts w:ascii="Century Schoolbook" w:eastAsia="Century Schoolbook" w:hAnsi="Century Schoolbook" w:cstheme="minorBidi" w:hint="default"/>
      </w:rPr>
    </w:lvl>
    <w:lvl w:ilvl="1" w:tplc="094E7932" w:tentative="1">
      <w:start w:val="1"/>
      <w:numFmt w:val="bullet"/>
      <w:lvlText w:val="o"/>
      <w:lvlJc w:val="left"/>
      <w:pPr>
        <w:ind w:left="1800" w:hanging="360"/>
      </w:pPr>
      <w:rPr>
        <w:rFonts w:ascii="Courier New" w:hAnsi="Courier New" w:cs="Courier New" w:hint="default"/>
      </w:rPr>
    </w:lvl>
    <w:lvl w:ilvl="2" w:tplc="EE469AFE" w:tentative="1">
      <w:start w:val="1"/>
      <w:numFmt w:val="bullet"/>
      <w:lvlText w:val=""/>
      <w:lvlJc w:val="left"/>
      <w:pPr>
        <w:ind w:left="2520" w:hanging="360"/>
      </w:pPr>
      <w:rPr>
        <w:rFonts w:ascii="Wingdings" w:hAnsi="Wingdings" w:hint="default"/>
      </w:rPr>
    </w:lvl>
    <w:lvl w:ilvl="3" w:tplc="95E02BF8" w:tentative="1">
      <w:start w:val="1"/>
      <w:numFmt w:val="bullet"/>
      <w:lvlText w:val=""/>
      <w:lvlJc w:val="left"/>
      <w:pPr>
        <w:ind w:left="3240" w:hanging="360"/>
      </w:pPr>
      <w:rPr>
        <w:rFonts w:ascii="Symbol" w:hAnsi="Symbol" w:hint="default"/>
      </w:rPr>
    </w:lvl>
    <w:lvl w:ilvl="4" w:tplc="42E80E8E" w:tentative="1">
      <w:start w:val="1"/>
      <w:numFmt w:val="bullet"/>
      <w:lvlText w:val="o"/>
      <w:lvlJc w:val="left"/>
      <w:pPr>
        <w:ind w:left="3960" w:hanging="360"/>
      </w:pPr>
      <w:rPr>
        <w:rFonts w:ascii="Courier New" w:hAnsi="Courier New" w:cs="Courier New" w:hint="default"/>
      </w:rPr>
    </w:lvl>
    <w:lvl w:ilvl="5" w:tplc="99421122" w:tentative="1">
      <w:start w:val="1"/>
      <w:numFmt w:val="bullet"/>
      <w:lvlText w:val=""/>
      <w:lvlJc w:val="left"/>
      <w:pPr>
        <w:ind w:left="4680" w:hanging="360"/>
      </w:pPr>
      <w:rPr>
        <w:rFonts w:ascii="Wingdings" w:hAnsi="Wingdings" w:hint="default"/>
      </w:rPr>
    </w:lvl>
    <w:lvl w:ilvl="6" w:tplc="B6B4956E" w:tentative="1">
      <w:start w:val="1"/>
      <w:numFmt w:val="bullet"/>
      <w:lvlText w:val=""/>
      <w:lvlJc w:val="left"/>
      <w:pPr>
        <w:ind w:left="5400" w:hanging="360"/>
      </w:pPr>
      <w:rPr>
        <w:rFonts w:ascii="Symbol" w:hAnsi="Symbol" w:hint="default"/>
      </w:rPr>
    </w:lvl>
    <w:lvl w:ilvl="7" w:tplc="10225040" w:tentative="1">
      <w:start w:val="1"/>
      <w:numFmt w:val="bullet"/>
      <w:lvlText w:val="o"/>
      <w:lvlJc w:val="left"/>
      <w:pPr>
        <w:ind w:left="6120" w:hanging="360"/>
      </w:pPr>
      <w:rPr>
        <w:rFonts w:ascii="Courier New" w:hAnsi="Courier New" w:cs="Courier New" w:hint="default"/>
      </w:rPr>
    </w:lvl>
    <w:lvl w:ilvl="8" w:tplc="216A4C46" w:tentative="1">
      <w:start w:val="1"/>
      <w:numFmt w:val="bullet"/>
      <w:lvlText w:val=""/>
      <w:lvlJc w:val="left"/>
      <w:pPr>
        <w:ind w:left="6840" w:hanging="360"/>
      </w:pPr>
      <w:rPr>
        <w:rFonts w:ascii="Wingdings" w:hAnsi="Wingdings" w:hint="default"/>
      </w:rPr>
    </w:lvl>
  </w:abstractNum>
  <w:abstractNum w:abstractNumId="12" w15:restartNumberingAfterBreak="0">
    <w:nsid w:val="2EB87B22"/>
    <w:multiLevelType w:val="hybridMultilevel"/>
    <w:tmpl w:val="811A3FCE"/>
    <w:lvl w:ilvl="0" w:tplc="1C569612">
      <w:start w:val="1"/>
      <w:numFmt w:val="lowerLetter"/>
      <w:lvlText w:val="%1."/>
      <w:lvlJc w:val="left"/>
      <w:pPr>
        <w:ind w:left="1800" w:hanging="360"/>
      </w:pPr>
      <w:rPr>
        <w:rFonts w:hint="default"/>
      </w:rPr>
    </w:lvl>
    <w:lvl w:ilvl="1" w:tplc="98069110" w:tentative="1">
      <w:start w:val="1"/>
      <w:numFmt w:val="lowerLetter"/>
      <w:lvlText w:val="%2."/>
      <w:lvlJc w:val="left"/>
      <w:pPr>
        <w:ind w:left="2520" w:hanging="360"/>
      </w:pPr>
    </w:lvl>
    <w:lvl w:ilvl="2" w:tplc="8A70524A" w:tentative="1">
      <w:start w:val="1"/>
      <w:numFmt w:val="lowerRoman"/>
      <w:lvlText w:val="%3."/>
      <w:lvlJc w:val="right"/>
      <w:pPr>
        <w:ind w:left="3240" w:hanging="180"/>
      </w:pPr>
    </w:lvl>
    <w:lvl w:ilvl="3" w:tplc="5FFCA7F0" w:tentative="1">
      <w:start w:val="1"/>
      <w:numFmt w:val="decimal"/>
      <w:lvlText w:val="%4."/>
      <w:lvlJc w:val="left"/>
      <w:pPr>
        <w:ind w:left="3960" w:hanging="360"/>
      </w:pPr>
    </w:lvl>
    <w:lvl w:ilvl="4" w:tplc="29E6A8AA" w:tentative="1">
      <w:start w:val="1"/>
      <w:numFmt w:val="lowerLetter"/>
      <w:lvlText w:val="%5."/>
      <w:lvlJc w:val="left"/>
      <w:pPr>
        <w:ind w:left="4680" w:hanging="360"/>
      </w:pPr>
    </w:lvl>
    <w:lvl w:ilvl="5" w:tplc="176CD9FA" w:tentative="1">
      <w:start w:val="1"/>
      <w:numFmt w:val="lowerRoman"/>
      <w:lvlText w:val="%6."/>
      <w:lvlJc w:val="right"/>
      <w:pPr>
        <w:ind w:left="5400" w:hanging="180"/>
      </w:pPr>
    </w:lvl>
    <w:lvl w:ilvl="6" w:tplc="E4983EC0" w:tentative="1">
      <w:start w:val="1"/>
      <w:numFmt w:val="decimal"/>
      <w:lvlText w:val="%7."/>
      <w:lvlJc w:val="left"/>
      <w:pPr>
        <w:ind w:left="6120" w:hanging="360"/>
      </w:pPr>
    </w:lvl>
    <w:lvl w:ilvl="7" w:tplc="DE50272A" w:tentative="1">
      <w:start w:val="1"/>
      <w:numFmt w:val="lowerLetter"/>
      <w:lvlText w:val="%8."/>
      <w:lvlJc w:val="left"/>
      <w:pPr>
        <w:ind w:left="6840" w:hanging="360"/>
      </w:pPr>
    </w:lvl>
    <w:lvl w:ilvl="8" w:tplc="E254680A" w:tentative="1">
      <w:start w:val="1"/>
      <w:numFmt w:val="lowerRoman"/>
      <w:lvlText w:val="%9."/>
      <w:lvlJc w:val="right"/>
      <w:pPr>
        <w:ind w:left="7560" w:hanging="180"/>
      </w:pPr>
    </w:lvl>
  </w:abstractNum>
  <w:abstractNum w:abstractNumId="13" w15:restartNumberingAfterBreak="0">
    <w:nsid w:val="32312CBB"/>
    <w:multiLevelType w:val="hybridMultilevel"/>
    <w:tmpl w:val="C77A2006"/>
    <w:lvl w:ilvl="0" w:tplc="8FEAAB9E">
      <w:start w:val="1"/>
      <w:numFmt w:val="upperLetter"/>
      <w:lvlText w:val="%1."/>
      <w:lvlJc w:val="left"/>
      <w:pPr>
        <w:ind w:left="1120" w:hanging="400"/>
      </w:pPr>
      <w:rPr>
        <w:rFonts w:hint="default"/>
        <w:u w:val="none"/>
      </w:rPr>
    </w:lvl>
    <w:lvl w:ilvl="1" w:tplc="3B1858F6">
      <w:start w:val="1"/>
      <w:numFmt w:val="decimal"/>
      <w:lvlText w:val="%2."/>
      <w:lvlJc w:val="left"/>
      <w:pPr>
        <w:ind w:left="1800" w:hanging="360"/>
      </w:pPr>
      <w:rPr>
        <w:i w:val="0"/>
        <w:iCs/>
      </w:rPr>
    </w:lvl>
    <w:lvl w:ilvl="2" w:tplc="33268AB6">
      <w:start w:val="1"/>
      <w:numFmt w:val="lowerRoman"/>
      <w:lvlText w:val="%3."/>
      <w:lvlJc w:val="right"/>
      <w:pPr>
        <w:ind w:left="2520" w:hanging="180"/>
      </w:pPr>
    </w:lvl>
    <w:lvl w:ilvl="3" w:tplc="ED64BF9C">
      <w:start w:val="1"/>
      <w:numFmt w:val="lowerRoman"/>
      <w:lvlText w:val="%4."/>
      <w:lvlJc w:val="right"/>
      <w:pPr>
        <w:ind w:left="3240" w:hanging="360"/>
      </w:pPr>
    </w:lvl>
    <w:lvl w:ilvl="4" w:tplc="3DE04164">
      <w:start w:val="1"/>
      <w:numFmt w:val="lowerLetter"/>
      <w:lvlText w:val="%5."/>
      <w:lvlJc w:val="left"/>
      <w:pPr>
        <w:ind w:left="3960" w:hanging="360"/>
      </w:pPr>
    </w:lvl>
    <w:lvl w:ilvl="5" w:tplc="1F5213FE" w:tentative="1">
      <w:start w:val="1"/>
      <w:numFmt w:val="lowerRoman"/>
      <w:lvlText w:val="%6."/>
      <w:lvlJc w:val="right"/>
      <w:pPr>
        <w:ind w:left="4680" w:hanging="180"/>
      </w:pPr>
    </w:lvl>
    <w:lvl w:ilvl="6" w:tplc="41583B2A" w:tentative="1">
      <w:start w:val="1"/>
      <w:numFmt w:val="decimal"/>
      <w:lvlText w:val="%7."/>
      <w:lvlJc w:val="left"/>
      <w:pPr>
        <w:ind w:left="5400" w:hanging="360"/>
      </w:pPr>
    </w:lvl>
    <w:lvl w:ilvl="7" w:tplc="39C4A59A" w:tentative="1">
      <w:start w:val="1"/>
      <w:numFmt w:val="lowerLetter"/>
      <w:lvlText w:val="%8."/>
      <w:lvlJc w:val="left"/>
      <w:pPr>
        <w:ind w:left="6120" w:hanging="360"/>
      </w:pPr>
    </w:lvl>
    <w:lvl w:ilvl="8" w:tplc="8FF8BA76" w:tentative="1">
      <w:start w:val="1"/>
      <w:numFmt w:val="lowerRoman"/>
      <w:lvlText w:val="%9."/>
      <w:lvlJc w:val="right"/>
      <w:pPr>
        <w:ind w:left="6840" w:hanging="180"/>
      </w:pPr>
    </w:lvl>
  </w:abstractNum>
  <w:abstractNum w:abstractNumId="14" w15:restartNumberingAfterBreak="0">
    <w:nsid w:val="3AC2646F"/>
    <w:multiLevelType w:val="hybridMultilevel"/>
    <w:tmpl w:val="A184AB9C"/>
    <w:lvl w:ilvl="0" w:tplc="B9AEBC74">
      <w:start w:val="1"/>
      <w:numFmt w:val="lowerRoman"/>
      <w:lvlText w:val="%1."/>
      <w:lvlJc w:val="right"/>
      <w:pPr>
        <w:ind w:left="1800" w:hanging="360"/>
      </w:pPr>
      <w:rPr>
        <w:rFonts w:hint="default"/>
      </w:rPr>
    </w:lvl>
    <w:lvl w:ilvl="1" w:tplc="468AA574" w:tentative="1">
      <w:start w:val="1"/>
      <w:numFmt w:val="lowerLetter"/>
      <w:lvlText w:val="%2."/>
      <w:lvlJc w:val="left"/>
      <w:pPr>
        <w:ind w:left="2520" w:hanging="360"/>
      </w:pPr>
    </w:lvl>
    <w:lvl w:ilvl="2" w:tplc="E0E6745C" w:tentative="1">
      <w:start w:val="1"/>
      <w:numFmt w:val="lowerRoman"/>
      <w:lvlText w:val="%3."/>
      <w:lvlJc w:val="right"/>
      <w:pPr>
        <w:ind w:left="3240" w:hanging="180"/>
      </w:pPr>
    </w:lvl>
    <w:lvl w:ilvl="3" w:tplc="842E6F0A" w:tentative="1">
      <w:start w:val="1"/>
      <w:numFmt w:val="decimal"/>
      <w:lvlText w:val="%4."/>
      <w:lvlJc w:val="left"/>
      <w:pPr>
        <w:ind w:left="3960" w:hanging="360"/>
      </w:pPr>
    </w:lvl>
    <w:lvl w:ilvl="4" w:tplc="3D36D48A" w:tentative="1">
      <w:start w:val="1"/>
      <w:numFmt w:val="lowerLetter"/>
      <w:lvlText w:val="%5."/>
      <w:lvlJc w:val="left"/>
      <w:pPr>
        <w:ind w:left="4680" w:hanging="360"/>
      </w:pPr>
    </w:lvl>
    <w:lvl w:ilvl="5" w:tplc="3450679C" w:tentative="1">
      <w:start w:val="1"/>
      <w:numFmt w:val="lowerRoman"/>
      <w:lvlText w:val="%6."/>
      <w:lvlJc w:val="right"/>
      <w:pPr>
        <w:ind w:left="5400" w:hanging="180"/>
      </w:pPr>
    </w:lvl>
    <w:lvl w:ilvl="6" w:tplc="3FF8910E" w:tentative="1">
      <w:start w:val="1"/>
      <w:numFmt w:val="decimal"/>
      <w:lvlText w:val="%7."/>
      <w:lvlJc w:val="left"/>
      <w:pPr>
        <w:ind w:left="6120" w:hanging="360"/>
      </w:pPr>
    </w:lvl>
    <w:lvl w:ilvl="7" w:tplc="32DC6A54" w:tentative="1">
      <w:start w:val="1"/>
      <w:numFmt w:val="lowerLetter"/>
      <w:lvlText w:val="%8."/>
      <w:lvlJc w:val="left"/>
      <w:pPr>
        <w:ind w:left="6840" w:hanging="360"/>
      </w:pPr>
    </w:lvl>
    <w:lvl w:ilvl="8" w:tplc="96688C4E" w:tentative="1">
      <w:start w:val="1"/>
      <w:numFmt w:val="lowerRoman"/>
      <w:lvlText w:val="%9."/>
      <w:lvlJc w:val="right"/>
      <w:pPr>
        <w:ind w:left="7560" w:hanging="180"/>
      </w:pPr>
    </w:lvl>
  </w:abstractNum>
  <w:abstractNum w:abstractNumId="15" w15:restartNumberingAfterBreak="0">
    <w:nsid w:val="3E881F13"/>
    <w:multiLevelType w:val="hybridMultilevel"/>
    <w:tmpl w:val="BD0C06D0"/>
    <w:lvl w:ilvl="0" w:tplc="7526CB3A">
      <w:start w:val="23"/>
      <w:numFmt w:val="upperLetter"/>
      <w:lvlText w:val="%1."/>
      <w:lvlJc w:val="left"/>
      <w:pPr>
        <w:ind w:left="120" w:hanging="386"/>
      </w:pPr>
      <w:rPr>
        <w:rFonts w:ascii="Century Schoolbook" w:eastAsia="Century Schoolbook" w:hAnsi="Century Schoolbook" w:hint="default"/>
        <w:i/>
        <w:w w:val="100"/>
        <w:sz w:val="26"/>
        <w:szCs w:val="26"/>
      </w:rPr>
    </w:lvl>
    <w:lvl w:ilvl="1" w:tplc="076AC23C">
      <w:start w:val="2"/>
      <w:numFmt w:val="upperLetter"/>
      <w:lvlText w:val="%2."/>
      <w:lvlJc w:val="left"/>
      <w:pPr>
        <w:ind w:left="1541" w:hanging="720"/>
      </w:pPr>
      <w:rPr>
        <w:rFonts w:ascii="Century Schoolbook" w:eastAsia="Century Schoolbook" w:hAnsi="Century Schoolbook" w:hint="default"/>
        <w:b/>
        <w:bCs/>
        <w:w w:val="100"/>
        <w:sz w:val="26"/>
        <w:szCs w:val="26"/>
      </w:rPr>
    </w:lvl>
    <w:lvl w:ilvl="2" w:tplc="0ABC50F2">
      <w:start w:val="1"/>
      <w:numFmt w:val="decimal"/>
      <w:lvlText w:val="%3."/>
      <w:lvlJc w:val="left"/>
      <w:pPr>
        <w:ind w:left="1900" w:hanging="795"/>
      </w:pPr>
      <w:rPr>
        <w:rFonts w:ascii="Century Schoolbook" w:eastAsia="Century Schoolbook" w:hAnsi="Century Schoolbook" w:hint="default"/>
        <w:b/>
        <w:bCs/>
        <w:w w:val="100"/>
        <w:sz w:val="26"/>
        <w:szCs w:val="26"/>
      </w:rPr>
    </w:lvl>
    <w:lvl w:ilvl="3" w:tplc="A7D29418">
      <w:start w:val="1"/>
      <w:numFmt w:val="bullet"/>
      <w:lvlText w:val="•"/>
      <w:lvlJc w:val="left"/>
      <w:pPr>
        <w:ind w:left="2765" w:hanging="795"/>
      </w:pPr>
      <w:rPr>
        <w:rFonts w:hint="default"/>
      </w:rPr>
    </w:lvl>
    <w:lvl w:ilvl="4" w:tplc="D592B9EA">
      <w:start w:val="1"/>
      <w:numFmt w:val="bullet"/>
      <w:lvlText w:val="•"/>
      <w:lvlJc w:val="left"/>
      <w:pPr>
        <w:ind w:left="3630" w:hanging="795"/>
      </w:pPr>
      <w:rPr>
        <w:rFonts w:hint="default"/>
      </w:rPr>
    </w:lvl>
    <w:lvl w:ilvl="5" w:tplc="DA6847BA">
      <w:start w:val="1"/>
      <w:numFmt w:val="bullet"/>
      <w:lvlText w:val="•"/>
      <w:lvlJc w:val="left"/>
      <w:pPr>
        <w:ind w:left="4495" w:hanging="795"/>
      </w:pPr>
      <w:rPr>
        <w:rFonts w:hint="default"/>
      </w:rPr>
    </w:lvl>
    <w:lvl w:ilvl="6" w:tplc="1578F4AC">
      <w:start w:val="1"/>
      <w:numFmt w:val="bullet"/>
      <w:lvlText w:val="•"/>
      <w:lvlJc w:val="left"/>
      <w:pPr>
        <w:ind w:left="5360" w:hanging="795"/>
      </w:pPr>
      <w:rPr>
        <w:rFonts w:hint="default"/>
      </w:rPr>
    </w:lvl>
    <w:lvl w:ilvl="7" w:tplc="1932D662">
      <w:start w:val="1"/>
      <w:numFmt w:val="bullet"/>
      <w:lvlText w:val="•"/>
      <w:lvlJc w:val="left"/>
      <w:pPr>
        <w:ind w:left="6225" w:hanging="795"/>
      </w:pPr>
      <w:rPr>
        <w:rFonts w:hint="default"/>
      </w:rPr>
    </w:lvl>
    <w:lvl w:ilvl="8" w:tplc="FC18EEBE">
      <w:start w:val="1"/>
      <w:numFmt w:val="bullet"/>
      <w:lvlText w:val="•"/>
      <w:lvlJc w:val="left"/>
      <w:pPr>
        <w:ind w:left="7090" w:hanging="795"/>
      </w:pPr>
      <w:rPr>
        <w:rFonts w:hint="default"/>
      </w:rPr>
    </w:lvl>
  </w:abstractNum>
  <w:abstractNum w:abstractNumId="16" w15:restartNumberingAfterBreak="0">
    <w:nsid w:val="3EA749F5"/>
    <w:multiLevelType w:val="hybridMultilevel"/>
    <w:tmpl w:val="FA7853F2"/>
    <w:lvl w:ilvl="0" w:tplc="5B7E67F4">
      <w:start w:val="16"/>
      <w:numFmt w:val="upperLetter"/>
      <w:lvlText w:val="%1."/>
      <w:lvlJc w:val="left"/>
      <w:pPr>
        <w:ind w:left="438" w:hanging="318"/>
      </w:pPr>
      <w:rPr>
        <w:rFonts w:ascii="Century Schoolbook" w:eastAsia="Century Schoolbook" w:hAnsi="Century Schoolbook" w:hint="default"/>
        <w:i/>
        <w:w w:val="100"/>
        <w:sz w:val="26"/>
        <w:szCs w:val="26"/>
      </w:rPr>
    </w:lvl>
    <w:lvl w:ilvl="1" w:tplc="58AC29FC">
      <w:start w:val="3"/>
      <w:numFmt w:val="upperLetter"/>
      <w:lvlText w:val="%2."/>
      <w:lvlJc w:val="left"/>
      <w:pPr>
        <w:ind w:left="1540" w:hanging="720"/>
      </w:pPr>
      <w:rPr>
        <w:rFonts w:ascii="Century Schoolbook" w:eastAsia="Century Schoolbook" w:hAnsi="Century Schoolbook" w:hint="default"/>
        <w:b/>
        <w:bCs/>
        <w:w w:val="100"/>
        <w:sz w:val="26"/>
        <w:szCs w:val="26"/>
      </w:rPr>
    </w:lvl>
    <w:lvl w:ilvl="2" w:tplc="23D65568">
      <w:start w:val="1"/>
      <w:numFmt w:val="decimal"/>
      <w:lvlText w:val="%3."/>
      <w:lvlJc w:val="left"/>
      <w:pPr>
        <w:ind w:left="1974" w:hanging="435"/>
      </w:pPr>
      <w:rPr>
        <w:rFonts w:ascii="Century Schoolbook" w:eastAsia="Century Schoolbook" w:hAnsi="Century Schoolbook" w:hint="default"/>
        <w:b/>
        <w:bCs/>
        <w:w w:val="100"/>
        <w:sz w:val="26"/>
        <w:szCs w:val="26"/>
      </w:rPr>
    </w:lvl>
    <w:lvl w:ilvl="3" w:tplc="0344AF04">
      <w:start w:val="1"/>
      <w:numFmt w:val="bullet"/>
      <w:lvlText w:val="•"/>
      <w:lvlJc w:val="left"/>
      <w:pPr>
        <w:ind w:left="2835" w:hanging="435"/>
      </w:pPr>
      <w:rPr>
        <w:rFonts w:hint="default"/>
      </w:rPr>
    </w:lvl>
    <w:lvl w:ilvl="4" w:tplc="9FF86B0E">
      <w:start w:val="1"/>
      <w:numFmt w:val="bullet"/>
      <w:lvlText w:val="•"/>
      <w:lvlJc w:val="left"/>
      <w:pPr>
        <w:ind w:left="3690" w:hanging="435"/>
      </w:pPr>
      <w:rPr>
        <w:rFonts w:hint="default"/>
      </w:rPr>
    </w:lvl>
    <w:lvl w:ilvl="5" w:tplc="970C245A">
      <w:start w:val="1"/>
      <w:numFmt w:val="bullet"/>
      <w:lvlText w:val="•"/>
      <w:lvlJc w:val="left"/>
      <w:pPr>
        <w:ind w:left="4545" w:hanging="435"/>
      </w:pPr>
      <w:rPr>
        <w:rFonts w:hint="default"/>
      </w:rPr>
    </w:lvl>
    <w:lvl w:ilvl="6" w:tplc="D6D2EE7A">
      <w:start w:val="1"/>
      <w:numFmt w:val="bullet"/>
      <w:lvlText w:val="•"/>
      <w:lvlJc w:val="left"/>
      <w:pPr>
        <w:ind w:left="5400" w:hanging="435"/>
      </w:pPr>
      <w:rPr>
        <w:rFonts w:hint="default"/>
      </w:rPr>
    </w:lvl>
    <w:lvl w:ilvl="7" w:tplc="87B803FE">
      <w:start w:val="1"/>
      <w:numFmt w:val="bullet"/>
      <w:lvlText w:val="•"/>
      <w:lvlJc w:val="left"/>
      <w:pPr>
        <w:ind w:left="6255" w:hanging="435"/>
      </w:pPr>
      <w:rPr>
        <w:rFonts w:hint="default"/>
      </w:rPr>
    </w:lvl>
    <w:lvl w:ilvl="8" w:tplc="8CAC32EE">
      <w:start w:val="1"/>
      <w:numFmt w:val="bullet"/>
      <w:lvlText w:val="•"/>
      <w:lvlJc w:val="left"/>
      <w:pPr>
        <w:ind w:left="7110" w:hanging="435"/>
      </w:pPr>
      <w:rPr>
        <w:rFonts w:hint="default"/>
      </w:rPr>
    </w:lvl>
  </w:abstractNum>
  <w:abstractNum w:abstractNumId="17" w15:restartNumberingAfterBreak="0">
    <w:nsid w:val="42A612E2"/>
    <w:multiLevelType w:val="hybridMultilevel"/>
    <w:tmpl w:val="42E603CE"/>
    <w:lvl w:ilvl="0" w:tplc="B7B4FB32">
      <w:start w:val="1"/>
      <w:numFmt w:val="decimal"/>
      <w:lvlText w:val="%1."/>
      <w:lvlJc w:val="left"/>
      <w:pPr>
        <w:ind w:left="1800" w:hanging="360"/>
      </w:pPr>
      <w:rPr>
        <w:i w:val="0"/>
        <w:iCs/>
      </w:rPr>
    </w:lvl>
    <w:lvl w:ilvl="1" w:tplc="5F4A1FDC" w:tentative="1">
      <w:start w:val="1"/>
      <w:numFmt w:val="lowerLetter"/>
      <w:lvlText w:val="%2."/>
      <w:lvlJc w:val="left"/>
      <w:pPr>
        <w:ind w:left="1440" w:hanging="360"/>
      </w:pPr>
    </w:lvl>
    <w:lvl w:ilvl="2" w:tplc="BEEA894A" w:tentative="1">
      <w:start w:val="1"/>
      <w:numFmt w:val="lowerRoman"/>
      <w:lvlText w:val="%3."/>
      <w:lvlJc w:val="right"/>
      <w:pPr>
        <w:ind w:left="2160" w:hanging="180"/>
      </w:pPr>
    </w:lvl>
    <w:lvl w:ilvl="3" w:tplc="6EDC91D8" w:tentative="1">
      <w:start w:val="1"/>
      <w:numFmt w:val="decimal"/>
      <w:lvlText w:val="%4."/>
      <w:lvlJc w:val="left"/>
      <w:pPr>
        <w:ind w:left="2880" w:hanging="360"/>
      </w:pPr>
    </w:lvl>
    <w:lvl w:ilvl="4" w:tplc="ABD212F0" w:tentative="1">
      <w:start w:val="1"/>
      <w:numFmt w:val="lowerLetter"/>
      <w:lvlText w:val="%5."/>
      <w:lvlJc w:val="left"/>
      <w:pPr>
        <w:ind w:left="3600" w:hanging="360"/>
      </w:pPr>
    </w:lvl>
    <w:lvl w:ilvl="5" w:tplc="C1CC4A2C" w:tentative="1">
      <w:start w:val="1"/>
      <w:numFmt w:val="lowerRoman"/>
      <w:lvlText w:val="%6."/>
      <w:lvlJc w:val="right"/>
      <w:pPr>
        <w:ind w:left="4320" w:hanging="180"/>
      </w:pPr>
    </w:lvl>
    <w:lvl w:ilvl="6" w:tplc="1034170C" w:tentative="1">
      <w:start w:val="1"/>
      <w:numFmt w:val="decimal"/>
      <w:lvlText w:val="%7."/>
      <w:lvlJc w:val="left"/>
      <w:pPr>
        <w:ind w:left="5040" w:hanging="360"/>
      </w:pPr>
    </w:lvl>
    <w:lvl w:ilvl="7" w:tplc="6FFEBB94" w:tentative="1">
      <w:start w:val="1"/>
      <w:numFmt w:val="lowerLetter"/>
      <w:lvlText w:val="%8."/>
      <w:lvlJc w:val="left"/>
      <w:pPr>
        <w:ind w:left="5760" w:hanging="360"/>
      </w:pPr>
    </w:lvl>
    <w:lvl w:ilvl="8" w:tplc="D20480BC" w:tentative="1">
      <w:start w:val="1"/>
      <w:numFmt w:val="lowerRoman"/>
      <w:lvlText w:val="%9."/>
      <w:lvlJc w:val="right"/>
      <w:pPr>
        <w:ind w:left="6480" w:hanging="180"/>
      </w:pPr>
    </w:lvl>
  </w:abstractNum>
  <w:abstractNum w:abstractNumId="18" w15:restartNumberingAfterBreak="0">
    <w:nsid w:val="43DC11C3"/>
    <w:multiLevelType w:val="hybridMultilevel"/>
    <w:tmpl w:val="5354303A"/>
    <w:lvl w:ilvl="0" w:tplc="DDBAD8D4">
      <w:start w:val="1"/>
      <w:numFmt w:val="decimal"/>
      <w:lvlText w:val="%1."/>
      <w:lvlJc w:val="left"/>
      <w:pPr>
        <w:ind w:left="1891" w:hanging="333"/>
      </w:pPr>
      <w:rPr>
        <w:rFonts w:ascii="Century Schoolbook" w:eastAsia="Century Schoolbook" w:hAnsi="Century Schoolbook" w:hint="default"/>
        <w:w w:val="100"/>
        <w:sz w:val="26"/>
        <w:szCs w:val="26"/>
      </w:rPr>
    </w:lvl>
    <w:lvl w:ilvl="1" w:tplc="E390AE68">
      <w:start w:val="1"/>
      <w:numFmt w:val="bullet"/>
      <w:lvlText w:val="•"/>
      <w:lvlJc w:val="left"/>
      <w:pPr>
        <w:ind w:left="2598" w:hanging="333"/>
      </w:pPr>
      <w:rPr>
        <w:rFonts w:hint="default"/>
      </w:rPr>
    </w:lvl>
    <w:lvl w:ilvl="2" w:tplc="6E1A504C">
      <w:start w:val="1"/>
      <w:numFmt w:val="bullet"/>
      <w:lvlText w:val="•"/>
      <w:lvlJc w:val="left"/>
      <w:pPr>
        <w:ind w:left="3296" w:hanging="333"/>
      </w:pPr>
      <w:rPr>
        <w:rFonts w:hint="default"/>
      </w:rPr>
    </w:lvl>
    <w:lvl w:ilvl="3" w:tplc="06DA31AE">
      <w:start w:val="1"/>
      <w:numFmt w:val="bullet"/>
      <w:lvlText w:val="•"/>
      <w:lvlJc w:val="left"/>
      <w:pPr>
        <w:ind w:left="3994" w:hanging="333"/>
      </w:pPr>
      <w:rPr>
        <w:rFonts w:hint="default"/>
      </w:rPr>
    </w:lvl>
    <w:lvl w:ilvl="4" w:tplc="51A0EDA2">
      <w:start w:val="1"/>
      <w:numFmt w:val="bullet"/>
      <w:lvlText w:val="•"/>
      <w:lvlJc w:val="left"/>
      <w:pPr>
        <w:ind w:left="4692" w:hanging="333"/>
      </w:pPr>
      <w:rPr>
        <w:rFonts w:hint="default"/>
      </w:rPr>
    </w:lvl>
    <w:lvl w:ilvl="5" w:tplc="E6503330">
      <w:start w:val="1"/>
      <w:numFmt w:val="bullet"/>
      <w:lvlText w:val="•"/>
      <w:lvlJc w:val="left"/>
      <w:pPr>
        <w:ind w:left="5390" w:hanging="333"/>
      </w:pPr>
      <w:rPr>
        <w:rFonts w:hint="default"/>
      </w:rPr>
    </w:lvl>
    <w:lvl w:ilvl="6" w:tplc="FEAA7080">
      <w:start w:val="1"/>
      <w:numFmt w:val="bullet"/>
      <w:lvlText w:val="•"/>
      <w:lvlJc w:val="left"/>
      <w:pPr>
        <w:ind w:left="6088" w:hanging="333"/>
      </w:pPr>
      <w:rPr>
        <w:rFonts w:hint="default"/>
      </w:rPr>
    </w:lvl>
    <w:lvl w:ilvl="7" w:tplc="6CCA1D7A">
      <w:start w:val="1"/>
      <w:numFmt w:val="bullet"/>
      <w:lvlText w:val="•"/>
      <w:lvlJc w:val="left"/>
      <w:pPr>
        <w:ind w:left="6786" w:hanging="333"/>
      </w:pPr>
      <w:rPr>
        <w:rFonts w:hint="default"/>
      </w:rPr>
    </w:lvl>
    <w:lvl w:ilvl="8" w:tplc="43847CBA">
      <w:start w:val="1"/>
      <w:numFmt w:val="bullet"/>
      <w:lvlText w:val="•"/>
      <w:lvlJc w:val="left"/>
      <w:pPr>
        <w:ind w:left="7484" w:hanging="333"/>
      </w:pPr>
      <w:rPr>
        <w:rFonts w:hint="default"/>
      </w:rPr>
    </w:lvl>
  </w:abstractNum>
  <w:abstractNum w:abstractNumId="19" w15:restartNumberingAfterBreak="0">
    <w:nsid w:val="537456C3"/>
    <w:multiLevelType w:val="hybridMultilevel"/>
    <w:tmpl w:val="73F61B40"/>
    <w:lvl w:ilvl="0" w:tplc="CF348C0E">
      <w:start w:val="1"/>
      <w:numFmt w:val="upperLetter"/>
      <w:lvlText w:val="%1."/>
      <w:lvlJc w:val="left"/>
      <w:pPr>
        <w:ind w:left="1120" w:hanging="400"/>
      </w:pPr>
      <w:rPr>
        <w:rFonts w:hint="default"/>
        <w:u w:val="none"/>
      </w:rPr>
    </w:lvl>
    <w:lvl w:ilvl="1" w:tplc="7FAC8C5E">
      <w:start w:val="1"/>
      <w:numFmt w:val="decimal"/>
      <w:lvlText w:val="%2."/>
      <w:lvlJc w:val="left"/>
      <w:pPr>
        <w:ind w:left="1800" w:hanging="360"/>
      </w:pPr>
      <w:rPr>
        <w:i w:val="0"/>
        <w:iCs/>
      </w:rPr>
    </w:lvl>
    <w:lvl w:ilvl="2" w:tplc="9B800AC8">
      <w:start w:val="1"/>
      <w:numFmt w:val="lowerRoman"/>
      <w:lvlText w:val="%3."/>
      <w:lvlJc w:val="right"/>
      <w:pPr>
        <w:ind w:left="2520" w:hanging="180"/>
      </w:pPr>
    </w:lvl>
    <w:lvl w:ilvl="3" w:tplc="0BBC8A02">
      <w:start w:val="1"/>
      <w:numFmt w:val="lowerRoman"/>
      <w:lvlText w:val="%4."/>
      <w:lvlJc w:val="right"/>
      <w:pPr>
        <w:ind w:left="3240" w:hanging="360"/>
      </w:pPr>
    </w:lvl>
    <w:lvl w:ilvl="4" w:tplc="EAAECD2C">
      <w:start w:val="1"/>
      <w:numFmt w:val="lowerLetter"/>
      <w:lvlText w:val="%5."/>
      <w:lvlJc w:val="left"/>
      <w:pPr>
        <w:ind w:left="3960" w:hanging="360"/>
      </w:pPr>
    </w:lvl>
    <w:lvl w:ilvl="5" w:tplc="98F803C6" w:tentative="1">
      <w:start w:val="1"/>
      <w:numFmt w:val="lowerRoman"/>
      <w:lvlText w:val="%6."/>
      <w:lvlJc w:val="right"/>
      <w:pPr>
        <w:ind w:left="4680" w:hanging="180"/>
      </w:pPr>
    </w:lvl>
    <w:lvl w:ilvl="6" w:tplc="FBC8BB60" w:tentative="1">
      <w:start w:val="1"/>
      <w:numFmt w:val="decimal"/>
      <w:lvlText w:val="%7."/>
      <w:lvlJc w:val="left"/>
      <w:pPr>
        <w:ind w:left="5400" w:hanging="360"/>
      </w:pPr>
    </w:lvl>
    <w:lvl w:ilvl="7" w:tplc="0AE42BAE" w:tentative="1">
      <w:start w:val="1"/>
      <w:numFmt w:val="lowerLetter"/>
      <w:lvlText w:val="%8."/>
      <w:lvlJc w:val="left"/>
      <w:pPr>
        <w:ind w:left="6120" w:hanging="360"/>
      </w:pPr>
    </w:lvl>
    <w:lvl w:ilvl="8" w:tplc="F716928C" w:tentative="1">
      <w:start w:val="1"/>
      <w:numFmt w:val="lowerRoman"/>
      <w:lvlText w:val="%9."/>
      <w:lvlJc w:val="right"/>
      <w:pPr>
        <w:ind w:left="6840" w:hanging="180"/>
      </w:pPr>
    </w:lvl>
  </w:abstractNum>
  <w:abstractNum w:abstractNumId="20" w15:restartNumberingAfterBreak="0">
    <w:nsid w:val="55FF66BE"/>
    <w:multiLevelType w:val="hybridMultilevel"/>
    <w:tmpl w:val="61E4E030"/>
    <w:lvl w:ilvl="0" w:tplc="AB94DF14">
      <w:start w:val="1"/>
      <w:numFmt w:val="upperLetter"/>
      <w:lvlText w:val="%1."/>
      <w:lvlJc w:val="left"/>
      <w:pPr>
        <w:ind w:left="1180" w:hanging="460"/>
      </w:pPr>
      <w:rPr>
        <w:rFonts w:cstheme="minorBidi" w:hint="default"/>
        <w:u w:val="single"/>
      </w:rPr>
    </w:lvl>
    <w:lvl w:ilvl="1" w:tplc="C53AC686" w:tentative="1">
      <w:start w:val="1"/>
      <w:numFmt w:val="lowerLetter"/>
      <w:lvlText w:val="%2."/>
      <w:lvlJc w:val="left"/>
      <w:pPr>
        <w:ind w:left="1800" w:hanging="360"/>
      </w:pPr>
    </w:lvl>
    <w:lvl w:ilvl="2" w:tplc="9AFEA380" w:tentative="1">
      <w:start w:val="1"/>
      <w:numFmt w:val="lowerRoman"/>
      <w:lvlText w:val="%3."/>
      <w:lvlJc w:val="right"/>
      <w:pPr>
        <w:ind w:left="2520" w:hanging="180"/>
      </w:pPr>
    </w:lvl>
    <w:lvl w:ilvl="3" w:tplc="0278FB1C" w:tentative="1">
      <w:start w:val="1"/>
      <w:numFmt w:val="decimal"/>
      <w:lvlText w:val="%4."/>
      <w:lvlJc w:val="left"/>
      <w:pPr>
        <w:ind w:left="3240" w:hanging="360"/>
      </w:pPr>
    </w:lvl>
    <w:lvl w:ilvl="4" w:tplc="0756B3EE" w:tentative="1">
      <w:start w:val="1"/>
      <w:numFmt w:val="lowerLetter"/>
      <w:lvlText w:val="%5."/>
      <w:lvlJc w:val="left"/>
      <w:pPr>
        <w:ind w:left="3960" w:hanging="360"/>
      </w:pPr>
    </w:lvl>
    <w:lvl w:ilvl="5" w:tplc="218443D0" w:tentative="1">
      <w:start w:val="1"/>
      <w:numFmt w:val="lowerRoman"/>
      <w:lvlText w:val="%6."/>
      <w:lvlJc w:val="right"/>
      <w:pPr>
        <w:ind w:left="4680" w:hanging="180"/>
      </w:pPr>
    </w:lvl>
    <w:lvl w:ilvl="6" w:tplc="1242AFD0" w:tentative="1">
      <w:start w:val="1"/>
      <w:numFmt w:val="decimal"/>
      <w:lvlText w:val="%7."/>
      <w:lvlJc w:val="left"/>
      <w:pPr>
        <w:ind w:left="5400" w:hanging="360"/>
      </w:pPr>
    </w:lvl>
    <w:lvl w:ilvl="7" w:tplc="421CA948" w:tentative="1">
      <w:start w:val="1"/>
      <w:numFmt w:val="lowerLetter"/>
      <w:lvlText w:val="%8."/>
      <w:lvlJc w:val="left"/>
      <w:pPr>
        <w:ind w:left="6120" w:hanging="360"/>
      </w:pPr>
    </w:lvl>
    <w:lvl w:ilvl="8" w:tplc="CCBCC852" w:tentative="1">
      <w:start w:val="1"/>
      <w:numFmt w:val="lowerRoman"/>
      <w:lvlText w:val="%9."/>
      <w:lvlJc w:val="right"/>
      <w:pPr>
        <w:ind w:left="6840" w:hanging="180"/>
      </w:pPr>
    </w:lvl>
  </w:abstractNum>
  <w:abstractNum w:abstractNumId="21" w15:restartNumberingAfterBreak="0">
    <w:nsid w:val="563507AF"/>
    <w:multiLevelType w:val="multilevel"/>
    <w:tmpl w:val="07188E28"/>
    <w:lvl w:ilvl="0">
      <w:start w:val="366"/>
      <w:numFmt w:val="decimal"/>
      <w:lvlText w:val="%1"/>
      <w:lvlJc w:val="left"/>
      <w:pPr>
        <w:ind w:left="120" w:hanging="869"/>
      </w:pPr>
      <w:rPr>
        <w:rFonts w:hint="default"/>
      </w:rPr>
    </w:lvl>
    <w:lvl w:ilvl="1">
      <w:start w:val="26"/>
      <w:numFmt w:val="decimal"/>
      <w:lvlText w:val="%1.%2"/>
      <w:lvlJc w:val="left"/>
      <w:pPr>
        <w:ind w:left="120" w:hanging="869"/>
      </w:pPr>
      <w:rPr>
        <w:rFonts w:ascii="Century Schoolbook" w:eastAsia="Century Schoolbook" w:hAnsi="Century Schoolbook" w:hint="default"/>
        <w:w w:val="100"/>
        <w:sz w:val="26"/>
        <w:szCs w:val="26"/>
      </w:rPr>
    </w:lvl>
    <w:lvl w:ilvl="2">
      <w:start w:val="1"/>
      <w:numFmt w:val="upperLetter"/>
      <w:lvlText w:val="%3."/>
      <w:lvlJc w:val="left"/>
      <w:pPr>
        <w:ind w:left="1559" w:hanging="720"/>
      </w:pPr>
      <w:rPr>
        <w:rFonts w:ascii="Century Schoolbook" w:eastAsia="Century Schoolbook" w:hAnsi="Century Schoolbook" w:hint="default"/>
        <w:b/>
        <w:bCs/>
        <w:w w:val="100"/>
        <w:sz w:val="26"/>
        <w:szCs w:val="26"/>
      </w:rPr>
    </w:lvl>
    <w:lvl w:ilvl="3">
      <w:start w:val="1"/>
      <w:numFmt w:val="decimal"/>
      <w:lvlText w:val="%4."/>
      <w:lvlJc w:val="left"/>
      <w:pPr>
        <w:ind w:left="1920" w:hanging="361"/>
      </w:pPr>
      <w:rPr>
        <w:rFonts w:ascii="Century Schoolbook" w:eastAsia="Century Schoolbook" w:hAnsi="Century Schoolbook" w:hint="default"/>
        <w:b/>
        <w:bCs/>
        <w:w w:val="100"/>
        <w:sz w:val="26"/>
        <w:szCs w:val="26"/>
      </w:rPr>
    </w:lvl>
    <w:lvl w:ilvl="4">
      <w:start w:val="1"/>
      <w:numFmt w:val="bullet"/>
      <w:lvlText w:val="•"/>
      <w:lvlJc w:val="left"/>
      <w:pPr>
        <w:ind w:left="3655" w:hanging="361"/>
      </w:pPr>
      <w:rPr>
        <w:rFonts w:hint="default"/>
      </w:rPr>
    </w:lvl>
    <w:lvl w:ilvl="5">
      <w:start w:val="1"/>
      <w:numFmt w:val="bullet"/>
      <w:lvlText w:val="•"/>
      <w:lvlJc w:val="left"/>
      <w:pPr>
        <w:ind w:left="4522" w:hanging="361"/>
      </w:pPr>
      <w:rPr>
        <w:rFonts w:hint="default"/>
      </w:rPr>
    </w:lvl>
    <w:lvl w:ilvl="6">
      <w:start w:val="1"/>
      <w:numFmt w:val="bullet"/>
      <w:lvlText w:val="•"/>
      <w:lvlJc w:val="left"/>
      <w:pPr>
        <w:ind w:left="5390" w:hanging="361"/>
      </w:pPr>
      <w:rPr>
        <w:rFonts w:hint="default"/>
      </w:rPr>
    </w:lvl>
    <w:lvl w:ilvl="7">
      <w:start w:val="1"/>
      <w:numFmt w:val="bullet"/>
      <w:lvlText w:val="•"/>
      <w:lvlJc w:val="left"/>
      <w:pPr>
        <w:ind w:left="6257" w:hanging="361"/>
      </w:pPr>
      <w:rPr>
        <w:rFonts w:hint="default"/>
      </w:rPr>
    </w:lvl>
    <w:lvl w:ilvl="8">
      <w:start w:val="1"/>
      <w:numFmt w:val="bullet"/>
      <w:lvlText w:val="•"/>
      <w:lvlJc w:val="left"/>
      <w:pPr>
        <w:ind w:left="7125" w:hanging="361"/>
      </w:pPr>
      <w:rPr>
        <w:rFonts w:hint="default"/>
      </w:rPr>
    </w:lvl>
  </w:abstractNum>
  <w:abstractNum w:abstractNumId="22" w15:restartNumberingAfterBreak="0">
    <w:nsid w:val="56582521"/>
    <w:multiLevelType w:val="hybridMultilevel"/>
    <w:tmpl w:val="B1848B52"/>
    <w:lvl w:ilvl="0" w:tplc="9ECECFC8">
      <w:start w:val="1"/>
      <w:numFmt w:val="upperLetter"/>
      <w:lvlText w:val="%1."/>
      <w:lvlJc w:val="left"/>
      <w:pPr>
        <w:ind w:left="820" w:hanging="360"/>
      </w:pPr>
      <w:rPr>
        <w:rFonts w:hint="default"/>
        <w:u w:val="none"/>
      </w:rPr>
    </w:lvl>
    <w:lvl w:ilvl="1" w:tplc="D63A2656" w:tentative="1">
      <w:start w:val="1"/>
      <w:numFmt w:val="lowerLetter"/>
      <w:lvlText w:val="%2."/>
      <w:lvlJc w:val="left"/>
      <w:pPr>
        <w:ind w:left="1540" w:hanging="360"/>
      </w:pPr>
    </w:lvl>
    <w:lvl w:ilvl="2" w:tplc="F63A9D38" w:tentative="1">
      <w:start w:val="1"/>
      <w:numFmt w:val="lowerRoman"/>
      <w:lvlText w:val="%3."/>
      <w:lvlJc w:val="right"/>
      <w:pPr>
        <w:ind w:left="2260" w:hanging="180"/>
      </w:pPr>
    </w:lvl>
    <w:lvl w:ilvl="3" w:tplc="E580E4F8" w:tentative="1">
      <w:start w:val="1"/>
      <w:numFmt w:val="decimal"/>
      <w:lvlText w:val="%4."/>
      <w:lvlJc w:val="left"/>
      <w:pPr>
        <w:ind w:left="2980" w:hanging="360"/>
      </w:pPr>
    </w:lvl>
    <w:lvl w:ilvl="4" w:tplc="AA1A3994" w:tentative="1">
      <w:start w:val="1"/>
      <w:numFmt w:val="lowerLetter"/>
      <w:lvlText w:val="%5."/>
      <w:lvlJc w:val="left"/>
      <w:pPr>
        <w:ind w:left="3700" w:hanging="360"/>
      </w:pPr>
    </w:lvl>
    <w:lvl w:ilvl="5" w:tplc="3188A46C" w:tentative="1">
      <w:start w:val="1"/>
      <w:numFmt w:val="lowerRoman"/>
      <w:lvlText w:val="%6."/>
      <w:lvlJc w:val="right"/>
      <w:pPr>
        <w:ind w:left="4420" w:hanging="180"/>
      </w:pPr>
    </w:lvl>
    <w:lvl w:ilvl="6" w:tplc="393AC6F8" w:tentative="1">
      <w:start w:val="1"/>
      <w:numFmt w:val="decimal"/>
      <w:lvlText w:val="%7."/>
      <w:lvlJc w:val="left"/>
      <w:pPr>
        <w:ind w:left="5140" w:hanging="360"/>
      </w:pPr>
    </w:lvl>
    <w:lvl w:ilvl="7" w:tplc="8E48C990" w:tentative="1">
      <w:start w:val="1"/>
      <w:numFmt w:val="lowerLetter"/>
      <w:lvlText w:val="%8."/>
      <w:lvlJc w:val="left"/>
      <w:pPr>
        <w:ind w:left="5860" w:hanging="360"/>
      </w:pPr>
    </w:lvl>
    <w:lvl w:ilvl="8" w:tplc="2EDAEC08" w:tentative="1">
      <w:start w:val="1"/>
      <w:numFmt w:val="lowerRoman"/>
      <w:lvlText w:val="%9."/>
      <w:lvlJc w:val="right"/>
      <w:pPr>
        <w:ind w:left="6580" w:hanging="180"/>
      </w:pPr>
    </w:lvl>
  </w:abstractNum>
  <w:abstractNum w:abstractNumId="23" w15:restartNumberingAfterBreak="0">
    <w:nsid w:val="58417A10"/>
    <w:multiLevelType w:val="hybridMultilevel"/>
    <w:tmpl w:val="F39E9DF6"/>
    <w:lvl w:ilvl="0" w:tplc="60726556">
      <w:start w:val="1"/>
      <w:numFmt w:val="decimal"/>
      <w:lvlText w:val="%1."/>
      <w:lvlJc w:val="left"/>
      <w:pPr>
        <w:ind w:left="1080" w:hanging="360"/>
      </w:pPr>
      <w:rPr>
        <w:rFonts w:hint="default"/>
      </w:rPr>
    </w:lvl>
    <w:lvl w:ilvl="1" w:tplc="F0D0FD86" w:tentative="1">
      <w:start w:val="1"/>
      <w:numFmt w:val="lowerLetter"/>
      <w:lvlText w:val="%2."/>
      <w:lvlJc w:val="left"/>
      <w:pPr>
        <w:ind w:left="1800" w:hanging="360"/>
      </w:pPr>
    </w:lvl>
    <w:lvl w:ilvl="2" w:tplc="BAD6254E" w:tentative="1">
      <w:start w:val="1"/>
      <w:numFmt w:val="lowerRoman"/>
      <w:lvlText w:val="%3."/>
      <w:lvlJc w:val="right"/>
      <w:pPr>
        <w:ind w:left="2520" w:hanging="180"/>
      </w:pPr>
    </w:lvl>
    <w:lvl w:ilvl="3" w:tplc="881E4D40" w:tentative="1">
      <w:start w:val="1"/>
      <w:numFmt w:val="decimal"/>
      <w:lvlText w:val="%4."/>
      <w:lvlJc w:val="left"/>
      <w:pPr>
        <w:ind w:left="3240" w:hanging="360"/>
      </w:pPr>
    </w:lvl>
    <w:lvl w:ilvl="4" w:tplc="1132026A" w:tentative="1">
      <w:start w:val="1"/>
      <w:numFmt w:val="lowerLetter"/>
      <w:lvlText w:val="%5."/>
      <w:lvlJc w:val="left"/>
      <w:pPr>
        <w:ind w:left="3960" w:hanging="360"/>
      </w:pPr>
    </w:lvl>
    <w:lvl w:ilvl="5" w:tplc="08D8C8DE" w:tentative="1">
      <w:start w:val="1"/>
      <w:numFmt w:val="lowerRoman"/>
      <w:lvlText w:val="%6."/>
      <w:lvlJc w:val="right"/>
      <w:pPr>
        <w:ind w:left="4680" w:hanging="180"/>
      </w:pPr>
    </w:lvl>
    <w:lvl w:ilvl="6" w:tplc="A23ECB5A" w:tentative="1">
      <w:start w:val="1"/>
      <w:numFmt w:val="decimal"/>
      <w:lvlText w:val="%7."/>
      <w:lvlJc w:val="left"/>
      <w:pPr>
        <w:ind w:left="5400" w:hanging="360"/>
      </w:pPr>
    </w:lvl>
    <w:lvl w:ilvl="7" w:tplc="C3AC2AA0" w:tentative="1">
      <w:start w:val="1"/>
      <w:numFmt w:val="lowerLetter"/>
      <w:lvlText w:val="%8."/>
      <w:lvlJc w:val="left"/>
      <w:pPr>
        <w:ind w:left="6120" w:hanging="360"/>
      </w:pPr>
    </w:lvl>
    <w:lvl w:ilvl="8" w:tplc="A02C28CE" w:tentative="1">
      <w:start w:val="1"/>
      <w:numFmt w:val="lowerRoman"/>
      <w:lvlText w:val="%9."/>
      <w:lvlJc w:val="right"/>
      <w:pPr>
        <w:ind w:left="6840" w:hanging="180"/>
      </w:pPr>
    </w:lvl>
  </w:abstractNum>
  <w:abstractNum w:abstractNumId="24" w15:restartNumberingAfterBreak="0">
    <w:nsid w:val="66AC32F6"/>
    <w:multiLevelType w:val="hybridMultilevel"/>
    <w:tmpl w:val="8422AE86"/>
    <w:lvl w:ilvl="0" w:tplc="666CA3A2">
      <w:start w:val="1"/>
      <w:numFmt w:val="decimal"/>
      <w:lvlText w:val="%1."/>
      <w:lvlJc w:val="left"/>
      <w:pPr>
        <w:ind w:left="1892" w:hanging="324"/>
      </w:pPr>
      <w:rPr>
        <w:rFonts w:ascii="Century Schoolbook" w:eastAsia="Century Schoolbook" w:hAnsi="Century Schoolbook" w:hint="default"/>
        <w:w w:val="100"/>
        <w:sz w:val="26"/>
        <w:szCs w:val="26"/>
      </w:rPr>
    </w:lvl>
    <w:lvl w:ilvl="1" w:tplc="1904ED18">
      <w:start w:val="1"/>
      <w:numFmt w:val="bullet"/>
      <w:lvlText w:val="•"/>
      <w:lvlJc w:val="left"/>
      <w:pPr>
        <w:ind w:left="2594" w:hanging="324"/>
      </w:pPr>
      <w:rPr>
        <w:rFonts w:hint="default"/>
      </w:rPr>
    </w:lvl>
    <w:lvl w:ilvl="2" w:tplc="3056DD3C">
      <w:start w:val="1"/>
      <w:numFmt w:val="bullet"/>
      <w:lvlText w:val="•"/>
      <w:lvlJc w:val="left"/>
      <w:pPr>
        <w:ind w:left="3288" w:hanging="324"/>
      </w:pPr>
      <w:rPr>
        <w:rFonts w:hint="default"/>
      </w:rPr>
    </w:lvl>
    <w:lvl w:ilvl="3" w:tplc="06064D62">
      <w:start w:val="1"/>
      <w:numFmt w:val="bullet"/>
      <w:lvlText w:val="•"/>
      <w:lvlJc w:val="left"/>
      <w:pPr>
        <w:ind w:left="3982" w:hanging="324"/>
      </w:pPr>
      <w:rPr>
        <w:rFonts w:hint="default"/>
      </w:rPr>
    </w:lvl>
    <w:lvl w:ilvl="4" w:tplc="181C280C">
      <w:start w:val="1"/>
      <w:numFmt w:val="bullet"/>
      <w:lvlText w:val="•"/>
      <w:lvlJc w:val="left"/>
      <w:pPr>
        <w:ind w:left="4676" w:hanging="324"/>
      </w:pPr>
      <w:rPr>
        <w:rFonts w:hint="default"/>
      </w:rPr>
    </w:lvl>
    <w:lvl w:ilvl="5" w:tplc="B3D23732">
      <w:start w:val="1"/>
      <w:numFmt w:val="bullet"/>
      <w:lvlText w:val="•"/>
      <w:lvlJc w:val="left"/>
      <w:pPr>
        <w:ind w:left="5370" w:hanging="324"/>
      </w:pPr>
      <w:rPr>
        <w:rFonts w:hint="default"/>
      </w:rPr>
    </w:lvl>
    <w:lvl w:ilvl="6" w:tplc="EA9CE4C4">
      <w:start w:val="1"/>
      <w:numFmt w:val="bullet"/>
      <w:lvlText w:val="•"/>
      <w:lvlJc w:val="left"/>
      <w:pPr>
        <w:ind w:left="6064" w:hanging="324"/>
      </w:pPr>
      <w:rPr>
        <w:rFonts w:hint="default"/>
      </w:rPr>
    </w:lvl>
    <w:lvl w:ilvl="7" w:tplc="DBD4E2BA">
      <w:start w:val="1"/>
      <w:numFmt w:val="bullet"/>
      <w:lvlText w:val="•"/>
      <w:lvlJc w:val="left"/>
      <w:pPr>
        <w:ind w:left="6758" w:hanging="324"/>
      </w:pPr>
      <w:rPr>
        <w:rFonts w:hint="default"/>
      </w:rPr>
    </w:lvl>
    <w:lvl w:ilvl="8" w:tplc="8FE823CE">
      <w:start w:val="1"/>
      <w:numFmt w:val="bullet"/>
      <w:lvlText w:val="•"/>
      <w:lvlJc w:val="left"/>
      <w:pPr>
        <w:ind w:left="7452" w:hanging="324"/>
      </w:pPr>
      <w:rPr>
        <w:rFonts w:hint="default"/>
      </w:rPr>
    </w:lvl>
  </w:abstractNum>
  <w:abstractNum w:abstractNumId="25" w15:restartNumberingAfterBreak="0">
    <w:nsid w:val="6F600A77"/>
    <w:multiLevelType w:val="hybridMultilevel"/>
    <w:tmpl w:val="13D2A670"/>
    <w:lvl w:ilvl="0" w:tplc="55CCD934">
      <w:start w:val="1"/>
      <w:numFmt w:val="decimal"/>
      <w:lvlText w:val="%1."/>
      <w:lvlJc w:val="left"/>
      <w:pPr>
        <w:ind w:left="820" w:hanging="360"/>
      </w:pPr>
    </w:lvl>
    <w:lvl w:ilvl="1" w:tplc="1D0469E2" w:tentative="1">
      <w:start w:val="1"/>
      <w:numFmt w:val="lowerLetter"/>
      <w:lvlText w:val="%2."/>
      <w:lvlJc w:val="left"/>
      <w:pPr>
        <w:ind w:left="1540" w:hanging="360"/>
      </w:pPr>
    </w:lvl>
    <w:lvl w:ilvl="2" w:tplc="78806A66" w:tentative="1">
      <w:start w:val="1"/>
      <w:numFmt w:val="lowerRoman"/>
      <w:lvlText w:val="%3."/>
      <w:lvlJc w:val="right"/>
      <w:pPr>
        <w:ind w:left="2260" w:hanging="180"/>
      </w:pPr>
    </w:lvl>
    <w:lvl w:ilvl="3" w:tplc="6158CE18" w:tentative="1">
      <w:start w:val="1"/>
      <w:numFmt w:val="decimal"/>
      <w:lvlText w:val="%4."/>
      <w:lvlJc w:val="left"/>
      <w:pPr>
        <w:ind w:left="2980" w:hanging="360"/>
      </w:pPr>
    </w:lvl>
    <w:lvl w:ilvl="4" w:tplc="F690AC30" w:tentative="1">
      <w:start w:val="1"/>
      <w:numFmt w:val="lowerLetter"/>
      <w:lvlText w:val="%5."/>
      <w:lvlJc w:val="left"/>
      <w:pPr>
        <w:ind w:left="3700" w:hanging="360"/>
      </w:pPr>
    </w:lvl>
    <w:lvl w:ilvl="5" w:tplc="3E689B38" w:tentative="1">
      <w:start w:val="1"/>
      <w:numFmt w:val="lowerRoman"/>
      <w:lvlText w:val="%6."/>
      <w:lvlJc w:val="right"/>
      <w:pPr>
        <w:ind w:left="4420" w:hanging="180"/>
      </w:pPr>
    </w:lvl>
    <w:lvl w:ilvl="6" w:tplc="428EA30C" w:tentative="1">
      <w:start w:val="1"/>
      <w:numFmt w:val="decimal"/>
      <w:lvlText w:val="%7."/>
      <w:lvlJc w:val="left"/>
      <w:pPr>
        <w:ind w:left="5140" w:hanging="360"/>
      </w:pPr>
    </w:lvl>
    <w:lvl w:ilvl="7" w:tplc="812C12B4" w:tentative="1">
      <w:start w:val="1"/>
      <w:numFmt w:val="lowerLetter"/>
      <w:lvlText w:val="%8."/>
      <w:lvlJc w:val="left"/>
      <w:pPr>
        <w:ind w:left="5860" w:hanging="360"/>
      </w:pPr>
    </w:lvl>
    <w:lvl w:ilvl="8" w:tplc="C2C4549A" w:tentative="1">
      <w:start w:val="1"/>
      <w:numFmt w:val="lowerRoman"/>
      <w:lvlText w:val="%9."/>
      <w:lvlJc w:val="right"/>
      <w:pPr>
        <w:ind w:left="6580" w:hanging="180"/>
      </w:pPr>
    </w:lvl>
  </w:abstractNum>
  <w:abstractNum w:abstractNumId="26" w15:restartNumberingAfterBreak="0">
    <w:nsid w:val="71F8191C"/>
    <w:multiLevelType w:val="hybridMultilevel"/>
    <w:tmpl w:val="051AF64A"/>
    <w:lvl w:ilvl="0" w:tplc="759A1B12">
      <w:start w:val="1"/>
      <w:numFmt w:val="upperRoman"/>
      <w:lvlText w:val="%1."/>
      <w:lvlJc w:val="left"/>
      <w:pPr>
        <w:ind w:left="369" w:hanging="250"/>
      </w:pPr>
      <w:rPr>
        <w:rFonts w:ascii="Century Schoolbook" w:eastAsia="Century Schoolbook" w:hAnsi="Century Schoolbook" w:hint="default"/>
        <w:spacing w:val="-1"/>
        <w:w w:val="100"/>
        <w:sz w:val="26"/>
        <w:szCs w:val="26"/>
      </w:rPr>
    </w:lvl>
    <w:lvl w:ilvl="1" w:tplc="F54E45D8">
      <w:start w:val="1"/>
      <w:numFmt w:val="upperLetter"/>
      <w:lvlText w:val="%2."/>
      <w:lvlJc w:val="left"/>
      <w:pPr>
        <w:ind w:left="1560" w:hanging="720"/>
      </w:pPr>
      <w:rPr>
        <w:rFonts w:ascii="Century Schoolbook" w:eastAsia="Century Schoolbook" w:hAnsi="Century Schoolbook" w:hint="default"/>
        <w:w w:val="100"/>
        <w:sz w:val="26"/>
        <w:szCs w:val="26"/>
      </w:rPr>
    </w:lvl>
    <w:lvl w:ilvl="2" w:tplc="DBE21D1E">
      <w:start w:val="2"/>
      <w:numFmt w:val="decimal"/>
      <w:lvlText w:val="%3."/>
      <w:lvlJc w:val="left"/>
      <w:pPr>
        <w:ind w:left="1892" w:hanging="333"/>
      </w:pPr>
      <w:rPr>
        <w:rFonts w:ascii="Century Schoolbook" w:eastAsia="Century Schoolbook" w:hAnsi="Century Schoolbook" w:hint="default"/>
        <w:w w:val="100"/>
        <w:sz w:val="26"/>
        <w:szCs w:val="26"/>
      </w:rPr>
    </w:lvl>
    <w:lvl w:ilvl="3" w:tplc="779AC152">
      <w:start w:val="1"/>
      <w:numFmt w:val="bullet"/>
      <w:lvlText w:val="•"/>
      <w:lvlJc w:val="left"/>
      <w:pPr>
        <w:ind w:left="2772" w:hanging="333"/>
      </w:pPr>
      <w:rPr>
        <w:rFonts w:hint="default"/>
      </w:rPr>
    </w:lvl>
    <w:lvl w:ilvl="4" w:tplc="E91A0AEE">
      <w:start w:val="1"/>
      <w:numFmt w:val="bullet"/>
      <w:lvlText w:val="•"/>
      <w:lvlJc w:val="left"/>
      <w:pPr>
        <w:ind w:left="3645" w:hanging="333"/>
      </w:pPr>
      <w:rPr>
        <w:rFonts w:hint="default"/>
      </w:rPr>
    </w:lvl>
    <w:lvl w:ilvl="5" w:tplc="8AA2F3B4">
      <w:start w:val="1"/>
      <w:numFmt w:val="bullet"/>
      <w:lvlText w:val="•"/>
      <w:lvlJc w:val="left"/>
      <w:pPr>
        <w:ind w:left="4517" w:hanging="333"/>
      </w:pPr>
      <w:rPr>
        <w:rFonts w:hint="default"/>
      </w:rPr>
    </w:lvl>
    <w:lvl w:ilvl="6" w:tplc="FCFAB4D6">
      <w:start w:val="1"/>
      <w:numFmt w:val="bullet"/>
      <w:lvlText w:val="•"/>
      <w:lvlJc w:val="left"/>
      <w:pPr>
        <w:ind w:left="5390" w:hanging="333"/>
      </w:pPr>
      <w:rPr>
        <w:rFonts w:hint="default"/>
      </w:rPr>
    </w:lvl>
    <w:lvl w:ilvl="7" w:tplc="0EFAF296">
      <w:start w:val="1"/>
      <w:numFmt w:val="bullet"/>
      <w:lvlText w:val="•"/>
      <w:lvlJc w:val="left"/>
      <w:pPr>
        <w:ind w:left="6262" w:hanging="333"/>
      </w:pPr>
      <w:rPr>
        <w:rFonts w:hint="default"/>
      </w:rPr>
    </w:lvl>
    <w:lvl w:ilvl="8" w:tplc="F1BC741E">
      <w:start w:val="1"/>
      <w:numFmt w:val="bullet"/>
      <w:lvlText w:val="•"/>
      <w:lvlJc w:val="left"/>
      <w:pPr>
        <w:ind w:left="7135" w:hanging="333"/>
      </w:pPr>
      <w:rPr>
        <w:rFonts w:hint="default"/>
      </w:rPr>
    </w:lvl>
  </w:abstractNum>
  <w:abstractNum w:abstractNumId="27" w15:restartNumberingAfterBreak="0">
    <w:nsid w:val="73C05A6E"/>
    <w:multiLevelType w:val="hybridMultilevel"/>
    <w:tmpl w:val="067E74F4"/>
    <w:lvl w:ilvl="0" w:tplc="D9902A98">
      <w:start w:val="1"/>
      <w:numFmt w:val="upperLetter"/>
      <w:lvlText w:val="%1."/>
      <w:lvlJc w:val="left"/>
      <w:pPr>
        <w:ind w:left="1120" w:hanging="400"/>
      </w:pPr>
      <w:rPr>
        <w:rFonts w:hint="default"/>
        <w:u w:val="none"/>
      </w:rPr>
    </w:lvl>
    <w:lvl w:ilvl="1" w:tplc="616A97F4">
      <w:start w:val="1"/>
      <w:numFmt w:val="decimal"/>
      <w:lvlText w:val="%2."/>
      <w:lvlJc w:val="left"/>
      <w:pPr>
        <w:ind w:left="1800" w:hanging="360"/>
      </w:pPr>
      <w:rPr>
        <w:i w:val="0"/>
        <w:iCs/>
      </w:rPr>
    </w:lvl>
    <w:lvl w:ilvl="2" w:tplc="0B5E5B52">
      <w:start w:val="1"/>
      <w:numFmt w:val="lowerRoman"/>
      <w:lvlText w:val="%3."/>
      <w:lvlJc w:val="right"/>
      <w:pPr>
        <w:ind w:left="2520" w:hanging="180"/>
      </w:pPr>
    </w:lvl>
    <w:lvl w:ilvl="3" w:tplc="DF0683FE">
      <w:start w:val="1"/>
      <w:numFmt w:val="lowerRoman"/>
      <w:lvlText w:val="%4."/>
      <w:lvlJc w:val="right"/>
      <w:pPr>
        <w:ind w:left="3240" w:hanging="360"/>
      </w:pPr>
    </w:lvl>
    <w:lvl w:ilvl="4" w:tplc="1BC4B342">
      <w:start w:val="1"/>
      <w:numFmt w:val="lowerLetter"/>
      <w:lvlText w:val="%5."/>
      <w:lvlJc w:val="left"/>
      <w:pPr>
        <w:ind w:left="3960" w:hanging="360"/>
      </w:pPr>
    </w:lvl>
    <w:lvl w:ilvl="5" w:tplc="97121DC6" w:tentative="1">
      <w:start w:val="1"/>
      <w:numFmt w:val="lowerRoman"/>
      <w:lvlText w:val="%6."/>
      <w:lvlJc w:val="right"/>
      <w:pPr>
        <w:ind w:left="4680" w:hanging="180"/>
      </w:pPr>
    </w:lvl>
    <w:lvl w:ilvl="6" w:tplc="74DA2882" w:tentative="1">
      <w:start w:val="1"/>
      <w:numFmt w:val="decimal"/>
      <w:lvlText w:val="%7."/>
      <w:lvlJc w:val="left"/>
      <w:pPr>
        <w:ind w:left="5400" w:hanging="360"/>
      </w:pPr>
    </w:lvl>
    <w:lvl w:ilvl="7" w:tplc="4C18A4B8" w:tentative="1">
      <w:start w:val="1"/>
      <w:numFmt w:val="lowerLetter"/>
      <w:lvlText w:val="%8."/>
      <w:lvlJc w:val="left"/>
      <w:pPr>
        <w:ind w:left="6120" w:hanging="360"/>
      </w:pPr>
    </w:lvl>
    <w:lvl w:ilvl="8" w:tplc="BA806C20" w:tentative="1">
      <w:start w:val="1"/>
      <w:numFmt w:val="lowerRoman"/>
      <w:lvlText w:val="%9."/>
      <w:lvlJc w:val="right"/>
      <w:pPr>
        <w:ind w:left="6840" w:hanging="180"/>
      </w:pPr>
    </w:lvl>
  </w:abstractNum>
  <w:abstractNum w:abstractNumId="28" w15:restartNumberingAfterBreak="0">
    <w:nsid w:val="773B55BB"/>
    <w:multiLevelType w:val="hybridMultilevel"/>
    <w:tmpl w:val="BF3A8A98"/>
    <w:lvl w:ilvl="0" w:tplc="3746E51E">
      <w:start w:val="1"/>
      <w:numFmt w:val="decimal"/>
      <w:lvlText w:val="%1."/>
      <w:lvlJc w:val="left"/>
      <w:pPr>
        <w:ind w:left="1080" w:hanging="360"/>
      </w:pPr>
      <w:rPr>
        <w:rFonts w:hint="default"/>
      </w:rPr>
    </w:lvl>
    <w:lvl w:ilvl="1" w:tplc="65307650">
      <w:start w:val="1"/>
      <w:numFmt w:val="lowerLetter"/>
      <w:lvlText w:val="%2."/>
      <w:lvlJc w:val="left"/>
      <w:pPr>
        <w:ind w:left="1800" w:hanging="360"/>
      </w:pPr>
    </w:lvl>
    <w:lvl w:ilvl="2" w:tplc="5824B16E" w:tentative="1">
      <w:start w:val="1"/>
      <w:numFmt w:val="lowerRoman"/>
      <w:lvlText w:val="%3."/>
      <w:lvlJc w:val="right"/>
      <w:pPr>
        <w:ind w:left="2520" w:hanging="180"/>
      </w:pPr>
    </w:lvl>
    <w:lvl w:ilvl="3" w:tplc="69AEDA84" w:tentative="1">
      <w:start w:val="1"/>
      <w:numFmt w:val="decimal"/>
      <w:lvlText w:val="%4."/>
      <w:lvlJc w:val="left"/>
      <w:pPr>
        <w:ind w:left="3240" w:hanging="360"/>
      </w:pPr>
    </w:lvl>
    <w:lvl w:ilvl="4" w:tplc="9B1E5DB2" w:tentative="1">
      <w:start w:val="1"/>
      <w:numFmt w:val="lowerLetter"/>
      <w:lvlText w:val="%5."/>
      <w:lvlJc w:val="left"/>
      <w:pPr>
        <w:ind w:left="3960" w:hanging="360"/>
      </w:pPr>
    </w:lvl>
    <w:lvl w:ilvl="5" w:tplc="065A2798" w:tentative="1">
      <w:start w:val="1"/>
      <w:numFmt w:val="lowerRoman"/>
      <w:lvlText w:val="%6."/>
      <w:lvlJc w:val="right"/>
      <w:pPr>
        <w:ind w:left="4680" w:hanging="180"/>
      </w:pPr>
    </w:lvl>
    <w:lvl w:ilvl="6" w:tplc="39EEBBB2" w:tentative="1">
      <w:start w:val="1"/>
      <w:numFmt w:val="decimal"/>
      <w:lvlText w:val="%7."/>
      <w:lvlJc w:val="left"/>
      <w:pPr>
        <w:ind w:left="5400" w:hanging="360"/>
      </w:pPr>
    </w:lvl>
    <w:lvl w:ilvl="7" w:tplc="378661D4" w:tentative="1">
      <w:start w:val="1"/>
      <w:numFmt w:val="lowerLetter"/>
      <w:lvlText w:val="%8."/>
      <w:lvlJc w:val="left"/>
      <w:pPr>
        <w:ind w:left="6120" w:hanging="360"/>
      </w:pPr>
    </w:lvl>
    <w:lvl w:ilvl="8" w:tplc="69704E60" w:tentative="1">
      <w:start w:val="1"/>
      <w:numFmt w:val="lowerRoman"/>
      <w:lvlText w:val="%9."/>
      <w:lvlJc w:val="right"/>
      <w:pPr>
        <w:ind w:left="6840" w:hanging="180"/>
      </w:pPr>
    </w:lvl>
  </w:abstractNum>
  <w:num w:numId="1" w16cid:durableId="292517115">
    <w:abstractNumId w:val="16"/>
  </w:num>
  <w:num w:numId="2" w16cid:durableId="369305417">
    <w:abstractNumId w:val="15"/>
  </w:num>
  <w:num w:numId="3" w16cid:durableId="1591086031">
    <w:abstractNumId w:val="21"/>
  </w:num>
  <w:num w:numId="4" w16cid:durableId="1612934108">
    <w:abstractNumId w:val="24"/>
  </w:num>
  <w:num w:numId="5" w16cid:durableId="2005205496">
    <w:abstractNumId w:val="18"/>
  </w:num>
  <w:num w:numId="6" w16cid:durableId="1281183394">
    <w:abstractNumId w:val="26"/>
  </w:num>
  <w:num w:numId="7" w16cid:durableId="334382982">
    <w:abstractNumId w:val="19"/>
  </w:num>
  <w:num w:numId="8" w16cid:durableId="836385749">
    <w:abstractNumId w:val="1"/>
  </w:num>
  <w:num w:numId="9" w16cid:durableId="1180776637">
    <w:abstractNumId w:val="6"/>
  </w:num>
  <w:num w:numId="10" w16cid:durableId="677196239">
    <w:abstractNumId w:val="3"/>
  </w:num>
  <w:num w:numId="11" w16cid:durableId="1557467967">
    <w:abstractNumId w:val="9"/>
  </w:num>
  <w:num w:numId="12" w16cid:durableId="1855656423">
    <w:abstractNumId w:val="8"/>
  </w:num>
  <w:num w:numId="13" w16cid:durableId="1759015528">
    <w:abstractNumId w:val="17"/>
  </w:num>
  <w:num w:numId="14" w16cid:durableId="1777367184">
    <w:abstractNumId w:val="11"/>
  </w:num>
  <w:num w:numId="15" w16cid:durableId="232355260">
    <w:abstractNumId w:val="13"/>
  </w:num>
  <w:num w:numId="16" w16cid:durableId="1278835495">
    <w:abstractNumId w:val="20"/>
  </w:num>
  <w:num w:numId="17" w16cid:durableId="461702865">
    <w:abstractNumId w:val="0"/>
  </w:num>
  <w:num w:numId="18" w16cid:durableId="1950158342">
    <w:abstractNumId w:val="5"/>
  </w:num>
  <w:num w:numId="19" w16cid:durableId="1672878687">
    <w:abstractNumId w:val="28"/>
  </w:num>
  <w:num w:numId="20" w16cid:durableId="62607008">
    <w:abstractNumId w:val="27"/>
  </w:num>
  <w:num w:numId="21" w16cid:durableId="2126347933">
    <w:abstractNumId w:val="23"/>
  </w:num>
  <w:num w:numId="22" w16cid:durableId="807698171">
    <w:abstractNumId w:val="2"/>
  </w:num>
  <w:num w:numId="23" w16cid:durableId="890768296">
    <w:abstractNumId w:val="22"/>
  </w:num>
  <w:num w:numId="24" w16cid:durableId="181867838">
    <w:abstractNumId w:val="10"/>
  </w:num>
  <w:num w:numId="25" w16cid:durableId="295525407">
    <w:abstractNumId w:val="25"/>
  </w:num>
  <w:num w:numId="26" w16cid:durableId="940529379">
    <w:abstractNumId w:val="12"/>
  </w:num>
  <w:num w:numId="27" w16cid:durableId="1112359622">
    <w:abstractNumId w:val="14"/>
  </w:num>
  <w:num w:numId="28" w16cid:durableId="1386832152">
    <w:abstractNumId w:val="7"/>
  </w:num>
  <w:num w:numId="29" w16cid:durableId="1414351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removePersonalInformation/>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74A"/>
    <w:rsid w:val="001C52B1"/>
    <w:rsid w:val="0075274A"/>
    <w:rsid w:val="00BE686C"/>
    <w:rsid w:val="00C226A8"/>
    <w:rsid w:val="00E74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86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6"/>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20"/>
      </w:tabs>
      <w:spacing w:line="480" w:lineRule="atLeast"/>
    </w:pPr>
    <w:rPr>
      <w:rFonts w:ascii="Century Schoolbook" w:hAnsi="Century Schoolbook"/>
    </w:rPr>
  </w:style>
  <w:style w:type="paragraph" w:styleId="Heading1">
    <w:name w:val="heading 1"/>
    <w:basedOn w:val="Normal"/>
    <w:link w:val="Heading1Char"/>
    <w:uiPriority w:val="9"/>
    <w:qFormat/>
    <w:rsid w:val="00C520E3"/>
    <w:pPr>
      <w:widowControl w:val="0"/>
      <w:tabs>
        <w:tab w:val="clear" w:pos="720"/>
      </w:tabs>
      <w:spacing w:line="240" w:lineRule="auto"/>
      <w:ind w:left="1283"/>
      <w:outlineLvl w:val="0"/>
    </w:pPr>
    <w:rPr>
      <w:rFonts w:eastAsia="Century Schoolbook"/>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20E3"/>
    <w:pPr>
      <w:tabs>
        <w:tab w:val="center" w:pos="4680"/>
        <w:tab w:val="right" w:pos="9360"/>
      </w:tabs>
      <w:spacing w:line="240" w:lineRule="auto"/>
    </w:pPr>
  </w:style>
  <w:style w:type="character" w:customStyle="1" w:styleId="HeaderChar">
    <w:name w:val="Header Char"/>
    <w:basedOn w:val="DefaultParagraphFont"/>
    <w:link w:val="Header"/>
    <w:uiPriority w:val="99"/>
    <w:rsid w:val="00C520E3"/>
  </w:style>
  <w:style w:type="paragraph" w:styleId="Footer">
    <w:name w:val="footer"/>
    <w:basedOn w:val="Normal"/>
    <w:link w:val="FooterChar"/>
    <w:uiPriority w:val="99"/>
    <w:unhideWhenUsed/>
    <w:rsid w:val="00C520E3"/>
    <w:pPr>
      <w:tabs>
        <w:tab w:val="center" w:pos="4680"/>
        <w:tab w:val="right" w:pos="9360"/>
      </w:tabs>
      <w:spacing w:line="240" w:lineRule="auto"/>
    </w:pPr>
  </w:style>
  <w:style w:type="character" w:customStyle="1" w:styleId="FooterChar">
    <w:name w:val="Footer Char"/>
    <w:basedOn w:val="DefaultParagraphFont"/>
    <w:link w:val="Footer"/>
    <w:uiPriority w:val="99"/>
    <w:rsid w:val="00C520E3"/>
  </w:style>
  <w:style w:type="character" w:styleId="PageNumber">
    <w:name w:val="page number"/>
    <w:basedOn w:val="DefaultParagraphFont"/>
    <w:uiPriority w:val="99"/>
    <w:semiHidden/>
    <w:unhideWhenUsed/>
    <w:rsid w:val="00C520E3"/>
  </w:style>
  <w:style w:type="paragraph" w:styleId="FootnoteText">
    <w:name w:val="footnote text"/>
    <w:link w:val="FootnoteTextChar"/>
    <w:uiPriority w:val="99"/>
    <w:unhideWhenUsed/>
    <w:rsid w:val="00C520E3"/>
    <w:pPr>
      <w:spacing w:line="240" w:lineRule="auto"/>
    </w:pPr>
    <w:rPr>
      <w:rFonts w:ascii="Century Schoolbook" w:hAnsi="Century Schoolbook"/>
      <w:szCs w:val="20"/>
    </w:rPr>
  </w:style>
  <w:style w:type="character" w:customStyle="1" w:styleId="FootnoteTextChar">
    <w:name w:val="Footnote Text Char"/>
    <w:basedOn w:val="DefaultParagraphFont"/>
    <w:link w:val="FootnoteText"/>
    <w:uiPriority w:val="99"/>
    <w:rsid w:val="00C520E3"/>
    <w:rPr>
      <w:rFonts w:ascii="Century Schoolbook" w:hAnsi="Century Schoolbook"/>
      <w:szCs w:val="20"/>
    </w:rPr>
  </w:style>
  <w:style w:type="character" w:customStyle="1" w:styleId="Heading1Char">
    <w:name w:val="Heading 1 Char"/>
    <w:basedOn w:val="DefaultParagraphFont"/>
    <w:link w:val="Heading1"/>
    <w:uiPriority w:val="9"/>
    <w:rsid w:val="00C520E3"/>
    <w:rPr>
      <w:rFonts w:ascii="Century Schoolbook" w:eastAsia="Century Schoolbook" w:hAnsi="Century Schoolbook"/>
      <w:b/>
      <w:bCs/>
    </w:rPr>
  </w:style>
  <w:style w:type="paragraph" w:styleId="TOC1">
    <w:name w:val="toc 1"/>
    <w:basedOn w:val="Normal"/>
    <w:uiPriority w:val="1"/>
    <w:qFormat/>
    <w:rsid w:val="00C520E3"/>
    <w:pPr>
      <w:widowControl w:val="0"/>
      <w:tabs>
        <w:tab w:val="clear" w:pos="720"/>
      </w:tabs>
      <w:spacing w:before="312" w:line="240" w:lineRule="auto"/>
      <w:ind w:left="119" w:hanging="461"/>
    </w:pPr>
    <w:rPr>
      <w:rFonts w:eastAsia="Century Schoolbook"/>
    </w:rPr>
  </w:style>
  <w:style w:type="paragraph" w:styleId="TOC2">
    <w:name w:val="toc 2"/>
    <w:basedOn w:val="Normal"/>
    <w:uiPriority w:val="1"/>
    <w:qFormat/>
    <w:rsid w:val="00C520E3"/>
    <w:pPr>
      <w:widowControl w:val="0"/>
      <w:tabs>
        <w:tab w:val="clear" w:pos="720"/>
      </w:tabs>
      <w:spacing w:line="240" w:lineRule="auto"/>
      <w:ind w:left="480"/>
    </w:pPr>
    <w:rPr>
      <w:rFonts w:eastAsia="Century Schoolbook"/>
    </w:rPr>
  </w:style>
  <w:style w:type="paragraph" w:styleId="TOC3">
    <w:name w:val="toc 3"/>
    <w:basedOn w:val="Normal"/>
    <w:uiPriority w:val="1"/>
    <w:qFormat/>
    <w:rsid w:val="00C520E3"/>
    <w:pPr>
      <w:widowControl w:val="0"/>
      <w:tabs>
        <w:tab w:val="clear" w:pos="720"/>
      </w:tabs>
      <w:spacing w:before="311" w:line="240" w:lineRule="auto"/>
      <w:ind w:left="1559" w:hanging="720"/>
    </w:pPr>
    <w:rPr>
      <w:rFonts w:eastAsia="Century Schoolbook"/>
    </w:rPr>
  </w:style>
  <w:style w:type="paragraph" w:styleId="TOC4">
    <w:name w:val="toc 4"/>
    <w:basedOn w:val="Normal"/>
    <w:uiPriority w:val="1"/>
    <w:qFormat/>
    <w:rsid w:val="00C520E3"/>
    <w:pPr>
      <w:widowControl w:val="0"/>
      <w:tabs>
        <w:tab w:val="clear" w:pos="720"/>
      </w:tabs>
      <w:spacing w:before="312" w:line="240" w:lineRule="auto"/>
      <w:ind w:left="1891" w:hanging="332"/>
    </w:pPr>
    <w:rPr>
      <w:rFonts w:eastAsia="Century Schoolbook"/>
    </w:rPr>
  </w:style>
  <w:style w:type="paragraph" w:styleId="TOC5">
    <w:name w:val="toc 5"/>
    <w:basedOn w:val="Normal"/>
    <w:uiPriority w:val="1"/>
    <w:qFormat/>
    <w:rsid w:val="00C520E3"/>
    <w:pPr>
      <w:widowControl w:val="0"/>
      <w:tabs>
        <w:tab w:val="clear" w:pos="720"/>
      </w:tabs>
      <w:spacing w:line="240" w:lineRule="auto"/>
      <w:ind w:left="1891"/>
    </w:pPr>
    <w:rPr>
      <w:rFonts w:eastAsia="Century Schoolbook"/>
    </w:rPr>
  </w:style>
  <w:style w:type="paragraph" w:styleId="BodyText">
    <w:name w:val="Body Text"/>
    <w:basedOn w:val="Normal"/>
    <w:link w:val="BodyTextChar"/>
    <w:uiPriority w:val="1"/>
    <w:qFormat/>
    <w:rsid w:val="00C520E3"/>
    <w:pPr>
      <w:widowControl w:val="0"/>
      <w:tabs>
        <w:tab w:val="clear" w:pos="720"/>
      </w:tabs>
      <w:spacing w:line="240" w:lineRule="auto"/>
      <w:ind w:left="100"/>
    </w:pPr>
    <w:rPr>
      <w:rFonts w:eastAsia="Century Schoolbook"/>
    </w:rPr>
  </w:style>
  <w:style w:type="character" w:customStyle="1" w:styleId="BodyTextChar">
    <w:name w:val="Body Text Char"/>
    <w:basedOn w:val="DefaultParagraphFont"/>
    <w:link w:val="BodyText"/>
    <w:uiPriority w:val="1"/>
    <w:rsid w:val="00C520E3"/>
    <w:rPr>
      <w:rFonts w:ascii="Century Schoolbook" w:eastAsia="Century Schoolbook" w:hAnsi="Century Schoolbook"/>
    </w:rPr>
  </w:style>
  <w:style w:type="paragraph" w:styleId="ListParagraph">
    <w:name w:val="List Paragraph"/>
    <w:basedOn w:val="Normal"/>
    <w:uiPriority w:val="1"/>
    <w:qFormat/>
    <w:rsid w:val="00C520E3"/>
    <w:pPr>
      <w:widowControl w:val="0"/>
      <w:tabs>
        <w:tab w:val="clear" w:pos="720"/>
      </w:tabs>
      <w:spacing w:line="240" w:lineRule="auto"/>
    </w:pPr>
    <w:rPr>
      <w:rFonts w:asciiTheme="minorHAnsi" w:hAnsiTheme="minorHAnsi"/>
      <w:sz w:val="22"/>
      <w:szCs w:val="22"/>
    </w:rPr>
  </w:style>
  <w:style w:type="paragraph" w:customStyle="1" w:styleId="TableParagraph">
    <w:name w:val="Table Paragraph"/>
    <w:basedOn w:val="Normal"/>
    <w:uiPriority w:val="1"/>
    <w:qFormat/>
    <w:rsid w:val="00C520E3"/>
    <w:pPr>
      <w:widowControl w:val="0"/>
      <w:tabs>
        <w:tab w:val="clear" w:pos="720"/>
      </w:tabs>
      <w:spacing w:line="240" w:lineRule="auto"/>
    </w:pPr>
    <w:rPr>
      <w:rFonts w:asciiTheme="minorHAnsi" w:hAnsiTheme="minorHAnsi"/>
      <w:sz w:val="22"/>
      <w:szCs w:val="22"/>
    </w:rPr>
  </w:style>
  <w:style w:type="character" w:styleId="FootnoteReference">
    <w:name w:val="footnote reference"/>
    <w:basedOn w:val="DefaultParagraphFont"/>
    <w:uiPriority w:val="99"/>
    <w:semiHidden/>
    <w:unhideWhenUsed/>
    <w:rsid w:val="00135143"/>
    <w:rPr>
      <w:vertAlign w:val="superscript"/>
    </w:rPr>
  </w:style>
  <w:style w:type="character" w:styleId="CommentReference">
    <w:name w:val="annotation reference"/>
    <w:basedOn w:val="DefaultParagraphFont"/>
    <w:uiPriority w:val="99"/>
    <w:semiHidden/>
    <w:unhideWhenUsed/>
    <w:rsid w:val="00A05C2E"/>
    <w:rPr>
      <w:sz w:val="16"/>
      <w:szCs w:val="16"/>
    </w:rPr>
  </w:style>
  <w:style w:type="paragraph" w:styleId="CommentText">
    <w:name w:val="annotation text"/>
    <w:basedOn w:val="Normal"/>
    <w:link w:val="CommentTextChar"/>
    <w:uiPriority w:val="99"/>
    <w:unhideWhenUsed/>
    <w:rsid w:val="00A05C2E"/>
    <w:pPr>
      <w:spacing w:line="240" w:lineRule="auto"/>
    </w:pPr>
    <w:rPr>
      <w:sz w:val="20"/>
      <w:szCs w:val="20"/>
    </w:rPr>
  </w:style>
  <w:style w:type="character" w:customStyle="1" w:styleId="CommentTextChar">
    <w:name w:val="Comment Text Char"/>
    <w:basedOn w:val="DefaultParagraphFont"/>
    <w:link w:val="CommentText"/>
    <w:uiPriority w:val="99"/>
    <w:rsid w:val="00A05C2E"/>
    <w:rPr>
      <w:rFonts w:ascii="Century Schoolbook" w:hAnsi="Century Schoolbook"/>
      <w:sz w:val="20"/>
      <w:szCs w:val="20"/>
    </w:rPr>
  </w:style>
  <w:style w:type="paragraph" w:styleId="CommentSubject">
    <w:name w:val="annotation subject"/>
    <w:basedOn w:val="CommentText"/>
    <w:next w:val="CommentText"/>
    <w:link w:val="CommentSubjectChar"/>
    <w:uiPriority w:val="99"/>
    <w:semiHidden/>
    <w:unhideWhenUsed/>
    <w:rsid w:val="00A05C2E"/>
    <w:rPr>
      <w:b/>
      <w:bCs/>
    </w:rPr>
  </w:style>
  <w:style w:type="character" w:customStyle="1" w:styleId="CommentSubjectChar">
    <w:name w:val="Comment Subject Char"/>
    <w:basedOn w:val="CommentTextChar"/>
    <w:link w:val="CommentSubject"/>
    <w:uiPriority w:val="99"/>
    <w:semiHidden/>
    <w:rsid w:val="00A05C2E"/>
    <w:rPr>
      <w:rFonts w:ascii="Century Schoolbook" w:hAnsi="Century Schoolbook"/>
      <w:b/>
      <w:bCs/>
      <w:sz w:val="20"/>
      <w:szCs w:val="20"/>
    </w:rPr>
  </w:style>
  <w:style w:type="paragraph" w:styleId="Revision">
    <w:name w:val="Revision"/>
    <w:hidden/>
    <w:uiPriority w:val="99"/>
    <w:semiHidden/>
    <w:rsid w:val="00263447"/>
    <w:pPr>
      <w:spacing w:line="240" w:lineRule="auto"/>
    </w:pPr>
    <w:rPr>
      <w:rFonts w:ascii="Century Schoolbook" w:hAnsi="Century Schoolbook"/>
    </w:rPr>
  </w:style>
  <w:style w:type="character" w:styleId="Hyperlink">
    <w:name w:val="Hyperlink"/>
    <w:basedOn w:val="DefaultParagraphFont"/>
    <w:uiPriority w:val="99"/>
    <w:unhideWhenUsed/>
    <w:rsid w:val="008A1205"/>
    <w:rPr>
      <w:color w:val="0563C1" w:themeColor="hyperlink"/>
      <w:u w:val="single"/>
    </w:rPr>
  </w:style>
  <w:style w:type="character" w:customStyle="1" w:styleId="UnresolvedMention1">
    <w:name w:val="Unresolved Mention1"/>
    <w:basedOn w:val="DefaultParagraphFont"/>
    <w:uiPriority w:val="99"/>
    <w:semiHidden/>
    <w:unhideWhenUsed/>
    <w:rsid w:val="008A12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15811</Words>
  <Characters>80544</Characters>
  <Application>Microsoft Office Word</Application>
  <DocSecurity>0</DocSecurity>
  <Lines>1440</Lines>
  <Paragraphs>160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96895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2024-04-08T21:10:00Z</dcterms:created>
  <dcterms:modified xsi:type="dcterms:W3CDTF">2024-04-08T21:10:00Z</dcterms:modified>
  <cp:category/>
</cp:coreProperties>
</file>